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0512D8"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Default="00D35416" w:rsidP="00D35416">
      <w:pPr>
        <w:rPr>
          <w:color w:val="000000"/>
        </w:rPr>
      </w:pPr>
      <w:r w:rsidRPr="00753051">
        <w:rPr>
          <w:b/>
          <w:bCs/>
        </w:rPr>
        <w:t>NESHAP for Pharmaceuticals Production (40 CFR Part 63, Subpart GGG)</w:t>
      </w:r>
      <w:r w:rsidRPr="00236DB3">
        <w:rPr>
          <w:b/>
        </w:rPr>
        <w:t xml:space="preserve"> </w:t>
      </w:r>
      <w:r w:rsidR="002B29A5" w:rsidRPr="00236DB3">
        <w:rPr>
          <w:b/>
        </w:rPr>
        <w:t>(Renewal)</w:t>
      </w:r>
      <w:r w:rsidR="00CA4CD6">
        <w:rPr>
          <w:color w:val="FF0000"/>
        </w:rPr>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Pr="002B29A5" w:rsidRDefault="00D35416" w:rsidP="002B29A5">
      <w:pPr>
        <w:rPr>
          <w:bCs/>
          <w:color w:val="000000"/>
        </w:rPr>
      </w:pPr>
      <w:r w:rsidRPr="00753051">
        <w:t>NESHAP for Pharmaceuticals Production (40 CFR Part 63, Subpart GGG)</w:t>
      </w:r>
      <w:r w:rsidR="002B29A5">
        <w:rPr>
          <w:bCs/>
          <w:color w:val="FF0000"/>
        </w:rPr>
        <w:t xml:space="preserve"> </w:t>
      </w:r>
      <w:r w:rsidR="002B29A5" w:rsidRPr="004C5E95">
        <w:rPr>
          <w:bCs/>
        </w:rPr>
        <w:t xml:space="preserve">(Renewal), </w:t>
      </w:r>
      <w:r w:rsidR="003120FE">
        <w:rPr>
          <w:bCs/>
        </w:rPr>
        <w:t xml:space="preserve">          </w:t>
      </w:r>
      <w:r w:rsidR="002B29A5" w:rsidRPr="004C5E95">
        <w:rPr>
          <w:bCs/>
        </w:rPr>
        <w:t xml:space="preserve">EPA ICR Number </w:t>
      </w:r>
      <w:r w:rsidR="00174D6C">
        <w:rPr>
          <w:bCs/>
        </w:rPr>
        <w:t>1781.07</w:t>
      </w:r>
      <w:r w:rsidR="008B67A4" w:rsidRPr="008B67A4">
        <w:rPr>
          <w:bCs/>
        </w:rPr>
        <w:t>,</w:t>
      </w:r>
      <w:r w:rsidR="002B29A5">
        <w:rPr>
          <w:bCs/>
          <w:color w:val="FF0000"/>
        </w:rPr>
        <w:t xml:space="preserve"> </w:t>
      </w:r>
      <w:r w:rsidR="002B29A5" w:rsidRPr="004C5E95">
        <w:rPr>
          <w:bCs/>
        </w:rPr>
        <w:t>OMB Control Number 2060-</w:t>
      </w:r>
      <w:r w:rsidR="00174D6C">
        <w:rPr>
          <w:bCs/>
        </w:rPr>
        <w:t>0358</w:t>
      </w:r>
      <w:r w:rsidR="00031304">
        <w:rPr>
          <w:bCs/>
        </w:rPr>
        <w:t xml:space="preserve"> </w:t>
      </w:r>
      <w:r w:rsidR="002B29A5">
        <w:rPr>
          <w:bCs/>
          <w:color w:val="FF0000"/>
        </w:rPr>
        <w:t xml:space="preserve"> </w:t>
      </w:r>
    </w:p>
    <w:p w:rsidR="00CA4CD6" w:rsidRDefault="00CA4CD6">
      <w:pPr>
        <w:rPr>
          <w:b/>
          <w:bCs/>
          <w:color w:val="000000"/>
        </w:rPr>
      </w:pPr>
    </w:p>
    <w:p w:rsidR="00372D0B" w:rsidRDefault="00CA4CD6">
      <w:pPr>
        <w:ind w:firstLine="720"/>
        <w:rPr>
          <w:color w:val="000000"/>
        </w:rPr>
      </w:pPr>
      <w:r>
        <w:rPr>
          <w:b/>
          <w:bCs/>
          <w:color w:val="000000"/>
        </w:rPr>
        <w:t>1(b)  Short Characterization/Abstract</w:t>
      </w:r>
    </w:p>
    <w:p w:rsidR="00CA4CD6" w:rsidRDefault="00CA4CD6">
      <w:pPr>
        <w:rPr>
          <w:color w:val="000000"/>
        </w:rPr>
      </w:pPr>
    </w:p>
    <w:p w:rsidR="00CA4CD6" w:rsidRDefault="00CA4CD6">
      <w:pPr>
        <w:ind w:firstLine="720"/>
        <w:rPr>
          <w:color w:val="000000"/>
        </w:rPr>
      </w:pPr>
      <w:r>
        <w:rPr>
          <w:color w:val="000000"/>
        </w:rPr>
        <w:t xml:space="preserve">The </w:t>
      </w:r>
      <w:r w:rsidR="008B67A4" w:rsidRPr="008B67A4">
        <w:t>National Emission Standards for Hazardous Air Pollutants (NESHAP)</w:t>
      </w:r>
      <w:r>
        <w:rPr>
          <w:color w:val="FF0000"/>
        </w:rPr>
        <w:t xml:space="preserve"> </w:t>
      </w:r>
      <w:r>
        <w:rPr>
          <w:color w:val="000000"/>
        </w:rPr>
        <w:t xml:space="preserve">for </w:t>
      </w:r>
      <w:r w:rsidR="00AE451A" w:rsidRPr="00AE451A">
        <w:rPr>
          <w:bCs/>
        </w:rPr>
        <w:t>Pharmaceuticals Production (40 CFR Part 63, subpart GGG)</w:t>
      </w:r>
      <w:r w:rsidR="00AE451A" w:rsidRPr="00AE451A">
        <w:t xml:space="preserve"> </w:t>
      </w:r>
      <w:r>
        <w:rPr>
          <w:color w:val="000000"/>
        </w:rPr>
        <w:t>were</w:t>
      </w:r>
      <w:r w:rsidR="00AE451A">
        <w:rPr>
          <w:color w:val="000000"/>
        </w:rPr>
        <w:t>: 1)</w:t>
      </w:r>
      <w:r>
        <w:rPr>
          <w:color w:val="000000"/>
        </w:rPr>
        <w:t xml:space="preserve"> proposed on</w:t>
      </w:r>
      <w:r w:rsidR="004B5B11" w:rsidRPr="004B5B11">
        <w:t xml:space="preserve"> </w:t>
      </w:r>
      <w:r w:rsidR="004B5B11" w:rsidRPr="00753051">
        <w:t>April 2, 1997</w:t>
      </w:r>
      <w:r w:rsidR="00AE451A">
        <w:rPr>
          <w:color w:val="000000"/>
        </w:rPr>
        <w:t>; 2)</w:t>
      </w:r>
      <w:r>
        <w:rPr>
          <w:color w:val="000000"/>
        </w:rPr>
        <w:t xml:space="preserve"> promulgated on </w:t>
      </w:r>
      <w:r w:rsidR="004B5B11" w:rsidRPr="00753051">
        <w:t>September 21, 1998</w:t>
      </w:r>
      <w:r w:rsidR="00AE451A">
        <w:t>;</w:t>
      </w:r>
      <w:r w:rsidR="004B5B11">
        <w:t xml:space="preserve"> and </w:t>
      </w:r>
      <w:r w:rsidR="00AE451A">
        <w:t xml:space="preserve">3) </w:t>
      </w:r>
      <w:r w:rsidR="004B5B11">
        <w:t>amended on April 21, 2011</w:t>
      </w:r>
      <w:r>
        <w:rPr>
          <w:color w:val="000000"/>
        </w:rPr>
        <w:t xml:space="preserve">.  </w:t>
      </w:r>
      <w:r w:rsidR="004B5B11" w:rsidRPr="00753051">
        <w:t xml:space="preserve">The </w:t>
      </w:r>
      <w:r w:rsidR="004B5B11">
        <w:t xml:space="preserve">most recent </w:t>
      </w:r>
      <w:r w:rsidR="004B5B11" w:rsidRPr="00753051">
        <w:t>amendment to the rule eliminate</w:t>
      </w:r>
      <w:r w:rsidR="002171CB">
        <w:t>d</w:t>
      </w:r>
      <w:r w:rsidR="004B5B11" w:rsidRPr="00753051">
        <w:t xml:space="preserve"> the startup, shutdown, and malfunction exemption, remove</w:t>
      </w:r>
      <w:r w:rsidR="002171CB">
        <w:t>d</w:t>
      </w:r>
      <w:r w:rsidR="004B5B11" w:rsidRPr="00753051">
        <w:t xml:space="preserve"> the SSM plan requirement, add</w:t>
      </w:r>
      <w:r w:rsidR="002171CB">
        <w:t>ed</w:t>
      </w:r>
      <w:r w:rsidR="004B5B11" w:rsidRPr="00753051">
        <w:t xml:space="preserve"> provisions to provide an affirmative defense against civil penalties for exceedances of emission standards caused by malfunctions, </w:t>
      </w:r>
      <w:r w:rsidR="002171CB">
        <w:t xml:space="preserve">added a provision to require </w:t>
      </w:r>
      <w:r w:rsidR="004B5B11" w:rsidRPr="00753051">
        <w:t xml:space="preserve">electronic submittal of performance test </w:t>
      </w:r>
      <w:r w:rsidR="002171CB">
        <w:t>results</w:t>
      </w:r>
      <w:r w:rsidR="004B5B11" w:rsidRPr="00753051">
        <w:t>, and correct</w:t>
      </w:r>
      <w:r w:rsidR="002171CB">
        <w:t>ed</w:t>
      </w:r>
      <w:r w:rsidR="004B5B11" w:rsidRPr="00753051">
        <w:t xml:space="preserve"> editorial error</w:t>
      </w:r>
      <w:r w:rsidR="002171CB">
        <w:t>s</w:t>
      </w:r>
      <w:r w:rsidR="004B5B11" w:rsidRPr="00753051">
        <w:t xml:space="preserve">.  </w:t>
      </w:r>
      <w:r w:rsidR="002171CB">
        <w:t xml:space="preserve">The amendment did not otherwise impose any additional burden.  </w:t>
      </w:r>
      <w:r>
        <w:rPr>
          <w:color w:val="000000"/>
        </w:rPr>
        <w:t xml:space="preserve">These regulations apply </w:t>
      </w:r>
      <w:r w:rsidR="00724BC7">
        <w:rPr>
          <w:color w:val="000000"/>
        </w:rPr>
        <w:t xml:space="preserve">to existing </w:t>
      </w:r>
      <w:r w:rsidR="00897491">
        <w:rPr>
          <w:color w:val="000000"/>
        </w:rPr>
        <w:t xml:space="preserve">and new </w:t>
      </w:r>
      <w:r w:rsidR="00897491" w:rsidRPr="00753051">
        <w:t xml:space="preserve">pharmaceuticals </w:t>
      </w:r>
      <w:r w:rsidR="002171CB">
        <w:t xml:space="preserve">manufacturing operations </w:t>
      </w:r>
      <w:r w:rsidR="002171CB" w:rsidRPr="00753051">
        <w:t xml:space="preserve">that are major sources of hazardous air pollutants (HAP).  The affected facilities encompass all pharmaceuticals manufacturing operations that include process vents, storage tanks, equipment components, and wastewater systems.  </w:t>
      </w:r>
      <w:r>
        <w:rPr>
          <w:color w:val="000000"/>
        </w:rPr>
        <w:t>New facilities include those that commenced construction</w:t>
      </w:r>
      <w:r w:rsidR="004016D1">
        <w:rPr>
          <w:color w:val="000000"/>
        </w:rPr>
        <w:t xml:space="preserve"> </w:t>
      </w:r>
      <w:r>
        <w:rPr>
          <w:color w:val="000000"/>
        </w:rPr>
        <w:t xml:space="preserve">or reconstruction after the date of proposal.  This information is being collected to assure compliance with 40 CFR part 63, subpart </w:t>
      </w:r>
      <w:r w:rsidR="004016D1">
        <w:rPr>
          <w:color w:val="000000"/>
        </w:rPr>
        <w:t>GGG</w:t>
      </w:r>
      <w:r>
        <w:rPr>
          <w:color w:val="000000"/>
        </w:rPr>
        <w:t>.</w:t>
      </w:r>
    </w:p>
    <w:p w:rsidR="00CA4CD6" w:rsidRDefault="00CA4CD6">
      <w:pPr>
        <w:rPr>
          <w:color w:val="000000"/>
        </w:rPr>
      </w:pPr>
    </w:p>
    <w:p w:rsidR="00CA4CD6" w:rsidRPr="004016D1" w:rsidRDefault="00CA4CD6">
      <w:pPr>
        <w:ind w:firstLine="720"/>
      </w:pPr>
      <w:r>
        <w:rPr>
          <w:color w:val="000000"/>
        </w:rPr>
        <w:t xml:space="preserve">In general, all </w:t>
      </w:r>
      <w:r w:rsidR="008B67A4" w:rsidRPr="008B67A4">
        <w:t xml:space="preserve">NESHAP standards require initial notifications, performance tests, and periodic reports by the owners/operators of the affected facilities.  They are also required to maintain records of the occurrence and duration of any startup, shutdown, or malfunction in </w:t>
      </w:r>
      <w:r w:rsidR="00E87D1C">
        <w:t xml:space="preserve">    </w:t>
      </w:r>
      <w:r w:rsidR="008B67A4" w:rsidRPr="008B67A4">
        <w:t xml:space="preserve">the operation of an affected facility, or any period during which the monitoring system is inoperative.  These notifications, reports, and records are essential in determining compliance, and are required of all affected facilities subject to NESHAP.  </w:t>
      </w:r>
    </w:p>
    <w:p w:rsidR="00CA4CD6" w:rsidRPr="004016D1" w:rsidRDefault="00CA4CD6"/>
    <w:p w:rsidR="00CA4CD6" w:rsidRDefault="008B67A4">
      <w:pPr>
        <w:pBdr>
          <w:top w:val="single" w:sz="6" w:space="0" w:color="FFFFFF"/>
          <w:left w:val="single" w:sz="6" w:space="0" w:color="FFFFFF"/>
          <w:bottom w:val="single" w:sz="6" w:space="0" w:color="FFFFFF"/>
          <w:right w:val="single" w:sz="6" w:space="0" w:color="FFFFFF"/>
        </w:pBdr>
        <w:ind w:firstLine="720"/>
        <w:rPr>
          <w:color w:val="000000"/>
        </w:rPr>
      </w:pPr>
      <w:r w:rsidRPr="008B67A4">
        <w:t>Any owner/operator subject to the provisions of this part shall maintain a file of these measurements, and retain the file for at least five years</w:t>
      </w:r>
      <w:r w:rsidR="00CA4CD6">
        <w:rPr>
          <w:color w:val="000000"/>
        </w:rPr>
        <w:t xml:space="preserve"> following the date of such measurements, maintenance reports, and records.  All reports are sent to the delegated state or local authority.  </w:t>
      </w:r>
      <w:r w:rsidR="00E87D1C">
        <w:rPr>
          <w:color w:val="000000"/>
        </w:rPr>
        <w:t xml:space="preserve"> </w:t>
      </w:r>
      <w:r w:rsidR="00CA4CD6">
        <w:rPr>
          <w:color w:val="000000"/>
        </w:rPr>
        <w:t>In the event that there is no such delegated authority, the reports are sent directly to the U</w:t>
      </w:r>
      <w:r w:rsidR="00E87D1C">
        <w:rPr>
          <w:color w:val="000000"/>
        </w:rPr>
        <w:t>.</w:t>
      </w:r>
      <w:r w:rsidR="00CA4CD6">
        <w:rPr>
          <w:color w:val="000000"/>
        </w:rPr>
        <w:t xml:space="preserve"> S</w:t>
      </w:r>
      <w:r w:rsidR="00E87D1C">
        <w:rPr>
          <w:color w:val="000000"/>
        </w:rPr>
        <w:t>.</w:t>
      </w:r>
      <w:r w:rsidR="00CA4CD6">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2171CB">
        <w:rPr>
          <w:color w:val="000000"/>
        </w:rPr>
        <w:t>is</w:t>
      </w:r>
      <w:r>
        <w:rPr>
          <w:color w:val="000000"/>
        </w:rPr>
        <w:t xml:space="preserve"> an average of </w:t>
      </w:r>
      <w:r w:rsidR="001D0034">
        <w:rPr>
          <w:color w:val="000000"/>
        </w:rPr>
        <w:t xml:space="preserve">one </w:t>
      </w:r>
      <w:r>
        <w:rPr>
          <w:color w:val="000000"/>
        </w:rPr>
        <w:t>affected facilities at each plant site and that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rsidP="00B56CE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w:t>
      </w:r>
      <w:r w:rsidR="001D0034">
        <w:rPr>
          <w:color w:val="000000"/>
        </w:rPr>
        <w:t xml:space="preserve">27 </w:t>
      </w:r>
      <w:r w:rsidR="00CA4CD6">
        <w:rPr>
          <w:color w:val="000000"/>
        </w:rPr>
        <w:t xml:space="preserve">respondents </w:t>
      </w:r>
      <w:r>
        <w:rPr>
          <w:color w:val="000000"/>
        </w:rPr>
        <w:t>per year will be subject to the</w:t>
      </w:r>
      <w:r w:rsidR="00E87D1C">
        <w:rPr>
          <w:color w:val="000000"/>
        </w:rPr>
        <w:t>se</w:t>
      </w:r>
      <w:r>
        <w:rPr>
          <w:color w:val="000000"/>
        </w:rPr>
        <w:t xml:space="preserve"> </w:t>
      </w:r>
      <w:r>
        <w:rPr>
          <w:color w:val="000000"/>
        </w:rPr>
        <w:lastRenderedPageBreak/>
        <w:t>standard</w:t>
      </w:r>
      <w:r w:rsidR="00E87D1C">
        <w:rPr>
          <w:color w:val="000000"/>
        </w:rPr>
        <w:t>s</w:t>
      </w:r>
      <w:r w:rsidR="00CA4CD6">
        <w:rPr>
          <w:color w:val="000000"/>
        </w:rPr>
        <w:t xml:space="preserve">, and </w:t>
      </w:r>
      <w:r w:rsidR="001D0034">
        <w:rPr>
          <w:color w:val="000000"/>
        </w:rPr>
        <w:t xml:space="preserve">no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standard</w:t>
      </w:r>
      <w:r w:rsidR="00E87D1C">
        <w:rPr>
          <w:color w:val="000000"/>
        </w:rPr>
        <w:t>s</w:t>
      </w:r>
      <w:r>
        <w:rPr>
          <w:color w:val="000000"/>
        </w:rPr>
        <w:t xml:space="preserve">.  </w:t>
      </w:r>
    </w:p>
    <w:p w:rsidR="00E87D1C" w:rsidRDefault="00E87D1C" w:rsidP="00B56CE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7F5049">
      <w:pPr>
        <w:pBdr>
          <w:top w:val="single" w:sz="6" w:space="0" w:color="FFFFFF"/>
          <w:left w:val="single" w:sz="6" w:space="0" w:color="FFFFFF"/>
          <w:bottom w:val="single" w:sz="6" w:space="0" w:color="FFFFFF"/>
          <w:right w:val="single" w:sz="6" w:space="0" w:color="FFFFFF"/>
        </w:pBdr>
        <w:ind w:firstLine="720"/>
        <w:rPr>
          <w:color w:val="FF0000"/>
        </w:rPr>
      </w:pPr>
      <w:r>
        <w:t>The Office of Management and Budget (</w:t>
      </w:r>
      <w:r w:rsidR="008B67A4" w:rsidRPr="008B67A4">
        <w:t>OMB) approved the currently active ICR without any “Terms of Clearance.”</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Default="009D6567" w:rsidP="002B29A5">
      <w:pPr>
        <w:rPr>
          <w:color w:val="FF0000"/>
        </w:rPr>
      </w:pPr>
      <w:r>
        <w:tab/>
      </w:r>
      <w:r w:rsidR="004016D1" w:rsidRPr="00753051">
        <w:t>All of the pharmaceutical production facilities in the United States are owned and operated by the pharmaceutical industry (the “Affected Public”).  None of the facilities in the United States are owned by</w:t>
      </w:r>
      <w:r w:rsidR="00E87D1C">
        <w:t xml:space="preserve"> either</w:t>
      </w:r>
      <w:r w:rsidR="004016D1" w:rsidRPr="00753051">
        <w:t xml:space="preserve"> state, </w:t>
      </w:r>
      <w:r w:rsidR="00E87D1C">
        <w:t xml:space="preserve">or </w:t>
      </w:r>
      <w:r w:rsidR="004016D1" w:rsidRPr="00753051">
        <w:t xml:space="preserve">local, </w:t>
      </w:r>
      <w:r w:rsidR="00E87D1C">
        <w:t xml:space="preserve">or </w:t>
      </w:r>
      <w:r w:rsidR="004016D1" w:rsidRPr="00753051">
        <w:t>tribal</w:t>
      </w:r>
      <w:r w:rsidR="00E87D1C">
        <w:t xml:space="preserve"> </w:t>
      </w:r>
      <w:r w:rsidR="000C726C">
        <w:t>entities</w:t>
      </w:r>
      <w:r w:rsidR="004016D1" w:rsidRPr="00753051">
        <w:t xml:space="preserve"> or </w:t>
      </w:r>
      <w:r w:rsidR="00E87D1C">
        <w:t xml:space="preserve">by </w:t>
      </w:r>
      <w:r w:rsidR="004016D1" w:rsidRPr="00753051">
        <w:t>the Federal government.  They are all privately</w:t>
      </w:r>
      <w:r w:rsidR="00E87D1C">
        <w:t>-</w:t>
      </w:r>
      <w:r w:rsidR="004016D1" w:rsidRPr="00753051">
        <w:t>owned</w:t>
      </w:r>
      <w:r w:rsidR="00E87D1C">
        <w:t>,</w:t>
      </w:r>
      <w:r w:rsidR="004016D1" w:rsidRPr="00753051">
        <w:t xml:space="preserve"> for-profit businesses.</w:t>
      </w:r>
      <w:r w:rsidR="004016D1" w:rsidRPr="009D6567" w:rsidDel="004016D1">
        <w:rPr>
          <w:color w:val="FF0000"/>
        </w:rPr>
        <w:t xml:space="preserve"> </w:t>
      </w:r>
      <w:r w:rsidR="004016D1">
        <w:rPr>
          <w:color w:val="FF0000"/>
        </w:rPr>
        <w:t xml:space="preserve"> </w:t>
      </w:r>
      <w:r w:rsidR="008B67A4" w:rsidRPr="008B67A4">
        <w:t xml:space="preserve">The </w:t>
      </w:r>
      <w:r w:rsidR="000C726C">
        <w:t>“</w:t>
      </w:r>
      <w:r w:rsidR="008B67A4" w:rsidRPr="008B67A4">
        <w:t>burden</w:t>
      </w:r>
      <w:r w:rsidR="000C726C">
        <w:t>”</w:t>
      </w:r>
      <w:r w:rsidR="008B67A4" w:rsidRPr="008B67A4">
        <w:t xml:space="preserve"> to the “Affected Public” may be found</w:t>
      </w:r>
      <w:r w:rsidR="00030A30">
        <w:t xml:space="preserve"> below</w:t>
      </w:r>
      <w:r w:rsidR="008B67A4" w:rsidRPr="008B67A4">
        <w:t xml:space="preserve"> in Table 1: Annual Respondent Burden and Cost – </w:t>
      </w:r>
      <w:r w:rsidR="00AE359F">
        <w:t>NESHAP for Pharmaceuticals Production (40 CFR Part 63, Subpart GGG)</w:t>
      </w:r>
      <w:r w:rsidR="008B67A4" w:rsidRPr="008B67A4">
        <w:rPr>
          <w:bCs/>
        </w:rPr>
        <w:t xml:space="preserve"> (Renewal)</w:t>
      </w:r>
      <w:r w:rsidR="008B67A4" w:rsidRPr="008B67A4">
        <w:t xml:space="preserve">.  The </w:t>
      </w:r>
      <w:r w:rsidR="00E87D1C">
        <w:t>“</w:t>
      </w:r>
      <w:r w:rsidR="008B67A4" w:rsidRPr="008B67A4">
        <w:t>burden</w:t>
      </w:r>
      <w:r w:rsidR="00E87D1C">
        <w:t>”</w:t>
      </w:r>
      <w:r w:rsidR="008B67A4" w:rsidRPr="008B67A4">
        <w:t xml:space="preserve"> to the Federal </w:t>
      </w:r>
      <w:r w:rsidR="00E87D1C">
        <w:t>g</w:t>
      </w:r>
      <w:r w:rsidR="008B67A4" w:rsidRPr="008B67A4">
        <w:t xml:space="preserve">overnment is attributed entirely to work performed by </w:t>
      </w:r>
      <w:r w:rsidR="00E87D1C">
        <w:t>either F</w:t>
      </w:r>
      <w:r w:rsidR="008B67A4" w:rsidRPr="008B67A4">
        <w:t xml:space="preserve">ederal employees or government contractors and may be found </w:t>
      </w:r>
      <w:r w:rsidR="00030A30">
        <w:t xml:space="preserve">below </w:t>
      </w:r>
      <w:r w:rsidR="008B67A4" w:rsidRPr="008B67A4">
        <w:t xml:space="preserve">in Table 2: Average Annual EPA Burden and Cost – </w:t>
      </w:r>
      <w:r w:rsidR="00AE359F">
        <w:t>NESHAP for Pharmaceuticals Production (40 CFR Part 63, Subpart GGG)</w:t>
      </w:r>
      <w:r w:rsidR="008B67A4" w:rsidRPr="008B67A4">
        <w:rPr>
          <w:bCs/>
        </w:rPr>
        <w:t xml:space="preserve"> (Renewal)</w:t>
      </w:r>
      <w:r w:rsidR="008B67A4" w:rsidRPr="008B67A4">
        <w:t xml:space="preserve">.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C85B24" w:rsidRDefault="008B67A4">
      <w:pPr>
        <w:pBdr>
          <w:top w:val="single" w:sz="6" w:space="0" w:color="FFFFFF"/>
          <w:left w:val="single" w:sz="6" w:space="0" w:color="FFFFFF"/>
          <w:bottom w:val="single" w:sz="6" w:space="0" w:color="FFFFFF"/>
          <w:right w:val="single" w:sz="6" w:space="0" w:color="FFFFFF"/>
        </w:pBdr>
        <w:ind w:firstLine="720"/>
      </w:pPr>
      <w:r w:rsidRPr="008B67A4">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C85B24" w:rsidRDefault="00CA4CD6">
      <w:pPr>
        <w:pBdr>
          <w:top w:val="single" w:sz="6" w:space="0" w:color="FFFFFF"/>
          <w:left w:val="single" w:sz="6" w:space="0" w:color="FFFFFF"/>
          <w:bottom w:val="single" w:sz="6" w:space="0" w:color="FFFFFF"/>
          <w:right w:val="single" w:sz="6" w:space="0" w:color="FFFFFF"/>
        </w:pBdr>
      </w:pPr>
    </w:p>
    <w:p w:rsidR="00CA4CD6" w:rsidRPr="00C85B24" w:rsidRDefault="008B67A4">
      <w:pPr>
        <w:pBdr>
          <w:top w:val="single" w:sz="6" w:space="0" w:color="FFFFFF"/>
          <w:left w:val="single" w:sz="6" w:space="0" w:color="FFFFFF"/>
          <w:bottom w:val="single" w:sz="6" w:space="0" w:color="FFFFFF"/>
          <w:right w:val="single" w:sz="6" w:space="0" w:color="FFFFFF"/>
        </w:pBdr>
        <w:ind w:left="1440" w:right="1440"/>
      </w:pPr>
      <w:r w:rsidRPr="008B67A4">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FB4109" w:rsidRPr="00753051">
        <w:t>HAP</w:t>
      </w:r>
      <w:r w:rsidR="00FB4109">
        <w:rPr>
          <w:color w:val="FF0000"/>
        </w:rPr>
        <w:t xml:space="preserve"> </w:t>
      </w:r>
      <w:r>
        <w:rPr>
          <w:color w:val="000000"/>
        </w:rPr>
        <w:t xml:space="preserve">emissions from </w:t>
      </w:r>
      <w:r w:rsidR="00FB4109" w:rsidRPr="00753051">
        <w:t>pharmaceuticals production (predominately methanol, methylene chloride and toluene)</w:t>
      </w:r>
      <w:r>
        <w:rPr>
          <w:color w:val="000000"/>
        </w:rPr>
        <w:t xml:space="preserve"> cause or contribute to air pollution that may reasonably be anticipated to endanger public health or welfare.  Therefore, the </w:t>
      </w:r>
      <w:r w:rsidR="008B67A4" w:rsidRPr="008B67A4">
        <w:t>NESHAP w</w:t>
      </w:r>
      <w:r>
        <w:rPr>
          <w:color w:val="000000"/>
        </w:rPr>
        <w:t>ere promulgated for this source category at 40 CFR part 63,</w:t>
      </w:r>
      <w:r>
        <w:rPr>
          <w:b/>
          <w:bCs/>
          <w:i/>
          <w:iCs/>
          <w:color w:val="000000"/>
        </w:rPr>
        <w:t xml:space="preserve"> </w:t>
      </w:r>
      <w:r>
        <w:rPr>
          <w:color w:val="000000"/>
        </w:rPr>
        <w:t xml:space="preserve">subpart </w:t>
      </w:r>
      <w:r w:rsidR="00FB4109">
        <w:rPr>
          <w:color w:val="000000"/>
        </w:rPr>
        <w:t>GGG</w:t>
      </w:r>
      <w:r>
        <w:rPr>
          <w:color w:val="000000"/>
        </w:rPr>
        <w:t>.</w:t>
      </w:r>
      <w:r w:rsidR="002171CB">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E87D1C" w:rsidRDefault="00E87D1C">
      <w:pPr>
        <w:pBdr>
          <w:top w:val="single" w:sz="6" w:space="0" w:color="FFFFFF"/>
          <w:left w:val="single" w:sz="6" w:space="0" w:color="FFFFFF"/>
          <w:bottom w:val="single" w:sz="6" w:space="0" w:color="FFFFFF"/>
          <w:right w:val="single" w:sz="6" w:space="0" w:color="FFFFFF"/>
        </w:pBdr>
        <w:ind w:firstLine="720"/>
        <w:rPr>
          <w:b/>
          <w:bCs/>
          <w:color w:val="000000"/>
        </w:rPr>
      </w:pPr>
    </w:p>
    <w:p w:rsidR="00E87D1C" w:rsidRDefault="00E87D1C">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E87D1C">
        <w:rPr>
          <w:color w:val="000000"/>
        </w:rPr>
        <w:t>se</w:t>
      </w:r>
      <w:r>
        <w:rPr>
          <w:color w:val="000000"/>
        </w:rPr>
        <w:t xml:space="preserve"> standard</w:t>
      </w:r>
      <w:r w:rsidR="00E87D1C">
        <w:rPr>
          <w:color w:val="000000"/>
        </w:rPr>
        <w:t>s</w:t>
      </w:r>
      <w:r>
        <w:rPr>
          <w:color w:val="000000"/>
        </w:rPr>
        <w:t xml:space="preserve"> ensure compliance with the applicable regulations which were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 xml:space="preserve">s initial capability to comply with the emission standard. </w:t>
      </w:r>
      <w:r w:rsidR="00E87D1C">
        <w:rPr>
          <w:color w:val="000000"/>
        </w:rPr>
        <w:t xml:space="preserve"> </w:t>
      </w:r>
      <w:r>
        <w:rPr>
          <w:color w:val="000000"/>
        </w:rPr>
        <w:t>Continuous e</w:t>
      </w:r>
      <w:r w:rsidRPr="00872221">
        <w:t xml:space="preserve">mission monitors are used to ensure compliance with the standard at all times. </w:t>
      </w:r>
      <w:r w:rsidR="00E87D1C">
        <w:t xml:space="preserve"> </w:t>
      </w:r>
      <w:r w:rsidRPr="00872221">
        <w:t>During the performance test a record of the operating parameters under which compliance was achieved may be recorded and used to determine compliance in place of a continuous emission monitor.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w:t>
      </w:r>
      <w:r w:rsidRPr="00872221">
        <w:t>requirements of the regulations.  The reviewing authority may then inspect the source to check if the pollution control devices are properly installed and operated</w:t>
      </w:r>
      <w:r w:rsidR="00872221" w:rsidRPr="00872221">
        <w:t>,</w:t>
      </w:r>
      <w:r w:rsidRPr="00872221">
        <w:t xml:space="preserve"> leaks are being detected and repaired</w:t>
      </w:r>
      <w:r w:rsidR="00872221" w:rsidRPr="00872221">
        <w:t>,</w:t>
      </w:r>
      <w:r>
        <w:rPr>
          <w:color w:val="000000"/>
        </w:rPr>
        <w:t xml:space="preserve"> and the standard </w:t>
      </w:r>
      <w:r w:rsidR="00915D48">
        <w:rPr>
          <w:color w:val="000000"/>
        </w:rPr>
        <w:t>is</w:t>
      </w:r>
      <w:r>
        <w:rPr>
          <w:color w:val="000000"/>
        </w:rPr>
        <w:t xml:space="preserve"> being met.  </w:t>
      </w:r>
      <w:r w:rsidR="00E87D1C">
        <w:rPr>
          <w:color w:val="000000"/>
        </w:rPr>
        <w:t xml:space="preserve">  </w:t>
      </w:r>
      <w:r>
        <w:rPr>
          <w:color w:val="000000"/>
        </w:rPr>
        <w:t>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8B67A4" w:rsidRPr="008B67A4">
        <w:t>required semiannual reports are</w:t>
      </w:r>
      <w:r>
        <w:rPr>
          <w:color w:val="000000"/>
        </w:rPr>
        <w:t xml:space="preserv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E87D1C">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63, subpart</w:t>
      </w:r>
      <w:r w:rsidR="00FB4109">
        <w:rPr>
          <w:color w:val="000000"/>
        </w:rPr>
        <w:t xml:space="preserve"> GGG</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E87D1C">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w:t>
      </w:r>
      <w:r w:rsidR="00E87D1C">
        <w:rPr>
          <w:color w:val="000000"/>
        </w:rPr>
        <w:t xml:space="preserve"> </w:t>
      </w:r>
      <w:r>
        <w:rPr>
          <w:color w:val="000000"/>
        </w:rPr>
        <w:t xml:space="preserve"> duplication </w:t>
      </w:r>
      <w:r w:rsidR="00E87D1C">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announcement of a public com</w:t>
      </w:r>
      <w:r w:rsidR="008B67A4" w:rsidRPr="008B67A4">
        <w:t xml:space="preserve">ment period for the renewal of this ICR was published in the </w:t>
      </w:r>
      <w:r w:rsidR="008B67A4" w:rsidRPr="008B67A4">
        <w:rPr>
          <w:u w:val="single"/>
        </w:rPr>
        <w:t>Federal Register</w:t>
      </w:r>
      <w:r w:rsidR="008B67A4" w:rsidRPr="008B67A4">
        <w:t xml:space="preserve"> (78 </w:t>
      </w:r>
      <w:r w:rsidR="008B67A4" w:rsidRPr="008B67A4">
        <w:rPr>
          <w:u w:val="single"/>
        </w:rPr>
        <w:t>FR</w:t>
      </w:r>
      <w:r w:rsidR="008B67A4" w:rsidRPr="008B67A4">
        <w:t xml:space="preserve"> 35023) on June 11, 2013.  No comments were received on the burden published in the </w:t>
      </w:r>
      <w:r w:rsidR="008B67A4" w:rsidRPr="008B67A4">
        <w:rPr>
          <w:u w:val="single"/>
        </w:rPr>
        <w:t>Federal Register</w:t>
      </w:r>
      <w:r w:rsidR="008B67A4" w:rsidRPr="008B67A4">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E53137" w:rsidRPr="00931DDF" w:rsidRDefault="00123889" w:rsidP="00931D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931DDF" w:rsidRDefault="00931DDF" w:rsidP="00504745">
      <w:pPr>
        <w:widowControl/>
        <w:ind w:firstLine="720"/>
        <w:outlineLvl w:val="0"/>
        <w:rPr>
          <w:color w:val="FF0000"/>
        </w:rPr>
      </w:pPr>
    </w:p>
    <w:p w:rsidR="00931DDF" w:rsidRPr="00895D0F" w:rsidRDefault="00931DDF" w:rsidP="00931DDF">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w:t>
      </w:r>
      <w:r w:rsidRPr="00895D0F">
        <w:lastRenderedPageBreak/>
        <w:t xml:space="preserve">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rsidR="00931DDF" w:rsidRPr="00895D0F" w:rsidRDefault="00931DDF" w:rsidP="00931DDF"/>
    <w:p w:rsidR="008B67A4" w:rsidRDefault="00931DDF">
      <w:pPr>
        <w:ind w:firstLine="720"/>
      </w:pPr>
      <w:r w:rsidRPr="00895D0F">
        <w:t>Industry trade associations and other interested parties were provided an opportunity to comment on the burden associated with the standard</w:t>
      </w:r>
      <w:r w:rsidR="00CC3EBC">
        <w:t>s</w:t>
      </w:r>
      <w:r w:rsidRPr="00895D0F">
        <w:t xml:space="preserve"> as </w:t>
      </w:r>
      <w:r w:rsidR="00CC3EBC">
        <w:t xml:space="preserve">they were </w:t>
      </w:r>
      <w:r w:rsidRPr="00895D0F">
        <w:t>being developed and the standard</w:t>
      </w:r>
      <w:r w:rsidR="00CC3EBC">
        <w:t>s</w:t>
      </w:r>
      <w:r w:rsidRPr="00895D0F">
        <w:t xml:space="preserve"> ha</w:t>
      </w:r>
      <w:r w:rsidR="00CC3EBC">
        <w:t>ve</w:t>
      </w:r>
      <w:r w:rsidRPr="00895D0F">
        <w:t xml:space="preserve"> been reviewed </w:t>
      </w:r>
      <w:r w:rsidR="00CC3EBC" w:rsidRPr="00895D0F">
        <w:t xml:space="preserve">previously </w:t>
      </w:r>
      <w:r w:rsidRPr="00895D0F">
        <w:t xml:space="preserve">to determine the minimum information needed for compliance purposes.  </w:t>
      </w:r>
      <w:r>
        <w:t>In developing this ICR, we contacted</w:t>
      </w:r>
      <w:r w:rsidR="00680480">
        <w:t>:</w:t>
      </w:r>
      <w:r>
        <w:t xml:space="preserve"> </w:t>
      </w:r>
      <w:r w:rsidR="00680480">
        <w:t xml:space="preserve">1) </w:t>
      </w:r>
      <w:r>
        <w:t xml:space="preserve">the </w:t>
      </w:r>
      <w:r w:rsidR="005F652F" w:rsidRPr="00753051">
        <w:t>Pharmaceutical Research and Manufacturers of America (PhRMA)</w:t>
      </w:r>
      <w:r w:rsidR="00680480">
        <w:t>,</w:t>
      </w:r>
      <w:r w:rsidR="005F652F" w:rsidRPr="00CF2B37">
        <w:rPr>
          <w:color w:val="FF0000"/>
        </w:rPr>
        <w:t xml:space="preserve"> </w:t>
      </w:r>
      <w:r>
        <w:t xml:space="preserve">at </w:t>
      </w:r>
      <w:r w:rsidR="005F652F" w:rsidRPr="00753051">
        <w:t>(202) 835-3400</w:t>
      </w:r>
      <w:r w:rsidR="00680480">
        <w:t>;</w:t>
      </w:r>
      <w:r w:rsidR="005F652F" w:rsidRPr="00CF2B37">
        <w:rPr>
          <w:color w:val="FF0000"/>
        </w:rPr>
        <w:t xml:space="preserve"> </w:t>
      </w:r>
      <w:r>
        <w:t>and</w:t>
      </w:r>
      <w:r w:rsidR="00680480">
        <w:t xml:space="preserve"> 2)</w:t>
      </w:r>
      <w:r>
        <w:t xml:space="preserve"> </w:t>
      </w:r>
      <w:r w:rsidR="005F652F" w:rsidRPr="00753051">
        <w:t>Noramco Incorporated</w:t>
      </w:r>
      <w:r w:rsidR="00680480">
        <w:t>,</w:t>
      </w:r>
      <w:r w:rsidR="005F652F">
        <w:t xml:space="preserve"> </w:t>
      </w:r>
      <w:r>
        <w:t xml:space="preserve">at </w:t>
      </w:r>
      <w:r w:rsidR="005F652F" w:rsidRPr="00753051">
        <w:t>(302) 652-3840</w:t>
      </w:r>
      <w:r w:rsidR="008B67A4" w:rsidRPr="008B67A4">
        <w:t>.</w:t>
      </w:r>
    </w:p>
    <w:p w:rsidR="00D56E19" w:rsidRPr="00895D0F" w:rsidRDefault="00D56E19" w:rsidP="00931DDF">
      <w:pPr>
        <w:ind w:firstLine="720"/>
      </w:pPr>
    </w:p>
    <w:p w:rsidR="00931DDF" w:rsidRDefault="00931DDF" w:rsidP="00931DDF">
      <w:pPr>
        <w:widowControl/>
        <w:ind w:firstLine="720"/>
        <w:outlineLvl w:val="0"/>
      </w:pPr>
      <w:r w:rsidRPr="00895D0F">
        <w:rPr>
          <w:bCs/>
        </w:rPr>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r w:rsidRPr="00895D0F">
        <w:t>In this case, no comments were received.</w:t>
      </w:r>
    </w:p>
    <w:p w:rsidR="00931DDF" w:rsidRDefault="00931DDF" w:rsidP="00931DDF">
      <w:pPr>
        <w:widowControl/>
        <w:ind w:firstLine="720"/>
        <w:outlineLvl w:val="0"/>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56E19" w:rsidRDefault="008B67A4" w:rsidP="00630300">
      <w:pPr>
        <w:pBdr>
          <w:top w:val="single" w:sz="6" w:space="0" w:color="FFFFFF"/>
          <w:left w:val="single" w:sz="6" w:space="0" w:color="FFFFFF"/>
          <w:bottom w:val="single" w:sz="6" w:space="0" w:color="FFFFFF"/>
          <w:right w:val="single" w:sz="6" w:space="0" w:color="FFFFFF"/>
        </w:pBdr>
        <w:ind w:firstLine="720"/>
      </w:pPr>
      <w:r w:rsidRPr="008B67A4">
        <w:t>These standards require the respondents to maintain all records, including reports and notifications for at least five years.  This is consistent with the General Provisions as applied to the standards.  EPA believes that the five</w:t>
      </w:r>
      <w:r w:rsidR="00CC3EBC">
        <w:t>-</w:t>
      </w:r>
      <w:r w:rsidRPr="008B67A4">
        <w:t xml:space="preserve">year records retention requirement is consistent </w:t>
      </w:r>
      <w:r w:rsidR="007615C4">
        <w:t>with</w:t>
      </w:r>
      <w:r w:rsidRPr="008B67A4">
        <w:t xml:space="preserve"> Part</w:t>
      </w:r>
      <w:r w:rsidR="007615C4">
        <w:t xml:space="preserve"> 70 permit program and the five-</w:t>
      </w:r>
      <w:r w:rsidRPr="008B67A4">
        <w:t>year statute of limitations on which the permit program is based.  Th</w:t>
      </w:r>
      <w:r w:rsidR="007615C4">
        <w:t>e retention of records for five</w:t>
      </w:r>
      <w:r w:rsidR="00CC3EBC">
        <w:t xml:space="preserve"> </w:t>
      </w:r>
      <w:r w:rsidRPr="008B67A4">
        <w:t>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B56CE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t>
      </w:r>
      <w:r>
        <w:rPr>
          <w:color w:val="000000"/>
        </w:rPr>
        <w:lastRenderedPageBreak/>
        <w:t>will be safeguarded according to the Agency policies set forth in Title 40, chapter 1, part 2, subpart B - Confidentiality of Business Information</w:t>
      </w:r>
      <w:r w:rsidR="00B52E8A">
        <w:rPr>
          <w:color w:val="000000"/>
        </w:rPr>
        <w:t xml:space="preserve"> </w:t>
      </w:r>
      <w:r w:rsidR="007615C4">
        <w:rPr>
          <w:color w:val="000000"/>
        </w:rPr>
        <w:t xml:space="preserve">(CBI) </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312941" w:rsidRPr="00753051">
        <w:t>pharmaceuticals manufacturing operations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w:t>
      </w:r>
      <w:r w:rsidR="00312941">
        <w:rPr>
          <w:color w:val="000000"/>
        </w:rPr>
        <w:t>and</w:t>
      </w:r>
      <w:r>
        <w:rPr>
          <w:color w:val="000000"/>
        </w:rPr>
        <w:t xml:space="preserve"> </w:t>
      </w:r>
      <w:r w:rsidR="00647468">
        <w:rPr>
          <w:color w:val="000000"/>
        </w:rPr>
        <w:t xml:space="preserve">the </w:t>
      </w:r>
      <w:r>
        <w:rPr>
          <w:color w:val="000000"/>
        </w:rPr>
        <w:t>correspond</w:t>
      </w:r>
      <w:r w:rsidR="00312941">
        <w:rPr>
          <w:color w:val="000000"/>
        </w:rPr>
        <w:t xml:space="preserve">ing </w:t>
      </w:r>
      <w:r>
        <w:rPr>
          <w:color w:val="000000"/>
        </w:rPr>
        <w:t>North American Industry Classification System</w:t>
      </w:r>
      <w:r w:rsidR="00CF2B37">
        <w:rPr>
          <w:color w:val="000000"/>
        </w:rPr>
        <w:t xml:space="preserve"> (NAICS</w:t>
      </w:r>
      <w:r>
        <w:rPr>
          <w:color w:val="000000"/>
        </w:rPr>
        <w:t xml:space="preserve">) </w:t>
      </w:r>
      <w:r w:rsidR="00647468">
        <w:rPr>
          <w:color w:val="000000"/>
        </w:rPr>
        <w:t xml:space="preserve">codes </w:t>
      </w:r>
      <w:r w:rsidR="00312941">
        <w:rPr>
          <w:color w:val="000000"/>
        </w:rPr>
        <w:t>are listed below</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2" w:type="dxa"/>
          <w:right w:w="112" w:type="dxa"/>
        </w:tblCellMar>
        <w:tblLook w:val="0000"/>
      </w:tblPr>
      <w:tblGrid>
        <w:gridCol w:w="5040"/>
        <w:gridCol w:w="2250"/>
        <w:gridCol w:w="2070"/>
      </w:tblGrid>
      <w:tr w:rsidR="00CA4CD6" w:rsidTr="00B90D8F">
        <w:tc>
          <w:tcPr>
            <w:tcW w:w="5040" w:type="dxa"/>
          </w:tcPr>
          <w:p w:rsidR="00CA4CD6" w:rsidRDefault="00CA4CD6" w:rsidP="00CF2B37">
            <w:pPr>
              <w:spacing w:line="120" w:lineRule="exact"/>
              <w:jc w:val="center"/>
              <w:rPr>
                <w:color w:val="000000"/>
              </w:rPr>
            </w:pPr>
          </w:p>
          <w:p w:rsidR="00312634" w:rsidRDefault="00B90D8F" w:rsidP="00647468">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rPr>
              <w:t>Standard (</w:t>
            </w:r>
            <w:r w:rsidR="00D56E19" w:rsidRPr="00753051">
              <w:rPr>
                <w:b/>
                <w:bCs/>
              </w:rPr>
              <w:t xml:space="preserve">40 CFR, </w:t>
            </w:r>
            <w:r w:rsidR="00647468">
              <w:rPr>
                <w:b/>
                <w:bCs/>
              </w:rPr>
              <w:t>P</w:t>
            </w:r>
            <w:r w:rsidR="00D56E19" w:rsidRPr="00753051">
              <w:rPr>
                <w:b/>
                <w:bCs/>
              </w:rPr>
              <w:t xml:space="preserve">art 63, </w:t>
            </w:r>
            <w:r w:rsidR="00647468">
              <w:rPr>
                <w:b/>
                <w:bCs/>
              </w:rPr>
              <w:t>S</w:t>
            </w:r>
            <w:r w:rsidR="00D56E19" w:rsidRPr="00753051">
              <w:rPr>
                <w:b/>
                <w:bCs/>
              </w:rPr>
              <w:t>ubpart GGG</w:t>
            </w:r>
            <w:r>
              <w:rPr>
                <w:b/>
                <w:bCs/>
              </w:rPr>
              <w:t>)</w:t>
            </w:r>
            <w:r w:rsidR="004C701D">
              <w:rPr>
                <w:b/>
                <w:bCs/>
                <w:color w:val="000000"/>
              </w:rPr>
              <w:t xml:space="preserve"> </w:t>
            </w:r>
          </w:p>
        </w:tc>
        <w:tc>
          <w:tcPr>
            <w:tcW w:w="2250" w:type="dxa"/>
          </w:tcPr>
          <w:p w:rsidR="00CA4CD6" w:rsidRDefault="00CA4CD6" w:rsidP="00647468">
            <w:pPr>
              <w:spacing w:line="120" w:lineRule="exact"/>
              <w:jc w:val="center"/>
              <w:rPr>
                <w:b/>
                <w:bCs/>
                <w:color w:val="000000"/>
              </w:rPr>
            </w:pPr>
          </w:p>
          <w:p w:rsidR="00CA4CD6" w:rsidRDefault="00CA4CD6" w:rsidP="00647468">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070" w:type="dxa"/>
          </w:tcPr>
          <w:p w:rsidR="00CA4CD6" w:rsidRDefault="00CA4CD6" w:rsidP="00647468">
            <w:pPr>
              <w:spacing w:line="120" w:lineRule="exact"/>
              <w:jc w:val="center"/>
              <w:rPr>
                <w:b/>
                <w:bCs/>
                <w:color w:val="000000"/>
              </w:rPr>
            </w:pPr>
          </w:p>
          <w:p w:rsidR="00CA4CD6" w:rsidRDefault="00CA4CD6" w:rsidP="00647468">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D56E19" w:rsidTr="00B90D8F">
        <w:tc>
          <w:tcPr>
            <w:tcW w:w="5040" w:type="dxa"/>
          </w:tcPr>
          <w:p w:rsidR="00D56E19" w:rsidRDefault="00D56E19" w:rsidP="004C701D">
            <w:pPr>
              <w:pBdr>
                <w:top w:val="single" w:sz="6" w:space="0" w:color="FFFFFF"/>
                <w:left w:val="single" w:sz="6" w:space="0" w:color="FFFFFF"/>
                <w:bottom w:val="single" w:sz="6" w:space="0" w:color="FFFFFF"/>
                <w:right w:val="single" w:sz="6" w:space="0" w:color="FFFFFF"/>
              </w:pBdr>
              <w:spacing w:after="54"/>
              <w:rPr>
                <w:color w:val="000000"/>
              </w:rPr>
            </w:pPr>
            <w:r w:rsidRPr="00753051">
              <w:t>Pharmaceutical Preparation Manufacturing</w:t>
            </w:r>
          </w:p>
        </w:tc>
        <w:tc>
          <w:tcPr>
            <w:tcW w:w="2250" w:type="dxa"/>
            <w:vAlign w:val="center"/>
          </w:tcPr>
          <w:p w:rsidR="00D56E19" w:rsidRDefault="00D56E19" w:rsidP="00647468">
            <w:pPr>
              <w:pBdr>
                <w:top w:val="single" w:sz="6" w:space="0" w:color="FFFFFF"/>
                <w:left w:val="single" w:sz="6" w:space="0" w:color="FFFFFF"/>
                <w:bottom w:val="single" w:sz="6" w:space="0" w:color="FFFFFF"/>
                <w:right w:val="single" w:sz="6" w:space="0" w:color="FFFFFF"/>
              </w:pBdr>
              <w:spacing w:after="54"/>
              <w:jc w:val="center"/>
              <w:rPr>
                <w:color w:val="000000"/>
              </w:rPr>
            </w:pPr>
            <w:r w:rsidRPr="00D56E19">
              <w:rPr>
                <w:color w:val="000000"/>
              </w:rPr>
              <w:t>2835</w:t>
            </w:r>
            <w:r>
              <w:rPr>
                <w:color w:val="000000"/>
              </w:rPr>
              <w:t xml:space="preserve">, </w:t>
            </w:r>
            <w:r w:rsidRPr="00D56E19">
              <w:rPr>
                <w:color w:val="000000"/>
              </w:rPr>
              <w:t>2834</w:t>
            </w:r>
          </w:p>
        </w:tc>
        <w:tc>
          <w:tcPr>
            <w:tcW w:w="2070" w:type="dxa"/>
            <w:vAlign w:val="center"/>
          </w:tcPr>
          <w:p w:rsidR="00D56E19" w:rsidRDefault="00D56E19" w:rsidP="00647468">
            <w:pPr>
              <w:pBdr>
                <w:top w:val="single" w:sz="6" w:space="0" w:color="FFFFFF"/>
                <w:left w:val="single" w:sz="6" w:space="0" w:color="FFFFFF"/>
                <w:bottom w:val="single" w:sz="6" w:space="0" w:color="FFFFFF"/>
                <w:right w:val="single" w:sz="6" w:space="0" w:color="FFFFFF"/>
              </w:pBdr>
              <w:spacing w:after="54"/>
              <w:jc w:val="center"/>
              <w:rPr>
                <w:color w:val="000000"/>
              </w:rPr>
            </w:pPr>
            <w:r w:rsidRPr="00753051">
              <w:t>325412</w:t>
            </w:r>
          </w:p>
        </w:tc>
      </w:tr>
      <w:tr w:rsidR="00D56E19" w:rsidTr="00B90D8F">
        <w:tc>
          <w:tcPr>
            <w:tcW w:w="5040" w:type="dxa"/>
          </w:tcPr>
          <w:p w:rsidR="00D56E19" w:rsidRDefault="00D56E19">
            <w:pPr>
              <w:pBdr>
                <w:top w:val="single" w:sz="6" w:space="0" w:color="FFFFFF"/>
                <w:left w:val="single" w:sz="6" w:space="0" w:color="FFFFFF"/>
                <w:bottom w:val="single" w:sz="6" w:space="0" w:color="FFFFFF"/>
                <w:right w:val="single" w:sz="6" w:space="0" w:color="FFFFFF"/>
              </w:pBdr>
              <w:spacing w:after="54"/>
              <w:rPr>
                <w:color w:val="000000"/>
              </w:rPr>
            </w:pPr>
            <w:r w:rsidRPr="00753051">
              <w:t>Medicinal and Botanical Manufacturing</w:t>
            </w:r>
          </w:p>
        </w:tc>
        <w:tc>
          <w:tcPr>
            <w:tcW w:w="2250" w:type="dxa"/>
            <w:vAlign w:val="center"/>
          </w:tcPr>
          <w:p w:rsidR="00D56E19" w:rsidRDefault="00D56E19" w:rsidP="00647468">
            <w:pPr>
              <w:pBdr>
                <w:top w:val="single" w:sz="6" w:space="0" w:color="FFFFFF"/>
                <w:left w:val="single" w:sz="6" w:space="0" w:color="FFFFFF"/>
                <w:bottom w:val="single" w:sz="6" w:space="0" w:color="FFFFFF"/>
                <w:right w:val="single" w:sz="6" w:space="0" w:color="FFFFFF"/>
              </w:pBdr>
              <w:spacing w:after="54"/>
              <w:jc w:val="center"/>
              <w:rPr>
                <w:color w:val="000000"/>
              </w:rPr>
            </w:pPr>
            <w:r w:rsidRPr="00D56E19">
              <w:rPr>
                <w:color w:val="000000"/>
              </w:rPr>
              <w:t>2833</w:t>
            </w:r>
          </w:p>
        </w:tc>
        <w:tc>
          <w:tcPr>
            <w:tcW w:w="2070" w:type="dxa"/>
            <w:vAlign w:val="center"/>
          </w:tcPr>
          <w:p w:rsidR="00D56E19" w:rsidRDefault="00D56E19" w:rsidP="00647468">
            <w:pPr>
              <w:pBdr>
                <w:top w:val="single" w:sz="6" w:space="0" w:color="FFFFFF"/>
                <w:left w:val="single" w:sz="6" w:space="0" w:color="FFFFFF"/>
                <w:bottom w:val="single" w:sz="6" w:space="0" w:color="FFFFFF"/>
                <w:right w:val="single" w:sz="6" w:space="0" w:color="FFFFFF"/>
              </w:pBdr>
              <w:spacing w:after="54"/>
              <w:jc w:val="center"/>
              <w:rPr>
                <w:color w:val="000000"/>
              </w:rPr>
            </w:pPr>
            <w:r w:rsidRPr="00753051">
              <w:t>325411</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A4CD6">
        <w:rPr>
          <w:color w:val="FF0000"/>
        </w:rPr>
        <w:t xml:space="preserve"> </w:t>
      </w:r>
      <w:r w:rsidR="00312941" w:rsidRPr="00753051">
        <w:t>NESHAP for Pharmaceuticals Production (40 CFR Part 63, Subpart GGG)</w:t>
      </w:r>
      <w:r w:rsidR="00312941">
        <w:rPr>
          <w:bCs/>
          <w:color w:val="FF0000"/>
        </w:rPr>
        <w:t xml:space="preserve"> </w:t>
      </w:r>
      <w:r w:rsidR="00312941" w:rsidRPr="004C5E95">
        <w:rPr>
          <w:bCs/>
        </w:rPr>
        <w:t>(Renewal)</w:t>
      </w:r>
      <w:r w:rsidR="008B67A4" w:rsidRPr="008B67A4">
        <w:t>.</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120"/>
        <w:gridCol w:w="3240"/>
      </w:tblGrid>
      <w:tr w:rsidR="00A73600" w:rsidRPr="00CF2B37" w:rsidTr="006131B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6131BF" w:rsidRPr="00CF2B37" w:rsidTr="00EF56E2">
        <w:trPr>
          <w:jc w:val="center"/>
        </w:trPr>
        <w:tc>
          <w:tcPr>
            <w:tcW w:w="612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Change in area source status (as applicable)</w:t>
            </w:r>
          </w:p>
        </w:tc>
        <w:tc>
          <w:tcPr>
            <w:tcW w:w="3240" w:type="dxa"/>
            <w:tcBorders>
              <w:top w:val="single" w:sz="7" w:space="0" w:color="000000"/>
              <w:left w:val="single" w:sz="7" w:space="0" w:color="000000"/>
              <w:bottom w:val="single" w:sz="7" w:space="0" w:color="000000"/>
              <w:right w:val="single" w:sz="7" w:space="0" w:color="000000"/>
            </w:tcBorders>
            <w:vAlign w:val="center"/>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 xml:space="preserve">63.1(c)(5) </w:t>
            </w:r>
          </w:p>
        </w:tc>
      </w:tr>
      <w:tr w:rsidR="006131BF" w:rsidRPr="00CF2B37" w:rsidTr="00EF56E2">
        <w:trPr>
          <w:jc w:val="center"/>
        </w:trPr>
        <w:tc>
          <w:tcPr>
            <w:tcW w:w="612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 xml:space="preserve">Application and notification of construction/reconstruction </w:t>
            </w:r>
          </w:p>
        </w:tc>
        <w:tc>
          <w:tcPr>
            <w:tcW w:w="324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 xml:space="preserve">63.5(b)(4), 63.5(d), 63.1260(c) </w:t>
            </w:r>
          </w:p>
        </w:tc>
      </w:tr>
      <w:tr w:rsidR="006131BF" w:rsidRPr="00CF2B37" w:rsidTr="00EF56E2">
        <w:trPr>
          <w:jc w:val="center"/>
        </w:trPr>
        <w:tc>
          <w:tcPr>
            <w:tcW w:w="612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Notification of applicability</w:t>
            </w:r>
          </w:p>
        </w:tc>
        <w:tc>
          <w:tcPr>
            <w:tcW w:w="324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63.9(a), 63.1260(b)</w:t>
            </w:r>
          </w:p>
        </w:tc>
      </w:tr>
      <w:tr w:rsidR="006131BF" w:rsidRPr="00CF2B37" w:rsidTr="00EF56E2">
        <w:trPr>
          <w:jc w:val="center"/>
        </w:trPr>
        <w:tc>
          <w:tcPr>
            <w:tcW w:w="612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Notification of initial startup</w:t>
            </w:r>
          </w:p>
        </w:tc>
        <w:tc>
          <w:tcPr>
            <w:tcW w:w="324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63.9(b), 63.9(d), 63.1260(b)</w:t>
            </w:r>
          </w:p>
        </w:tc>
      </w:tr>
      <w:tr w:rsidR="006131BF" w:rsidRPr="00CF2B37" w:rsidTr="00EF56E2">
        <w:trPr>
          <w:jc w:val="center"/>
        </w:trPr>
        <w:tc>
          <w:tcPr>
            <w:tcW w:w="612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Notification of initial performance test, submittal of test plan, request of waiver of performance test</w:t>
            </w:r>
          </w:p>
        </w:tc>
        <w:tc>
          <w:tcPr>
            <w:tcW w:w="324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63.7(b)(1-2), 63.7(c), 63.7(f), 63.7(h), 63.9(e), 63.1257(b)(8), 63.1260(1)</w:t>
            </w:r>
          </w:p>
        </w:tc>
      </w:tr>
      <w:tr w:rsidR="006131BF" w:rsidRPr="00CF2B37" w:rsidTr="00EF56E2">
        <w:trPr>
          <w:jc w:val="center"/>
        </w:trPr>
        <w:tc>
          <w:tcPr>
            <w:tcW w:w="612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Notification of delay (reschedule) of initial performance test</w:t>
            </w:r>
          </w:p>
        </w:tc>
        <w:tc>
          <w:tcPr>
            <w:tcW w:w="3240" w:type="dxa"/>
            <w:tcBorders>
              <w:top w:val="single" w:sz="7" w:space="0" w:color="000000"/>
              <w:left w:val="single" w:sz="7" w:space="0" w:color="000000"/>
              <w:bottom w:val="single" w:sz="7" w:space="0" w:color="000000"/>
              <w:right w:val="single" w:sz="7" w:space="0" w:color="000000"/>
            </w:tcBorders>
            <w:vAlign w:val="center"/>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63.7(b)(2)</w:t>
            </w:r>
          </w:p>
        </w:tc>
      </w:tr>
      <w:tr w:rsidR="006131BF" w:rsidRPr="00CF2B37" w:rsidTr="00EF56E2">
        <w:trPr>
          <w:jc w:val="center"/>
        </w:trPr>
        <w:tc>
          <w:tcPr>
            <w:tcW w:w="612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lastRenderedPageBreak/>
              <w:t>Notification of CMS performance evaluation and results</w:t>
            </w:r>
          </w:p>
        </w:tc>
        <w:tc>
          <w:tcPr>
            <w:tcW w:w="324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63.8(e)(2), 63.9(e)(5), 63.9(g)(1), 63.10(e)(2), 63.1260(d)</w:t>
            </w:r>
          </w:p>
        </w:tc>
      </w:tr>
      <w:tr w:rsidR="006131BF" w:rsidRPr="00CF2B37" w:rsidTr="00EF56E2">
        <w:trPr>
          <w:jc w:val="center"/>
        </w:trPr>
        <w:tc>
          <w:tcPr>
            <w:tcW w:w="612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Notification of continue use of alternative to relative accuracy testing has been exceeded</w:t>
            </w:r>
          </w:p>
        </w:tc>
        <w:tc>
          <w:tcPr>
            <w:tcW w:w="324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63.9(g)(3), 63.1260(d)</w:t>
            </w:r>
          </w:p>
        </w:tc>
      </w:tr>
      <w:tr w:rsidR="006131BF" w:rsidRPr="00CF2B37" w:rsidTr="00EF56E2">
        <w:trPr>
          <w:jc w:val="center"/>
        </w:trPr>
        <w:tc>
          <w:tcPr>
            <w:tcW w:w="612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Notification of compliance status report (NOCSR)</w:t>
            </w:r>
          </w:p>
        </w:tc>
        <w:tc>
          <w:tcPr>
            <w:tcW w:w="324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63.9(h), 63.1260(f)</w:t>
            </w:r>
          </w:p>
        </w:tc>
      </w:tr>
      <w:tr w:rsidR="006131BF" w:rsidRPr="00CF2B37" w:rsidTr="00EF56E2">
        <w:trPr>
          <w:jc w:val="center"/>
        </w:trPr>
        <w:tc>
          <w:tcPr>
            <w:tcW w:w="612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Initial performance test results</w:t>
            </w:r>
          </w:p>
        </w:tc>
        <w:tc>
          <w:tcPr>
            <w:tcW w:w="324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63.10(d)(2), 63.7(g) 63.1260(f)</w:t>
            </w:r>
          </w:p>
        </w:tc>
      </w:tr>
      <w:tr w:rsidR="006131BF" w:rsidRPr="00CF2B37" w:rsidTr="00EF56E2">
        <w:trPr>
          <w:jc w:val="center"/>
        </w:trPr>
        <w:tc>
          <w:tcPr>
            <w:tcW w:w="612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Request for compliance extension and progress reports for compliance extension (as applicable)</w:t>
            </w:r>
          </w:p>
        </w:tc>
        <w:tc>
          <w:tcPr>
            <w:tcW w:w="324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63.10(d)(4), 63.1250(f)(6), 63.1260(m)</w:t>
            </w:r>
          </w:p>
        </w:tc>
      </w:tr>
      <w:tr w:rsidR="006131BF" w:rsidRPr="00CF2B37" w:rsidTr="00EF56E2">
        <w:trPr>
          <w:jc w:val="center"/>
        </w:trPr>
        <w:tc>
          <w:tcPr>
            <w:tcW w:w="612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 xml:space="preserve">Reports of  malfunctions </w:t>
            </w:r>
          </w:p>
        </w:tc>
        <w:tc>
          <w:tcPr>
            <w:tcW w:w="324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63.1260(i)</w:t>
            </w:r>
          </w:p>
        </w:tc>
      </w:tr>
      <w:tr w:rsidR="006131BF" w:rsidRPr="00CF2B37" w:rsidTr="00EF56E2">
        <w:trPr>
          <w:jc w:val="center"/>
        </w:trPr>
        <w:tc>
          <w:tcPr>
            <w:tcW w:w="612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Pre-compliance report (as applicable)</w:t>
            </w:r>
          </w:p>
        </w:tc>
        <w:tc>
          <w:tcPr>
            <w:tcW w:w="324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63.1260(e)</w:t>
            </w:r>
          </w:p>
        </w:tc>
      </w:tr>
      <w:tr w:rsidR="006131BF" w:rsidRPr="00CF2B37" w:rsidTr="00EF56E2">
        <w:trPr>
          <w:jc w:val="center"/>
        </w:trPr>
        <w:tc>
          <w:tcPr>
            <w:tcW w:w="612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Notification of process change</w:t>
            </w:r>
          </w:p>
        </w:tc>
        <w:tc>
          <w:tcPr>
            <w:tcW w:w="324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63.1260(h)</w:t>
            </w:r>
          </w:p>
        </w:tc>
      </w:tr>
      <w:tr w:rsidR="006131BF" w:rsidRPr="00CF2B37" w:rsidTr="00EF56E2">
        <w:trPr>
          <w:jc w:val="center"/>
        </w:trPr>
        <w:tc>
          <w:tcPr>
            <w:tcW w:w="612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Periodic reports</w:t>
            </w:r>
          </w:p>
        </w:tc>
        <w:tc>
          <w:tcPr>
            <w:tcW w:w="324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63.1260(g)</w:t>
            </w:r>
          </w:p>
        </w:tc>
      </w:tr>
      <w:tr w:rsidR="006131BF" w:rsidRPr="00CF2B37" w:rsidTr="00EF56E2">
        <w:trPr>
          <w:jc w:val="center"/>
        </w:trPr>
        <w:tc>
          <w:tcPr>
            <w:tcW w:w="612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Reports of leak detection and repair (LDAR)</w:t>
            </w:r>
          </w:p>
        </w:tc>
        <w:tc>
          <w:tcPr>
            <w:tcW w:w="324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63.1260(j), 63.1255(h)</w:t>
            </w:r>
          </w:p>
        </w:tc>
      </w:tr>
      <w:tr w:rsidR="006131BF" w:rsidRPr="00CF2B37" w:rsidTr="00EF56E2">
        <w:trPr>
          <w:jc w:val="center"/>
        </w:trPr>
        <w:tc>
          <w:tcPr>
            <w:tcW w:w="612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Reports of emissions averaging</w:t>
            </w:r>
          </w:p>
        </w:tc>
        <w:tc>
          <w:tcPr>
            <w:tcW w:w="3240" w:type="dxa"/>
            <w:tcBorders>
              <w:top w:val="single" w:sz="7" w:space="0" w:color="000000"/>
              <w:left w:val="single" w:sz="7" w:space="0" w:color="000000"/>
              <w:bottom w:val="single" w:sz="7" w:space="0" w:color="000000"/>
              <w:right w:val="single" w:sz="7" w:space="0" w:color="000000"/>
            </w:tcBorders>
            <w:vAlign w:val="center"/>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63.1260(k)</w:t>
            </w:r>
          </w:p>
        </w:tc>
      </w:tr>
      <w:tr w:rsidR="006131BF" w:rsidRPr="00CF2B37" w:rsidTr="00EF56E2">
        <w:trPr>
          <w:jc w:val="center"/>
        </w:trPr>
        <w:tc>
          <w:tcPr>
            <w:tcW w:w="612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Reports of malfunctions that result in an exceedances of the standard for the purpose of affirmative defense</w:t>
            </w:r>
          </w:p>
        </w:tc>
        <w:tc>
          <w:tcPr>
            <w:tcW w:w="3240" w:type="dxa"/>
            <w:tcBorders>
              <w:top w:val="single" w:sz="7" w:space="0" w:color="000000"/>
              <w:left w:val="single" w:sz="7" w:space="0" w:color="000000"/>
              <w:bottom w:val="single" w:sz="7" w:space="0" w:color="000000"/>
              <w:right w:val="single" w:sz="7" w:space="0" w:color="000000"/>
            </w:tcBorders>
            <w:vAlign w:val="center"/>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63.1250(g)(4)</w:t>
            </w:r>
          </w:p>
        </w:tc>
      </w:tr>
    </w:tbl>
    <w:p w:rsidR="00372D0B" w:rsidRDefault="00372D0B">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210"/>
        <w:gridCol w:w="3150"/>
      </w:tblGrid>
      <w:tr w:rsidR="00A73600" w:rsidRPr="00CF2B37" w:rsidTr="006131B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6131BF" w:rsidRPr="00CF2B37" w:rsidTr="00EF56E2">
        <w:trPr>
          <w:jc w:val="center"/>
        </w:trPr>
        <w:tc>
          <w:tcPr>
            <w:tcW w:w="621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Recordkeeping requirements</w:t>
            </w:r>
          </w:p>
        </w:tc>
        <w:tc>
          <w:tcPr>
            <w:tcW w:w="3150" w:type="dxa"/>
            <w:tcBorders>
              <w:top w:val="single" w:sz="7" w:space="0" w:color="000000"/>
              <w:left w:val="single" w:sz="7" w:space="0" w:color="000000"/>
              <w:bottom w:val="single" w:sz="7" w:space="0" w:color="000000"/>
              <w:right w:val="single" w:sz="7" w:space="0" w:color="000000"/>
            </w:tcBorders>
            <w:vAlign w:val="center"/>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63.10(a), 63.1259(a)</w:t>
            </w:r>
          </w:p>
        </w:tc>
      </w:tr>
      <w:tr w:rsidR="006131BF" w:rsidRPr="00CF2B37" w:rsidTr="00EF56E2">
        <w:trPr>
          <w:jc w:val="center"/>
        </w:trPr>
        <w:tc>
          <w:tcPr>
            <w:tcW w:w="621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All reports and notifications</w:t>
            </w:r>
          </w:p>
        </w:tc>
        <w:tc>
          <w:tcPr>
            <w:tcW w:w="3150" w:type="dxa"/>
            <w:tcBorders>
              <w:top w:val="single" w:sz="7" w:space="0" w:color="000000"/>
              <w:left w:val="single" w:sz="7" w:space="0" w:color="000000"/>
              <w:bottom w:val="single" w:sz="7" w:space="0" w:color="000000"/>
              <w:right w:val="single" w:sz="7" w:space="0" w:color="000000"/>
            </w:tcBorders>
            <w:vAlign w:val="center"/>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 xml:space="preserve">63.10(b)(1), 63.1259(a)(1)  </w:t>
            </w:r>
          </w:p>
        </w:tc>
      </w:tr>
      <w:tr w:rsidR="006131BF" w:rsidRPr="00CF2B37" w:rsidTr="00EF56E2">
        <w:trPr>
          <w:jc w:val="center"/>
        </w:trPr>
        <w:tc>
          <w:tcPr>
            <w:tcW w:w="621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Record of applicability</w:t>
            </w:r>
          </w:p>
        </w:tc>
        <w:tc>
          <w:tcPr>
            <w:tcW w:w="3150" w:type="dxa"/>
            <w:tcBorders>
              <w:top w:val="single" w:sz="7" w:space="0" w:color="000000"/>
              <w:left w:val="single" w:sz="7" w:space="0" w:color="000000"/>
              <w:bottom w:val="single" w:sz="7" w:space="0" w:color="000000"/>
              <w:right w:val="single" w:sz="7" w:space="0" w:color="000000"/>
            </w:tcBorders>
            <w:vAlign w:val="center"/>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63.10(b)(3), 63.1259(a)(2)</w:t>
            </w:r>
          </w:p>
        </w:tc>
      </w:tr>
      <w:tr w:rsidR="006131BF" w:rsidRPr="00CF2B37" w:rsidTr="00EF56E2">
        <w:trPr>
          <w:jc w:val="center"/>
        </w:trPr>
        <w:tc>
          <w:tcPr>
            <w:tcW w:w="621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Records of sources with continuous monitoring systems (CMS)</w:t>
            </w:r>
          </w:p>
        </w:tc>
        <w:tc>
          <w:tcPr>
            <w:tcW w:w="3150" w:type="dxa"/>
            <w:tcBorders>
              <w:top w:val="single" w:sz="7" w:space="0" w:color="000000"/>
              <w:left w:val="single" w:sz="7" w:space="0" w:color="000000"/>
              <w:bottom w:val="single" w:sz="7" w:space="0" w:color="000000"/>
              <w:right w:val="single" w:sz="7" w:space="0" w:color="000000"/>
            </w:tcBorders>
            <w:vAlign w:val="center"/>
          </w:tcPr>
          <w:p w:rsidR="006131BF" w:rsidRPr="00CF2B37" w:rsidRDefault="006131BF" w:rsidP="00EF56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63.10(c)(1-14),</w:t>
            </w:r>
            <w:r w:rsidR="00EF56E2">
              <w:t xml:space="preserve"> </w:t>
            </w:r>
            <w:r w:rsidRPr="00753051">
              <w:t>63.1259(a)(4)</w:t>
            </w:r>
          </w:p>
        </w:tc>
      </w:tr>
      <w:tr w:rsidR="006131BF" w:rsidRPr="00CF2B37" w:rsidTr="00EF56E2">
        <w:trPr>
          <w:jc w:val="center"/>
        </w:trPr>
        <w:tc>
          <w:tcPr>
            <w:tcW w:w="621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Application for approval of construction/reconstruction</w:t>
            </w:r>
          </w:p>
        </w:tc>
        <w:tc>
          <w:tcPr>
            <w:tcW w:w="3150" w:type="dxa"/>
            <w:tcBorders>
              <w:top w:val="single" w:sz="7" w:space="0" w:color="000000"/>
              <w:left w:val="single" w:sz="7" w:space="0" w:color="000000"/>
              <w:bottom w:val="single" w:sz="7" w:space="0" w:color="000000"/>
              <w:right w:val="single" w:sz="7" w:space="0" w:color="000000"/>
            </w:tcBorders>
            <w:vAlign w:val="center"/>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63.1259(a)(5)</w:t>
            </w:r>
          </w:p>
        </w:tc>
      </w:tr>
      <w:tr w:rsidR="006131BF" w:rsidRPr="00CF2B37" w:rsidTr="00EF56E2">
        <w:trPr>
          <w:jc w:val="center"/>
        </w:trPr>
        <w:tc>
          <w:tcPr>
            <w:tcW w:w="621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Records of equipment operation</w:t>
            </w:r>
          </w:p>
        </w:tc>
        <w:tc>
          <w:tcPr>
            <w:tcW w:w="3150" w:type="dxa"/>
            <w:tcBorders>
              <w:top w:val="single" w:sz="7" w:space="0" w:color="000000"/>
              <w:left w:val="single" w:sz="7" w:space="0" w:color="000000"/>
              <w:bottom w:val="single" w:sz="7" w:space="0" w:color="000000"/>
              <w:right w:val="single" w:sz="7" w:space="0" w:color="000000"/>
            </w:tcBorders>
            <w:vAlign w:val="center"/>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63.1259(b)</w:t>
            </w:r>
          </w:p>
        </w:tc>
      </w:tr>
      <w:tr w:rsidR="006131BF" w:rsidRPr="00CF2B37" w:rsidTr="00EF56E2">
        <w:trPr>
          <w:jc w:val="center"/>
        </w:trPr>
        <w:tc>
          <w:tcPr>
            <w:tcW w:w="621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Records of operating scenarios</w:t>
            </w:r>
          </w:p>
        </w:tc>
        <w:tc>
          <w:tcPr>
            <w:tcW w:w="3150" w:type="dxa"/>
            <w:tcBorders>
              <w:top w:val="single" w:sz="7" w:space="0" w:color="000000"/>
              <w:left w:val="single" w:sz="7" w:space="0" w:color="000000"/>
              <w:bottom w:val="single" w:sz="7" w:space="0" w:color="000000"/>
              <w:right w:val="single" w:sz="7" w:space="0" w:color="000000"/>
            </w:tcBorders>
            <w:vAlign w:val="center"/>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63.1259(c)</w:t>
            </w:r>
          </w:p>
        </w:tc>
      </w:tr>
      <w:tr w:rsidR="006131BF" w:rsidRPr="00CF2B37" w:rsidTr="00EF56E2">
        <w:trPr>
          <w:jc w:val="center"/>
        </w:trPr>
        <w:tc>
          <w:tcPr>
            <w:tcW w:w="621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Records of LDAR programs</w:t>
            </w:r>
          </w:p>
        </w:tc>
        <w:tc>
          <w:tcPr>
            <w:tcW w:w="3150" w:type="dxa"/>
            <w:tcBorders>
              <w:top w:val="single" w:sz="7" w:space="0" w:color="000000"/>
              <w:left w:val="single" w:sz="7" w:space="0" w:color="000000"/>
              <w:bottom w:val="single" w:sz="7" w:space="0" w:color="000000"/>
              <w:right w:val="single" w:sz="7" w:space="0" w:color="000000"/>
            </w:tcBorders>
            <w:vAlign w:val="center"/>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63.1259(d), 63.1255(g)</w:t>
            </w:r>
          </w:p>
        </w:tc>
      </w:tr>
      <w:tr w:rsidR="006131BF" w:rsidRPr="00CF2B37" w:rsidTr="00EF56E2">
        <w:trPr>
          <w:jc w:val="center"/>
        </w:trPr>
        <w:tc>
          <w:tcPr>
            <w:tcW w:w="621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Records of emissions averaging</w:t>
            </w:r>
          </w:p>
        </w:tc>
        <w:tc>
          <w:tcPr>
            <w:tcW w:w="3150" w:type="dxa"/>
            <w:tcBorders>
              <w:top w:val="single" w:sz="7" w:space="0" w:color="000000"/>
              <w:left w:val="single" w:sz="7" w:space="0" w:color="000000"/>
              <w:bottom w:val="single" w:sz="7" w:space="0" w:color="000000"/>
              <w:right w:val="single" w:sz="7" w:space="0" w:color="000000"/>
            </w:tcBorders>
            <w:vAlign w:val="center"/>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63.1259(e)</w:t>
            </w:r>
          </w:p>
        </w:tc>
      </w:tr>
      <w:tr w:rsidR="006131BF" w:rsidRPr="00CF2B37" w:rsidTr="00EF56E2">
        <w:trPr>
          <w:jc w:val="center"/>
        </w:trPr>
        <w:tc>
          <w:tcPr>
            <w:tcW w:w="621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Records of delay of repair</w:t>
            </w:r>
          </w:p>
        </w:tc>
        <w:tc>
          <w:tcPr>
            <w:tcW w:w="3150" w:type="dxa"/>
            <w:tcBorders>
              <w:top w:val="single" w:sz="7" w:space="0" w:color="000000"/>
              <w:left w:val="single" w:sz="7" w:space="0" w:color="000000"/>
              <w:bottom w:val="single" w:sz="7" w:space="0" w:color="000000"/>
              <w:right w:val="single" w:sz="7" w:space="0" w:color="000000"/>
            </w:tcBorders>
            <w:vAlign w:val="center"/>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63.1259(f)</w:t>
            </w:r>
          </w:p>
        </w:tc>
      </w:tr>
      <w:tr w:rsidR="006131BF" w:rsidRPr="00CF2B37" w:rsidTr="00EF56E2">
        <w:trPr>
          <w:jc w:val="center"/>
        </w:trPr>
        <w:tc>
          <w:tcPr>
            <w:tcW w:w="621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Records of wastewater stream or residual transfer</w:t>
            </w:r>
          </w:p>
        </w:tc>
        <w:tc>
          <w:tcPr>
            <w:tcW w:w="3150" w:type="dxa"/>
            <w:tcBorders>
              <w:top w:val="single" w:sz="7" w:space="0" w:color="000000"/>
              <w:left w:val="single" w:sz="7" w:space="0" w:color="000000"/>
              <w:bottom w:val="single" w:sz="7" w:space="0" w:color="000000"/>
              <w:right w:val="single" w:sz="7" w:space="0" w:color="000000"/>
            </w:tcBorders>
            <w:vAlign w:val="center"/>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63.1259(g)</w:t>
            </w:r>
          </w:p>
        </w:tc>
      </w:tr>
      <w:tr w:rsidR="006131BF" w:rsidRPr="00CF2B37" w:rsidTr="00EF56E2">
        <w:trPr>
          <w:jc w:val="center"/>
        </w:trPr>
        <w:tc>
          <w:tcPr>
            <w:tcW w:w="621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lastRenderedPageBreak/>
              <w:t>Records of extensions</w:t>
            </w:r>
          </w:p>
        </w:tc>
        <w:tc>
          <w:tcPr>
            <w:tcW w:w="3150" w:type="dxa"/>
            <w:tcBorders>
              <w:top w:val="single" w:sz="7" w:space="0" w:color="000000"/>
              <w:left w:val="single" w:sz="7" w:space="0" w:color="000000"/>
              <w:bottom w:val="single" w:sz="7" w:space="0" w:color="000000"/>
              <w:right w:val="single" w:sz="7" w:space="0" w:color="000000"/>
            </w:tcBorders>
            <w:vAlign w:val="center"/>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63.1259(h)</w:t>
            </w:r>
          </w:p>
        </w:tc>
      </w:tr>
      <w:tr w:rsidR="006131BF" w:rsidRPr="00CF2B37" w:rsidTr="00EF56E2">
        <w:trPr>
          <w:jc w:val="center"/>
        </w:trPr>
        <w:tc>
          <w:tcPr>
            <w:tcW w:w="621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Records of inspections</w:t>
            </w:r>
          </w:p>
        </w:tc>
        <w:tc>
          <w:tcPr>
            <w:tcW w:w="3150" w:type="dxa"/>
            <w:tcBorders>
              <w:top w:val="single" w:sz="7" w:space="0" w:color="000000"/>
              <w:left w:val="single" w:sz="7" w:space="0" w:color="000000"/>
              <w:bottom w:val="single" w:sz="7" w:space="0" w:color="000000"/>
              <w:right w:val="single" w:sz="7" w:space="0" w:color="000000"/>
            </w:tcBorders>
            <w:vAlign w:val="center"/>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63.1259(i)</w:t>
            </w:r>
          </w:p>
        </w:tc>
      </w:tr>
      <w:tr w:rsidR="006131BF" w:rsidRPr="00CF2B37" w:rsidTr="00EF56E2">
        <w:trPr>
          <w:jc w:val="center"/>
        </w:trPr>
        <w:tc>
          <w:tcPr>
            <w:tcW w:w="6210" w:type="dxa"/>
            <w:tcBorders>
              <w:top w:val="single" w:sz="7" w:space="0" w:color="000000"/>
              <w:left w:val="single" w:sz="7" w:space="0" w:color="000000"/>
              <w:bottom w:val="single" w:sz="7" w:space="0" w:color="000000"/>
              <w:right w:val="single" w:sz="7" w:space="0" w:color="000000"/>
            </w:tcBorders>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Records should be retained for 5 years</w:t>
            </w:r>
          </w:p>
        </w:tc>
        <w:tc>
          <w:tcPr>
            <w:tcW w:w="3150" w:type="dxa"/>
            <w:tcBorders>
              <w:top w:val="single" w:sz="7" w:space="0" w:color="000000"/>
              <w:left w:val="single" w:sz="7" w:space="0" w:color="000000"/>
              <w:bottom w:val="single" w:sz="7" w:space="0" w:color="000000"/>
              <w:right w:val="single" w:sz="7" w:space="0" w:color="000000"/>
            </w:tcBorders>
            <w:vAlign w:val="center"/>
          </w:tcPr>
          <w:p w:rsidR="006131BF" w:rsidRPr="00CF2B37" w:rsidRDefault="006131BF">
            <w:pPr>
              <w:pBdr>
                <w:top w:val="single" w:sz="6" w:space="0" w:color="FFFFFF"/>
                <w:left w:val="single" w:sz="6" w:space="0" w:color="FFFFFF"/>
                <w:bottom w:val="single" w:sz="6" w:space="0" w:color="FFFFFF"/>
                <w:right w:val="single" w:sz="6" w:space="0" w:color="FFFFFF"/>
              </w:pBdr>
              <w:spacing w:after="58"/>
            </w:pPr>
            <w:r w:rsidRPr="00753051">
              <w:t>63.10(b)(1), 63.1259(a)(1)</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reporting systems are still not widely used.  At this time, it is estimated that approximately </w:t>
      </w:r>
      <w:r w:rsidR="008B67A4" w:rsidRPr="008B67A4">
        <w:t>20</w:t>
      </w:r>
      <w:r w:rsidRPr="00CF2B37">
        <w:rPr>
          <w:color w:val="FF0000"/>
        </w:rPr>
        <w:t xml:space="preserve"> </w:t>
      </w:r>
      <w:r>
        <w:rPr>
          <w:color w:val="000000"/>
        </w:rPr>
        <w:t>percent of the respon</w:t>
      </w:r>
      <w:r w:rsidR="00630300">
        <w:rPr>
          <w:color w:val="000000"/>
        </w:rPr>
        <w:t>dents use electronic reporting.</w:t>
      </w:r>
    </w:p>
    <w:p w:rsidR="00041BA9" w:rsidRDefault="00041BA9">
      <w:pPr>
        <w:pBdr>
          <w:top w:val="single" w:sz="6" w:space="0" w:color="FFFFFF"/>
          <w:left w:val="single" w:sz="6" w:space="0" w:color="FFFFFF"/>
          <w:bottom w:val="single" w:sz="6" w:space="0" w:color="FFFFFF"/>
          <w:right w:val="single" w:sz="6" w:space="0" w:color="FFFFFF"/>
        </w:pBdr>
        <w:ind w:firstLine="720"/>
        <w:rPr>
          <w:color w:val="000000"/>
        </w:rPr>
      </w:pPr>
    </w:p>
    <w:p w:rsidR="00041BA9" w:rsidRPr="00753051" w:rsidRDefault="00041BA9" w:rsidP="00041BA9">
      <w:pPr>
        <w:pBdr>
          <w:top w:val="single" w:sz="6" w:space="0" w:color="FFFFFF"/>
          <w:left w:val="single" w:sz="6" w:space="0" w:color="FFFFFF"/>
          <w:bottom w:val="single" w:sz="6" w:space="0" w:color="FFFFFF"/>
          <w:right w:val="single" w:sz="6" w:space="0" w:color="FFFFFF"/>
        </w:pBdr>
        <w:ind w:firstLine="720"/>
      </w:pPr>
      <w:r w:rsidRPr="00753051">
        <w:t>The amendments to the NESHAP require that any performance tests performed after December 31, 2011 be submitted electronically to EPA’s Central Data Exchange by using the Electronic Reporting Tool (ERT) for test methods that are compatible with ERT.  This new requirement to submit the data to the ERT is in addition to the other existing submission requirements for this data.</w:t>
      </w:r>
      <w:r w:rsidR="005F2F34">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rsidTr="00BD6914">
        <w:trPr>
          <w:trHeight w:val="343"/>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5F2F34">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005F2F34">
              <w:rPr>
                <w:color w:val="000000"/>
              </w:rPr>
              <w:t>monitoring devices</w:t>
            </w:r>
            <w:r w:rsidR="008B67A4" w:rsidRPr="008B67A4">
              <w:t>.</w:t>
            </w:r>
            <w:r w:rsidRPr="00B16C07">
              <w:rPr>
                <w:color w:val="FF0000"/>
              </w:rPr>
              <w:t xml:space="preserve">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324FE6" w:rsidRPr="00753051">
              <w:t>1, 2, 3, 4, 18, 25, and 26</w:t>
            </w:r>
            <w:r>
              <w:rPr>
                <w:color w:val="FF0000"/>
              </w:rPr>
              <w:t xml:space="preserve"> </w:t>
            </w:r>
            <w:r>
              <w:rPr>
                <w:color w:val="000000"/>
              </w:rPr>
              <w:t>test,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lastRenderedPageBreak/>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C3EBC" w:rsidRDefault="00CC3EBC" w:rsidP="00B56CE6">
      <w:pPr>
        <w:pBdr>
          <w:top w:val="single" w:sz="6" w:space="0" w:color="FFFFFF"/>
          <w:left w:val="single" w:sz="6" w:space="0" w:color="FFFFFF"/>
          <w:bottom w:val="single" w:sz="6" w:space="0" w:color="FFFFFF"/>
          <w:right w:val="single" w:sz="6" w:space="0" w:color="FFFFFF"/>
        </w:pBdr>
        <w:ind w:firstLine="720"/>
      </w:pPr>
    </w:p>
    <w:p w:rsidR="00606DEF" w:rsidRDefault="00CF2B37" w:rsidP="00B56CE6">
      <w:pPr>
        <w:pBdr>
          <w:top w:val="single" w:sz="6" w:space="0" w:color="FFFFFF"/>
          <w:left w:val="single" w:sz="6" w:space="0" w:color="FFFFFF"/>
          <w:bottom w:val="single" w:sz="6" w:space="0" w:color="FFFFFF"/>
          <w:right w:val="single" w:sz="6" w:space="0" w:color="FFFFFF"/>
        </w:pBdr>
        <w:ind w:firstLine="720"/>
      </w:pPr>
      <w:r w:rsidRPr="00D54037">
        <w:t xml:space="preserve">Currently sources are using monitoring and reporting equipment that provide parameter data in an automated way </w:t>
      </w:r>
      <w:r w:rsidR="00BD6914">
        <w:t>(</w:t>
      </w:r>
      <w:r w:rsidRPr="00D54037">
        <w:t>e.g., continuous parameter monitoring system</w:t>
      </w:r>
      <w:r w:rsidR="00BD6914">
        <w:t>)</w:t>
      </w:r>
      <w:r w:rsidRPr="00D54037">
        <w:t xml:space="preserve">.  Although personnel at the source still need to evaluate the data, this type of monitoring equipment has significantly reduced the burden associated with monitoring and recordkeeping. </w:t>
      </w:r>
    </w:p>
    <w:p w:rsidR="0044053C" w:rsidRDefault="0044053C" w:rsidP="00CF2B37">
      <w:pPr>
        <w:pBdr>
          <w:top w:val="single" w:sz="6" w:space="0" w:color="FFFFFF"/>
          <w:left w:val="single" w:sz="6" w:space="0" w:color="FFFFFF"/>
          <w:bottom w:val="single" w:sz="6" w:space="0" w:color="FFFFFF"/>
          <w:right w:val="single" w:sz="6" w:space="0" w:color="FFFFFF"/>
        </w:pBdr>
        <w:ind w:firstLine="720"/>
      </w:pPr>
    </w:p>
    <w:p w:rsidR="0044053C" w:rsidRPr="00753051" w:rsidRDefault="0044053C" w:rsidP="0044053C">
      <w:pPr>
        <w:ind w:firstLine="720"/>
      </w:pPr>
      <w:r w:rsidRPr="00753051">
        <w:t xml:space="preserve">EPA is including in Table 3 (located at the end of this supporting statement) an estimate of the burden associated with performing an affirmative defense.  </w:t>
      </w:r>
      <w:r w:rsidR="00CC3EBC">
        <w:t xml:space="preserve">The </w:t>
      </w:r>
      <w:r w:rsidRPr="00753051">
        <w:t xml:space="preserve">EPA is providing this as an illustrative example of the potential additional administrative burden a source may incur to assert an </w:t>
      </w:r>
      <w:r w:rsidR="00CC3EBC">
        <w:t>“</w:t>
      </w:r>
      <w:r w:rsidRPr="00753051">
        <w:t>Affirmative Defense</w:t>
      </w:r>
      <w:r w:rsidR="00CC3EBC">
        <w:t>”</w:t>
      </w:r>
      <w:r w:rsidRPr="00753051">
        <w:t xml:space="preserve"> in response to an action to enforce the standards set forth in the applicable subpart.  </w:t>
      </w:r>
    </w:p>
    <w:p w:rsidR="0044053C" w:rsidRPr="00753051" w:rsidRDefault="0044053C" w:rsidP="0044053C">
      <w:pPr>
        <w:ind w:firstLine="720"/>
      </w:pPr>
    </w:p>
    <w:p w:rsidR="0044053C" w:rsidRPr="00753051" w:rsidRDefault="0044053C" w:rsidP="0044053C">
      <w:pPr>
        <w:ind w:firstLine="720"/>
      </w:pPr>
      <w:r w:rsidRPr="00753051">
        <w:t xml:space="preserve">This illustrative estimate is not considered a duplicate estimate of cost under the General Duty to Minimize Emissions clause under 63.6(e)(1)(i), which states:  “At all times, the owner and operator must operate and maintain any affected source, including associated air pollution control equipment and monitoring equipment, in a manner consistent with safety and good air pollution control practices for minimizing emissions.  Determining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p>
    <w:p w:rsidR="0044053C" w:rsidRPr="00753051" w:rsidRDefault="0044053C" w:rsidP="0044053C">
      <w:pPr>
        <w:ind w:firstLine="720"/>
      </w:pPr>
    </w:p>
    <w:p w:rsidR="0044053C" w:rsidRPr="00753051" w:rsidRDefault="0044053C" w:rsidP="0044053C">
      <w:pPr>
        <w:ind w:firstLine="720"/>
      </w:pPr>
      <w:r w:rsidRPr="00753051">
        <w:t>To provide the public with an estimate of the relative magnitude of the burden associated with an assertion of the affirmative defense position adopted by a source, EPA estimates the costs of the notification, recordkeeping and reporting requirements associated with the assertion of the affirmative defense</w:t>
      </w:r>
      <w:r w:rsidR="005F2F34">
        <w:t xml:space="preserve"> in this ICR</w:t>
      </w:r>
      <w:r w:rsidRPr="00753051">
        <w:t>.  EPA’s estimate for the required notification, reports and records, including the root cause analysis, associated with a single incident totals approximately $3,</w:t>
      </w:r>
      <w:r w:rsidR="005F2F34">
        <w:t>298</w:t>
      </w:r>
      <w:r w:rsidRPr="00753051">
        <w:t xml:space="preserve"> and is based on the time and effort required of a source to review relevant data, interview plant employees, and document the events surrounding a malfunction that has caused an exceedance of an emission limit.  The estimate also includes time to produce and retain the records and reports for submission to EPA.  </w:t>
      </w:r>
      <w:r w:rsidR="00CC3EBC">
        <w:t xml:space="preserve">The </w:t>
      </w:r>
      <w:r w:rsidRPr="00753051">
        <w:t xml:space="preserve">EPA provides this illustrative estimate of this burden because these costs are only incurred if there has been a violation and a source chooses to take advantage of the affirmative defense.  </w:t>
      </w:r>
    </w:p>
    <w:p w:rsidR="0044053C" w:rsidRPr="00753051" w:rsidRDefault="0044053C" w:rsidP="0044053C">
      <w:pPr>
        <w:ind w:firstLine="720"/>
      </w:pPr>
    </w:p>
    <w:p w:rsidR="0044053C" w:rsidRPr="00D54037" w:rsidRDefault="0044053C" w:rsidP="0044053C">
      <w:pPr>
        <w:pBdr>
          <w:top w:val="single" w:sz="6" w:space="0" w:color="FFFFFF"/>
          <w:left w:val="single" w:sz="6" w:space="0" w:color="FFFFFF"/>
          <w:bottom w:val="single" w:sz="6" w:space="0" w:color="FFFFFF"/>
          <w:right w:val="single" w:sz="6" w:space="0" w:color="FFFFFF"/>
        </w:pBdr>
        <w:ind w:firstLine="720"/>
      </w:pPr>
      <w:r w:rsidRPr="00753051">
        <w:t xml:space="preserve">Of the number of excess emission events reported by source operators, only a small number would be expected to result from a malfunction, and only a subset of excess emissions caused by malfunctions would result in the source choosing to assert the affirmative defense.  </w:t>
      </w:r>
      <w:r w:rsidRPr="00753051">
        <w:lastRenderedPageBreak/>
        <w:t>Thus we believe the number of instances in which source operators might be expected to avail themselves of the affirmative defense will be extremely small.  For this reason, we estimate no more than 2 or 3 such occurrences for all sources within a given category over the 3-year period covered by this ICR.  For the purpose of this estimate, we are adding two (2) instances of affirmative defense.  We expect to gather information on such events in the future and will revise this estimate as better information becomes available.</w:t>
      </w:r>
    </w:p>
    <w:p w:rsidR="00CF2B37" w:rsidRDefault="00CF2B37">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B41A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D60547" w:rsidRDefault="00D60547">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54037" w:rsidRDefault="00CA4CD6">
      <w:pPr>
        <w:pBdr>
          <w:top w:val="single" w:sz="6" w:space="0" w:color="FFFFFF"/>
          <w:left w:val="single" w:sz="6" w:space="0" w:color="FFFFFF"/>
          <w:bottom w:val="single" w:sz="6" w:space="0" w:color="FFFFFF"/>
          <w:right w:val="single" w:sz="6" w:space="0" w:color="FFFFFF"/>
        </w:pBdr>
        <w:ind w:firstLine="720"/>
      </w:pPr>
      <w:r w:rsidRPr="00D54037">
        <w:t xml:space="preserve">Following notification of startup, the reviewing authority </w:t>
      </w:r>
      <w:r w:rsidR="002B29A7" w:rsidRPr="00D54037">
        <w:t xml:space="preserve">could </w:t>
      </w:r>
      <w:r w:rsidRPr="00D54037">
        <w:t>inspect the source to determine whether the pollution control devices are p</w:t>
      </w:r>
      <w:r w:rsidR="00D54037" w:rsidRPr="00D54037">
        <w:t xml:space="preserve">roperly installed and operated.  </w:t>
      </w:r>
      <w:r w:rsidRPr="00D54037">
        <w:t>Performance test reports are used by the Agency to discern a source</w:t>
      </w:r>
      <w:r w:rsidR="004C701D" w:rsidRPr="00D54037">
        <w:t>’</w:t>
      </w:r>
      <w:r w:rsidRPr="00D54037">
        <w:t xml:space="preserve">s initial capability to </w:t>
      </w:r>
      <w:r w:rsidR="00DD64C8">
        <w:t xml:space="preserve"> </w:t>
      </w:r>
      <w:r w:rsidRPr="00D54037">
        <w:t>comp</w:t>
      </w:r>
      <w:r w:rsidR="00D54037" w:rsidRPr="00D54037">
        <w:t xml:space="preserve">ly with the emission standard, and </w:t>
      </w:r>
      <w:r w:rsidRPr="00D54037">
        <w:t>note the operating conditions under</w:t>
      </w:r>
      <w:r w:rsidR="00D54037" w:rsidRPr="00D54037">
        <w:t xml:space="preserve"> which compliance was achieved.</w:t>
      </w:r>
      <w:r w:rsidRPr="00D54037">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0C7EC7" w:rsidRDefault="00CA4CD6" w:rsidP="00B41A9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8B67A4" w:rsidRPr="008B67A4">
        <w:t xml:space="preserve">five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372D0B"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majority of the respondents are large entities (i.e., large businesses).  However, the impact on small entities (i.e., small businesses) was taken into consideration during the development of the regulation.</w:t>
      </w:r>
      <w:r w:rsidR="00D55D7D">
        <w:rPr>
          <w:color w:val="000000"/>
        </w:rPr>
        <w:t xml:space="preserve">  </w:t>
      </w:r>
      <w:r>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requirements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sidR="00F0734E" w:rsidRPr="00AE359F">
        <w:t xml:space="preserve">Table 1: Annual Respondent Burden and Cost – </w:t>
      </w:r>
      <w:r w:rsidR="00F0734E">
        <w:t>NESHAP for Pharmaceuticals Production (40 CFR Part 63, Subpart GGG)</w:t>
      </w:r>
      <w:r w:rsidR="00F0734E" w:rsidRPr="00AE359F">
        <w:rPr>
          <w:bCs/>
        </w:rPr>
        <w:t xml:space="preserve"> (Renewal)</w:t>
      </w:r>
      <w:r w:rsidR="00F0734E" w:rsidRPr="00AE359F">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06754E">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not conduct or sponsor, and a person is not required to respond to, </w:t>
      </w:r>
      <w:r w:rsidR="00DD64C8">
        <w:rPr>
          <w:color w:val="000000"/>
        </w:rPr>
        <w:t xml:space="preserve">       </w:t>
      </w:r>
      <w:r>
        <w:rPr>
          <w:color w:val="000000"/>
        </w:rPr>
        <w:t>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E82445">
        <w:rPr>
          <w:color w:val="000000"/>
        </w:rPr>
        <w:t>44,2</w:t>
      </w:r>
      <w:r w:rsidR="005F2F34">
        <w:rPr>
          <w:color w:val="000000"/>
        </w:rPr>
        <w:t>66</w:t>
      </w:r>
      <w:r w:rsidR="00731041">
        <w:rPr>
          <w:color w:val="000000"/>
        </w:rPr>
        <w:t xml:space="preserve"> hours</w:t>
      </w:r>
      <w:r w:rsidR="004C701D">
        <w:rPr>
          <w:color w:val="000000"/>
        </w:rPr>
        <w:t xml:space="preserve"> (</w:t>
      </w:r>
      <w:r>
        <w:rPr>
          <w:color w:val="000000"/>
        </w:rPr>
        <w:t>Total Labor Hours from Table 1</w:t>
      </w:r>
      <w:r w:rsidR="00731041">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008B67A4" w:rsidRPr="008B67A4">
        <w:t>the NESHAP program,</w:t>
      </w:r>
      <w:r>
        <w:rPr>
          <w:color w:val="000000"/>
        </w:rPr>
        <w:t xml:space="preserve">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FE2470">
        <w:rPr>
          <w:color w:val="000000"/>
        </w:rPr>
        <w:t>123.04</w:t>
      </w:r>
      <w:r>
        <w:rPr>
          <w:color w:val="000000"/>
        </w:rPr>
        <w:t xml:space="preserve"> ($5</w:t>
      </w:r>
      <w:r w:rsidR="00E72D70">
        <w:rPr>
          <w:color w:val="000000"/>
        </w:rPr>
        <w:t>8</w:t>
      </w:r>
      <w:r w:rsidR="004F6FCD">
        <w:rPr>
          <w:color w:val="000000"/>
        </w:rPr>
        <w:t>.</w:t>
      </w:r>
      <w:r w:rsidR="00FE2470">
        <w:rPr>
          <w:color w:val="000000"/>
        </w:rPr>
        <w:t>59</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102B52">
        <w:rPr>
          <w:color w:val="000000"/>
        </w:rPr>
        <w:t>2</w:t>
      </w:r>
      <w:r w:rsidR="00FE2470">
        <w:rPr>
          <w:color w:val="000000"/>
        </w:rPr>
        <w:t>2</w:t>
      </w:r>
      <w:r>
        <w:rPr>
          <w:color w:val="000000"/>
        </w:rPr>
        <w:t xml:space="preserve"> ($4</w:t>
      </w:r>
      <w:r w:rsidR="00E72D70">
        <w:rPr>
          <w:color w:val="000000"/>
        </w:rPr>
        <w:t>8</w:t>
      </w:r>
      <w:r>
        <w:rPr>
          <w:color w:val="000000"/>
        </w:rPr>
        <w:t>.</w:t>
      </w:r>
      <w:r w:rsidR="00E72D70">
        <w:rPr>
          <w:color w:val="000000"/>
        </w:rPr>
        <w:t>2</w:t>
      </w:r>
      <w:r w:rsidR="00FE2470">
        <w:rPr>
          <w:color w:val="000000"/>
        </w:rPr>
        <w:t>0</w:t>
      </w:r>
      <w:r>
        <w:rPr>
          <w:color w:val="000000"/>
        </w:rPr>
        <w:t xml:space="preserve"> + 110%)</w:t>
      </w:r>
    </w:p>
    <w:p w:rsidR="002712EB" w:rsidRDefault="002712EB" w:rsidP="00B56CE6">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FE2470">
        <w:rPr>
          <w:color w:val="000000"/>
        </w:rPr>
        <w:t>51</w:t>
      </w:r>
      <w:r>
        <w:rPr>
          <w:color w:val="000000"/>
        </w:rPr>
        <w:t>.</w:t>
      </w:r>
      <w:r w:rsidR="00FE2470">
        <w:rPr>
          <w:color w:val="000000"/>
        </w:rPr>
        <w:t>18</w:t>
      </w:r>
      <w:r>
        <w:rPr>
          <w:color w:val="000000"/>
        </w:rPr>
        <w:t xml:space="preserve"> ($2</w:t>
      </w:r>
      <w:r w:rsidR="00102B52">
        <w:rPr>
          <w:color w:val="000000"/>
        </w:rPr>
        <w:t>4</w:t>
      </w:r>
      <w:r>
        <w:rPr>
          <w:color w:val="000000"/>
        </w:rPr>
        <w:t>.</w:t>
      </w:r>
      <w:r w:rsidR="00FE2470">
        <w:rPr>
          <w:color w:val="000000"/>
        </w:rPr>
        <w:t>37</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lastRenderedPageBreak/>
        <w:t xml:space="preserve">These rates are from the United States Department of Labor, Bureau of Labor Statistics, </w:t>
      </w:r>
      <w:r w:rsidR="00FE2470">
        <w:rPr>
          <w:color w:val="000000"/>
        </w:rPr>
        <w:t>March 2013</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FC4E97" w:rsidRDefault="00FC4E97">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 which are addressed elsewhere in this ICR and the costs associated with continuous monitoring.  T</w:t>
      </w:r>
      <w:r w:rsidR="00731041">
        <w:rPr>
          <w:color w:val="000000"/>
        </w:rPr>
        <w:t>he capital/startup costs are on-</w:t>
      </w:r>
      <w:r>
        <w:rPr>
          <w:color w:val="000000"/>
        </w:rPr>
        <w:t>time costs when a facility becomes subject to the regulation.  The annual operation and maintenance costs are the ongoing costs to maintain the monitor(s)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Ind w:w="-249" w:type="dxa"/>
        <w:tblLayout w:type="fixed"/>
        <w:tblCellMar>
          <w:left w:w="111" w:type="dxa"/>
          <w:right w:w="111" w:type="dxa"/>
        </w:tblCellMar>
        <w:tblLook w:val="0000"/>
      </w:tblPr>
      <w:tblGrid>
        <w:gridCol w:w="1620"/>
        <w:gridCol w:w="1440"/>
        <w:gridCol w:w="1260"/>
        <w:gridCol w:w="1440"/>
        <w:gridCol w:w="1350"/>
        <w:gridCol w:w="1260"/>
        <w:gridCol w:w="1350"/>
      </w:tblGrid>
      <w:tr w:rsidR="00A73600" w:rsidTr="005F2F34">
        <w:trPr>
          <w:tblHeader/>
          <w:jc w:val="center"/>
        </w:trPr>
        <w:tc>
          <w:tcPr>
            <w:tcW w:w="9720" w:type="dxa"/>
            <w:gridSpan w:val="7"/>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5F2F34">
        <w:trPr>
          <w:jc w:val="center"/>
        </w:trPr>
        <w:tc>
          <w:tcPr>
            <w:tcW w:w="1620" w:type="dxa"/>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rsidP="0073104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73104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260" w:type="dxa"/>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rsidP="0073104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73104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rsidP="0073104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73104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rsidP="0073104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73104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rsidP="0073104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73104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1350" w:type="dxa"/>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rsidP="0073104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73104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73104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FC4E97" w:rsidTr="005F2F34">
        <w:trPr>
          <w:jc w:val="center"/>
        </w:trPr>
        <w:tc>
          <w:tcPr>
            <w:tcW w:w="1620" w:type="dxa"/>
            <w:tcBorders>
              <w:top w:val="single" w:sz="8" w:space="0" w:color="000000"/>
              <w:left w:val="single" w:sz="8" w:space="0" w:color="000000"/>
              <w:bottom w:val="single" w:sz="8" w:space="0" w:color="000000"/>
              <w:right w:val="single" w:sz="8" w:space="0" w:color="000000"/>
            </w:tcBorders>
            <w:vAlign w:val="center"/>
          </w:tcPr>
          <w:p w:rsidR="00372D0B" w:rsidRDefault="00FC4E97">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753051">
              <w:rPr>
                <w:sz w:val="20"/>
                <w:szCs w:val="20"/>
              </w:rPr>
              <w:t>Data-logger and Thermocouple</w:t>
            </w:r>
          </w:p>
        </w:tc>
        <w:tc>
          <w:tcPr>
            <w:tcW w:w="1440" w:type="dxa"/>
            <w:tcBorders>
              <w:top w:val="single" w:sz="8" w:space="0" w:color="000000"/>
              <w:left w:val="single" w:sz="8" w:space="0" w:color="000000"/>
              <w:bottom w:val="single" w:sz="8" w:space="0" w:color="000000"/>
              <w:right w:val="single" w:sz="8" w:space="0" w:color="000000"/>
            </w:tcBorders>
            <w:vAlign w:val="center"/>
          </w:tcPr>
          <w:p w:rsidR="00FC4E97" w:rsidRDefault="00FC4E97" w:rsidP="005F2F3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53051">
              <w:rPr>
                <w:sz w:val="20"/>
                <w:szCs w:val="20"/>
              </w:rPr>
              <w:t>$4,400</w:t>
            </w:r>
          </w:p>
        </w:tc>
        <w:tc>
          <w:tcPr>
            <w:tcW w:w="1260" w:type="dxa"/>
            <w:tcBorders>
              <w:top w:val="single" w:sz="8" w:space="0" w:color="000000"/>
              <w:left w:val="single" w:sz="8" w:space="0" w:color="000000"/>
              <w:bottom w:val="single" w:sz="8" w:space="0" w:color="000000"/>
              <w:right w:val="single" w:sz="8" w:space="0" w:color="000000"/>
            </w:tcBorders>
            <w:vAlign w:val="center"/>
          </w:tcPr>
          <w:p w:rsidR="00FC4E97" w:rsidRDefault="00FC4E97" w:rsidP="005F2F3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53051">
              <w:rPr>
                <w:sz w:val="20"/>
                <w:szCs w:val="20"/>
              </w:rPr>
              <w:t>0</w:t>
            </w:r>
          </w:p>
        </w:tc>
        <w:tc>
          <w:tcPr>
            <w:tcW w:w="1440" w:type="dxa"/>
            <w:tcBorders>
              <w:top w:val="single" w:sz="8" w:space="0" w:color="000000"/>
              <w:left w:val="single" w:sz="8" w:space="0" w:color="000000"/>
              <w:bottom w:val="single" w:sz="8" w:space="0" w:color="000000"/>
              <w:right w:val="single" w:sz="8" w:space="0" w:color="000000"/>
            </w:tcBorders>
            <w:vAlign w:val="center"/>
          </w:tcPr>
          <w:p w:rsidR="00FC4E97" w:rsidRDefault="00FC4E97" w:rsidP="005F2F3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53051">
              <w:rPr>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C4E97" w:rsidRDefault="00FC4E97" w:rsidP="005F2F3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53051">
              <w:rPr>
                <w:sz w:val="20"/>
                <w:szCs w:val="20"/>
              </w:rPr>
              <w:t>$4,158</w:t>
            </w:r>
          </w:p>
        </w:tc>
        <w:tc>
          <w:tcPr>
            <w:tcW w:w="1260" w:type="dxa"/>
            <w:tcBorders>
              <w:top w:val="single" w:sz="8" w:space="0" w:color="000000"/>
              <w:left w:val="single" w:sz="8" w:space="0" w:color="000000"/>
              <w:bottom w:val="single" w:sz="8" w:space="0" w:color="000000"/>
              <w:right w:val="single" w:sz="8" w:space="0" w:color="000000"/>
            </w:tcBorders>
            <w:vAlign w:val="center"/>
          </w:tcPr>
          <w:p w:rsidR="00FC4E97" w:rsidRDefault="00FC4E97" w:rsidP="005F2F3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53051">
              <w:rPr>
                <w:sz w:val="20"/>
                <w:szCs w:val="20"/>
              </w:rPr>
              <w:t>27</w:t>
            </w:r>
          </w:p>
        </w:tc>
        <w:tc>
          <w:tcPr>
            <w:tcW w:w="1350" w:type="dxa"/>
            <w:tcBorders>
              <w:top w:val="single" w:sz="8" w:space="0" w:color="000000"/>
              <w:left w:val="single" w:sz="8" w:space="0" w:color="000000"/>
              <w:bottom w:val="single" w:sz="8" w:space="0" w:color="000000"/>
              <w:right w:val="single" w:sz="8" w:space="0" w:color="000000"/>
            </w:tcBorders>
            <w:vAlign w:val="center"/>
          </w:tcPr>
          <w:p w:rsidR="00FC4E97" w:rsidRDefault="00FC4E97" w:rsidP="005F2F3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53051">
              <w:rPr>
                <w:sz w:val="20"/>
                <w:szCs w:val="20"/>
              </w:rPr>
              <w:t>$112,266</w:t>
            </w:r>
          </w:p>
        </w:tc>
      </w:tr>
      <w:tr w:rsidR="00FC4E97" w:rsidTr="005F2F34">
        <w:trPr>
          <w:jc w:val="center"/>
        </w:trPr>
        <w:tc>
          <w:tcPr>
            <w:tcW w:w="1620" w:type="dxa"/>
            <w:tcBorders>
              <w:top w:val="single" w:sz="8" w:space="0" w:color="000000"/>
              <w:left w:val="single" w:sz="8" w:space="0" w:color="000000"/>
              <w:bottom w:val="single" w:sz="8" w:space="0" w:color="000000"/>
              <w:right w:val="single" w:sz="8" w:space="0" w:color="000000"/>
            </w:tcBorders>
          </w:tcPr>
          <w:p w:rsidR="00FC4E97" w:rsidRPr="00731041" w:rsidRDefault="00FC4E97">
            <w:pPr>
              <w:pBdr>
                <w:top w:val="single" w:sz="6" w:space="0" w:color="FFFFFF"/>
                <w:left w:val="single" w:sz="6" w:space="0" w:color="FFFFFF"/>
                <w:bottom w:val="single" w:sz="6" w:space="0" w:color="FFFFFF"/>
                <w:right w:val="single" w:sz="6" w:space="0" w:color="FFFFFF"/>
              </w:pBdr>
              <w:spacing w:after="52"/>
              <w:rPr>
                <w:b/>
                <w:color w:val="000000"/>
                <w:sz w:val="20"/>
                <w:szCs w:val="20"/>
              </w:rPr>
            </w:pPr>
            <w:r w:rsidRPr="00731041">
              <w:rPr>
                <w:b/>
                <w:sz w:val="20"/>
                <w:szCs w:val="20"/>
              </w:rPr>
              <w:t>Total</w:t>
            </w:r>
          </w:p>
        </w:tc>
        <w:tc>
          <w:tcPr>
            <w:tcW w:w="1440" w:type="dxa"/>
            <w:tcBorders>
              <w:top w:val="single" w:sz="8" w:space="0" w:color="000000"/>
              <w:left w:val="single" w:sz="8" w:space="0" w:color="000000"/>
              <w:bottom w:val="single" w:sz="8" w:space="0" w:color="000000"/>
              <w:right w:val="single" w:sz="8" w:space="0" w:color="000000"/>
            </w:tcBorders>
            <w:vAlign w:val="center"/>
          </w:tcPr>
          <w:p w:rsidR="00FC4E97" w:rsidRPr="00731041" w:rsidRDefault="00FC4E97" w:rsidP="005F2F3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rsidR="00FC4E97" w:rsidRPr="00731041" w:rsidRDefault="00FC4E97" w:rsidP="005F2F3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rsidR="00FC4E97" w:rsidRPr="00731041" w:rsidRDefault="00FC4E97" w:rsidP="005F2F3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731041">
              <w:rPr>
                <w:b/>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C4E97" w:rsidRPr="00731041" w:rsidRDefault="00FC4E97" w:rsidP="005F2F3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rsidR="00FC4E97" w:rsidRPr="00731041" w:rsidRDefault="00FC4E97" w:rsidP="005F2F3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rsidR="00FC4E97" w:rsidRPr="00731041" w:rsidRDefault="00FC4E97" w:rsidP="005F2F3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731041">
              <w:rPr>
                <w:b/>
                <w:sz w:val="20"/>
                <w:szCs w:val="20"/>
              </w:rPr>
              <w:t>$112,266</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160B77">
        <w:rPr>
          <w:color w:val="000000"/>
        </w:rPr>
        <w:t>0</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w:t>
      </w:r>
      <w:r w:rsidR="00160B77">
        <w:rPr>
          <w:color w:val="000000"/>
        </w:rPr>
        <w:t>112,266</w:t>
      </w:r>
      <w:r>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041BA9" w:rsidRDefault="00A038E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r w:rsidR="00CA4CD6">
        <w:rPr>
          <w:color w:val="000000"/>
        </w:rPr>
        <w:t>The average annual cost for capital/startup and operation and maintenance costs to industry over the next three years of the ICR is estimated to be $</w:t>
      </w:r>
      <w:r w:rsidR="00160B77">
        <w:rPr>
          <w:color w:val="000000"/>
        </w:rPr>
        <w:t>112,266</w:t>
      </w:r>
      <w:r w:rsidR="00CA4CD6">
        <w:rPr>
          <w:color w:val="000000"/>
        </w:rPr>
        <w:t xml:space="preserve">. </w:t>
      </w:r>
      <w:r w:rsidR="001C5991">
        <w:rPr>
          <w:color w:val="000000"/>
        </w:rPr>
        <w:t xml:space="preserve">  </w:t>
      </w:r>
    </w:p>
    <w:p w:rsidR="00041BA9" w:rsidRDefault="00041BA9">
      <w:pPr>
        <w:pBdr>
          <w:top w:val="single" w:sz="6" w:space="0" w:color="FFFFFF"/>
          <w:left w:val="single" w:sz="6" w:space="0" w:color="FFFFFF"/>
          <w:bottom w:val="single" w:sz="6" w:space="0" w:color="FFFFFF"/>
          <w:right w:val="single" w:sz="6" w:space="0" w:color="FFFFFF"/>
        </w:pBdr>
        <w:ind w:firstLine="720"/>
        <w:rPr>
          <w:color w:val="000000"/>
        </w:rPr>
      </w:pPr>
    </w:p>
    <w:p w:rsidR="00041BA9" w:rsidRPr="00753051" w:rsidRDefault="00041BA9" w:rsidP="00041BA9">
      <w:pPr>
        <w:ind w:firstLine="720"/>
      </w:pPr>
      <w:r w:rsidRPr="00753051">
        <w:rPr>
          <w:b/>
        </w:rPr>
        <w:t>(iv)  Affirmative Defense, Root Cause Analysis, and Malfunction Costs.</w:t>
      </w:r>
      <w:r w:rsidRPr="00753051">
        <w:t xml:space="preserve">   </w:t>
      </w:r>
    </w:p>
    <w:p w:rsidR="00041BA9" w:rsidRPr="00753051" w:rsidRDefault="00041BA9" w:rsidP="00041BA9">
      <w:pPr>
        <w:ind w:firstLine="720"/>
      </w:pPr>
    </w:p>
    <w:p w:rsidR="00041BA9" w:rsidRPr="00753051" w:rsidRDefault="00041BA9" w:rsidP="00041BA9">
      <w:pPr>
        <w:ind w:firstLine="720"/>
      </w:pPr>
      <w:r w:rsidRPr="00753051">
        <w:t>EPA’s estimate for a</w:t>
      </w:r>
      <w:r w:rsidR="005F2F34">
        <w:t>n</w:t>
      </w:r>
      <w:r w:rsidRPr="00753051">
        <w:t xml:space="preserve"> affirmative defense and root cause analysis is based on general experience to calculate the time and effort required of a source to review relevant data, interview plant employees, and reconstruct the events prior to a malfunction in order to determine primary and contributing causes.  The level of effort also includes time to produce and retain the report in document form so that the source will have it available should EPA or state enforcement agencies ever request to review it.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DD64C8" w:rsidRDefault="00DD64C8">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2F683A">
        <w:rPr>
          <w:color w:val="000000"/>
        </w:rPr>
        <w:t>71,</w:t>
      </w:r>
      <w:r w:rsidR="005F2F34">
        <w:rPr>
          <w:color w:val="000000"/>
        </w:rPr>
        <w:t>518</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5C66DD"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0D0CA1">
        <w:rPr>
          <w:color w:val="000000"/>
        </w:rPr>
        <w:t>3</w:t>
      </w:r>
      <w:r>
        <w:rPr>
          <w:color w:val="000000"/>
        </w:rPr>
        <w:t xml:space="preserve"> General Schedule</w:t>
      </w:r>
      <w:r w:rsidR="007A458D">
        <w:rPr>
          <w:color w:val="000000"/>
        </w:rPr>
        <w:t>,</w:t>
      </w:r>
      <w:r>
        <w:rPr>
          <w:color w:val="000000"/>
        </w:rPr>
        <w:t xml:space="preserve"> which excludes locality</w:t>
      </w:r>
      <w:r w:rsidR="00DD2CB1">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5C66DD" w:rsidRPr="00AE359F">
        <w:t xml:space="preserve">Table 2: Average Annual EPA Burden and Cost – </w:t>
      </w:r>
      <w:r w:rsidR="005C66DD">
        <w:t>NESHAP for Pharmaceuticals Production (40 CFR Part 63, Subpart GGG)</w:t>
      </w:r>
      <w:r w:rsidR="005C66DD" w:rsidRPr="00AE359F">
        <w:rPr>
          <w:bCs/>
        </w:rPr>
        <w:t xml:space="preserve"> (Renewal)</w:t>
      </w:r>
      <w:r w:rsidR="005C66DD" w:rsidRPr="00AE359F">
        <w:t>.</w:t>
      </w:r>
    </w:p>
    <w:p w:rsidR="00CA4CD6" w:rsidRDefault="005C66DD">
      <w:pPr>
        <w:pBdr>
          <w:top w:val="single" w:sz="6" w:space="0" w:color="FFFFFF"/>
          <w:left w:val="single" w:sz="6" w:space="0" w:color="FFFFFF"/>
          <w:bottom w:val="single" w:sz="6" w:space="0" w:color="FFFFFF"/>
          <w:right w:val="single" w:sz="6" w:space="0" w:color="FFFFFF"/>
        </w:pBdr>
        <w:rPr>
          <w:color w:val="000000"/>
        </w:rPr>
      </w:pPr>
      <w:r w:rsidDel="005C66DD">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w:t>
      </w:r>
      <w:r w:rsidR="00DD2CB1">
        <w:rPr>
          <w:color w:val="000000"/>
        </w:rPr>
        <w:t xml:space="preserve">ext three years, approximately </w:t>
      </w:r>
      <w:r w:rsidR="00002AC2">
        <w:rPr>
          <w:color w:val="000000"/>
        </w:rPr>
        <w:t xml:space="preserve">27 </w:t>
      </w:r>
      <w:r>
        <w:rPr>
          <w:color w:val="000000"/>
        </w:rPr>
        <w:t>existing respondents will be subject to the</w:t>
      </w:r>
      <w:r w:rsidR="00DD64C8">
        <w:rPr>
          <w:color w:val="000000"/>
        </w:rPr>
        <w:t>se</w:t>
      </w:r>
      <w:r>
        <w:rPr>
          <w:color w:val="000000"/>
        </w:rPr>
        <w:t xml:space="preserve"> standard</w:t>
      </w:r>
      <w:r w:rsidR="00DD64C8">
        <w:rPr>
          <w:color w:val="000000"/>
        </w:rPr>
        <w:t>s</w:t>
      </w:r>
      <w:r>
        <w:rPr>
          <w:color w:val="000000"/>
        </w:rPr>
        <w:t xml:space="preserve">.  It is estimated that </w:t>
      </w:r>
      <w:r w:rsidR="00002AC2">
        <w:rPr>
          <w:color w:val="000000"/>
        </w:rPr>
        <w:t>no</w:t>
      </w:r>
      <w:r w:rsidR="00DD2CB1">
        <w:rPr>
          <w:color w:val="000000"/>
        </w:rPr>
        <w:t xml:space="preserve"> additional </w:t>
      </w:r>
      <w:r>
        <w:rPr>
          <w:color w:val="000000"/>
        </w:rPr>
        <w:t>respondents per year will become subject.  The overall average number of responden</w:t>
      </w:r>
      <w:r w:rsidR="0035325B">
        <w:rPr>
          <w:color w:val="000000"/>
        </w:rPr>
        <w:t>ts, as shown in the table below,</w:t>
      </w:r>
      <w:r>
        <w:rPr>
          <w:color w:val="000000"/>
        </w:rPr>
        <w:t xml:space="preserve"> is </w:t>
      </w:r>
      <w:r w:rsidR="00002AC2">
        <w:rPr>
          <w:color w:val="000000"/>
        </w:rPr>
        <w:t xml:space="preserve">27 </w:t>
      </w:r>
      <w:r>
        <w:rPr>
          <w:color w:val="000000"/>
        </w:rPr>
        <w:t xml:space="preserve">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440"/>
        <w:gridCol w:w="1260"/>
        <w:gridCol w:w="2340"/>
        <w:gridCol w:w="1980"/>
        <w:gridCol w:w="1439"/>
      </w:tblGrid>
      <w:tr w:rsidR="00A73600" w:rsidTr="00CB35E3">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B56CE6">
        <w:tc>
          <w:tcPr>
            <w:tcW w:w="90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B56CE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6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B56CE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340" w:type="dxa"/>
            <w:tcBorders>
              <w:top w:val="single" w:sz="7" w:space="0" w:color="000000"/>
              <w:left w:val="single" w:sz="7"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rsidP="00B56CE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B56CE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980" w:type="dxa"/>
            <w:tcBorders>
              <w:top w:val="single" w:sz="8" w:space="0" w:color="000000"/>
              <w:left w:val="single" w:sz="8" w:space="0" w:color="000000"/>
              <w:bottom w:val="single" w:sz="8" w:space="0" w:color="000000"/>
              <w:right w:val="single" w:sz="4" w:space="0" w:color="auto"/>
            </w:tcBorders>
          </w:tcPr>
          <w:p w:rsidR="00CA4CD6" w:rsidRDefault="00CA4CD6">
            <w:pPr>
              <w:spacing w:line="120" w:lineRule="exact"/>
              <w:rPr>
                <w:color w:val="000000"/>
                <w:sz w:val="20"/>
                <w:szCs w:val="20"/>
              </w:rPr>
            </w:pPr>
          </w:p>
          <w:p w:rsidR="00CA4CD6" w:rsidRDefault="00CA4CD6" w:rsidP="00B56CE6">
            <w:pPr>
              <w:pBdr>
                <w:top w:val="single" w:sz="6" w:space="0" w:color="FFFFFF"/>
                <w:left w:val="single" w:sz="6" w:space="0" w:color="FFFFFF"/>
                <w:bottom w:val="single" w:sz="6" w:space="0" w:color="FFFFFF"/>
                <w:right w:val="single" w:sz="6" w:space="0" w:color="FFFFFF"/>
                <w:bar w:val="single" w:sz="4" w:color="auto"/>
              </w:pBdr>
              <w:jc w:val="center"/>
              <w:rPr>
                <w:color w:val="000000"/>
                <w:sz w:val="20"/>
                <w:szCs w:val="20"/>
              </w:rPr>
            </w:pPr>
            <w:r>
              <w:rPr>
                <w:color w:val="000000"/>
                <w:sz w:val="20"/>
                <w:szCs w:val="20"/>
              </w:rPr>
              <w:t>(D)</w:t>
            </w:r>
          </w:p>
          <w:p w:rsidR="00CA4CD6" w:rsidRDefault="00CA4CD6" w:rsidP="00B56CE6">
            <w:pPr>
              <w:pBdr>
                <w:top w:val="single" w:sz="6" w:space="0" w:color="FFFFFF"/>
                <w:left w:val="single" w:sz="6" w:space="0" w:color="FFFFFF"/>
                <w:bottom w:val="single" w:sz="6" w:space="0" w:color="FFFFFF"/>
                <w:right w:val="single" w:sz="6" w:space="0" w:color="FFFFFF"/>
                <w:bar w:val="single" w:sz="4" w:color="auto"/>
              </w:pBdr>
              <w:spacing w:after="52"/>
              <w:jc w:val="center"/>
              <w:rPr>
                <w:color w:val="000000"/>
                <w:sz w:val="20"/>
                <w:szCs w:val="20"/>
              </w:rPr>
            </w:pPr>
            <w:r>
              <w:rPr>
                <w:color w:val="000000"/>
                <w:sz w:val="20"/>
                <w:szCs w:val="20"/>
              </w:rPr>
              <w:t>Number of Existing Respondents That Are Also New Respondents</w:t>
            </w:r>
          </w:p>
        </w:tc>
        <w:tc>
          <w:tcPr>
            <w:tcW w:w="1439" w:type="dxa"/>
            <w:tcBorders>
              <w:top w:val="single" w:sz="7" w:space="0" w:color="000000"/>
              <w:left w:val="single" w:sz="4" w:space="0" w:color="auto"/>
              <w:bottom w:val="single" w:sz="8" w:space="0" w:color="000000"/>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B56CE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B56CE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CB35E3" w:rsidTr="00B56CE6">
        <w:tc>
          <w:tcPr>
            <w:tcW w:w="900" w:type="dxa"/>
            <w:tcBorders>
              <w:top w:val="single" w:sz="8" w:space="0" w:color="000000"/>
              <w:left w:val="single" w:sz="8" w:space="0" w:color="000000"/>
              <w:bottom w:val="single" w:sz="6" w:space="0" w:color="000000"/>
              <w:right w:val="single" w:sz="6" w:space="0" w:color="000000"/>
            </w:tcBorders>
          </w:tcPr>
          <w:p w:rsidR="00CB35E3" w:rsidRDefault="00CB35E3">
            <w:pPr>
              <w:spacing w:line="120" w:lineRule="exact"/>
              <w:rPr>
                <w:color w:val="000000"/>
                <w:sz w:val="20"/>
                <w:szCs w:val="20"/>
              </w:rPr>
            </w:pPr>
          </w:p>
          <w:p w:rsidR="00CB35E3"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440" w:type="dxa"/>
            <w:tcBorders>
              <w:top w:val="single" w:sz="8" w:space="0" w:color="000000"/>
              <w:left w:val="single" w:sz="6" w:space="0" w:color="000000"/>
              <w:bottom w:val="single" w:sz="6" w:space="0" w:color="000000"/>
              <w:right w:val="single" w:sz="6" w:space="0" w:color="000000"/>
            </w:tcBorders>
            <w:vAlign w:val="center"/>
          </w:tcPr>
          <w:p w:rsidR="00CB35E3"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0</w:t>
            </w:r>
          </w:p>
        </w:tc>
        <w:tc>
          <w:tcPr>
            <w:tcW w:w="1260" w:type="dxa"/>
            <w:tcBorders>
              <w:top w:val="single" w:sz="8" w:space="0" w:color="000000"/>
              <w:left w:val="single" w:sz="6" w:space="0" w:color="000000"/>
              <w:bottom w:val="single" w:sz="6" w:space="0" w:color="000000"/>
              <w:right w:val="single" w:sz="6" w:space="0" w:color="000000"/>
            </w:tcBorders>
            <w:vAlign w:val="center"/>
          </w:tcPr>
          <w:p w:rsidR="00CB35E3"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27</w:t>
            </w:r>
          </w:p>
        </w:tc>
        <w:tc>
          <w:tcPr>
            <w:tcW w:w="2340" w:type="dxa"/>
            <w:tcBorders>
              <w:top w:val="single" w:sz="8" w:space="0" w:color="000000"/>
              <w:left w:val="single" w:sz="6" w:space="0" w:color="000000"/>
              <w:bottom w:val="single" w:sz="6" w:space="0" w:color="000000"/>
              <w:right w:val="single" w:sz="6" w:space="0" w:color="000000"/>
            </w:tcBorders>
            <w:vAlign w:val="center"/>
          </w:tcPr>
          <w:p w:rsidR="00CB35E3"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0</w:t>
            </w:r>
          </w:p>
        </w:tc>
        <w:tc>
          <w:tcPr>
            <w:tcW w:w="1980" w:type="dxa"/>
            <w:tcBorders>
              <w:top w:val="single" w:sz="8" w:space="0" w:color="000000"/>
              <w:left w:val="single" w:sz="6" w:space="0" w:color="000000"/>
              <w:bottom w:val="single" w:sz="6" w:space="0" w:color="000000"/>
              <w:right w:val="single" w:sz="6" w:space="0" w:color="000000"/>
            </w:tcBorders>
            <w:vAlign w:val="center"/>
          </w:tcPr>
          <w:p w:rsidR="00CB35E3"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0</w:t>
            </w:r>
          </w:p>
        </w:tc>
        <w:tc>
          <w:tcPr>
            <w:tcW w:w="1439" w:type="dxa"/>
            <w:tcBorders>
              <w:top w:val="single" w:sz="8" w:space="0" w:color="000000"/>
              <w:left w:val="single" w:sz="6" w:space="0" w:color="000000"/>
              <w:bottom w:val="single" w:sz="6" w:space="0" w:color="000000"/>
              <w:right w:val="single" w:sz="8" w:space="0" w:color="000000"/>
            </w:tcBorders>
            <w:vAlign w:val="center"/>
          </w:tcPr>
          <w:p w:rsidR="00CB35E3"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27</w:t>
            </w:r>
          </w:p>
        </w:tc>
      </w:tr>
      <w:tr w:rsidR="00CB35E3" w:rsidTr="00B56CE6">
        <w:tc>
          <w:tcPr>
            <w:tcW w:w="900" w:type="dxa"/>
            <w:tcBorders>
              <w:top w:val="single" w:sz="6" w:space="0" w:color="000000"/>
              <w:left w:val="single" w:sz="8" w:space="0" w:color="000000"/>
              <w:bottom w:val="single" w:sz="6" w:space="0" w:color="000000"/>
              <w:right w:val="single" w:sz="6" w:space="0" w:color="000000"/>
            </w:tcBorders>
          </w:tcPr>
          <w:p w:rsidR="00CB35E3" w:rsidRDefault="00CB35E3">
            <w:pPr>
              <w:spacing w:line="120" w:lineRule="exact"/>
              <w:rPr>
                <w:color w:val="000000"/>
                <w:sz w:val="18"/>
                <w:szCs w:val="18"/>
              </w:rPr>
            </w:pPr>
          </w:p>
          <w:p w:rsidR="00CB35E3"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440" w:type="dxa"/>
            <w:tcBorders>
              <w:top w:val="single" w:sz="6" w:space="0" w:color="000000"/>
              <w:left w:val="single" w:sz="6" w:space="0" w:color="000000"/>
              <w:bottom w:val="single" w:sz="6" w:space="0" w:color="000000"/>
              <w:right w:val="single" w:sz="6" w:space="0" w:color="000000"/>
            </w:tcBorders>
            <w:vAlign w:val="center"/>
          </w:tcPr>
          <w:p w:rsidR="00CB35E3"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CB35E3"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27</w:t>
            </w:r>
          </w:p>
        </w:tc>
        <w:tc>
          <w:tcPr>
            <w:tcW w:w="2340" w:type="dxa"/>
            <w:tcBorders>
              <w:top w:val="single" w:sz="6" w:space="0" w:color="000000"/>
              <w:left w:val="single" w:sz="6" w:space="0" w:color="000000"/>
              <w:bottom w:val="single" w:sz="6" w:space="0" w:color="000000"/>
              <w:right w:val="single" w:sz="6" w:space="0" w:color="000000"/>
            </w:tcBorders>
            <w:vAlign w:val="center"/>
          </w:tcPr>
          <w:p w:rsidR="00CB35E3"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0</w:t>
            </w:r>
          </w:p>
        </w:tc>
        <w:tc>
          <w:tcPr>
            <w:tcW w:w="1980" w:type="dxa"/>
            <w:tcBorders>
              <w:top w:val="single" w:sz="6" w:space="0" w:color="000000"/>
              <w:left w:val="single" w:sz="6" w:space="0" w:color="000000"/>
              <w:bottom w:val="single" w:sz="6" w:space="0" w:color="000000"/>
              <w:right w:val="single" w:sz="6" w:space="0" w:color="000000"/>
            </w:tcBorders>
            <w:vAlign w:val="center"/>
          </w:tcPr>
          <w:p w:rsidR="00CB35E3"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0</w:t>
            </w:r>
          </w:p>
        </w:tc>
        <w:tc>
          <w:tcPr>
            <w:tcW w:w="1439" w:type="dxa"/>
            <w:tcBorders>
              <w:top w:val="single" w:sz="6" w:space="0" w:color="000000"/>
              <w:left w:val="single" w:sz="6" w:space="0" w:color="000000"/>
              <w:bottom w:val="single" w:sz="6" w:space="0" w:color="000000"/>
              <w:right w:val="single" w:sz="8" w:space="0" w:color="000000"/>
            </w:tcBorders>
            <w:vAlign w:val="center"/>
          </w:tcPr>
          <w:p w:rsidR="00CB35E3"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27</w:t>
            </w:r>
          </w:p>
        </w:tc>
      </w:tr>
      <w:tr w:rsidR="00CB35E3" w:rsidTr="00B56CE6">
        <w:tc>
          <w:tcPr>
            <w:tcW w:w="900" w:type="dxa"/>
            <w:tcBorders>
              <w:top w:val="single" w:sz="6" w:space="0" w:color="000000"/>
              <w:left w:val="single" w:sz="8" w:space="0" w:color="000000"/>
              <w:bottom w:val="single" w:sz="6" w:space="0" w:color="000000"/>
              <w:right w:val="single" w:sz="6" w:space="0" w:color="000000"/>
            </w:tcBorders>
          </w:tcPr>
          <w:p w:rsidR="00CB35E3" w:rsidRDefault="00CB35E3">
            <w:pPr>
              <w:spacing w:line="120" w:lineRule="exact"/>
              <w:rPr>
                <w:color w:val="000000"/>
                <w:sz w:val="18"/>
                <w:szCs w:val="18"/>
              </w:rPr>
            </w:pPr>
          </w:p>
          <w:p w:rsidR="00CB35E3" w:rsidRDefault="00CB35E3">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440" w:type="dxa"/>
            <w:tcBorders>
              <w:top w:val="single" w:sz="6" w:space="0" w:color="000000"/>
              <w:left w:val="single" w:sz="6" w:space="0" w:color="000000"/>
              <w:bottom w:val="single" w:sz="6" w:space="0" w:color="000000"/>
              <w:right w:val="single" w:sz="6" w:space="0" w:color="000000"/>
            </w:tcBorders>
            <w:vAlign w:val="center"/>
          </w:tcPr>
          <w:p w:rsidR="00CB35E3" w:rsidRDefault="00CB35E3">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753051">
              <w:rPr>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CB35E3" w:rsidRDefault="00CB35E3">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753051">
              <w:rPr>
                <w:sz w:val="20"/>
                <w:szCs w:val="20"/>
              </w:rPr>
              <w:t>27</w:t>
            </w:r>
          </w:p>
        </w:tc>
        <w:tc>
          <w:tcPr>
            <w:tcW w:w="2340" w:type="dxa"/>
            <w:tcBorders>
              <w:top w:val="single" w:sz="6" w:space="0" w:color="000000"/>
              <w:left w:val="single" w:sz="6" w:space="0" w:color="000000"/>
              <w:bottom w:val="single" w:sz="6" w:space="0" w:color="000000"/>
              <w:right w:val="single" w:sz="6" w:space="0" w:color="000000"/>
            </w:tcBorders>
            <w:vAlign w:val="center"/>
          </w:tcPr>
          <w:p w:rsidR="00CB35E3" w:rsidRDefault="00CB35E3">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753051">
              <w:rPr>
                <w:sz w:val="20"/>
                <w:szCs w:val="20"/>
              </w:rPr>
              <w:t>0</w:t>
            </w:r>
          </w:p>
        </w:tc>
        <w:tc>
          <w:tcPr>
            <w:tcW w:w="1980" w:type="dxa"/>
            <w:tcBorders>
              <w:top w:val="single" w:sz="6" w:space="0" w:color="000000"/>
              <w:left w:val="single" w:sz="6" w:space="0" w:color="000000"/>
              <w:bottom w:val="single" w:sz="6" w:space="0" w:color="000000"/>
              <w:right w:val="single" w:sz="6" w:space="0" w:color="000000"/>
            </w:tcBorders>
            <w:vAlign w:val="center"/>
          </w:tcPr>
          <w:p w:rsidR="00CB35E3" w:rsidRDefault="00CB35E3">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753051">
              <w:rPr>
                <w:sz w:val="20"/>
                <w:szCs w:val="20"/>
              </w:rPr>
              <w:t>0</w:t>
            </w:r>
          </w:p>
        </w:tc>
        <w:tc>
          <w:tcPr>
            <w:tcW w:w="1439" w:type="dxa"/>
            <w:tcBorders>
              <w:top w:val="single" w:sz="6" w:space="0" w:color="000000"/>
              <w:left w:val="single" w:sz="6" w:space="0" w:color="000000"/>
              <w:bottom w:val="single" w:sz="6" w:space="0" w:color="000000"/>
              <w:right w:val="single" w:sz="8" w:space="0" w:color="000000"/>
            </w:tcBorders>
            <w:vAlign w:val="center"/>
          </w:tcPr>
          <w:p w:rsidR="00CB35E3" w:rsidRDefault="00CB35E3">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753051">
              <w:rPr>
                <w:sz w:val="20"/>
                <w:szCs w:val="20"/>
              </w:rPr>
              <w:t>27</w:t>
            </w:r>
          </w:p>
        </w:tc>
      </w:tr>
      <w:tr w:rsidR="00CB35E3" w:rsidTr="00B56CE6">
        <w:tc>
          <w:tcPr>
            <w:tcW w:w="900" w:type="dxa"/>
            <w:tcBorders>
              <w:top w:val="single" w:sz="6" w:space="0" w:color="000000"/>
              <w:left w:val="single" w:sz="8" w:space="0" w:color="000000"/>
              <w:bottom w:val="single" w:sz="8" w:space="0" w:color="000000"/>
              <w:right w:val="single" w:sz="6" w:space="0" w:color="000000"/>
            </w:tcBorders>
          </w:tcPr>
          <w:p w:rsidR="00CB35E3" w:rsidRPr="00B56CE6" w:rsidRDefault="00CB35E3">
            <w:pPr>
              <w:spacing w:line="120" w:lineRule="exact"/>
              <w:rPr>
                <w:b/>
                <w:color w:val="000000"/>
                <w:sz w:val="18"/>
                <w:szCs w:val="18"/>
              </w:rPr>
            </w:pPr>
          </w:p>
          <w:p w:rsidR="00CB35E3" w:rsidRPr="00B56CE6" w:rsidRDefault="00CB35E3">
            <w:pPr>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B56CE6">
              <w:rPr>
                <w:b/>
                <w:color w:val="000000"/>
                <w:sz w:val="18"/>
                <w:szCs w:val="18"/>
              </w:rPr>
              <w:t>Average</w:t>
            </w:r>
          </w:p>
        </w:tc>
        <w:tc>
          <w:tcPr>
            <w:tcW w:w="1440" w:type="dxa"/>
            <w:tcBorders>
              <w:top w:val="single" w:sz="6" w:space="0" w:color="000000"/>
              <w:left w:val="single" w:sz="6" w:space="0" w:color="000000"/>
              <w:bottom w:val="single" w:sz="8" w:space="0" w:color="000000"/>
              <w:right w:val="single" w:sz="6" w:space="0" w:color="000000"/>
            </w:tcBorders>
            <w:vAlign w:val="center"/>
          </w:tcPr>
          <w:p w:rsidR="00CB35E3" w:rsidRPr="00B56CE6" w:rsidRDefault="00CB35E3">
            <w:pPr>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B56CE6">
              <w:rPr>
                <w:b/>
                <w:sz w:val="20"/>
                <w:szCs w:val="20"/>
              </w:rPr>
              <w:t>0</w:t>
            </w:r>
          </w:p>
        </w:tc>
        <w:tc>
          <w:tcPr>
            <w:tcW w:w="1260" w:type="dxa"/>
            <w:tcBorders>
              <w:top w:val="single" w:sz="6" w:space="0" w:color="000000"/>
              <w:left w:val="single" w:sz="6" w:space="0" w:color="000000"/>
              <w:bottom w:val="single" w:sz="8" w:space="0" w:color="000000"/>
              <w:right w:val="single" w:sz="6" w:space="0" w:color="000000"/>
            </w:tcBorders>
            <w:vAlign w:val="center"/>
          </w:tcPr>
          <w:p w:rsidR="00CB35E3" w:rsidRPr="00B56CE6" w:rsidRDefault="00CB35E3">
            <w:pPr>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B56CE6">
              <w:rPr>
                <w:b/>
                <w:sz w:val="20"/>
                <w:szCs w:val="20"/>
              </w:rPr>
              <w:t>27</w:t>
            </w:r>
          </w:p>
        </w:tc>
        <w:tc>
          <w:tcPr>
            <w:tcW w:w="2340" w:type="dxa"/>
            <w:tcBorders>
              <w:top w:val="single" w:sz="6" w:space="0" w:color="000000"/>
              <w:left w:val="single" w:sz="6" w:space="0" w:color="000000"/>
              <w:bottom w:val="single" w:sz="8" w:space="0" w:color="000000"/>
              <w:right w:val="single" w:sz="6" w:space="0" w:color="000000"/>
            </w:tcBorders>
            <w:vAlign w:val="center"/>
          </w:tcPr>
          <w:p w:rsidR="00CB35E3" w:rsidRPr="00B56CE6" w:rsidRDefault="00CB35E3">
            <w:pPr>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B56CE6">
              <w:rPr>
                <w:b/>
                <w:sz w:val="20"/>
                <w:szCs w:val="20"/>
              </w:rPr>
              <w:t>0</w:t>
            </w:r>
          </w:p>
        </w:tc>
        <w:tc>
          <w:tcPr>
            <w:tcW w:w="1980" w:type="dxa"/>
            <w:tcBorders>
              <w:top w:val="single" w:sz="6" w:space="0" w:color="000000"/>
              <w:left w:val="single" w:sz="6" w:space="0" w:color="000000"/>
              <w:bottom w:val="single" w:sz="8" w:space="0" w:color="000000"/>
              <w:right w:val="single" w:sz="6" w:space="0" w:color="000000"/>
            </w:tcBorders>
            <w:vAlign w:val="center"/>
          </w:tcPr>
          <w:p w:rsidR="00CB35E3" w:rsidRPr="00B56CE6" w:rsidRDefault="00CB35E3">
            <w:pPr>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B56CE6">
              <w:rPr>
                <w:b/>
                <w:sz w:val="20"/>
                <w:szCs w:val="20"/>
              </w:rPr>
              <w:t>0</w:t>
            </w:r>
          </w:p>
        </w:tc>
        <w:tc>
          <w:tcPr>
            <w:tcW w:w="1439" w:type="dxa"/>
            <w:tcBorders>
              <w:top w:val="single" w:sz="6" w:space="0" w:color="000000"/>
              <w:left w:val="single" w:sz="6" w:space="0" w:color="000000"/>
              <w:bottom w:val="single" w:sz="8" w:space="0" w:color="000000"/>
              <w:right w:val="single" w:sz="8" w:space="0" w:color="000000"/>
            </w:tcBorders>
            <w:vAlign w:val="center"/>
          </w:tcPr>
          <w:p w:rsidR="00CB35E3" w:rsidRPr="00B56CE6" w:rsidRDefault="00CB35E3">
            <w:pPr>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B56CE6">
              <w:rPr>
                <w:b/>
                <w:sz w:val="20"/>
                <w:szCs w:val="20"/>
              </w:rPr>
              <w:t>27</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lastRenderedPageBreak/>
        <w:t>1</w:t>
      </w:r>
      <w:r>
        <w:rPr>
          <w:color w:val="000000"/>
        </w:rPr>
        <w:t xml:space="preserve"> </w:t>
      </w:r>
      <w:r>
        <w:rPr>
          <w:color w:val="000000"/>
          <w:sz w:val="20"/>
          <w:szCs w:val="20"/>
        </w:rPr>
        <w:t>New responden</w:t>
      </w:r>
      <w:r w:rsidR="009159DA">
        <w:rPr>
          <w:color w:val="000000"/>
          <w:sz w:val="20"/>
          <w:szCs w:val="20"/>
        </w:rPr>
        <w:t>t</w:t>
      </w:r>
      <w:r>
        <w:rPr>
          <w:color w:val="000000"/>
          <w:sz w:val="20"/>
          <w:szCs w:val="20"/>
        </w:rPr>
        <w:t xml:space="preserve">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372D0B" w:rsidRDefault="002B29A7">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002AC2">
        <w:rPr>
          <w:color w:val="000000"/>
        </w:rPr>
        <w:t>27</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9159DA" w:rsidRDefault="00CA4CD6">
      <w:pPr>
        <w:pBdr>
          <w:top w:val="single" w:sz="6" w:space="0" w:color="FFFFFF"/>
          <w:left w:val="single" w:sz="6" w:space="0" w:color="FFFFFF"/>
          <w:bottom w:val="single" w:sz="6" w:space="0" w:color="FFFFFF"/>
          <w:right w:val="single" w:sz="6" w:space="0" w:color="FFFFFF"/>
        </w:pBdr>
        <w:jc w:val="center"/>
        <w:rPr>
          <w:color w:val="000000"/>
        </w:rPr>
      </w:pPr>
      <w:r>
        <w:rPr>
          <w:color w:val="000000"/>
        </w:rPr>
        <w:t>The total number of annual responses per year is calculated using the following table</w:t>
      </w:r>
      <w:r w:rsidR="00DD64C8">
        <w:rPr>
          <w:color w:val="000000"/>
        </w:rPr>
        <w:t xml:space="preserve"> below</w:t>
      </w:r>
      <w:r>
        <w:rPr>
          <w:color w:val="000000"/>
        </w:rPr>
        <w:t>:</w:t>
      </w:r>
    </w:p>
    <w:p w:rsidR="009159DA" w:rsidRDefault="009159DA">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420"/>
        <w:gridCol w:w="1170"/>
        <w:gridCol w:w="1170"/>
        <w:gridCol w:w="1890"/>
        <w:gridCol w:w="1530"/>
      </w:tblGrid>
      <w:tr w:rsidR="00A73600" w:rsidTr="00CB35E3">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Tr="00CA5636">
        <w:tc>
          <w:tcPr>
            <w:tcW w:w="3420" w:type="dxa"/>
          </w:tcPr>
          <w:p w:rsidR="00CA4CD6" w:rsidRDefault="00CA4CD6" w:rsidP="0035325B">
            <w:pPr>
              <w:spacing w:line="120" w:lineRule="exact"/>
              <w:jc w:val="center"/>
              <w:rPr>
                <w:b/>
                <w:bCs/>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17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17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53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B35E3" w:rsidTr="00CA5636">
        <w:tc>
          <w:tcPr>
            <w:tcW w:w="3420" w:type="dxa"/>
            <w:vAlign w:val="center"/>
          </w:tcPr>
          <w:p w:rsidR="00372D0B" w:rsidRDefault="00CB35E3">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753051">
              <w:rPr>
                <w:sz w:val="20"/>
                <w:szCs w:val="20"/>
              </w:rPr>
              <w:t>Notification of construction/reconstruction</w:t>
            </w:r>
          </w:p>
        </w:tc>
        <w:tc>
          <w:tcPr>
            <w:tcW w:w="1170" w:type="dxa"/>
            <w:vAlign w:val="center"/>
          </w:tcPr>
          <w:p w:rsidR="00CB35E3"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0</w:t>
            </w:r>
          </w:p>
        </w:tc>
        <w:tc>
          <w:tcPr>
            <w:tcW w:w="1170" w:type="dxa"/>
            <w:vAlign w:val="center"/>
          </w:tcPr>
          <w:p w:rsidR="00CB35E3"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1</w:t>
            </w:r>
          </w:p>
        </w:tc>
        <w:tc>
          <w:tcPr>
            <w:tcW w:w="1890" w:type="dxa"/>
            <w:vAlign w:val="center"/>
          </w:tcPr>
          <w:p w:rsidR="00CB35E3"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0</w:t>
            </w:r>
          </w:p>
        </w:tc>
        <w:tc>
          <w:tcPr>
            <w:tcW w:w="1530" w:type="dxa"/>
            <w:vAlign w:val="center"/>
          </w:tcPr>
          <w:p w:rsidR="00CB35E3"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0</w:t>
            </w:r>
          </w:p>
        </w:tc>
      </w:tr>
      <w:tr w:rsidR="00CB35E3" w:rsidTr="00CA5636">
        <w:tc>
          <w:tcPr>
            <w:tcW w:w="3420" w:type="dxa"/>
            <w:vAlign w:val="center"/>
          </w:tcPr>
          <w:p w:rsidR="00372D0B" w:rsidRDefault="00CB35E3">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753051">
              <w:rPr>
                <w:sz w:val="20"/>
                <w:szCs w:val="20"/>
              </w:rPr>
              <w:t>Notification of physical or operational changes</w:t>
            </w:r>
          </w:p>
        </w:tc>
        <w:tc>
          <w:tcPr>
            <w:tcW w:w="1170" w:type="dxa"/>
            <w:vAlign w:val="center"/>
          </w:tcPr>
          <w:p w:rsidR="00CB35E3"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27</w:t>
            </w:r>
          </w:p>
        </w:tc>
        <w:tc>
          <w:tcPr>
            <w:tcW w:w="1170" w:type="dxa"/>
            <w:vAlign w:val="center"/>
          </w:tcPr>
          <w:p w:rsidR="00CB35E3"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3</w:t>
            </w:r>
          </w:p>
        </w:tc>
        <w:tc>
          <w:tcPr>
            <w:tcW w:w="1890" w:type="dxa"/>
            <w:vAlign w:val="center"/>
          </w:tcPr>
          <w:p w:rsidR="00CB35E3"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0</w:t>
            </w:r>
          </w:p>
        </w:tc>
        <w:tc>
          <w:tcPr>
            <w:tcW w:w="1530" w:type="dxa"/>
            <w:vAlign w:val="center"/>
          </w:tcPr>
          <w:p w:rsidR="00CB35E3"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81</w:t>
            </w:r>
          </w:p>
        </w:tc>
      </w:tr>
      <w:tr w:rsidR="00CB35E3" w:rsidTr="00CA5636">
        <w:tc>
          <w:tcPr>
            <w:tcW w:w="3420" w:type="dxa"/>
            <w:vAlign w:val="center"/>
          </w:tcPr>
          <w:p w:rsidR="00372D0B" w:rsidRDefault="00CB35E3">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753051">
              <w:rPr>
                <w:sz w:val="20"/>
                <w:szCs w:val="20"/>
              </w:rPr>
              <w:t>Notification of actual startup</w:t>
            </w:r>
          </w:p>
        </w:tc>
        <w:tc>
          <w:tcPr>
            <w:tcW w:w="1170" w:type="dxa"/>
            <w:vAlign w:val="center"/>
          </w:tcPr>
          <w:p w:rsidR="00CB35E3"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0</w:t>
            </w:r>
          </w:p>
        </w:tc>
        <w:tc>
          <w:tcPr>
            <w:tcW w:w="1170" w:type="dxa"/>
            <w:vAlign w:val="center"/>
          </w:tcPr>
          <w:p w:rsidR="00CB35E3"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1</w:t>
            </w:r>
          </w:p>
        </w:tc>
        <w:tc>
          <w:tcPr>
            <w:tcW w:w="1890" w:type="dxa"/>
            <w:vAlign w:val="center"/>
          </w:tcPr>
          <w:p w:rsidR="00CB35E3"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0</w:t>
            </w:r>
          </w:p>
        </w:tc>
        <w:tc>
          <w:tcPr>
            <w:tcW w:w="1530" w:type="dxa"/>
            <w:vAlign w:val="center"/>
          </w:tcPr>
          <w:p w:rsidR="00CB35E3"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0</w:t>
            </w:r>
          </w:p>
        </w:tc>
      </w:tr>
      <w:tr w:rsidR="00CB35E3" w:rsidTr="00CA5636">
        <w:tc>
          <w:tcPr>
            <w:tcW w:w="3420" w:type="dxa"/>
            <w:vAlign w:val="center"/>
          </w:tcPr>
          <w:p w:rsidR="00372D0B" w:rsidRDefault="00CB35E3">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753051">
              <w:rPr>
                <w:sz w:val="20"/>
                <w:szCs w:val="20"/>
              </w:rPr>
              <w:t>Notification of initial performance test</w:t>
            </w:r>
          </w:p>
        </w:tc>
        <w:tc>
          <w:tcPr>
            <w:tcW w:w="1170" w:type="dxa"/>
            <w:vAlign w:val="center"/>
          </w:tcPr>
          <w:p w:rsidR="00CB35E3"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0</w:t>
            </w:r>
          </w:p>
        </w:tc>
        <w:tc>
          <w:tcPr>
            <w:tcW w:w="1170" w:type="dxa"/>
            <w:vAlign w:val="center"/>
          </w:tcPr>
          <w:p w:rsidR="00CB35E3"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1</w:t>
            </w:r>
          </w:p>
        </w:tc>
        <w:tc>
          <w:tcPr>
            <w:tcW w:w="1890" w:type="dxa"/>
            <w:vAlign w:val="center"/>
          </w:tcPr>
          <w:p w:rsidR="00CB35E3"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0</w:t>
            </w:r>
          </w:p>
        </w:tc>
        <w:tc>
          <w:tcPr>
            <w:tcW w:w="1530" w:type="dxa"/>
            <w:vAlign w:val="center"/>
          </w:tcPr>
          <w:p w:rsidR="00CB35E3"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0</w:t>
            </w:r>
          </w:p>
        </w:tc>
      </w:tr>
      <w:tr w:rsidR="00CB35E3" w:rsidTr="00CA5636">
        <w:tc>
          <w:tcPr>
            <w:tcW w:w="3420" w:type="dxa"/>
            <w:vAlign w:val="center"/>
          </w:tcPr>
          <w:p w:rsidR="00CB35E3" w:rsidDel="00CB35E3" w:rsidRDefault="00CB35E3">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753051">
              <w:rPr>
                <w:sz w:val="20"/>
                <w:szCs w:val="20"/>
              </w:rPr>
              <w:t>Notification of applicability</w:t>
            </w:r>
          </w:p>
        </w:tc>
        <w:tc>
          <w:tcPr>
            <w:tcW w:w="1170" w:type="dxa"/>
            <w:vAlign w:val="center"/>
          </w:tcPr>
          <w:p w:rsidR="00372D0B"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0</w:t>
            </w:r>
          </w:p>
        </w:tc>
        <w:tc>
          <w:tcPr>
            <w:tcW w:w="1170" w:type="dxa"/>
            <w:vAlign w:val="center"/>
          </w:tcPr>
          <w:p w:rsidR="00372D0B"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1</w:t>
            </w:r>
          </w:p>
        </w:tc>
        <w:tc>
          <w:tcPr>
            <w:tcW w:w="1890" w:type="dxa"/>
            <w:vAlign w:val="center"/>
          </w:tcPr>
          <w:p w:rsidR="00372D0B"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0</w:t>
            </w:r>
          </w:p>
        </w:tc>
        <w:tc>
          <w:tcPr>
            <w:tcW w:w="1530" w:type="dxa"/>
            <w:vAlign w:val="center"/>
          </w:tcPr>
          <w:p w:rsidR="00372D0B"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0</w:t>
            </w:r>
          </w:p>
        </w:tc>
      </w:tr>
      <w:tr w:rsidR="00CB35E3" w:rsidTr="00CA5636">
        <w:tc>
          <w:tcPr>
            <w:tcW w:w="3420" w:type="dxa"/>
            <w:vAlign w:val="center"/>
          </w:tcPr>
          <w:p w:rsidR="00CB35E3" w:rsidDel="00CB35E3" w:rsidRDefault="00CB35E3">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753051">
              <w:rPr>
                <w:sz w:val="20"/>
                <w:szCs w:val="20"/>
              </w:rPr>
              <w:t>Notification of demonstration of CMS</w:t>
            </w:r>
          </w:p>
        </w:tc>
        <w:tc>
          <w:tcPr>
            <w:tcW w:w="1170" w:type="dxa"/>
            <w:vAlign w:val="center"/>
          </w:tcPr>
          <w:p w:rsidR="00372D0B"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0</w:t>
            </w:r>
          </w:p>
        </w:tc>
        <w:tc>
          <w:tcPr>
            <w:tcW w:w="1170" w:type="dxa"/>
            <w:vAlign w:val="center"/>
          </w:tcPr>
          <w:p w:rsidR="00372D0B"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1</w:t>
            </w:r>
          </w:p>
        </w:tc>
        <w:tc>
          <w:tcPr>
            <w:tcW w:w="1890" w:type="dxa"/>
            <w:vAlign w:val="center"/>
          </w:tcPr>
          <w:p w:rsidR="00372D0B"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0</w:t>
            </w:r>
          </w:p>
        </w:tc>
        <w:tc>
          <w:tcPr>
            <w:tcW w:w="1530" w:type="dxa"/>
            <w:vAlign w:val="center"/>
          </w:tcPr>
          <w:p w:rsidR="00372D0B"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0</w:t>
            </w:r>
          </w:p>
        </w:tc>
      </w:tr>
      <w:tr w:rsidR="00CB35E3" w:rsidTr="00CA5636">
        <w:tc>
          <w:tcPr>
            <w:tcW w:w="3420" w:type="dxa"/>
            <w:vAlign w:val="center"/>
          </w:tcPr>
          <w:p w:rsidR="00CB35E3" w:rsidDel="00CB35E3" w:rsidRDefault="00CB35E3">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753051">
              <w:rPr>
                <w:sz w:val="20"/>
                <w:szCs w:val="20"/>
              </w:rPr>
              <w:t>Notification of compliance status</w:t>
            </w:r>
          </w:p>
        </w:tc>
        <w:tc>
          <w:tcPr>
            <w:tcW w:w="1170" w:type="dxa"/>
            <w:vAlign w:val="center"/>
          </w:tcPr>
          <w:p w:rsidR="00372D0B"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0</w:t>
            </w:r>
          </w:p>
        </w:tc>
        <w:tc>
          <w:tcPr>
            <w:tcW w:w="1170" w:type="dxa"/>
            <w:vAlign w:val="center"/>
          </w:tcPr>
          <w:p w:rsidR="00372D0B"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1</w:t>
            </w:r>
          </w:p>
        </w:tc>
        <w:tc>
          <w:tcPr>
            <w:tcW w:w="1890" w:type="dxa"/>
            <w:vAlign w:val="center"/>
          </w:tcPr>
          <w:p w:rsidR="00372D0B"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0</w:t>
            </w:r>
          </w:p>
        </w:tc>
        <w:tc>
          <w:tcPr>
            <w:tcW w:w="1530" w:type="dxa"/>
            <w:vAlign w:val="center"/>
          </w:tcPr>
          <w:p w:rsidR="00372D0B"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0</w:t>
            </w:r>
          </w:p>
        </w:tc>
      </w:tr>
      <w:tr w:rsidR="00CB35E3" w:rsidTr="00CA5636">
        <w:tc>
          <w:tcPr>
            <w:tcW w:w="3420" w:type="dxa"/>
            <w:vAlign w:val="center"/>
          </w:tcPr>
          <w:p w:rsidR="00CB35E3" w:rsidDel="00CB35E3" w:rsidRDefault="00CB35E3">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753051">
              <w:rPr>
                <w:sz w:val="20"/>
                <w:szCs w:val="20"/>
              </w:rPr>
              <w:t>Pre-compliance report (emission averaging)</w:t>
            </w:r>
          </w:p>
        </w:tc>
        <w:tc>
          <w:tcPr>
            <w:tcW w:w="1170" w:type="dxa"/>
            <w:vAlign w:val="center"/>
          </w:tcPr>
          <w:p w:rsidR="00372D0B"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0</w:t>
            </w:r>
          </w:p>
        </w:tc>
        <w:tc>
          <w:tcPr>
            <w:tcW w:w="1170" w:type="dxa"/>
            <w:vAlign w:val="center"/>
          </w:tcPr>
          <w:p w:rsidR="00372D0B"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1</w:t>
            </w:r>
          </w:p>
        </w:tc>
        <w:tc>
          <w:tcPr>
            <w:tcW w:w="1890" w:type="dxa"/>
            <w:vAlign w:val="center"/>
          </w:tcPr>
          <w:p w:rsidR="00372D0B"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0</w:t>
            </w:r>
          </w:p>
        </w:tc>
        <w:tc>
          <w:tcPr>
            <w:tcW w:w="1530" w:type="dxa"/>
            <w:vAlign w:val="center"/>
          </w:tcPr>
          <w:p w:rsidR="00372D0B"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0</w:t>
            </w:r>
          </w:p>
        </w:tc>
      </w:tr>
      <w:tr w:rsidR="00CB35E3" w:rsidTr="00CA5636">
        <w:tc>
          <w:tcPr>
            <w:tcW w:w="3420" w:type="dxa"/>
            <w:vAlign w:val="center"/>
          </w:tcPr>
          <w:p w:rsidR="00CB35E3" w:rsidDel="00CB35E3" w:rsidRDefault="00CB35E3">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753051">
              <w:rPr>
                <w:sz w:val="20"/>
                <w:szCs w:val="20"/>
              </w:rPr>
              <w:t>Malfunction</w:t>
            </w:r>
          </w:p>
        </w:tc>
        <w:tc>
          <w:tcPr>
            <w:tcW w:w="1170" w:type="dxa"/>
            <w:vAlign w:val="center"/>
          </w:tcPr>
          <w:p w:rsidR="00372D0B"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27</w:t>
            </w:r>
          </w:p>
        </w:tc>
        <w:tc>
          <w:tcPr>
            <w:tcW w:w="1170" w:type="dxa"/>
            <w:vAlign w:val="center"/>
          </w:tcPr>
          <w:p w:rsidR="00372D0B"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2</w:t>
            </w:r>
          </w:p>
        </w:tc>
        <w:tc>
          <w:tcPr>
            <w:tcW w:w="1890" w:type="dxa"/>
            <w:vAlign w:val="center"/>
          </w:tcPr>
          <w:p w:rsidR="00372D0B"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0</w:t>
            </w:r>
          </w:p>
        </w:tc>
        <w:tc>
          <w:tcPr>
            <w:tcW w:w="1530" w:type="dxa"/>
            <w:vAlign w:val="center"/>
          </w:tcPr>
          <w:p w:rsidR="00372D0B"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54</w:t>
            </w:r>
          </w:p>
        </w:tc>
      </w:tr>
      <w:tr w:rsidR="00CB35E3" w:rsidTr="00CA5636">
        <w:tc>
          <w:tcPr>
            <w:tcW w:w="3420" w:type="dxa"/>
            <w:vAlign w:val="center"/>
          </w:tcPr>
          <w:p w:rsidR="00CB35E3" w:rsidDel="00CB35E3" w:rsidRDefault="00CB35E3">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753051">
              <w:rPr>
                <w:sz w:val="20"/>
                <w:szCs w:val="20"/>
              </w:rPr>
              <w:t>No deviations</w:t>
            </w:r>
          </w:p>
        </w:tc>
        <w:tc>
          <w:tcPr>
            <w:tcW w:w="1170" w:type="dxa"/>
            <w:vAlign w:val="center"/>
          </w:tcPr>
          <w:p w:rsidR="00372D0B"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24</w:t>
            </w:r>
          </w:p>
        </w:tc>
        <w:tc>
          <w:tcPr>
            <w:tcW w:w="1170" w:type="dxa"/>
            <w:vAlign w:val="center"/>
          </w:tcPr>
          <w:p w:rsidR="00372D0B"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2</w:t>
            </w:r>
          </w:p>
        </w:tc>
        <w:tc>
          <w:tcPr>
            <w:tcW w:w="1890" w:type="dxa"/>
            <w:vAlign w:val="center"/>
          </w:tcPr>
          <w:p w:rsidR="00372D0B"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0</w:t>
            </w:r>
          </w:p>
        </w:tc>
        <w:tc>
          <w:tcPr>
            <w:tcW w:w="1530" w:type="dxa"/>
            <w:vAlign w:val="center"/>
          </w:tcPr>
          <w:p w:rsidR="00372D0B"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48</w:t>
            </w:r>
          </w:p>
        </w:tc>
      </w:tr>
      <w:tr w:rsidR="00CB35E3" w:rsidTr="00CA5636">
        <w:tc>
          <w:tcPr>
            <w:tcW w:w="3420" w:type="dxa"/>
            <w:vAlign w:val="center"/>
          </w:tcPr>
          <w:p w:rsidR="00CB35E3" w:rsidDel="00CB35E3" w:rsidRDefault="00CB35E3">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753051">
              <w:rPr>
                <w:sz w:val="20"/>
                <w:szCs w:val="20"/>
              </w:rPr>
              <w:t>Deviations</w:t>
            </w:r>
          </w:p>
        </w:tc>
        <w:tc>
          <w:tcPr>
            <w:tcW w:w="1170" w:type="dxa"/>
            <w:vAlign w:val="center"/>
          </w:tcPr>
          <w:p w:rsidR="00372D0B"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3</w:t>
            </w:r>
          </w:p>
        </w:tc>
        <w:tc>
          <w:tcPr>
            <w:tcW w:w="1170" w:type="dxa"/>
            <w:vAlign w:val="center"/>
          </w:tcPr>
          <w:p w:rsidR="00372D0B"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2</w:t>
            </w:r>
          </w:p>
        </w:tc>
        <w:tc>
          <w:tcPr>
            <w:tcW w:w="1890" w:type="dxa"/>
            <w:vAlign w:val="center"/>
          </w:tcPr>
          <w:p w:rsidR="00372D0B"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0</w:t>
            </w:r>
          </w:p>
        </w:tc>
        <w:tc>
          <w:tcPr>
            <w:tcW w:w="1530" w:type="dxa"/>
            <w:vAlign w:val="center"/>
          </w:tcPr>
          <w:p w:rsidR="00372D0B"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6</w:t>
            </w:r>
          </w:p>
        </w:tc>
      </w:tr>
      <w:tr w:rsidR="00CB35E3" w:rsidTr="00CA5636">
        <w:tc>
          <w:tcPr>
            <w:tcW w:w="3420" w:type="dxa"/>
            <w:vAlign w:val="center"/>
          </w:tcPr>
          <w:p w:rsidR="00CB35E3" w:rsidDel="00CB35E3" w:rsidRDefault="00CB35E3">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753051">
              <w:rPr>
                <w:sz w:val="20"/>
                <w:szCs w:val="20"/>
              </w:rPr>
              <w:t>LDAR report</w:t>
            </w:r>
          </w:p>
        </w:tc>
        <w:tc>
          <w:tcPr>
            <w:tcW w:w="1170" w:type="dxa"/>
            <w:vAlign w:val="center"/>
          </w:tcPr>
          <w:p w:rsidR="00372D0B"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27</w:t>
            </w:r>
          </w:p>
        </w:tc>
        <w:tc>
          <w:tcPr>
            <w:tcW w:w="1170" w:type="dxa"/>
            <w:vAlign w:val="center"/>
          </w:tcPr>
          <w:p w:rsidR="00372D0B"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2</w:t>
            </w:r>
          </w:p>
        </w:tc>
        <w:tc>
          <w:tcPr>
            <w:tcW w:w="1890" w:type="dxa"/>
            <w:vAlign w:val="center"/>
          </w:tcPr>
          <w:p w:rsidR="00372D0B"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0</w:t>
            </w:r>
          </w:p>
        </w:tc>
        <w:tc>
          <w:tcPr>
            <w:tcW w:w="1530" w:type="dxa"/>
            <w:vAlign w:val="center"/>
          </w:tcPr>
          <w:p w:rsidR="00372D0B"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54</w:t>
            </w:r>
          </w:p>
        </w:tc>
      </w:tr>
      <w:tr w:rsidR="00CB35E3" w:rsidTr="00CA5636">
        <w:tc>
          <w:tcPr>
            <w:tcW w:w="3420" w:type="dxa"/>
            <w:vAlign w:val="center"/>
          </w:tcPr>
          <w:p w:rsidR="00372D0B" w:rsidRDefault="00CB35E3">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753051">
              <w:rPr>
                <w:sz w:val="20"/>
                <w:szCs w:val="20"/>
              </w:rPr>
              <w:t>Emissions averaging report</w:t>
            </w:r>
          </w:p>
        </w:tc>
        <w:tc>
          <w:tcPr>
            <w:tcW w:w="1170" w:type="dxa"/>
            <w:vAlign w:val="center"/>
          </w:tcPr>
          <w:p w:rsidR="00CB35E3"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3</w:t>
            </w:r>
          </w:p>
        </w:tc>
        <w:tc>
          <w:tcPr>
            <w:tcW w:w="1170" w:type="dxa"/>
            <w:vAlign w:val="center"/>
          </w:tcPr>
          <w:p w:rsidR="00CB35E3"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2</w:t>
            </w:r>
          </w:p>
        </w:tc>
        <w:tc>
          <w:tcPr>
            <w:tcW w:w="1890" w:type="dxa"/>
            <w:vAlign w:val="center"/>
          </w:tcPr>
          <w:p w:rsidR="00CB35E3"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0</w:t>
            </w:r>
          </w:p>
        </w:tc>
        <w:tc>
          <w:tcPr>
            <w:tcW w:w="1530" w:type="dxa"/>
            <w:vAlign w:val="center"/>
          </w:tcPr>
          <w:p w:rsidR="00CB35E3"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6</w:t>
            </w:r>
          </w:p>
        </w:tc>
      </w:tr>
      <w:tr w:rsidR="00CB35E3" w:rsidTr="00CA5636">
        <w:tc>
          <w:tcPr>
            <w:tcW w:w="3420" w:type="dxa"/>
            <w:vAlign w:val="center"/>
          </w:tcPr>
          <w:p w:rsidR="00372D0B" w:rsidRDefault="00CB35E3">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753051">
              <w:rPr>
                <w:sz w:val="20"/>
                <w:szCs w:val="20"/>
              </w:rPr>
              <w:t>Reports of malfunctions that result in an exceedances of the standard for the purpose of affirmative defense</w:t>
            </w:r>
          </w:p>
        </w:tc>
        <w:tc>
          <w:tcPr>
            <w:tcW w:w="1170" w:type="dxa"/>
            <w:vAlign w:val="center"/>
          </w:tcPr>
          <w:p w:rsidR="00CB35E3"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27</w:t>
            </w:r>
          </w:p>
        </w:tc>
        <w:tc>
          <w:tcPr>
            <w:tcW w:w="1170" w:type="dxa"/>
            <w:vAlign w:val="center"/>
          </w:tcPr>
          <w:p w:rsidR="00CB35E3"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0.025</w:t>
            </w:r>
          </w:p>
        </w:tc>
        <w:tc>
          <w:tcPr>
            <w:tcW w:w="1890" w:type="dxa"/>
            <w:vAlign w:val="center"/>
          </w:tcPr>
          <w:p w:rsidR="00CB35E3" w:rsidRDefault="00CB35E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53051">
              <w:rPr>
                <w:sz w:val="20"/>
                <w:szCs w:val="20"/>
              </w:rPr>
              <w:t>0</w:t>
            </w:r>
          </w:p>
        </w:tc>
        <w:tc>
          <w:tcPr>
            <w:tcW w:w="1530" w:type="dxa"/>
            <w:vAlign w:val="center"/>
          </w:tcPr>
          <w:p w:rsidR="00CB35E3" w:rsidRDefault="00CB35E3">
            <w:pPr>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sidRPr="00753051">
              <w:rPr>
                <w:sz w:val="20"/>
                <w:szCs w:val="20"/>
              </w:rPr>
              <w:t>0.7</w:t>
            </w:r>
          </w:p>
        </w:tc>
      </w:tr>
      <w:tr w:rsidR="00CB35E3" w:rsidTr="00CA5636">
        <w:tc>
          <w:tcPr>
            <w:tcW w:w="3420" w:type="dxa"/>
            <w:vAlign w:val="center"/>
          </w:tcPr>
          <w:p w:rsidR="00372D0B" w:rsidRPr="00CA5636" w:rsidRDefault="00CB35E3">
            <w:pPr>
              <w:pBdr>
                <w:top w:val="single" w:sz="6" w:space="0" w:color="FFFFFF"/>
                <w:left w:val="single" w:sz="6" w:space="0" w:color="FFFFFF"/>
                <w:bottom w:val="single" w:sz="6" w:space="0" w:color="FFFFFF"/>
                <w:right w:val="single" w:sz="6" w:space="0" w:color="FFFFFF"/>
              </w:pBdr>
              <w:spacing w:after="52"/>
              <w:rPr>
                <w:b/>
                <w:sz w:val="20"/>
                <w:szCs w:val="20"/>
              </w:rPr>
            </w:pPr>
            <w:r w:rsidRPr="00CA5636">
              <w:rPr>
                <w:b/>
                <w:sz w:val="20"/>
                <w:szCs w:val="20"/>
              </w:rPr>
              <w:t>Total Number of Annual Responses</w:t>
            </w:r>
          </w:p>
        </w:tc>
        <w:tc>
          <w:tcPr>
            <w:tcW w:w="1170" w:type="dxa"/>
            <w:vAlign w:val="center"/>
          </w:tcPr>
          <w:p w:rsidR="00CB35E3" w:rsidRPr="00CA5636" w:rsidRDefault="00CB35E3">
            <w:pPr>
              <w:pBdr>
                <w:top w:val="single" w:sz="6" w:space="0" w:color="FFFFFF"/>
                <w:left w:val="single" w:sz="6" w:space="0" w:color="FFFFFF"/>
                <w:bottom w:val="single" w:sz="6" w:space="0" w:color="FFFFFF"/>
                <w:right w:val="single" w:sz="6" w:space="0" w:color="FFFFFF"/>
              </w:pBdr>
              <w:spacing w:after="52"/>
              <w:jc w:val="center"/>
              <w:rPr>
                <w:b/>
                <w:sz w:val="20"/>
                <w:szCs w:val="20"/>
              </w:rPr>
            </w:pPr>
          </w:p>
        </w:tc>
        <w:tc>
          <w:tcPr>
            <w:tcW w:w="1170" w:type="dxa"/>
            <w:vAlign w:val="center"/>
          </w:tcPr>
          <w:p w:rsidR="00CB35E3" w:rsidRPr="00CA5636" w:rsidRDefault="00CB35E3">
            <w:pPr>
              <w:pBdr>
                <w:top w:val="single" w:sz="6" w:space="0" w:color="FFFFFF"/>
                <w:left w:val="single" w:sz="6" w:space="0" w:color="FFFFFF"/>
                <w:bottom w:val="single" w:sz="6" w:space="0" w:color="FFFFFF"/>
                <w:right w:val="single" w:sz="6" w:space="0" w:color="FFFFFF"/>
              </w:pBdr>
              <w:spacing w:after="52"/>
              <w:jc w:val="center"/>
              <w:rPr>
                <w:b/>
                <w:sz w:val="20"/>
                <w:szCs w:val="20"/>
              </w:rPr>
            </w:pPr>
          </w:p>
        </w:tc>
        <w:tc>
          <w:tcPr>
            <w:tcW w:w="1890" w:type="dxa"/>
            <w:vAlign w:val="center"/>
          </w:tcPr>
          <w:p w:rsidR="00CB35E3" w:rsidRPr="00CA5636" w:rsidRDefault="00CB35E3">
            <w:pPr>
              <w:pBdr>
                <w:top w:val="single" w:sz="6" w:space="0" w:color="FFFFFF"/>
                <w:left w:val="single" w:sz="6" w:space="0" w:color="FFFFFF"/>
                <w:bottom w:val="single" w:sz="6" w:space="0" w:color="FFFFFF"/>
                <w:right w:val="single" w:sz="6" w:space="0" w:color="FFFFFF"/>
              </w:pBdr>
              <w:spacing w:after="52"/>
              <w:jc w:val="center"/>
              <w:rPr>
                <w:b/>
                <w:sz w:val="20"/>
                <w:szCs w:val="20"/>
              </w:rPr>
            </w:pPr>
            <w:r w:rsidRPr="00CA5636">
              <w:rPr>
                <w:b/>
                <w:sz w:val="20"/>
                <w:szCs w:val="20"/>
              </w:rPr>
              <w:t>Total</w:t>
            </w:r>
          </w:p>
        </w:tc>
        <w:tc>
          <w:tcPr>
            <w:tcW w:w="1530" w:type="dxa"/>
            <w:vAlign w:val="center"/>
          </w:tcPr>
          <w:p w:rsidR="00CB35E3" w:rsidRPr="00CA5636" w:rsidRDefault="00CB35E3">
            <w:pPr>
              <w:pBdr>
                <w:top w:val="single" w:sz="6" w:space="0" w:color="FFFFFF"/>
                <w:left w:val="single" w:sz="6" w:space="0" w:color="FFFFFF"/>
                <w:bottom w:val="single" w:sz="6" w:space="0" w:color="FFFFFF"/>
                <w:right w:val="single" w:sz="6" w:space="0" w:color="FFFFFF"/>
              </w:pBdr>
              <w:spacing w:after="52"/>
              <w:jc w:val="center"/>
              <w:rPr>
                <w:b/>
                <w:sz w:val="20"/>
                <w:szCs w:val="20"/>
              </w:rPr>
            </w:pPr>
            <w:r w:rsidRPr="00CA5636">
              <w:rPr>
                <w:b/>
                <w:sz w:val="20"/>
                <w:szCs w:val="20"/>
              </w:rPr>
              <w:t>2</w:t>
            </w:r>
            <w:r w:rsidR="00F23BF1">
              <w:rPr>
                <w:b/>
                <w:sz w:val="20"/>
                <w:szCs w:val="20"/>
              </w:rPr>
              <w:t>49.7</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8B67A4" w:rsidRPr="008B67A4">
        <w:t>250</w:t>
      </w:r>
      <w:r w:rsidR="00F23BF1">
        <w:t xml:space="preserve"> (rounded)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D32280">
        <w:rPr>
          <w:color w:val="000000"/>
        </w:rPr>
        <w:t>$4,3</w:t>
      </w:r>
      <w:r w:rsidR="005F2F34">
        <w:rPr>
          <w:color w:val="000000"/>
        </w:rPr>
        <w:t>30</w:t>
      </w:r>
      <w:r w:rsidR="00D32280">
        <w:rPr>
          <w:color w:val="000000"/>
        </w:rPr>
        <w:t>,</w:t>
      </w:r>
      <w:r w:rsidR="005F2F34">
        <w:rPr>
          <w:color w:val="000000"/>
        </w:rPr>
        <w:t>252</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F0734E" w:rsidRPr="00AE359F">
        <w:t xml:space="preserve">Table 1: Annual Respondent Burden and Cost – </w:t>
      </w:r>
      <w:r w:rsidR="00F0734E">
        <w:t>NESHAP for Pharmaceuticals Production (40 CFR Part 63, Subpart GGG)</w:t>
      </w:r>
      <w:r w:rsidR="00F0734E" w:rsidRPr="00AE359F">
        <w:rPr>
          <w:bCs/>
        </w:rPr>
        <w:t xml:space="preserve"> (Renewal)</w:t>
      </w:r>
      <w:r w:rsidR="00F0734E" w:rsidRPr="00AE359F">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w:t>
      </w:r>
      <w:r>
        <w:rPr>
          <w:color w:val="000000"/>
        </w:rPr>
        <w:lastRenderedPageBreak/>
        <w:t xml:space="preserve">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F0734E"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D32280">
        <w:rPr>
          <w:color w:val="000000"/>
        </w:rPr>
        <w:t>44,2</w:t>
      </w:r>
      <w:r w:rsidR="005F2F34">
        <w:rPr>
          <w:color w:val="000000"/>
        </w:rPr>
        <w:t>66</w:t>
      </w:r>
      <w:r w:rsidR="00CA5636">
        <w:rPr>
          <w:color w:val="000000"/>
        </w:rPr>
        <w:t xml:space="preserve"> </w:t>
      </w:r>
      <w:r w:rsidR="00DD64C8">
        <w:rPr>
          <w:color w:val="000000"/>
        </w:rPr>
        <w:t xml:space="preserve">hours </w:t>
      </w:r>
      <w:r w:rsidR="00CA5636">
        <w:rPr>
          <w:color w:val="000000"/>
        </w:rPr>
        <w:t>at a cost of $4,330,252</w:t>
      </w:r>
      <w:r>
        <w:rPr>
          <w:color w:val="000000"/>
        </w:rPr>
        <w:t>.</w:t>
      </w:r>
      <w:r w:rsidR="00507EC5">
        <w:rPr>
          <w:color w:val="000000"/>
        </w:rPr>
        <w:t xml:space="preserve">  </w:t>
      </w:r>
      <w:r>
        <w:rPr>
          <w:color w:val="000000"/>
        </w:rPr>
        <w:t>Details regarding these estimates may be found</w:t>
      </w:r>
      <w:r w:rsidR="00CA5636">
        <w:rPr>
          <w:color w:val="000000"/>
        </w:rPr>
        <w:t xml:space="preserve"> below</w:t>
      </w:r>
      <w:r>
        <w:rPr>
          <w:color w:val="000000"/>
        </w:rPr>
        <w:t xml:space="preserve"> in </w:t>
      </w:r>
      <w:r w:rsidR="00F0734E" w:rsidRPr="00AE359F">
        <w:t xml:space="preserve">Table 1: Annual Respondent Burden and Cost – </w:t>
      </w:r>
      <w:r w:rsidR="00F0734E">
        <w:t>NESHAP for Pharmaceuticals Production (40 CFR Part 63, Subpart GGG)</w:t>
      </w:r>
      <w:r w:rsidR="00F0734E" w:rsidRPr="00AE359F">
        <w:rPr>
          <w:bCs/>
        </w:rPr>
        <w:t xml:space="preserve"> (Renewal)</w:t>
      </w:r>
      <w:r w:rsidR="00F0734E" w:rsidRPr="00AE359F">
        <w:t>.</w:t>
      </w:r>
    </w:p>
    <w:p w:rsidR="00144F35" w:rsidRDefault="00F0734E" w:rsidP="0021722B">
      <w:pPr>
        <w:pBdr>
          <w:top w:val="single" w:sz="6" w:space="0" w:color="FFFFFF"/>
          <w:left w:val="single" w:sz="6" w:space="0" w:color="FFFFFF"/>
          <w:bottom w:val="single" w:sz="6" w:space="0" w:color="FFFFFF"/>
          <w:right w:val="single" w:sz="6" w:space="0" w:color="FFFFFF"/>
        </w:pBdr>
        <w:ind w:firstLine="720"/>
        <w:rPr>
          <w:color w:val="000000"/>
        </w:rPr>
      </w:pPr>
      <w:r w:rsidDel="00F0734E">
        <w:rPr>
          <w:color w:val="000000"/>
        </w:rPr>
        <w:t xml:space="preserve"> </w:t>
      </w: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D32280">
        <w:rPr>
          <w:color w:val="000000"/>
        </w:rPr>
        <w:t>177</w:t>
      </w:r>
      <w:r w:rsidRPr="00BE6A2C">
        <w:rPr>
          <w:color w:val="FF0000"/>
        </w:rPr>
        <w:t xml:space="preserve">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D32280">
        <w:rPr>
          <w:color w:val="000000"/>
        </w:rPr>
        <w:t>$112,266</w:t>
      </w:r>
      <w:r w:rsidR="00507EC5">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781847">
        <w:rPr>
          <w:color w:val="000000"/>
        </w:rPr>
        <w:t>1,5</w:t>
      </w:r>
      <w:r w:rsidR="00681E0A">
        <w:rPr>
          <w:color w:val="000000"/>
        </w:rPr>
        <w:t>8</w:t>
      </w:r>
      <w:r w:rsidR="00781847">
        <w:rPr>
          <w:color w:val="000000"/>
        </w:rPr>
        <w:t>7</w:t>
      </w:r>
      <w:r>
        <w:rPr>
          <w:color w:val="000000"/>
        </w:rPr>
        <w:t xml:space="preserve"> labor hours at a cost of </w:t>
      </w:r>
      <w:r w:rsidR="00781847">
        <w:rPr>
          <w:color w:val="000000"/>
        </w:rPr>
        <w:t>$71,</w:t>
      </w:r>
      <w:r w:rsidR="00681E0A">
        <w:rPr>
          <w:color w:val="000000"/>
        </w:rPr>
        <w:t>518</w:t>
      </w:r>
      <w:r w:rsidR="00144F35">
        <w:rPr>
          <w:color w:val="000000"/>
        </w:rPr>
        <w:t xml:space="preserve">.  See </w:t>
      </w:r>
      <w:r w:rsidR="00CA5636">
        <w:rPr>
          <w:color w:val="000000"/>
        </w:rPr>
        <w:t xml:space="preserve">below </w:t>
      </w:r>
      <w:r w:rsidR="005C66DD" w:rsidRPr="00AE359F">
        <w:t xml:space="preserve">Table 2: Average Annual EPA Burden and Cost – </w:t>
      </w:r>
      <w:r w:rsidR="005C66DD">
        <w:t>NESHAP for Pharmaceuticals Production (40 CFR Part 63, Subpart GGG)</w:t>
      </w:r>
      <w:r w:rsidR="005C66DD" w:rsidRPr="00AE359F">
        <w:rPr>
          <w:bCs/>
        </w:rPr>
        <w:t xml:space="preserve"> (Renewal)</w:t>
      </w:r>
      <w:r w:rsidR="005C66DD" w:rsidRPr="00AE359F">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D2069" w:rsidRPr="00681E0A" w:rsidRDefault="00CD2069" w:rsidP="00681E0A">
      <w:pPr>
        <w:pBdr>
          <w:top w:val="single" w:sz="6" w:space="0" w:color="FFFFFF"/>
          <w:left w:val="single" w:sz="6" w:space="0" w:color="FFFFFF"/>
          <w:bottom w:val="single" w:sz="6" w:space="0" w:color="FFFFFF"/>
          <w:right w:val="single" w:sz="6" w:space="0" w:color="FFFFFF"/>
        </w:pBdr>
        <w:ind w:firstLine="720"/>
      </w:pPr>
      <w:r w:rsidRPr="00681E0A">
        <w:t>There is no change in the labor hours in this ICR compared to the previous ICR.  This is due to two considerations</w:t>
      </w:r>
      <w:r w:rsidR="00DD64C8">
        <w:t xml:space="preserve">: 1) </w:t>
      </w:r>
      <w:r w:rsidRPr="00681E0A">
        <w:t xml:space="preserve">the regulations have not changed </w:t>
      </w:r>
      <w:r w:rsidR="00681E0A" w:rsidRPr="00681E0A">
        <w:t>since the publication of the 2011 final rule, which was covered in the last ICR renewal</w:t>
      </w:r>
      <w:r w:rsidR="00DD64C8">
        <w:t xml:space="preserve">; and 2) </w:t>
      </w:r>
      <w:r w:rsidRPr="00681E0A">
        <w:t xml:space="preserve">the growth rate for the industry is very low, negative or non-existent, so there is no significant change in the overall burden. </w:t>
      </w:r>
      <w:r w:rsidR="00681E0A" w:rsidRPr="00681E0A">
        <w:t xml:space="preserve"> However, there is an increase in industry cost as the burden calculations in this ICR, including affirmative defense, have been updated to use more recent labor rates.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D4795A">
        <w:rPr>
          <w:color w:val="000000"/>
        </w:rPr>
        <w:t>177</w:t>
      </w:r>
      <w:r>
        <w:rPr>
          <w:color w:val="000000"/>
        </w:rPr>
        <w:t xml:space="preserve"> hours per response.  </w:t>
      </w:r>
      <w:r w:rsidR="00DD64C8">
        <w:rPr>
          <w:color w:val="000000"/>
        </w:rPr>
        <w:t>“</w:t>
      </w:r>
      <w:r>
        <w:rPr>
          <w:color w:val="000000"/>
        </w:rPr>
        <w:t>Burden</w:t>
      </w:r>
      <w:r w:rsidR="00DD64C8">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agency may not conduct or sponsor, and a person is not required to respond to, a collection of information unless it displays a valid OMB Control Number.  The OMB Control </w:t>
      </w:r>
      <w:r>
        <w:rPr>
          <w:color w:val="000000"/>
        </w:rPr>
        <w:lastRenderedPageBreak/>
        <w:t>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EPA-HQ-OECA-2013</w:t>
      </w:r>
      <w:r w:rsidR="008B67A4" w:rsidRPr="008B67A4">
        <w:t xml:space="preserve">-0349.  An electronic version of the public docket is available at </w:t>
      </w:r>
      <w:r w:rsidR="008B67A4" w:rsidRPr="00DD64C8">
        <w:rPr>
          <w:u w:val="single"/>
        </w:rPr>
        <w:t>http://www.regulations.gov/</w:t>
      </w:r>
      <w:r w:rsidR="008B67A4" w:rsidRPr="008B67A4">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w:t>
      </w:r>
      <w:r w:rsidR="00736C57">
        <w:rPr>
          <w:rStyle w:val="1"/>
        </w:rPr>
        <w:t xml:space="preserve">, select “search,” then key in the docket ID number identified in this document.  The documents are also </w:t>
      </w:r>
      <w:r w:rsidR="00736C57">
        <w:t xml:space="preserve">available for public viewing at the Enforcement and Compliance Docket and Information Center in the EPA Docket Center (EPA/DC), </w:t>
      </w:r>
      <w:r w:rsidR="00DD64C8">
        <w:t>WJC</w:t>
      </w:r>
      <w:r w:rsidR="00736C57">
        <w:t xml:space="preserve"> West, Room 3334, 1301 Constitution Ave., NW, Washington, DC.  The EPA Docket Center Public Reading Room is open from 8:30 a.m. to 4:30 p.m., Monday through Friday, excluding legal holidays.  The telephone number for the Reading Room is (202) 566-1744, and the telephone number for the docket center is (202) 566-17</w:t>
      </w:r>
      <w:r w:rsidR="00C204CA">
        <w:t>5</w:t>
      </w:r>
      <w:r w:rsidR="00DD64C8">
        <w:t>2</w:t>
      </w:r>
      <w:r w:rsidR="00736C57">
        <w:t>.  Also, you can send comments to the Office of Information and Regulatory Affairs, Office of Management and Budget, 725 17th Street, NW, Washington, DC 20503, Attention: Desk Officer for EPA.  Please include the EPA Docket ID Number EPA-HQ-OECA-2013</w:t>
      </w:r>
      <w:r w:rsidR="008B67A4" w:rsidRPr="008B67A4">
        <w:t>-0349</w:t>
      </w:r>
      <w:r w:rsidR="00736C57">
        <w:t xml:space="preserve"> and </w:t>
      </w:r>
      <w:r w:rsidR="00CA4CD6">
        <w:t xml:space="preserve">OMB Control Number </w:t>
      </w:r>
      <w:r w:rsidR="00DD1FD7">
        <w:t>2060-0358</w:t>
      </w:r>
      <w:r w:rsidR="00CA4CD6">
        <w:t xml:space="preserve"> in any correspondence. </w:t>
      </w:r>
      <w:bookmarkStart w:id="0" w:name="_GoBack"/>
      <w:bookmarkEnd w:id="0"/>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8849C4" w:rsidRDefault="00F0734E" w:rsidP="00372D0B">
      <w:pPr>
        <w:jc w:val="center"/>
        <w:outlineLvl w:val="0"/>
        <w:rPr>
          <w:b/>
          <w:bCs/>
          <w:color w:val="000000"/>
        </w:rPr>
      </w:pPr>
      <w:r w:rsidRPr="00F0734E">
        <w:rPr>
          <w:b/>
          <w:bCs/>
          <w:color w:val="000000"/>
        </w:rPr>
        <w:lastRenderedPageBreak/>
        <w:t>Table 1: Annual Respondent Burden and Cost – NESHAP for Pharmaceuticals Production (40 CFR Part 63, Subpart GGG)</w:t>
      </w:r>
    </w:p>
    <w:p w:rsidR="00372D0B" w:rsidRDefault="008849C4" w:rsidP="008849C4">
      <w:pPr>
        <w:outlineLvl w:val="0"/>
        <w:rPr>
          <w:color w:val="FF0000"/>
        </w:rPr>
      </w:pPr>
      <w:r>
        <w:rPr>
          <w:b/>
          <w:bCs/>
          <w:color w:val="000000"/>
        </w:rPr>
        <w:t xml:space="preserve">  </w:t>
      </w:r>
      <w:r w:rsidR="00F0734E" w:rsidRPr="00F0734E">
        <w:rPr>
          <w:b/>
          <w:bCs/>
          <w:color w:val="000000"/>
        </w:rPr>
        <w:t xml:space="preserve"> (Renewal)</w:t>
      </w:r>
    </w:p>
    <w:p w:rsidR="00372D0B" w:rsidRDefault="00372D0B" w:rsidP="00372D0B">
      <w:pPr>
        <w:jc w:val="center"/>
        <w:outlineLvl w:val="0"/>
        <w:rPr>
          <w:color w:val="FF0000"/>
        </w:rPr>
      </w:pPr>
    </w:p>
    <w:tbl>
      <w:tblPr>
        <w:tblW w:w="5297" w:type="pct"/>
        <w:jc w:val="center"/>
        <w:tblInd w:w="-535" w:type="dxa"/>
        <w:tblLayout w:type="fixed"/>
        <w:tblLook w:val="04A0"/>
      </w:tblPr>
      <w:tblGrid>
        <w:gridCol w:w="4388"/>
        <w:gridCol w:w="1080"/>
        <w:gridCol w:w="1170"/>
        <w:gridCol w:w="1170"/>
        <w:gridCol w:w="1260"/>
        <w:gridCol w:w="1047"/>
        <w:gridCol w:w="1229"/>
        <w:gridCol w:w="1229"/>
        <w:gridCol w:w="1481"/>
      </w:tblGrid>
      <w:tr w:rsidR="00DA18A2" w:rsidRPr="00681E0A" w:rsidTr="008849C4">
        <w:trPr>
          <w:trHeight w:val="1520"/>
          <w:tblHeader/>
          <w:jc w:val="center"/>
        </w:trPr>
        <w:tc>
          <w:tcPr>
            <w:tcW w:w="43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53C" w:rsidRPr="00681E0A" w:rsidRDefault="008B67A4" w:rsidP="0044053C">
            <w:pPr>
              <w:widowControl/>
              <w:autoSpaceDE/>
              <w:autoSpaceDN/>
              <w:adjustRightInd/>
              <w:jc w:val="center"/>
              <w:rPr>
                <w:b/>
                <w:bCs/>
                <w:color w:val="000000"/>
                <w:sz w:val="18"/>
                <w:szCs w:val="18"/>
              </w:rPr>
            </w:pPr>
            <w:r w:rsidRPr="00681E0A">
              <w:rPr>
                <w:b/>
                <w:bCs/>
                <w:color w:val="000000"/>
                <w:sz w:val="18"/>
                <w:szCs w:val="18"/>
              </w:rPr>
              <w:t>Burden item</w:t>
            </w:r>
          </w:p>
        </w:tc>
        <w:tc>
          <w:tcPr>
            <w:tcW w:w="1080" w:type="dxa"/>
            <w:tcBorders>
              <w:top w:val="single" w:sz="4" w:space="0" w:color="auto"/>
              <w:left w:val="nil"/>
              <w:bottom w:val="single" w:sz="4" w:space="0" w:color="auto"/>
              <w:right w:val="single" w:sz="4" w:space="0" w:color="auto"/>
            </w:tcBorders>
            <w:shd w:val="clear" w:color="000000" w:fill="auto"/>
            <w:vAlign w:val="center"/>
            <w:hideMark/>
          </w:tcPr>
          <w:p w:rsidR="00681E0A" w:rsidRPr="00681E0A" w:rsidRDefault="008B67A4" w:rsidP="0044053C">
            <w:pPr>
              <w:widowControl/>
              <w:autoSpaceDE/>
              <w:autoSpaceDN/>
              <w:adjustRightInd/>
              <w:jc w:val="center"/>
              <w:rPr>
                <w:b/>
                <w:bCs/>
                <w:color w:val="000000"/>
                <w:sz w:val="18"/>
                <w:szCs w:val="18"/>
              </w:rPr>
            </w:pPr>
            <w:r w:rsidRPr="00681E0A">
              <w:rPr>
                <w:b/>
                <w:bCs/>
                <w:color w:val="000000"/>
                <w:sz w:val="18"/>
                <w:szCs w:val="18"/>
              </w:rPr>
              <w:t xml:space="preserve">(A) </w:t>
            </w:r>
          </w:p>
          <w:p w:rsidR="0044053C" w:rsidRPr="00681E0A" w:rsidRDefault="008B67A4" w:rsidP="0044053C">
            <w:pPr>
              <w:widowControl/>
              <w:autoSpaceDE/>
              <w:autoSpaceDN/>
              <w:adjustRightInd/>
              <w:jc w:val="center"/>
              <w:rPr>
                <w:b/>
                <w:bCs/>
                <w:color w:val="000000"/>
                <w:sz w:val="18"/>
                <w:szCs w:val="18"/>
              </w:rPr>
            </w:pPr>
            <w:r w:rsidRPr="00681E0A">
              <w:rPr>
                <w:b/>
                <w:bCs/>
                <w:color w:val="000000"/>
                <w:sz w:val="18"/>
                <w:szCs w:val="18"/>
              </w:rPr>
              <w:t>Person hours per occurrence</w:t>
            </w:r>
          </w:p>
        </w:tc>
        <w:tc>
          <w:tcPr>
            <w:tcW w:w="1170" w:type="dxa"/>
            <w:tcBorders>
              <w:top w:val="single" w:sz="4" w:space="0" w:color="auto"/>
              <w:left w:val="nil"/>
              <w:bottom w:val="single" w:sz="4" w:space="0" w:color="auto"/>
              <w:right w:val="single" w:sz="4" w:space="0" w:color="auto"/>
            </w:tcBorders>
            <w:shd w:val="clear" w:color="000000" w:fill="auto"/>
            <w:vAlign w:val="center"/>
            <w:hideMark/>
          </w:tcPr>
          <w:p w:rsidR="00681E0A" w:rsidRPr="00681E0A" w:rsidRDefault="008B67A4" w:rsidP="0044053C">
            <w:pPr>
              <w:widowControl/>
              <w:autoSpaceDE/>
              <w:autoSpaceDN/>
              <w:adjustRightInd/>
              <w:jc w:val="center"/>
              <w:rPr>
                <w:b/>
                <w:bCs/>
                <w:color w:val="000000"/>
                <w:sz w:val="18"/>
                <w:szCs w:val="18"/>
              </w:rPr>
            </w:pPr>
            <w:r w:rsidRPr="00681E0A">
              <w:rPr>
                <w:b/>
                <w:bCs/>
                <w:color w:val="000000"/>
                <w:sz w:val="18"/>
                <w:szCs w:val="18"/>
              </w:rPr>
              <w:t xml:space="preserve">(B) </w:t>
            </w:r>
          </w:p>
          <w:p w:rsidR="0044053C" w:rsidRPr="00681E0A" w:rsidRDefault="008B67A4" w:rsidP="0044053C">
            <w:pPr>
              <w:widowControl/>
              <w:autoSpaceDE/>
              <w:autoSpaceDN/>
              <w:adjustRightInd/>
              <w:jc w:val="center"/>
              <w:rPr>
                <w:b/>
                <w:bCs/>
                <w:color w:val="000000"/>
                <w:sz w:val="18"/>
                <w:szCs w:val="18"/>
              </w:rPr>
            </w:pPr>
            <w:r w:rsidRPr="00681E0A">
              <w:rPr>
                <w:b/>
                <w:bCs/>
                <w:color w:val="000000"/>
                <w:sz w:val="18"/>
                <w:szCs w:val="18"/>
              </w:rPr>
              <w:t>No. of occurrences per respondent per year</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681E0A" w:rsidRPr="00681E0A" w:rsidRDefault="008B67A4" w:rsidP="0044053C">
            <w:pPr>
              <w:widowControl/>
              <w:autoSpaceDE/>
              <w:autoSpaceDN/>
              <w:adjustRightInd/>
              <w:jc w:val="center"/>
              <w:rPr>
                <w:b/>
                <w:bCs/>
                <w:color w:val="000000"/>
                <w:sz w:val="18"/>
                <w:szCs w:val="18"/>
              </w:rPr>
            </w:pPr>
            <w:r w:rsidRPr="00681E0A">
              <w:rPr>
                <w:b/>
                <w:bCs/>
                <w:color w:val="000000"/>
                <w:sz w:val="18"/>
                <w:szCs w:val="18"/>
              </w:rPr>
              <w:t xml:space="preserve">(C) </w:t>
            </w:r>
          </w:p>
          <w:p w:rsidR="00681E0A" w:rsidRPr="00681E0A" w:rsidRDefault="008B67A4" w:rsidP="0044053C">
            <w:pPr>
              <w:widowControl/>
              <w:autoSpaceDE/>
              <w:autoSpaceDN/>
              <w:adjustRightInd/>
              <w:jc w:val="center"/>
              <w:rPr>
                <w:b/>
                <w:bCs/>
                <w:color w:val="000000"/>
                <w:sz w:val="18"/>
                <w:szCs w:val="18"/>
              </w:rPr>
            </w:pPr>
            <w:r w:rsidRPr="00681E0A">
              <w:rPr>
                <w:b/>
                <w:bCs/>
                <w:color w:val="000000"/>
                <w:sz w:val="18"/>
                <w:szCs w:val="18"/>
              </w:rPr>
              <w:t xml:space="preserve">Person hours per respondent per year </w:t>
            </w:r>
          </w:p>
          <w:p w:rsidR="0044053C" w:rsidRPr="00681E0A" w:rsidRDefault="008B67A4" w:rsidP="0044053C">
            <w:pPr>
              <w:widowControl/>
              <w:autoSpaceDE/>
              <w:autoSpaceDN/>
              <w:adjustRightInd/>
              <w:jc w:val="center"/>
              <w:rPr>
                <w:b/>
                <w:bCs/>
                <w:color w:val="000000"/>
                <w:sz w:val="18"/>
                <w:szCs w:val="18"/>
              </w:rPr>
            </w:pPr>
            <w:r w:rsidRPr="00681E0A">
              <w:rPr>
                <w:b/>
                <w:bCs/>
                <w:color w:val="000000"/>
                <w:sz w:val="18"/>
                <w:szCs w:val="18"/>
              </w:rPr>
              <w:t>(A x B)</w:t>
            </w:r>
          </w:p>
        </w:tc>
        <w:tc>
          <w:tcPr>
            <w:tcW w:w="1260" w:type="dxa"/>
            <w:tcBorders>
              <w:top w:val="single" w:sz="4" w:space="0" w:color="auto"/>
              <w:left w:val="nil"/>
              <w:bottom w:val="single" w:sz="4" w:space="0" w:color="auto"/>
              <w:right w:val="single" w:sz="4" w:space="0" w:color="auto"/>
            </w:tcBorders>
            <w:shd w:val="clear" w:color="000000" w:fill="auto"/>
            <w:vAlign w:val="center"/>
            <w:hideMark/>
          </w:tcPr>
          <w:p w:rsidR="0044053C" w:rsidRPr="00681E0A" w:rsidRDefault="008B67A4" w:rsidP="0044053C">
            <w:pPr>
              <w:widowControl/>
              <w:autoSpaceDE/>
              <w:autoSpaceDN/>
              <w:adjustRightInd/>
              <w:jc w:val="center"/>
              <w:rPr>
                <w:b/>
                <w:bCs/>
                <w:color w:val="000000"/>
                <w:sz w:val="18"/>
                <w:szCs w:val="18"/>
              </w:rPr>
            </w:pPr>
            <w:r w:rsidRPr="00681E0A">
              <w:rPr>
                <w:b/>
                <w:bCs/>
                <w:color w:val="000000"/>
                <w:sz w:val="18"/>
                <w:szCs w:val="18"/>
              </w:rPr>
              <w:t>(D) Respondents per year (a)</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rsidR="00372D0B" w:rsidRPr="00681E0A" w:rsidRDefault="008B67A4" w:rsidP="0044053C">
            <w:pPr>
              <w:widowControl/>
              <w:autoSpaceDE/>
              <w:autoSpaceDN/>
              <w:adjustRightInd/>
              <w:jc w:val="center"/>
              <w:rPr>
                <w:b/>
                <w:bCs/>
                <w:color w:val="000000"/>
                <w:sz w:val="18"/>
                <w:szCs w:val="18"/>
              </w:rPr>
            </w:pPr>
            <w:r w:rsidRPr="00681E0A">
              <w:rPr>
                <w:b/>
                <w:bCs/>
                <w:color w:val="000000"/>
                <w:sz w:val="18"/>
                <w:szCs w:val="18"/>
              </w:rPr>
              <w:t xml:space="preserve">(E) Technical person-hours per year </w:t>
            </w:r>
          </w:p>
          <w:p w:rsidR="0044053C" w:rsidRPr="00681E0A" w:rsidRDefault="008B67A4" w:rsidP="0044053C">
            <w:pPr>
              <w:widowControl/>
              <w:autoSpaceDE/>
              <w:autoSpaceDN/>
              <w:adjustRightInd/>
              <w:jc w:val="center"/>
              <w:rPr>
                <w:b/>
                <w:bCs/>
                <w:color w:val="000000"/>
                <w:sz w:val="18"/>
                <w:szCs w:val="18"/>
              </w:rPr>
            </w:pPr>
            <w:r w:rsidRPr="00681E0A">
              <w:rPr>
                <w:b/>
                <w:bCs/>
                <w:color w:val="000000"/>
                <w:sz w:val="18"/>
                <w:szCs w:val="18"/>
              </w:rPr>
              <w:t>(CxD)</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rsidR="0044053C" w:rsidRPr="00681E0A" w:rsidRDefault="008B67A4" w:rsidP="0044053C">
            <w:pPr>
              <w:widowControl/>
              <w:autoSpaceDE/>
              <w:autoSpaceDN/>
              <w:adjustRightInd/>
              <w:jc w:val="center"/>
              <w:rPr>
                <w:b/>
                <w:bCs/>
                <w:color w:val="000000"/>
                <w:sz w:val="18"/>
                <w:szCs w:val="18"/>
              </w:rPr>
            </w:pPr>
            <w:r w:rsidRPr="00681E0A">
              <w:rPr>
                <w:b/>
                <w:bCs/>
                <w:color w:val="000000"/>
                <w:sz w:val="18"/>
                <w:szCs w:val="18"/>
              </w:rPr>
              <w:t>(F) Management person hours per year (Ex0.05)</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rsidR="00681E0A" w:rsidRPr="00681E0A" w:rsidRDefault="008B67A4" w:rsidP="0044053C">
            <w:pPr>
              <w:widowControl/>
              <w:autoSpaceDE/>
              <w:autoSpaceDN/>
              <w:adjustRightInd/>
              <w:jc w:val="center"/>
              <w:rPr>
                <w:b/>
                <w:bCs/>
                <w:color w:val="000000"/>
                <w:sz w:val="18"/>
                <w:szCs w:val="18"/>
              </w:rPr>
            </w:pPr>
            <w:r w:rsidRPr="00681E0A">
              <w:rPr>
                <w:b/>
                <w:bCs/>
                <w:color w:val="000000"/>
                <w:sz w:val="18"/>
                <w:szCs w:val="18"/>
              </w:rPr>
              <w:t xml:space="preserve">(G) </w:t>
            </w:r>
          </w:p>
          <w:p w:rsidR="0044053C" w:rsidRPr="00681E0A" w:rsidRDefault="008B67A4" w:rsidP="0044053C">
            <w:pPr>
              <w:widowControl/>
              <w:autoSpaceDE/>
              <w:autoSpaceDN/>
              <w:adjustRightInd/>
              <w:jc w:val="center"/>
              <w:rPr>
                <w:b/>
                <w:bCs/>
                <w:color w:val="000000"/>
                <w:sz w:val="18"/>
                <w:szCs w:val="18"/>
              </w:rPr>
            </w:pPr>
            <w:r w:rsidRPr="00681E0A">
              <w:rPr>
                <w:b/>
                <w:bCs/>
                <w:color w:val="000000"/>
                <w:sz w:val="18"/>
                <w:szCs w:val="18"/>
              </w:rPr>
              <w:t>Clerical person hours per year (Ex0.1)</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rsidR="00681E0A" w:rsidRPr="00681E0A" w:rsidRDefault="008B67A4" w:rsidP="0044053C">
            <w:pPr>
              <w:widowControl/>
              <w:autoSpaceDE/>
              <w:autoSpaceDN/>
              <w:adjustRightInd/>
              <w:jc w:val="center"/>
              <w:rPr>
                <w:b/>
                <w:bCs/>
                <w:color w:val="000000"/>
                <w:sz w:val="18"/>
                <w:szCs w:val="18"/>
              </w:rPr>
            </w:pPr>
            <w:r w:rsidRPr="00681E0A">
              <w:rPr>
                <w:b/>
                <w:bCs/>
                <w:color w:val="000000"/>
                <w:sz w:val="18"/>
                <w:szCs w:val="18"/>
              </w:rPr>
              <w:t xml:space="preserve">(H) </w:t>
            </w:r>
          </w:p>
          <w:p w:rsidR="0044053C" w:rsidRPr="00681E0A" w:rsidRDefault="008B67A4" w:rsidP="0044053C">
            <w:pPr>
              <w:widowControl/>
              <w:autoSpaceDE/>
              <w:autoSpaceDN/>
              <w:adjustRightInd/>
              <w:jc w:val="center"/>
              <w:rPr>
                <w:b/>
                <w:bCs/>
                <w:color w:val="000000"/>
                <w:sz w:val="18"/>
                <w:szCs w:val="18"/>
              </w:rPr>
            </w:pPr>
            <w:r w:rsidRPr="00681E0A">
              <w:rPr>
                <w:b/>
                <w:bCs/>
                <w:color w:val="000000"/>
                <w:sz w:val="18"/>
                <w:szCs w:val="18"/>
              </w:rPr>
              <w:t>Total Cost per year (b)</w:t>
            </w:r>
          </w:p>
        </w:tc>
      </w:tr>
      <w:tr w:rsidR="00DA18A2" w:rsidRPr="00681E0A" w:rsidTr="008849C4">
        <w:trPr>
          <w:trHeight w:val="170"/>
          <w:jc w:val="center"/>
        </w:trPr>
        <w:tc>
          <w:tcPr>
            <w:tcW w:w="4389" w:type="dxa"/>
            <w:tcBorders>
              <w:top w:val="nil"/>
              <w:left w:val="single" w:sz="4" w:space="0" w:color="auto"/>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1. Applications</w:t>
            </w:r>
          </w:p>
        </w:tc>
        <w:tc>
          <w:tcPr>
            <w:tcW w:w="1080" w:type="dxa"/>
            <w:tcBorders>
              <w:top w:val="nil"/>
              <w:left w:val="nil"/>
              <w:bottom w:val="single" w:sz="4" w:space="0" w:color="auto"/>
              <w:right w:val="nil"/>
            </w:tcBorders>
            <w:shd w:val="clear" w:color="000000"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N/A</w:t>
            </w:r>
          </w:p>
        </w:tc>
        <w:tc>
          <w:tcPr>
            <w:tcW w:w="1170" w:type="dxa"/>
            <w:tcBorders>
              <w:top w:val="nil"/>
              <w:left w:val="nil"/>
              <w:bottom w:val="single" w:sz="4" w:space="0" w:color="auto"/>
              <w:right w:val="nil"/>
            </w:tcBorders>
            <w:shd w:val="clear" w:color="000000"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170" w:type="dxa"/>
            <w:tcBorders>
              <w:top w:val="nil"/>
              <w:left w:val="nil"/>
              <w:bottom w:val="single" w:sz="4" w:space="0" w:color="auto"/>
              <w:right w:val="nil"/>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260" w:type="dxa"/>
            <w:tcBorders>
              <w:top w:val="nil"/>
              <w:left w:val="nil"/>
              <w:bottom w:val="single" w:sz="4" w:space="0" w:color="auto"/>
              <w:right w:val="nil"/>
            </w:tcBorders>
            <w:shd w:val="clear" w:color="000000"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047" w:type="dxa"/>
            <w:tcBorders>
              <w:top w:val="nil"/>
              <w:left w:val="nil"/>
              <w:bottom w:val="single" w:sz="4" w:space="0" w:color="auto"/>
              <w:right w:val="nil"/>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229" w:type="dxa"/>
            <w:tcBorders>
              <w:top w:val="nil"/>
              <w:left w:val="nil"/>
              <w:bottom w:val="single" w:sz="4" w:space="0" w:color="auto"/>
              <w:right w:val="nil"/>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229" w:type="dxa"/>
            <w:tcBorders>
              <w:top w:val="nil"/>
              <w:left w:val="nil"/>
              <w:bottom w:val="single" w:sz="4" w:space="0" w:color="auto"/>
              <w:right w:val="nil"/>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481"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r>
      <w:tr w:rsidR="00DA18A2" w:rsidRPr="00681E0A" w:rsidTr="008849C4">
        <w:trPr>
          <w:trHeight w:val="170"/>
          <w:jc w:val="center"/>
        </w:trPr>
        <w:tc>
          <w:tcPr>
            <w:tcW w:w="4389" w:type="dxa"/>
            <w:tcBorders>
              <w:top w:val="nil"/>
              <w:left w:val="single" w:sz="4" w:space="0" w:color="auto"/>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xml:space="preserve">2. Surveys and studies </w:t>
            </w:r>
          </w:p>
        </w:tc>
        <w:tc>
          <w:tcPr>
            <w:tcW w:w="1080" w:type="dxa"/>
            <w:tcBorders>
              <w:top w:val="nil"/>
              <w:left w:val="nil"/>
              <w:bottom w:val="single" w:sz="4" w:space="0" w:color="auto"/>
              <w:right w:val="nil"/>
            </w:tcBorders>
            <w:shd w:val="clear" w:color="000000"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N/A</w:t>
            </w:r>
          </w:p>
        </w:tc>
        <w:tc>
          <w:tcPr>
            <w:tcW w:w="1170" w:type="dxa"/>
            <w:tcBorders>
              <w:top w:val="nil"/>
              <w:left w:val="nil"/>
              <w:bottom w:val="single" w:sz="4" w:space="0" w:color="auto"/>
              <w:right w:val="nil"/>
            </w:tcBorders>
            <w:shd w:val="clear" w:color="000000"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170" w:type="dxa"/>
            <w:tcBorders>
              <w:top w:val="nil"/>
              <w:left w:val="nil"/>
              <w:bottom w:val="single" w:sz="4" w:space="0" w:color="auto"/>
              <w:right w:val="nil"/>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260" w:type="dxa"/>
            <w:tcBorders>
              <w:top w:val="nil"/>
              <w:left w:val="nil"/>
              <w:bottom w:val="single" w:sz="4" w:space="0" w:color="auto"/>
              <w:right w:val="nil"/>
            </w:tcBorders>
            <w:shd w:val="clear" w:color="000000"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047" w:type="dxa"/>
            <w:tcBorders>
              <w:top w:val="nil"/>
              <w:left w:val="nil"/>
              <w:bottom w:val="single" w:sz="4" w:space="0" w:color="auto"/>
              <w:right w:val="nil"/>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229" w:type="dxa"/>
            <w:tcBorders>
              <w:top w:val="nil"/>
              <w:left w:val="nil"/>
              <w:bottom w:val="single" w:sz="4" w:space="0" w:color="auto"/>
              <w:right w:val="nil"/>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229" w:type="dxa"/>
            <w:tcBorders>
              <w:top w:val="nil"/>
              <w:left w:val="nil"/>
              <w:bottom w:val="single" w:sz="4" w:space="0" w:color="auto"/>
              <w:right w:val="nil"/>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481"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r>
      <w:tr w:rsidR="00DA18A2" w:rsidRPr="00681E0A" w:rsidTr="008849C4">
        <w:trPr>
          <w:trHeight w:val="188"/>
          <w:jc w:val="center"/>
        </w:trPr>
        <w:tc>
          <w:tcPr>
            <w:tcW w:w="4389" w:type="dxa"/>
            <w:tcBorders>
              <w:top w:val="nil"/>
              <w:left w:val="single" w:sz="4" w:space="0" w:color="auto"/>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3. Reporting Requirements</w:t>
            </w:r>
          </w:p>
        </w:tc>
        <w:tc>
          <w:tcPr>
            <w:tcW w:w="108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17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26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047"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481"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r>
      <w:tr w:rsidR="00DA18A2" w:rsidRPr="00681E0A" w:rsidTr="008849C4">
        <w:trPr>
          <w:trHeight w:val="242"/>
          <w:jc w:val="center"/>
        </w:trPr>
        <w:tc>
          <w:tcPr>
            <w:tcW w:w="4389" w:type="dxa"/>
            <w:tcBorders>
              <w:top w:val="nil"/>
              <w:left w:val="single" w:sz="4" w:space="0" w:color="auto"/>
              <w:bottom w:val="single" w:sz="4" w:space="0" w:color="auto"/>
              <w:right w:val="single" w:sz="4" w:space="0" w:color="auto"/>
            </w:tcBorders>
            <w:shd w:val="clear" w:color="auto" w:fill="auto"/>
            <w:noWrap/>
            <w:vAlign w:val="bottom"/>
            <w:hideMark/>
          </w:tcPr>
          <w:p w:rsidR="00372D0B" w:rsidRPr="00681E0A" w:rsidRDefault="008B67A4" w:rsidP="00681E0A">
            <w:pPr>
              <w:widowControl/>
              <w:autoSpaceDE/>
              <w:autoSpaceDN/>
              <w:adjustRightInd/>
              <w:ind w:firstLineChars="100" w:firstLine="180"/>
              <w:rPr>
                <w:color w:val="000000"/>
                <w:sz w:val="18"/>
                <w:szCs w:val="18"/>
              </w:rPr>
            </w:pPr>
            <w:r w:rsidRPr="00681E0A">
              <w:rPr>
                <w:color w:val="000000"/>
                <w:sz w:val="18"/>
                <w:szCs w:val="18"/>
              </w:rPr>
              <w:t>A. Read rule and instructions</w:t>
            </w:r>
          </w:p>
        </w:tc>
        <w:tc>
          <w:tcPr>
            <w:tcW w:w="108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1</w:t>
            </w:r>
          </w:p>
        </w:tc>
        <w:tc>
          <w:tcPr>
            <w:tcW w:w="117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1</w:t>
            </w:r>
          </w:p>
        </w:tc>
        <w:tc>
          <w:tcPr>
            <w:tcW w:w="126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047"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481"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r>
      <w:tr w:rsidR="00DA18A2" w:rsidRPr="00681E0A" w:rsidTr="008849C4">
        <w:trPr>
          <w:trHeight w:val="260"/>
          <w:jc w:val="center"/>
        </w:trPr>
        <w:tc>
          <w:tcPr>
            <w:tcW w:w="4389" w:type="dxa"/>
            <w:tcBorders>
              <w:top w:val="nil"/>
              <w:left w:val="single" w:sz="4" w:space="0" w:color="auto"/>
              <w:bottom w:val="single" w:sz="4" w:space="0" w:color="auto"/>
              <w:right w:val="single" w:sz="4" w:space="0" w:color="auto"/>
            </w:tcBorders>
            <w:shd w:val="clear" w:color="auto" w:fill="auto"/>
            <w:noWrap/>
            <w:vAlign w:val="bottom"/>
            <w:hideMark/>
          </w:tcPr>
          <w:p w:rsidR="00372D0B" w:rsidRPr="00681E0A" w:rsidRDefault="008B67A4" w:rsidP="00681E0A">
            <w:pPr>
              <w:widowControl/>
              <w:autoSpaceDE/>
              <w:autoSpaceDN/>
              <w:adjustRightInd/>
              <w:ind w:firstLineChars="100" w:firstLine="180"/>
              <w:rPr>
                <w:color w:val="000000"/>
                <w:sz w:val="18"/>
                <w:szCs w:val="18"/>
              </w:rPr>
            </w:pPr>
            <w:r w:rsidRPr="00681E0A">
              <w:rPr>
                <w:color w:val="000000"/>
                <w:sz w:val="18"/>
                <w:szCs w:val="18"/>
              </w:rPr>
              <w:t>B. Required Activities</w:t>
            </w:r>
          </w:p>
        </w:tc>
        <w:tc>
          <w:tcPr>
            <w:tcW w:w="1080" w:type="dxa"/>
            <w:tcBorders>
              <w:top w:val="nil"/>
              <w:left w:val="nil"/>
              <w:bottom w:val="nil"/>
              <w:right w:val="nil"/>
            </w:tcBorders>
            <w:shd w:val="clear" w:color="000000"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170" w:type="dxa"/>
            <w:tcBorders>
              <w:top w:val="nil"/>
              <w:left w:val="nil"/>
              <w:bottom w:val="nil"/>
              <w:right w:val="nil"/>
            </w:tcBorders>
            <w:shd w:val="clear" w:color="000000"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170" w:type="dxa"/>
            <w:tcBorders>
              <w:top w:val="nil"/>
              <w:left w:val="nil"/>
              <w:bottom w:val="nil"/>
              <w:right w:val="nil"/>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260" w:type="dxa"/>
            <w:tcBorders>
              <w:top w:val="nil"/>
              <w:left w:val="nil"/>
              <w:bottom w:val="nil"/>
              <w:right w:val="nil"/>
            </w:tcBorders>
            <w:shd w:val="clear" w:color="000000"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047" w:type="dxa"/>
            <w:tcBorders>
              <w:top w:val="nil"/>
              <w:left w:val="nil"/>
              <w:bottom w:val="nil"/>
              <w:right w:val="nil"/>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229" w:type="dxa"/>
            <w:tcBorders>
              <w:top w:val="nil"/>
              <w:left w:val="nil"/>
              <w:bottom w:val="nil"/>
              <w:right w:val="nil"/>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229" w:type="dxa"/>
            <w:tcBorders>
              <w:top w:val="nil"/>
              <w:left w:val="nil"/>
              <w:bottom w:val="nil"/>
              <w:right w:val="nil"/>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481" w:type="dxa"/>
            <w:tcBorders>
              <w:top w:val="nil"/>
              <w:left w:val="nil"/>
              <w:bottom w:val="nil"/>
              <w:right w:val="single" w:sz="4" w:space="0" w:color="auto"/>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r>
      <w:tr w:rsidR="00DA18A2" w:rsidRPr="00681E0A" w:rsidTr="008849C4">
        <w:trPr>
          <w:trHeight w:val="260"/>
          <w:jc w:val="center"/>
        </w:trPr>
        <w:tc>
          <w:tcPr>
            <w:tcW w:w="4389" w:type="dxa"/>
            <w:tcBorders>
              <w:top w:val="nil"/>
              <w:left w:val="single" w:sz="4" w:space="0" w:color="auto"/>
              <w:bottom w:val="single" w:sz="4" w:space="0" w:color="auto"/>
              <w:right w:val="single" w:sz="4" w:space="0" w:color="auto"/>
            </w:tcBorders>
            <w:shd w:val="clear" w:color="auto" w:fill="auto"/>
            <w:noWrap/>
            <w:vAlign w:val="bottom"/>
            <w:hideMark/>
          </w:tcPr>
          <w:p w:rsidR="00372D0B" w:rsidRPr="00681E0A" w:rsidRDefault="008B67A4" w:rsidP="00681E0A">
            <w:pPr>
              <w:widowControl/>
              <w:autoSpaceDE/>
              <w:autoSpaceDN/>
              <w:adjustRightInd/>
              <w:ind w:firstLineChars="200" w:firstLine="360"/>
              <w:rPr>
                <w:color w:val="000000"/>
                <w:sz w:val="18"/>
                <w:szCs w:val="18"/>
              </w:rPr>
            </w:pPr>
            <w:r w:rsidRPr="00681E0A">
              <w:rPr>
                <w:color w:val="000000"/>
                <w:sz w:val="18"/>
                <w:szCs w:val="18"/>
              </w:rPr>
              <w:t>i. Initial performance tests</w:t>
            </w:r>
          </w:p>
        </w:tc>
        <w:tc>
          <w:tcPr>
            <w:tcW w:w="1080" w:type="dxa"/>
            <w:tcBorders>
              <w:top w:val="nil"/>
              <w:left w:val="nil"/>
              <w:bottom w:val="single" w:sz="4" w:space="0" w:color="auto"/>
              <w:right w:val="nil"/>
            </w:tcBorders>
            <w:shd w:val="clear" w:color="000000"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170" w:type="dxa"/>
            <w:tcBorders>
              <w:top w:val="nil"/>
              <w:left w:val="nil"/>
              <w:bottom w:val="single" w:sz="4" w:space="0" w:color="auto"/>
              <w:right w:val="nil"/>
            </w:tcBorders>
            <w:shd w:val="clear" w:color="000000"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170" w:type="dxa"/>
            <w:tcBorders>
              <w:top w:val="nil"/>
              <w:left w:val="nil"/>
              <w:bottom w:val="single" w:sz="4" w:space="0" w:color="auto"/>
              <w:right w:val="nil"/>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260" w:type="dxa"/>
            <w:tcBorders>
              <w:top w:val="nil"/>
              <w:left w:val="nil"/>
              <w:bottom w:val="single" w:sz="4" w:space="0" w:color="auto"/>
              <w:right w:val="nil"/>
            </w:tcBorders>
            <w:shd w:val="clear" w:color="000000"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047" w:type="dxa"/>
            <w:tcBorders>
              <w:top w:val="nil"/>
              <w:left w:val="nil"/>
              <w:bottom w:val="single" w:sz="4" w:space="0" w:color="auto"/>
              <w:right w:val="nil"/>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229" w:type="dxa"/>
            <w:tcBorders>
              <w:top w:val="nil"/>
              <w:left w:val="nil"/>
              <w:bottom w:val="single" w:sz="4" w:space="0" w:color="auto"/>
              <w:right w:val="nil"/>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229" w:type="dxa"/>
            <w:tcBorders>
              <w:top w:val="nil"/>
              <w:left w:val="nil"/>
              <w:bottom w:val="single" w:sz="4" w:space="0" w:color="auto"/>
              <w:right w:val="nil"/>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481"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r>
      <w:tr w:rsidR="00DA18A2" w:rsidRPr="00681E0A" w:rsidTr="008849C4">
        <w:trPr>
          <w:trHeight w:val="260"/>
          <w:jc w:val="center"/>
        </w:trPr>
        <w:tc>
          <w:tcPr>
            <w:tcW w:w="4389" w:type="dxa"/>
            <w:tcBorders>
              <w:top w:val="nil"/>
              <w:left w:val="single" w:sz="4" w:space="0" w:color="auto"/>
              <w:bottom w:val="single" w:sz="4" w:space="0" w:color="auto"/>
              <w:right w:val="single" w:sz="4" w:space="0" w:color="auto"/>
            </w:tcBorders>
            <w:shd w:val="clear" w:color="auto" w:fill="auto"/>
            <w:noWrap/>
            <w:vAlign w:val="bottom"/>
            <w:hideMark/>
          </w:tcPr>
          <w:p w:rsidR="00372D0B" w:rsidRPr="00681E0A" w:rsidRDefault="00244AAC" w:rsidP="00244AAC">
            <w:pPr>
              <w:widowControl/>
              <w:autoSpaceDE/>
              <w:autoSpaceDN/>
              <w:adjustRightInd/>
              <w:rPr>
                <w:color w:val="000000"/>
                <w:sz w:val="18"/>
                <w:szCs w:val="18"/>
              </w:rPr>
            </w:pPr>
            <w:r>
              <w:rPr>
                <w:color w:val="000000"/>
                <w:sz w:val="18"/>
                <w:szCs w:val="18"/>
              </w:rPr>
              <w:t xml:space="preserve">            </w:t>
            </w:r>
            <w:r w:rsidR="00C40D35">
              <w:rPr>
                <w:color w:val="000000"/>
                <w:sz w:val="18"/>
                <w:szCs w:val="18"/>
              </w:rPr>
              <w:t xml:space="preserve"> </w:t>
            </w:r>
            <w:r w:rsidR="00673777">
              <w:rPr>
                <w:color w:val="000000"/>
                <w:sz w:val="18"/>
                <w:szCs w:val="18"/>
              </w:rPr>
              <w:t xml:space="preserve"> </w:t>
            </w:r>
            <w:r w:rsidR="00632B4B">
              <w:rPr>
                <w:color w:val="000000"/>
                <w:sz w:val="18"/>
                <w:szCs w:val="18"/>
              </w:rPr>
              <w:t xml:space="preserve"> </w:t>
            </w:r>
            <w:r w:rsidR="008B67A4" w:rsidRPr="00681E0A">
              <w:rPr>
                <w:color w:val="000000"/>
                <w:sz w:val="18"/>
                <w:szCs w:val="18"/>
              </w:rPr>
              <w:t>New</w:t>
            </w:r>
          </w:p>
        </w:tc>
        <w:tc>
          <w:tcPr>
            <w:tcW w:w="108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480</w:t>
            </w:r>
          </w:p>
        </w:tc>
        <w:tc>
          <w:tcPr>
            <w:tcW w:w="117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480</w:t>
            </w:r>
          </w:p>
        </w:tc>
        <w:tc>
          <w:tcPr>
            <w:tcW w:w="126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047"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481"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r>
      <w:tr w:rsidR="00DA18A2" w:rsidRPr="00681E0A" w:rsidTr="008849C4">
        <w:trPr>
          <w:trHeight w:val="260"/>
          <w:jc w:val="center"/>
        </w:trPr>
        <w:tc>
          <w:tcPr>
            <w:tcW w:w="4389" w:type="dxa"/>
            <w:tcBorders>
              <w:top w:val="nil"/>
              <w:left w:val="single" w:sz="4" w:space="0" w:color="auto"/>
              <w:bottom w:val="single" w:sz="4" w:space="0" w:color="auto"/>
              <w:right w:val="single" w:sz="4" w:space="0" w:color="auto"/>
            </w:tcBorders>
            <w:shd w:val="clear" w:color="auto" w:fill="auto"/>
            <w:noWrap/>
            <w:vAlign w:val="bottom"/>
            <w:hideMark/>
          </w:tcPr>
          <w:p w:rsidR="00372D0B" w:rsidRPr="00681E0A" w:rsidRDefault="008B67A4" w:rsidP="00681E0A">
            <w:pPr>
              <w:widowControl/>
              <w:autoSpaceDE/>
              <w:autoSpaceDN/>
              <w:adjustRightInd/>
              <w:ind w:firstLineChars="300" w:firstLine="540"/>
              <w:rPr>
                <w:color w:val="000000"/>
                <w:sz w:val="18"/>
                <w:szCs w:val="18"/>
              </w:rPr>
            </w:pPr>
            <w:r w:rsidRPr="00681E0A">
              <w:rPr>
                <w:color w:val="000000"/>
                <w:sz w:val="18"/>
                <w:szCs w:val="18"/>
              </w:rPr>
              <w:t>Reconstructed</w:t>
            </w:r>
          </w:p>
        </w:tc>
        <w:tc>
          <w:tcPr>
            <w:tcW w:w="108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160</w:t>
            </w:r>
          </w:p>
        </w:tc>
        <w:tc>
          <w:tcPr>
            <w:tcW w:w="117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160</w:t>
            </w:r>
          </w:p>
        </w:tc>
        <w:tc>
          <w:tcPr>
            <w:tcW w:w="126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047"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481"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r>
      <w:tr w:rsidR="00DA18A2" w:rsidRPr="00681E0A" w:rsidTr="008849C4">
        <w:trPr>
          <w:trHeight w:val="260"/>
          <w:jc w:val="center"/>
        </w:trPr>
        <w:tc>
          <w:tcPr>
            <w:tcW w:w="4389" w:type="dxa"/>
            <w:tcBorders>
              <w:top w:val="nil"/>
              <w:left w:val="single" w:sz="4" w:space="0" w:color="auto"/>
              <w:bottom w:val="single" w:sz="4" w:space="0" w:color="auto"/>
              <w:right w:val="single" w:sz="4" w:space="0" w:color="auto"/>
            </w:tcBorders>
            <w:shd w:val="clear" w:color="auto" w:fill="auto"/>
            <w:noWrap/>
            <w:vAlign w:val="bottom"/>
            <w:hideMark/>
          </w:tcPr>
          <w:p w:rsidR="00372D0B" w:rsidRPr="00681E0A" w:rsidRDefault="008B67A4" w:rsidP="00681E0A">
            <w:pPr>
              <w:widowControl/>
              <w:autoSpaceDE/>
              <w:autoSpaceDN/>
              <w:adjustRightInd/>
              <w:ind w:firstLineChars="300" w:firstLine="540"/>
              <w:rPr>
                <w:color w:val="000000"/>
                <w:sz w:val="18"/>
                <w:szCs w:val="18"/>
              </w:rPr>
            </w:pPr>
            <w:r w:rsidRPr="00681E0A">
              <w:rPr>
                <w:color w:val="000000"/>
                <w:sz w:val="18"/>
                <w:szCs w:val="18"/>
              </w:rPr>
              <w:t>Wastewater</w:t>
            </w:r>
          </w:p>
        </w:tc>
        <w:tc>
          <w:tcPr>
            <w:tcW w:w="108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160</w:t>
            </w:r>
          </w:p>
        </w:tc>
        <w:tc>
          <w:tcPr>
            <w:tcW w:w="117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160</w:t>
            </w:r>
          </w:p>
        </w:tc>
        <w:tc>
          <w:tcPr>
            <w:tcW w:w="126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047"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481"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r>
      <w:tr w:rsidR="00DA18A2" w:rsidRPr="00681E0A" w:rsidTr="008849C4">
        <w:trPr>
          <w:trHeight w:val="260"/>
          <w:jc w:val="center"/>
        </w:trPr>
        <w:tc>
          <w:tcPr>
            <w:tcW w:w="4389" w:type="dxa"/>
            <w:tcBorders>
              <w:top w:val="nil"/>
              <w:left w:val="single" w:sz="4" w:space="0" w:color="auto"/>
              <w:bottom w:val="single" w:sz="4" w:space="0" w:color="auto"/>
              <w:right w:val="single" w:sz="4" w:space="0" w:color="auto"/>
            </w:tcBorders>
            <w:shd w:val="clear" w:color="auto" w:fill="auto"/>
            <w:noWrap/>
            <w:vAlign w:val="bottom"/>
            <w:hideMark/>
          </w:tcPr>
          <w:p w:rsidR="00372D0B" w:rsidRPr="00681E0A" w:rsidRDefault="008B67A4" w:rsidP="00681E0A">
            <w:pPr>
              <w:widowControl/>
              <w:autoSpaceDE/>
              <w:autoSpaceDN/>
              <w:adjustRightInd/>
              <w:ind w:firstLineChars="200" w:firstLine="360"/>
              <w:rPr>
                <w:color w:val="000000"/>
                <w:sz w:val="18"/>
                <w:szCs w:val="18"/>
              </w:rPr>
            </w:pPr>
            <w:r w:rsidRPr="00681E0A">
              <w:rPr>
                <w:color w:val="000000"/>
                <w:sz w:val="18"/>
                <w:szCs w:val="18"/>
              </w:rPr>
              <w:t>ii. Quality control plan for CMS</w:t>
            </w:r>
          </w:p>
        </w:tc>
        <w:tc>
          <w:tcPr>
            <w:tcW w:w="108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60</w:t>
            </w:r>
          </w:p>
        </w:tc>
        <w:tc>
          <w:tcPr>
            <w:tcW w:w="117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60</w:t>
            </w:r>
          </w:p>
        </w:tc>
        <w:tc>
          <w:tcPr>
            <w:tcW w:w="126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047"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481"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r>
      <w:tr w:rsidR="00DA18A2" w:rsidRPr="00681E0A" w:rsidTr="008849C4">
        <w:trPr>
          <w:trHeight w:val="260"/>
          <w:jc w:val="center"/>
        </w:trPr>
        <w:tc>
          <w:tcPr>
            <w:tcW w:w="4389" w:type="dxa"/>
            <w:tcBorders>
              <w:top w:val="nil"/>
              <w:left w:val="single" w:sz="4" w:space="0" w:color="auto"/>
              <w:bottom w:val="single" w:sz="4" w:space="0" w:color="auto"/>
              <w:right w:val="single" w:sz="4" w:space="0" w:color="auto"/>
            </w:tcBorders>
            <w:shd w:val="clear" w:color="auto" w:fill="auto"/>
            <w:noWrap/>
            <w:vAlign w:val="bottom"/>
            <w:hideMark/>
          </w:tcPr>
          <w:p w:rsidR="00372D0B" w:rsidRPr="00681E0A" w:rsidRDefault="008B67A4" w:rsidP="00681E0A">
            <w:pPr>
              <w:widowControl/>
              <w:autoSpaceDE/>
              <w:autoSpaceDN/>
              <w:adjustRightInd/>
              <w:ind w:firstLineChars="200" w:firstLine="360"/>
              <w:rPr>
                <w:color w:val="000000"/>
                <w:sz w:val="18"/>
                <w:szCs w:val="18"/>
              </w:rPr>
            </w:pPr>
            <w:r w:rsidRPr="00681E0A">
              <w:rPr>
                <w:color w:val="000000"/>
                <w:sz w:val="18"/>
                <w:szCs w:val="18"/>
              </w:rPr>
              <w:t>iii. Develop record system</w:t>
            </w:r>
          </w:p>
        </w:tc>
        <w:tc>
          <w:tcPr>
            <w:tcW w:w="108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40</w:t>
            </w:r>
          </w:p>
        </w:tc>
        <w:tc>
          <w:tcPr>
            <w:tcW w:w="117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40</w:t>
            </w:r>
          </w:p>
        </w:tc>
        <w:tc>
          <w:tcPr>
            <w:tcW w:w="126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047"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481"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r>
      <w:tr w:rsidR="00DA18A2" w:rsidRPr="00681E0A" w:rsidTr="008849C4">
        <w:trPr>
          <w:trHeight w:val="260"/>
          <w:jc w:val="center"/>
        </w:trPr>
        <w:tc>
          <w:tcPr>
            <w:tcW w:w="4389" w:type="dxa"/>
            <w:tcBorders>
              <w:top w:val="nil"/>
              <w:left w:val="single" w:sz="4" w:space="0" w:color="auto"/>
              <w:bottom w:val="single" w:sz="4" w:space="0" w:color="auto"/>
              <w:right w:val="single" w:sz="4" w:space="0" w:color="auto"/>
            </w:tcBorders>
            <w:shd w:val="clear" w:color="auto" w:fill="auto"/>
            <w:noWrap/>
            <w:vAlign w:val="bottom"/>
            <w:hideMark/>
          </w:tcPr>
          <w:p w:rsidR="00372D0B" w:rsidRPr="00681E0A" w:rsidRDefault="008B67A4" w:rsidP="00681E0A">
            <w:pPr>
              <w:widowControl/>
              <w:autoSpaceDE/>
              <w:autoSpaceDN/>
              <w:adjustRightInd/>
              <w:ind w:firstLineChars="200" w:firstLine="360"/>
              <w:rPr>
                <w:color w:val="000000"/>
                <w:sz w:val="18"/>
                <w:szCs w:val="18"/>
              </w:rPr>
            </w:pPr>
            <w:r w:rsidRPr="00681E0A">
              <w:rPr>
                <w:color w:val="000000"/>
                <w:sz w:val="18"/>
                <w:szCs w:val="18"/>
              </w:rPr>
              <w:t>iv. Train personnel</w:t>
            </w:r>
          </w:p>
        </w:tc>
        <w:tc>
          <w:tcPr>
            <w:tcW w:w="108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40</w:t>
            </w:r>
          </w:p>
        </w:tc>
        <w:tc>
          <w:tcPr>
            <w:tcW w:w="117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40</w:t>
            </w:r>
          </w:p>
        </w:tc>
        <w:tc>
          <w:tcPr>
            <w:tcW w:w="126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047"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481"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r>
      <w:tr w:rsidR="00DA18A2" w:rsidRPr="00681E0A" w:rsidTr="008849C4">
        <w:trPr>
          <w:trHeight w:val="70"/>
          <w:jc w:val="center"/>
        </w:trPr>
        <w:tc>
          <w:tcPr>
            <w:tcW w:w="4389" w:type="dxa"/>
            <w:tcBorders>
              <w:top w:val="nil"/>
              <w:left w:val="single" w:sz="4" w:space="0" w:color="auto"/>
              <w:bottom w:val="single" w:sz="4" w:space="0" w:color="auto"/>
              <w:right w:val="single" w:sz="4" w:space="0" w:color="auto"/>
            </w:tcBorders>
            <w:shd w:val="clear" w:color="auto" w:fill="auto"/>
            <w:noWrap/>
            <w:vAlign w:val="bottom"/>
            <w:hideMark/>
          </w:tcPr>
          <w:p w:rsidR="00372D0B" w:rsidRPr="00681E0A" w:rsidRDefault="008B67A4" w:rsidP="008849C4">
            <w:pPr>
              <w:widowControl/>
              <w:autoSpaceDE/>
              <w:autoSpaceDN/>
              <w:adjustRightInd/>
              <w:ind w:firstLineChars="200" w:firstLine="360"/>
              <w:rPr>
                <w:color w:val="000000"/>
                <w:sz w:val="18"/>
                <w:szCs w:val="18"/>
              </w:rPr>
            </w:pPr>
            <w:r w:rsidRPr="00681E0A">
              <w:rPr>
                <w:color w:val="000000"/>
                <w:sz w:val="18"/>
                <w:szCs w:val="18"/>
              </w:rPr>
              <w:t xml:space="preserve">v. Repeat performance test </w:t>
            </w:r>
            <w:r w:rsidRPr="008849C4">
              <w:rPr>
                <w:color w:val="000000"/>
                <w:sz w:val="18"/>
                <w:szCs w:val="18"/>
                <w:vertAlign w:val="superscript"/>
              </w:rPr>
              <w:t>d</w:t>
            </w:r>
          </w:p>
        </w:tc>
        <w:tc>
          <w:tcPr>
            <w:tcW w:w="1080" w:type="dxa"/>
            <w:tcBorders>
              <w:top w:val="nil"/>
              <w:left w:val="nil"/>
              <w:bottom w:val="nil"/>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60</w:t>
            </w:r>
          </w:p>
        </w:tc>
        <w:tc>
          <w:tcPr>
            <w:tcW w:w="1170" w:type="dxa"/>
            <w:tcBorders>
              <w:top w:val="nil"/>
              <w:left w:val="nil"/>
              <w:bottom w:val="nil"/>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1</w:t>
            </w:r>
          </w:p>
        </w:tc>
        <w:tc>
          <w:tcPr>
            <w:tcW w:w="1170" w:type="dxa"/>
            <w:tcBorders>
              <w:top w:val="nil"/>
              <w:left w:val="nil"/>
              <w:bottom w:val="nil"/>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60</w:t>
            </w:r>
          </w:p>
        </w:tc>
        <w:tc>
          <w:tcPr>
            <w:tcW w:w="1260" w:type="dxa"/>
            <w:tcBorders>
              <w:top w:val="nil"/>
              <w:left w:val="nil"/>
              <w:bottom w:val="nil"/>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047" w:type="dxa"/>
            <w:tcBorders>
              <w:top w:val="nil"/>
              <w:left w:val="nil"/>
              <w:bottom w:val="nil"/>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229" w:type="dxa"/>
            <w:tcBorders>
              <w:top w:val="nil"/>
              <w:left w:val="nil"/>
              <w:bottom w:val="nil"/>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229" w:type="dxa"/>
            <w:tcBorders>
              <w:top w:val="nil"/>
              <w:left w:val="nil"/>
              <w:bottom w:val="nil"/>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481" w:type="dxa"/>
            <w:tcBorders>
              <w:top w:val="nil"/>
              <w:left w:val="nil"/>
              <w:bottom w:val="nil"/>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r>
      <w:tr w:rsidR="00DA18A2" w:rsidRPr="00681E0A" w:rsidTr="008849C4">
        <w:trPr>
          <w:trHeight w:val="233"/>
          <w:jc w:val="center"/>
        </w:trPr>
        <w:tc>
          <w:tcPr>
            <w:tcW w:w="4389" w:type="dxa"/>
            <w:tcBorders>
              <w:top w:val="nil"/>
              <w:left w:val="single" w:sz="4" w:space="0" w:color="auto"/>
              <w:bottom w:val="single" w:sz="4" w:space="0" w:color="auto"/>
              <w:right w:val="nil"/>
            </w:tcBorders>
            <w:shd w:val="clear" w:color="auto" w:fill="auto"/>
            <w:noWrap/>
            <w:vAlign w:val="bottom"/>
            <w:hideMark/>
          </w:tcPr>
          <w:p w:rsidR="00372D0B" w:rsidRPr="00681E0A" w:rsidRDefault="008B67A4" w:rsidP="00681E0A">
            <w:pPr>
              <w:widowControl/>
              <w:autoSpaceDE/>
              <w:autoSpaceDN/>
              <w:adjustRightInd/>
              <w:ind w:firstLineChars="100" w:firstLine="180"/>
              <w:rPr>
                <w:color w:val="000000"/>
                <w:sz w:val="18"/>
                <w:szCs w:val="18"/>
              </w:rPr>
            </w:pPr>
            <w:r w:rsidRPr="00681E0A">
              <w:rPr>
                <w:color w:val="000000"/>
                <w:sz w:val="18"/>
                <w:szCs w:val="18"/>
              </w:rPr>
              <w:t>C. Write reports</w:t>
            </w:r>
          </w:p>
        </w:tc>
        <w:tc>
          <w:tcPr>
            <w:tcW w:w="1080" w:type="dxa"/>
            <w:tcBorders>
              <w:top w:val="single" w:sz="4" w:space="0" w:color="auto"/>
              <w:left w:val="single" w:sz="4" w:space="0" w:color="auto"/>
              <w:bottom w:val="single" w:sz="4" w:space="0" w:color="auto"/>
              <w:right w:val="nil"/>
            </w:tcBorders>
            <w:shd w:val="clear" w:color="000000"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170" w:type="dxa"/>
            <w:tcBorders>
              <w:top w:val="single" w:sz="4" w:space="0" w:color="auto"/>
              <w:left w:val="nil"/>
              <w:bottom w:val="single" w:sz="4" w:space="0" w:color="auto"/>
              <w:right w:val="nil"/>
            </w:tcBorders>
            <w:shd w:val="clear" w:color="000000"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170" w:type="dxa"/>
            <w:tcBorders>
              <w:top w:val="single" w:sz="4" w:space="0" w:color="auto"/>
              <w:left w:val="nil"/>
              <w:bottom w:val="single" w:sz="4" w:space="0" w:color="auto"/>
              <w:right w:val="nil"/>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260" w:type="dxa"/>
            <w:tcBorders>
              <w:top w:val="single" w:sz="4" w:space="0" w:color="auto"/>
              <w:left w:val="nil"/>
              <w:bottom w:val="single" w:sz="4" w:space="0" w:color="auto"/>
              <w:right w:val="nil"/>
            </w:tcBorders>
            <w:shd w:val="clear" w:color="000000"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047" w:type="dxa"/>
            <w:tcBorders>
              <w:top w:val="single" w:sz="4" w:space="0" w:color="auto"/>
              <w:left w:val="nil"/>
              <w:bottom w:val="single" w:sz="4" w:space="0" w:color="auto"/>
              <w:right w:val="nil"/>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229" w:type="dxa"/>
            <w:tcBorders>
              <w:top w:val="single" w:sz="4" w:space="0" w:color="auto"/>
              <w:left w:val="nil"/>
              <w:bottom w:val="single" w:sz="4" w:space="0" w:color="auto"/>
              <w:right w:val="nil"/>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229" w:type="dxa"/>
            <w:tcBorders>
              <w:top w:val="single" w:sz="4" w:space="0" w:color="auto"/>
              <w:left w:val="nil"/>
              <w:bottom w:val="single" w:sz="4" w:space="0" w:color="auto"/>
              <w:right w:val="nil"/>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481" w:type="dxa"/>
            <w:tcBorders>
              <w:top w:val="single" w:sz="4" w:space="0" w:color="auto"/>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r>
      <w:tr w:rsidR="00DA18A2" w:rsidRPr="00681E0A" w:rsidTr="008849C4">
        <w:trPr>
          <w:trHeight w:val="260"/>
          <w:jc w:val="center"/>
        </w:trPr>
        <w:tc>
          <w:tcPr>
            <w:tcW w:w="4389" w:type="dxa"/>
            <w:tcBorders>
              <w:top w:val="nil"/>
              <w:left w:val="single" w:sz="4" w:space="0" w:color="auto"/>
              <w:bottom w:val="single" w:sz="4" w:space="0" w:color="auto"/>
              <w:right w:val="single" w:sz="4" w:space="0" w:color="auto"/>
            </w:tcBorders>
            <w:shd w:val="clear" w:color="auto" w:fill="auto"/>
            <w:noWrap/>
            <w:vAlign w:val="bottom"/>
            <w:hideMark/>
          </w:tcPr>
          <w:p w:rsidR="00372D0B" w:rsidRPr="00681E0A" w:rsidRDefault="008B67A4" w:rsidP="00681E0A">
            <w:pPr>
              <w:widowControl/>
              <w:autoSpaceDE/>
              <w:autoSpaceDN/>
              <w:adjustRightInd/>
              <w:ind w:firstLineChars="200" w:firstLine="360"/>
              <w:rPr>
                <w:color w:val="000000"/>
                <w:sz w:val="18"/>
                <w:szCs w:val="18"/>
              </w:rPr>
            </w:pPr>
            <w:r w:rsidRPr="00681E0A">
              <w:rPr>
                <w:color w:val="000000"/>
                <w:sz w:val="18"/>
                <w:szCs w:val="18"/>
              </w:rPr>
              <w:t xml:space="preserve">i. Notification of construction/reconstruction </w:t>
            </w:r>
          </w:p>
        </w:tc>
        <w:tc>
          <w:tcPr>
            <w:tcW w:w="108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2</w:t>
            </w:r>
          </w:p>
        </w:tc>
        <w:tc>
          <w:tcPr>
            <w:tcW w:w="117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2</w:t>
            </w:r>
          </w:p>
        </w:tc>
        <w:tc>
          <w:tcPr>
            <w:tcW w:w="126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047"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481"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r>
      <w:tr w:rsidR="00DA18A2" w:rsidRPr="00681E0A" w:rsidTr="008849C4">
        <w:trPr>
          <w:trHeight w:val="260"/>
          <w:jc w:val="center"/>
        </w:trPr>
        <w:tc>
          <w:tcPr>
            <w:tcW w:w="4389" w:type="dxa"/>
            <w:tcBorders>
              <w:top w:val="nil"/>
              <w:left w:val="single" w:sz="4" w:space="0" w:color="auto"/>
              <w:bottom w:val="single" w:sz="4" w:space="0" w:color="auto"/>
              <w:right w:val="single" w:sz="4" w:space="0" w:color="auto"/>
            </w:tcBorders>
            <w:shd w:val="clear" w:color="auto" w:fill="auto"/>
            <w:noWrap/>
            <w:vAlign w:val="bottom"/>
            <w:hideMark/>
          </w:tcPr>
          <w:p w:rsidR="00372D0B" w:rsidRPr="00681E0A" w:rsidRDefault="008B67A4" w:rsidP="008849C4">
            <w:pPr>
              <w:widowControl/>
              <w:autoSpaceDE/>
              <w:autoSpaceDN/>
              <w:adjustRightInd/>
              <w:ind w:firstLineChars="200" w:firstLine="360"/>
              <w:rPr>
                <w:color w:val="000000"/>
                <w:sz w:val="18"/>
                <w:szCs w:val="18"/>
              </w:rPr>
            </w:pPr>
            <w:r w:rsidRPr="00681E0A">
              <w:rPr>
                <w:color w:val="000000"/>
                <w:sz w:val="18"/>
                <w:szCs w:val="18"/>
              </w:rPr>
              <w:t>ii. Notification of physical or operational changes</w:t>
            </w:r>
            <w:r w:rsidR="008849C4">
              <w:rPr>
                <w:color w:val="000000"/>
                <w:sz w:val="18"/>
                <w:szCs w:val="18"/>
              </w:rPr>
              <w:t xml:space="preserve"> </w:t>
            </w:r>
            <w:r w:rsidR="008849C4" w:rsidRPr="008849C4">
              <w:rPr>
                <w:color w:val="000000"/>
                <w:sz w:val="18"/>
                <w:szCs w:val="18"/>
                <w:vertAlign w:val="superscript"/>
              </w:rPr>
              <w:t>c, e</w:t>
            </w:r>
            <w:r w:rsidR="008849C4">
              <w:rPr>
                <w:color w:val="000000"/>
                <w:sz w:val="18"/>
                <w:szCs w:val="18"/>
              </w:rPr>
              <w:t xml:space="preserve"> </w:t>
            </w:r>
          </w:p>
        </w:tc>
        <w:tc>
          <w:tcPr>
            <w:tcW w:w="108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8</w:t>
            </w:r>
          </w:p>
        </w:tc>
        <w:tc>
          <w:tcPr>
            <w:tcW w:w="117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3</w:t>
            </w:r>
          </w:p>
        </w:tc>
        <w:tc>
          <w:tcPr>
            <w:tcW w:w="1170"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24</w:t>
            </w:r>
          </w:p>
        </w:tc>
        <w:tc>
          <w:tcPr>
            <w:tcW w:w="126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27</w:t>
            </w:r>
          </w:p>
        </w:tc>
        <w:tc>
          <w:tcPr>
            <w:tcW w:w="1047"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648</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32.4</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64.8</w:t>
            </w:r>
          </w:p>
        </w:tc>
        <w:tc>
          <w:tcPr>
            <w:tcW w:w="1481"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$72,893.52</w:t>
            </w:r>
          </w:p>
        </w:tc>
      </w:tr>
      <w:tr w:rsidR="00DA18A2" w:rsidRPr="00681E0A" w:rsidTr="008849C4">
        <w:trPr>
          <w:trHeight w:val="170"/>
          <w:jc w:val="center"/>
        </w:trPr>
        <w:tc>
          <w:tcPr>
            <w:tcW w:w="4389" w:type="dxa"/>
            <w:tcBorders>
              <w:top w:val="nil"/>
              <w:left w:val="single" w:sz="4" w:space="0" w:color="auto"/>
              <w:bottom w:val="single" w:sz="4" w:space="0" w:color="auto"/>
              <w:right w:val="single" w:sz="4" w:space="0" w:color="auto"/>
            </w:tcBorders>
            <w:shd w:val="clear" w:color="auto" w:fill="auto"/>
            <w:noWrap/>
            <w:vAlign w:val="bottom"/>
            <w:hideMark/>
          </w:tcPr>
          <w:p w:rsidR="00372D0B" w:rsidRPr="00681E0A" w:rsidRDefault="008B67A4" w:rsidP="00681E0A">
            <w:pPr>
              <w:widowControl/>
              <w:autoSpaceDE/>
              <w:autoSpaceDN/>
              <w:adjustRightInd/>
              <w:ind w:firstLineChars="200" w:firstLine="360"/>
              <w:rPr>
                <w:color w:val="000000"/>
                <w:sz w:val="18"/>
                <w:szCs w:val="18"/>
              </w:rPr>
            </w:pPr>
            <w:r w:rsidRPr="00681E0A">
              <w:rPr>
                <w:color w:val="000000"/>
                <w:sz w:val="18"/>
                <w:szCs w:val="18"/>
              </w:rPr>
              <w:t>iii. Notification of actual startup</w:t>
            </w:r>
          </w:p>
        </w:tc>
        <w:tc>
          <w:tcPr>
            <w:tcW w:w="108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2</w:t>
            </w:r>
          </w:p>
        </w:tc>
        <w:tc>
          <w:tcPr>
            <w:tcW w:w="117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2</w:t>
            </w:r>
          </w:p>
        </w:tc>
        <w:tc>
          <w:tcPr>
            <w:tcW w:w="126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047"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481"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r>
      <w:tr w:rsidR="00DA18A2" w:rsidRPr="00681E0A" w:rsidTr="008849C4">
        <w:trPr>
          <w:trHeight w:val="170"/>
          <w:jc w:val="center"/>
        </w:trPr>
        <w:tc>
          <w:tcPr>
            <w:tcW w:w="4389" w:type="dxa"/>
            <w:tcBorders>
              <w:top w:val="nil"/>
              <w:left w:val="single" w:sz="4" w:space="0" w:color="auto"/>
              <w:bottom w:val="single" w:sz="4" w:space="0" w:color="auto"/>
              <w:right w:val="single" w:sz="4" w:space="0" w:color="auto"/>
            </w:tcBorders>
            <w:shd w:val="clear" w:color="auto" w:fill="auto"/>
            <w:noWrap/>
            <w:vAlign w:val="bottom"/>
            <w:hideMark/>
          </w:tcPr>
          <w:p w:rsidR="00372D0B" w:rsidRPr="00681E0A" w:rsidRDefault="008B67A4" w:rsidP="00681E0A">
            <w:pPr>
              <w:widowControl/>
              <w:autoSpaceDE/>
              <w:autoSpaceDN/>
              <w:adjustRightInd/>
              <w:ind w:firstLineChars="200" w:firstLine="360"/>
              <w:rPr>
                <w:color w:val="000000"/>
                <w:sz w:val="18"/>
                <w:szCs w:val="18"/>
              </w:rPr>
            </w:pPr>
            <w:r w:rsidRPr="00681E0A">
              <w:rPr>
                <w:color w:val="000000"/>
                <w:sz w:val="18"/>
                <w:szCs w:val="18"/>
              </w:rPr>
              <w:t>iv. Notification of initial performance test</w:t>
            </w:r>
          </w:p>
        </w:tc>
        <w:tc>
          <w:tcPr>
            <w:tcW w:w="108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2</w:t>
            </w:r>
          </w:p>
        </w:tc>
        <w:tc>
          <w:tcPr>
            <w:tcW w:w="117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2</w:t>
            </w:r>
          </w:p>
        </w:tc>
        <w:tc>
          <w:tcPr>
            <w:tcW w:w="126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047"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481"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r>
      <w:tr w:rsidR="00DA18A2" w:rsidRPr="00681E0A" w:rsidTr="008849C4">
        <w:trPr>
          <w:trHeight w:val="188"/>
          <w:jc w:val="center"/>
        </w:trPr>
        <w:tc>
          <w:tcPr>
            <w:tcW w:w="4389" w:type="dxa"/>
            <w:tcBorders>
              <w:top w:val="nil"/>
              <w:left w:val="single" w:sz="4" w:space="0" w:color="auto"/>
              <w:bottom w:val="single" w:sz="4" w:space="0" w:color="auto"/>
              <w:right w:val="single" w:sz="4" w:space="0" w:color="auto"/>
            </w:tcBorders>
            <w:shd w:val="clear" w:color="auto" w:fill="auto"/>
            <w:noWrap/>
            <w:vAlign w:val="bottom"/>
            <w:hideMark/>
          </w:tcPr>
          <w:p w:rsidR="00372D0B" w:rsidRPr="00681E0A" w:rsidRDefault="008B67A4" w:rsidP="00681E0A">
            <w:pPr>
              <w:widowControl/>
              <w:autoSpaceDE/>
              <w:autoSpaceDN/>
              <w:adjustRightInd/>
              <w:ind w:firstLineChars="200" w:firstLine="360"/>
              <w:rPr>
                <w:color w:val="000000"/>
                <w:sz w:val="18"/>
                <w:szCs w:val="18"/>
              </w:rPr>
            </w:pPr>
            <w:r w:rsidRPr="00681E0A">
              <w:rPr>
                <w:color w:val="000000"/>
                <w:sz w:val="18"/>
                <w:szCs w:val="18"/>
              </w:rPr>
              <w:t>v. Notification of applicability</w:t>
            </w:r>
          </w:p>
        </w:tc>
        <w:tc>
          <w:tcPr>
            <w:tcW w:w="108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2</w:t>
            </w:r>
          </w:p>
        </w:tc>
        <w:tc>
          <w:tcPr>
            <w:tcW w:w="117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2</w:t>
            </w:r>
          </w:p>
        </w:tc>
        <w:tc>
          <w:tcPr>
            <w:tcW w:w="126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047"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481"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r>
      <w:tr w:rsidR="00DA18A2" w:rsidRPr="00681E0A" w:rsidTr="008849C4">
        <w:trPr>
          <w:trHeight w:val="233"/>
          <w:jc w:val="center"/>
        </w:trPr>
        <w:tc>
          <w:tcPr>
            <w:tcW w:w="4389" w:type="dxa"/>
            <w:tcBorders>
              <w:top w:val="nil"/>
              <w:left w:val="single" w:sz="4" w:space="0" w:color="auto"/>
              <w:bottom w:val="single" w:sz="4" w:space="0" w:color="auto"/>
              <w:right w:val="single" w:sz="4" w:space="0" w:color="auto"/>
            </w:tcBorders>
            <w:shd w:val="clear" w:color="auto" w:fill="auto"/>
            <w:noWrap/>
            <w:vAlign w:val="bottom"/>
            <w:hideMark/>
          </w:tcPr>
          <w:p w:rsidR="00372D0B" w:rsidRPr="00681E0A" w:rsidRDefault="008B67A4" w:rsidP="00681E0A">
            <w:pPr>
              <w:widowControl/>
              <w:autoSpaceDE/>
              <w:autoSpaceDN/>
              <w:adjustRightInd/>
              <w:ind w:firstLineChars="200" w:firstLine="360"/>
              <w:rPr>
                <w:color w:val="000000"/>
                <w:sz w:val="18"/>
                <w:szCs w:val="18"/>
              </w:rPr>
            </w:pPr>
            <w:r w:rsidRPr="00681E0A">
              <w:rPr>
                <w:color w:val="000000"/>
                <w:sz w:val="18"/>
                <w:szCs w:val="18"/>
              </w:rPr>
              <w:t>vi. Notificati</w:t>
            </w:r>
            <w:r w:rsidR="00372D0B" w:rsidRPr="00681E0A">
              <w:rPr>
                <w:color w:val="000000"/>
                <w:sz w:val="18"/>
                <w:szCs w:val="18"/>
              </w:rPr>
              <w:t>o</w:t>
            </w:r>
            <w:r w:rsidRPr="00681E0A">
              <w:rPr>
                <w:color w:val="000000"/>
                <w:sz w:val="18"/>
                <w:szCs w:val="18"/>
              </w:rPr>
              <w:t>n of demonstration of CMS</w:t>
            </w:r>
          </w:p>
        </w:tc>
        <w:tc>
          <w:tcPr>
            <w:tcW w:w="108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2</w:t>
            </w:r>
          </w:p>
        </w:tc>
        <w:tc>
          <w:tcPr>
            <w:tcW w:w="117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2</w:t>
            </w:r>
          </w:p>
        </w:tc>
        <w:tc>
          <w:tcPr>
            <w:tcW w:w="126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047"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481"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r>
      <w:tr w:rsidR="00DA18A2" w:rsidRPr="00681E0A" w:rsidTr="008849C4">
        <w:trPr>
          <w:trHeight w:val="170"/>
          <w:jc w:val="center"/>
        </w:trPr>
        <w:tc>
          <w:tcPr>
            <w:tcW w:w="4389" w:type="dxa"/>
            <w:tcBorders>
              <w:top w:val="nil"/>
              <w:left w:val="single" w:sz="4" w:space="0" w:color="auto"/>
              <w:bottom w:val="single" w:sz="4" w:space="0" w:color="auto"/>
              <w:right w:val="single" w:sz="4" w:space="0" w:color="auto"/>
            </w:tcBorders>
            <w:shd w:val="clear" w:color="auto" w:fill="auto"/>
            <w:noWrap/>
            <w:vAlign w:val="bottom"/>
            <w:hideMark/>
          </w:tcPr>
          <w:p w:rsidR="00372D0B" w:rsidRPr="00681E0A" w:rsidRDefault="008B67A4" w:rsidP="00681E0A">
            <w:pPr>
              <w:widowControl/>
              <w:autoSpaceDE/>
              <w:autoSpaceDN/>
              <w:adjustRightInd/>
              <w:ind w:firstLineChars="200" w:firstLine="360"/>
              <w:rPr>
                <w:color w:val="000000"/>
                <w:sz w:val="18"/>
                <w:szCs w:val="18"/>
              </w:rPr>
            </w:pPr>
            <w:r w:rsidRPr="00681E0A">
              <w:rPr>
                <w:color w:val="000000"/>
                <w:sz w:val="18"/>
                <w:szCs w:val="18"/>
              </w:rPr>
              <w:t>vii. Notification of compliance status</w:t>
            </w:r>
          </w:p>
        </w:tc>
        <w:tc>
          <w:tcPr>
            <w:tcW w:w="108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120</w:t>
            </w:r>
          </w:p>
        </w:tc>
        <w:tc>
          <w:tcPr>
            <w:tcW w:w="117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120</w:t>
            </w:r>
          </w:p>
        </w:tc>
        <w:tc>
          <w:tcPr>
            <w:tcW w:w="126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047"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481"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r>
      <w:tr w:rsidR="00DA18A2" w:rsidRPr="00681E0A" w:rsidTr="008849C4">
        <w:trPr>
          <w:trHeight w:val="215"/>
          <w:jc w:val="center"/>
        </w:trPr>
        <w:tc>
          <w:tcPr>
            <w:tcW w:w="4389" w:type="dxa"/>
            <w:tcBorders>
              <w:top w:val="nil"/>
              <w:left w:val="single" w:sz="4" w:space="0" w:color="auto"/>
              <w:bottom w:val="single" w:sz="4" w:space="0" w:color="auto"/>
              <w:right w:val="single" w:sz="4" w:space="0" w:color="auto"/>
            </w:tcBorders>
            <w:shd w:val="clear" w:color="auto" w:fill="auto"/>
            <w:noWrap/>
            <w:vAlign w:val="bottom"/>
            <w:hideMark/>
          </w:tcPr>
          <w:p w:rsidR="00372D0B" w:rsidRPr="00681E0A" w:rsidRDefault="008B67A4" w:rsidP="008849C4">
            <w:pPr>
              <w:widowControl/>
              <w:autoSpaceDE/>
              <w:autoSpaceDN/>
              <w:adjustRightInd/>
              <w:ind w:firstLineChars="200" w:firstLine="360"/>
              <w:rPr>
                <w:color w:val="000000"/>
                <w:sz w:val="18"/>
                <w:szCs w:val="18"/>
              </w:rPr>
            </w:pPr>
            <w:r w:rsidRPr="00681E0A">
              <w:rPr>
                <w:color w:val="000000"/>
                <w:sz w:val="18"/>
                <w:szCs w:val="18"/>
              </w:rPr>
              <w:t xml:space="preserve">viii. Per-compliance report (emission </w:t>
            </w:r>
            <w:r w:rsidR="008849C4">
              <w:rPr>
                <w:color w:val="000000"/>
                <w:sz w:val="18"/>
                <w:szCs w:val="18"/>
              </w:rPr>
              <w:t>averaging)</w:t>
            </w:r>
          </w:p>
        </w:tc>
        <w:tc>
          <w:tcPr>
            <w:tcW w:w="108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180</w:t>
            </w:r>
          </w:p>
        </w:tc>
        <w:tc>
          <w:tcPr>
            <w:tcW w:w="117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180</w:t>
            </w:r>
          </w:p>
        </w:tc>
        <w:tc>
          <w:tcPr>
            <w:tcW w:w="126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047"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c>
          <w:tcPr>
            <w:tcW w:w="1481"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$0</w:t>
            </w:r>
          </w:p>
        </w:tc>
      </w:tr>
      <w:tr w:rsidR="00DA18A2" w:rsidRPr="00681E0A" w:rsidTr="008849C4">
        <w:trPr>
          <w:trHeight w:val="170"/>
          <w:jc w:val="center"/>
        </w:trPr>
        <w:tc>
          <w:tcPr>
            <w:tcW w:w="4389" w:type="dxa"/>
            <w:tcBorders>
              <w:top w:val="nil"/>
              <w:left w:val="single" w:sz="4" w:space="0" w:color="auto"/>
              <w:bottom w:val="single" w:sz="4" w:space="0" w:color="auto"/>
              <w:right w:val="single" w:sz="4" w:space="0" w:color="auto"/>
            </w:tcBorders>
            <w:shd w:val="clear" w:color="auto" w:fill="auto"/>
            <w:noWrap/>
            <w:vAlign w:val="bottom"/>
            <w:hideMark/>
          </w:tcPr>
          <w:p w:rsidR="00372D0B" w:rsidRPr="00681E0A" w:rsidRDefault="00372D0B" w:rsidP="008849C4">
            <w:pPr>
              <w:widowControl/>
              <w:autoSpaceDE/>
              <w:autoSpaceDN/>
              <w:adjustRightInd/>
              <w:ind w:firstLineChars="200" w:firstLine="360"/>
              <w:rPr>
                <w:color w:val="000000"/>
                <w:sz w:val="18"/>
                <w:szCs w:val="18"/>
              </w:rPr>
            </w:pPr>
            <w:r w:rsidRPr="00681E0A">
              <w:rPr>
                <w:color w:val="000000"/>
                <w:sz w:val="18"/>
                <w:szCs w:val="18"/>
              </w:rPr>
              <w:t>ix. Startup, shutdown,</w:t>
            </w:r>
            <w:r w:rsidR="008B67A4" w:rsidRPr="00681E0A">
              <w:rPr>
                <w:color w:val="000000"/>
                <w:sz w:val="18"/>
                <w:szCs w:val="18"/>
              </w:rPr>
              <w:t xml:space="preserve"> malfunction </w:t>
            </w:r>
            <w:r w:rsidR="008B67A4" w:rsidRPr="008849C4">
              <w:rPr>
                <w:color w:val="000000"/>
                <w:sz w:val="18"/>
                <w:szCs w:val="18"/>
                <w:vertAlign w:val="superscript"/>
              </w:rPr>
              <w:t>f</w:t>
            </w:r>
          </w:p>
        </w:tc>
        <w:tc>
          <w:tcPr>
            <w:tcW w:w="108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40</w:t>
            </w:r>
          </w:p>
        </w:tc>
        <w:tc>
          <w:tcPr>
            <w:tcW w:w="117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2</w:t>
            </w:r>
          </w:p>
        </w:tc>
        <w:tc>
          <w:tcPr>
            <w:tcW w:w="1170"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80</w:t>
            </w:r>
          </w:p>
        </w:tc>
        <w:tc>
          <w:tcPr>
            <w:tcW w:w="126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27</w:t>
            </w:r>
          </w:p>
        </w:tc>
        <w:tc>
          <w:tcPr>
            <w:tcW w:w="1047"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2,160</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108</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216</w:t>
            </w:r>
          </w:p>
        </w:tc>
        <w:tc>
          <w:tcPr>
            <w:tcW w:w="1481"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$242,978.40</w:t>
            </w:r>
          </w:p>
        </w:tc>
      </w:tr>
      <w:tr w:rsidR="00DA18A2" w:rsidRPr="00681E0A" w:rsidTr="008849C4">
        <w:trPr>
          <w:trHeight w:val="233"/>
          <w:jc w:val="center"/>
        </w:trPr>
        <w:tc>
          <w:tcPr>
            <w:tcW w:w="4389" w:type="dxa"/>
            <w:tcBorders>
              <w:top w:val="nil"/>
              <w:left w:val="single" w:sz="4" w:space="0" w:color="auto"/>
              <w:bottom w:val="single" w:sz="4" w:space="0" w:color="auto"/>
              <w:right w:val="single" w:sz="4" w:space="0" w:color="auto"/>
            </w:tcBorders>
            <w:shd w:val="clear" w:color="auto" w:fill="auto"/>
            <w:noWrap/>
            <w:vAlign w:val="bottom"/>
            <w:hideMark/>
          </w:tcPr>
          <w:p w:rsidR="00372D0B" w:rsidRPr="00681E0A" w:rsidRDefault="008B67A4" w:rsidP="00681E0A">
            <w:pPr>
              <w:widowControl/>
              <w:autoSpaceDE/>
              <w:autoSpaceDN/>
              <w:adjustRightInd/>
              <w:ind w:firstLineChars="200" w:firstLine="360"/>
              <w:rPr>
                <w:color w:val="000000"/>
                <w:sz w:val="18"/>
                <w:szCs w:val="18"/>
              </w:rPr>
            </w:pPr>
            <w:r w:rsidRPr="00681E0A">
              <w:rPr>
                <w:color w:val="000000"/>
                <w:sz w:val="18"/>
                <w:szCs w:val="18"/>
              </w:rPr>
              <w:t>x. Semiannual summary report</w:t>
            </w:r>
          </w:p>
        </w:tc>
        <w:tc>
          <w:tcPr>
            <w:tcW w:w="1080" w:type="dxa"/>
            <w:tcBorders>
              <w:top w:val="nil"/>
              <w:left w:val="nil"/>
              <w:bottom w:val="single" w:sz="4" w:space="0" w:color="auto"/>
              <w:right w:val="nil"/>
            </w:tcBorders>
            <w:shd w:val="clear" w:color="000000"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170" w:type="dxa"/>
            <w:tcBorders>
              <w:top w:val="nil"/>
              <w:left w:val="nil"/>
              <w:bottom w:val="single" w:sz="4" w:space="0" w:color="auto"/>
              <w:right w:val="nil"/>
            </w:tcBorders>
            <w:shd w:val="clear" w:color="000000"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170" w:type="dxa"/>
            <w:tcBorders>
              <w:top w:val="nil"/>
              <w:left w:val="nil"/>
              <w:bottom w:val="single" w:sz="4" w:space="0" w:color="auto"/>
              <w:right w:val="nil"/>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260" w:type="dxa"/>
            <w:tcBorders>
              <w:top w:val="nil"/>
              <w:left w:val="nil"/>
              <w:bottom w:val="single" w:sz="4" w:space="0" w:color="auto"/>
              <w:right w:val="nil"/>
            </w:tcBorders>
            <w:shd w:val="clear" w:color="000000"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047" w:type="dxa"/>
            <w:tcBorders>
              <w:top w:val="nil"/>
              <w:left w:val="nil"/>
              <w:bottom w:val="single" w:sz="4" w:space="0" w:color="auto"/>
              <w:right w:val="nil"/>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229" w:type="dxa"/>
            <w:tcBorders>
              <w:top w:val="nil"/>
              <w:left w:val="nil"/>
              <w:bottom w:val="single" w:sz="4" w:space="0" w:color="auto"/>
              <w:right w:val="nil"/>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229" w:type="dxa"/>
            <w:tcBorders>
              <w:top w:val="nil"/>
              <w:left w:val="nil"/>
              <w:bottom w:val="single" w:sz="4" w:space="0" w:color="auto"/>
              <w:right w:val="nil"/>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481"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r>
      <w:tr w:rsidR="00372D0B" w:rsidRPr="00681E0A" w:rsidTr="008849C4">
        <w:trPr>
          <w:trHeight w:val="170"/>
          <w:jc w:val="center"/>
        </w:trPr>
        <w:tc>
          <w:tcPr>
            <w:tcW w:w="4389" w:type="dxa"/>
            <w:tcBorders>
              <w:top w:val="nil"/>
              <w:left w:val="single" w:sz="4" w:space="0" w:color="auto"/>
              <w:bottom w:val="single" w:sz="4" w:space="0" w:color="auto"/>
              <w:right w:val="single" w:sz="4" w:space="0" w:color="auto"/>
            </w:tcBorders>
            <w:shd w:val="clear" w:color="auto" w:fill="auto"/>
            <w:noWrap/>
            <w:vAlign w:val="bottom"/>
            <w:hideMark/>
          </w:tcPr>
          <w:p w:rsidR="00372D0B" w:rsidRPr="00681E0A" w:rsidRDefault="00372D0B" w:rsidP="008849C4">
            <w:pPr>
              <w:widowControl/>
              <w:autoSpaceDE/>
              <w:autoSpaceDN/>
              <w:adjustRightInd/>
              <w:ind w:firstLineChars="300" w:firstLine="540"/>
              <w:rPr>
                <w:color w:val="000000"/>
                <w:sz w:val="18"/>
                <w:szCs w:val="18"/>
              </w:rPr>
            </w:pPr>
            <w:r w:rsidRPr="00681E0A">
              <w:rPr>
                <w:color w:val="000000"/>
                <w:sz w:val="18"/>
                <w:szCs w:val="18"/>
              </w:rPr>
              <w:t xml:space="preserve">a. No deviations </w:t>
            </w:r>
            <w:r w:rsidRPr="008849C4">
              <w:rPr>
                <w:color w:val="000000"/>
                <w:sz w:val="18"/>
                <w:szCs w:val="18"/>
                <w:vertAlign w:val="superscript"/>
              </w:rPr>
              <w:t>g</w:t>
            </w:r>
          </w:p>
        </w:tc>
        <w:tc>
          <w:tcPr>
            <w:tcW w:w="1080" w:type="dxa"/>
            <w:tcBorders>
              <w:top w:val="nil"/>
              <w:left w:val="nil"/>
              <w:bottom w:val="single" w:sz="4" w:space="0" w:color="auto"/>
              <w:right w:val="single" w:sz="4" w:space="0" w:color="auto"/>
            </w:tcBorders>
            <w:shd w:val="clear" w:color="000000" w:fill="auto"/>
            <w:noWrap/>
            <w:vAlign w:val="bottom"/>
            <w:hideMark/>
          </w:tcPr>
          <w:p w:rsidR="00372D0B" w:rsidRPr="00681E0A" w:rsidRDefault="00372D0B" w:rsidP="0044053C">
            <w:pPr>
              <w:widowControl/>
              <w:autoSpaceDE/>
              <w:autoSpaceDN/>
              <w:adjustRightInd/>
              <w:jc w:val="right"/>
              <w:rPr>
                <w:color w:val="000000"/>
                <w:sz w:val="18"/>
                <w:szCs w:val="18"/>
              </w:rPr>
            </w:pPr>
            <w:r w:rsidRPr="00681E0A">
              <w:rPr>
                <w:color w:val="000000"/>
                <w:sz w:val="18"/>
                <w:szCs w:val="18"/>
              </w:rPr>
              <w:t>8</w:t>
            </w:r>
          </w:p>
        </w:tc>
        <w:tc>
          <w:tcPr>
            <w:tcW w:w="1170" w:type="dxa"/>
            <w:tcBorders>
              <w:top w:val="nil"/>
              <w:left w:val="nil"/>
              <w:bottom w:val="single" w:sz="4" w:space="0" w:color="auto"/>
              <w:right w:val="single" w:sz="4" w:space="0" w:color="auto"/>
            </w:tcBorders>
            <w:shd w:val="clear" w:color="000000" w:fill="auto"/>
            <w:noWrap/>
            <w:vAlign w:val="bottom"/>
            <w:hideMark/>
          </w:tcPr>
          <w:p w:rsidR="00372D0B" w:rsidRPr="00681E0A" w:rsidRDefault="00372D0B" w:rsidP="0044053C">
            <w:pPr>
              <w:widowControl/>
              <w:autoSpaceDE/>
              <w:autoSpaceDN/>
              <w:adjustRightInd/>
              <w:jc w:val="right"/>
              <w:rPr>
                <w:color w:val="000000"/>
                <w:sz w:val="18"/>
                <w:szCs w:val="18"/>
              </w:rPr>
            </w:pPr>
            <w:r w:rsidRPr="00681E0A">
              <w:rPr>
                <w:color w:val="000000"/>
                <w:sz w:val="18"/>
                <w:szCs w:val="18"/>
              </w:rPr>
              <w:t>2</w:t>
            </w:r>
          </w:p>
        </w:tc>
        <w:tc>
          <w:tcPr>
            <w:tcW w:w="1170" w:type="dxa"/>
            <w:tcBorders>
              <w:top w:val="nil"/>
              <w:left w:val="nil"/>
              <w:bottom w:val="single" w:sz="4" w:space="0" w:color="auto"/>
              <w:right w:val="single" w:sz="4" w:space="0" w:color="auto"/>
            </w:tcBorders>
            <w:shd w:val="clear" w:color="auto" w:fill="auto"/>
            <w:noWrap/>
            <w:vAlign w:val="bottom"/>
            <w:hideMark/>
          </w:tcPr>
          <w:p w:rsidR="00372D0B" w:rsidRPr="00681E0A" w:rsidRDefault="00372D0B" w:rsidP="0044053C">
            <w:pPr>
              <w:widowControl/>
              <w:autoSpaceDE/>
              <w:autoSpaceDN/>
              <w:adjustRightInd/>
              <w:jc w:val="right"/>
              <w:rPr>
                <w:color w:val="000000"/>
                <w:sz w:val="18"/>
                <w:szCs w:val="18"/>
              </w:rPr>
            </w:pPr>
            <w:r w:rsidRPr="00681E0A">
              <w:rPr>
                <w:color w:val="000000"/>
                <w:sz w:val="18"/>
                <w:szCs w:val="18"/>
              </w:rPr>
              <w:t>16</w:t>
            </w:r>
          </w:p>
        </w:tc>
        <w:tc>
          <w:tcPr>
            <w:tcW w:w="1260" w:type="dxa"/>
            <w:tcBorders>
              <w:top w:val="nil"/>
              <w:left w:val="nil"/>
              <w:bottom w:val="single" w:sz="4" w:space="0" w:color="auto"/>
              <w:right w:val="single" w:sz="4" w:space="0" w:color="auto"/>
            </w:tcBorders>
            <w:shd w:val="clear" w:color="000000" w:fill="auto"/>
            <w:noWrap/>
            <w:vAlign w:val="bottom"/>
            <w:hideMark/>
          </w:tcPr>
          <w:p w:rsidR="00372D0B" w:rsidRPr="00681E0A" w:rsidRDefault="00372D0B">
            <w:pPr>
              <w:jc w:val="right"/>
              <w:rPr>
                <w:sz w:val="18"/>
                <w:szCs w:val="18"/>
              </w:rPr>
            </w:pPr>
            <w:r w:rsidRPr="00681E0A">
              <w:rPr>
                <w:sz w:val="18"/>
                <w:szCs w:val="18"/>
              </w:rPr>
              <w:t>24</w:t>
            </w:r>
          </w:p>
        </w:tc>
        <w:tc>
          <w:tcPr>
            <w:tcW w:w="1047" w:type="dxa"/>
            <w:tcBorders>
              <w:top w:val="nil"/>
              <w:left w:val="nil"/>
              <w:bottom w:val="single" w:sz="4" w:space="0" w:color="auto"/>
              <w:right w:val="single" w:sz="4" w:space="0" w:color="auto"/>
            </w:tcBorders>
            <w:shd w:val="clear" w:color="auto" w:fill="auto"/>
            <w:noWrap/>
            <w:vAlign w:val="bottom"/>
            <w:hideMark/>
          </w:tcPr>
          <w:p w:rsidR="00372D0B" w:rsidRPr="00681E0A" w:rsidRDefault="00372D0B">
            <w:pPr>
              <w:jc w:val="right"/>
              <w:rPr>
                <w:sz w:val="18"/>
                <w:szCs w:val="18"/>
              </w:rPr>
            </w:pPr>
            <w:r w:rsidRPr="00681E0A">
              <w:rPr>
                <w:sz w:val="18"/>
                <w:szCs w:val="18"/>
              </w:rPr>
              <w:t>384</w:t>
            </w:r>
          </w:p>
        </w:tc>
        <w:tc>
          <w:tcPr>
            <w:tcW w:w="1229" w:type="dxa"/>
            <w:tcBorders>
              <w:top w:val="nil"/>
              <w:left w:val="nil"/>
              <w:bottom w:val="single" w:sz="4" w:space="0" w:color="auto"/>
              <w:right w:val="single" w:sz="4" w:space="0" w:color="auto"/>
            </w:tcBorders>
            <w:shd w:val="clear" w:color="auto" w:fill="auto"/>
            <w:noWrap/>
            <w:vAlign w:val="bottom"/>
            <w:hideMark/>
          </w:tcPr>
          <w:p w:rsidR="00372D0B" w:rsidRPr="00681E0A" w:rsidRDefault="00372D0B">
            <w:pPr>
              <w:jc w:val="right"/>
              <w:rPr>
                <w:sz w:val="18"/>
                <w:szCs w:val="18"/>
              </w:rPr>
            </w:pPr>
            <w:r w:rsidRPr="00681E0A">
              <w:rPr>
                <w:sz w:val="18"/>
                <w:szCs w:val="18"/>
              </w:rPr>
              <w:t>19.2</w:t>
            </w:r>
          </w:p>
        </w:tc>
        <w:tc>
          <w:tcPr>
            <w:tcW w:w="1229" w:type="dxa"/>
            <w:tcBorders>
              <w:top w:val="nil"/>
              <w:left w:val="nil"/>
              <w:bottom w:val="single" w:sz="4" w:space="0" w:color="auto"/>
              <w:right w:val="single" w:sz="4" w:space="0" w:color="auto"/>
            </w:tcBorders>
            <w:shd w:val="clear" w:color="auto" w:fill="auto"/>
            <w:noWrap/>
            <w:vAlign w:val="bottom"/>
            <w:hideMark/>
          </w:tcPr>
          <w:p w:rsidR="00372D0B" w:rsidRPr="00681E0A" w:rsidRDefault="00372D0B">
            <w:pPr>
              <w:jc w:val="right"/>
              <w:rPr>
                <w:sz w:val="18"/>
                <w:szCs w:val="18"/>
              </w:rPr>
            </w:pPr>
            <w:r w:rsidRPr="00681E0A">
              <w:rPr>
                <w:sz w:val="18"/>
                <w:szCs w:val="18"/>
              </w:rPr>
              <w:t>38.4</w:t>
            </w:r>
          </w:p>
        </w:tc>
        <w:tc>
          <w:tcPr>
            <w:tcW w:w="1481" w:type="dxa"/>
            <w:tcBorders>
              <w:top w:val="nil"/>
              <w:left w:val="nil"/>
              <w:bottom w:val="single" w:sz="4" w:space="0" w:color="auto"/>
              <w:right w:val="single" w:sz="4" w:space="0" w:color="auto"/>
            </w:tcBorders>
            <w:shd w:val="clear" w:color="auto" w:fill="auto"/>
            <w:noWrap/>
            <w:vAlign w:val="bottom"/>
            <w:hideMark/>
          </w:tcPr>
          <w:p w:rsidR="00372D0B" w:rsidRPr="00681E0A" w:rsidRDefault="00372D0B">
            <w:pPr>
              <w:jc w:val="right"/>
              <w:rPr>
                <w:sz w:val="18"/>
                <w:szCs w:val="18"/>
              </w:rPr>
            </w:pPr>
            <w:r w:rsidRPr="00681E0A">
              <w:rPr>
                <w:sz w:val="18"/>
                <w:szCs w:val="18"/>
              </w:rPr>
              <w:t>$43,196.16</w:t>
            </w:r>
          </w:p>
        </w:tc>
      </w:tr>
      <w:tr w:rsidR="00372D0B" w:rsidRPr="00681E0A" w:rsidTr="008849C4">
        <w:trPr>
          <w:trHeight w:val="215"/>
          <w:jc w:val="center"/>
        </w:trPr>
        <w:tc>
          <w:tcPr>
            <w:tcW w:w="4389" w:type="dxa"/>
            <w:tcBorders>
              <w:top w:val="nil"/>
              <w:left w:val="single" w:sz="4" w:space="0" w:color="auto"/>
              <w:bottom w:val="single" w:sz="4" w:space="0" w:color="auto"/>
              <w:right w:val="single" w:sz="4" w:space="0" w:color="auto"/>
            </w:tcBorders>
            <w:shd w:val="clear" w:color="auto" w:fill="auto"/>
            <w:noWrap/>
            <w:vAlign w:val="bottom"/>
            <w:hideMark/>
          </w:tcPr>
          <w:p w:rsidR="00372D0B" w:rsidRPr="00681E0A" w:rsidRDefault="00372D0B" w:rsidP="008849C4">
            <w:pPr>
              <w:widowControl/>
              <w:autoSpaceDE/>
              <w:autoSpaceDN/>
              <w:adjustRightInd/>
              <w:ind w:firstLineChars="300" w:firstLine="540"/>
              <w:rPr>
                <w:color w:val="000000"/>
                <w:sz w:val="18"/>
                <w:szCs w:val="18"/>
              </w:rPr>
            </w:pPr>
            <w:r w:rsidRPr="00681E0A">
              <w:rPr>
                <w:color w:val="000000"/>
                <w:sz w:val="18"/>
                <w:szCs w:val="18"/>
              </w:rPr>
              <w:t xml:space="preserve">b. Deviations </w:t>
            </w:r>
            <w:r w:rsidRPr="008849C4">
              <w:rPr>
                <w:color w:val="000000"/>
                <w:sz w:val="18"/>
                <w:szCs w:val="18"/>
                <w:vertAlign w:val="superscript"/>
              </w:rPr>
              <w:t>h</w:t>
            </w:r>
          </w:p>
        </w:tc>
        <w:tc>
          <w:tcPr>
            <w:tcW w:w="1080" w:type="dxa"/>
            <w:tcBorders>
              <w:top w:val="nil"/>
              <w:left w:val="nil"/>
              <w:bottom w:val="single" w:sz="4" w:space="0" w:color="auto"/>
              <w:right w:val="single" w:sz="4" w:space="0" w:color="auto"/>
            </w:tcBorders>
            <w:shd w:val="clear" w:color="000000" w:fill="auto"/>
            <w:noWrap/>
            <w:vAlign w:val="bottom"/>
            <w:hideMark/>
          </w:tcPr>
          <w:p w:rsidR="00372D0B" w:rsidRPr="00681E0A" w:rsidRDefault="00372D0B" w:rsidP="0044053C">
            <w:pPr>
              <w:widowControl/>
              <w:autoSpaceDE/>
              <w:autoSpaceDN/>
              <w:adjustRightInd/>
              <w:jc w:val="right"/>
              <w:rPr>
                <w:color w:val="000000"/>
                <w:sz w:val="18"/>
                <w:szCs w:val="18"/>
              </w:rPr>
            </w:pPr>
            <w:r w:rsidRPr="00681E0A">
              <w:rPr>
                <w:color w:val="000000"/>
                <w:sz w:val="18"/>
                <w:szCs w:val="18"/>
              </w:rPr>
              <w:t>24</w:t>
            </w:r>
          </w:p>
        </w:tc>
        <w:tc>
          <w:tcPr>
            <w:tcW w:w="1170" w:type="dxa"/>
            <w:tcBorders>
              <w:top w:val="nil"/>
              <w:left w:val="nil"/>
              <w:bottom w:val="single" w:sz="4" w:space="0" w:color="auto"/>
              <w:right w:val="single" w:sz="4" w:space="0" w:color="auto"/>
            </w:tcBorders>
            <w:shd w:val="clear" w:color="000000" w:fill="auto"/>
            <w:noWrap/>
            <w:vAlign w:val="bottom"/>
            <w:hideMark/>
          </w:tcPr>
          <w:p w:rsidR="00372D0B" w:rsidRPr="00681E0A" w:rsidRDefault="00372D0B" w:rsidP="0044053C">
            <w:pPr>
              <w:widowControl/>
              <w:autoSpaceDE/>
              <w:autoSpaceDN/>
              <w:adjustRightInd/>
              <w:jc w:val="right"/>
              <w:rPr>
                <w:color w:val="000000"/>
                <w:sz w:val="18"/>
                <w:szCs w:val="18"/>
              </w:rPr>
            </w:pPr>
            <w:r w:rsidRPr="00681E0A">
              <w:rPr>
                <w:color w:val="000000"/>
                <w:sz w:val="18"/>
                <w:szCs w:val="18"/>
              </w:rPr>
              <w:t>2</w:t>
            </w:r>
          </w:p>
        </w:tc>
        <w:tc>
          <w:tcPr>
            <w:tcW w:w="1170" w:type="dxa"/>
            <w:tcBorders>
              <w:top w:val="nil"/>
              <w:left w:val="nil"/>
              <w:bottom w:val="single" w:sz="4" w:space="0" w:color="auto"/>
              <w:right w:val="single" w:sz="4" w:space="0" w:color="auto"/>
            </w:tcBorders>
            <w:shd w:val="clear" w:color="auto" w:fill="auto"/>
            <w:noWrap/>
            <w:vAlign w:val="bottom"/>
            <w:hideMark/>
          </w:tcPr>
          <w:p w:rsidR="00372D0B" w:rsidRPr="00681E0A" w:rsidRDefault="00372D0B" w:rsidP="0044053C">
            <w:pPr>
              <w:widowControl/>
              <w:autoSpaceDE/>
              <w:autoSpaceDN/>
              <w:adjustRightInd/>
              <w:jc w:val="right"/>
              <w:rPr>
                <w:color w:val="000000"/>
                <w:sz w:val="18"/>
                <w:szCs w:val="18"/>
              </w:rPr>
            </w:pPr>
            <w:r w:rsidRPr="00681E0A">
              <w:rPr>
                <w:color w:val="000000"/>
                <w:sz w:val="18"/>
                <w:szCs w:val="18"/>
              </w:rPr>
              <w:t>48</w:t>
            </w:r>
          </w:p>
        </w:tc>
        <w:tc>
          <w:tcPr>
            <w:tcW w:w="1260" w:type="dxa"/>
            <w:tcBorders>
              <w:top w:val="nil"/>
              <w:left w:val="nil"/>
              <w:bottom w:val="single" w:sz="4" w:space="0" w:color="auto"/>
              <w:right w:val="single" w:sz="4" w:space="0" w:color="auto"/>
            </w:tcBorders>
            <w:shd w:val="clear" w:color="000000" w:fill="auto"/>
            <w:noWrap/>
            <w:vAlign w:val="bottom"/>
            <w:hideMark/>
          </w:tcPr>
          <w:p w:rsidR="00372D0B" w:rsidRPr="00681E0A" w:rsidRDefault="00372D0B">
            <w:pPr>
              <w:jc w:val="right"/>
              <w:rPr>
                <w:sz w:val="18"/>
                <w:szCs w:val="18"/>
              </w:rPr>
            </w:pPr>
            <w:r w:rsidRPr="00681E0A">
              <w:rPr>
                <w:sz w:val="18"/>
                <w:szCs w:val="18"/>
              </w:rPr>
              <w:t>3</w:t>
            </w:r>
          </w:p>
        </w:tc>
        <w:tc>
          <w:tcPr>
            <w:tcW w:w="1047" w:type="dxa"/>
            <w:tcBorders>
              <w:top w:val="nil"/>
              <w:left w:val="nil"/>
              <w:bottom w:val="single" w:sz="4" w:space="0" w:color="auto"/>
              <w:right w:val="single" w:sz="4" w:space="0" w:color="auto"/>
            </w:tcBorders>
            <w:shd w:val="clear" w:color="auto" w:fill="auto"/>
            <w:noWrap/>
            <w:vAlign w:val="bottom"/>
            <w:hideMark/>
          </w:tcPr>
          <w:p w:rsidR="00372D0B" w:rsidRPr="00681E0A" w:rsidRDefault="00372D0B">
            <w:pPr>
              <w:jc w:val="right"/>
              <w:rPr>
                <w:sz w:val="18"/>
                <w:szCs w:val="18"/>
              </w:rPr>
            </w:pPr>
            <w:r w:rsidRPr="00681E0A">
              <w:rPr>
                <w:sz w:val="18"/>
                <w:szCs w:val="18"/>
              </w:rPr>
              <w:t>144</w:t>
            </w:r>
          </w:p>
        </w:tc>
        <w:tc>
          <w:tcPr>
            <w:tcW w:w="1229" w:type="dxa"/>
            <w:tcBorders>
              <w:top w:val="nil"/>
              <w:left w:val="nil"/>
              <w:bottom w:val="single" w:sz="4" w:space="0" w:color="auto"/>
              <w:right w:val="single" w:sz="4" w:space="0" w:color="auto"/>
            </w:tcBorders>
            <w:shd w:val="clear" w:color="auto" w:fill="auto"/>
            <w:noWrap/>
            <w:vAlign w:val="bottom"/>
            <w:hideMark/>
          </w:tcPr>
          <w:p w:rsidR="00372D0B" w:rsidRPr="00681E0A" w:rsidRDefault="00372D0B">
            <w:pPr>
              <w:jc w:val="right"/>
              <w:rPr>
                <w:sz w:val="18"/>
                <w:szCs w:val="18"/>
              </w:rPr>
            </w:pPr>
            <w:r w:rsidRPr="00681E0A">
              <w:rPr>
                <w:sz w:val="18"/>
                <w:szCs w:val="18"/>
              </w:rPr>
              <w:t>7.2</w:t>
            </w:r>
          </w:p>
        </w:tc>
        <w:tc>
          <w:tcPr>
            <w:tcW w:w="1229" w:type="dxa"/>
            <w:tcBorders>
              <w:top w:val="nil"/>
              <w:left w:val="nil"/>
              <w:bottom w:val="single" w:sz="4" w:space="0" w:color="auto"/>
              <w:right w:val="single" w:sz="4" w:space="0" w:color="auto"/>
            </w:tcBorders>
            <w:shd w:val="clear" w:color="auto" w:fill="auto"/>
            <w:noWrap/>
            <w:vAlign w:val="bottom"/>
            <w:hideMark/>
          </w:tcPr>
          <w:p w:rsidR="00372D0B" w:rsidRPr="00681E0A" w:rsidRDefault="00372D0B">
            <w:pPr>
              <w:jc w:val="right"/>
              <w:rPr>
                <w:sz w:val="18"/>
                <w:szCs w:val="18"/>
              </w:rPr>
            </w:pPr>
            <w:r w:rsidRPr="00681E0A">
              <w:rPr>
                <w:sz w:val="18"/>
                <w:szCs w:val="18"/>
              </w:rPr>
              <w:t>14.4</w:t>
            </w:r>
          </w:p>
        </w:tc>
        <w:tc>
          <w:tcPr>
            <w:tcW w:w="1481" w:type="dxa"/>
            <w:tcBorders>
              <w:top w:val="nil"/>
              <w:left w:val="nil"/>
              <w:bottom w:val="single" w:sz="4" w:space="0" w:color="auto"/>
              <w:right w:val="single" w:sz="4" w:space="0" w:color="auto"/>
            </w:tcBorders>
            <w:shd w:val="clear" w:color="auto" w:fill="auto"/>
            <w:noWrap/>
            <w:vAlign w:val="bottom"/>
            <w:hideMark/>
          </w:tcPr>
          <w:p w:rsidR="00372D0B" w:rsidRPr="00681E0A" w:rsidRDefault="00372D0B">
            <w:pPr>
              <w:jc w:val="right"/>
              <w:rPr>
                <w:sz w:val="18"/>
                <w:szCs w:val="18"/>
              </w:rPr>
            </w:pPr>
            <w:r w:rsidRPr="00681E0A">
              <w:rPr>
                <w:sz w:val="18"/>
                <w:szCs w:val="18"/>
              </w:rPr>
              <w:t>$16,198.56</w:t>
            </w:r>
          </w:p>
        </w:tc>
      </w:tr>
      <w:tr w:rsidR="00372D0B" w:rsidRPr="00681E0A" w:rsidTr="001F5CAF">
        <w:trPr>
          <w:trHeight w:val="197"/>
          <w:jc w:val="center"/>
        </w:trPr>
        <w:tc>
          <w:tcPr>
            <w:tcW w:w="4389" w:type="dxa"/>
            <w:tcBorders>
              <w:top w:val="nil"/>
              <w:left w:val="single" w:sz="4" w:space="0" w:color="auto"/>
              <w:bottom w:val="single" w:sz="4" w:space="0" w:color="auto"/>
              <w:right w:val="single" w:sz="4" w:space="0" w:color="auto"/>
            </w:tcBorders>
            <w:shd w:val="clear" w:color="auto" w:fill="auto"/>
            <w:noWrap/>
            <w:vAlign w:val="bottom"/>
            <w:hideMark/>
          </w:tcPr>
          <w:p w:rsidR="00372D0B" w:rsidRPr="00681E0A" w:rsidRDefault="00372D0B" w:rsidP="008849C4">
            <w:pPr>
              <w:widowControl/>
              <w:autoSpaceDE/>
              <w:autoSpaceDN/>
              <w:adjustRightInd/>
              <w:ind w:firstLineChars="200" w:firstLine="360"/>
              <w:rPr>
                <w:color w:val="000000"/>
                <w:sz w:val="18"/>
                <w:szCs w:val="18"/>
              </w:rPr>
            </w:pPr>
            <w:r w:rsidRPr="00681E0A">
              <w:rPr>
                <w:color w:val="000000"/>
                <w:sz w:val="18"/>
                <w:szCs w:val="18"/>
              </w:rPr>
              <w:t>xi. Leak det</w:t>
            </w:r>
            <w:r w:rsidR="008849C4">
              <w:rPr>
                <w:color w:val="000000"/>
                <w:sz w:val="18"/>
                <w:szCs w:val="18"/>
              </w:rPr>
              <w:t xml:space="preserve">ection and repair (LDAR) report </w:t>
            </w:r>
            <w:r w:rsidRPr="008849C4">
              <w:rPr>
                <w:color w:val="000000"/>
                <w:sz w:val="18"/>
                <w:szCs w:val="18"/>
                <w:vertAlign w:val="superscript"/>
              </w:rPr>
              <w:t>i</w:t>
            </w:r>
          </w:p>
        </w:tc>
        <w:tc>
          <w:tcPr>
            <w:tcW w:w="1080" w:type="dxa"/>
            <w:tcBorders>
              <w:top w:val="nil"/>
              <w:left w:val="nil"/>
              <w:bottom w:val="single" w:sz="4" w:space="0" w:color="auto"/>
              <w:right w:val="single" w:sz="4" w:space="0" w:color="auto"/>
            </w:tcBorders>
            <w:shd w:val="clear" w:color="000000" w:fill="auto"/>
            <w:noWrap/>
            <w:vAlign w:val="bottom"/>
            <w:hideMark/>
          </w:tcPr>
          <w:p w:rsidR="00372D0B" w:rsidRPr="00681E0A" w:rsidRDefault="00372D0B" w:rsidP="0044053C">
            <w:pPr>
              <w:widowControl/>
              <w:autoSpaceDE/>
              <w:autoSpaceDN/>
              <w:adjustRightInd/>
              <w:jc w:val="right"/>
              <w:rPr>
                <w:color w:val="000000"/>
                <w:sz w:val="18"/>
                <w:szCs w:val="18"/>
              </w:rPr>
            </w:pPr>
            <w:r w:rsidRPr="00681E0A">
              <w:rPr>
                <w:color w:val="000000"/>
                <w:sz w:val="18"/>
                <w:szCs w:val="18"/>
              </w:rPr>
              <w:t>432</w:t>
            </w:r>
          </w:p>
        </w:tc>
        <w:tc>
          <w:tcPr>
            <w:tcW w:w="1170" w:type="dxa"/>
            <w:tcBorders>
              <w:top w:val="nil"/>
              <w:left w:val="nil"/>
              <w:bottom w:val="single" w:sz="4" w:space="0" w:color="auto"/>
              <w:right w:val="single" w:sz="4" w:space="0" w:color="auto"/>
            </w:tcBorders>
            <w:shd w:val="clear" w:color="000000" w:fill="auto"/>
            <w:noWrap/>
            <w:vAlign w:val="bottom"/>
            <w:hideMark/>
          </w:tcPr>
          <w:p w:rsidR="00372D0B" w:rsidRPr="00681E0A" w:rsidRDefault="00372D0B" w:rsidP="0044053C">
            <w:pPr>
              <w:widowControl/>
              <w:autoSpaceDE/>
              <w:autoSpaceDN/>
              <w:adjustRightInd/>
              <w:jc w:val="right"/>
              <w:rPr>
                <w:color w:val="000000"/>
                <w:sz w:val="18"/>
                <w:szCs w:val="18"/>
              </w:rPr>
            </w:pPr>
            <w:r w:rsidRPr="00681E0A">
              <w:rPr>
                <w:color w:val="000000"/>
                <w:sz w:val="18"/>
                <w:szCs w:val="18"/>
              </w:rPr>
              <w:t>2</w:t>
            </w:r>
          </w:p>
        </w:tc>
        <w:tc>
          <w:tcPr>
            <w:tcW w:w="1170" w:type="dxa"/>
            <w:tcBorders>
              <w:top w:val="nil"/>
              <w:left w:val="nil"/>
              <w:bottom w:val="single" w:sz="4" w:space="0" w:color="auto"/>
              <w:right w:val="single" w:sz="4" w:space="0" w:color="auto"/>
            </w:tcBorders>
            <w:shd w:val="clear" w:color="auto" w:fill="auto"/>
            <w:noWrap/>
            <w:vAlign w:val="bottom"/>
            <w:hideMark/>
          </w:tcPr>
          <w:p w:rsidR="00372D0B" w:rsidRPr="00681E0A" w:rsidRDefault="00372D0B" w:rsidP="0044053C">
            <w:pPr>
              <w:widowControl/>
              <w:autoSpaceDE/>
              <w:autoSpaceDN/>
              <w:adjustRightInd/>
              <w:jc w:val="right"/>
              <w:rPr>
                <w:color w:val="000000"/>
                <w:sz w:val="18"/>
                <w:szCs w:val="18"/>
              </w:rPr>
            </w:pPr>
            <w:r w:rsidRPr="00681E0A">
              <w:rPr>
                <w:color w:val="000000"/>
                <w:sz w:val="18"/>
                <w:szCs w:val="18"/>
              </w:rPr>
              <w:t>864</w:t>
            </w:r>
          </w:p>
        </w:tc>
        <w:tc>
          <w:tcPr>
            <w:tcW w:w="1260" w:type="dxa"/>
            <w:tcBorders>
              <w:top w:val="nil"/>
              <w:left w:val="nil"/>
              <w:bottom w:val="single" w:sz="4" w:space="0" w:color="auto"/>
              <w:right w:val="single" w:sz="4" w:space="0" w:color="auto"/>
            </w:tcBorders>
            <w:shd w:val="clear" w:color="000000" w:fill="auto"/>
            <w:noWrap/>
            <w:vAlign w:val="bottom"/>
            <w:hideMark/>
          </w:tcPr>
          <w:p w:rsidR="00372D0B" w:rsidRPr="00681E0A" w:rsidRDefault="00372D0B">
            <w:pPr>
              <w:jc w:val="right"/>
              <w:rPr>
                <w:sz w:val="18"/>
                <w:szCs w:val="18"/>
              </w:rPr>
            </w:pPr>
            <w:r w:rsidRPr="00681E0A">
              <w:rPr>
                <w:sz w:val="18"/>
                <w:szCs w:val="18"/>
              </w:rPr>
              <w:t>27</w:t>
            </w:r>
          </w:p>
        </w:tc>
        <w:tc>
          <w:tcPr>
            <w:tcW w:w="1047" w:type="dxa"/>
            <w:tcBorders>
              <w:top w:val="nil"/>
              <w:left w:val="nil"/>
              <w:bottom w:val="single" w:sz="4" w:space="0" w:color="auto"/>
              <w:right w:val="single" w:sz="4" w:space="0" w:color="auto"/>
            </w:tcBorders>
            <w:shd w:val="clear" w:color="auto" w:fill="auto"/>
            <w:noWrap/>
            <w:vAlign w:val="bottom"/>
            <w:hideMark/>
          </w:tcPr>
          <w:p w:rsidR="00372D0B" w:rsidRPr="00681E0A" w:rsidRDefault="00372D0B">
            <w:pPr>
              <w:jc w:val="right"/>
              <w:rPr>
                <w:sz w:val="18"/>
                <w:szCs w:val="18"/>
              </w:rPr>
            </w:pPr>
            <w:r w:rsidRPr="00681E0A">
              <w:rPr>
                <w:sz w:val="18"/>
                <w:szCs w:val="18"/>
              </w:rPr>
              <w:t>23,328</w:t>
            </w:r>
          </w:p>
        </w:tc>
        <w:tc>
          <w:tcPr>
            <w:tcW w:w="1229" w:type="dxa"/>
            <w:tcBorders>
              <w:top w:val="nil"/>
              <w:left w:val="nil"/>
              <w:bottom w:val="single" w:sz="4" w:space="0" w:color="auto"/>
              <w:right w:val="single" w:sz="4" w:space="0" w:color="auto"/>
            </w:tcBorders>
            <w:shd w:val="clear" w:color="auto" w:fill="auto"/>
            <w:noWrap/>
            <w:vAlign w:val="bottom"/>
            <w:hideMark/>
          </w:tcPr>
          <w:p w:rsidR="00372D0B" w:rsidRPr="00681E0A" w:rsidRDefault="00372D0B">
            <w:pPr>
              <w:jc w:val="right"/>
              <w:rPr>
                <w:sz w:val="18"/>
                <w:szCs w:val="18"/>
              </w:rPr>
            </w:pPr>
            <w:r w:rsidRPr="00681E0A">
              <w:rPr>
                <w:sz w:val="18"/>
                <w:szCs w:val="18"/>
              </w:rPr>
              <w:t>1,166.4</w:t>
            </w:r>
          </w:p>
        </w:tc>
        <w:tc>
          <w:tcPr>
            <w:tcW w:w="1229" w:type="dxa"/>
            <w:tcBorders>
              <w:top w:val="nil"/>
              <w:left w:val="nil"/>
              <w:bottom w:val="single" w:sz="4" w:space="0" w:color="auto"/>
              <w:right w:val="single" w:sz="4" w:space="0" w:color="auto"/>
            </w:tcBorders>
            <w:shd w:val="clear" w:color="auto" w:fill="auto"/>
            <w:noWrap/>
            <w:vAlign w:val="bottom"/>
            <w:hideMark/>
          </w:tcPr>
          <w:p w:rsidR="00372D0B" w:rsidRPr="00681E0A" w:rsidRDefault="00372D0B">
            <w:pPr>
              <w:jc w:val="right"/>
              <w:rPr>
                <w:sz w:val="18"/>
                <w:szCs w:val="18"/>
              </w:rPr>
            </w:pPr>
            <w:r w:rsidRPr="00681E0A">
              <w:rPr>
                <w:sz w:val="18"/>
                <w:szCs w:val="18"/>
              </w:rPr>
              <w:t>2,332.8</w:t>
            </w:r>
          </w:p>
        </w:tc>
        <w:tc>
          <w:tcPr>
            <w:tcW w:w="1481" w:type="dxa"/>
            <w:tcBorders>
              <w:top w:val="nil"/>
              <w:left w:val="nil"/>
              <w:bottom w:val="single" w:sz="4" w:space="0" w:color="auto"/>
              <w:right w:val="single" w:sz="4" w:space="0" w:color="auto"/>
            </w:tcBorders>
            <w:shd w:val="clear" w:color="auto" w:fill="auto"/>
            <w:noWrap/>
            <w:vAlign w:val="bottom"/>
            <w:hideMark/>
          </w:tcPr>
          <w:p w:rsidR="00372D0B" w:rsidRPr="00681E0A" w:rsidRDefault="00372D0B">
            <w:pPr>
              <w:jc w:val="right"/>
              <w:rPr>
                <w:sz w:val="18"/>
                <w:szCs w:val="18"/>
              </w:rPr>
            </w:pPr>
            <w:r w:rsidRPr="00681E0A">
              <w:rPr>
                <w:sz w:val="18"/>
                <w:szCs w:val="18"/>
              </w:rPr>
              <w:t>$2,624,166.72</w:t>
            </w:r>
          </w:p>
        </w:tc>
      </w:tr>
      <w:tr w:rsidR="00372D0B" w:rsidRPr="00681E0A" w:rsidTr="001F5CAF">
        <w:trPr>
          <w:trHeight w:val="197"/>
          <w:jc w:val="center"/>
        </w:trPr>
        <w:tc>
          <w:tcPr>
            <w:tcW w:w="4389" w:type="dxa"/>
            <w:tcBorders>
              <w:top w:val="nil"/>
              <w:left w:val="single" w:sz="4" w:space="0" w:color="auto"/>
              <w:bottom w:val="single" w:sz="4" w:space="0" w:color="auto"/>
              <w:right w:val="single" w:sz="4" w:space="0" w:color="auto"/>
            </w:tcBorders>
            <w:shd w:val="clear" w:color="auto" w:fill="auto"/>
            <w:noWrap/>
            <w:vAlign w:val="bottom"/>
            <w:hideMark/>
          </w:tcPr>
          <w:p w:rsidR="00372D0B" w:rsidRPr="00681E0A" w:rsidRDefault="00372D0B" w:rsidP="008849C4">
            <w:pPr>
              <w:widowControl/>
              <w:autoSpaceDE/>
              <w:autoSpaceDN/>
              <w:adjustRightInd/>
              <w:ind w:firstLineChars="200" w:firstLine="360"/>
              <w:rPr>
                <w:color w:val="000000"/>
                <w:sz w:val="18"/>
                <w:szCs w:val="18"/>
              </w:rPr>
            </w:pPr>
            <w:r w:rsidRPr="00681E0A">
              <w:rPr>
                <w:color w:val="000000"/>
                <w:sz w:val="18"/>
                <w:szCs w:val="18"/>
              </w:rPr>
              <w:lastRenderedPageBreak/>
              <w:t xml:space="preserve">xii. Emissions averaging report </w:t>
            </w:r>
            <w:r w:rsidRPr="008849C4">
              <w:rPr>
                <w:color w:val="000000"/>
                <w:sz w:val="18"/>
                <w:szCs w:val="18"/>
                <w:vertAlign w:val="superscript"/>
              </w:rPr>
              <w:t>j</w:t>
            </w:r>
          </w:p>
        </w:tc>
        <w:tc>
          <w:tcPr>
            <w:tcW w:w="1080" w:type="dxa"/>
            <w:tcBorders>
              <w:top w:val="nil"/>
              <w:left w:val="nil"/>
              <w:bottom w:val="single" w:sz="4" w:space="0" w:color="auto"/>
              <w:right w:val="single" w:sz="4" w:space="0" w:color="auto"/>
            </w:tcBorders>
            <w:shd w:val="clear" w:color="000000" w:fill="auto"/>
            <w:noWrap/>
            <w:vAlign w:val="bottom"/>
            <w:hideMark/>
          </w:tcPr>
          <w:p w:rsidR="00372D0B" w:rsidRPr="00681E0A" w:rsidRDefault="00372D0B" w:rsidP="0044053C">
            <w:pPr>
              <w:widowControl/>
              <w:autoSpaceDE/>
              <w:autoSpaceDN/>
              <w:adjustRightInd/>
              <w:jc w:val="right"/>
              <w:rPr>
                <w:color w:val="000000"/>
                <w:sz w:val="18"/>
                <w:szCs w:val="18"/>
              </w:rPr>
            </w:pPr>
            <w:r w:rsidRPr="00681E0A">
              <w:rPr>
                <w:color w:val="000000"/>
                <w:sz w:val="18"/>
                <w:szCs w:val="18"/>
              </w:rPr>
              <w:t>20</w:t>
            </w:r>
          </w:p>
        </w:tc>
        <w:tc>
          <w:tcPr>
            <w:tcW w:w="1170" w:type="dxa"/>
            <w:tcBorders>
              <w:top w:val="nil"/>
              <w:left w:val="nil"/>
              <w:bottom w:val="single" w:sz="4" w:space="0" w:color="auto"/>
              <w:right w:val="single" w:sz="4" w:space="0" w:color="auto"/>
            </w:tcBorders>
            <w:shd w:val="clear" w:color="000000" w:fill="auto"/>
            <w:noWrap/>
            <w:vAlign w:val="bottom"/>
            <w:hideMark/>
          </w:tcPr>
          <w:p w:rsidR="00372D0B" w:rsidRPr="00681E0A" w:rsidRDefault="00372D0B" w:rsidP="0044053C">
            <w:pPr>
              <w:widowControl/>
              <w:autoSpaceDE/>
              <w:autoSpaceDN/>
              <w:adjustRightInd/>
              <w:jc w:val="right"/>
              <w:rPr>
                <w:color w:val="000000"/>
                <w:sz w:val="18"/>
                <w:szCs w:val="18"/>
              </w:rPr>
            </w:pPr>
            <w:r w:rsidRPr="00681E0A">
              <w:rPr>
                <w:color w:val="000000"/>
                <w:sz w:val="18"/>
                <w:szCs w:val="18"/>
              </w:rPr>
              <w:t>2</w:t>
            </w:r>
          </w:p>
        </w:tc>
        <w:tc>
          <w:tcPr>
            <w:tcW w:w="1170" w:type="dxa"/>
            <w:tcBorders>
              <w:top w:val="nil"/>
              <w:left w:val="nil"/>
              <w:bottom w:val="single" w:sz="4" w:space="0" w:color="auto"/>
              <w:right w:val="single" w:sz="4" w:space="0" w:color="auto"/>
            </w:tcBorders>
            <w:shd w:val="clear" w:color="auto" w:fill="auto"/>
            <w:noWrap/>
            <w:vAlign w:val="bottom"/>
            <w:hideMark/>
          </w:tcPr>
          <w:p w:rsidR="00372D0B" w:rsidRPr="00681E0A" w:rsidRDefault="00372D0B" w:rsidP="0044053C">
            <w:pPr>
              <w:widowControl/>
              <w:autoSpaceDE/>
              <w:autoSpaceDN/>
              <w:adjustRightInd/>
              <w:jc w:val="right"/>
              <w:rPr>
                <w:color w:val="000000"/>
                <w:sz w:val="18"/>
                <w:szCs w:val="18"/>
              </w:rPr>
            </w:pPr>
            <w:r w:rsidRPr="00681E0A">
              <w:rPr>
                <w:color w:val="000000"/>
                <w:sz w:val="18"/>
                <w:szCs w:val="18"/>
              </w:rPr>
              <w:t>40</w:t>
            </w:r>
          </w:p>
        </w:tc>
        <w:tc>
          <w:tcPr>
            <w:tcW w:w="1260" w:type="dxa"/>
            <w:tcBorders>
              <w:top w:val="nil"/>
              <w:left w:val="nil"/>
              <w:bottom w:val="single" w:sz="4" w:space="0" w:color="auto"/>
              <w:right w:val="single" w:sz="4" w:space="0" w:color="auto"/>
            </w:tcBorders>
            <w:shd w:val="clear" w:color="000000" w:fill="auto"/>
            <w:noWrap/>
            <w:vAlign w:val="bottom"/>
            <w:hideMark/>
          </w:tcPr>
          <w:p w:rsidR="00372D0B" w:rsidRPr="00681E0A" w:rsidRDefault="00372D0B">
            <w:pPr>
              <w:jc w:val="right"/>
              <w:rPr>
                <w:sz w:val="18"/>
                <w:szCs w:val="18"/>
              </w:rPr>
            </w:pPr>
            <w:r w:rsidRPr="00681E0A">
              <w:rPr>
                <w:sz w:val="18"/>
                <w:szCs w:val="18"/>
              </w:rPr>
              <w:t>3</w:t>
            </w:r>
          </w:p>
        </w:tc>
        <w:tc>
          <w:tcPr>
            <w:tcW w:w="1047" w:type="dxa"/>
            <w:tcBorders>
              <w:top w:val="nil"/>
              <w:left w:val="nil"/>
              <w:bottom w:val="single" w:sz="4" w:space="0" w:color="auto"/>
              <w:right w:val="single" w:sz="4" w:space="0" w:color="auto"/>
            </w:tcBorders>
            <w:shd w:val="clear" w:color="auto" w:fill="auto"/>
            <w:noWrap/>
            <w:vAlign w:val="bottom"/>
            <w:hideMark/>
          </w:tcPr>
          <w:p w:rsidR="00372D0B" w:rsidRPr="00681E0A" w:rsidRDefault="00372D0B">
            <w:pPr>
              <w:jc w:val="right"/>
              <w:rPr>
                <w:sz w:val="18"/>
                <w:szCs w:val="18"/>
              </w:rPr>
            </w:pPr>
            <w:r w:rsidRPr="00681E0A">
              <w:rPr>
                <w:sz w:val="18"/>
                <w:szCs w:val="18"/>
              </w:rPr>
              <w:t>120</w:t>
            </w:r>
          </w:p>
        </w:tc>
        <w:tc>
          <w:tcPr>
            <w:tcW w:w="1229" w:type="dxa"/>
            <w:tcBorders>
              <w:top w:val="nil"/>
              <w:left w:val="nil"/>
              <w:bottom w:val="single" w:sz="4" w:space="0" w:color="auto"/>
              <w:right w:val="single" w:sz="4" w:space="0" w:color="auto"/>
            </w:tcBorders>
            <w:shd w:val="clear" w:color="auto" w:fill="auto"/>
            <w:noWrap/>
            <w:vAlign w:val="bottom"/>
            <w:hideMark/>
          </w:tcPr>
          <w:p w:rsidR="00372D0B" w:rsidRPr="00681E0A" w:rsidRDefault="00372D0B">
            <w:pPr>
              <w:jc w:val="right"/>
              <w:rPr>
                <w:sz w:val="18"/>
                <w:szCs w:val="18"/>
              </w:rPr>
            </w:pPr>
            <w:r w:rsidRPr="00681E0A">
              <w:rPr>
                <w:sz w:val="18"/>
                <w:szCs w:val="18"/>
              </w:rPr>
              <w:t>6</w:t>
            </w:r>
          </w:p>
        </w:tc>
        <w:tc>
          <w:tcPr>
            <w:tcW w:w="1229" w:type="dxa"/>
            <w:tcBorders>
              <w:top w:val="nil"/>
              <w:left w:val="nil"/>
              <w:bottom w:val="single" w:sz="4" w:space="0" w:color="auto"/>
              <w:right w:val="single" w:sz="4" w:space="0" w:color="auto"/>
            </w:tcBorders>
            <w:shd w:val="clear" w:color="auto" w:fill="auto"/>
            <w:noWrap/>
            <w:vAlign w:val="bottom"/>
            <w:hideMark/>
          </w:tcPr>
          <w:p w:rsidR="00372D0B" w:rsidRPr="00681E0A" w:rsidRDefault="00372D0B">
            <w:pPr>
              <w:jc w:val="right"/>
              <w:rPr>
                <w:sz w:val="18"/>
                <w:szCs w:val="18"/>
              </w:rPr>
            </w:pPr>
            <w:r w:rsidRPr="00681E0A">
              <w:rPr>
                <w:sz w:val="18"/>
                <w:szCs w:val="18"/>
              </w:rPr>
              <w:t>12</w:t>
            </w:r>
          </w:p>
        </w:tc>
        <w:tc>
          <w:tcPr>
            <w:tcW w:w="1481" w:type="dxa"/>
            <w:tcBorders>
              <w:top w:val="nil"/>
              <w:left w:val="nil"/>
              <w:bottom w:val="single" w:sz="4" w:space="0" w:color="auto"/>
              <w:right w:val="single" w:sz="4" w:space="0" w:color="auto"/>
            </w:tcBorders>
            <w:shd w:val="clear" w:color="auto" w:fill="auto"/>
            <w:noWrap/>
            <w:vAlign w:val="bottom"/>
            <w:hideMark/>
          </w:tcPr>
          <w:p w:rsidR="00372D0B" w:rsidRPr="00681E0A" w:rsidRDefault="00372D0B">
            <w:pPr>
              <w:jc w:val="right"/>
              <w:rPr>
                <w:sz w:val="18"/>
                <w:szCs w:val="18"/>
              </w:rPr>
            </w:pPr>
            <w:r w:rsidRPr="00681E0A">
              <w:rPr>
                <w:sz w:val="18"/>
                <w:szCs w:val="18"/>
              </w:rPr>
              <w:t>$13,498.80</w:t>
            </w:r>
          </w:p>
        </w:tc>
      </w:tr>
      <w:tr w:rsidR="00372D0B" w:rsidRPr="00681E0A" w:rsidTr="001F5CAF">
        <w:trPr>
          <w:trHeight w:val="242"/>
          <w:jc w:val="center"/>
        </w:trPr>
        <w:tc>
          <w:tcPr>
            <w:tcW w:w="4389" w:type="dxa"/>
            <w:tcBorders>
              <w:top w:val="nil"/>
              <w:left w:val="single" w:sz="4" w:space="0" w:color="auto"/>
              <w:bottom w:val="single" w:sz="4" w:space="0" w:color="auto"/>
              <w:right w:val="single" w:sz="4" w:space="0" w:color="auto"/>
            </w:tcBorders>
            <w:shd w:val="clear" w:color="auto" w:fill="auto"/>
            <w:noWrap/>
            <w:vAlign w:val="bottom"/>
            <w:hideMark/>
          </w:tcPr>
          <w:p w:rsidR="00372D0B" w:rsidRPr="00681E0A" w:rsidRDefault="008849C4" w:rsidP="008849C4">
            <w:pPr>
              <w:widowControl/>
              <w:autoSpaceDE/>
              <w:autoSpaceDN/>
              <w:adjustRightInd/>
              <w:ind w:firstLineChars="200" w:firstLine="360"/>
              <w:rPr>
                <w:color w:val="000000"/>
                <w:sz w:val="18"/>
                <w:szCs w:val="18"/>
              </w:rPr>
            </w:pPr>
            <w:r>
              <w:rPr>
                <w:color w:val="000000"/>
                <w:sz w:val="18"/>
                <w:szCs w:val="18"/>
              </w:rPr>
              <w:t xml:space="preserve">xiii. Affirmative defense </w:t>
            </w:r>
            <w:r w:rsidR="00372D0B" w:rsidRPr="008849C4">
              <w:rPr>
                <w:color w:val="000000"/>
                <w:sz w:val="18"/>
                <w:szCs w:val="18"/>
                <w:vertAlign w:val="superscript"/>
              </w:rPr>
              <w:t>n</w:t>
            </w:r>
          </w:p>
        </w:tc>
        <w:tc>
          <w:tcPr>
            <w:tcW w:w="1080" w:type="dxa"/>
            <w:tcBorders>
              <w:top w:val="nil"/>
              <w:left w:val="nil"/>
              <w:bottom w:val="single" w:sz="4" w:space="0" w:color="auto"/>
              <w:right w:val="single" w:sz="4" w:space="0" w:color="auto"/>
            </w:tcBorders>
            <w:shd w:val="clear" w:color="000000" w:fill="auto"/>
            <w:noWrap/>
            <w:vAlign w:val="bottom"/>
            <w:hideMark/>
          </w:tcPr>
          <w:p w:rsidR="00372D0B" w:rsidRPr="00681E0A" w:rsidRDefault="00372D0B" w:rsidP="0044053C">
            <w:pPr>
              <w:widowControl/>
              <w:autoSpaceDE/>
              <w:autoSpaceDN/>
              <w:adjustRightInd/>
              <w:jc w:val="right"/>
              <w:rPr>
                <w:color w:val="000000"/>
                <w:sz w:val="18"/>
                <w:szCs w:val="18"/>
              </w:rPr>
            </w:pPr>
            <w:r w:rsidRPr="00681E0A">
              <w:rPr>
                <w:color w:val="000000"/>
                <w:sz w:val="18"/>
                <w:szCs w:val="18"/>
              </w:rPr>
              <w:t>30</w:t>
            </w:r>
          </w:p>
        </w:tc>
        <w:tc>
          <w:tcPr>
            <w:tcW w:w="1170" w:type="dxa"/>
            <w:tcBorders>
              <w:top w:val="nil"/>
              <w:left w:val="nil"/>
              <w:bottom w:val="single" w:sz="4" w:space="0" w:color="auto"/>
              <w:right w:val="single" w:sz="4" w:space="0" w:color="auto"/>
            </w:tcBorders>
            <w:shd w:val="clear" w:color="000000" w:fill="auto"/>
            <w:noWrap/>
            <w:vAlign w:val="bottom"/>
            <w:hideMark/>
          </w:tcPr>
          <w:p w:rsidR="00372D0B" w:rsidRPr="00681E0A" w:rsidRDefault="00372D0B" w:rsidP="0044053C">
            <w:pPr>
              <w:widowControl/>
              <w:autoSpaceDE/>
              <w:autoSpaceDN/>
              <w:adjustRightInd/>
              <w:jc w:val="right"/>
              <w:rPr>
                <w:color w:val="000000"/>
                <w:sz w:val="18"/>
                <w:szCs w:val="18"/>
              </w:rPr>
            </w:pPr>
            <w:r w:rsidRPr="00681E0A">
              <w:rPr>
                <w:color w:val="000000"/>
                <w:sz w:val="18"/>
                <w:szCs w:val="18"/>
              </w:rPr>
              <w:t>0.67</w:t>
            </w:r>
          </w:p>
        </w:tc>
        <w:tc>
          <w:tcPr>
            <w:tcW w:w="1170" w:type="dxa"/>
            <w:tcBorders>
              <w:top w:val="nil"/>
              <w:left w:val="nil"/>
              <w:bottom w:val="single" w:sz="4" w:space="0" w:color="auto"/>
              <w:right w:val="single" w:sz="4" w:space="0" w:color="auto"/>
            </w:tcBorders>
            <w:shd w:val="clear" w:color="auto" w:fill="auto"/>
            <w:noWrap/>
            <w:vAlign w:val="bottom"/>
            <w:hideMark/>
          </w:tcPr>
          <w:p w:rsidR="00372D0B" w:rsidRPr="00681E0A" w:rsidRDefault="00372D0B" w:rsidP="0044053C">
            <w:pPr>
              <w:widowControl/>
              <w:autoSpaceDE/>
              <w:autoSpaceDN/>
              <w:adjustRightInd/>
              <w:jc w:val="right"/>
              <w:rPr>
                <w:color w:val="000000"/>
                <w:sz w:val="18"/>
                <w:szCs w:val="18"/>
              </w:rPr>
            </w:pPr>
            <w:r w:rsidRPr="00681E0A">
              <w:rPr>
                <w:color w:val="000000"/>
                <w:sz w:val="18"/>
                <w:szCs w:val="18"/>
              </w:rPr>
              <w:t>20</w:t>
            </w:r>
          </w:p>
        </w:tc>
        <w:tc>
          <w:tcPr>
            <w:tcW w:w="1260" w:type="dxa"/>
            <w:tcBorders>
              <w:top w:val="nil"/>
              <w:left w:val="nil"/>
              <w:bottom w:val="single" w:sz="4" w:space="0" w:color="auto"/>
              <w:right w:val="single" w:sz="4" w:space="0" w:color="auto"/>
            </w:tcBorders>
            <w:shd w:val="clear" w:color="000000" w:fill="auto"/>
            <w:noWrap/>
            <w:vAlign w:val="bottom"/>
            <w:hideMark/>
          </w:tcPr>
          <w:p w:rsidR="00372D0B" w:rsidRPr="00681E0A" w:rsidRDefault="00372D0B">
            <w:pPr>
              <w:jc w:val="right"/>
              <w:rPr>
                <w:sz w:val="18"/>
                <w:szCs w:val="18"/>
              </w:rPr>
            </w:pPr>
            <w:r w:rsidRPr="00681E0A">
              <w:rPr>
                <w:sz w:val="18"/>
                <w:szCs w:val="18"/>
              </w:rPr>
              <w:t>1</w:t>
            </w:r>
          </w:p>
        </w:tc>
        <w:tc>
          <w:tcPr>
            <w:tcW w:w="1047" w:type="dxa"/>
            <w:tcBorders>
              <w:top w:val="nil"/>
              <w:left w:val="nil"/>
              <w:bottom w:val="single" w:sz="4" w:space="0" w:color="auto"/>
              <w:right w:val="single" w:sz="4" w:space="0" w:color="auto"/>
            </w:tcBorders>
            <w:shd w:val="clear" w:color="auto" w:fill="auto"/>
            <w:noWrap/>
            <w:vAlign w:val="bottom"/>
            <w:hideMark/>
          </w:tcPr>
          <w:p w:rsidR="00372D0B" w:rsidRPr="00681E0A" w:rsidRDefault="00372D0B">
            <w:pPr>
              <w:jc w:val="right"/>
              <w:rPr>
                <w:sz w:val="18"/>
                <w:szCs w:val="18"/>
              </w:rPr>
            </w:pPr>
            <w:r w:rsidRPr="00681E0A">
              <w:rPr>
                <w:sz w:val="18"/>
                <w:szCs w:val="18"/>
              </w:rPr>
              <w:t>12</w:t>
            </w:r>
          </w:p>
        </w:tc>
        <w:tc>
          <w:tcPr>
            <w:tcW w:w="1229" w:type="dxa"/>
            <w:tcBorders>
              <w:top w:val="nil"/>
              <w:left w:val="nil"/>
              <w:bottom w:val="single" w:sz="4" w:space="0" w:color="auto"/>
              <w:right w:val="single" w:sz="4" w:space="0" w:color="auto"/>
            </w:tcBorders>
            <w:shd w:val="clear" w:color="auto" w:fill="auto"/>
            <w:noWrap/>
            <w:vAlign w:val="bottom"/>
            <w:hideMark/>
          </w:tcPr>
          <w:p w:rsidR="00372D0B" w:rsidRPr="00681E0A" w:rsidRDefault="00372D0B">
            <w:pPr>
              <w:jc w:val="right"/>
              <w:rPr>
                <w:sz w:val="18"/>
                <w:szCs w:val="18"/>
              </w:rPr>
            </w:pPr>
            <w:r w:rsidRPr="00681E0A">
              <w:rPr>
                <w:sz w:val="18"/>
                <w:szCs w:val="18"/>
              </w:rPr>
              <w:t>8</w:t>
            </w:r>
          </w:p>
        </w:tc>
        <w:tc>
          <w:tcPr>
            <w:tcW w:w="1229" w:type="dxa"/>
            <w:tcBorders>
              <w:top w:val="nil"/>
              <w:left w:val="nil"/>
              <w:bottom w:val="single" w:sz="4" w:space="0" w:color="auto"/>
              <w:right w:val="single" w:sz="4" w:space="0" w:color="auto"/>
            </w:tcBorders>
            <w:shd w:val="clear" w:color="auto" w:fill="auto"/>
            <w:noWrap/>
            <w:vAlign w:val="bottom"/>
            <w:hideMark/>
          </w:tcPr>
          <w:p w:rsidR="00372D0B" w:rsidRPr="00681E0A" w:rsidRDefault="00372D0B">
            <w:pPr>
              <w:jc w:val="right"/>
              <w:rPr>
                <w:sz w:val="18"/>
                <w:szCs w:val="18"/>
              </w:rPr>
            </w:pPr>
            <w:r w:rsidRPr="00681E0A">
              <w:rPr>
                <w:sz w:val="18"/>
                <w:szCs w:val="18"/>
              </w:rPr>
              <w:t>0</w:t>
            </w:r>
          </w:p>
        </w:tc>
        <w:tc>
          <w:tcPr>
            <w:tcW w:w="1481" w:type="dxa"/>
            <w:tcBorders>
              <w:top w:val="nil"/>
              <w:left w:val="nil"/>
              <w:bottom w:val="single" w:sz="4" w:space="0" w:color="auto"/>
              <w:right w:val="single" w:sz="4" w:space="0" w:color="auto"/>
            </w:tcBorders>
            <w:shd w:val="clear" w:color="auto" w:fill="auto"/>
            <w:noWrap/>
            <w:vAlign w:val="bottom"/>
            <w:hideMark/>
          </w:tcPr>
          <w:p w:rsidR="00372D0B" w:rsidRPr="00681E0A" w:rsidRDefault="00372D0B">
            <w:pPr>
              <w:jc w:val="right"/>
              <w:rPr>
                <w:sz w:val="18"/>
                <w:szCs w:val="18"/>
              </w:rPr>
            </w:pPr>
            <w:r w:rsidRPr="00681E0A">
              <w:rPr>
                <w:sz w:val="18"/>
                <w:szCs w:val="18"/>
              </w:rPr>
              <w:t>$2,198.96</w:t>
            </w:r>
          </w:p>
        </w:tc>
      </w:tr>
      <w:tr w:rsidR="00372D0B" w:rsidRPr="00681E0A" w:rsidTr="001F5CAF">
        <w:trPr>
          <w:trHeight w:val="170"/>
          <w:jc w:val="center"/>
        </w:trPr>
        <w:tc>
          <w:tcPr>
            <w:tcW w:w="4389" w:type="dxa"/>
            <w:tcBorders>
              <w:top w:val="nil"/>
              <w:left w:val="single" w:sz="4" w:space="0" w:color="auto"/>
              <w:bottom w:val="single" w:sz="4" w:space="0" w:color="auto"/>
              <w:right w:val="single" w:sz="4" w:space="0" w:color="auto"/>
            </w:tcBorders>
            <w:shd w:val="clear" w:color="auto" w:fill="auto"/>
            <w:noWrap/>
            <w:vAlign w:val="bottom"/>
            <w:hideMark/>
          </w:tcPr>
          <w:p w:rsidR="00372D0B" w:rsidRPr="001F5CAF" w:rsidRDefault="00372D0B" w:rsidP="0044053C">
            <w:pPr>
              <w:widowControl/>
              <w:autoSpaceDE/>
              <w:autoSpaceDN/>
              <w:adjustRightInd/>
              <w:rPr>
                <w:b/>
                <w:i/>
                <w:iCs/>
                <w:color w:val="000000"/>
                <w:sz w:val="18"/>
                <w:szCs w:val="18"/>
              </w:rPr>
            </w:pPr>
            <w:r w:rsidRPr="001F5CAF">
              <w:rPr>
                <w:b/>
                <w:i/>
                <w:iCs/>
                <w:color w:val="000000"/>
                <w:sz w:val="18"/>
                <w:szCs w:val="18"/>
              </w:rPr>
              <w:t>Subtotal for Reporting Requirements</w:t>
            </w:r>
          </w:p>
        </w:tc>
        <w:tc>
          <w:tcPr>
            <w:tcW w:w="1080" w:type="dxa"/>
            <w:tcBorders>
              <w:top w:val="nil"/>
              <w:left w:val="nil"/>
              <w:bottom w:val="single" w:sz="4" w:space="0" w:color="auto"/>
              <w:right w:val="nil"/>
            </w:tcBorders>
            <w:shd w:val="clear" w:color="000000" w:fill="auto"/>
            <w:noWrap/>
            <w:vAlign w:val="bottom"/>
            <w:hideMark/>
          </w:tcPr>
          <w:p w:rsidR="00372D0B" w:rsidRPr="001F5CAF" w:rsidRDefault="00372D0B" w:rsidP="0044053C">
            <w:pPr>
              <w:widowControl/>
              <w:autoSpaceDE/>
              <w:autoSpaceDN/>
              <w:adjustRightInd/>
              <w:rPr>
                <w:b/>
                <w:color w:val="000000"/>
                <w:sz w:val="18"/>
                <w:szCs w:val="18"/>
              </w:rPr>
            </w:pPr>
            <w:r w:rsidRPr="001F5CAF">
              <w:rPr>
                <w:b/>
                <w:color w:val="000000"/>
                <w:sz w:val="18"/>
                <w:szCs w:val="18"/>
              </w:rPr>
              <w:t> </w:t>
            </w:r>
          </w:p>
        </w:tc>
        <w:tc>
          <w:tcPr>
            <w:tcW w:w="1170" w:type="dxa"/>
            <w:tcBorders>
              <w:top w:val="nil"/>
              <w:left w:val="nil"/>
              <w:bottom w:val="single" w:sz="4" w:space="0" w:color="auto"/>
              <w:right w:val="nil"/>
            </w:tcBorders>
            <w:shd w:val="clear" w:color="000000" w:fill="auto"/>
            <w:noWrap/>
            <w:vAlign w:val="bottom"/>
            <w:hideMark/>
          </w:tcPr>
          <w:p w:rsidR="00372D0B" w:rsidRPr="001F5CAF" w:rsidRDefault="00372D0B" w:rsidP="0044053C">
            <w:pPr>
              <w:widowControl/>
              <w:autoSpaceDE/>
              <w:autoSpaceDN/>
              <w:adjustRightInd/>
              <w:rPr>
                <w:b/>
                <w:color w:val="000000"/>
                <w:sz w:val="18"/>
                <w:szCs w:val="18"/>
              </w:rPr>
            </w:pPr>
            <w:r w:rsidRPr="001F5CAF">
              <w:rPr>
                <w:b/>
                <w:color w:val="000000"/>
                <w:sz w:val="18"/>
                <w:szCs w:val="18"/>
              </w:rPr>
              <w:t> </w:t>
            </w:r>
          </w:p>
        </w:tc>
        <w:tc>
          <w:tcPr>
            <w:tcW w:w="1170" w:type="dxa"/>
            <w:tcBorders>
              <w:top w:val="nil"/>
              <w:left w:val="nil"/>
              <w:bottom w:val="single" w:sz="4" w:space="0" w:color="auto"/>
              <w:right w:val="nil"/>
            </w:tcBorders>
            <w:shd w:val="clear" w:color="auto" w:fill="auto"/>
            <w:noWrap/>
            <w:vAlign w:val="bottom"/>
            <w:hideMark/>
          </w:tcPr>
          <w:p w:rsidR="00372D0B" w:rsidRPr="001F5CAF" w:rsidRDefault="00372D0B" w:rsidP="0044053C">
            <w:pPr>
              <w:widowControl/>
              <w:autoSpaceDE/>
              <w:autoSpaceDN/>
              <w:adjustRightInd/>
              <w:rPr>
                <w:b/>
                <w:color w:val="000000"/>
                <w:sz w:val="18"/>
                <w:szCs w:val="18"/>
              </w:rPr>
            </w:pPr>
            <w:r w:rsidRPr="001F5CAF">
              <w:rPr>
                <w:b/>
                <w:color w:val="000000"/>
                <w:sz w:val="18"/>
                <w:szCs w:val="18"/>
              </w:rPr>
              <w:t> </w:t>
            </w:r>
          </w:p>
        </w:tc>
        <w:tc>
          <w:tcPr>
            <w:tcW w:w="1260" w:type="dxa"/>
            <w:tcBorders>
              <w:top w:val="nil"/>
              <w:left w:val="nil"/>
              <w:bottom w:val="single" w:sz="4" w:space="0" w:color="auto"/>
              <w:right w:val="single" w:sz="4" w:space="0" w:color="auto"/>
            </w:tcBorders>
            <w:shd w:val="clear" w:color="000000" w:fill="auto"/>
            <w:noWrap/>
            <w:vAlign w:val="bottom"/>
            <w:hideMark/>
          </w:tcPr>
          <w:p w:rsidR="00372D0B" w:rsidRPr="001F5CAF" w:rsidRDefault="00372D0B" w:rsidP="0044053C">
            <w:pPr>
              <w:widowControl/>
              <w:autoSpaceDE/>
              <w:autoSpaceDN/>
              <w:adjustRightInd/>
              <w:rPr>
                <w:b/>
                <w:color w:val="000000"/>
                <w:sz w:val="18"/>
                <w:szCs w:val="18"/>
              </w:rPr>
            </w:pPr>
          </w:p>
        </w:tc>
        <w:tc>
          <w:tcPr>
            <w:tcW w:w="3505"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72D0B" w:rsidRPr="001F5CAF" w:rsidRDefault="00372D0B">
            <w:pPr>
              <w:jc w:val="center"/>
              <w:rPr>
                <w:b/>
                <w:color w:val="000000"/>
                <w:sz w:val="18"/>
                <w:szCs w:val="18"/>
              </w:rPr>
            </w:pPr>
            <w:r w:rsidRPr="001F5CAF">
              <w:rPr>
                <w:b/>
                <w:color w:val="000000"/>
                <w:sz w:val="18"/>
                <w:szCs w:val="18"/>
              </w:rPr>
              <w:t>30,821.6</w:t>
            </w:r>
          </w:p>
        </w:tc>
        <w:tc>
          <w:tcPr>
            <w:tcW w:w="1481" w:type="dxa"/>
            <w:tcBorders>
              <w:top w:val="nil"/>
              <w:left w:val="nil"/>
              <w:bottom w:val="single" w:sz="4" w:space="0" w:color="auto"/>
              <w:right w:val="single" w:sz="4" w:space="0" w:color="auto"/>
            </w:tcBorders>
            <w:shd w:val="clear" w:color="auto" w:fill="auto"/>
            <w:noWrap/>
            <w:vAlign w:val="bottom"/>
            <w:hideMark/>
          </w:tcPr>
          <w:p w:rsidR="00372D0B" w:rsidRPr="001F5CAF" w:rsidRDefault="00372D0B">
            <w:pPr>
              <w:jc w:val="right"/>
              <w:rPr>
                <w:b/>
                <w:color w:val="000000"/>
                <w:sz w:val="18"/>
                <w:szCs w:val="18"/>
              </w:rPr>
            </w:pPr>
            <w:r w:rsidRPr="001F5CAF">
              <w:rPr>
                <w:b/>
                <w:color w:val="000000"/>
                <w:sz w:val="18"/>
                <w:szCs w:val="18"/>
              </w:rPr>
              <w:t>$3,015,131.12</w:t>
            </w:r>
          </w:p>
        </w:tc>
      </w:tr>
      <w:tr w:rsidR="00DA18A2" w:rsidRPr="00681E0A" w:rsidTr="001F5CAF">
        <w:trPr>
          <w:trHeight w:val="233"/>
          <w:jc w:val="center"/>
        </w:trPr>
        <w:tc>
          <w:tcPr>
            <w:tcW w:w="4389" w:type="dxa"/>
            <w:tcBorders>
              <w:top w:val="nil"/>
              <w:left w:val="single" w:sz="4" w:space="0" w:color="auto"/>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4. Recordkeeping requirements</w:t>
            </w:r>
          </w:p>
        </w:tc>
        <w:tc>
          <w:tcPr>
            <w:tcW w:w="1080" w:type="dxa"/>
            <w:tcBorders>
              <w:top w:val="nil"/>
              <w:left w:val="nil"/>
              <w:bottom w:val="single" w:sz="4" w:space="0" w:color="auto"/>
              <w:right w:val="nil"/>
            </w:tcBorders>
            <w:shd w:val="clear" w:color="000000"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170" w:type="dxa"/>
            <w:tcBorders>
              <w:top w:val="nil"/>
              <w:left w:val="nil"/>
              <w:bottom w:val="single" w:sz="4" w:space="0" w:color="auto"/>
              <w:right w:val="nil"/>
            </w:tcBorders>
            <w:shd w:val="clear" w:color="000000"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170" w:type="dxa"/>
            <w:tcBorders>
              <w:top w:val="nil"/>
              <w:left w:val="nil"/>
              <w:bottom w:val="single" w:sz="4" w:space="0" w:color="auto"/>
              <w:right w:val="nil"/>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260" w:type="dxa"/>
            <w:tcBorders>
              <w:top w:val="nil"/>
              <w:left w:val="nil"/>
              <w:bottom w:val="single" w:sz="4" w:space="0" w:color="auto"/>
              <w:right w:val="nil"/>
            </w:tcBorders>
            <w:shd w:val="clear" w:color="000000"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047" w:type="dxa"/>
            <w:tcBorders>
              <w:top w:val="nil"/>
              <w:left w:val="nil"/>
              <w:bottom w:val="single" w:sz="4" w:space="0" w:color="auto"/>
              <w:right w:val="nil"/>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229" w:type="dxa"/>
            <w:tcBorders>
              <w:top w:val="nil"/>
              <w:left w:val="nil"/>
              <w:bottom w:val="single" w:sz="4" w:space="0" w:color="auto"/>
              <w:right w:val="nil"/>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229" w:type="dxa"/>
            <w:tcBorders>
              <w:top w:val="nil"/>
              <w:left w:val="nil"/>
              <w:bottom w:val="single" w:sz="4" w:space="0" w:color="auto"/>
              <w:right w:val="nil"/>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481"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r>
      <w:tr w:rsidR="00DA18A2" w:rsidRPr="00681E0A" w:rsidTr="00A9390C">
        <w:trPr>
          <w:trHeight w:val="350"/>
          <w:jc w:val="center"/>
        </w:trPr>
        <w:tc>
          <w:tcPr>
            <w:tcW w:w="4389" w:type="dxa"/>
            <w:tcBorders>
              <w:top w:val="nil"/>
              <w:left w:val="single" w:sz="4" w:space="0" w:color="auto"/>
              <w:bottom w:val="single" w:sz="4" w:space="0" w:color="auto"/>
              <w:right w:val="single" w:sz="4" w:space="0" w:color="auto"/>
            </w:tcBorders>
            <w:shd w:val="clear" w:color="auto" w:fill="auto"/>
            <w:noWrap/>
            <w:vAlign w:val="bottom"/>
            <w:hideMark/>
          </w:tcPr>
          <w:p w:rsidR="00681E0A" w:rsidRDefault="008B67A4" w:rsidP="00681E0A">
            <w:pPr>
              <w:widowControl/>
              <w:autoSpaceDE/>
              <w:autoSpaceDN/>
              <w:adjustRightInd/>
              <w:ind w:firstLineChars="200" w:firstLine="360"/>
              <w:rPr>
                <w:color w:val="000000"/>
                <w:sz w:val="18"/>
                <w:szCs w:val="18"/>
              </w:rPr>
            </w:pPr>
            <w:r w:rsidRPr="00681E0A">
              <w:rPr>
                <w:color w:val="000000"/>
                <w:sz w:val="18"/>
                <w:szCs w:val="18"/>
              </w:rPr>
              <w:t xml:space="preserve">i. Records for operating parameters for </w:t>
            </w:r>
            <w:r w:rsidR="001F5CAF">
              <w:rPr>
                <w:color w:val="000000"/>
                <w:sz w:val="18"/>
                <w:szCs w:val="18"/>
              </w:rPr>
              <w:t xml:space="preserve">control </w:t>
            </w:r>
          </w:p>
          <w:p w:rsidR="00372D0B" w:rsidRPr="00681E0A" w:rsidRDefault="008B67A4" w:rsidP="001F5CAF">
            <w:pPr>
              <w:widowControl/>
              <w:autoSpaceDE/>
              <w:autoSpaceDN/>
              <w:adjustRightInd/>
              <w:ind w:firstLineChars="200" w:firstLine="360"/>
              <w:rPr>
                <w:color w:val="000000"/>
                <w:sz w:val="18"/>
                <w:szCs w:val="18"/>
              </w:rPr>
            </w:pPr>
            <w:r w:rsidRPr="00681E0A">
              <w:rPr>
                <w:color w:val="000000"/>
                <w:sz w:val="18"/>
                <w:szCs w:val="18"/>
              </w:rPr>
              <w:t xml:space="preserve"> devices </w:t>
            </w:r>
            <w:r w:rsidRPr="001F5CAF">
              <w:rPr>
                <w:color w:val="000000"/>
                <w:sz w:val="18"/>
                <w:szCs w:val="18"/>
                <w:vertAlign w:val="superscript"/>
              </w:rPr>
              <w:t>k</w:t>
            </w:r>
          </w:p>
        </w:tc>
        <w:tc>
          <w:tcPr>
            <w:tcW w:w="108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1</w:t>
            </w:r>
          </w:p>
        </w:tc>
        <w:tc>
          <w:tcPr>
            <w:tcW w:w="117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365</w:t>
            </w:r>
          </w:p>
        </w:tc>
        <w:tc>
          <w:tcPr>
            <w:tcW w:w="1170"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365</w:t>
            </w:r>
          </w:p>
        </w:tc>
        <w:tc>
          <w:tcPr>
            <w:tcW w:w="126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27</w:t>
            </w:r>
          </w:p>
        </w:tc>
        <w:tc>
          <w:tcPr>
            <w:tcW w:w="1047"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9,855</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492.75</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985.5</w:t>
            </w:r>
          </w:p>
        </w:tc>
        <w:tc>
          <w:tcPr>
            <w:tcW w:w="1481"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$1,108,588.95</w:t>
            </w:r>
          </w:p>
        </w:tc>
      </w:tr>
      <w:tr w:rsidR="00DA18A2" w:rsidRPr="00681E0A" w:rsidTr="00A9390C">
        <w:trPr>
          <w:trHeight w:val="188"/>
          <w:jc w:val="center"/>
        </w:trPr>
        <w:tc>
          <w:tcPr>
            <w:tcW w:w="4389" w:type="dxa"/>
            <w:tcBorders>
              <w:top w:val="nil"/>
              <w:left w:val="single" w:sz="4" w:space="0" w:color="auto"/>
              <w:bottom w:val="single" w:sz="4" w:space="0" w:color="auto"/>
              <w:right w:val="single" w:sz="4" w:space="0" w:color="auto"/>
            </w:tcBorders>
            <w:shd w:val="clear" w:color="auto" w:fill="auto"/>
            <w:noWrap/>
            <w:vAlign w:val="bottom"/>
            <w:hideMark/>
          </w:tcPr>
          <w:p w:rsidR="00372D0B" w:rsidRPr="00681E0A" w:rsidRDefault="008B67A4" w:rsidP="001F5CAF">
            <w:pPr>
              <w:widowControl/>
              <w:autoSpaceDE/>
              <w:autoSpaceDN/>
              <w:adjustRightInd/>
              <w:ind w:firstLineChars="200" w:firstLine="360"/>
              <w:rPr>
                <w:color w:val="000000"/>
                <w:sz w:val="18"/>
                <w:szCs w:val="18"/>
              </w:rPr>
            </w:pPr>
            <w:r w:rsidRPr="00681E0A">
              <w:rPr>
                <w:color w:val="000000"/>
                <w:sz w:val="18"/>
                <w:szCs w:val="18"/>
              </w:rPr>
              <w:t xml:space="preserve">ii. Records of SS&amp;M </w:t>
            </w:r>
            <w:r w:rsidRPr="001F5CAF">
              <w:rPr>
                <w:color w:val="000000"/>
                <w:sz w:val="18"/>
                <w:szCs w:val="18"/>
                <w:vertAlign w:val="superscript"/>
              </w:rPr>
              <w:t>l</w:t>
            </w:r>
          </w:p>
        </w:tc>
        <w:tc>
          <w:tcPr>
            <w:tcW w:w="108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2</w:t>
            </w:r>
          </w:p>
        </w:tc>
        <w:tc>
          <w:tcPr>
            <w:tcW w:w="117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26</w:t>
            </w:r>
          </w:p>
        </w:tc>
        <w:tc>
          <w:tcPr>
            <w:tcW w:w="1170"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52</w:t>
            </w:r>
          </w:p>
        </w:tc>
        <w:tc>
          <w:tcPr>
            <w:tcW w:w="126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27</w:t>
            </w:r>
          </w:p>
        </w:tc>
        <w:tc>
          <w:tcPr>
            <w:tcW w:w="1047"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1,404</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70.2</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140.4</w:t>
            </w:r>
          </w:p>
        </w:tc>
        <w:tc>
          <w:tcPr>
            <w:tcW w:w="1481"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$157,935.96</w:t>
            </w:r>
          </w:p>
        </w:tc>
      </w:tr>
      <w:tr w:rsidR="00DA18A2" w:rsidRPr="00681E0A" w:rsidTr="00A9390C">
        <w:trPr>
          <w:trHeight w:val="242"/>
          <w:jc w:val="center"/>
        </w:trPr>
        <w:tc>
          <w:tcPr>
            <w:tcW w:w="4389" w:type="dxa"/>
            <w:tcBorders>
              <w:top w:val="nil"/>
              <w:left w:val="single" w:sz="4" w:space="0" w:color="auto"/>
              <w:bottom w:val="single" w:sz="4" w:space="0" w:color="auto"/>
              <w:right w:val="single" w:sz="4" w:space="0" w:color="auto"/>
            </w:tcBorders>
            <w:shd w:val="clear" w:color="auto" w:fill="auto"/>
            <w:noWrap/>
            <w:vAlign w:val="bottom"/>
            <w:hideMark/>
          </w:tcPr>
          <w:p w:rsidR="00372D0B" w:rsidRPr="00681E0A" w:rsidRDefault="008B67A4" w:rsidP="001F5CAF">
            <w:pPr>
              <w:widowControl/>
              <w:autoSpaceDE/>
              <w:autoSpaceDN/>
              <w:adjustRightInd/>
              <w:ind w:firstLineChars="200" w:firstLine="360"/>
              <w:rPr>
                <w:color w:val="000000"/>
                <w:sz w:val="18"/>
                <w:szCs w:val="18"/>
              </w:rPr>
            </w:pPr>
            <w:r w:rsidRPr="00681E0A">
              <w:rPr>
                <w:color w:val="000000"/>
                <w:sz w:val="18"/>
                <w:szCs w:val="18"/>
              </w:rPr>
              <w:t xml:space="preserve">iii. Calibration of CMS </w:t>
            </w:r>
            <w:r w:rsidRPr="001F5CAF">
              <w:rPr>
                <w:color w:val="000000"/>
                <w:sz w:val="18"/>
                <w:szCs w:val="18"/>
                <w:vertAlign w:val="superscript"/>
              </w:rPr>
              <w:t>m</w:t>
            </w:r>
          </w:p>
        </w:tc>
        <w:tc>
          <w:tcPr>
            <w:tcW w:w="108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16</w:t>
            </w:r>
          </w:p>
        </w:tc>
        <w:tc>
          <w:tcPr>
            <w:tcW w:w="117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16</w:t>
            </w:r>
          </w:p>
        </w:tc>
        <w:tc>
          <w:tcPr>
            <w:tcW w:w="126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27</w:t>
            </w:r>
          </w:p>
        </w:tc>
        <w:tc>
          <w:tcPr>
            <w:tcW w:w="1047"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432</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21.6</w:t>
            </w:r>
          </w:p>
        </w:tc>
        <w:tc>
          <w:tcPr>
            <w:tcW w:w="1229"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43.2</w:t>
            </w:r>
          </w:p>
        </w:tc>
        <w:tc>
          <w:tcPr>
            <w:tcW w:w="1481"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jc w:val="right"/>
              <w:rPr>
                <w:color w:val="000000"/>
                <w:sz w:val="18"/>
                <w:szCs w:val="18"/>
              </w:rPr>
            </w:pPr>
            <w:r w:rsidRPr="00681E0A">
              <w:rPr>
                <w:color w:val="000000"/>
                <w:sz w:val="18"/>
                <w:szCs w:val="18"/>
              </w:rPr>
              <w:t>$48,595.68</w:t>
            </w:r>
          </w:p>
        </w:tc>
      </w:tr>
      <w:tr w:rsidR="00DA18A2" w:rsidRPr="00681E0A" w:rsidTr="00A9390C">
        <w:trPr>
          <w:trHeight w:val="170"/>
          <w:jc w:val="center"/>
        </w:trPr>
        <w:tc>
          <w:tcPr>
            <w:tcW w:w="4389" w:type="dxa"/>
            <w:tcBorders>
              <w:top w:val="nil"/>
              <w:left w:val="single" w:sz="4" w:space="0" w:color="auto"/>
              <w:bottom w:val="single" w:sz="4" w:space="0" w:color="auto"/>
              <w:right w:val="single" w:sz="4" w:space="0" w:color="auto"/>
            </w:tcBorders>
            <w:shd w:val="clear" w:color="auto" w:fill="auto"/>
            <w:noWrap/>
            <w:vAlign w:val="bottom"/>
            <w:hideMark/>
          </w:tcPr>
          <w:p w:rsidR="00372D0B" w:rsidRPr="00681E0A" w:rsidRDefault="008B67A4" w:rsidP="00681E0A">
            <w:pPr>
              <w:widowControl/>
              <w:autoSpaceDE/>
              <w:autoSpaceDN/>
              <w:adjustRightInd/>
              <w:ind w:firstLineChars="200" w:firstLine="360"/>
              <w:rPr>
                <w:color w:val="000000"/>
                <w:sz w:val="18"/>
                <w:szCs w:val="18"/>
              </w:rPr>
            </w:pPr>
            <w:r w:rsidRPr="00681E0A">
              <w:rPr>
                <w:color w:val="000000"/>
                <w:sz w:val="18"/>
                <w:szCs w:val="18"/>
              </w:rPr>
              <w:t>iv. LDAR</w:t>
            </w:r>
          </w:p>
        </w:tc>
        <w:tc>
          <w:tcPr>
            <w:tcW w:w="1080" w:type="dxa"/>
            <w:tcBorders>
              <w:top w:val="nil"/>
              <w:left w:val="nil"/>
              <w:bottom w:val="single" w:sz="4" w:space="0" w:color="auto"/>
              <w:right w:val="nil"/>
            </w:tcBorders>
            <w:shd w:val="clear" w:color="000000"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See 3C</w:t>
            </w:r>
          </w:p>
        </w:tc>
        <w:tc>
          <w:tcPr>
            <w:tcW w:w="1170" w:type="dxa"/>
            <w:tcBorders>
              <w:top w:val="nil"/>
              <w:left w:val="nil"/>
              <w:bottom w:val="single" w:sz="4" w:space="0" w:color="auto"/>
              <w:right w:val="nil"/>
            </w:tcBorders>
            <w:shd w:val="clear" w:color="000000"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170" w:type="dxa"/>
            <w:tcBorders>
              <w:top w:val="nil"/>
              <w:left w:val="nil"/>
              <w:bottom w:val="single" w:sz="4" w:space="0" w:color="auto"/>
              <w:right w:val="nil"/>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260" w:type="dxa"/>
            <w:tcBorders>
              <w:top w:val="nil"/>
              <w:left w:val="nil"/>
              <w:bottom w:val="single" w:sz="4" w:space="0" w:color="auto"/>
              <w:right w:val="nil"/>
            </w:tcBorders>
            <w:shd w:val="clear" w:color="000000"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047" w:type="dxa"/>
            <w:tcBorders>
              <w:top w:val="nil"/>
              <w:left w:val="nil"/>
              <w:bottom w:val="single" w:sz="4" w:space="0" w:color="auto"/>
              <w:right w:val="nil"/>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229" w:type="dxa"/>
            <w:tcBorders>
              <w:top w:val="nil"/>
              <w:left w:val="nil"/>
              <w:bottom w:val="single" w:sz="4" w:space="0" w:color="auto"/>
              <w:right w:val="nil"/>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229" w:type="dxa"/>
            <w:tcBorders>
              <w:top w:val="nil"/>
              <w:left w:val="nil"/>
              <w:bottom w:val="single" w:sz="4" w:space="0" w:color="auto"/>
              <w:right w:val="nil"/>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481"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r>
      <w:tr w:rsidR="00DA18A2" w:rsidRPr="00681E0A" w:rsidTr="00A9390C">
        <w:trPr>
          <w:trHeight w:val="233"/>
          <w:jc w:val="center"/>
        </w:trPr>
        <w:tc>
          <w:tcPr>
            <w:tcW w:w="4389" w:type="dxa"/>
            <w:tcBorders>
              <w:top w:val="nil"/>
              <w:left w:val="single" w:sz="4" w:space="0" w:color="auto"/>
              <w:bottom w:val="single" w:sz="4" w:space="0" w:color="auto"/>
              <w:right w:val="single" w:sz="4" w:space="0" w:color="auto"/>
            </w:tcBorders>
            <w:shd w:val="clear" w:color="auto" w:fill="auto"/>
            <w:noWrap/>
            <w:vAlign w:val="bottom"/>
            <w:hideMark/>
          </w:tcPr>
          <w:p w:rsidR="0044053C" w:rsidRPr="001F5CAF" w:rsidRDefault="008B67A4" w:rsidP="0044053C">
            <w:pPr>
              <w:widowControl/>
              <w:autoSpaceDE/>
              <w:autoSpaceDN/>
              <w:adjustRightInd/>
              <w:rPr>
                <w:b/>
                <w:i/>
                <w:iCs/>
                <w:color w:val="000000"/>
                <w:sz w:val="18"/>
                <w:szCs w:val="18"/>
              </w:rPr>
            </w:pPr>
            <w:r w:rsidRPr="001F5CAF">
              <w:rPr>
                <w:b/>
                <w:i/>
                <w:iCs/>
                <w:color w:val="000000"/>
                <w:sz w:val="18"/>
                <w:szCs w:val="18"/>
              </w:rPr>
              <w:t>Subtotal for Recordkeeping Requirements</w:t>
            </w:r>
          </w:p>
        </w:tc>
        <w:tc>
          <w:tcPr>
            <w:tcW w:w="1080" w:type="dxa"/>
            <w:tcBorders>
              <w:top w:val="nil"/>
              <w:left w:val="nil"/>
              <w:bottom w:val="single" w:sz="4" w:space="0" w:color="auto"/>
              <w:right w:val="single" w:sz="4" w:space="0" w:color="auto"/>
            </w:tcBorders>
            <w:shd w:val="clear" w:color="000000" w:fill="auto"/>
            <w:noWrap/>
            <w:vAlign w:val="bottom"/>
            <w:hideMark/>
          </w:tcPr>
          <w:p w:rsidR="0044053C" w:rsidRPr="001F5CAF" w:rsidRDefault="008B67A4" w:rsidP="0044053C">
            <w:pPr>
              <w:widowControl/>
              <w:autoSpaceDE/>
              <w:autoSpaceDN/>
              <w:adjustRightInd/>
              <w:rPr>
                <w:b/>
                <w:color w:val="000000"/>
                <w:sz w:val="18"/>
                <w:szCs w:val="18"/>
              </w:rPr>
            </w:pPr>
            <w:r w:rsidRPr="001F5CAF">
              <w:rPr>
                <w:b/>
                <w:color w:val="000000"/>
                <w:sz w:val="18"/>
                <w:szCs w:val="18"/>
              </w:rPr>
              <w:t> </w:t>
            </w:r>
          </w:p>
        </w:tc>
        <w:tc>
          <w:tcPr>
            <w:tcW w:w="1170" w:type="dxa"/>
            <w:tcBorders>
              <w:top w:val="nil"/>
              <w:left w:val="nil"/>
              <w:bottom w:val="single" w:sz="4" w:space="0" w:color="auto"/>
              <w:right w:val="single" w:sz="4" w:space="0" w:color="auto"/>
            </w:tcBorders>
            <w:shd w:val="clear" w:color="000000" w:fill="auto"/>
            <w:noWrap/>
            <w:vAlign w:val="bottom"/>
            <w:hideMark/>
          </w:tcPr>
          <w:p w:rsidR="0044053C" w:rsidRPr="001F5CAF" w:rsidRDefault="008B67A4" w:rsidP="0044053C">
            <w:pPr>
              <w:widowControl/>
              <w:autoSpaceDE/>
              <w:autoSpaceDN/>
              <w:adjustRightInd/>
              <w:rPr>
                <w:b/>
                <w:color w:val="000000"/>
                <w:sz w:val="18"/>
                <w:szCs w:val="18"/>
              </w:rPr>
            </w:pPr>
            <w:r w:rsidRPr="001F5CAF">
              <w:rPr>
                <w:b/>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44053C" w:rsidRPr="001F5CAF" w:rsidRDefault="008B67A4" w:rsidP="0044053C">
            <w:pPr>
              <w:widowControl/>
              <w:autoSpaceDE/>
              <w:autoSpaceDN/>
              <w:adjustRightInd/>
              <w:rPr>
                <w:b/>
                <w:color w:val="000000"/>
                <w:sz w:val="18"/>
                <w:szCs w:val="18"/>
              </w:rPr>
            </w:pPr>
            <w:r w:rsidRPr="001F5CAF">
              <w:rPr>
                <w:b/>
                <w:color w:val="000000"/>
                <w:sz w:val="18"/>
                <w:szCs w:val="18"/>
              </w:rPr>
              <w:t> </w:t>
            </w:r>
          </w:p>
        </w:tc>
        <w:tc>
          <w:tcPr>
            <w:tcW w:w="1260" w:type="dxa"/>
            <w:tcBorders>
              <w:top w:val="nil"/>
              <w:left w:val="nil"/>
              <w:bottom w:val="single" w:sz="4" w:space="0" w:color="auto"/>
              <w:right w:val="single" w:sz="4" w:space="0" w:color="auto"/>
            </w:tcBorders>
            <w:shd w:val="clear" w:color="000000" w:fill="auto"/>
            <w:noWrap/>
            <w:vAlign w:val="bottom"/>
            <w:hideMark/>
          </w:tcPr>
          <w:p w:rsidR="0044053C" w:rsidRPr="001F5CAF" w:rsidRDefault="008B67A4" w:rsidP="0044053C">
            <w:pPr>
              <w:widowControl/>
              <w:autoSpaceDE/>
              <w:autoSpaceDN/>
              <w:adjustRightInd/>
              <w:rPr>
                <w:b/>
                <w:color w:val="000000"/>
                <w:sz w:val="18"/>
                <w:szCs w:val="18"/>
              </w:rPr>
            </w:pPr>
            <w:r w:rsidRPr="001F5CAF">
              <w:rPr>
                <w:b/>
                <w:color w:val="000000"/>
                <w:sz w:val="18"/>
                <w:szCs w:val="18"/>
              </w:rPr>
              <w:t> </w:t>
            </w:r>
          </w:p>
        </w:tc>
        <w:tc>
          <w:tcPr>
            <w:tcW w:w="3505" w:type="dxa"/>
            <w:gridSpan w:val="3"/>
            <w:tcBorders>
              <w:top w:val="single" w:sz="4" w:space="0" w:color="auto"/>
              <w:left w:val="nil"/>
              <w:bottom w:val="single" w:sz="4" w:space="0" w:color="auto"/>
              <w:right w:val="single" w:sz="4" w:space="0" w:color="000000"/>
            </w:tcBorders>
            <w:shd w:val="clear" w:color="auto" w:fill="auto"/>
            <w:noWrap/>
            <w:vAlign w:val="bottom"/>
            <w:hideMark/>
          </w:tcPr>
          <w:p w:rsidR="0044053C" w:rsidRPr="001F5CAF" w:rsidRDefault="008B67A4" w:rsidP="0044053C">
            <w:pPr>
              <w:widowControl/>
              <w:autoSpaceDE/>
              <w:autoSpaceDN/>
              <w:adjustRightInd/>
              <w:jc w:val="center"/>
              <w:rPr>
                <w:b/>
                <w:color w:val="000000"/>
                <w:sz w:val="18"/>
                <w:szCs w:val="18"/>
              </w:rPr>
            </w:pPr>
            <w:r w:rsidRPr="001F5CAF">
              <w:rPr>
                <w:b/>
                <w:color w:val="000000"/>
                <w:sz w:val="18"/>
                <w:szCs w:val="18"/>
              </w:rPr>
              <w:t>13,444.</w:t>
            </w:r>
            <w:r w:rsidR="00372D0B" w:rsidRPr="001F5CAF">
              <w:rPr>
                <w:b/>
                <w:color w:val="000000"/>
                <w:sz w:val="18"/>
                <w:szCs w:val="18"/>
              </w:rPr>
              <w:t>7</w:t>
            </w:r>
          </w:p>
        </w:tc>
        <w:tc>
          <w:tcPr>
            <w:tcW w:w="1481" w:type="dxa"/>
            <w:tcBorders>
              <w:top w:val="nil"/>
              <w:left w:val="nil"/>
              <w:bottom w:val="single" w:sz="4" w:space="0" w:color="auto"/>
              <w:right w:val="single" w:sz="4" w:space="0" w:color="auto"/>
            </w:tcBorders>
            <w:shd w:val="clear" w:color="auto" w:fill="auto"/>
            <w:noWrap/>
            <w:vAlign w:val="bottom"/>
            <w:hideMark/>
          </w:tcPr>
          <w:p w:rsidR="0044053C" w:rsidRPr="001F5CAF" w:rsidRDefault="008B67A4" w:rsidP="0044053C">
            <w:pPr>
              <w:widowControl/>
              <w:autoSpaceDE/>
              <w:autoSpaceDN/>
              <w:adjustRightInd/>
              <w:jc w:val="right"/>
              <w:rPr>
                <w:b/>
                <w:color w:val="000000"/>
                <w:sz w:val="18"/>
                <w:szCs w:val="18"/>
              </w:rPr>
            </w:pPr>
            <w:r w:rsidRPr="001F5CAF">
              <w:rPr>
                <w:b/>
                <w:color w:val="000000"/>
                <w:sz w:val="18"/>
                <w:szCs w:val="18"/>
              </w:rPr>
              <w:t>$1,315,120.59</w:t>
            </w:r>
          </w:p>
        </w:tc>
      </w:tr>
      <w:tr w:rsidR="00DA18A2" w:rsidRPr="00681E0A" w:rsidTr="008849C4">
        <w:trPr>
          <w:trHeight w:val="300"/>
          <w:jc w:val="center"/>
        </w:trPr>
        <w:tc>
          <w:tcPr>
            <w:tcW w:w="4389" w:type="dxa"/>
            <w:tcBorders>
              <w:top w:val="nil"/>
              <w:left w:val="single" w:sz="4" w:space="0" w:color="auto"/>
              <w:bottom w:val="single" w:sz="4" w:space="0" w:color="auto"/>
              <w:right w:val="single" w:sz="4" w:space="0" w:color="auto"/>
            </w:tcBorders>
            <w:shd w:val="clear" w:color="auto" w:fill="auto"/>
            <w:noWrap/>
            <w:vAlign w:val="bottom"/>
            <w:hideMark/>
          </w:tcPr>
          <w:p w:rsidR="0044053C" w:rsidRPr="00681E0A" w:rsidRDefault="008B67A4" w:rsidP="00A9390C">
            <w:pPr>
              <w:widowControl/>
              <w:autoSpaceDE/>
              <w:autoSpaceDN/>
              <w:adjustRightInd/>
              <w:rPr>
                <w:b/>
                <w:bCs/>
                <w:color w:val="000000"/>
                <w:sz w:val="18"/>
                <w:szCs w:val="18"/>
              </w:rPr>
            </w:pPr>
            <w:r w:rsidRPr="00681E0A">
              <w:rPr>
                <w:b/>
                <w:bCs/>
                <w:color w:val="000000"/>
                <w:sz w:val="18"/>
                <w:szCs w:val="18"/>
              </w:rPr>
              <w:t>Total Labor Burden and Cost</w:t>
            </w:r>
            <w:r w:rsidR="00A9390C">
              <w:rPr>
                <w:b/>
                <w:bCs/>
                <w:color w:val="000000"/>
                <w:sz w:val="18"/>
                <w:szCs w:val="18"/>
              </w:rPr>
              <w:t xml:space="preserve"> (rounded)</w:t>
            </w:r>
          </w:p>
        </w:tc>
        <w:tc>
          <w:tcPr>
            <w:tcW w:w="108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17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1260" w:type="dxa"/>
            <w:tcBorders>
              <w:top w:val="nil"/>
              <w:left w:val="nil"/>
              <w:bottom w:val="single" w:sz="4" w:space="0" w:color="auto"/>
              <w:right w:val="single" w:sz="4" w:space="0" w:color="auto"/>
            </w:tcBorders>
            <w:shd w:val="clear" w:color="000000" w:fill="auto"/>
            <w:noWrap/>
            <w:vAlign w:val="bottom"/>
            <w:hideMark/>
          </w:tcPr>
          <w:p w:rsidR="0044053C" w:rsidRPr="00681E0A" w:rsidRDefault="008B67A4" w:rsidP="0044053C">
            <w:pPr>
              <w:widowControl/>
              <w:autoSpaceDE/>
              <w:autoSpaceDN/>
              <w:adjustRightInd/>
              <w:rPr>
                <w:color w:val="000000"/>
                <w:sz w:val="18"/>
                <w:szCs w:val="18"/>
              </w:rPr>
            </w:pPr>
            <w:r w:rsidRPr="00681E0A">
              <w:rPr>
                <w:color w:val="000000"/>
                <w:sz w:val="18"/>
                <w:szCs w:val="18"/>
              </w:rPr>
              <w:t> </w:t>
            </w:r>
          </w:p>
        </w:tc>
        <w:tc>
          <w:tcPr>
            <w:tcW w:w="3505" w:type="dxa"/>
            <w:gridSpan w:val="3"/>
            <w:tcBorders>
              <w:top w:val="single" w:sz="4" w:space="0" w:color="auto"/>
              <w:left w:val="nil"/>
              <w:bottom w:val="single" w:sz="4" w:space="0" w:color="auto"/>
              <w:right w:val="single" w:sz="4" w:space="0" w:color="000000"/>
            </w:tcBorders>
            <w:shd w:val="clear" w:color="auto" w:fill="auto"/>
            <w:noWrap/>
            <w:vAlign w:val="bottom"/>
            <w:hideMark/>
          </w:tcPr>
          <w:p w:rsidR="0044053C" w:rsidRPr="00681E0A" w:rsidRDefault="008B67A4" w:rsidP="0044053C">
            <w:pPr>
              <w:widowControl/>
              <w:autoSpaceDE/>
              <w:autoSpaceDN/>
              <w:adjustRightInd/>
              <w:jc w:val="center"/>
              <w:rPr>
                <w:b/>
                <w:color w:val="000000"/>
                <w:sz w:val="18"/>
                <w:szCs w:val="18"/>
              </w:rPr>
            </w:pPr>
            <w:r w:rsidRPr="00681E0A">
              <w:rPr>
                <w:b/>
                <w:color w:val="000000"/>
                <w:sz w:val="18"/>
                <w:szCs w:val="18"/>
              </w:rPr>
              <w:t>44,2</w:t>
            </w:r>
            <w:r w:rsidR="00372D0B" w:rsidRPr="00681E0A">
              <w:rPr>
                <w:b/>
                <w:color w:val="000000"/>
                <w:sz w:val="18"/>
                <w:szCs w:val="18"/>
              </w:rPr>
              <w:t>66</w:t>
            </w:r>
          </w:p>
        </w:tc>
        <w:tc>
          <w:tcPr>
            <w:tcW w:w="1481" w:type="dxa"/>
            <w:tcBorders>
              <w:top w:val="nil"/>
              <w:left w:val="nil"/>
              <w:bottom w:val="single" w:sz="4" w:space="0" w:color="auto"/>
              <w:right w:val="single" w:sz="4" w:space="0" w:color="auto"/>
            </w:tcBorders>
            <w:shd w:val="clear" w:color="auto" w:fill="auto"/>
            <w:noWrap/>
            <w:vAlign w:val="bottom"/>
            <w:hideMark/>
          </w:tcPr>
          <w:p w:rsidR="0044053C" w:rsidRPr="00681E0A" w:rsidRDefault="008B67A4" w:rsidP="00DD64C8">
            <w:pPr>
              <w:widowControl/>
              <w:autoSpaceDE/>
              <w:autoSpaceDN/>
              <w:adjustRightInd/>
              <w:jc w:val="right"/>
              <w:rPr>
                <w:b/>
                <w:color w:val="000000"/>
                <w:sz w:val="18"/>
                <w:szCs w:val="18"/>
              </w:rPr>
            </w:pPr>
            <w:r w:rsidRPr="00681E0A">
              <w:rPr>
                <w:b/>
                <w:color w:val="000000"/>
                <w:sz w:val="18"/>
                <w:szCs w:val="18"/>
              </w:rPr>
              <w:t>$4,3</w:t>
            </w:r>
            <w:r w:rsidR="00372D0B" w:rsidRPr="00681E0A">
              <w:rPr>
                <w:b/>
                <w:color w:val="000000"/>
                <w:sz w:val="18"/>
                <w:szCs w:val="18"/>
              </w:rPr>
              <w:t>30</w:t>
            </w:r>
            <w:r w:rsidRPr="00681E0A">
              <w:rPr>
                <w:b/>
                <w:color w:val="000000"/>
                <w:sz w:val="18"/>
                <w:szCs w:val="18"/>
              </w:rPr>
              <w:t>,</w:t>
            </w:r>
            <w:r w:rsidR="00372D0B" w:rsidRPr="00681E0A">
              <w:rPr>
                <w:b/>
                <w:color w:val="000000"/>
                <w:sz w:val="18"/>
                <w:szCs w:val="18"/>
              </w:rPr>
              <w:t>25</w:t>
            </w:r>
            <w:r w:rsidR="00DD64C8">
              <w:rPr>
                <w:b/>
                <w:color w:val="000000"/>
                <w:sz w:val="18"/>
                <w:szCs w:val="18"/>
              </w:rPr>
              <w:t>2</w:t>
            </w:r>
          </w:p>
        </w:tc>
      </w:tr>
    </w:tbl>
    <w:p w:rsidR="00681E0A" w:rsidRDefault="00681E0A"/>
    <w:tbl>
      <w:tblPr>
        <w:tblW w:w="5000" w:type="pct"/>
        <w:tblLayout w:type="fixed"/>
        <w:tblLook w:val="04A0"/>
      </w:tblPr>
      <w:tblGrid>
        <w:gridCol w:w="13266"/>
      </w:tblGrid>
      <w:tr w:rsidR="00ED7810" w:rsidRPr="00ED7810" w:rsidTr="00681E0A">
        <w:trPr>
          <w:trHeight w:val="300"/>
        </w:trPr>
        <w:tc>
          <w:tcPr>
            <w:tcW w:w="13266" w:type="dxa"/>
            <w:tcBorders>
              <w:top w:val="nil"/>
              <w:left w:val="nil"/>
              <w:bottom w:val="nil"/>
              <w:right w:val="nil"/>
            </w:tcBorders>
            <w:shd w:val="clear" w:color="auto" w:fill="auto"/>
            <w:noWrap/>
            <w:vAlign w:val="bottom"/>
            <w:hideMark/>
          </w:tcPr>
          <w:p w:rsidR="00ED7810" w:rsidRPr="00ED7810" w:rsidRDefault="00ED7810" w:rsidP="00ED7810">
            <w:pPr>
              <w:widowControl/>
              <w:autoSpaceDE/>
              <w:autoSpaceDN/>
              <w:adjustRightInd/>
              <w:rPr>
                <w:b/>
                <w:bCs/>
                <w:color w:val="000000"/>
                <w:sz w:val="20"/>
                <w:szCs w:val="20"/>
              </w:rPr>
            </w:pPr>
            <w:r w:rsidRPr="00ED7810">
              <w:rPr>
                <w:b/>
                <w:bCs/>
                <w:color w:val="000000"/>
                <w:sz w:val="20"/>
                <w:szCs w:val="20"/>
              </w:rPr>
              <w:t>Assumptions:</w:t>
            </w:r>
          </w:p>
        </w:tc>
      </w:tr>
      <w:tr w:rsidR="00ED7810" w:rsidRPr="00ED7810" w:rsidTr="00681E0A">
        <w:trPr>
          <w:trHeight w:val="375"/>
        </w:trPr>
        <w:tc>
          <w:tcPr>
            <w:tcW w:w="13266" w:type="dxa"/>
            <w:tcBorders>
              <w:top w:val="nil"/>
              <w:left w:val="nil"/>
              <w:bottom w:val="nil"/>
              <w:right w:val="nil"/>
            </w:tcBorders>
            <w:shd w:val="clear" w:color="auto" w:fill="auto"/>
            <w:noWrap/>
            <w:vAlign w:val="bottom"/>
            <w:hideMark/>
          </w:tcPr>
          <w:p w:rsidR="00ED7810" w:rsidRPr="00ED7810" w:rsidRDefault="00ED7810" w:rsidP="00ED7810">
            <w:pPr>
              <w:widowControl/>
              <w:autoSpaceDE/>
              <w:autoSpaceDN/>
              <w:adjustRightInd/>
              <w:rPr>
                <w:color w:val="000000"/>
              </w:rPr>
            </w:pPr>
            <w:r w:rsidRPr="00ED7810">
              <w:rPr>
                <w:color w:val="000000"/>
                <w:vertAlign w:val="superscript"/>
              </w:rPr>
              <w:t>a</w:t>
            </w:r>
            <w:r w:rsidRPr="00ED7810">
              <w:rPr>
                <w:color w:val="000000"/>
                <w:sz w:val="20"/>
                <w:szCs w:val="20"/>
              </w:rPr>
              <w:t xml:space="preserve">  We have assumed that the average number of respondents that will be subject to this rule will be 27.  There will be no new additional sources during the next three years of this ICR.</w:t>
            </w:r>
          </w:p>
        </w:tc>
      </w:tr>
      <w:tr w:rsidR="00ED7810" w:rsidRPr="00ED7810" w:rsidTr="00681E0A">
        <w:trPr>
          <w:trHeight w:val="375"/>
        </w:trPr>
        <w:tc>
          <w:tcPr>
            <w:tcW w:w="13266" w:type="dxa"/>
            <w:tcBorders>
              <w:top w:val="nil"/>
              <w:left w:val="nil"/>
              <w:bottom w:val="nil"/>
              <w:right w:val="nil"/>
            </w:tcBorders>
            <w:shd w:val="clear" w:color="auto" w:fill="auto"/>
            <w:noWrap/>
            <w:vAlign w:val="bottom"/>
            <w:hideMark/>
          </w:tcPr>
          <w:p w:rsidR="00ED7810" w:rsidRPr="00ED7810" w:rsidRDefault="00ED7810" w:rsidP="00ED7810">
            <w:pPr>
              <w:widowControl/>
              <w:autoSpaceDE/>
              <w:autoSpaceDN/>
              <w:adjustRightInd/>
              <w:rPr>
                <w:color w:val="000000"/>
              </w:rPr>
            </w:pPr>
            <w:r w:rsidRPr="00ED7810">
              <w:rPr>
                <w:color w:val="000000"/>
                <w:vertAlign w:val="superscript"/>
              </w:rPr>
              <w:t>b</w:t>
            </w:r>
            <w:r w:rsidRPr="00ED7810">
              <w:rPr>
                <w:color w:val="000000"/>
                <w:sz w:val="20"/>
                <w:szCs w:val="20"/>
              </w:rPr>
              <w:t xml:space="preserve">  This ICR uses the following labor rates:  $123.04 per hour for Executive, Administrative, and Managerial labor; $101.22 per hour for Technical labor, and $51.18 per hour for Clerical labor.  These rates are from the United States Department of Labor, Bureau of Labor Statistics, March 2013, Table 2. Civilian Workers, by Occupational and Industry group.  The rates are from column 1, Total Compensation.  The rates have been increased by 110 percent to account for the benefit packages available to those employed by private industry.</w:t>
            </w:r>
          </w:p>
        </w:tc>
      </w:tr>
      <w:tr w:rsidR="00ED7810" w:rsidRPr="00ED7810" w:rsidTr="00681E0A">
        <w:trPr>
          <w:trHeight w:val="330"/>
        </w:trPr>
        <w:tc>
          <w:tcPr>
            <w:tcW w:w="13266" w:type="dxa"/>
            <w:tcBorders>
              <w:top w:val="nil"/>
              <w:left w:val="nil"/>
              <w:bottom w:val="nil"/>
              <w:right w:val="nil"/>
            </w:tcBorders>
            <w:shd w:val="clear" w:color="auto" w:fill="auto"/>
            <w:noWrap/>
            <w:vAlign w:val="bottom"/>
            <w:hideMark/>
          </w:tcPr>
          <w:p w:rsidR="00ED7810" w:rsidRPr="00ED7810" w:rsidRDefault="00ED7810" w:rsidP="00ED7810">
            <w:pPr>
              <w:widowControl/>
              <w:autoSpaceDE/>
              <w:autoSpaceDN/>
              <w:adjustRightInd/>
              <w:rPr>
                <w:color w:val="000000"/>
                <w:sz w:val="20"/>
                <w:szCs w:val="20"/>
              </w:rPr>
            </w:pPr>
            <w:r w:rsidRPr="00ED7810">
              <w:rPr>
                <w:color w:val="000000"/>
                <w:sz w:val="20"/>
                <w:szCs w:val="20"/>
                <w:vertAlign w:val="superscript"/>
              </w:rPr>
              <w:t>c</w:t>
            </w:r>
            <w:r w:rsidRPr="00ED7810">
              <w:rPr>
                <w:color w:val="000000"/>
                <w:sz w:val="20"/>
                <w:szCs w:val="20"/>
              </w:rPr>
              <w:t xml:space="preserve">  We have assumed that there will be no new or reconstructed facilities during the next three years of this ICR, however the ICR estimates that all existing sources will have changes in their operations</w:t>
            </w:r>
          </w:p>
        </w:tc>
      </w:tr>
      <w:tr w:rsidR="00ED7810" w:rsidRPr="00ED7810" w:rsidTr="00A9390C">
        <w:trPr>
          <w:trHeight w:val="225"/>
        </w:trPr>
        <w:tc>
          <w:tcPr>
            <w:tcW w:w="13266" w:type="dxa"/>
            <w:tcBorders>
              <w:top w:val="nil"/>
              <w:left w:val="nil"/>
              <w:bottom w:val="nil"/>
              <w:right w:val="nil"/>
            </w:tcBorders>
            <w:shd w:val="clear" w:color="auto" w:fill="auto"/>
            <w:noWrap/>
            <w:vAlign w:val="bottom"/>
            <w:hideMark/>
          </w:tcPr>
          <w:p w:rsidR="00ED7810" w:rsidRPr="00ED7810" w:rsidRDefault="00ED7810" w:rsidP="00ED7810">
            <w:pPr>
              <w:widowControl/>
              <w:autoSpaceDE/>
              <w:autoSpaceDN/>
              <w:adjustRightInd/>
              <w:rPr>
                <w:color w:val="000000"/>
              </w:rPr>
            </w:pPr>
            <w:r w:rsidRPr="00ED7810">
              <w:rPr>
                <w:color w:val="000000"/>
                <w:vertAlign w:val="superscript"/>
              </w:rPr>
              <w:t>d</w:t>
            </w:r>
            <w:r w:rsidRPr="00ED7810">
              <w:rPr>
                <w:color w:val="000000"/>
                <w:sz w:val="20"/>
                <w:szCs w:val="20"/>
              </w:rPr>
              <w:t xml:space="preserve">  We have assumed that 20 percent of respondents would have to repeat performance tests due to failure.</w:t>
            </w:r>
          </w:p>
        </w:tc>
      </w:tr>
      <w:tr w:rsidR="00ED7810" w:rsidRPr="00ED7810" w:rsidTr="00A9390C">
        <w:trPr>
          <w:trHeight w:val="135"/>
        </w:trPr>
        <w:tc>
          <w:tcPr>
            <w:tcW w:w="13266" w:type="dxa"/>
            <w:tcBorders>
              <w:top w:val="nil"/>
              <w:left w:val="nil"/>
              <w:bottom w:val="nil"/>
              <w:right w:val="nil"/>
            </w:tcBorders>
            <w:shd w:val="clear" w:color="auto" w:fill="auto"/>
            <w:noWrap/>
            <w:vAlign w:val="bottom"/>
            <w:hideMark/>
          </w:tcPr>
          <w:p w:rsidR="00ED7810" w:rsidRPr="00ED7810" w:rsidRDefault="00ED7810" w:rsidP="00ED7810">
            <w:pPr>
              <w:widowControl/>
              <w:autoSpaceDE/>
              <w:autoSpaceDN/>
              <w:adjustRightInd/>
              <w:rPr>
                <w:color w:val="000000"/>
              </w:rPr>
            </w:pPr>
            <w:r w:rsidRPr="00ED7810">
              <w:rPr>
                <w:color w:val="000000"/>
                <w:vertAlign w:val="superscript"/>
              </w:rPr>
              <w:t>e</w:t>
            </w:r>
            <w:r w:rsidRPr="00ED7810">
              <w:rPr>
                <w:color w:val="000000"/>
                <w:sz w:val="20"/>
                <w:szCs w:val="20"/>
              </w:rPr>
              <w:t xml:space="preserve">  We have assumed that each source will require an average of three processing changes each year to complete this task over the next three years of this ICR.</w:t>
            </w:r>
          </w:p>
        </w:tc>
      </w:tr>
      <w:tr w:rsidR="00ED7810" w:rsidRPr="00ED7810" w:rsidTr="00A9390C">
        <w:trPr>
          <w:trHeight w:val="117"/>
        </w:trPr>
        <w:tc>
          <w:tcPr>
            <w:tcW w:w="13266" w:type="dxa"/>
            <w:tcBorders>
              <w:top w:val="nil"/>
              <w:left w:val="nil"/>
              <w:bottom w:val="nil"/>
              <w:right w:val="nil"/>
            </w:tcBorders>
            <w:shd w:val="clear" w:color="auto" w:fill="auto"/>
            <w:noWrap/>
            <w:vAlign w:val="bottom"/>
            <w:hideMark/>
          </w:tcPr>
          <w:p w:rsidR="00ED7810" w:rsidRPr="00ED7810" w:rsidRDefault="00ED7810" w:rsidP="00ED7810">
            <w:pPr>
              <w:widowControl/>
              <w:autoSpaceDE/>
              <w:autoSpaceDN/>
              <w:adjustRightInd/>
              <w:rPr>
                <w:color w:val="000000"/>
              </w:rPr>
            </w:pPr>
            <w:r w:rsidRPr="00ED7810">
              <w:rPr>
                <w:color w:val="000000"/>
                <w:vertAlign w:val="superscript"/>
              </w:rPr>
              <w:t>f</w:t>
            </w:r>
            <w:r w:rsidRPr="00ED7810">
              <w:rPr>
                <w:color w:val="000000"/>
                <w:sz w:val="20"/>
                <w:szCs w:val="20"/>
              </w:rPr>
              <w:t xml:space="preserve">  We have assumed that each respondent will take 40 hours two times per year to complete the startup, shutdown, malfunction reports.</w:t>
            </w:r>
          </w:p>
        </w:tc>
      </w:tr>
      <w:tr w:rsidR="00ED7810" w:rsidRPr="00ED7810" w:rsidTr="00A9390C">
        <w:trPr>
          <w:trHeight w:val="117"/>
        </w:trPr>
        <w:tc>
          <w:tcPr>
            <w:tcW w:w="13266" w:type="dxa"/>
            <w:tcBorders>
              <w:top w:val="nil"/>
              <w:left w:val="nil"/>
              <w:bottom w:val="nil"/>
              <w:right w:val="nil"/>
            </w:tcBorders>
            <w:shd w:val="clear" w:color="auto" w:fill="auto"/>
            <w:noWrap/>
            <w:vAlign w:val="bottom"/>
            <w:hideMark/>
          </w:tcPr>
          <w:p w:rsidR="00ED7810" w:rsidRPr="00ED7810" w:rsidRDefault="00ED7810" w:rsidP="00ED7810">
            <w:pPr>
              <w:widowControl/>
              <w:autoSpaceDE/>
              <w:autoSpaceDN/>
              <w:adjustRightInd/>
              <w:rPr>
                <w:color w:val="000000"/>
              </w:rPr>
            </w:pPr>
            <w:r w:rsidRPr="00ED7810">
              <w:rPr>
                <w:color w:val="000000"/>
                <w:vertAlign w:val="superscript"/>
              </w:rPr>
              <w:t>g</w:t>
            </w:r>
            <w:r w:rsidRPr="00ED7810">
              <w:rPr>
                <w:color w:val="000000"/>
                <w:sz w:val="20"/>
                <w:szCs w:val="20"/>
              </w:rPr>
              <w:t xml:space="preserve">  We have assumed that 90 percent of respondents will each take eight hour two times per year to complete the no deviation report.</w:t>
            </w:r>
          </w:p>
        </w:tc>
      </w:tr>
      <w:tr w:rsidR="00ED7810" w:rsidRPr="00ED7810" w:rsidTr="00A9390C">
        <w:trPr>
          <w:trHeight w:val="108"/>
        </w:trPr>
        <w:tc>
          <w:tcPr>
            <w:tcW w:w="13266" w:type="dxa"/>
            <w:tcBorders>
              <w:top w:val="nil"/>
              <w:left w:val="nil"/>
              <w:bottom w:val="nil"/>
              <w:right w:val="nil"/>
            </w:tcBorders>
            <w:shd w:val="clear" w:color="auto" w:fill="auto"/>
            <w:noWrap/>
            <w:vAlign w:val="bottom"/>
            <w:hideMark/>
          </w:tcPr>
          <w:p w:rsidR="00ED7810" w:rsidRPr="00ED7810" w:rsidRDefault="00ED7810" w:rsidP="00ED7810">
            <w:pPr>
              <w:widowControl/>
              <w:autoSpaceDE/>
              <w:autoSpaceDN/>
              <w:adjustRightInd/>
              <w:rPr>
                <w:color w:val="000000"/>
              </w:rPr>
            </w:pPr>
            <w:r w:rsidRPr="00ED7810">
              <w:rPr>
                <w:color w:val="000000"/>
                <w:vertAlign w:val="superscript"/>
              </w:rPr>
              <w:t>h</w:t>
            </w:r>
            <w:r w:rsidRPr="00ED7810">
              <w:rPr>
                <w:color w:val="000000"/>
                <w:sz w:val="20"/>
                <w:szCs w:val="20"/>
              </w:rPr>
              <w:t xml:space="preserve">  We have assumed that 10 percent of respondents will each take 24 hours two times per year to complete the deviation report.</w:t>
            </w:r>
          </w:p>
        </w:tc>
      </w:tr>
      <w:tr w:rsidR="00ED7810" w:rsidRPr="00ED7810" w:rsidTr="00A9390C">
        <w:trPr>
          <w:trHeight w:val="80"/>
        </w:trPr>
        <w:tc>
          <w:tcPr>
            <w:tcW w:w="13266" w:type="dxa"/>
            <w:tcBorders>
              <w:top w:val="nil"/>
              <w:left w:val="nil"/>
              <w:bottom w:val="nil"/>
              <w:right w:val="nil"/>
            </w:tcBorders>
            <w:shd w:val="clear" w:color="auto" w:fill="auto"/>
            <w:noWrap/>
            <w:vAlign w:val="bottom"/>
            <w:hideMark/>
          </w:tcPr>
          <w:p w:rsidR="00ED7810" w:rsidRPr="00ED7810" w:rsidRDefault="00ED7810" w:rsidP="00ED7810">
            <w:pPr>
              <w:widowControl/>
              <w:autoSpaceDE/>
              <w:autoSpaceDN/>
              <w:adjustRightInd/>
              <w:rPr>
                <w:color w:val="000000"/>
                <w:sz w:val="20"/>
                <w:szCs w:val="20"/>
              </w:rPr>
            </w:pPr>
            <w:r w:rsidRPr="00ED7810">
              <w:rPr>
                <w:color w:val="000000"/>
                <w:sz w:val="20"/>
                <w:szCs w:val="20"/>
                <w:vertAlign w:val="superscript"/>
              </w:rPr>
              <w:t>i</w:t>
            </w:r>
            <w:r w:rsidRPr="00ED7810">
              <w:rPr>
                <w:color w:val="000000"/>
                <w:sz w:val="20"/>
                <w:szCs w:val="20"/>
              </w:rPr>
              <w:t xml:space="preserve">  We have assumed that it will take each respondent 432 hour two times per year to complete the LDAR report.</w:t>
            </w:r>
          </w:p>
        </w:tc>
      </w:tr>
      <w:tr w:rsidR="00ED7810" w:rsidRPr="00ED7810" w:rsidTr="00A9390C">
        <w:trPr>
          <w:trHeight w:val="80"/>
        </w:trPr>
        <w:tc>
          <w:tcPr>
            <w:tcW w:w="13266" w:type="dxa"/>
            <w:tcBorders>
              <w:top w:val="nil"/>
              <w:left w:val="nil"/>
              <w:bottom w:val="nil"/>
              <w:right w:val="nil"/>
            </w:tcBorders>
            <w:shd w:val="clear" w:color="auto" w:fill="auto"/>
            <w:noWrap/>
            <w:vAlign w:val="bottom"/>
            <w:hideMark/>
          </w:tcPr>
          <w:p w:rsidR="00ED7810" w:rsidRPr="00ED7810" w:rsidRDefault="00ED7810" w:rsidP="00ED7810">
            <w:pPr>
              <w:widowControl/>
              <w:autoSpaceDE/>
              <w:autoSpaceDN/>
              <w:adjustRightInd/>
              <w:rPr>
                <w:color w:val="000000"/>
                <w:sz w:val="20"/>
                <w:szCs w:val="20"/>
              </w:rPr>
            </w:pPr>
            <w:r w:rsidRPr="00ED7810">
              <w:rPr>
                <w:color w:val="000000"/>
                <w:sz w:val="20"/>
                <w:szCs w:val="20"/>
                <w:vertAlign w:val="superscript"/>
              </w:rPr>
              <w:t>j</w:t>
            </w:r>
            <w:r w:rsidRPr="00ED7810">
              <w:rPr>
                <w:color w:val="000000"/>
                <w:sz w:val="20"/>
                <w:szCs w:val="20"/>
              </w:rPr>
              <w:t xml:space="preserve">  We have assumed that ten percent of respondents will each take 20 hours two times per year to complete the emissions averaging report.</w:t>
            </w:r>
          </w:p>
        </w:tc>
      </w:tr>
      <w:tr w:rsidR="00ED7810" w:rsidRPr="00ED7810" w:rsidTr="00A9390C">
        <w:trPr>
          <w:trHeight w:val="80"/>
        </w:trPr>
        <w:tc>
          <w:tcPr>
            <w:tcW w:w="13266" w:type="dxa"/>
            <w:tcBorders>
              <w:top w:val="nil"/>
              <w:left w:val="nil"/>
              <w:bottom w:val="nil"/>
              <w:right w:val="nil"/>
            </w:tcBorders>
            <w:shd w:val="clear" w:color="auto" w:fill="auto"/>
            <w:noWrap/>
            <w:vAlign w:val="bottom"/>
            <w:hideMark/>
          </w:tcPr>
          <w:p w:rsidR="00ED7810" w:rsidRPr="00ED7810" w:rsidRDefault="00ED7810" w:rsidP="00ED7810">
            <w:pPr>
              <w:widowControl/>
              <w:autoSpaceDE/>
              <w:autoSpaceDN/>
              <w:adjustRightInd/>
              <w:rPr>
                <w:color w:val="000000"/>
                <w:sz w:val="20"/>
                <w:szCs w:val="20"/>
              </w:rPr>
            </w:pPr>
            <w:r w:rsidRPr="00ED7810">
              <w:rPr>
                <w:color w:val="000000"/>
                <w:sz w:val="20"/>
                <w:szCs w:val="20"/>
                <w:vertAlign w:val="superscript"/>
              </w:rPr>
              <w:t>k</w:t>
            </w:r>
            <w:r w:rsidRPr="00ED7810">
              <w:rPr>
                <w:color w:val="000000"/>
                <w:sz w:val="20"/>
                <w:szCs w:val="20"/>
              </w:rPr>
              <w:t xml:space="preserve">  We have assumed that it will take each respondent 1 hour 365 times per year to record the operating parameters for control devices.</w:t>
            </w:r>
          </w:p>
        </w:tc>
      </w:tr>
      <w:tr w:rsidR="00ED7810" w:rsidRPr="00ED7810" w:rsidTr="00681E0A">
        <w:trPr>
          <w:trHeight w:val="330"/>
        </w:trPr>
        <w:tc>
          <w:tcPr>
            <w:tcW w:w="13266" w:type="dxa"/>
            <w:tcBorders>
              <w:top w:val="nil"/>
              <w:left w:val="nil"/>
              <w:bottom w:val="nil"/>
              <w:right w:val="nil"/>
            </w:tcBorders>
            <w:shd w:val="clear" w:color="auto" w:fill="auto"/>
            <w:noWrap/>
            <w:vAlign w:val="bottom"/>
            <w:hideMark/>
          </w:tcPr>
          <w:p w:rsidR="00ED7810" w:rsidRPr="00ED7810" w:rsidRDefault="00ED7810" w:rsidP="00ED7810">
            <w:pPr>
              <w:widowControl/>
              <w:autoSpaceDE/>
              <w:autoSpaceDN/>
              <w:adjustRightInd/>
              <w:rPr>
                <w:color w:val="000000"/>
                <w:sz w:val="20"/>
                <w:szCs w:val="20"/>
              </w:rPr>
            </w:pPr>
            <w:r w:rsidRPr="00ED7810">
              <w:rPr>
                <w:color w:val="000000"/>
                <w:sz w:val="20"/>
                <w:szCs w:val="20"/>
                <w:vertAlign w:val="superscript"/>
              </w:rPr>
              <w:lastRenderedPageBreak/>
              <w:t>l</w:t>
            </w:r>
            <w:r w:rsidRPr="00ED7810">
              <w:rPr>
                <w:color w:val="000000"/>
                <w:sz w:val="20"/>
                <w:szCs w:val="20"/>
              </w:rPr>
              <w:t xml:space="preserve">  We have assumed that it will take each respondent 2 hours 26 times per year to record the SSM plans.</w:t>
            </w:r>
          </w:p>
        </w:tc>
      </w:tr>
      <w:tr w:rsidR="00ED7810" w:rsidRPr="00ED7810" w:rsidTr="00681E0A">
        <w:trPr>
          <w:trHeight w:val="330"/>
        </w:trPr>
        <w:tc>
          <w:tcPr>
            <w:tcW w:w="13266" w:type="dxa"/>
            <w:tcBorders>
              <w:top w:val="nil"/>
              <w:left w:val="nil"/>
              <w:bottom w:val="nil"/>
              <w:right w:val="nil"/>
            </w:tcBorders>
            <w:shd w:val="clear" w:color="auto" w:fill="auto"/>
            <w:noWrap/>
            <w:vAlign w:val="bottom"/>
            <w:hideMark/>
          </w:tcPr>
          <w:p w:rsidR="00372D0B" w:rsidRDefault="00ED7810" w:rsidP="00ED7810">
            <w:pPr>
              <w:widowControl/>
              <w:autoSpaceDE/>
              <w:autoSpaceDN/>
              <w:adjustRightInd/>
              <w:rPr>
                <w:color w:val="000000"/>
                <w:sz w:val="20"/>
                <w:szCs w:val="20"/>
              </w:rPr>
            </w:pPr>
            <w:r w:rsidRPr="00ED7810">
              <w:rPr>
                <w:color w:val="000000"/>
                <w:sz w:val="20"/>
                <w:szCs w:val="20"/>
                <w:vertAlign w:val="superscript"/>
              </w:rPr>
              <w:t>m</w:t>
            </w:r>
            <w:r w:rsidRPr="00ED7810">
              <w:rPr>
                <w:color w:val="000000"/>
                <w:sz w:val="20"/>
                <w:szCs w:val="20"/>
              </w:rPr>
              <w:t xml:space="preserve">  We have assumed that it will take each respondent 16 hours one time per year to record the calibration of CMS. </w:t>
            </w:r>
          </w:p>
          <w:p w:rsidR="00ED7810" w:rsidRPr="00ED7810" w:rsidRDefault="00ED7810" w:rsidP="000C0912">
            <w:pPr>
              <w:widowControl/>
              <w:autoSpaceDE/>
              <w:autoSpaceDN/>
              <w:adjustRightInd/>
              <w:rPr>
                <w:color w:val="000000"/>
                <w:sz w:val="20"/>
                <w:szCs w:val="20"/>
              </w:rPr>
            </w:pPr>
            <w:r w:rsidRPr="00ED7810">
              <w:rPr>
                <w:color w:val="000000"/>
                <w:sz w:val="20"/>
                <w:szCs w:val="20"/>
                <w:vertAlign w:val="superscript"/>
              </w:rPr>
              <w:t>n</w:t>
            </w:r>
            <w:r w:rsidRPr="00ED7810">
              <w:rPr>
                <w:color w:val="000000"/>
                <w:sz w:val="20"/>
                <w:szCs w:val="20"/>
              </w:rPr>
              <w:t xml:space="preserve">  Assumes 2 affirmative defense reports for entire industry during the 3-yr ICR period.  Formulas are not followed for person-hours per year.  For affirmative d</w:t>
            </w:r>
            <w:r w:rsidR="00372D0B">
              <w:rPr>
                <w:color w:val="000000"/>
                <w:sz w:val="20"/>
                <w:szCs w:val="20"/>
              </w:rPr>
              <w:t>efense hours required assumes 1</w:t>
            </w:r>
            <w:r w:rsidR="000C0912">
              <w:rPr>
                <w:color w:val="000000"/>
                <w:sz w:val="20"/>
                <w:szCs w:val="20"/>
              </w:rPr>
              <w:t>8</w:t>
            </w:r>
            <w:r w:rsidR="00372D0B">
              <w:rPr>
                <w:color w:val="000000"/>
                <w:sz w:val="20"/>
                <w:szCs w:val="20"/>
              </w:rPr>
              <w:t xml:space="preserve"> hours technical, </w:t>
            </w:r>
            <w:r w:rsidR="000C0912">
              <w:rPr>
                <w:color w:val="000000"/>
                <w:sz w:val="20"/>
                <w:szCs w:val="20"/>
              </w:rPr>
              <w:t>12</w:t>
            </w:r>
            <w:r w:rsidRPr="00ED7810">
              <w:rPr>
                <w:color w:val="000000"/>
                <w:sz w:val="20"/>
                <w:szCs w:val="20"/>
              </w:rPr>
              <w:t xml:space="preserve"> hours management, 0 clerical for each instance of affirmative defense.</w:t>
            </w:r>
          </w:p>
        </w:tc>
      </w:tr>
    </w:tbl>
    <w:p w:rsidR="00372D0B" w:rsidRDefault="00372D0B">
      <w:pPr>
        <w:tabs>
          <w:tab w:val="left" w:pos="4155"/>
        </w:tabs>
        <w:outlineLvl w:val="0"/>
      </w:pPr>
    </w:p>
    <w:p w:rsidR="00681E0A" w:rsidRDefault="00681E0A">
      <w:pPr>
        <w:widowControl/>
        <w:autoSpaceDE/>
        <w:autoSpaceDN/>
        <w:adjustRightInd/>
        <w:rPr>
          <w:b/>
          <w:bCs/>
          <w:color w:val="000000"/>
        </w:rPr>
      </w:pPr>
      <w:r>
        <w:rPr>
          <w:b/>
          <w:bCs/>
          <w:color w:val="000000"/>
        </w:rPr>
        <w:br w:type="page"/>
      </w:r>
    </w:p>
    <w:p w:rsidR="00A9390C" w:rsidRDefault="005C66DD" w:rsidP="00372D0B">
      <w:pPr>
        <w:jc w:val="center"/>
        <w:outlineLvl w:val="0"/>
        <w:rPr>
          <w:b/>
          <w:bCs/>
          <w:color w:val="000000"/>
        </w:rPr>
      </w:pPr>
      <w:r w:rsidRPr="005C66DD">
        <w:rPr>
          <w:b/>
          <w:bCs/>
          <w:color w:val="000000"/>
        </w:rPr>
        <w:lastRenderedPageBreak/>
        <w:t>Table 2: Average Annual EPA Burden and Cost – NESHAP for Pharmaceuticals Production (40 CFR Part 63, Subpart GGG)</w:t>
      </w:r>
    </w:p>
    <w:p w:rsidR="00372D0B" w:rsidRDefault="005C66DD" w:rsidP="00A9390C">
      <w:pPr>
        <w:outlineLvl w:val="0"/>
        <w:rPr>
          <w:bCs/>
          <w:color w:val="FF0000"/>
        </w:rPr>
      </w:pPr>
      <w:r w:rsidRPr="005C66DD">
        <w:rPr>
          <w:b/>
          <w:bCs/>
          <w:color w:val="000000"/>
        </w:rPr>
        <w:t xml:space="preserve"> (Renewal)</w:t>
      </w:r>
    </w:p>
    <w:p w:rsidR="00144F35" w:rsidRDefault="00144F35" w:rsidP="00F340DF">
      <w:pPr>
        <w:rPr>
          <w:color w:val="000000"/>
        </w:rPr>
      </w:pPr>
    </w:p>
    <w:tbl>
      <w:tblPr>
        <w:tblW w:w="5129" w:type="pct"/>
        <w:tblLook w:val="04A0"/>
      </w:tblPr>
      <w:tblGrid>
        <w:gridCol w:w="4518"/>
        <w:gridCol w:w="1260"/>
        <w:gridCol w:w="1170"/>
        <w:gridCol w:w="1173"/>
        <w:gridCol w:w="988"/>
        <w:gridCol w:w="988"/>
        <w:gridCol w:w="1260"/>
        <w:gridCol w:w="991"/>
        <w:gridCol w:w="1260"/>
      </w:tblGrid>
      <w:tr w:rsidR="00681E0A" w:rsidRPr="00681E0A" w:rsidTr="00A9390C">
        <w:trPr>
          <w:trHeight w:val="1430"/>
          <w:tblHeader/>
        </w:trPr>
        <w:tc>
          <w:tcPr>
            <w:tcW w:w="16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6F91" w:rsidRPr="00681E0A" w:rsidRDefault="008B67A4" w:rsidP="004C6F91">
            <w:pPr>
              <w:widowControl/>
              <w:autoSpaceDE/>
              <w:autoSpaceDN/>
              <w:adjustRightInd/>
              <w:jc w:val="center"/>
              <w:rPr>
                <w:b/>
                <w:bCs/>
                <w:color w:val="000000"/>
                <w:sz w:val="18"/>
                <w:szCs w:val="18"/>
              </w:rPr>
            </w:pPr>
            <w:r w:rsidRPr="00681E0A">
              <w:rPr>
                <w:b/>
                <w:bCs/>
                <w:color w:val="000000"/>
                <w:sz w:val="18"/>
                <w:szCs w:val="18"/>
              </w:rPr>
              <w:t>Activity</w:t>
            </w:r>
          </w:p>
        </w:tc>
        <w:tc>
          <w:tcPr>
            <w:tcW w:w="463" w:type="pct"/>
            <w:tcBorders>
              <w:top w:val="single" w:sz="4" w:space="0" w:color="auto"/>
              <w:left w:val="nil"/>
              <w:bottom w:val="single" w:sz="4" w:space="0" w:color="auto"/>
              <w:right w:val="single" w:sz="4" w:space="0" w:color="auto"/>
            </w:tcBorders>
            <w:shd w:val="clear" w:color="000000" w:fill="auto"/>
            <w:vAlign w:val="center"/>
            <w:hideMark/>
          </w:tcPr>
          <w:p w:rsidR="00372D0B" w:rsidRPr="00681E0A" w:rsidRDefault="008B67A4" w:rsidP="004C6F91">
            <w:pPr>
              <w:widowControl/>
              <w:autoSpaceDE/>
              <w:autoSpaceDN/>
              <w:adjustRightInd/>
              <w:jc w:val="center"/>
              <w:rPr>
                <w:b/>
                <w:bCs/>
                <w:color w:val="000000"/>
                <w:sz w:val="18"/>
                <w:szCs w:val="18"/>
              </w:rPr>
            </w:pPr>
            <w:r w:rsidRPr="00681E0A">
              <w:rPr>
                <w:b/>
                <w:bCs/>
                <w:color w:val="000000"/>
                <w:sz w:val="18"/>
                <w:szCs w:val="18"/>
              </w:rPr>
              <w:t xml:space="preserve">(A) </w:t>
            </w:r>
          </w:p>
          <w:p w:rsidR="004C6F91" w:rsidRPr="00681E0A" w:rsidRDefault="008B67A4" w:rsidP="004C6F91">
            <w:pPr>
              <w:widowControl/>
              <w:autoSpaceDE/>
              <w:autoSpaceDN/>
              <w:adjustRightInd/>
              <w:jc w:val="center"/>
              <w:rPr>
                <w:b/>
                <w:bCs/>
                <w:color w:val="000000"/>
                <w:sz w:val="18"/>
                <w:szCs w:val="18"/>
              </w:rPr>
            </w:pPr>
            <w:r w:rsidRPr="00681E0A">
              <w:rPr>
                <w:b/>
                <w:bCs/>
                <w:color w:val="000000"/>
                <w:sz w:val="18"/>
                <w:szCs w:val="18"/>
              </w:rPr>
              <w:t>EPA person hours per occurrence</w:t>
            </w:r>
          </w:p>
        </w:tc>
        <w:tc>
          <w:tcPr>
            <w:tcW w:w="430" w:type="pct"/>
            <w:tcBorders>
              <w:top w:val="single" w:sz="4" w:space="0" w:color="auto"/>
              <w:left w:val="nil"/>
              <w:bottom w:val="single" w:sz="4" w:space="0" w:color="auto"/>
              <w:right w:val="single" w:sz="4" w:space="0" w:color="auto"/>
            </w:tcBorders>
            <w:shd w:val="clear" w:color="000000" w:fill="auto"/>
            <w:vAlign w:val="center"/>
            <w:hideMark/>
          </w:tcPr>
          <w:p w:rsidR="00372D0B" w:rsidRPr="00681E0A" w:rsidRDefault="008B67A4" w:rsidP="004C6F91">
            <w:pPr>
              <w:widowControl/>
              <w:autoSpaceDE/>
              <w:autoSpaceDN/>
              <w:adjustRightInd/>
              <w:jc w:val="center"/>
              <w:rPr>
                <w:b/>
                <w:bCs/>
                <w:color w:val="000000"/>
                <w:sz w:val="18"/>
                <w:szCs w:val="18"/>
              </w:rPr>
            </w:pPr>
            <w:r w:rsidRPr="00681E0A">
              <w:rPr>
                <w:b/>
                <w:bCs/>
                <w:color w:val="000000"/>
                <w:sz w:val="18"/>
                <w:szCs w:val="18"/>
              </w:rPr>
              <w:t xml:space="preserve">(B) </w:t>
            </w:r>
          </w:p>
          <w:p w:rsidR="004C6F91" w:rsidRPr="00681E0A" w:rsidRDefault="008B67A4" w:rsidP="004C6F91">
            <w:pPr>
              <w:widowControl/>
              <w:autoSpaceDE/>
              <w:autoSpaceDN/>
              <w:adjustRightInd/>
              <w:jc w:val="center"/>
              <w:rPr>
                <w:b/>
                <w:bCs/>
                <w:color w:val="000000"/>
                <w:sz w:val="18"/>
                <w:szCs w:val="18"/>
              </w:rPr>
            </w:pPr>
            <w:r w:rsidRPr="00681E0A">
              <w:rPr>
                <w:b/>
                <w:bCs/>
                <w:color w:val="000000"/>
                <w:sz w:val="18"/>
                <w:szCs w:val="18"/>
              </w:rPr>
              <w:t>No. of occurrences per plant per year</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681E0A" w:rsidRDefault="008B67A4" w:rsidP="004C6F91">
            <w:pPr>
              <w:widowControl/>
              <w:autoSpaceDE/>
              <w:autoSpaceDN/>
              <w:adjustRightInd/>
              <w:jc w:val="center"/>
              <w:rPr>
                <w:b/>
                <w:bCs/>
                <w:color w:val="000000"/>
                <w:sz w:val="18"/>
                <w:szCs w:val="18"/>
              </w:rPr>
            </w:pPr>
            <w:r w:rsidRPr="00681E0A">
              <w:rPr>
                <w:b/>
                <w:bCs/>
                <w:color w:val="000000"/>
                <w:sz w:val="18"/>
                <w:szCs w:val="18"/>
              </w:rPr>
              <w:t xml:space="preserve">(C) </w:t>
            </w:r>
          </w:p>
          <w:p w:rsidR="00681E0A" w:rsidRDefault="008B67A4" w:rsidP="004C6F91">
            <w:pPr>
              <w:widowControl/>
              <w:autoSpaceDE/>
              <w:autoSpaceDN/>
              <w:adjustRightInd/>
              <w:jc w:val="center"/>
              <w:rPr>
                <w:b/>
                <w:bCs/>
                <w:color w:val="000000"/>
                <w:sz w:val="18"/>
                <w:szCs w:val="18"/>
              </w:rPr>
            </w:pPr>
            <w:r w:rsidRPr="00681E0A">
              <w:rPr>
                <w:b/>
                <w:bCs/>
                <w:color w:val="000000"/>
                <w:sz w:val="18"/>
                <w:szCs w:val="18"/>
              </w:rPr>
              <w:t xml:space="preserve">EPA person hours per plant per year </w:t>
            </w:r>
          </w:p>
          <w:p w:rsidR="004C6F91" w:rsidRPr="00681E0A" w:rsidRDefault="008B67A4" w:rsidP="004C6F91">
            <w:pPr>
              <w:widowControl/>
              <w:autoSpaceDE/>
              <w:autoSpaceDN/>
              <w:adjustRightInd/>
              <w:jc w:val="center"/>
              <w:rPr>
                <w:b/>
                <w:bCs/>
                <w:color w:val="000000"/>
                <w:sz w:val="18"/>
                <w:szCs w:val="18"/>
              </w:rPr>
            </w:pPr>
            <w:r w:rsidRPr="00681E0A">
              <w:rPr>
                <w:b/>
                <w:bCs/>
                <w:color w:val="000000"/>
                <w:sz w:val="18"/>
                <w:szCs w:val="18"/>
              </w:rPr>
              <w:t>(A x B)</w:t>
            </w:r>
          </w:p>
        </w:tc>
        <w:tc>
          <w:tcPr>
            <w:tcW w:w="363" w:type="pct"/>
            <w:tcBorders>
              <w:top w:val="single" w:sz="4" w:space="0" w:color="auto"/>
              <w:left w:val="nil"/>
              <w:bottom w:val="single" w:sz="4" w:space="0" w:color="auto"/>
              <w:right w:val="single" w:sz="4" w:space="0" w:color="auto"/>
            </w:tcBorders>
            <w:shd w:val="clear" w:color="000000" w:fill="auto"/>
            <w:vAlign w:val="center"/>
            <w:hideMark/>
          </w:tcPr>
          <w:p w:rsidR="004C6F91" w:rsidRPr="00681E0A" w:rsidRDefault="008B67A4" w:rsidP="004C6F91">
            <w:pPr>
              <w:widowControl/>
              <w:autoSpaceDE/>
              <w:autoSpaceDN/>
              <w:adjustRightInd/>
              <w:jc w:val="center"/>
              <w:rPr>
                <w:b/>
                <w:bCs/>
                <w:color w:val="000000"/>
                <w:sz w:val="18"/>
                <w:szCs w:val="18"/>
              </w:rPr>
            </w:pPr>
            <w:r w:rsidRPr="00681E0A">
              <w:rPr>
                <w:b/>
                <w:bCs/>
                <w:color w:val="000000"/>
                <w:sz w:val="18"/>
                <w:szCs w:val="18"/>
              </w:rPr>
              <w:t>(D) Plants per year (a)</w:t>
            </w:r>
          </w:p>
        </w:tc>
        <w:tc>
          <w:tcPr>
            <w:tcW w:w="363" w:type="pct"/>
            <w:tcBorders>
              <w:top w:val="single" w:sz="4" w:space="0" w:color="auto"/>
              <w:left w:val="nil"/>
              <w:bottom w:val="single" w:sz="4" w:space="0" w:color="auto"/>
              <w:right w:val="single" w:sz="4" w:space="0" w:color="auto"/>
            </w:tcBorders>
            <w:shd w:val="clear" w:color="auto" w:fill="auto"/>
            <w:vAlign w:val="center"/>
            <w:hideMark/>
          </w:tcPr>
          <w:p w:rsidR="004C6F91" w:rsidRPr="00681E0A" w:rsidRDefault="008B67A4" w:rsidP="004C6F91">
            <w:pPr>
              <w:widowControl/>
              <w:autoSpaceDE/>
              <w:autoSpaceDN/>
              <w:adjustRightInd/>
              <w:jc w:val="center"/>
              <w:rPr>
                <w:b/>
                <w:bCs/>
                <w:color w:val="000000"/>
                <w:sz w:val="18"/>
                <w:szCs w:val="18"/>
              </w:rPr>
            </w:pPr>
            <w:r w:rsidRPr="00681E0A">
              <w:rPr>
                <w:b/>
                <w:bCs/>
                <w:color w:val="000000"/>
                <w:sz w:val="18"/>
                <w:szCs w:val="18"/>
              </w:rPr>
              <w:t>(E) Technical person-hours per year (CxD)</w:t>
            </w:r>
          </w:p>
        </w:tc>
        <w:tc>
          <w:tcPr>
            <w:tcW w:w="463" w:type="pct"/>
            <w:tcBorders>
              <w:top w:val="single" w:sz="4" w:space="0" w:color="auto"/>
              <w:left w:val="nil"/>
              <w:bottom w:val="single" w:sz="4" w:space="0" w:color="auto"/>
              <w:right w:val="single" w:sz="4" w:space="0" w:color="auto"/>
            </w:tcBorders>
            <w:shd w:val="clear" w:color="auto" w:fill="auto"/>
            <w:vAlign w:val="center"/>
            <w:hideMark/>
          </w:tcPr>
          <w:p w:rsidR="004C6F91" w:rsidRPr="00681E0A" w:rsidRDefault="008B67A4" w:rsidP="004C6F91">
            <w:pPr>
              <w:widowControl/>
              <w:autoSpaceDE/>
              <w:autoSpaceDN/>
              <w:adjustRightInd/>
              <w:jc w:val="center"/>
              <w:rPr>
                <w:b/>
                <w:bCs/>
                <w:color w:val="000000"/>
                <w:sz w:val="18"/>
                <w:szCs w:val="18"/>
              </w:rPr>
            </w:pPr>
            <w:r w:rsidRPr="00681E0A">
              <w:rPr>
                <w:b/>
                <w:bCs/>
                <w:color w:val="000000"/>
                <w:sz w:val="18"/>
                <w:szCs w:val="18"/>
              </w:rPr>
              <w:t>(F) Management person hours per year (Ex0.05)</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4C6F91" w:rsidRPr="00681E0A" w:rsidRDefault="008B67A4" w:rsidP="004C6F91">
            <w:pPr>
              <w:widowControl/>
              <w:autoSpaceDE/>
              <w:autoSpaceDN/>
              <w:adjustRightInd/>
              <w:jc w:val="center"/>
              <w:rPr>
                <w:b/>
                <w:bCs/>
                <w:color w:val="000000"/>
                <w:sz w:val="18"/>
                <w:szCs w:val="18"/>
              </w:rPr>
            </w:pPr>
            <w:r w:rsidRPr="00681E0A">
              <w:rPr>
                <w:b/>
                <w:bCs/>
                <w:color w:val="000000"/>
                <w:sz w:val="18"/>
                <w:szCs w:val="18"/>
              </w:rPr>
              <w:t>(G) Clerical person hours per year (Ex0.1)</w:t>
            </w:r>
          </w:p>
        </w:tc>
        <w:tc>
          <w:tcPr>
            <w:tcW w:w="463" w:type="pct"/>
            <w:tcBorders>
              <w:top w:val="single" w:sz="4" w:space="0" w:color="auto"/>
              <w:left w:val="nil"/>
              <w:bottom w:val="single" w:sz="4" w:space="0" w:color="auto"/>
              <w:right w:val="single" w:sz="4" w:space="0" w:color="auto"/>
            </w:tcBorders>
            <w:shd w:val="clear" w:color="auto" w:fill="auto"/>
            <w:vAlign w:val="center"/>
            <w:hideMark/>
          </w:tcPr>
          <w:p w:rsidR="00372D0B" w:rsidRPr="00681E0A" w:rsidRDefault="008B67A4" w:rsidP="004C6F91">
            <w:pPr>
              <w:widowControl/>
              <w:autoSpaceDE/>
              <w:autoSpaceDN/>
              <w:adjustRightInd/>
              <w:jc w:val="center"/>
              <w:rPr>
                <w:b/>
                <w:bCs/>
                <w:color w:val="000000"/>
                <w:sz w:val="18"/>
                <w:szCs w:val="18"/>
              </w:rPr>
            </w:pPr>
            <w:r w:rsidRPr="00681E0A">
              <w:rPr>
                <w:b/>
                <w:bCs/>
                <w:color w:val="000000"/>
                <w:sz w:val="18"/>
                <w:szCs w:val="18"/>
              </w:rPr>
              <w:t xml:space="preserve">(H) </w:t>
            </w:r>
          </w:p>
          <w:p w:rsidR="004C6F91" w:rsidRPr="00681E0A" w:rsidRDefault="008B67A4" w:rsidP="004C6F91">
            <w:pPr>
              <w:widowControl/>
              <w:autoSpaceDE/>
              <w:autoSpaceDN/>
              <w:adjustRightInd/>
              <w:jc w:val="center"/>
              <w:rPr>
                <w:b/>
                <w:bCs/>
                <w:color w:val="000000"/>
                <w:sz w:val="18"/>
                <w:szCs w:val="18"/>
              </w:rPr>
            </w:pPr>
            <w:r w:rsidRPr="00681E0A">
              <w:rPr>
                <w:b/>
                <w:bCs/>
                <w:color w:val="000000"/>
                <w:sz w:val="18"/>
                <w:szCs w:val="18"/>
              </w:rPr>
              <w:t>Cost, $ (b)</w:t>
            </w:r>
          </w:p>
        </w:tc>
      </w:tr>
      <w:tr w:rsidR="00681E0A" w:rsidRPr="00681E0A" w:rsidTr="00A9390C">
        <w:trPr>
          <w:trHeight w:val="170"/>
        </w:trPr>
        <w:tc>
          <w:tcPr>
            <w:tcW w:w="1660" w:type="pct"/>
            <w:tcBorders>
              <w:top w:val="nil"/>
              <w:left w:val="single" w:sz="4" w:space="0" w:color="auto"/>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1. Required activities</w:t>
            </w:r>
          </w:p>
        </w:tc>
        <w:tc>
          <w:tcPr>
            <w:tcW w:w="463" w:type="pct"/>
            <w:tcBorders>
              <w:top w:val="nil"/>
              <w:left w:val="nil"/>
              <w:bottom w:val="single" w:sz="4" w:space="0" w:color="auto"/>
              <w:right w:val="nil"/>
            </w:tcBorders>
            <w:shd w:val="clear" w:color="000000"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430" w:type="pct"/>
            <w:tcBorders>
              <w:top w:val="nil"/>
              <w:left w:val="nil"/>
              <w:bottom w:val="single" w:sz="4" w:space="0" w:color="auto"/>
              <w:right w:val="nil"/>
            </w:tcBorders>
            <w:shd w:val="clear" w:color="000000"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431" w:type="pct"/>
            <w:tcBorders>
              <w:top w:val="nil"/>
              <w:left w:val="nil"/>
              <w:bottom w:val="single" w:sz="4" w:space="0" w:color="auto"/>
              <w:right w:val="nil"/>
            </w:tcBorders>
            <w:shd w:val="clear" w:color="auto"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363" w:type="pct"/>
            <w:tcBorders>
              <w:top w:val="nil"/>
              <w:left w:val="nil"/>
              <w:bottom w:val="single" w:sz="4" w:space="0" w:color="auto"/>
              <w:right w:val="nil"/>
            </w:tcBorders>
            <w:shd w:val="clear" w:color="000000"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363" w:type="pct"/>
            <w:tcBorders>
              <w:top w:val="nil"/>
              <w:left w:val="nil"/>
              <w:bottom w:val="single" w:sz="4" w:space="0" w:color="auto"/>
              <w:right w:val="nil"/>
            </w:tcBorders>
            <w:shd w:val="clear" w:color="auto"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463" w:type="pct"/>
            <w:tcBorders>
              <w:top w:val="nil"/>
              <w:left w:val="nil"/>
              <w:bottom w:val="single" w:sz="4" w:space="0" w:color="auto"/>
              <w:right w:val="nil"/>
            </w:tcBorders>
            <w:shd w:val="clear" w:color="auto"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364" w:type="pct"/>
            <w:tcBorders>
              <w:top w:val="nil"/>
              <w:left w:val="nil"/>
              <w:bottom w:val="single" w:sz="4" w:space="0" w:color="auto"/>
              <w:right w:val="nil"/>
            </w:tcBorders>
            <w:shd w:val="clear" w:color="auto"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4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r>
      <w:tr w:rsidR="00681E0A" w:rsidRPr="00681E0A" w:rsidTr="00A9390C">
        <w:trPr>
          <w:trHeight w:val="233"/>
        </w:trPr>
        <w:tc>
          <w:tcPr>
            <w:tcW w:w="1660" w:type="pct"/>
            <w:tcBorders>
              <w:top w:val="nil"/>
              <w:left w:val="single" w:sz="4" w:space="0" w:color="auto"/>
              <w:bottom w:val="single" w:sz="4" w:space="0" w:color="auto"/>
              <w:right w:val="single" w:sz="4" w:space="0" w:color="auto"/>
            </w:tcBorders>
            <w:shd w:val="clear" w:color="auto" w:fill="auto"/>
            <w:noWrap/>
            <w:vAlign w:val="bottom"/>
            <w:hideMark/>
          </w:tcPr>
          <w:p w:rsidR="008B67A4" w:rsidRPr="00681E0A" w:rsidRDefault="008B67A4" w:rsidP="00681E0A">
            <w:pPr>
              <w:widowControl/>
              <w:autoSpaceDE/>
              <w:autoSpaceDN/>
              <w:adjustRightInd/>
              <w:ind w:firstLineChars="200" w:firstLine="360"/>
              <w:rPr>
                <w:color w:val="000000"/>
                <w:sz w:val="18"/>
                <w:szCs w:val="18"/>
              </w:rPr>
            </w:pPr>
            <w:r w:rsidRPr="00681E0A">
              <w:rPr>
                <w:color w:val="000000"/>
                <w:sz w:val="18"/>
                <w:szCs w:val="18"/>
              </w:rPr>
              <w:t xml:space="preserve">i. Initial performance tests (c) </w:t>
            </w:r>
          </w:p>
        </w:tc>
        <w:tc>
          <w:tcPr>
            <w:tcW w:w="463" w:type="pct"/>
            <w:tcBorders>
              <w:top w:val="nil"/>
              <w:left w:val="nil"/>
              <w:bottom w:val="single" w:sz="4" w:space="0" w:color="auto"/>
              <w:right w:val="single" w:sz="4" w:space="0" w:color="auto"/>
            </w:tcBorders>
            <w:shd w:val="clear" w:color="000000"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2</w:t>
            </w:r>
          </w:p>
        </w:tc>
        <w:tc>
          <w:tcPr>
            <w:tcW w:w="430" w:type="pct"/>
            <w:tcBorders>
              <w:top w:val="nil"/>
              <w:left w:val="nil"/>
              <w:bottom w:val="single" w:sz="4" w:space="0" w:color="auto"/>
              <w:right w:val="single" w:sz="4" w:space="0" w:color="auto"/>
            </w:tcBorders>
            <w:shd w:val="clear" w:color="000000"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1</w:t>
            </w:r>
          </w:p>
        </w:tc>
        <w:tc>
          <w:tcPr>
            <w:tcW w:w="431"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2</w:t>
            </w:r>
          </w:p>
        </w:tc>
        <w:tc>
          <w:tcPr>
            <w:tcW w:w="363" w:type="pct"/>
            <w:tcBorders>
              <w:top w:val="nil"/>
              <w:left w:val="nil"/>
              <w:bottom w:val="single" w:sz="4" w:space="0" w:color="auto"/>
              <w:right w:val="single" w:sz="4" w:space="0" w:color="auto"/>
            </w:tcBorders>
            <w:shd w:val="clear" w:color="000000"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c>
          <w:tcPr>
            <w:tcW w:w="3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c>
          <w:tcPr>
            <w:tcW w:w="4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c>
          <w:tcPr>
            <w:tcW w:w="364"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c>
          <w:tcPr>
            <w:tcW w:w="4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r>
      <w:tr w:rsidR="00681E0A" w:rsidRPr="00681E0A" w:rsidTr="00A9390C">
        <w:trPr>
          <w:trHeight w:val="170"/>
        </w:trPr>
        <w:tc>
          <w:tcPr>
            <w:tcW w:w="1660" w:type="pct"/>
            <w:tcBorders>
              <w:top w:val="nil"/>
              <w:left w:val="single" w:sz="4" w:space="0" w:color="auto"/>
              <w:bottom w:val="single" w:sz="4" w:space="0" w:color="auto"/>
              <w:right w:val="single" w:sz="4" w:space="0" w:color="auto"/>
            </w:tcBorders>
            <w:shd w:val="clear" w:color="auto" w:fill="auto"/>
            <w:noWrap/>
            <w:vAlign w:val="bottom"/>
            <w:hideMark/>
          </w:tcPr>
          <w:p w:rsidR="008B67A4" w:rsidRPr="00681E0A" w:rsidRDefault="008B67A4" w:rsidP="00681E0A">
            <w:pPr>
              <w:widowControl/>
              <w:autoSpaceDE/>
              <w:autoSpaceDN/>
              <w:adjustRightInd/>
              <w:ind w:firstLineChars="200" w:firstLine="360"/>
              <w:rPr>
                <w:color w:val="000000"/>
                <w:sz w:val="18"/>
                <w:szCs w:val="18"/>
              </w:rPr>
            </w:pPr>
            <w:r w:rsidRPr="00681E0A">
              <w:rPr>
                <w:color w:val="000000"/>
                <w:sz w:val="18"/>
                <w:szCs w:val="18"/>
              </w:rPr>
              <w:t>ii. Repeat performance test (d)</w:t>
            </w:r>
          </w:p>
        </w:tc>
        <w:tc>
          <w:tcPr>
            <w:tcW w:w="463" w:type="pct"/>
            <w:tcBorders>
              <w:top w:val="nil"/>
              <w:left w:val="nil"/>
              <w:bottom w:val="single" w:sz="4" w:space="0" w:color="auto"/>
              <w:right w:val="single" w:sz="4" w:space="0" w:color="auto"/>
            </w:tcBorders>
            <w:shd w:val="clear" w:color="000000"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24</w:t>
            </w:r>
          </w:p>
        </w:tc>
        <w:tc>
          <w:tcPr>
            <w:tcW w:w="430" w:type="pct"/>
            <w:tcBorders>
              <w:top w:val="nil"/>
              <w:left w:val="nil"/>
              <w:bottom w:val="single" w:sz="4" w:space="0" w:color="auto"/>
              <w:right w:val="single" w:sz="4" w:space="0" w:color="auto"/>
            </w:tcBorders>
            <w:shd w:val="clear" w:color="000000"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1</w:t>
            </w:r>
          </w:p>
        </w:tc>
        <w:tc>
          <w:tcPr>
            <w:tcW w:w="431"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24</w:t>
            </w:r>
          </w:p>
        </w:tc>
        <w:tc>
          <w:tcPr>
            <w:tcW w:w="363" w:type="pct"/>
            <w:tcBorders>
              <w:top w:val="nil"/>
              <w:left w:val="nil"/>
              <w:bottom w:val="single" w:sz="4" w:space="0" w:color="auto"/>
              <w:right w:val="single" w:sz="4" w:space="0" w:color="auto"/>
            </w:tcBorders>
            <w:shd w:val="clear" w:color="000000"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c>
          <w:tcPr>
            <w:tcW w:w="3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c>
          <w:tcPr>
            <w:tcW w:w="4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c>
          <w:tcPr>
            <w:tcW w:w="364"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c>
          <w:tcPr>
            <w:tcW w:w="4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r>
      <w:tr w:rsidR="00681E0A" w:rsidRPr="00681E0A" w:rsidTr="00A9390C">
        <w:trPr>
          <w:trHeight w:val="125"/>
        </w:trPr>
        <w:tc>
          <w:tcPr>
            <w:tcW w:w="1660" w:type="pct"/>
            <w:tcBorders>
              <w:top w:val="nil"/>
              <w:left w:val="single" w:sz="4" w:space="0" w:color="auto"/>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2. Report review - one time</w:t>
            </w:r>
          </w:p>
        </w:tc>
        <w:tc>
          <w:tcPr>
            <w:tcW w:w="463" w:type="pct"/>
            <w:tcBorders>
              <w:top w:val="nil"/>
              <w:left w:val="nil"/>
              <w:bottom w:val="single" w:sz="4" w:space="0" w:color="auto"/>
              <w:right w:val="nil"/>
            </w:tcBorders>
            <w:shd w:val="clear" w:color="000000"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430" w:type="pct"/>
            <w:tcBorders>
              <w:top w:val="nil"/>
              <w:left w:val="nil"/>
              <w:bottom w:val="single" w:sz="4" w:space="0" w:color="auto"/>
              <w:right w:val="nil"/>
            </w:tcBorders>
            <w:shd w:val="clear" w:color="000000"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431" w:type="pct"/>
            <w:tcBorders>
              <w:top w:val="nil"/>
              <w:left w:val="nil"/>
              <w:bottom w:val="single" w:sz="4" w:space="0" w:color="auto"/>
              <w:right w:val="nil"/>
            </w:tcBorders>
            <w:shd w:val="clear" w:color="auto"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363" w:type="pct"/>
            <w:tcBorders>
              <w:top w:val="nil"/>
              <w:left w:val="nil"/>
              <w:bottom w:val="single" w:sz="4" w:space="0" w:color="auto"/>
              <w:right w:val="nil"/>
            </w:tcBorders>
            <w:shd w:val="clear" w:color="000000"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363" w:type="pct"/>
            <w:tcBorders>
              <w:top w:val="nil"/>
              <w:left w:val="nil"/>
              <w:bottom w:val="single" w:sz="4" w:space="0" w:color="auto"/>
              <w:right w:val="nil"/>
            </w:tcBorders>
            <w:shd w:val="clear" w:color="auto"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463" w:type="pct"/>
            <w:tcBorders>
              <w:top w:val="nil"/>
              <w:left w:val="nil"/>
              <w:bottom w:val="single" w:sz="4" w:space="0" w:color="auto"/>
              <w:right w:val="nil"/>
            </w:tcBorders>
            <w:shd w:val="clear" w:color="auto"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364" w:type="pct"/>
            <w:tcBorders>
              <w:top w:val="nil"/>
              <w:left w:val="nil"/>
              <w:bottom w:val="single" w:sz="4" w:space="0" w:color="auto"/>
              <w:right w:val="nil"/>
            </w:tcBorders>
            <w:shd w:val="clear" w:color="auto"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4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r>
      <w:tr w:rsidR="00681E0A" w:rsidRPr="00681E0A" w:rsidTr="00A9390C">
        <w:trPr>
          <w:trHeight w:val="188"/>
        </w:trPr>
        <w:tc>
          <w:tcPr>
            <w:tcW w:w="1660" w:type="pct"/>
            <w:tcBorders>
              <w:top w:val="nil"/>
              <w:left w:val="single" w:sz="4" w:space="0" w:color="auto"/>
              <w:bottom w:val="single" w:sz="4" w:space="0" w:color="auto"/>
              <w:right w:val="single" w:sz="4" w:space="0" w:color="auto"/>
            </w:tcBorders>
            <w:shd w:val="clear" w:color="auto" w:fill="auto"/>
            <w:noWrap/>
            <w:vAlign w:val="bottom"/>
            <w:hideMark/>
          </w:tcPr>
          <w:p w:rsidR="008B67A4" w:rsidRPr="00681E0A" w:rsidRDefault="008B67A4" w:rsidP="00681E0A">
            <w:pPr>
              <w:widowControl/>
              <w:autoSpaceDE/>
              <w:autoSpaceDN/>
              <w:adjustRightInd/>
              <w:ind w:firstLineChars="200" w:firstLine="360"/>
              <w:rPr>
                <w:color w:val="000000"/>
                <w:sz w:val="18"/>
                <w:szCs w:val="18"/>
              </w:rPr>
            </w:pPr>
            <w:r w:rsidRPr="00681E0A">
              <w:rPr>
                <w:color w:val="000000"/>
                <w:sz w:val="18"/>
                <w:szCs w:val="18"/>
              </w:rPr>
              <w:t xml:space="preserve">i. Notification of construction/reconstruction </w:t>
            </w:r>
          </w:p>
        </w:tc>
        <w:tc>
          <w:tcPr>
            <w:tcW w:w="463" w:type="pct"/>
            <w:tcBorders>
              <w:top w:val="nil"/>
              <w:left w:val="nil"/>
              <w:bottom w:val="single" w:sz="4" w:space="0" w:color="auto"/>
              <w:right w:val="single" w:sz="4" w:space="0" w:color="auto"/>
            </w:tcBorders>
            <w:shd w:val="clear" w:color="000000"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2</w:t>
            </w:r>
          </w:p>
        </w:tc>
        <w:tc>
          <w:tcPr>
            <w:tcW w:w="430" w:type="pct"/>
            <w:tcBorders>
              <w:top w:val="nil"/>
              <w:left w:val="nil"/>
              <w:bottom w:val="single" w:sz="4" w:space="0" w:color="auto"/>
              <w:right w:val="single" w:sz="4" w:space="0" w:color="auto"/>
            </w:tcBorders>
            <w:shd w:val="clear" w:color="000000"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1</w:t>
            </w:r>
          </w:p>
        </w:tc>
        <w:tc>
          <w:tcPr>
            <w:tcW w:w="431"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2</w:t>
            </w:r>
          </w:p>
        </w:tc>
        <w:tc>
          <w:tcPr>
            <w:tcW w:w="363" w:type="pct"/>
            <w:tcBorders>
              <w:top w:val="nil"/>
              <w:left w:val="nil"/>
              <w:bottom w:val="single" w:sz="4" w:space="0" w:color="auto"/>
              <w:right w:val="single" w:sz="4" w:space="0" w:color="auto"/>
            </w:tcBorders>
            <w:shd w:val="clear" w:color="000000"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c>
          <w:tcPr>
            <w:tcW w:w="3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c>
          <w:tcPr>
            <w:tcW w:w="4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c>
          <w:tcPr>
            <w:tcW w:w="364"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c>
          <w:tcPr>
            <w:tcW w:w="4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r>
      <w:tr w:rsidR="00681E0A" w:rsidRPr="00681E0A" w:rsidTr="00A9390C">
        <w:trPr>
          <w:trHeight w:val="143"/>
        </w:trPr>
        <w:tc>
          <w:tcPr>
            <w:tcW w:w="1660" w:type="pct"/>
            <w:tcBorders>
              <w:top w:val="nil"/>
              <w:left w:val="single" w:sz="4" w:space="0" w:color="auto"/>
              <w:bottom w:val="single" w:sz="4" w:space="0" w:color="auto"/>
              <w:right w:val="single" w:sz="4" w:space="0" w:color="auto"/>
            </w:tcBorders>
            <w:shd w:val="clear" w:color="auto" w:fill="auto"/>
            <w:noWrap/>
            <w:vAlign w:val="bottom"/>
            <w:hideMark/>
          </w:tcPr>
          <w:p w:rsidR="008B67A4" w:rsidRPr="00681E0A" w:rsidRDefault="008B67A4" w:rsidP="00681E0A">
            <w:pPr>
              <w:widowControl/>
              <w:autoSpaceDE/>
              <w:autoSpaceDN/>
              <w:adjustRightInd/>
              <w:ind w:firstLineChars="200" w:firstLine="360"/>
              <w:rPr>
                <w:color w:val="000000"/>
                <w:sz w:val="18"/>
                <w:szCs w:val="18"/>
              </w:rPr>
            </w:pPr>
            <w:r w:rsidRPr="00681E0A">
              <w:rPr>
                <w:color w:val="000000"/>
                <w:sz w:val="18"/>
                <w:szCs w:val="18"/>
              </w:rPr>
              <w:t>ii. Notification of actual startup</w:t>
            </w:r>
          </w:p>
        </w:tc>
        <w:tc>
          <w:tcPr>
            <w:tcW w:w="463" w:type="pct"/>
            <w:tcBorders>
              <w:top w:val="nil"/>
              <w:left w:val="nil"/>
              <w:bottom w:val="single" w:sz="4" w:space="0" w:color="auto"/>
              <w:right w:val="single" w:sz="4" w:space="0" w:color="auto"/>
            </w:tcBorders>
            <w:shd w:val="clear" w:color="000000"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2</w:t>
            </w:r>
          </w:p>
        </w:tc>
        <w:tc>
          <w:tcPr>
            <w:tcW w:w="430" w:type="pct"/>
            <w:tcBorders>
              <w:top w:val="nil"/>
              <w:left w:val="nil"/>
              <w:bottom w:val="single" w:sz="4" w:space="0" w:color="auto"/>
              <w:right w:val="single" w:sz="4" w:space="0" w:color="auto"/>
            </w:tcBorders>
            <w:shd w:val="clear" w:color="000000"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1</w:t>
            </w:r>
          </w:p>
        </w:tc>
        <w:tc>
          <w:tcPr>
            <w:tcW w:w="431"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2</w:t>
            </w:r>
          </w:p>
        </w:tc>
        <w:tc>
          <w:tcPr>
            <w:tcW w:w="363" w:type="pct"/>
            <w:tcBorders>
              <w:top w:val="nil"/>
              <w:left w:val="nil"/>
              <w:bottom w:val="single" w:sz="4" w:space="0" w:color="auto"/>
              <w:right w:val="single" w:sz="4" w:space="0" w:color="auto"/>
            </w:tcBorders>
            <w:shd w:val="clear" w:color="000000"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c>
          <w:tcPr>
            <w:tcW w:w="3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c>
          <w:tcPr>
            <w:tcW w:w="4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c>
          <w:tcPr>
            <w:tcW w:w="364"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c>
          <w:tcPr>
            <w:tcW w:w="4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r>
      <w:tr w:rsidR="00681E0A" w:rsidRPr="00681E0A" w:rsidTr="00A9390C">
        <w:trPr>
          <w:trHeight w:val="107"/>
        </w:trPr>
        <w:tc>
          <w:tcPr>
            <w:tcW w:w="1660" w:type="pct"/>
            <w:tcBorders>
              <w:top w:val="nil"/>
              <w:left w:val="single" w:sz="4" w:space="0" w:color="auto"/>
              <w:bottom w:val="single" w:sz="4" w:space="0" w:color="auto"/>
              <w:right w:val="single" w:sz="4" w:space="0" w:color="auto"/>
            </w:tcBorders>
            <w:shd w:val="clear" w:color="auto" w:fill="auto"/>
            <w:noWrap/>
            <w:vAlign w:val="bottom"/>
            <w:hideMark/>
          </w:tcPr>
          <w:p w:rsidR="008B67A4" w:rsidRPr="00681E0A" w:rsidRDefault="008B67A4" w:rsidP="00681E0A">
            <w:pPr>
              <w:widowControl/>
              <w:autoSpaceDE/>
              <w:autoSpaceDN/>
              <w:adjustRightInd/>
              <w:ind w:firstLineChars="200" w:firstLine="360"/>
              <w:rPr>
                <w:color w:val="000000"/>
                <w:sz w:val="18"/>
                <w:szCs w:val="18"/>
              </w:rPr>
            </w:pPr>
            <w:r w:rsidRPr="00681E0A">
              <w:rPr>
                <w:color w:val="000000"/>
                <w:sz w:val="18"/>
                <w:szCs w:val="18"/>
              </w:rPr>
              <w:t>iii. Notification of demonstration of CMS</w:t>
            </w:r>
          </w:p>
        </w:tc>
        <w:tc>
          <w:tcPr>
            <w:tcW w:w="463" w:type="pct"/>
            <w:tcBorders>
              <w:top w:val="nil"/>
              <w:left w:val="nil"/>
              <w:bottom w:val="single" w:sz="4" w:space="0" w:color="auto"/>
              <w:right w:val="single" w:sz="4" w:space="0" w:color="auto"/>
            </w:tcBorders>
            <w:shd w:val="clear" w:color="000000"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2</w:t>
            </w:r>
          </w:p>
        </w:tc>
        <w:tc>
          <w:tcPr>
            <w:tcW w:w="430" w:type="pct"/>
            <w:tcBorders>
              <w:top w:val="nil"/>
              <w:left w:val="nil"/>
              <w:bottom w:val="single" w:sz="4" w:space="0" w:color="auto"/>
              <w:right w:val="single" w:sz="4" w:space="0" w:color="auto"/>
            </w:tcBorders>
            <w:shd w:val="clear" w:color="000000"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1</w:t>
            </w:r>
          </w:p>
        </w:tc>
        <w:tc>
          <w:tcPr>
            <w:tcW w:w="431"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2</w:t>
            </w:r>
          </w:p>
        </w:tc>
        <w:tc>
          <w:tcPr>
            <w:tcW w:w="363" w:type="pct"/>
            <w:tcBorders>
              <w:top w:val="nil"/>
              <w:left w:val="nil"/>
              <w:bottom w:val="single" w:sz="4" w:space="0" w:color="auto"/>
              <w:right w:val="single" w:sz="4" w:space="0" w:color="auto"/>
            </w:tcBorders>
            <w:shd w:val="clear" w:color="000000"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c>
          <w:tcPr>
            <w:tcW w:w="3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c>
          <w:tcPr>
            <w:tcW w:w="4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c>
          <w:tcPr>
            <w:tcW w:w="364"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c>
          <w:tcPr>
            <w:tcW w:w="4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r>
      <w:tr w:rsidR="00681E0A" w:rsidRPr="00681E0A" w:rsidTr="00A9390C">
        <w:trPr>
          <w:trHeight w:val="152"/>
        </w:trPr>
        <w:tc>
          <w:tcPr>
            <w:tcW w:w="1660" w:type="pct"/>
            <w:tcBorders>
              <w:top w:val="nil"/>
              <w:left w:val="single" w:sz="4" w:space="0" w:color="auto"/>
              <w:bottom w:val="single" w:sz="4" w:space="0" w:color="auto"/>
              <w:right w:val="single" w:sz="4" w:space="0" w:color="auto"/>
            </w:tcBorders>
            <w:shd w:val="clear" w:color="auto" w:fill="auto"/>
            <w:noWrap/>
            <w:vAlign w:val="bottom"/>
            <w:hideMark/>
          </w:tcPr>
          <w:p w:rsidR="008B67A4" w:rsidRPr="00681E0A" w:rsidRDefault="008B67A4" w:rsidP="00681E0A">
            <w:pPr>
              <w:widowControl/>
              <w:autoSpaceDE/>
              <w:autoSpaceDN/>
              <w:adjustRightInd/>
              <w:ind w:firstLineChars="200" w:firstLine="360"/>
              <w:rPr>
                <w:color w:val="000000"/>
                <w:sz w:val="18"/>
                <w:szCs w:val="18"/>
              </w:rPr>
            </w:pPr>
            <w:r w:rsidRPr="00681E0A">
              <w:rPr>
                <w:color w:val="000000"/>
                <w:sz w:val="18"/>
                <w:szCs w:val="18"/>
              </w:rPr>
              <w:t>iv. Initial notification</w:t>
            </w:r>
          </w:p>
        </w:tc>
        <w:tc>
          <w:tcPr>
            <w:tcW w:w="463" w:type="pct"/>
            <w:tcBorders>
              <w:top w:val="nil"/>
              <w:left w:val="nil"/>
              <w:bottom w:val="single" w:sz="4" w:space="0" w:color="auto"/>
              <w:right w:val="single" w:sz="4" w:space="0" w:color="auto"/>
            </w:tcBorders>
            <w:shd w:val="clear" w:color="000000"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2</w:t>
            </w:r>
          </w:p>
        </w:tc>
        <w:tc>
          <w:tcPr>
            <w:tcW w:w="430" w:type="pct"/>
            <w:tcBorders>
              <w:top w:val="nil"/>
              <w:left w:val="nil"/>
              <w:bottom w:val="single" w:sz="4" w:space="0" w:color="auto"/>
              <w:right w:val="single" w:sz="4" w:space="0" w:color="auto"/>
            </w:tcBorders>
            <w:shd w:val="clear" w:color="000000"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1</w:t>
            </w:r>
          </w:p>
        </w:tc>
        <w:tc>
          <w:tcPr>
            <w:tcW w:w="431"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2</w:t>
            </w:r>
          </w:p>
        </w:tc>
        <w:tc>
          <w:tcPr>
            <w:tcW w:w="363" w:type="pct"/>
            <w:tcBorders>
              <w:top w:val="nil"/>
              <w:left w:val="nil"/>
              <w:bottom w:val="single" w:sz="4" w:space="0" w:color="auto"/>
              <w:right w:val="single" w:sz="4" w:space="0" w:color="auto"/>
            </w:tcBorders>
            <w:shd w:val="clear" w:color="000000"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c>
          <w:tcPr>
            <w:tcW w:w="3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c>
          <w:tcPr>
            <w:tcW w:w="4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c>
          <w:tcPr>
            <w:tcW w:w="364"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c>
          <w:tcPr>
            <w:tcW w:w="4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r>
      <w:tr w:rsidR="00681E0A" w:rsidRPr="00681E0A" w:rsidTr="00A9390C">
        <w:trPr>
          <w:trHeight w:val="125"/>
        </w:trPr>
        <w:tc>
          <w:tcPr>
            <w:tcW w:w="1660" w:type="pct"/>
            <w:tcBorders>
              <w:top w:val="nil"/>
              <w:left w:val="single" w:sz="4" w:space="0" w:color="auto"/>
              <w:bottom w:val="single" w:sz="4" w:space="0" w:color="auto"/>
              <w:right w:val="single" w:sz="4" w:space="0" w:color="auto"/>
            </w:tcBorders>
            <w:shd w:val="clear" w:color="auto" w:fill="auto"/>
            <w:noWrap/>
            <w:vAlign w:val="bottom"/>
            <w:hideMark/>
          </w:tcPr>
          <w:p w:rsidR="008B67A4" w:rsidRPr="00681E0A" w:rsidRDefault="008B67A4" w:rsidP="00681E0A">
            <w:pPr>
              <w:widowControl/>
              <w:autoSpaceDE/>
              <w:autoSpaceDN/>
              <w:adjustRightInd/>
              <w:ind w:firstLineChars="200" w:firstLine="360"/>
              <w:rPr>
                <w:color w:val="000000"/>
                <w:sz w:val="18"/>
                <w:szCs w:val="18"/>
              </w:rPr>
            </w:pPr>
            <w:r w:rsidRPr="00681E0A">
              <w:rPr>
                <w:color w:val="000000"/>
                <w:sz w:val="18"/>
                <w:szCs w:val="18"/>
              </w:rPr>
              <w:t>v. Notification of compliance status report</w:t>
            </w:r>
          </w:p>
        </w:tc>
        <w:tc>
          <w:tcPr>
            <w:tcW w:w="463" w:type="pct"/>
            <w:tcBorders>
              <w:top w:val="nil"/>
              <w:left w:val="nil"/>
              <w:bottom w:val="single" w:sz="4" w:space="0" w:color="auto"/>
              <w:right w:val="single" w:sz="4" w:space="0" w:color="auto"/>
            </w:tcBorders>
            <w:shd w:val="clear" w:color="000000"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40</w:t>
            </w:r>
          </w:p>
        </w:tc>
        <w:tc>
          <w:tcPr>
            <w:tcW w:w="430" w:type="pct"/>
            <w:tcBorders>
              <w:top w:val="nil"/>
              <w:left w:val="nil"/>
              <w:bottom w:val="single" w:sz="4" w:space="0" w:color="auto"/>
              <w:right w:val="single" w:sz="4" w:space="0" w:color="auto"/>
            </w:tcBorders>
            <w:shd w:val="clear" w:color="000000"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1</w:t>
            </w:r>
          </w:p>
        </w:tc>
        <w:tc>
          <w:tcPr>
            <w:tcW w:w="431"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40</w:t>
            </w:r>
          </w:p>
        </w:tc>
        <w:tc>
          <w:tcPr>
            <w:tcW w:w="363" w:type="pct"/>
            <w:tcBorders>
              <w:top w:val="nil"/>
              <w:left w:val="nil"/>
              <w:bottom w:val="single" w:sz="4" w:space="0" w:color="auto"/>
              <w:right w:val="single" w:sz="4" w:space="0" w:color="auto"/>
            </w:tcBorders>
            <w:shd w:val="clear" w:color="000000"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c>
          <w:tcPr>
            <w:tcW w:w="3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c>
          <w:tcPr>
            <w:tcW w:w="4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c>
          <w:tcPr>
            <w:tcW w:w="364"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c>
          <w:tcPr>
            <w:tcW w:w="4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r>
      <w:tr w:rsidR="00681E0A" w:rsidRPr="00681E0A" w:rsidTr="00A9390C">
        <w:trPr>
          <w:trHeight w:val="80"/>
        </w:trPr>
        <w:tc>
          <w:tcPr>
            <w:tcW w:w="1660" w:type="pct"/>
            <w:tcBorders>
              <w:top w:val="nil"/>
              <w:left w:val="single" w:sz="4" w:space="0" w:color="auto"/>
              <w:bottom w:val="single" w:sz="4" w:space="0" w:color="auto"/>
              <w:right w:val="single" w:sz="4" w:space="0" w:color="auto"/>
            </w:tcBorders>
            <w:shd w:val="clear" w:color="auto" w:fill="auto"/>
            <w:noWrap/>
            <w:vAlign w:val="bottom"/>
            <w:hideMark/>
          </w:tcPr>
          <w:p w:rsidR="008B67A4" w:rsidRPr="00681E0A" w:rsidRDefault="008B67A4" w:rsidP="00681E0A">
            <w:pPr>
              <w:widowControl/>
              <w:autoSpaceDE/>
              <w:autoSpaceDN/>
              <w:adjustRightInd/>
              <w:ind w:firstLineChars="200" w:firstLine="360"/>
              <w:rPr>
                <w:color w:val="000000"/>
                <w:sz w:val="18"/>
                <w:szCs w:val="18"/>
              </w:rPr>
            </w:pPr>
            <w:r w:rsidRPr="00681E0A">
              <w:rPr>
                <w:color w:val="000000"/>
                <w:sz w:val="18"/>
                <w:szCs w:val="18"/>
              </w:rPr>
              <w:t>vi. Pre-compliance report (e)</w:t>
            </w:r>
          </w:p>
        </w:tc>
        <w:tc>
          <w:tcPr>
            <w:tcW w:w="463" w:type="pct"/>
            <w:tcBorders>
              <w:top w:val="nil"/>
              <w:left w:val="nil"/>
              <w:bottom w:val="single" w:sz="4" w:space="0" w:color="auto"/>
              <w:right w:val="nil"/>
            </w:tcBorders>
            <w:shd w:val="clear" w:color="000000"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430" w:type="pct"/>
            <w:tcBorders>
              <w:top w:val="nil"/>
              <w:left w:val="nil"/>
              <w:bottom w:val="single" w:sz="4" w:space="0" w:color="auto"/>
              <w:right w:val="nil"/>
            </w:tcBorders>
            <w:shd w:val="clear" w:color="000000"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431" w:type="pct"/>
            <w:tcBorders>
              <w:top w:val="nil"/>
              <w:left w:val="nil"/>
              <w:bottom w:val="single" w:sz="4" w:space="0" w:color="auto"/>
              <w:right w:val="nil"/>
            </w:tcBorders>
            <w:shd w:val="clear" w:color="auto"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363" w:type="pct"/>
            <w:tcBorders>
              <w:top w:val="nil"/>
              <w:left w:val="nil"/>
              <w:bottom w:val="single" w:sz="4" w:space="0" w:color="auto"/>
              <w:right w:val="nil"/>
            </w:tcBorders>
            <w:shd w:val="clear" w:color="000000"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363" w:type="pct"/>
            <w:tcBorders>
              <w:top w:val="nil"/>
              <w:left w:val="nil"/>
              <w:bottom w:val="single" w:sz="4" w:space="0" w:color="auto"/>
              <w:right w:val="nil"/>
            </w:tcBorders>
            <w:shd w:val="clear" w:color="auto"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463" w:type="pct"/>
            <w:tcBorders>
              <w:top w:val="nil"/>
              <w:left w:val="nil"/>
              <w:bottom w:val="single" w:sz="4" w:space="0" w:color="auto"/>
              <w:right w:val="nil"/>
            </w:tcBorders>
            <w:shd w:val="clear" w:color="auto"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364" w:type="pct"/>
            <w:tcBorders>
              <w:top w:val="nil"/>
              <w:left w:val="nil"/>
              <w:bottom w:val="single" w:sz="4" w:space="0" w:color="auto"/>
              <w:right w:val="nil"/>
            </w:tcBorders>
            <w:shd w:val="clear" w:color="auto"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4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r>
      <w:tr w:rsidR="00681E0A" w:rsidRPr="00681E0A" w:rsidTr="00A9390C">
        <w:trPr>
          <w:trHeight w:val="143"/>
        </w:trPr>
        <w:tc>
          <w:tcPr>
            <w:tcW w:w="1660" w:type="pct"/>
            <w:tcBorders>
              <w:top w:val="nil"/>
              <w:left w:val="single" w:sz="4" w:space="0" w:color="auto"/>
              <w:bottom w:val="single" w:sz="4" w:space="0" w:color="auto"/>
              <w:right w:val="single" w:sz="4" w:space="0" w:color="auto"/>
            </w:tcBorders>
            <w:shd w:val="clear" w:color="auto" w:fill="auto"/>
            <w:noWrap/>
            <w:vAlign w:val="bottom"/>
            <w:hideMark/>
          </w:tcPr>
          <w:p w:rsidR="008B67A4" w:rsidRPr="00681E0A" w:rsidRDefault="008B67A4" w:rsidP="00681E0A">
            <w:pPr>
              <w:widowControl/>
              <w:autoSpaceDE/>
              <w:autoSpaceDN/>
              <w:adjustRightInd/>
              <w:ind w:firstLineChars="300" w:firstLine="540"/>
              <w:rPr>
                <w:color w:val="000000"/>
                <w:sz w:val="18"/>
                <w:szCs w:val="18"/>
              </w:rPr>
            </w:pPr>
            <w:r w:rsidRPr="00681E0A">
              <w:rPr>
                <w:color w:val="000000"/>
                <w:sz w:val="18"/>
                <w:szCs w:val="18"/>
              </w:rPr>
              <w:t>a. With emissions averaging (f)</w:t>
            </w:r>
          </w:p>
        </w:tc>
        <w:tc>
          <w:tcPr>
            <w:tcW w:w="463" w:type="pct"/>
            <w:tcBorders>
              <w:top w:val="nil"/>
              <w:left w:val="nil"/>
              <w:bottom w:val="single" w:sz="4" w:space="0" w:color="auto"/>
              <w:right w:val="single" w:sz="4" w:space="0" w:color="auto"/>
            </w:tcBorders>
            <w:shd w:val="clear" w:color="000000"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20</w:t>
            </w:r>
          </w:p>
        </w:tc>
        <w:tc>
          <w:tcPr>
            <w:tcW w:w="430" w:type="pct"/>
            <w:tcBorders>
              <w:top w:val="nil"/>
              <w:left w:val="nil"/>
              <w:bottom w:val="single" w:sz="4" w:space="0" w:color="auto"/>
              <w:right w:val="single" w:sz="4" w:space="0" w:color="auto"/>
            </w:tcBorders>
            <w:shd w:val="clear" w:color="000000"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1</w:t>
            </w:r>
          </w:p>
        </w:tc>
        <w:tc>
          <w:tcPr>
            <w:tcW w:w="431"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20</w:t>
            </w:r>
          </w:p>
        </w:tc>
        <w:tc>
          <w:tcPr>
            <w:tcW w:w="363" w:type="pct"/>
            <w:tcBorders>
              <w:top w:val="nil"/>
              <w:left w:val="nil"/>
              <w:bottom w:val="single" w:sz="4" w:space="0" w:color="auto"/>
              <w:right w:val="single" w:sz="4" w:space="0" w:color="auto"/>
            </w:tcBorders>
            <w:shd w:val="clear" w:color="000000"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c>
          <w:tcPr>
            <w:tcW w:w="3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c>
          <w:tcPr>
            <w:tcW w:w="4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c>
          <w:tcPr>
            <w:tcW w:w="364"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c>
          <w:tcPr>
            <w:tcW w:w="4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r>
      <w:tr w:rsidR="00681E0A" w:rsidRPr="00681E0A" w:rsidTr="00A9390C">
        <w:trPr>
          <w:trHeight w:val="107"/>
        </w:trPr>
        <w:tc>
          <w:tcPr>
            <w:tcW w:w="1660" w:type="pct"/>
            <w:tcBorders>
              <w:top w:val="nil"/>
              <w:left w:val="single" w:sz="4" w:space="0" w:color="auto"/>
              <w:bottom w:val="single" w:sz="4" w:space="0" w:color="auto"/>
              <w:right w:val="single" w:sz="4" w:space="0" w:color="auto"/>
            </w:tcBorders>
            <w:shd w:val="clear" w:color="auto" w:fill="auto"/>
            <w:noWrap/>
            <w:vAlign w:val="bottom"/>
            <w:hideMark/>
          </w:tcPr>
          <w:p w:rsidR="008B67A4" w:rsidRPr="00681E0A" w:rsidRDefault="008B67A4" w:rsidP="00681E0A">
            <w:pPr>
              <w:widowControl/>
              <w:autoSpaceDE/>
              <w:autoSpaceDN/>
              <w:adjustRightInd/>
              <w:ind w:firstLineChars="300" w:firstLine="540"/>
              <w:rPr>
                <w:color w:val="000000"/>
                <w:sz w:val="18"/>
                <w:szCs w:val="18"/>
              </w:rPr>
            </w:pPr>
            <w:r w:rsidRPr="00681E0A">
              <w:rPr>
                <w:color w:val="000000"/>
                <w:sz w:val="18"/>
                <w:szCs w:val="18"/>
              </w:rPr>
              <w:t>b. Without emissions averaging</w:t>
            </w:r>
          </w:p>
        </w:tc>
        <w:tc>
          <w:tcPr>
            <w:tcW w:w="463" w:type="pct"/>
            <w:tcBorders>
              <w:top w:val="nil"/>
              <w:left w:val="nil"/>
              <w:bottom w:val="single" w:sz="4" w:space="0" w:color="auto"/>
              <w:right w:val="single" w:sz="4" w:space="0" w:color="auto"/>
            </w:tcBorders>
            <w:shd w:val="clear" w:color="000000"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4</w:t>
            </w:r>
          </w:p>
        </w:tc>
        <w:tc>
          <w:tcPr>
            <w:tcW w:w="430" w:type="pct"/>
            <w:tcBorders>
              <w:top w:val="nil"/>
              <w:left w:val="nil"/>
              <w:bottom w:val="single" w:sz="4" w:space="0" w:color="auto"/>
              <w:right w:val="single" w:sz="4" w:space="0" w:color="auto"/>
            </w:tcBorders>
            <w:shd w:val="clear" w:color="000000"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1</w:t>
            </w:r>
          </w:p>
        </w:tc>
        <w:tc>
          <w:tcPr>
            <w:tcW w:w="431"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4</w:t>
            </w:r>
          </w:p>
        </w:tc>
        <w:tc>
          <w:tcPr>
            <w:tcW w:w="363" w:type="pct"/>
            <w:tcBorders>
              <w:top w:val="nil"/>
              <w:left w:val="nil"/>
              <w:bottom w:val="single" w:sz="4" w:space="0" w:color="auto"/>
              <w:right w:val="single" w:sz="4" w:space="0" w:color="auto"/>
            </w:tcBorders>
            <w:shd w:val="clear" w:color="000000"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c>
          <w:tcPr>
            <w:tcW w:w="3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c>
          <w:tcPr>
            <w:tcW w:w="4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c>
          <w:tcPr>
            <w:tcW w:w="364"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c>
          <w:tcPr>
            <w:tcW w:w="4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0</w:t>
            </w:r>
          </w:p>
        </w:tc>
      </w:tr>
      <w:tr w:rsidR="00681E0A" w:rsidRPr="00681E0A" w:rsidTr="00A9390C">
        <w:trPr>
          <w:trHeight w:val="152"/>
        </w:trPr>
        <w:tc>
          <w:tcPr>
            <w:tcW w:w="1660" w:type="pct"/>
            <w:tcBorders>
              <w:top w:val="nil"/>
              <w:left w:val="single" w:sz="4" w:space="0" w:color="auto"/>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3. Report review - on-going</w:t>
            </w:r>
          </w:p>
        </w:tc>
        <w:tc>
          <w:tcPr>
            <w:tcW w:w="463" w:type="pct"/>
            <w:tcBorders>
              <w:top w:val="nil"/>
              <w:left w:val="nil"/>
              <w:bottom w:val="nil"/>
              <w:right w:val="nil"/>
            </w:tcBorders>
            <w:shd w:val="clear" w:color="000000"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430" w:type="pct"/>
            <w:tcBorders>
              <w:top w:val="nil"/>
              <w:left w:val="nil"/>
              <w:bottom w:val="nil"/>
              <w:right w:val="nil"/>
            </w:tcBorders>
            <w:shd w:val="clear" w:color="000000"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431" w:type="pct"/>
            <w:tcBorders>
              <w:top w:val="nil"/>
              <w:left w:val="nil"/>
              <w:bottom w:val="nil"/>
              <w:right w:val="nil"/>
            </w:tcBorders>
            <w:shd w:val="clear" w:color="auto"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363" w:type="pct"/>
            <w:tcBorders>
              <w:top w:val="nil"/>
              <w:left w:val="nil"/>
              <w:bottom w:val="nil"/>
              <w:right w:val="nil"/>
            </w:tcBorders>
            <w:shd w:val="clear" w:color="000000"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363" w:type="pct"/>
            <w:tcBorders>
              <w:top w:val="nil"/>
              <w:left w:val="nil"/>
              <w:bottom w:val="nil"/>
              <w:right w:val="nil"/>
            </w:tcBorders>
            <w:shd w:val="clear" w:color="auto"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463" w:type="pct"/>
            <w:tcBorders>
              <w:top w:val="nil"/>
              <w:left w:val="nil"/>
              <w:bottom w:val="nil"/>
              <w:right w:val="nil"/>
            </w:tcBorders>
            <w:shd w:val="clear" w:color="auto"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364" w:type="pct"/>
            <w:tcBorders>
              <w:top w:val="nil"/>
              <w:left w:val="nil"/>
              <w:bottom w:val="nil"/>
              <w:right w:val="nil"/>
            </w:tcBorders>
            <w:shd w:val="clear" w:color="auto"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463" w:type="pct"/>
            <w:tcBorders>
              <w:top w:val="nil"/>
              <w:left w:val="nil"/>
              <w:bottom w:val="nil"/>
              <w:right w:val="single" w:sz="4" w:space="0" w:color="auto"/>
            </w:tcBorders>
            <w:shd w:val="clear" w:color="auto"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r>
      <w:tr w:rsidR="00681E0A" w:rsidRPr="00681E0A" w:rsidTr="00A9390C">
        <w:trPr>
          <w:trHeight w:val="125"/>
        </w:trPr>
        <w:tc>
          <w:tcPr>
            <w:tcW w:w="1660" w:type="pct"/>
            <w:tcBorders>
              <w:top w:val="nil"/>
              <w:left w:val="single" w:sz="4" w:space="0" w:color="auto"/>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i. Semiannual summary report</w:t>
            </w:r>
          </w:p>
        </w:tc>
        <w:tc>
          <w:tcPr>
            <w:tcW w:w="463" w:type="pct"/>
            <w:tcBorders>
              <w:top w:val="nil"/>
              <w:left w:val="nil"/>
              <w:bottom w:val="single" w:sz="4" w:space="0" w:color="auto"/>
              <w:right w:val="nil"/>
            </w:tcBorders>
            <w:shd w:val="clear" w:color="000000"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430" w:type="pct"/>
            <w:tcBorders>
              <w:top w:val="nil"/>
              <w:left w:val="nil"/>
              <w:bottom w:val="single" w:sz="4" w:space="0" w:color="auto"/>
              <w:right w:val="nil"/>
            </w:tcBorders>
            <w:shd w:val="clear" w:color="000000"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431" w:type="pct"/>
            <w:tcBorders>
              <w:top w:val="nil"/>
              <w:left w:val="nil"/>
              <w:bottom w:val="single" w:sz="4" w:space="0" w:color="auto"/>
              <w:right w:val="nil"/>
            </w:tcBorders>
            <w:shd w:val="clear" w:color="auto"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363" w:type="pct"/>
            <w:tcBorders>
              <w:top w:val="nil"/>
              <w:left w:val="nil"/>
              <w:bottom w:val="single" w:sz="4" w:space="0" w:color="auto"/>
              <w:right w:val="nil"/>
            </w:tcBorders>
            <w:shd w:val="clear" w:color="000000"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363" w:type="pct"/>
            <w:tcBorders>
              <w:top w:val="nil"/>
              <w:left w:val="nil"/>
              <w:bottom w:val="single" w:sz="4" w:space="0" w:color="auto"/>
              <w:right w:val="nil"/>
            </w:tcBorders>
            <w:shd w:val="clear" w:color="auto"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463" w:type="pct"/>
            <w:tcBorders>
              <w:top w:val="nil"/>
              <w:left w:val="nil"/>
              <w:bottom w:val="single" w:sz="4" w:space="0" w:color="auto"/>
              <w:right w:val="nil"/>
            </w:tcBorders>
            <w:shd w:val="clear" w:color="auto"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364" w:type="pct"/>
            <w:tcBorders>
              <w:top w:val="nil"/>
              <w:left w:val="nil"/>
              <w:bottom w:val="single" w:sz="4" w:space="0" w:color="auto"/>
              <w:right w:val="nil"/>
            </w:tcBorders>
            <w:shd w:val="clear" w:color="auto"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4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r>
      <w:tr w:rsidR="00681E0A" w:rsidRPr="00681E0A" w:rsidTr="00A9390C">
        <w:trPr>
          <w:trHeight w:val="170"/>
        </w:trPr>
        <w:tc>
          <w:tcPr>
            <w:tcW w:w="1660" w:type="pct"/>
            <w:tcBorders>
              <w:top w:val="nil"/>
              <w:left w:val="single" w:sz="4" w:space="0" w:color="auto"/>
              <w:bottom w:val="single" w:sz="4" w:space="0" w:color="auto"/>
              <w:right w:val="single" w:sz="4" w:space="0" w:color="auto"/>
            </w:tcBorders>
            <w:shd w:val="clear" w:color="auto" w:fill="auto"/>
            <w:noWrap/>
            <w:vAlign w:val="bottom"/>
            <w:hideMark/>
          </w:tcPr>
          <w:p w:rsidR="00372D0B" w:rsidRPr="00681E0A" w:rsidRDefault="00372D0B" w:rsidP="00681E0A">
            <w:pPr>
              <w:widowControl/>
              <w:autoSpaceDE/>
              <w:autoSpaceDN/>
              <w:adjustRightInd/>
              <w:ind w:firstLineChars="300" w:firstLine="540"/>
              <w:rPr>
                <w:color w:val="000000"/>
                <w:sz w:val="18"/>
                <w:szCs w:val="18"/>
              </w:rPr>
            </w:pPr>
            <w:r w:rsidRPr="00681E0A">
              <w:rPr>
                <w:color w:val="000000"/>
                <w:sz w:val="18"/>
                <w:szCs w:val="18"/>
              </w:rPr>
              <w:t>a. No deviations (g)</w:t>
            </w:r>
          </w:p>
        </w:tc>
        <w:tc>
          <w:tcPr>
            <w:tcW w:w="463" w:type="pct"/>
            <w:tcBorders>
              <w:top w:val="nil"/>
              <w:left w:val="nil"/>
              <w:bottom w:val="single" w:sz="4" w:space="0" w:color="auto"/>
              <w:right w:val="single" w:sz="4" w:space="0" w:color="auto"/>
            </w:tcBorders>
            <w:shd w:val="clear" w:color="000000" w:fill="auto"/>
            <w:noWrap/>
            <w:vAlign w:val="bottom"/>
            <w:hideMark/>
          </w:tcPr>
          <w:p w:rsidR="00372D0B" w:rsidRPr="00681E0A" w:rsidRDefault="00372D0B" w:rsidP="004C6F91">
            <w:pPr>
              <w:widowControl/>
              <w:autoSpaceDE/>
              <w:autoSpaceDN/>
              <w:adjustRightInd/>
              <w:jc w:val="right"/>
              <w:rPr>
                <w:color w:val="000000"/>
                <w:sz w:val="18"/>
                <w:szCs w:val="18"/>
              </w:rPr>
            </w:pPr>
            <w:r w:rsidRPr="00681E0A">
              <w:rPr>
                <w:color w:val="000000"/>
                <w:sz w:val="18"/>
                <w:szCs w:val="18"/>
              </w:rPr>
              <w:t>2</w:t>
            </w:r>
          </w:p>
        </w:tc>
        <w:tc>
          <w:tcPr>
            <w:tcW w:w="430" w:type="pct"/>
            <w:tcBorders>
              <w:top w:val="nil"/>
              <w:left w:val="nil"/>
              <w:bottom w:val="single" w:sz="4" w:space="0" w:color="auto"/>
              <w:right w:val="single" w:sz="4" w:space="0" w:color="auto"/>
            </w:tcBorders>
            <w:shd w:val="clear" w:color="000000" w:fill="auto"/>
            <w:noWrap/>
            <w:vAlign w:val="bottom"/>
            <w:hideMark/>
          </w:tcPr>
          <w:p w:rsidR="00372D0B" w:rsidRPr="00681E0A" w:rsidRDefault="00372D0B" w:rsidP="004C6F91">
            <w:pPr>
              <w:widowControl/>
              <w:autoSpaceDE/>
              <w:autoSpaceDN/>
              <w:adjustRightInd/>
              <w:jc w:val="right"/>
              <w:rPr>
                <w:color w:val="000000"/>
                <w:sz w:val="18"/>
                <w:szCs w:val="18"/>
              </w:rPr>
            </w:pPr>
            <w:r w:rsidRPr="00681E0A">
              <w:rPr>
                <w:color w:val="000000"/>
                <w:sz w:val="18"/>
                <w:szCs w:val="18"/>
              </w:rPr>
              <w:t>2</w:t>
            </w:r>
          </w:p>
        </w:tc>
        <w:tc>
          <w:tcPr>
            <w:tcW w:w="431" w:type="pct"/>
            <w:tcBorders>
              <w:top w:val="nil"/>
              <w:left w:val="nil"/>
              <w:bottom w:val="single" w:sz="4" w:space="0" w:color="auto"/>
              <w:right w:val="single" w:sz="4" w:space="0" w:color="auto"/>
            </w:tcBorders>
            <w:shd w:val="clear" w:color="auto" w:fill="auto"/>
            <w:noWrap/>
            <w:vAlign w:val="bottom"/>
            <w:hideMark/>
          </w:tcPr>
          <w:p w:rsidR="00372D0B" w:rsidRPr="00681E0A" w:rsidRDefault="00372D0B" w:rsidP="004C6F91">
            <w:pPr>
              <w:widowControl/>
              <w:autoSpaceDE/>
              <w:autoSpaceDN/>
              <w:adjustRightInd/>
              <w:jc w:val="right"/>
              <w:rPr>
                <w:color w:val="000000"/>
                <w:sz w:val="18"/>
                <w:szCs w:val="18"/>
              </w:rPr>
            </w:pPr>
            <w:r w:rsidRPr="00681E0A">
              <w:rPr>
                <w:color w:val="000000"/>
                <w:sz w:val="18"/>
                <w:szCs w:val="18"/>
              </w:rPr>
              <w:t>4</w:t>
            </w:r>
          </w:p>
        </w:tc>
        <w:tc>
          <w:tcPr>
            <w:tcW w:w="363" w:type="pct"/>
            <w:tcBorders>
              <w:top w:val="nil"/>
              <w:left w:val="nil"/>
              <w:bottom w:val="single" w:sz="4" w:space="0" w:color="auto"/>
              <w:right w:val="single" w:sz="4" w:space="0" w:color="auto"/>
            </w:tcBorders>
            <w:shd w:val="clear" w:color="000000" w:fill="auto"/>
            <w:noWrap/>
            <w:vAlign w:val="bottom"/>
            <w:hideMark/>
          </w:tcPr>
          <w:p w:rsidR="00372D0B" w:rsidRPr="00681E0A" w:rsidRDefault="00372D0B">
            <w:pPr>
              <w:jc w:val="right"/>
              <w:rPr>
                <w:sz w:val="18"/>
                <w:szCs w:val="18"/>
              </w:rPr>
            </w:pPr>
            <w:r w:rsidRPr="00681E0A">
              <w:rPr>
                <w:sz w:val="18"/>
                <w:szCs w:val="18"/>
              </w:rPr>
              <w:t>24</w:t>
            </w:r>
          </w:p>
        </w:tc>
        <w:tc>
          <w:tcPr>
            <w:tcW w:w="363" w:type="pct"/>
            <w:tcBorders>
              <w:top w:val="nil"/>
              <w:left w:val="nil"/>
              <w:bottom w:val="single" w:sz="4" w:space="0" w:color="auto"/>
              <w:right w:val="single" w:sz="4" w:space="0" w:color="auto"/>
            </w:tcBorders>
            <w:shd w:val="clear" w:color="auto" w:fill="auto"/>
            <w:noWrap/>
            <w:vAlign w:val="bottom"/>
            <w:hideMark/>
          </w:tcPr>
          <w:p w:rsidR="00372D0B" w:rsidRPr="00681E0A" w:rsidRDefault="00372D0B">
            <w:pPr>
              <w:jc w:val="right"/>
              <w:rPr>
                <w:sz w:val="18"/>
                <w:szCs w:val="18"/>
              </w:rPr>
            </w:pPr>
            <w:r w:rsidRPr="00681E0A">
              <w:rPr>
                <w:sz w:val="18"/>
                <w:szCs w:val="18"/>
              </w:rPr>
              <w:t>96</w:t>
            </w:r>
          </w:p>
        </w:tc>
        <w:tc>
          <w:tcPr>
            <w:tcW w:w="463" w:type="pct"/>
            <w:tcBorders>
              <w:top w:val="nil"/>
              <w:left w:val="nil"/>
              <w:bottom w:val="single" w:sz="4" w:space="0" w:color="auto"/>
              <w:right w:val="single" w:sz="4" w:space="0" w:color="auto"/>
            </w:tcBorders>
            <w:shd w:val="clear" w:color="auto" w:fill="auto"/>
            <w:noWrap/>
            <w:vAlign w:val="bottom"/>
            <w:hideMark/>
          </w:tcPr>
          <w:p w:rsidR="00372D0B" w:rsidRPr="00681E0A" w:rsidRDefault="00372D0B">
            <w:pPr>
              <w:jc w:val="right"/>
              <w:rPr>
                <w:sz w:val="18"/>
                <w:szCs w:val="18"/>
              </w:rPr>
            </w:pPr>
            <w:r w:rsidRPr="00681E0A">
              <w:rPr>
                <w:sz w:val="18"/>
                <w:szCs w:val="18"/>
              </w:rPr>
              <w:t>4.8</w:t>
            </w:r>
          </w:p>
        </w:tc>
        <w:tc>
          <w:tcPr>
            <w:tcW w:w="364" w:type="pct"/>
            <w:tcBorders>
              <w:top w:val="nil"/>
              <w:left w:val="nil"/>
              <w:bottom w:val="single" w:sz="4" w:space="0" w:color="auto"/>
              <w:right w:val="single" w:sz="4" w:space="0" w:color="auto"/>
            </w:tcBorders>
            <w:shd w:val="clear" w:color="auto" w:fill="auto"/>
            <w:noWrap/>
            <w:vAlign w:val="bottom"/>
            <w:hideMark/>
          </w:tcPr>
          <w:p w:rsidR="00372D0B" w:rsidRPr="00681E0A" w:rsidRDefault="00372D0B">
            <w:pPr>
              <w:jc w:val="right"/>
              <w:rPr>
                <w:sz w:val="18"/>
                <w:szCs w:val="18"/>
              </w:rPr>
            </w:pPr>
            <w:r w:rsidRPr="00681E0A">
              <w:rPr>
                <w:sz w:val="18"/>
                <w:szCs w:val="18"/>
              </w:rPr>
              <w:t>9.6</w:t>
            </w:r>
          </w:p>
        </w:tc>
        <w:tc>
          <w:tcPr>
            <w:tcW w:w="463" w:type="pct"/>
            <w:tcBorders>
              <w:top w:val="nil"/>
              <w:left w:val="nil"/>
              <w:bottom w:val="single" w:sz="4" w:space="0" w:color="auto"/>
              <w:right w:val="single" w:sz="4" w:space="0" w:color="auto"/>
            </w:tcBorders>
            <w:shd w:val="clear" w:color="auto" w:fill="auto"/>
            <w:noWrap/>
            <w:vAlign w:val="bottom"/>
            <w:hideMark/>
          </w:tcPr>
          <w:p w:rsidR="00372D0B" w:rsidRPr="00681E0A" w:rsidRDefault="00372D0B">
            <w:pPr>
              <w:jc w:val="right"/>
              <w:rPr>
                <w:sz w:val="18"/>
                <w:szCs w:val="18"/>
              </w:rPr>
            </w:pPr>
            <w:r w:rsidRPr="00681E0A">
              <w:rPr>
                <w:sz w:val="18"/>
                <w:szCs w:val="18"/>
              </w:rPr>
              <w:t>$4,975.15</w:t>
            </w:r>
          </w:p>
        </w:tc>
      </w:tr>
      <w:tr w:rsidR="00681E0A" w:rsidRPr="00681E0A" w:rsidTr="00A9390C">
        <w:trPr>
          <w:trHeight w:val="143"/>
        </w:trPr>
        <w:tc>
          <w:tcPr>
            <w:tcW w:w="1660" w:type="pct"/>
            <w:tcBorders>
              <w:top w:val="nil"/>
              <w:left w:val="single" w:sz="4" w:space="0" w:color="auto"/>
              <w:bottom w:val="single" w:sz="4" w:space="0" w:color="auto"/>
              <w:right w:val="single" w:sz="4" w:space="0" w:color="auto"/>
            </w:tcBorders>
            <w:shd w:val="clear" w:color="auto" w:fill="auto"/>
            <w:noWrap/>
            <w:vAlign w:val="bottom"/>
            <w:hideMark/>
          </w:tcPr>
          <w:p w:rsidR="00372D0B" w:rsidRPr="00681E0A" w:rsidRDefault="00372D0B" w:rsidP="00681E0A">
            <w:pPr>
              <w:widowControl/>
              <w:autoSpaceDE/>
              <w:autoSpaceDN/>
              <w:adjustRightInd/>
              <w:ind w:firstLineChars="300" w:firstLine="540"/>
              <w:rPr>
                <w:color w:val="000000"/>
                <w:sz w:val="18"/>
                <w:szCs w:val="18"/>
              </w:rPr>
            </w:pPr>
            <w:r w:rsidRPr="00681E0A">
              <w:rPr>
                <w:color w:val="000000"/>
                <w:sz w:val="18"/>
                <w:szCs w:val="18"/>
              </w:rPr>
              <w:t>b. Deviations (h)</w:t>
            </w:r>
          </w:p>
        </w:tc>
        <w:tc>
          <w:tcPr>
            <w:tcW w:w="463" w:type="pct"/>
            <w:tcBorders>
              <w:top w:val="nil"/>
              <w:left w:val="nil"/>
              <w:bottom w:val="single" w:sz="4" w:space="0" w:color="auto"/>
              <w:right w:val="single" w:sz="4" w:space="0" w:color="auto"/>
            </w:tcBorders>
            <w:shd w:val="clear" w:color="000000" w:fill="auto"/>
            <w:noWrap/>
            <w:vAlign w:val="bottom"/>
            <w:hideMark/>
          </w:tcPr>
          <w:p w:rsidR="00372D0B" w:rsidRPr="00681E0A" w:rsidRDefault="00372D0B" w:rsidP="004C6F91">
            <w:pPr>
              <w:widowControl/>
              <w:autoSpaceDE/>
              <w:autoSpaceDN/>
              <w:adjustRightInd/>
              <w:jc w:val="right"/>
              <w:rPr>
                <w:color w:val="000000"/>
                <w:sz w:val="18"/>
                <w:szCs w:val="18"/>
              </w:rPr>
            </w:pPr>
            <w:r w:rsidRPr="00681E0A">
              <w:rPr>
                <w:color w:val="000000"/>
                <w:sz w:val="18"/>
                <w:szCs w:val="18"/>
              </w:rPr>
              <w:t>8</w:t>
            </w:r>
          </w:p>
        </w:tc>
        <w:tc>
          <w:tcPr>
            <w:tcW w:w="430" w:type="pct"/>
            <w:tcBorders>
              <w:top w:val="nil"/>
              <w:left w:val="nil"/>
              <w:bottom w:val="single" w:sz="4" w:space="0" w:color="auto"/>
              <w:right w:val="single" w:sz="4" w:space="0" w:color="auto"/>
            </w:tcBorders>
            <w:shd w:val="clear" w:color="000000" w:fill="auto"/>
            <w:noWrap/>
            <w:vAlign w:val="bottom"/>
            <w:hideMark/>
          </w:tcPr>
          <w:p w:rsidR="00372D0B" w:rsidRPr="00681E0A" w:rsidRDefault="00372D0B" w:rsidP="004C6F91">
            <w:pPr>
              <w:widowControl/>
              <w:autoSpaceDE/>
              <w:autoSpaceDN/>
              <w:adjustRightInd/>
              <w:jc w:val="right"/>
              <w:rPr>
                <w:color w:val="000000"/>
                <w:sz w:val="18"/>
                <w:szCs w:val="18"/>
              </w:rPr>
            </w:pPr>
            <w:r w:rsidRPr="00681E0A">
              <w:rPr>
                <w:color w:val="000000"/>
                <w:sz w:val="18"/>
                <w:szCs w:val="18"/>
              </w:rPr>
              <w:t>2</w:t>
            </w:r>
          </w:p>
        </w:tc>
        <w:tc>
          <w:tcPr>
            <w:tcW w:w="431" w:type="pct"/>
            <w:tcBorders>
              <w:top w:val="nil"/>
              <w:left w:val="nil"/>
              <w:bottom w:val="single" w:sz="4" w:space="0" w:color="auto"/>
              <w:right w:val="single" w:sz="4" w:space="0" w:color="auto"/>
            </w:tcBorders>
            <w:shd w:val="clear" w:color="auto" w:fill="auto"/>
            <w:noWrap/>
            <w:vAlign w:val="bottom"/>
            <w:hideMark/>
          </w:tcPr>
          <w:p w:rsidR="00372D0B" w:rsidRPr="00681E0A" w:rsidRDefault="00372D0B" w:rsidP="004C6F91">
            <w:pPr>
              <w:widowControl/>
              <w:autoSpaceDE/>
              <w:autoSpaceDN/>
              <w:adjustRightInd/>
              <w:jc w:val="right"/>
              <w:rPr>
                <w:color w:val="000000"/>
                <w:sz w:val="18"/>
                <w:szCs w:val="18"/>
              </w:rPr>
            </w:pPr>
            <w:r w:rsidRPr="00681E0A">
              <w:rPr>
                <w:color w:val="000000"/>
                <w:sz w:val="18"/>
                <w:szCs w:val="18"/>
              </w:rPr>
              <w:t>16</w:t>
            </w:r>
          </w:p>
        </w:tc>
        <w:tc>
          <w:tcPr>
            <w:tcW w:w="363" w:type="pct"/>
            <w:tcBorders>
              <w:top w:val="nil"/>
              <w:left w:val="nil"/>
              <w:bottom w:val="single" w:sz="4" w:space="0" w:color="auto"/>
              <w:right w:val="single" w:sz="4" w:space="0" w:color="auto"/>
            </w:tcBorders>
            <w:shd w:val="clear" w:color="000000" w:fill="auto"/>
            <w:noWrap/>
            <w:vAlign w:val="bottom"/>
            <w:hideMark/>
          </w:tcPr>
          <w:p w:rsidR="00372D0B" w:rsidRPr="00681E0A" w:rsidRDefault="00372D0B">
            <w:pPr>
              <w:jc w:val="right"/>
              <w:rPr>
                <w:sz w:val="18"/>
                <w:szCs w:val="18"/>
              </w:rPr>
            </w:pPr>
            <w:r w:rsidRPr="00681E0A">
              <w:rPr>
                <w:sz w:val="18"/>
                <w:szCs w:val="18"/>
              </w:rPr>
              <w:t>3</w:t>
            </w:r>
          </w:p>
        </w:tc>
        <w:tc>
          <w:tcPr>
            <w:tcW w:w="363" w:type="pct"/>
            <w:tcBorders>
              <w:top w:val="nil"/>
              <w:left w:val="nil"/>
              <w:bottom w:val="single" w:sz="4" w:space="0" w:color="auto"/>
              <w:right w:val="single" w:sz="4" w:space="0" w:color="auto"/>
            </w:tcBorders>
            <w:shd w:val="clear" w:color="auto" w:fill="auto"/>
            <w:noWrap/>
            <w:vAlign w:val="bottom"/>
            <w:hideMark/>
          </w:tcPr>
          <w:p w:rsidR="00372D0B" w:rsidRPr="00681E0A" w:rsidRDefault="00372D0B">
            <w:pPr>
              <w:jc w:val="right"/>
              <w:rPr>
                <w:sz w:val="18"/>
                <w:szCs w:val="18"/>
              </w:rPr>
            </w:pPr>
            <w:r w:rsidRPr="00681E0A">
              <w:rPr>
                <w:sz w:val="18"/>
                <w:szCs w:val="18"/>
              </w:rPr>
              <w:t>48</w:t>
            </w:r>
          </w:p>
        </w:tc>
        <w:tc>
          <w:tcPr>
            <w:tcW w:w="463" w:type="pct"/>
            <w:tcBorders>
              <w:top w:val="nil"/>
              <w:left w:val="nil"/>
              <w:bottom w:val="single" w:sz="4" w:space="0" w:color="auto"/>
              <w:right w:val="single" w:sz="4" w:space="0" w:color="auto"/>
            </w:tcBorders>
            <w:shd w:val="clear" w:color="auto" w:fill="auto"/>
            <w:noWrap/>
            <w:vAlign w:val="bottom"/>
            <w:hideMark/>
          </w:tcPr>
          <w:p w:rsidR="00372D0B" w:rsidRPr="00681E0A" w:rsidRDefault="00372D0B">
            <w:pPr>
              <w:jc w:val="right"/>
              <w:rPr>
                <w:sz w:val="18"/>
                <w:szCs w:val="18"/>
              </w:rPr>
            </w:pPr>
            <w:r w:rsidRPr="00681E0A">
              <w:rPr>
                <w:sz w:val="18"/>
                <w:szCs w:val="18"/>
              </w:rPr>
              <w:t>2.4</w:t>
            </w:r>
          </w:p>
        </w:tc>
        <w:tc>
          <w:tcPr>
            <w:tcW w:w="364" w:type="pct"/>
            <w:tcBorders>
              <w:top w:val="nil"/>
              <w:left w:val="nil"/>
              <w:bottom w:val="single" w:sz="4" w:space="0" w:color="auto"/>
              <w:right w:val="single" w:sz="4" w:space="0" w:color="auto"/>
            </w:tcBorders>
            <w:shd w:val="clear" w:color="auto" w:fill="auto"/>
            <w:noWrap/>
            <w:vAlign w:val="bottom"/>
            <w:hideMark/>
          </w:tcPr>
          <w:p w:rsidR="00372D0B" w:rsidRPr="00681E0A" w:rsidRDefault="00372D0B">
            <w:pPr>
              <w:jc w:val="right"/>
              <w:rPr>
                <w:sz w:val="18"/>
                <w:szCs w:val="18"/>
              </w:rPr>
            </w:pPr>
            <w:r w:rsidRPr="00681E0A">
              <w:rPr>
                <w:sz w:val="18"/>
                <w:szCs w:val="18"/>
              </w:rPr>
              <w:t>4.8</w:t>
            </w:r>
          </w:p>
        </w:tc>
        <w:tc>
          <w:tcPr>
            <w:tcW w:w="463" w:type="pct"/>
            <w:tcBorders>
              <w:top w:val="nil"/>
              <w:left w:val="nil"/>
              <w:bottom w:val="single" w:sz="4" w:space="0" w:color="auto"/>
              <w:right w:val="single" w:sz="4" w:space="0" w:color="auto"/>
            </w:tcBorders>
            <w:shd w:val="clear" w:color="auto" w:fill="auto"/>
            <w:noWrap/>
            <w:vAlign w:val="bottom"/>
            <w:hideMark/>
          </w:tcPr>
          <w:p w:rsidR="00372D0B" w:rsidRPr="00681E0A" w:rsidRDefault="00372D0B">
            <w:pPr>
              <w:jc w:val="right"/>
              <w:rPr>
                <w:sz w:val="18"/>
                <w:szCs w:val="18"/>
              </w:rPr>
            </w:pPr>
            <w:r w:rsidRPr="00681E0A">
              <w:rPr>
                <w:sz w:val="18"/>
                <w:szCs w:val="18"/>
              </w:rPr>
              <w:t>$2,487.58</w:t>
            </w:r>
          </w:p>
        </w:tc>
      </w:tr>
      <w:tr w:rsidR="00681E0A" w:rsidRPr="00681E0A" w:rsidTr="00A9390C">
        <w:trPr>
          <w:trHeight w:val="188"/>
        </w:trPr>
        <w:tc>
          <w:tcPr>
            <w:tcW w:w="1660" w:type="pct"/>
            <w:tcBorders>
              <w:top w:val="nil"/>
              <w:left w:val="single" w:sz="4" w:space="0" w:color="auto"/>
              <w:bottom w:val="single" w:sz="4" w:space="0" w:color="auto"/>
              <w:right w:val="single" w:sz="4" w:space="0" w:color="auto"/>
            </w:tcBorders>
            <w:shd w:val="clear" w:color="auto" w:fill="auto"/>
            <w:noWrap/>
            <w:vAlign w:val="bottom"/>
            <w:hideMark/>
          </w:tcPr>
          <w:p w:rsidR="008B67A4" w:rsidRPr="00681E0A" w:rsidRDefault="008B67A4" w:rsidP="00681E0A">
            <w:pPr>
              <w:widowControl/>
              <w:autoSpaceDE/>
              <w:autoSpaceDN/>
              <w:adjustRightInd/>
              <w:ind w:firstLineChars="200" w:firstLine="360"/>
              <w:rPr>
                <w:color w:val="000000"/>
                <w:sz w:val="18"/>
                <w:szCs w:val="18"/>
              </w:rPr>
            </w:pPr>
            <w:r w:rsidRPr="00681E0A">
              <w:rPr>
                <w:color w:val="000000"/>
                <w:sz w:val="18"/>
                <w:szCs w:val="18"/>
              </w:rPr>
              <w:t xml:space="preserve">ii. Notification of physical or operational changes (i) </w:t>
            </w:r>
          </w:p>
        </w:tc>
        <w:tc>
          <w:tcPr>
            <w:tcW w:w="463" w:type="pct"/>
            <w:tcBorders>
              <w:top w:val="nil"/>
              <w:left w:val="nil"/>
              <w:bottom w:val="single" w:sz="4" w:space="0" w:color="auto"/>
              <w:right w:val="single" w:sz="4" w:space="0" w:color="auto"/>
            </w:tcBorders>
            <w:shd w:val="clear" w:color="000000"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8</w:t>
            </w:r>
          </w:p>
        </w:tc>
        <w:tc>
          <w:tcPr>
            <w:tcW w:w="430" w:type="pct"/>
            <w:tcBorders>
              <w:top w:val="nil"/>
              <w:left w:val="nil"/>
              <w:bottom w:val="single" w:sz="4" w:space="0" w:color="auto"/>
              <w:right w:val="single" w:sz="4" w:space="0" w:color="auto"/>
            </w:tcBorders>
            <w:shd w:val="clear" w:color="000000"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3</w:t>
            </w:r>
          </w:p>
        </w:tc>
        <w:tc>
          <w:tcPr>
            <w:tcW w:w="431"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24</w:t>
            </w:r>
          </w:p>
        </w:tc>
        <w:tc>
          <w:tcPr>
            <w:tcW w:w="363" w:type="pct"/>
            <w:tcBorders>
              <w:top w:val="nil"/>
              <w:left w:val="nil"/>
              <w:bottom w:val="single" w:sz="4" w:space="0" w:color="auto"/>
              <w:right w:val="single" w:sz="4" w:space="0" w:color="auto"/>
            </w:tcBorders>
            <w:shd w:val="clear" w:color="000000"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27</w:t>
            </w:r>
          </w:p>
        </w:tc>
        <w:tc>
          <w:tcPr>
            <w:tcW w:w="3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648</w:t>
            </w:r>
          </w:p>
        </w:tc>
        <w:tc>
          <w:tcPr>
            <w:tcW w:w="4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32.4</w:t>
            </w:r>
          </w:p>
        </w:tc>
        <w:tc>
          <w:tcPr>
            <w:tcW w:w="364"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64.8</w:t>
            </w:r>
          </w:p>
        </w:tc>
        <w:tc>
          <w:tcPr>
            <w:tcW w:w="4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$33,582.28</w:t>
            </w:r>
          </w:p>
        </w:tc>
      </w:tr>
      <w:tr w:rsidR="00681E0A" w:rsidRPr="00681E0A" w:rsidTr="00A9390C">
        <w:trPr>
          <w:trHeight w:val="152"/>
        </w:trPr>
        <w:tc>
          <w:tcPr>
            <w:tcW w:w="1660" w:type="pct"/>
            <w:tcBorders>
              <w:top w:val="nil"/>
              <w:left w:val="single" w:sz="4" w:space="0" w:color="auto"/>
              <w:bottom w:val="single" w:sz="4" w:space="0" w:color="auto"/>
              <w:right w:val="single" w:sz="4" w:space="0" w:color="auto"/>
            </w:tcBorders>
            <w:shd w:val="clear" w:color="auto" w:fill="auto"/>
            <w:noWrap/>
            <w:vAlign w:val="bottom"/>
            <w:hideMark/>
          </w:tcPr>
          <w:p w:rsidR="008B67A4" w:rsidRPr="00681E0A" w:rsidRDefault="008B67A4" w:rsidP="00A9390C">
            <w:pPr>
              <w:widowControl/>
              <w:autoSpaceDE/>
              <w:autoSpaceDN/>
              <w:adjustRightInd/>
              <w:ind w:firstLineChars="200" w:firstLine="360"/>
              <w:rPr>
                <w:color w:val="000000"/>
                <w:sz w:val="18"/>
                <w:szCs w:val="18"/>
              </w:rPr>
            </w:pPr>
            <w:r w:rsidRPr="00681E0A">
              <w:rPr>
                <w:color w:val="000000"/>
                <w:sz w:val="18"/>
                <w:szCs w:val="18"/>
              </w:rPr>
              <w:t>iii. Startup, shutdown malfunction (j)</w:t>
            </w:r>
          </w:p>
        </w:tc>
        <w:tc>
          <w:tcPr>
            <w:tcW w:w="463" w:type="pct"/>
            <w:tcBorders>
              <w:top w:val="nil"/>
              <w:left w:val="nil"/>
              <w:bottom w:val="single" w:sz="4" w:space="0" w:color="auto"/>
              <w:right w:val="single" w:sz="4" w:space="0" w:color="auto"/>
            </w:tcBorders>
            <w:shd w:val="clear" w:color="000000"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2</w:t>
            </w:r>
          </w:p>
        </w:tc>
        <w:tc>
          <w:tcPr>
            <w:tcW w:w="430" w:type="pct"/>
            <w:tcBorders>
              <w:top w:val="nil"/>
              <w:left w:val="nil"/>
              <w:bottom w:val="single" w:sz="4" w:space="0" w:color="auto"/>
              <w:right w:val="single" w:sz="4" w:space="0" w:color="auto"/>
            </w:tcBorders>
            <w:shd w:val="clear" w:color="000000"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2</w:t>
            </w:r>
          </w:p>
        </w:tc>
        <w:tc>
          <w:tcPr>
            <w:tcW w:w="431"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4</w:t>
            </w:r>
          </w:p>
        </w:tc>
        <w:tc>
          <w:tcPr>
            <w:tcW w:w="363" w:type="pct"/>
            <w:tcBorders>
              <w:top w:val="nil"/>
              <w:left w:val="nil"/>
              <w:bottom w:val="single" w:sz="4" w:space="0" w:color="auto"/>
              <w:right w:val="single" w:sz="4" w:space="0" w:color="auto"/>
            </w:tcBorders>
            <w:shd w:val="clear" w:color="000000"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27</w:t>
            </w:r>
          </w:p>
        </w:tc>
        <w:tc>
          <w:tcPr>
            <w:tcW w:w="3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108</w:t>
            </w:r>
          </w:p>
        </w:tc>
        <w:tc>
          <w:tcPr>
            <w:tcW w:w="4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5.4</w:t>
            </w:r>
          </w:p>
        </w:tc>
        <w:tc>
          <w:tcPr>
            <w:tcW w:w="364"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10.8</w:t>
            </w:r>
          </w:p>
        </w:tc>
        <w:tc>
          <w:tcPr>
            <w:tcW w:w="4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$5,597.05</w:t>
            </w:r>
          </w:p>
        </w:tc>
      </w:tr>
      <w:tr w:rsidR="00681E0A" w:rsidRPr="00681E0A" w:rsidTr="00A9390C">
        <w:trPr>
          <w:trHeight w:val="107"/>
        </w:trPr>
        <w:tc>
          <w:tcPr>
            <w:tcW w:w="1660" w:type="pct"/>
            <w:tcBorders>
              <w:top w:val="nil"/>
              <w:left w:val="single" w:sz="4" w:space="0" w:color="auto"/>
              <w:bottom w:val="single" w:sz="4" w:space="0" w:color="auto"/>
              <w:right w:val="single" w:sz="4" w:space="0" w:color="auto"/>
            </w:tcBorders>
            <w:shd w:val="clear" w:color="auto" w:fill="auto"/>
            <w:noWrap/>
            <w:vAlign w:val="bottom"/>
            <w:hideMark/>
          </w:tcPr>
          <w:p w:rsidR="008B67A4" w:rsidRPr="00681E0A" w:rsidRDefault="008B67A4" w:rsidP="00681E0A">
            <w:pPr>
              <w:widowControl/>
              <w:autoSpaceDE/>
              <w:autoSpaceDN/>
              <w:adjustRightInd/>
              <w:ind w:firstLineChars="200" w:firstLine="360"/>
              <w:rPr>
                <w:color w:val="000000"/>
                <w:sz w:val="18"/>
                <w:szCs w:val="18"/>
              </w:rPr>
            </w:pPr>
            <w:r w:rsidRPr="00681E0A">
              <w:rPr>
                <w:color w:val="000000"/>
                <w:sz w:val="18"/>
                <w:szCs w:val="18"/>
              </w:rPr>
              <w:t>iv. Leak detection and repair (LDAR) report (k)</w:t>
            </w:r>
          </w:p>
        </w:tc>
        <w:tc>
          <w:tcPr>
            <w:tcW w:w="463" w:type="pct"/>
            <w:tcBorders>
              <w:top w:val="nil"/>
              <w:left w:val="nil"/>
              <w:bottom w:val="single" w:sz="4" w:space="0" w:color="auto"/>
              <w:right w:val="single" w:sz="4" w:space="0" w:color="auto"/>
            </w:tcBorders>
            <w:shd w:val="clear" w:color="000000"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8</w:t>
            </w:r>
          </w:p>
        </w:tc>
        <w:tc>
          <w:tcPr>
            <w:tcW w:w="430" w:type="pct"/>
            <w:tcBorders>
              <w:top w:val="nil"/>
              <w:left w:val="nil"/>
              <w:bottom w:val="single" w:sz="4" w:space="0" w:color="auto"/>
              <w:right w:val="single" w:sz="4" w:space="0" w:color="auto"/>
            </w:tcBorders>
            <w:shd w:val="clear" w:color="000000"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2</w:t>
            </w:r>
          </w:p>
        </w:tc>
        <w:tc>
          <w:tcPr>
            <w:tcW w:w="431"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16</w:t>
            </w:r>
          </w:p>
        </w:tc>
        <w:tc>
          <w:tcPr>
            <w:tcW w:w="363" w:type="pct"/>
            <w:tcBorders>
              <w:top w:val="nil"/>
              <w:left w:val="nil"/>
              <w:bottom w:val="single" w:sz="4" w:space="0" w:color="auto"/>
              <w:right w:val="single" w:sz="4" w:space="0" w:color="auto"/>
            </w:tcBorders>
            <w:shd w:val="clear" w:color="000000"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27</w:t>
            </w:r>
          </w:p>
        </w:tc>
        <w:tc>
          <w:tcPr>
            <w:tcW w:w="3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432</w:t>
            </w:r>
          </w:p>
        </w:tc>
        <w:tc>
          <w:tcPr>
            <w:tcW w:w="4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21.6</w:t>
            </w:r>
          </w:p>
        </w:tc>
        <w:tc>
          <w:tcPr>
            <w:tcW w:w="364"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43.2</w:t>
            </w:r>
          </w:p>
        </w:tc>
        <w:tc>
          <w:tcPr>
            <w:tcW w:w="4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4C6F91">
            <w:pPr>
              <w:widowControl/>
              <w:autoSpaceDE/>
              <w:autoSpaceDN/>
              <w:adjustRightInd/>
              <w:jc w:val="right"/>
              <w:rPr>
                <w:color w:val="000000"/>
                <w:sz w:val="18"/>
                <w:szCs w:val="18"/>
              </w:rPr>
            </w:pPr>
            <w:r w:rsidRPr="00681E0A">
              <w:rPr>
                <w:color w:val="000000"/>
                <w:sz w:val="18"/>
                <w:szCs w:val="18"/>
              </w:rPr>
              <w:t>$22,388.18</w:t>
            </w:r>
          </w:p>
        </w:tc>
      </w:tr>
      <w:tr w:rsidR="00681E0A" w:rsidRPr="00681E0A" w:rsidTr="00A9390C">
        <w:trPr>
          <w:trHeight w:val="170"/>
        </w:trPr>
        <w:tc>
          <w:tcPr>
            <w:tcW w:w="1660" w:type="pct"/>
            <w:tcBorders>
              <w:top w:val="nil"/>
              <w:left w:val="single" w:sz="4" w:space="0" w:color="auto"/>
              <w:bottom w:val="single" w:sz="4" w:space="0" w:color="auto"/>
              <w:right w:val="single" w:sz="4" w:space="0" w:color="auto"/>
            </w:tcBorders>
            <w:shd w:val="clear" w:color="auto" w:fill="auto"/>
            <w:noWrap/>
            <w:vAlign w:val="bottom"/>
            <w:hideMark/>
          </w:tcPr>
          <w:p w:rsidR="00372D0B" w:rsidRPr="00681E0A" w:rsidRDefault="00372D0B" w:rsidP="00681E0A">
            <w:pPr>
              <w:widowControl/>
              <w:autoSpaceDE/>
              <w:autoSpaceDN/>
              <w:adjustRightInd/>
              <w:ind w:firstLineChars="200" w:firstLine="360"/>
              <w:rPr>
                <w:color w:val="000000"/>
                <w:sz w:val="18"/>
                <w:szCs w:val="18"/>
              </w:rPr>
            </w:pPr>
            <w:r w:rsidRPr="00681E0A">
              <w:rPr>
                <w:color w:val="000000"/>
                <w:sz w:val="18"/>
                <w:szCs w:val="18"/>
              </w:rPr>
              <w:t>v. Emissions averaging report (l)</w:t>
            </w:r>
          </w:p>
        </w:tc>
        <w:tc>
          <w:tcPr>
            <w:tcW w:w="463" w:type="pct"/>
            <w:tcBorders>
              <w:top w:val="nil"/>
              <w:left w:val="nil"/>
              <w:bottom w:val="single" w:sz="4" w:space="0" w:color="auto"/>
              <w:right w:val="single" w:sz="4" w:space="0" w:color="auto"/>
            </w:tcBorders>
            <w:shd w:val="clear" w:color="000000" w:fill="auto"/>
            <w:noWrap/>
            <w:vAlign w:val="bottom"/>
            <w:hideMark/>
          </w:tcPr>
          <w:p w:rsidR="00372D0B" w:rsidRPr="00681E0A" w:rsidRDefault="00372D0B" w:rsidP="004C6F91">
            <w:pPr>
              <w:widowControl/>
              <w:autoSpaceDE/>
              <w:autoSpaceDN/>
              <w:adjustRightInd/>
              <w:jc w:val="right"/>
              <w:rPr>
                <w:color w:val="000000"/>
                <w:sz w:val="18"/>
                <w:szCs w:val="18"/>
              </w:rPr>
            </w:pPr>
            <w:r w:rsidRPr="00681E0A">
              <w:rPr>
                <w:color w:val="000000"/>
                <w:sz w:val="18"/>
                <w:szCs w:val="18"/>
              </w:rPr>
              <w:t>8</w:t>
            </w:r>
          </w:p>
        </w:tc>
        <w:tc>
          <w:tcPr>
            <w:tcW w:w="430" w:type="pct"/>
            <w:tcBorders>
              <w:top w:val="nil"/>
              <w:left w:val="nil"/>
              <w:bottom w:val="single" w:sz="4" w:space="0" w:color="auto"/>
              <w:right w:val="single" w:sz="4" w:space="0" w:color="auto"/>
            </w:tcBorders>
            <w:shd w:val="clear" w:color="000000" w:fill="auto"/>
            <w:noWrap/>
            <w:vAlign w:val="bottom"/>
            <w:hideMark/>
          </w:tcPr>
          <w:p w:rsidR="00372D0B" w:rsidRPr="00681E0A" w:rsidRDefault="00372D0B" w:rsidP="004C6F91">
            <w:pPr>
              <w:widowControl/>
              <w:autoSpaceDE/>
              <w:autoSpaceDN/>
              <w:adjustRightInd/>
              <w:jc w:val="right"/>
              <w:rPr>
                <w:color w:val="000000"/>
                <w:sz w:val="18"/>
                <w:szCs w:val="18"/>
              </w:rPr>
            </w:pPr>
            <w:r w:rsidRPr="00681E0A">
              <w:rPr>
                <w:color w:val="000000"/>
                <w:sz w:val="18"/>
                <w:szCs w:val="18"/>
              </w:rPr>
              <w:t>2</w:t>
            </w:r>
          </w:p>
        </w:tc>
        <w:tc>
          <w:tcPr>
            <w:tcW w:w="431" w:type="pct"/>
            <w:tcBorders>
              <w:top w:val="nil"/>
              <w:left w:val="nil"/>
              <w:bottom w:val="single" w:sz="4" w:space="0" w:color="auto"/>
              <w:right w:val="single" w:sz="4" w:space="0" w:color="auto"/>
            </w:tcBorders>
            <w:shd w:val="clear" w:color="auto" w:fill="auto"/>
            <w:noWrap/>
            <w:vAlign w:val="bottom"/>
            <w:hideMark/>
          </w:tcPr>
          <w:p w:rsidR="00372D0B" w:rsidRPr="00681E0A" w:rsidRDefault="00372D0B" w:rsidP="004C6F91">
            <w:pPr>
              <w:widowControl/>
              <w:autoSpaceDE/>
              <w:autoSpaceDN/>
              <w:adjustRightInd/>
              <w:jc w:val="right"/>
              <w:rPr>
                <w:color w:val="000000"/>
                <w:sz w:val="18"/>
                <w:szCs w:val="18"/>
              </w:rPr>
            </w:pPr>
            <w:r w:rsidRPr="00681E0A">
              <w:rPr>
                <w:color w:val="000000"/>
                <w:sz w:val="18"/>
                <w:szCs w:val="18"/>
              </w:rPr>
              <w:t>16</w:t>
            </w:r>
          </w:p>
        </w:tc>
        <w:tc>
          <w:tcPr>
            <w:tcW w:w="363" w:type="pct"/>
            <w:tcBorders>
              <w:top w:val="nil"/>
              <w:left w:val="nil"/>
              <w:bottom w:val="single" w:sz="4" w:space="0" w:color="auto"/>
              <w:right w:val="single" w:sz="4" w:space="0" w:color="auto"/>
            </w:tcBorders>
            <w:shd w:val="clear" w:color="000000" w:fill="auto"/>
            <w:noWrap/>
            <w:vAlign w:val="bottom"/>
            <w:hideMark/>
          </w:tcPr>
          <w:p w:rsidR="00372D0B" w:rsidRPr="00681E0A" w:rsidRDefault="00372D0B" w:rsidP="004C6F91">
            <w:pPr>
              <w:widowControl/>
              <w:autoSpaceDE/>
              <w:autoSpaceDN/>
              <w:adjustRightInd/>
              <w:jc w:val="right"/>
              <w:rPr>
                <w:color w:val="000000"/>
                <w:sz w:val="18"/>
                <w:szCs w:val="18"/>
              </w:rPr>
            </w:pPr>
            <w:r w:rsidRPr="00681E0A">
              <w:rPr>
                <w:color w:val="000000"/>
                <w:sz w:val="18"/>
                <w:szCs w:val="18"/>
              </w:rPr>
              <w:t>3</w:t>
            </w:r>
          </w:p>
        </w:tc>
        <w:tc>
          <w:tcPr>
            <w:tcW w:w="363" w:type="pct"/>
            <w:tcBorders>
              <w:top w:val="nil"/>
              <w:left w:val="nil"/>
              <w:bottom w:val="single" w:sz="4" w:space="0" w:color="auto"/>
              <w:right w:val="single" w:sz="4" w:space="0" w:color="auto"/>
            </w:tcBorders>
            <w:shd w:val="clear" w:color="auto" w:fill="auto"/>
            <w:noWrap/>
            <w:vAlign w:val="bottom"/>
            <w:hideMark/>
          </w:tcPr>
          <w:p w:rsidR="00372D0B" w:rsidRPr="00681E0A" w:rsidRDefault="00372D0B">
            <w:pPr>
              <w:jc w:val="right"/>
              <w:rPr>
                <w:sz w:val="18"/>
                <w:szCs w:val="18"/>
              </w:rPr>
            </w:pPr>
            <w:r w:rsidRPr="00681E0A">
              <w:rPr>
                <w:sz w:val="18"/>
                <w:szCs w:val="18"/>
              </w:rPr>
              <w:t>48</w:t>
            </w:r>
          </w:p>
        </w:tc>
        <w:tc>
          <w:tcPr>
            <w:tcW w:w="463" w:type="pct"/>
            <w:tcBorders>
              <w:top w:val="nil"/>
              <w:left w:val="nil"/>
              <w:bottom w:val="single" w:sz="4" w:space="0" w:color="auto"/>
              <w:right w:val="single" w:sz="4" w:space="0" w:color="auto"/>
            </w:tcBorders>
            <w:shd w:val="clear" w:color="auto" w:fill="auto"/>
            <w:noWrap/>
            <w:vAlign w:val="bottom"/>
            <w:hideMark/>
          </w:tcPr>
          <w:p w:rsidR="00372D0B" w:rsidRPr="00681E0A" w:rsidRDefault="00372D0B">
            <w:pPr>
              <w:jc w:val="right"/>
              <w:rPr>
                <w:sz w:val="18"/>
                <w:szCs w:val="18"/>
              </w:rPr>
            </w:pPr>
            <w:r w:rsidRPr="00681E0A">
              <w:rPr>
                <w:sz w:val="18"/>
                <w:szCs w:val="18"/>
              </w:rPr>
              <w:t>2.4</w:t>
            </w:r>
          </w:p>
        </w:tc>
        <w:tc>
          <w:tcPr>
            <w:tcW w:w="364" w:type="pct"/>
            <w:tcBorders>
              <w:top w:val="nil"/>
              <w:left w:val="nil"/>
              <w:bottom w:val="single" w:sz="4" w:space="0" w:color="auto"/>
              <w:right w:val="single" w:sz="4" w:space="0" w:color="auto"/>
            </w:tcBorders>
            <w:shd w:val="clear" w:color="auto" w:fill="auto"/>
            <w:noWrap/>
            <w:vAlign w:val="bottom"/>
            <w:hideMark/>
          </w:tcPr>
          <w:p w:rsidR="00372D0B" w:rsidRPr="00681E0A" w:rsidRDefault="00372D0B">
            <w:pPr>
              <w:jc w:val="right"/>
              <w:rPr>
                <w:sz w:val="18"/>
                <w:szCs w:val="18"/>
              </w:rPr>
            </w:pPr>
            <w:r w:rsidRPr="00681E0A">
              <w:rPr>
                <w:sz w:val="18"/>
                <w:szCs w:val="18"/>
              </w:rPr>
              <w:t>4.8</w:t>
            </w:r>
          </w:p>
        </w:tc>
        <w:tc>
          <w:tcPr>
            <w:tcW w:w="463" w:type="pct"/>
            <w:tcBorders>
              <w:top w:val="nil"/>
              <w:left w:val="nil"/>
              <w:bottom w:val="single" w:sz="4" w:space="0" w:color="auto"/>
              <w:right w:val="single" w:sz="4" w:space="0" w:color="auto"/>
            </w:tcBorders>
            <w:shd w:val="clear" w:color="auto" w:fill="auto"/>
            <w:noWrap/>
            <w:vAlign w:val="bottom"/>
            <w:hideMark/>
          </w:tcPr>
          <w:p w:rsidR="00372D0B" w:rsidRPr="00681E0A" w:rsidRDefault="00372D0B">
            <w:pPr>
              <w:jc w:val="right"/>
              <w:rPr>
                <w:sz w:val="18"/>
                <w:szCs w:val="18"/>
              </w:rPr>
            </w:pPr>
            <w:r w:rsidRPr="00681E0A">
              <w:rPr>
                <w:sz w:val="18"/>
                <w:szCs w:val="18"/>
              </w:rPr>
              <w:t>$2,487.58</w:t>
            </w:r>
          </w:p>
        </w:tc>
      </w:tr>
      <w:tr w:rsidR="00681E0A" w:rsidRPr="00681E0A" w:rsidTr="00A9390C">
        <w:trPr>
          <w:trHeight w:val="125"/>
        </w:trPr>
        <w:tc>
          <w:tcPr>
            <w:tcW w:w="1660" w:type="pct"/>
            <w:tcBorders>
              <w:top w:val="nil"/>
              <w:left w:val="single" w:sz="4" w:space="0" w:color="auto"/>
              <w:bottom w:val="single" w:sz="4" w:space="0" w:color="auto"/>
              <w:right w:val="single" w:sz="4" w:space="0" w:color="auto"/>
            </w:tcBorders>
            <w:shd w:val="clear" w:color="auto" w:fill="auto"/>
            <w:noWrap/>
            <w:vAlign w:val="bottom"/>
            <w:hideMark/>
          </w:tcPr>
          <w:p w:rsidR="004C6F91" w:rsidRPr="00681E0A" w:rsidRDefault="008B67A4" w:rsidP="00A9390C">
            <w:pPr>
              <w:widowControl/>
              <w:autoSpaceDE/>
              <w:autoSpaceDN/>
              <w:adjustRightInd/>
              <w:rPr>
                <w:b/>
                <w:bCs/>
                <w:color w:val="000000"/>
                <w:sz w:val="18"/>
                <w:szCs w:val="18"/>
              </w:rPr>
            </w:pPr>
            <w:r w:rsidRPr="00681E0A">
              <w:rPr>
                <w:b/>
                <w:bCs/>
                <w:color w:val="000000"/>
                <w:sz w:val="18"/>
                <w:szCs w:val="18"/>
              </w:rPr>
              <w:t>Total Annual Burden and Cost</w:t>
            </w:r>
            <w:r w:rsidR="00A9390C">
              <w:rPr>
                <w:b/>
                <w:bCs/>
                <w:color w:val="000000"/>
                <w:sz w:val="18"/>
                <w:szCs w:val="18"/>
              </w:rPr>
              <w:t xml:space="preserve"> (rounded)</w:t>
            </w:r>
          </w:p>
        </w:tc>
        <w:tc>
          <w:tcPr>
            <w:tcW w:w="463" w:type="pct"/>
            <w:tcBorders>
              <w:top w:val="nil"/>
              <w:left w:val="nil"/>
              <w:bottom w:val="single" w:sz="4" w:space="0" w:color="auto"/>
              <w:right w:val="nil"/>
            </w:tcBorders>
            <w:shd w:val="clear" w:color="000000"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430" w:type="pct"/>
            <w:tcBorders>
              <w:top w:val="nil"/>
              <w:left w:val="nil"/>
              <w:bottom w:val="single" w:sz="4" w:space="0" w:color="auto"/>
              <w:right w:val="nil"/>
            </w:tcBorders>
            <w:shd w:val="clear" w:color="000000"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431" w:type="pct"/>
            <w:tcBorders>
              <w:top w:val="nil"/>
              <w:left w:val="nil"/>
              <w:bottom w:val="single" w:sz="4" w:space="0" w:color="auto"/>
              <w:right w:val="nil"/>
            </w:tcBorders>
            <w:shd w:val="clear" w:color="auto"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363" w:type="pct"/>
            <w:tcBorders>
              <w:top w:val="nil"/>
              <w:left w:val="nil"/>
              <w:bottom w:val="single" w:sz="4" w:space="0" w:color="auto"/>
              <w:right w:val="single" w:sz="4" w:space="0" w:color="auto"/>
            </w:tcBorders>
            <w:shd w:val="clear" w:color="000000" w:fill="auto"/>
            <w:noWrap/>
            <w:vAlign w:val="bottom"/>
            <w:hideMark/>
          </w:tcPr>
          <w:p w:rsidR="004C6F91" w:rsidRPr="00681E0A" w:rsidRDefault="008B67A4" w:rsidP="004C6F91">
            <w:pPr>
              <w:widowControl/>
              <w:autoSpaceDE/>
              <w:autoSpaceDN/>
              <w:adjustRightInd/>
              <w:rPr>
                <w:color w:val="000000"/>
                <w:sz w:val="18"/>
                <w:szCs w:val="18"/>
              </w:rPr>
            </w:pPr>
            <w:r w:rsidRPr="00681E0A">
              <w:rPr>
                <w:color w:val="000000"/>
                <w:sz w:val="18"/>
                <w:szCs w:val="18"/>
              </w:rPr>
              <w:t> </w:t>
            </w:r>
          </w:p>
        </w:tc>
        <w:tc>
          <w:tcPr>
            <w:tcW w:w="1190" w:type="pct"/>
            <w:gridSpan w:val="3"/>
            <w:tcBorders>
              <w:top w:val="single" w:sz="4" w:space="0" w:color="auto"/>
              <w:left w:val="nil"/>
              <w:bottom w:val="single" w:sz="4" w:space="0" w:color="auto"/>
              <w:right w:val="single" w:sz="4" w:space="0" w:color="000000"/>
            </w:tcBorders>
            <w:shd w:val="clear" w:color="auto" w:fill="auto"/>
            <w:noWrap/>
            <w:vAlign w:val="bottom"/>
            <w:hideMark/>
          </w:tcPr>
          <w:p w:rsidR="004C6F91" w:rsidRPr="00681E0A" w:rsidRDefault="008B67A4" w:rsidP="00372D0B">
            <w:pPr>
              <w:widowControl/>
              <w:autoSpaceDE/>
              <w:autoSpaceDN/>
              <w:adjustRightInd/>
              <w:jc w:val="center"/>
              <w:rPr>
                <w:b/>
                <w:color w:val="000000"/>
                <w:sz w:val="18"/>
                <w:szCs w:val="18"/>
              </w:rPr>
            </w:pPr>
            <w:r w:rsidRPr="00681E0A">
              <w:rPr>
                <w:b/>
                <w:color w:val="000000"/>
                <w:sz w:val="18"/>
                <w:szCs w:val="18"/>
              </w:rPr>
              <w:t>1,</w:t>
            </w:r>
            <w:r w:rsidR="00372D0B" w:rsidRPr="00681E0A">
              <w:rPr>
                <w:b/>
                <w:color w:val="000000"/>
                <w:sz w:val="18"/>
                <w:szCs w:val="18"/>
              </w:rPr>
              <w:t>587</w:t>
            </w:r>
          </w:p>
        </w:tc>
        <w:tc>
          <w:tcPr>
            <w:tcW w:w="463" w:type="pct"/>
            <w:tcBorders>
              <w:top w:val="nil"/>
              <w:left w:val="nil"/>
              <w:bottom w:val="single" w:sz="4" w:space="0" w:color="auto"/>
              <w:right w:val="single" w:sz="4" w:space="0" w:color="auto"/>
            </w:tcBorders>
            <w:shd w:val="clear" w:color="auto" w:fill="auto"/>
            <w:noWrap/>
            <w:vAlign w:val="bottom"/>
            <w:hideMark/>
          </w:tcPr>
          <w:p w:rsidR="004C6F91" w:rsidRPr="00681E0A" w:rsidRDefault="008B67A4" w:rsidP="00185172">
            <w:pPr>
              <w:widowControl/>
              <w:autoSpaceDE/>
              <w:autoSpaceDN/>
              <w:adjustRightInd/>
              <w:jc w:val="right"/>
              <w:rPr>
                <w:b/>
                <w:color w:val="000000"/>
                <w:sz w:val="18"/>
                <w:szCs w:val="18"/>
              </w:rPr>
            </w:pPr>
            <w:r w:rsidRPr="00681E0A">
              <w:rPr>
                <w:b/>
                <w:color w:val="000000"/>
                <w:sz w:val="18"/>
                <w:szCs w:val="18"/>
              </w:rPr>
              <w:t>$71,</w:t>
            </w:r>
            <w:r w:rsidR="00372D0B" w:rsidRPr="00681E0A">
              <w:rPr>
                <w:b/>
                <w:color w:val="000000"/>
                <w:sz w:val="18"/>
                <w:szCs w:val="18"/>
              </w:rPr>
              <w:t>51</w:t>
            </w:r>
            <w:r w:rsidR="00185172">
              <w:rPr>
                <w:b/>
                <w:color w:val="000000"/>
                <w:sz w:val="18"/>
                <w:szCs w:val="18"/>
              </w:rPr>
              <w:t>8</w:t>
            </w:r>
          </w:p>
        </w:tc>
      </w:tr>
    </w:tbl>
    <w:p w:rsidR="004C6F91" w:rsidRDefault="004C6F91" w:rsidP="00F340DF">
      <w:pPr>
        <w:rPr>
          <w:color w:val="000000"/>
        </w:rPr>
      </w:pPr>
    </w:p>
    <w:tbl>
      <w:tblPr>
        <w:tblW w:w="5000" w:type="pct"/>
        <w:tblLook w:val="04A0"/>
      </w:tblPr>
      <w:tblGrid>
        <w:gridCol w:w="13266"/>
      </w:tblGrid>
      <w:tr w:rsidR="004C6F91" w:rsidRPr="004C6F91" w:rsidTr="004C6F91">
        <w:trPr>
          <w:trHeight w:val="300"/>
        </w:trPr>
        <w:tc>
          <w:tcPr>
            <w:tcW w:w="5000" w:type="pct"/>
            <w:tcBorders>
              <w:top w:val="nil"/>
              <w:left w:val="nil"/>
              <w:bottom w:val="nil"/>
              <w:right w:val="nil"/>
            </w:tcBorders>
            <w:shd w:val="clear" w:color="auto" w:fill="auto"/>
            <w:noWrap/>
            <w:vAlign w:val="bottom"/>
            <w:hideMark/>
          </w:tcPr>
          <w:p w:rsidR="004C6F91" w:rsidRPr="004C6F91" w:rsidRDefault="004C6F91" w:rsidP="004C6F91">
            <w:pPr>
              <w:widowControl/>
              <w:autoSpaceDE/>
              <w:autoSpaceDN/>
              <w:adjustRightInd/>
              <w:rPr>
                <w:b/>
                <w:bCs/>
                <w:color w:val="000000"/>
                <w:sz w:val="20"/>
                <w:szCs w:val="20"/>
              </w:rPr>
            </w:pPr>
            <w:r w:rsidRPr="004C6F91">
              <w:rPr>
                <w:b/>
                <w:bCs/>
                <w:color w:val="000000"/>
                <w:sz w:val="20"/>
                <w:szCs w:val="20"/>
              </w:rPr>
              <w:t>Assumptions:</w:t>
            </w:r>
          </w:p>
        </w:tc>
      </w:tr>
      <w:tr w:rsidR="004C6F91" w:rsidRPr="004C6F91" w:rsidTr="004C6F91">
        <w:trPr>
          <w:trHeight w:val="375"/>
        </w:trPr>
        <w:tc>
          <w:tcPr>
            <w:tcW w:w="5000" w:type="pct"/>
            <w:tcBorders>
              <w:top w:val="nil"/>
              <w:left w:val="nil"/>
              <w:bottom w:val="nil"/>
              <w:right w:val="nil"/>
            </w:tcBorders>
            <w:shd w:val="clear" w:color="auto" w:fill="auto"/>
            <w:noWrap/>
            <w:vAlign w:val="bottom"/>
            <w:hideMark/>
          </w:tcPr>
          <w:p w:rsidR="004C6F91" w:rsidRPr="004C6F91" w:rsidRDefault="004C6F91" w:rsidP="004C6F91">
            <w:pPr>
              <w:widowControl/>
              <w:autoSpaceDE/>
              <w:autoSpaceDN/>
              <w:adjustRightInd/>
              <w:rPr>
                <w:color w:val="000000"/>
              </w:rPr>
            </w:pPr>
            <w:r w:rsidRPr="004C6F91">
              <w:rPr>
                <w:color w:val="000000"/>
                <w:vertAlign w:val="superscript"/>
              </w:rPr>
              <w:t>a</w:t>
            </w:r>
            <w:r w:rsidRPr="004C6F91">
              <w:rPr>
                <w:color w:val="000000"/>
                <w:sz w:val="20"/>
                <w:szCs w:val="20"/>
              </w:rPr>
              <w:t xml:space="preserve">  We have assumed that the average number of respondents that will be subject to this rule will be 27.  There will be no new additional sources during the next three years of this ICR.</w:t>
            </w:r>
          </w:p>
        </w:tc>
      </w:tr>
      <w:tr w:rsidR="004C6F91" w:rsidRPr="004C6F91" w:rsidTr="004C6F91">
        <w:trPr>
          <w:trHeight w:val="375"/>
        </w:trPr>
        <w:tc>
          <w:tcPr>
            <w:tcW w:w="5000" w:type="pct"/>
            <w:tcBorders>
              <w:top w:val="nil"/>
              <w:left w:val="nil"/>
              <w:bottom w:val="nil"/>
              <w:right w:val="nil"/>
            </w:tcBorders>
            <w:shd w:val="clear" w:color="auto" w:fill="auto"/>
            <w:noWrap/>
            <w:vAlign w:val="bottom"/>
            <w:hideMark/>
          </w:tcPr>
          <w:p w:rsidR="004C6F91" w:rsidRPr="004C6F91" w:rsidRDefault="004C6F91" w:rsidP="004C6F91">
            <w:pPr>
              <w:widowControl/>
              <w:autoSpaceDE/>
              <w:autoSpaceDN/>
              <w:adjustRightInd/>
              <w:rPr>
                <w:color w:val="000000"/>
              </w:rPr>
            </w:pPr>
            <w:r w:rsidRPr="004C6F91">
              <w:rPr>
                <w:color w:val="000000"/>
                <w:vertAlign w:val="superscript"/>
              </w:rPr>
              <w:t>b</w:t>
            </w:r>
            <w:r w:rsidRPr="004C6F91">
              <w:rPr>
                <w:color w:val="000000"/>
                <w:sz w:val="20"/>
                <w:szCs w:val="20"/>
              </w:rPr>
              <w:t xml:space="preserve">  This cost is based on the following labor rates which incorporates a 1.6 benefits multiplication factor to account for government overhead expenses: $62.27 Managerial rate (GS-13, Step 5, $38.92 x 1.6), $46.21 Technical rate (GS-12, Step 1, $28.88 x 1.6), and $25.01 Clerical rate (GS-6, Step 3, $15.63 x 1.6).  These rates are from the Office of Personnel Management (OPM) 2013 General Schedule which excludes locality rates of pay.</w:t>
            </w:r>
          </w:p>
        </w:tc>
      </w:tr>
      <w:tr w:rsidR="004C6F91" w:rsidRPr="004C6F91" w:rsidTr="004C6F91">
        <w:trPr>
          <w:trHeight w:val="375"/>
        </w:trPr>
        <w:tc>
          <w:tcPr>
            <w:tcW w:w="5000" w:type="pct"/>
            <w:tcBorders>
              <w:top w:val="nil"/>
              <w:left w:val="nil"/>
              <w:bottom w:val="nil"/>
              <w:right w:val="nil"/>
            </w:tcBorders>
            <w:shd w:val="clear" w:color="auto" w:fill="auto"/>
            <w:noWrap/>
            <w:vAlign w:val="bottom"/>
            <w:hideMark/>
          </w:tcPr>
          <w:p w:rsidR="004C6F91" w:rsidRPr="004C6F91" w:rsidRDefault="004C6F91" w:rsidP="004C6F91">
            <w:pPr>
              <w:widowControl/>
              <w:autoSpaceDE/>
              <w:autoSpaceDN/>
              <w:adjustRightInd/>
              <w:rPr>
                <w:color w:val="000000"/>
              </w:rPr>
            </w:pPr>
            <w:r w:rsidRPr="004C6F91">
              <w:rPr>
                <w:color w:val="000000"/>
                <w:vertAlign w:val="superscript"/>
              </w:rPr>
              <w:lastRenderedPageBreak/>
              <w:t>c</w:t>
            </w:r>
            <w:r w:rsidRPr="004C6F91">
              <w:rPr>
                <w:color w:val="000000"/>
                <w:sz w:val="20"/>
                <w:szCs w:val="20"/>
              </w:rPr>
              <w:t xml:space="preserve">  We have assumed that there will be no new or reconstructed facilities during the next three years of this ICR.</w:t>
            </w:r>
          </w:p>
        </w:tc>
      </w:tr>
      <w:tr w:rsidR="004C6F91" w:rsidRPr="004C6F91" w:rsidTr="00A9390C">
        <w:trPr>
          <w:trHeight w:val="80"/>
        </w:trPr>
        <w:tc>
          <w:tcPr>
            <w:tcW w:w="5000" w:type="pct"/>
            <w:tcBorders>
              <w:top w:val="nil"/>
              <w:left w:val="nil"/>
              <w:bottom w:val="nil"/>
              <w:right w:val="nil"/>
            </w:tcBorders>
            <w:shd w:val="clear" w:color="auto" w:fill="auto"/>
            <w:noWrap/>
            <w:vAlign w:val="bottom"/>
            <w:hideMark/>
          </w:tcPr>
          <w:p w:rsidR="004C6F91" w:rsidRPr="004C6F91" w:rsidRDefault="004C6F91" w:rsidP="004C6F91">
            <w:pPr>
              <w:widowControl/>
              <w:autoSpaceDE/>
              <w:autoSpaceDN/>
              <w:adjustRightInd/>
              <w:rPr>
                <w:color w:val="000000"/>
              </w:rPr>
            </w:pPr>
            <w:r w:rsidRPr="004C6F91">
              <w:rPr>
                <w:color w:val="000000"/>
                <w:vertAlign w:val="superscript"/>
              </w:rPr>
              <w:t>d</w:t>
            </w:r>
            <w:r w:rsidRPr="004C6F91">
              <w:rPr>
                <w:color w:val="000000"/>
                <w:sz w:val="20"/>
                <w:szCs w:val="20"/>
              </w:rPr>
              <w:t xml:space="preserve">  We have assumed that 20 percent of respondents would have to repeat performance tests due to failure.</w:t>
            </w:r>
            <w:r w:rsidRPr="004C6F91">
              <w:rPr>
                <w:color w:val="000000"/>
                <w:sz w:val="20"/>
                <w:szCs w:val="20"/>
                <w:vertAlign w:val="superscript"/>
              </w:rPr>
              <w:t xml:space="preserve"> </w:t>
            </w:r>
          </w:p>
        </w:tc>
      </w:tr>
      <w:tr w:rsidR="004C6F91" w:rsidRPr="004C6F91" w:rsidTr="00A9390C">
        <w:trPr>
          <w:trHeight w:val="90"/>
        </w:trPr>
        <w:tc>
          <w:tcPr>
            <w:tcW w:w="5000" w:type="pct"/>
            <w:tcBorders>
              <w:top w:val="nil"/>
              <w:left w:val="nil"/>
              <w:bottom w:val="nil"/>
              <w:right w:val="nil"/>
            </w:tcBorders>
            <w:shd w:val="clear" w:color="auto" w:fill="auto"/>
            <w:noWrap/>
            <w:vAlign w:val="bottom"/>
            <w:hideMark/>
          </w:tcPr>
          <w:p w:rsidR="004C6F91" w:rsidRPr="004C6F91" w:rsidRDefault="004C6F91" w:rsidP="004C6F91">
            <w:pPr>
              <w:widowControl/>
              <w:autoSpaceDE/>
              <w:autoSpaceDN/>
              <w:adjustRightInd/>
              <w:rPr>
                <w:color w:val="000000"/>
                <w:sz w:val="20"/>
                <w:szCs w:val="20"/>
              </w:rPr>
            </w:pPr>
            <w:r w:rsidRPr="004C6F91">
              <w:rPr>
                <w:color w:val="000000"/>
                <w:sz w:val="20"/>
                <w:szCs w:val="20"/>
                <w:vertAlign w:val="superscript"/>
              </w:rPr>
              <w:t>e</w:t>
            </w:r>
            <w:r w:rsidRPr="004C6F91">
              <w:rPr>
                <w:color w:val="000000"/>
                <w:sz w:val="20"/>
                <w:szCs w:val="20"/>
              </w:rPr>
              <w:t xml:space="preserve">  We have assumed that 50 percent of new facilities will submit a pre-compliance report.</w:t>
            </w:r>
          </w:p>
        </w:tc>
      </w:tr>
      <w:tr w:rsidR="004C6F91" w:rsidRPr="004C6F91" w:rsidTr="004C6F91">
        <w:trPr>
          <w:trHeight w:val="330"/>
        </w:trPr>
        <w:tc>
          <w:tcPr>
            <w:tcW w:w="5000" w:type="pct"/>
            <w:tcBorders>
              <w:top w:val="nil"/>
              <w:left w:val="nil"/>
              <w:bottom w:val="nil"/>
              <w:right w:val="nil"/>
            </w:tcBorders>
            <w:shd w:val="clear" w:color="auto" w:fill="auto"/>
            <w:noWrap/>
            <w:vAlign w:val="bottom"/>
            <w:hideMark/>
          </w:tcPr>
          <w:p w:rsidR="004C6F91" w:rsidRPr="004C6F91" w:rsidRDefault="004C6F91" w:rsidP="004C6F91">
            <w:pPr>
              <w:widowControl/>
              <w:autoSpaceDE/>
              <w:autoSpaceDN/>
              <w:adjustRightInd/>
              <w:rPr>
                <w:color w:val="000000"/>
                <w:sz w:val="20"/>
                <w:szCs w:val="20"/>
              </w:rPr>
            </w:pPr>
            <w:r w:rsidRPr="004C6F91">
              <w:rPr>
                <w:color w:val="000000"/>
                <w:sz w:val="20"/>
                <w:szCs w:val="20"/>
                <w:vertAlign w:val="superscript"/>
              </w:rPr>
              <w:t>f</w:t>
            </w:r>
            <w:r w:rsidRPr="004C6F91">
              <w:rPr>
                <w:color w:val="000000"/>
                <w:sz w:val="20"/>
                <w:szCs w:val="20"/>
              </w:rPr>
              <w:t xml:space="preserve">  We have assumed that 10 percent of existing facilities will have to comply with emission averaging requirements; new facilities are not allowed to use emissions averaging.</w:t>
            </w:r>
          </w:p>
        </w:tc>
      </w:tr>
      <w:tr w:rsidR="004C6F91" w:rsidRPr="004C6F91" w:rsidTr="00A9390C">
        <w:trPr>
          <w:trHeight w:val="80"/>
        </w:trPr>
        <w:tc>
          <w:tcPr>
            <w:tcW w:w="5000" w:type="pct"/>
            <w:tcBorders>
              <w:top w:val="nil"/>
              <w:left w:val="nil"/>
              <w:bottom w:val="nil"/>
              <w:right w:val="nil"/>
            </w:tcBorders>
            <w:shd w:val="clear" w:color="auto" w:fill="auto"/>
            <w:noWrap/>
            <w:vAlign w:val="bottom"/>
            <w:hideMark/>
          </w:tcPr>
          <w:p w:rsidR="004C6F91" w:rsidRPr="004C6F91" w:rsidRDefault="004C6F91" w:rsidP="004C6F91">
            <w:pPr>
              <w:widowControl/>
              <w:autoSpaceDE/>
              <w:autoSpaceDN/>
              <w:adjustRightInd/>
              <w:rPr>
                <w:color w:val="000000"/>
                <w:sz w:val="20"/>
                <w:szCs w:val="20"/>
              </w:rPr>
            </w:pPr>
            <w:r w:rsidRPr="004C6F91">
              <w:rPr>
                <w:color w:val="000000"/>
                <w:sz w:val="20"/>
                <w:szCs w:val="20"/>
                <w:vertAlign w:val="superscript"/>
              </w:rPr>
              <w:t>g</w:t>
            </w:r>
            <w:r w:rsidRPr="004C6F91">
              <w:rPr>
                <w:color w:val="000000"/>
                <w:sz w:val="20"/>
                <w:szCs w:val="20"/>
              </w:rPr>
              <w:t xml:space="preserve">  We have assumed that 90 percent of respondents will each take two hours two times per year to complete this report.</w:t>
            </w:r>
          </w:p>
        </w:tc>
      </w:tr>
      <w:tr w:rsidR="004C6F91" w:rsidRPr="004C6F91" w:rsidTr="00A9390C">
        <w:trPr>
          <w:trHeight w:val="80"/>
        </w:trPr>
        <w:tc>
          <w:tcPr>
            <w:tcW w:w="5000" w:type="pct"/>
            <w:tcBorders>
              <w:top w:val="nil"/>
              <w:left w:val="nil"/>
              <w:bottom w:val="nil"/>
              <w:right w:val="nil"/>
            </w:tcBorders>
            <w:shd w:val="clear" w:color="auto" w:fill="auto"/>
            <w:noWrap/>
            <w:vAlign w:val="bottom"/>
            <w:hideMark/>
          </w:tcPr>
          <w:p w:rsidR="004C6F91" w:rsidRPr="004C6F91" w:rsidRDefault="004C6F91" w:rsidP="004C6F91">
            <w:pPr>
              <w:widowControl/>
              <w:autoSpaceDE/>
              <w:autoSpaceDN/>
              <w:adjustRightInd/>
              <w:rPr>
                <w:color w:val="000000"/>
                <w:sz w:val="20"/>
                <w:szCs w:val="20"/>
              </w:rPr>
            </w:pPr>
            <w:r w:rsidRPr="004C6F91">
              <w:rPr>
                <w:color w:val="000000"/>
                <w:sz w:val="20"/>
                <w:szCs w:val="20"/>
                <w:vertAlign w:val="superscript"/>
              </w:rPr>
              <w:t>h</w:t>
            </w:r>
            <w:r w:rsidRPr="004C6F91">
              <w:rPr>
                <w:color w:val="000000"/>
                <w:sz w:val="20"/>
                <w:szCs w:val="20"/>
              </w:rPr>
              <w:t xml:space="preserve">  We have assumed that 10 percent of respondents will have to report deviation.</w:t>
            </w:r>
          </w:p>
        </w:tc>
      </w:tr>
      <w:tr w:rsidR="004C6F91" w:rsidRPr="004C6F91" w:rsidTr="00A9390C">
        <w:trPr>
          <w:trHeight w:val="198"/>
        </w:trPr>
        <w:tc>
          <w:tcPr>
            <w:tcW w:w="5000" w:type="pct"/>
            <w:tcBorders>
              <w:top w:val="nil"/>
              <w:left w:val="nil"/>
              <w:bottom w:val="nil"/>
              <w:right w:val="nil"/>
            </w:tcBorders>
            <w:shd w:val="clear" w:color="auto" w:fill="auto"/>
            <w:noWrap/>
            <w:vAlign w:val="bottom"/>
            <w:hideMark/>
          </w:tcPr>
          <w:p w:rsidR="004C6F91" w:rsidRPr="004C6F91" w:rsidRDefault="004C6F91" w:rsidP="004C6F91">
            <w:pPr>
              <w:widowControl/>
              <w:autoSpaceDE/>
              <w:autoSpaceDN/>
              <w:adjustRightInd/>
              <w:rPr>
                <w:color w:val="000000"/>
                <w:sz w:val="20"/>
                <w:szCs w:val="20"/>
              </w:rPr>
            </w:pPr>
            <w:r w:rsidRPr="004C6F91">
              <w:rPr>
                <w:color w:val="000000"/>
                <w:sz w:val="20"/>
                <w:szCs w:val="20"/>
                <w:vertAlign w:val="superscript"/>
              </w:rPr>
              <w:t>i</w:t>
            </w:r>
            <w:r w:rsidRPr="004C6F91">
              <w:rPr>
                <w:color w:val="000000"/>
                <w:sz w:val="20"/>
                <w:szCs w:val="20"/>
              </w:rPr>
              <w:t xml:space="preserve">  We have assumed that each respondent will be required to review the physical/operational changes for each facility three times per year over the next three-year period of this ICR.</w:t>
            </w:r>
          </w:p>
        </w:tc>
      </w:tr>
      <w:tr w:rsidR="004C6F91" w:rsidRPr="004C6F91" w:rsidTr="00A9390C">
        <w:trPr>
          <w:trHeight w:val="108"/>
        </w:trPr>
        <w:tc>
          <w:tcPr>
            <w:tcW w:w="5000" w:type="pct"/>
            <w:tcBorders>
              <w:top w:val="nil"/>
              <w:left w:val="nil"/>
              <w:bottom w:val="nil"/>
              <w:right w:val="nil"/>
            </w:tcBorders>
            <w:shd w:val="clear" w:color="auto" w:fill="auto"/>
            <w:noWrap/>
            <w:vAlign w:val="bottom"/>
            <w:hideMark/>
          </w:tcPr>
          <w:p w:rsidR="004C6F91" w:rsidRPr="004C6F91" w:rsidRDefault="004C6F91" w:rsidP="004C6F91">
            <w:pPr>
              <w:widowControl/>
              <w:autoSpaceDE/>
              <w:autoSpaceDN/>
              <w:adjustRightInd/>
              <w:rPr>
                <w:color w:val="000000"/>
                <w:sz w:val="20"/>
                <w:szCs w:val="20"/>
              </w:rPr>
            </w:pPr>
            <w:r w:rsidRPr="004C6F91">
              <w:rPr>
                <w:color w:val="000000"/>
                <w:sz w:val="20"/>
                <w:szCs w:val="20"/>
                <w:vertAlign w:val="superscript"/>
              </w:rPr>
              <w:t>j</w:t>
            </w:r>
            <w:r w:rsidRPr="004C6F91">
              <w:rPr>
                <w:color w:val="000000"/>
                <w:sz w:val="20"/>
                <w:szCs w:val="20"/>
              </w:rPr>
              <w:t xml:space="preserve">  We have assumed that each respondent will report actions taken during startup, shutdown, or malfunction that are consistent.</w:t>
            </w:r>
          </w:p>
        </w:tc>
      </w:tr>
      <w:tr w:rsidR="004C6F91" w:rsidRPr="004C6F91" w:rsidTr="00A9390C">
        <w:trPr>
          <w:trHeight w:val="80"/>
        </w:trPr>
        <w:tc>
          <w:tcPr>
            <w:tcW w:w="5000" w:type="pct"/>
            <w:tcBorders>
              <w:top w:val="nil"/>
              <w:left w:val="nil"/>
              <w:bottom w:val="nil"/>
              <w:right w:val="nil"/>
            </w:tcBorders>
            <w:shd w:val="clear" w:color="auto" w:fill="auto"/>
            <w:noWrap/>
            <w:vAlign w:val="bottom"/>
            <w:hideMark/>
          </w:tcPr>
          <w:p w:rsidR="004C6F91" w:rsidRPr="004C6F91" w:rsidRDefault="004C6F91" w:rsidP="004C6F91">
            <w:pPr>
              <w:widowControl/>
              <w:autoSpaceDE/>
              <w:autoSpaceDN/>
              <w:adjustRightInd/>
              <w:rPr>
                <w:color w:val="000000"/>
                <w:sz w:val="20"/>
                <w:szCs w:val="20"/>
              </w:rPr>
            </w:pPr>
            <w:r w:rsidRPr="004C6F91">
              <w:rPr>
                <w:color w:val="000000"/>
                <w:sz w:val="20"/>
                <w:szCs w:val="20"/>
                <w:vertAlign w:val="superscript"/>
              </w:rPr>
              <w:t>k</w:t>
            </w:r>
            <w:r w:rsidRPr="004C6F91">
              <w:rPr>
                <w:color w:val="000000"/>
                <w:sz w:val="20"/>
                <w:szCs w:val="20"/>
              </w:rPr>
              <w:t xml:space="preserve">  We have assumed that each respondent will have to comply with the LDAR report two times per year.</w:t>
            </w:r>
          </w:p>
        </w:tc>
      </w:tr>
      <w:tr w:rsidR="004C6F91" w:rsidRPr="004C6F91" w:rsidTr="00A9390C">
        <w:trPr>
          <w:trHeight w:val="90"/>
        </w:trPr>
        <w:tc>
          <w:tcPr>
            <w:tcW w:w="5000" w:type="pct"/>
            <w:tcBorders>
              <w:top w:val="nil"/>
              <w:left w:val="nil"/>
              <w:bottom w:val="nil"/>
              <w:right w:val="nil"/>
            </w:tcBorders>
            <w:shd w:val="clear" w:color="auto" w:fill="auto"/>
            <w:noWrap/>
            <w:vAlign w:val="bottom"/>
            <w:hideMark/>
          </w:tcPr>
          <w:p w:rsidR="004C6F91" w:rsidRPr="004C6F91" w:rsidRDefault="004C6F91" w:rsidP="004C6F91">
            <w:pPr>
              <w:widowControl/>
              <w:autoSpaceDE/>
              <w:autoSpaceDN/>
              <w:adjustRightInd/>
              <w:rPr>
                <w:color w:val="000000"/>
                <w:sz w:val="20"/>
                <w:szCs w:val="20"/>
              </w:rPr>
            </w:pPr>
            <w:r w:rsidRPr="004C6F91">
              <w:rPr>
                <w:color w:val="000000"/>
                <w:sz w:val="20"/>
                <w:szCs w:val="20"/>
                <w:vertAlign w:val="superscript"/>
              </w:rPr>
              <w:t>l</w:t>
            </w:r>
            <w:r w:rsidRPr="004C6F91">
              <w:rPr>
                <w:color w:val="000000"/>
                <w:sz w:val="20"/>
                <w:szCs w:val="20"/>
              </w:rPr>
              <w:t xml:space="preserve">  We have assumed that 10 percent of respondents will have to review the emission averaging report.</w:t>
            </w:r>
          </w:p>
        </w:tc>
      </w:tr>
    </w:tbl>
    <w:p w:rsidR="0044053C" w:rsidRDefault="0044053C" w:rsidP="00F340DF">
      <w:pPr>
        <w:rPr>
          <w:color w:val="000000"/>
        </w:rPr>
      </w:pPr>
    </w:p>
    <w:p w:rsidR="0044053C" w:rsidRDefault="0044053C" w:rsidP="00F340DF">
      <w:pPr>
        <w:rPr>
          <w:color w:val="000000"/>
        </w:rPr>
      </w:pPr>
    </w:p>
    <w:p w:rsidR="0044053C" w:rsidRDefault="0044053C" w:rsidP="00372D0B">
      <w:pPr>
        <w:jc w:val="center"/>
        <w:rPr>
          <w:b/>
        </w:rPr>
      </w:pPr>
      <w:r w:rsidRPr="00753051">
        <w:rPr>
          <w:b/>
          <w:bCs/>
        </w:rPr>
        <w:t xml:space="preserve">Table 3:  </w:t>
      </w:r>
      <w:r w:rsidRPr="00753051">
        <w:rPr>
          <w:b/>
        </w:rPr>
        <w:t>Single Affirmative Defense Burden Estimate</w:t>
      </w:r>
    </w:p>
    <w:p w:rsidR="00372D0B" w:rsidRPr="00753051" w:rsidRDefault="00372D0B" w:rsidP="00372D0B">
      <w:pPr>
        <w:jc w:val="center"/>
        <w:rPr>
          <w:b/>
        </w:rPr>
      </w:pPr>
    </w:p>
    <w:tbl>
      <w:tblPr>
        <w:tblW w:w="955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1"/>
        <w:gridCol w:w="1454"/>
        <w:gridCol w:w="1649"/>
        <w:gridCol w:w="1231"/>
        <w:gridCol w:w="1620"/>
        <w:gridCol w:w="1440"/>
      </w:tblGrid>
      <w:tr w:rsidR="0044053C" w:rsidRPr="00753051" w:rsidTr="00372D0B">
        <w:trPr>
          <w:trHeight w:val="293"/>
          <w:jc w:val="center"/>
        </w:trPr>
        <w:tc>
          <w:tcPr>
            <w:tcW w:w="2161" w:type="dxa"/>
            <w:shd w:val="clear" w:color="auto" w:fill="auto"/>
            <w:noWrap/>
            <w:vAlign w:val="center"/>
            <w:hideMark/>
          </w:tcPr>
          <w:p w:rsidR="00372D0B" w:rsidRDefault="0044053C">
            <w:pPr>
              <w:jc w:val="center"/>
              <w:rPr>
                <w:b/>
                <w:bCs/>
              </w:rPr>
            </w:pPr>
            <w:r w:rsidRPr="00753051">
              <w:rPr>
                <w:b/>
                <w:bCs/>
              </w:rPr>
              <w:t>Personnel</w:t>
            </w:r>
          </w:p>
        </w:tc>
        <w:tc>
          <w:tcPr>
            <w:tcW w:w="1454" w:type="dxa"/>
            <w:shd w:val="clear" w:color="auto" w:fill="auto"/>
            <w:noWrap/>
            <w:vAlign w:val="center"/>
            <w:hideMark/>
          </w:tcPr>
          <w:p w:rsidR="0044053C" w:rsidRPr="00753051" w:rsidRDefault="0044053C">
            <w:pPr>
              <w:widowControl/>
              <w:autoSpaceDE/>
              <w:autoSpaceDN/>
              <w:adjustRightInd/>
              <w:jc w:val="center"/>
              <w:rPr>
                <w:b/>
                <w:bCs/>
              </w:rPr>
            </w:pPr>
            <w:r w:rsidRPr="00753051">
              <w:rPr>
                <w:b/>
                <w:bCs/>
              </w:rPr>
              <w:t>Number of Personnel</w:t>
            </w:r>
          </w:p>
        </w:tc>
        <w:tc>
          <w:tcPr>
            <w:tcW w:w="1649" w:type="dxa"/>
            <w:shd w:val="clear" w:color="auto" w:fill="auto"/>
            <w:noWrap/>
            <w:vAlign w:val="center"/>
            <w:hideMark/>
          </w:tcPr>
          <w:p w:rsidR="0044053C" w:rsidRPr="00753051" w:rsidRDefault="0044053C">
            <w:pPr>
              <w:widowControl/>
              <w:autoSpaceDE/>
              <w:autoSpaceDN/>
              <w:adjustRightInd/>
              <w:jc w:val="center"/>
              <w:rPr>
                <w:b/>
                <w:bCs/>
              </w:rPr>
            </w:pPr>
            <w:r w:rsidRPr="00753051">
              <w:rPr>
                <w:b/>
                <w:bCs/>
              </w:rPr>
              <w:t>Time Requirement (hours)</w:t>
            </w:r>
          </w:p>
        </w:tc>
        <w:tc>
          <w:tcPr>
            <w:tcW w:w="1231" w:type="dxa"/>
            <w:shd w:val="clear" w:color="auto" w:fill="auto"/>
            <w:noWrap/>
            <w:vAlign w:val="center"/>
            <w:hideMark/>
          </w:tcPr>
          <w:p w:rsidR="0044053C" w:rsidRPr="00753051" w:rsidRDefault="0044053C">
            <w:pPr>
              <w:widowControl/>
              <w:autoSpaceDE/>
              <w:autoSpaceDN/>
              <w:adjustRightInd/>
              <w:jc w:val="center"/>
              <w:rPr>
                <w:b/>
                <w:bCs/>
              </w:rPr>
            </w:pPr>
            <w:r w:rsidRPr="00753051">
              <w:rPr>
                <w:b/>
                <w:bCs/>
              </w:rPr>
              <w:t>Total Hours</w:t>
            </w:r>
          </w:p>
        </w:tc>
        <w:tc>
          <w:tcPr>
            <w:tcW w:w="1620" w:type="dxa"/>
            <w:shd w:val="clear" w:color="auto" w:fill="auto"/>
            <w:noWrap/>
            <w:vAlign w:val="center"/>
            <w:hideMark/>
          </w:tcPr>
          <w:p w:rsidR="0044053C" w:rsidRPr="00753051" w:rsidRDefault="0044053C">
            <w:pPr>
              <w:widowControl/>
              <w:autoSpaceDE/>
              <w:autoSpaceDN/>
              <w:adjustRightInd/>
              <w:jc w:val="center"/>
              <w:rPr>
                <w:b/>
                <w:bCs/>
              </w:rPr>
            </w:pPr>
            <w:r w:rsidRPr="00753051">
              <w:rPr>
                <w:b/>
                <w:bCs/>
              </w:rPr>
              <w:t>Hourly Rate ($/hr)</w:t>
            </w:r>
          </w:p>
        </w:tc>
        <w:tc>
          <w:tcPr>
            <w:tcW w:w="1440" w:type="dxa"/>
            <w:shd w:val="clear" w:color="auto" w:fill="auto"/>
            <w:noWrap/>
            <w:vAlign w:val="center"/>
            <w:hideMark/>
          </w:tcPr>
          <w:p w:rsidR="0044053C" w:rsidRPr="00753051" w:rsidRDefault="0044053C">
            <w:pPr>
              <w:widowControl/>
              <w:autoSpaceDE/>
              <w:autoSpaceDN/>
              <w:adjustRightInd/>
              <w:jc w:val="center"/>
              <w:rPr>
                <w:b/>
                <w:bCs/>
              </w:rPr>
            </w:pPr>
            <w:r w:rsidRPr="00753051">
              <w:rPr>
                <w:b/>
                <w:bCs/>
              </w:rPr>
              <w:t>Total</w:t>
            </w:r>
          </w:p>
        </w:tc>
      </w:tr>
      <w:tr w:rsidR="0044053C" w:rsidRPr="00753051" w:rsidTr="00372D0B">
        <w:trPr>
          <w:trHeight w:val="324"/>
          <w:jc w:val="center"/>
        </w:trPr>
        <w:tc>
          <w:tcPr>
            <w:tcW w:w="2161" w:type="dxa"/>
            <w:shd w:val="clear" w:color="auto" w:fill="auto"/>
            <w:noWrap/>
            <w:vAlign w:val="bottom"/>
            <w:hideMark/>
          </w:tcPr>
          <w:p w:rsidR="0044053C" w:rsidRPr="00753051" w:rsidRDefault="0044053C" w:rsidP="0044053C">
            <w:pPr>
              <w:widowControl/>
              <w:autoSpaceDE/>
              <w:autoSpaceDN/>
              <w:adjustRightInd/>
            </w:pPr>
            <w:r w:rsidRPr="00753051">
              <w:t>Technical Personnel</w:t>
            </w:r>
          </w:p>
        </w:tc>
        <w:tc>
          <w:tcPr>
            <w:tcW w:w="1454" w:type="dxa"/>
            <w:shd w:val="clear" w:color="auto" w:fill="auto"/>
            <w:noWrap/>
            <w:vAlign w:val="center"/>
            <w:hideMark/>
          </w:tcPr>
          <w:p w:rsidR="0044053C" w:rsidRPr="00753051" w:rsidRDefault="0044053C" w:rsidP="0044053C">
            <w:pPr>
              <w:widowControl/>
              <w:autoSpaceDE/>
              <w:autoSpaceDN/>
              <w:adjustRightInd/>
              <w:jc w:val="center"/>
            </w:pPr>
            <w:r w:rsidRPr="00753051">
              <w:t>3</w:t>
            </w:r>
          </w:p>
        </w:tc>
        <w:tc>
          <w:tcPr>
            <w:tcW w:w="1649" w:type="dxa"/>
            <w:shd w:val="clear" w:color="auto" w:fill="auto"/>
            <w:noWrap/>
            <w:vAlign w:val="center"/>
            <w:hideMark/>
          </w:tcPr>
          <w:p w:rsidR="0044053C" w:rsidRPr="00753051" w:rsidRDefault="0044053C" w:rsidP="0044053C">
            <w:pPr>
              <w:widowControl/>
              <w:autoSpaceDE/>
              <w:autoSpaceDN/>
              <w:adjustRightInd/>
              <w:jc w:val="center"/>
            </w:pPr>
            <w:r w:rsidRPr="00753051">
              <w:t>6</w:t>
            </w:r>
          </w:p>
        </w:tc>
        <w:tc>
          <w:tcPr>
            <w:tcW w:w="1231" w:type="dxa"/>
            <w:shd w:val="clear" w:color="auto" w:fill="auto"/>
            <w:noWrap/>
            <w:vAlign w:val="center"/>
            <w:hideMark/>
          </w:tcPr>
          <w:p w:rsidR="0044053C" w:rsidRPr="00753051" w:rsidRDefault="0044053C" w:rsidP="0044053C">
            <w:pPr>
              <w:widowControl/>
              <w:autoSpaceDE/>
              <w:autoSpaceDN/>
              <w:adjustRightInd/>
              <w:jc w:val="center"/>
            </w:pPr>
            <w:r w:rsidRPr="00753051">
              <w:t>18</w:t>
            </w:r>
          </w:p>
        </w:tc>
        <w:tc>
          <w:tcPr>
            <w:tcW w:w="1620" w:type="dxa"/>
            <w:shd w:val="clear" w:color="auto" w:fill="auto"/>
            <w:noWrap/>
            <w:vAlign w:val="center"/>
            <w:hideMark/>
          </w:tcPr>
          <w:p w:rsidR="0044053C" w:rsidRPr="00753051" w:rsidRDefault="00372D0B" w:rsidP="0044053C">
            <w:pPr>
              <w:jc w:val="center"/>
            </w:pPr>
            <w:r>
              <w:t>101.22</w:t>
            </w:r>
          </w:p>
        </w:tc>
        <w:tc>
          <w:tcPr>
            <w:tcW w:w="1440" w:type="dxa"/>
            <w:shd w:val="clear" w:color="auto" w:fill="auto"/>
            <w:noWrap/>
            <w:vAlign w:val="center"/>
            <w:hideMark/>
          </w:tcPr>
          <w:p w:rsidR="0044053C" w:rsidRPr="00753051" w:rsidRDefault="0044053C" w:rsidP="00372D0B">
            <w:pPr>
              <w:jc w:val="center"/>
            </w:pPr>
            <w:r w:rsidRPr="00753051">
              <w:t>$ 1,</w:t>
            </w:r>
            <w:r w:rsidR="00372D0B">
              <w:t>822</w:t>
            </w:r>
          </w:p>
        </w:tc>
      </w:tr>
      <w:tr w:rsidR="0044053C" w:rsidRPr="00753051" w:rsidTr="00372D0B">
        <w:trPr>
          <w:trHeight w:val="293"/>
          <w:jc w:val="center"/>
        </w:trPr>
        <w:tc>
          <w:tcPr>
            <w:tcW w:w="2161" w:type="dxa"/>
            <w:shd w:val="clear" w:color="auto" w:fill="auto"/>
            <w:noWrap/>
            <w:vAlign w:val="bottom"/>
            <w:hideMark/>
          </w:tcPr>
          <w:p w:rsidR="0044053C" w:rsidRPr="00753051" w:rsidRDefault="0044053C" w:rsidP="0044053C">
            <w:pPr>
              <w:widowControl/>
              <w:autoSpaceDE/>
              <w:autoSpaceDN/>
              <w:adjustRightInd/>
            </w:pPr>
            <w:r w:rsidRPr="00753051">
              <w:t>Managerial Personnel</w:t>
            </w:r>
          </w:p>
        </w:tc>
        <w:tc>
          <w:tcPr>
            <w:tcW w:w="1454" w:type="dxa"/>
            <w:shd w:val="clear" w:color="auto" w:fill="auto"/>
            <w:noWrap/>
            <w:vAlign w:val="center"/>
            <w:hideMark/>
          </w:tcPr>
          <w:p w:rsidR="0044053C" w:rsidRPr="00753051" w:rsidRDefault="0044053C" w:rsidP="0044053C">
            <w:pPr>
              <w:widowControl/>
              <w:autoSpaceDE/>
              <w:autoSpaceDN/>
              <w:adjustRightInd/>
              <w:jc w:val="center"/>
            </w:pPr>
            <w:r w:rsidRPr="00753051">
              <w:t>2</w:t>
            </w:r>
          </w:p>
        </w:tc>
        <w:tc>
          <w:tcPr>
            <w:tcW w:w="1649" w:type="dxa"/>
            <w:shd w:val="clear" w:color="auto" w:fill="auto"/>
            <w:noWrap/>
            <w:vAlign w:val="center"/>
            <w:hideMark/>
          </w:tcPr>
          <w:p w:rsidR="0044053C" w:rsidRPr="00753051" w:rsidRDefault="0044053C" w:rsidP="0044053C">
            <w:pPr>
              <w:widowControl/>
              <w:autoSpaceDE/>
              <w:autoSpaceDN/>
              <w:adjustRightInd/>
              <w:jc w:val="center"/>
            </w:pPr>
            <w:r w:rsidRPr="00753051">
              <w:t>6</w:t>
            </w:r>
          </w:p>
        </w:tc>
        <w:tc>
          <w:tcPr>
            <w:tcW w:w="1231" w:type="dxa"/>
            <w:shd w:val="clear" w:color="auto" w:fill="auto"/>
            <w:noWrap/>
            <w:vAlign w:val="center"/>
            <w:hideMark/>
          </w:tcPr>
          <w:p w:rsidR="0044053C" w:rsidRPr="00753051" w:rsidRDefault="0044053C" w:rsidP="0044053C">
            <w:pPr>
              <w:widowControl/>
              <w:autoSpaceDE/>
              <w:autoSpaceDN/>
              <w:adjustRightInd/>
              <w:jc w:val="center"/>
            </w:pPr>
            <w:r w:rsidRPr="00753051">
              <w:t>12</w:t>
            </w:r>
          </w:p>
        </w:tc>
        <w:tc>
          <w:tcPr>
            <w:tcW w:w="1620" w:type="dxa"/>
            <w:shd w:val="clear" w:color="auto" w:fill="auto"/>
            <w:noWrap/>
            <w:vAlign w:val="center"/>
            <w:hideMark/>
          </w:tcPr>
          <w:p w:rsidR="0044053C" w:rsidRPr="00753051" w:rsidRDefault="0044053C" w:rsidP="00372D0B">
            <w:pPr>
              <w:widowControl/>
              <w:autoSpaceDE/>
              <w:autoSpaceDN/>
              <w:adjustRightInd/>
              <w:jc w:val="center"/>
            </w:pPr>
            <w:r w:rsidRPr="00753051">
              <w:t>1</w:t>
            </w:r>
            <w:r w:rsidR="00372D0B">
              <w:t>23.04</w:t>
            </w:r>
          </w:p>
        </w:tc>
        <w:tc>
          <w:tcPr>
            <w:tcW w:w="1440" w:type="dxa"/>
            <w:shd w:val="clear" w:color="auto" w:fill="auto"/>
            <w:noWrap/>
            <w:vAlign w:val="center"/>
            <w:hideMark/>
          </w:tcPr>
          <w:p w:rsidR="0044053C" w:rsidRPr="00753051" w:rsidRDefault="0044053C" w:rsidP="00372D0B">
            <w:pPr>
              <w:jc w:val="center"/>
            </w:pPr>
            <w:r w:rsidRPr="00753051">
              <w:t>$ 1,</w:t>
            </w:r>
            <w:r w:rsidR="00372D0B">
              <w:t>476</w:t>
            </w:r>
          </w:p>
        </w:tc>
      </w:tr>
      <w:tr w:rsidR="0044053C" w:rsidRPr="00A9390C" w:rsidTr="00372D0B">
        <w:trPr>
          <w:trHeight w:val="293"/>
          <w:jc w:val="center"/>
        </w:trPr>
        <w:tc>
          <w:tcPr>
            <w:tcW w:w="2161" w:type="dxa"/>
            <w:shd w:val="clear" w:color="auto" w:fill="auto"/>
            <w:noWrap/>
            <w:vAlign w:val="bottom"/>
            <w:hideMark/>
          </w:tcPr>
          <w:p w:rsidR="0044053C" w:rsidRPr="00A9390C" w:rsidRDefault="0044053C" w:rsidP="0044053C">
            <w:pPr>
              <w:widowControl/>
              <w:autoSpaceDE/>
              <w:autoSpaceDN/>
              <w:adjustRightInd/>
              <w:rPr>
                <w:b/>
              </w:rPr>
            </w:pPr>
            <w:r w:rsidRPr="00A9390C">
              <w:rPr>
                <w:b/>
              </w:rPr>
              <w:t>Total</w:t>
            </w:r>
          </w:p>
        </w:tc>
        <w:tc>
          <w:tcPr>
            <w:tcW w:w="1454" w:type="dxa"/>
            <w:shd w:val="clear" w:color="auto" w:fill="auto"/>
            <w:noWrap/>
            <w:vAlign w:val="center"/>
            <w:hideMark/>
          </w:tcPr>
          <w:p w:rsidR="0044053C" w:rsidRPr="00A9390C" w:rsidRDefault="0044053C" w:rsidP="0044053C">
            <w:pPr>
              <w:widowControl/>
              <w:autoSpaceDE/>
              <w:autoSpaceDN/>
              <w:adjustRightInd/>
              <w:jc w:val="center"/>
              <w:rPr>
                <w:b/>
              </w:rPr>
            </w:pPr>
            <w:r w:rsidRPr="00A9390C">
              <w:rPr>
                <w:b/>
              </w:rPr>
              <w:t>5</w:t>
            </w:r>
          </w:p>
        </w:tc>
        <w:tc>
          <w:tcPr>
            <w:tcW w:w="1649" w:type="dxa"/>
            <w:shd w:val="clear" w:color="auto" w:fill="auto"/>
            <w:noWrap/>
            <w:vAlign w:val="center"/>
            <w:hideMark/>
          </w:tcPr>
          <w:p w:rsidR="0044053C" w:rsidRPr="00A9390C" w:rsidRDefault="0044053C" w:rsidP="0044053C">
            <w:pPr>
              <w:jc w:val="center"/>
              <w:rPr>
                <w:b/>
              </w:rPr>
            </w:pPr>
          </w:p>
        </w:tc>
        <w:tc>
          <w:tcPr>
            <w:tcW w:w="1231" w:type="dxa"/>
            <w:shd w:val="clear" w:color="auto" w:fill="auto"/>
            <w:noWrap/>
            <w:vAlign w:val="center"/>
            <w:hideMark/>
          </w:tcPr>
          <w:p w:rsidR="0044053C" w:rsidRPr="00A9390C" w:rsidRDefault="0044053C" w:rsidP="0044053C">
            <w:pPr>
              <w:widowControl/>
              <w:autoSpaceDE/>
              <w:autoSpaceDN/>
              <w:adjustRightInd/>
              <w:jc w:val="center"/>
              <w:rPr>
                <w:b/>
              </w:rPr>
            </w:pPr>
            <w:r w:rsidRPr="00A9390C">
              <w:rPr>
                <w:b/>
              </w:rPr>
              <w:t>30</w:t>
            </w:r>
          </w:p>
        </w:tc>
        <w:tc>
          <w:tcPr>
            <w:tcW w:w="1620" w:type="dxa"/>
            <w:shd w:val="clear" w:color="auto" w:fill="auto"/>
            <w:noWrap/>
            <w:vAlign w:val="center"/>
            <w:hideMark/>
          </w:tcPr>
          <w:p w:rsidR="0044053C" w:rsidRPr="00A9390C" w:rsidRDefault="0044053C" w:rsidP="0044053C">
            <w:pPr>
              <w:widowControl/>
              <w:autoSpaceDE/>
              <w:autoSpaceDN/>
              <w:adjustRightInd/>
              <w:jc w:val="center"/>
              <w:rPr>
                <w:b/>
              </w:rPr>
            </w:pPr>
          </w:p>
        </w:tc>
        <w:tc>
          <w:tcPr>
            <w:tcW w:w="1440" w:type="dxa"/>
            <w:shd w:val="clear" w:color="auto" w:fill="auto"/>
            <w:noWrap/>
            <w:vAlign w:val="center"/>
            <w:hideMark/>
          </w:tcPr>
          <w:p w:rsidR="0044053C" w:rsidRPr="00A9390C" w:rsidRDefault="0044053C" w:rsidP="00372D0B">
            <w:pPr>
              <w:jc w:val="center"/>
              <w:rPr>
                <w:b/>
              </w:rPr>
            </w:pPr>
            <w:r w:rsidRPr="00A9390C">
              <w:rPr>
                <w:b/>
              </w:rPr>
              <w:t>$3,</w:t>
            </w:r>
            <w:r w:rsidR="00372D0B" w:rsidRPr="00A9390C">
              <w:rPr>
                <w:b/>
              </w:rPr>
              <w:t>298</w:t>
            </w:r>
          </w:p>
        </w:tc>
      </w:tr>
    </w:tbl>
    <w:p w:rsidR="0044053C" w:rsidRPr="00A9390C" w:rsidRDefault="0044053C" w:rsidP="0044053C">
      <w:pPr>
        <w:ind w:left="-180" w:right="-270"/>
        <w:rPr>
          <w:b/>
          <w:sz w:val="20"/>
          <w:szCs w:val="20"/>
        </w:rPr>
      </w:pPr>
    </w:p>
    <w:p w:rsidR="0044053C" w:rsidRDefault="0044053C" w:rsidP="00F340DF">
      <w:pPr>
        <w:rPr>
          <w:color w:val="000000"/>
        </w:rPr>
      </w:pPr>
    </w:p>
    <w:sectPr w:rsidR="0044053C" w:rsidSect="00144F35">
      <w:pgSz w:w="15840" w:h="12240" w:orient="landscape"/>
      <w:pgMar w:top="1440" w:right="1350" w:bottom="1440" w:left="1440" w:header="1350" w:footer="1440" w:gutter="0"/>
      <w:cols w:space="720"/>
      <w:noEndnote/>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9AB68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EBC" w:rsidRDefault="00CC3EBC">
      <w:r>
        <w:separator/>
      </w:r>
    </w:p>
  </w:endnote>
  <w:endnote w:type="continuationSeparator" w:id="0">
    <w:p w:rsidR="00CC3EBC" w:rsidRDefault="00CC3E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EBC" w:rsidRDefault="00CC3EBC">
      <w:r>
        <w:separator/>
      </w:r>
    </w:p>
  </w:footnote>
  <w:footnote w:type="continuationSeparator" w:id="0">
    <w:p w:rsidR="00CC3EBC" w:rsidRDefault="00CC3E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EBC" w:rsidRDefault="00CC3EBC">
    <w:pPr>
      <w:framePr w:w="9361" w:wrap="notBeside" w:vAnchor="text" w:hAnchor="text" w:x="1" w:y="1"/>
      <w:jc w:val="center"/>
    </w:pPr>
    <w:fldSimple w:instr="PAGE ">
      <w:r w:rsidR="00D60547">
        <w:rPr>
          <w:noProof/>
        </w:rPr>
        <w:t>13</w:t>
      </w:r>
    </w:fldSimple>
  </w:p>
  <w:p w:rsidR="00CC3EBC" w:rsidRDefault="00CC3EBC"/>
  <w:p w:rsidR="00CC3EBC" w:rsidRDefault="00CC3EBC">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nifer Sellers">
    <w15:presenceInfo w15:providerId="Windows Live" w15:userId="c7f8e90d7eb83b2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2AC2"/>
    <w:rsid w:val="0000687D"/>
    <w:rsid w:val="00017BA9"/>
    <w:rsid w:val="00030A30"/>
    <w:rsid w:val="00031304"/>
    <w:rsid w:val="0003619B"/>
    <w:rsid w:val="00041BA9"/>
    <w:rsid w:val="000453BA"/>
    <w:rsid w:val="000512D8"/>
    <w:rsid w:val="00055BDF"/>
    <w:rsid w:val="00055DC5"/>
    <w:rsid w:val="0006754E"/>
    <w:rsid w:val="00093AE1"/>
    <w:rsid w:val="000A1FBB"/>
    <w:rsid w:val="000A687C"/>
    <w:rsid w:val="000C0912"/>
    <w:rsid w:val="000C726C"/>
    <w:rsid w:val="000C7EC7"/>
    <w:rsid w:val="000D0CA1"/>
    <w:rsid w:val="000D2272"/>
    <w:rsid w:val="000F772C"/>
    <w:rsid w:val="00101B40"/>
    <w:rsid w:val="00102B52"/>
    <w:rsid w:val="0010697C"/>
    <w:rsid w:val="00123889"/>
    <w:rsid w:val="00126A7C"/>
    <w:rsid w:val="001356D4"/>
    <w:rsid w:val="0014079D"/>
    <w:rsid w:val="00144978"/>
    <w:rsid w:val="00144A82"/>
    <w:rsid w:val="00144F35"/>
    <w:rsid w:val="0015433E"/>
    <w:rsid w:val="00160B77"/>
    <w:rsid w:val="00174D6C"/>
    <w:rsid w:val="00185172"/>
    <w:rsid w:val="001860A6"/>
    <w:rsid w:val="00186DA3"/>
    <w:rsid w:val="00195753"/>
    <w:rsid w:val="001A0B41"/>
    <w:rsid w:val="001A284E"/>
    <w:rsid w:val="001B0B9A"/>
    <w:rsid w:val="001B24D7"/>
    <w:rsid w:val="001B35F2"/>
    <w:rsid w:val="001C5991"/>
    <w:rsid w:val="001D0034"/>
    <w:rsid w:val="001D762C"/>
    <w:rsid w:val="001F19FF"/>
    <w:rsid w:val="001F5CAF"/>
    <w:rsid w:val="00203DF3"/>
    <w:rsid w:val="002041C5"/>
    <w:rsid w:val="002063FE"/>
    <w:rsid w:val="00206932"/>
    <w:rsid w:val="002171CB"/>
    <w:rsid w:val="0021722B"/>
    <w:rsid w:val="00222C7A"/>
    <w:rsid w:val="0022738C"/>
    <w:rsid w:val="00234A28"/>
    <w:rsid w:val="00236DB3"/>
    <w:rsid w:val="002431D9"/>
    <w:rsid w:val="00244AAC"/>
    <w:rsid w:val="002638A0"/>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83A"/>
    <w:rsid w:val="002F6DB3"/>
    <w:rsid w:val="003120FE"/>
    <w:rsid w:val="00312634"/>
    <w:rsid w:val="00312941"/>
    <w:rsid w:val="003139FC"/>
    <w:rsid w:val="00324FE6"/>
    <w:rsid w:val="00341540"/>
    <w:rsid w:val="003511C6"/>
    <w:rsid w:val="0035325B"/>
    <w:rsid w:val="00354C15"/>
    <w:rsid w:val="00372D0B"/>
    <w:rsid w:val="00395BF7"/>
    <w:rsid w:val="003A49DF"/>
    <w:rsid w:val="003C4B46"/>
    <w:rsid w:val="003C5023"/>
    <w:rsid w:val="003E0F01"/>
    <w:rsid w:val="003E30B5"/>
    <w:rsid w:val="003E4C18"/>
    <w:rsid w:val="004016D1"/>
    <w:rsid w:val="0040391F"/>
    <w:rsid w:val="0044053C"/>
    <w:rsid w:val="0044133C"/>
    <w:rsid w:val="004455C6"/>
    <w:rsid w:val="00455557"/>
    <w:rsid w:val="00484A45"/>
    <w:rsid w:val="004A4B25"/>
    <w:rsid w:val="004B5B11"/>
    <w:rsid w:val="004C5E95"/>
    <w:rsid w:val="004C6F91"/>
    <w:rsid w:val="004C701D"/>
    <w:rsid w:val="004F1469"/>
    <w:rsid w:val="004F6FCD"/>
    <w:rsid w:val="00504745"/>
    <w:rsid w:val="00507EC5"/>
    <w:rsid w:val="00516952"/>
    <w:rsid w:val="005253D4"/>
    <w:rsid w:val="00530472"/>
    <w:rsid w:val="00551815"/>
    <w:rsid w:val="00560AD2"/>
    <w:rsid w:val="00565A51"/>
    <w:rsid w:val="0057125B"/>
    <w:rsid w:val="00571260"/>
    <w:rsid w:val="00583626"/>
    <w:rsid w:val="005A1986"/>
    <w:rsid w:val="005B5DE8"/>
    <w:rsid w:val="005C3665"/>
    <w:rsid w:val="005C42AC"/>
    <w:rsid w:val="005C66DD"/>
    <w:rsid w:val="005D385C"/>
    <w:rsid w:val="005E194B"/>
    <w:rsid w:val="005F2F34"/>
    <w:rsid w:val="005F42F8"/>
    <w:rsid w:val="005F652F"/>
    <w:rsid w:val="00601205"/>
    <w:rsid w:val="00606DEF"/>
    <w:rsid w:val="006126F0"/>
    <w:rsid w:val="006131BF"/>
    <w:rsid w:val="00630300"/>
    <w:rsid w:val="00631517"/>
    <w:rsid w:val="00632B4B"/>
    <w:rsid w:val="00635DBD"/>
    <w:rsid w:val="00647468"/>
    <w:rsid w:val="00673777"/>
    <w:rsid w:val="006741F7"/>
    <w:rsid w:val="00676CC3"/>
    <w:rsid w:val="00680480"/>
    <w:rsid w:val="00681E0A"/>
    <w:rsid w:val="006907EB"/>
    <w:rsid w:val="00694B55"/>
    <w:rsid w:val="006A47AE"/>
    <w:rsid w:val="006D1B12"/>
    <w:rsid w:val="006E4A6E"/>
    <w:rsid w:val="006E642B"/>
    <w:rsid w:val="00724BC7"/>
    <w:rsid w:val="00731041"/>
    <w:rsid w:val="00736C57"/>
    <w:rsid w:val="007615C4"/>
    <w:rsid w:val="00763160"/>
    <w:rsid w:val="00780612"/>
    <w:rsid w:val="00781847"/>
    <w:rsid w:val="00786A20"/>
    <w:rsid w:val="007A0634"/>
    <w:rsid w:val="007A16F4"/>
    <w:rsid w:val="007A458D"/>
    <w:rsid w:val="007C0FAA"/>
    <w:rsid w:val="007D14EB"/>
    <w:rsid w:val="007E6FF4"/>
    <w:rsid w:val="007F07FB"/>
    <w:rsid w:val="007F5049"/>
    <w:rsid w:val="00810507"/>
    <w:rsid w:val="00813E69"/>
    <w:rsid w:val="00817E8B"/>
    <w:rsid w:val="008338D4"/>
    <w:rsid w:val="0084255D"/>
    <w:rsid w:val="00850ACF"/>
    <w:rsid w:val="00852038"/>
    <w:rsid w:val="00855A84"/>
    <w:rsid w:val="00861489"/>
    <w:rsid w:val="00872221"/>
    <w:rsid w:val="0087231A"/>
    <w:rsid w:val="008849C4"/>
    <w:rsid w:val="00884ACB"/>
    <w:rsid w:val="0088639E"/>
    <w:rsid w:val="00897491"/>
    <w:rsid w:val="008A46EB"/>
    <w:rsid w:val="008B407C"/>
    <w:rsid w:val="008B67A4"/>
    <w:rsid w:val="008C1528"/>
    <w:rsid w:val="008E65E6"/>
    <w:rsid w:val="008F285B"/>
    <w:rsid w:val="008F4564"/>
    <w:rsid w:val="009018EC"/>
    <w:rsid w:val="00906EDB"/>
    <w:rsid w:val="00912E00"/>
    <w:rsid w:val="009159DA"/>
    <w:rsid w:val="00915D48"/>
    <w:rsid w:val="00923C46"/>
    <w:rsid w:val="00931DDF"/>
    <w:rsid w:val="009711DB"/>
    <w:rsid w:val="00993EF5"/>
    <w:rsid w:val="009970D7"/>
    <w:rsid w:val="009A0F50"/>
    <w:rsid w:val="009A16CD"/>
    <w:rsid w:val="009A67F3"/>
    <w:rsid w:val="009A707C"/>
    <w:rsid w:val="009C06F5"/>
    <w:rsid w:val="009D6567"/>
    <w:rsid w:val="009D7AB8"/>
    <w:rsid w:val="009E0F31"/>
    <w:rsid w:val="00A007F5"/>
    <w:rsid w:val="00A038EC"/>
    <w:rsid w:val="00A145B0"/>
    <w:rsid w:val="00A15172"/>
    <w:rsid w:val="00A26EF7"/>
    <w:rsid w:val="00A277D6"/>
    <w:rsid w:val="00A379F8"/>
    <w:rsid w:val="00A54EEA"/>
    <w:rsid w:val="00A56BFF"/>
    <w:rsid w:val="00A73600"/>
    <w:rsid w:val="00A74C1E"/>
    <w:rsid w:val="00A7661C"/>
    <w:rsid w:val="00A9390C"/>
    <w:rsid w:val="00A95BC7"/>
    <w:rsid w:val="00A962DF"/>
    <w:rsid w:val="00AE359F"/>
    <w:rsid w:val="00AE451A"/>
    <w:rsid w:val="00AF70A1"/>
    <w:rsid w:val="00B07F79"/>
    <w:rsid w:val="00B16C07"/>
    <w:rsid w:val="00B25306"/>
    <w:rsid w:val="00B41A9E"/>
    <w:rsid w:val="00B46A57"/>
    <w:rsid w:val="00B52E8A"/>
    <w:rsid w:val="00B56CE6"/>
    <w:rsid w:val="00B65754"/>
    <w:rsid w:val="00B66231"/>
    <w:rsid w:val="00B769F1"/>
    <w:rsid w:val="00B82025"/>
    <w:rsid w:val="00B90D8F"/>
    <w:rsid w:val="00B9422E"/>
    <w:rsid w:val="00BA0A91"/>
    <w:rsid w:val="00BA3FFF"/>
    <w:rsid w:val="00BA4887"/>
    <w:rsid w:val="00BB3390"/>
    <w:rsid w:val="00BB3C1A"/>
    <w:rsid w:val="00BC6DEF"/>
    <w:rsid w:val="00BD6914"/>
    <w:rsid w:val="00BD7CAE"/>
    <w:rsid w:val="00BE2989"/>
    <w:rsid w:val="00BE6A2C"/>
    <w:rsid w:val="00BE7A11"/>
    <w:rsid w:val="00BE7AEA"/>
    <w:rsid w:val="00BF2746"/>
    <w:rsid w:val="00BF722F"/>
    <w:rsid w:val="00C13FE8"/>
    <w:rsid w:val="00C204CA"/>
    <w:rsid w:val="00C30A60"/>
    <w:rsid w:val="00C33ABA"/>
    <w:rsid w:val="00C37BB6"/>
    <w:rsid w:val="00C40D35"/>
    <w:rsid w:val="00C52EFD"/>
    <w:rsid w:val="00C62974"/>
    <w:rsid w:val="00C64378"/>
    <w:rsid w:val="00C75CF0"/>
    <w:rsid w:val="00C808B5"/>
    <w:rsid w:val="00C82DB6"/>
    <w:rsid w:val="00C85B24"/>
    <w:rsid w:val="00CA4CD6"/>
    <w:rsid w:val="00CA5636"/>
    <w:rsid w:val="00CA57FF"/>
    <w:rsid w:val="00CA7DA0"/>
    <w:rsid w:val="00CB35E3"/>
    <w:rsid w:val="00CC1E88"/>
    <w:rsid w:val="00CC3EBC"/>
    <w:rsid w:val="00CC48AB"/>
    <w:rsid w:val="00CC58F6"/>
    <w:rsid w:val="00CD2069"/>
    <w:rsid w:val="00CD280D"/>
    <w:rsid w:val="00CF2B37"/>
    <w:rsid w:val="00D13D9A"/>
    <w:rsid w:val="00D14A8D"/>
    <w:rsid w:val="00D21198"/>
    <w:rsid w:val="00D2273E"/>
    <w:rsid w:val="00D32280"/>
    <w:rsid w:val="00D35416"/>
    <w:rsid w:val="00D42D52"/>
    <w:rsid w:val="00D46FA2"/>
    <w:rsid w:val="00D4795A"/>
    <w:rsid w:val="00D5080D"/>
    <w:rsid w:val="00D54037"/>
    <w:rsid w:val="00D55D7D"/>
    <w:rsid w:val="00D56E19"/>
    <w:rsid w:val="00D56F5F"/>
    <w:rsid w:val="00D57AA3"/>
    <w:rsid w:val="00D60547"/>
    <w:rsid w:val="00D61B37"/>
    <w:rsid w:val="00D63B96"/>
    <w:rsid w:val="00D92F66"/>
    <w:rsid w:val="00D95819"/>
    <w:rsid w:val="00D9730B"/>
    <w:rsid w:val="00DA18A2"/>
    <w:rsid w:val="00DA58B2"/>
    <w:rsid w:val="00DA7285"/>
    <w:rsid w:val="00DB59E1"/>
    <w:rsid w:val="00DD1AC1"/>
    <w:rsid w:val="00DD1FD7"/>
    <w:rsid w:val="00DD2CB1"/>
    <w:rsid w:val="00DD64C8"/>
    <w:rsid w:val="00DD6FD9"/>
    <w:rsid w:val="00DD79BC"/>
    <w:rsid w:val="00DD7D49"/>
    <w:rsid w:val="00DF5C4E"/>
    <w:rsid w:val="00E10DA7"/>
    <w:rsid w:val="00E1538C"/>
    <w:rsid w:val="00E25DB6"/>
    <w:rsid w:val="00E276CD"/>
    <w:rsid w:val="00E32EDA"/>
    <w:rsid w:val="00E53137"/>
    <w:rsid w:val="00E702F6"/>
    <w:rsid w:val="00E72D70"/>
    <w:rsid w:val="00E77D5E"/>
    <w:rsid w:val="00E82445"/>
    <w:rsid w:val="00E868BB"/>
    <w:rsid w:val="00E87D1C"/>
    <w:rsid w:val="00E97F9D"/>
    <w:rsid w:val="00EA37A9"/>
    <w:rsid w:val="00EA7026"/>
    <w:rsid w:val="00EC4074"/>
    <w:rsid w:val="00ED741E"/>
    <w:rsid w:val="00ED7810"/>
    <w:rsid w:val="00EF113F"/>
    <w:rsid w:val="00EF56E2"/>
    <w:rsid w:val="00F033F0"/>
    <w:rsid w:val="00F03803"/>
    <w:rsid w:val="00F066C9"/>
    <w:rsid w:val="00F0734E"/>
    <w:rsid w:val="00F20822"/>
    <w:rsid w:val="00F23BF1"/>
    <w:rsid w:val="00F340DF"/>
    <w:rsid w:val="00F538BC"/>
    <w:rsid w:val="00F71536"/>
    <w:rsid w:val="00F9092B"/>
    <w:rsid w:val="00F92D22"/>
    <w:rsid w:val="00FA630C"/>
    <w:rsid w:val="00FA742E"/>
    <w:rsid w:val="00FB0650"/>
    <w:rsid w:val="00FB4109"/>
    <w:rsid w:val="00FB4D98"/>
    <w:rsid w:val="00FB6378"/>
    <w:rsid w:val="00FB7BCE"/>
    <w:rsid w:val="00FC4E09"/>
    <w:rsid w:val="00FC4E97"/>
    <w:rsid w:val="00FD72B2"/>
    <w:rsid w:val="00FE2099"/>
    <w:rsid w:val="00FE24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681E0A"/>
    <w:pPr>
      <w:ind w:left="720"/>
      <w:contextualSpacing/>
    </w:p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199859479">
      <w:bodyDiv w:val="1"/>
      <w:marLeft w:val="0"/>
      <w:marRight w:val="0"/>
      <w:marTop w:val="0"/>
      <w:marBottom w:val="0"/>
      <w:divBdr>
        <w:top w:val="none" w:sz="0" w:space="0" w:color="auto"/>
        <w:left w:val="none" w:sz="0" w:space="0" w:color="auto"/>
        <w:bottom w:val="none" w:sz="0" w:space="0" w:color="auto"/>
        <w:right w:val="none" w:sz="0" w:space="0" w:color="auto"/>
      </w:divBdr>
    </w:div>
    <w:div w:id="1210023525">
      <w:bodyDiv w:val="1"/>
      <w:marLeft w:val="0"/>
      <w:marRight w:val="0"/>
      <w:marTop w:val="0"/>
      <w:marBottom w:val="0"/>
      <w:divBdr>
        <w:top w:val="none" w:sz="0" w:space="0" w:color="auto"/>
        <w:left w:val="none" w:sz="0" w:space="0" w:color="auto"/>
        <w:bottom w:val="none" w:sz="0" w:space="0" w:color="auto"/>
        <w:right w:val="none" w:sz="0" w:space="0" w:color="auto"/>
      </w:divBdr>
    </w:div>
    <w:div w:id="1448818386">
      <w:bodyDiv w:val="1"/>
      <w:marLeft w:val="0"/>
      <w:marRight w:val="0"/>
      <w:marTop w:val="0"/>
      <w:marBottom w:val="0"/>
      <w:divBdr>
        <w:top w:val="none" w:sz="0" w:space="0" w:color="auto"/>
        <w:left w:val="none" w:sz="0" w:space="0" w:color="auto"/>
        <w:bottom w:val="none" w:sz="0" w:space="0" w:color="auto"/>
        <w:right w:val="none" w:sz="0" w:space="0" w:color="auto"/>
      </w:divBdr>
    </w:div>
    <w:div w:id="175979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7067D-1218-43B5-91EF-765DE953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6541</Words>
  <Characters>36282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2014-03-05T19:35:00Z</cp:lastPrinted>
  <dcterms:created xsi:type="dcterms:W3CDTF">2014-05-09T13:05:00Z</dcterms:created>
  <dcterms:modified xsi:type="dcterms:W3CDTF">2014-05-09T13:05:00Z</dcterms:modified>
</cp:coreProperties>
</file>