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48CA7" w14:textId="77777777" w:rsidR="00B3407F" w:rsidRPr="003E5045" w:rsidRDefault="00B3407F" w:rsidP="0092596C">
      <w:pPr>
        <w:spacing w:after="0" w:line="240" w:lineRule="auto"/>
        <w:jc w:val="center"/>
        <w:rPr>
          <w:rFonts w:ascii="Times New Roman" w:hAnsi="Times New Roman"/>
          <w:sz w:val="24"/>
          <w:szCs w:val="24"/>
        </w:rPr>
      </w:pPr>
      <w:r w:rsidRPr="003E5045">
        <w:rPr>
          <w:rFonts w:ascii="Times New Roman" w:hAnsi="Times New Roman"/>
          <w:sz w:val="24"/>
          <w:szCs w:val="24"/>
        </w:rPr>
        <w:t>Supporting Statement</w:t>
      </w:r>
    </w:p>
    <w:p w14:paraId="0C54A8A8" w14:textId="77777777" w:rsidR="00B3407F" w:rsidRPr="003E5045" w:rsidRDefault="00B3407F"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FERC-725</w:t>
      </w:r>
      <w:r w:rsidR="00453246" w:rsidRPr="003E5045">
        <w:rPr>
          <w:rFonts w:ascii="Times New Roman" w:hAnsi="Times New Roman"/>
          <w:b/>
          <w:sz w:val="24"/>
          <w:szCs w:val="24"/>
        </w:rPr>
        <w:t>S</w:t>
      </w:r>
      <w:r w:rsidRPr="003E5045">
        <w:rPr>
          <w:rFonts w:ascii="Times New Roman" w:hAnsi="Times New Roman"/>
          <w:b/>
          <w:sz w:val="24"/>
          <w:szCs w:val="24"/>
        </w:rPr>
        <w:t>, Mandatory Reliability Standards</w:t>
      </w:r>
      <w:r w:rsidR="006E33D4" w:rsidRPr="003E5045">
        <w:rPr>
          <w:rFonts w:ascii="Times New Roman" w:hAnsi="Times New Roman"/>
          <w:b/>
          <w:sz w:val="24"/>
          <w:szCs w:val="24"/>
        </w:rPr>
        <w:t xml:space="preserve">: </w:t>
      </w:r>
      <w:r w:rsidR="00600303" w:rsidRPr="003E5045">
        <w:rPr>
          <w:rFonts w:ascii="Times New Roman" w:hAnsi="Times New Roman"/>
          <w:b/>
          <w:sz w:val="24"/>
          <w:szCs w:val="24"/>
        </w:rPr>
        <w:t>EOP</w:t>
      </w:r>
      <w:r w:rsidR="007A7A19" w:rsidRPr="003E5045">
        <w:rPr>
          <w:rFonts w:ascii="Times New Roman" w:hAnsi="Times New Roman"/>
          <w:b/>
          <w:sz w:val="24"/>
          <w:szCs w:val="24"/>
        </w:rPr>
        <w:t>-</w:t>
      </w:r>
      <w:r w:rsidR="00600303" w:rsidRPr="003E5045">
        <w:rPr>
          <w:rFonts w:ascii="Times New Roman" w:hAnsi="Times New Roman"/>
          <w:b/>
          <w:sz w:val="24"/>
          <w:szCs w:val="24"/>
        </w:rPr>
        <w:t>010</w:t>
      </w:r>
      <w:r w:rsidR="007A7A19" w:rsidRPr="003E5045">
        <w:rPr>
          <w:rFonts w:ascii="Times New Roman" w:hAnsi="Times New Roman"/>
          <w:b/>
          <w:sz w:val="24"/>
          <w:szCs w:val="24"/>
        </w:rPr>
        <w:t>-</w:t>
      </w:r>
      <w:r w:rsidR="00600303" w:rsidRPr="003E5045">
        <w:rPr>
          <w:rFonts w:ascii="Times New Roman" w:hAnsi="Times New Roman"/>
          <w:b/>
          <w:sz w:val="24"/>
          <w:szCs w:val="24"/>
        </w:rPr>
        <w:t>1</w:t>
      </w:r>
    </w:p>
    <w:p w14:paraId="26D6DB2C" w14:textId="77777777" w:rsidR="00C25EF3" w:rsidRPr="003E5045" w:rsidRDefault="00C25EF3" w:rsidP="00C25EF3">
      <w:pPr>
        <w:spacing w:after="0" w:line="240" w:lineRule="auto"/>
        <w:jc w:val="center"/>
        <w:rPr>
          <w:rFonts w:ascii="Times New Roman" w:hAnsi="Times New Roman"/>
          <w:sz w:val="24"/>
          <w:szCs w:val="24"/>
        </w:rPr>
      </w:pPr>
      <w:r w:rsidRPr="003E5045">
        <w:rPr>
          <w:rFonts w:ascii="Times New Roman" w:hAnsi="Times New Roman"/>
          <w:sz w:val="24"/>
          <w:szCs w:val="24"/>
        </w:rPr>
        <w:t>(</w:t>
      </w:r>
      <w:r w:rsidR="00A808EC" w:rsidRPr="00A808EC">
        <w:rPr>
          <w:rFonts w:ascii="Times New Roman" w:hAnsi="Times New Roman"/>
          <w:sz w:val="24"/>
          <w:szCs w:val="24"/>
        </w:rPr>
        <w:t>Reliability Standard for Geomag</w:t>
      </w:r>
      <w:bookmarkStart w:id="0" w:name="_GoBack"/>
      <w:bookmarkEnd w:id="0"/>
      <w:r w:rsidR="00A808EC" w:rsidRPr="00A808EC">
        <w:rPr>
          <w:rFonts w:ascii="Times New Roman" w:hAnsi="Times New Roman"/>
          <w:sz w:val="24"/>
          <w:szCs w:val="24"/>
        </w:rPr>
        <w:t>netic Disturbance Operations</w:t>
      </w:r>
      <w:r w:rsidRPr="003E5045">
        <w:rPr>
          <w:rFonts w:ascii="Times New Roman" w:hAnsi="Times New Roman"/>
          <w:sz w:val="24"/>
          <w:szCs w:val="24"/>
        </w:rPr>
        <w:t xml:space="preserve">), </w:t>
      </w:r>
    </w:p>
    <w:p w14:paraId="1BA2EBEC" w14:textId="77777777" w:rsidR="00B3407F" w:rsidRPr="003E5045" w:rsidRDefault="00D81467" w:rsidP="0092596C">
      <w:pPr>
        <w:spacing w:after="0" w:line="240" w:lineRule="auto"/>
        <w:jc w:val="center"/>
        <w:rPr>
          <w:rFonts w:ascii="Times New Roman" w:hAnsi="Times New Roman"/>
          <w:sz w:val="24"/>
          <w:szCs w:val="24"/>
        </w:rPr>
      </w:pPr>
      <w:r>
        <w:rPr>
          <w:rFonts w:ascii="Times New Roman" w:hAnsi="Times New Roman"/>
          <w:sz w:val="24"/>
          <w:szCs w:val="24"/>
        </w:rPr>
        <w:t xml:space="preserve">Final Rule </w:t>
      </w:r>
      <w:r w:rsidR="00AF32F2" w:rsidRPr="003E5045">
        <w:rPr>
          <w:rFonts w:ascii="Times New Roman" w:hAnsi="Times New Roman"/>
          <w:sz w:val="24"/>
          <w:szCs w:val="24"/>
        </w:rPr>
        <w:t>in</w:t>
      </w:r>
      <w:r w:rsidR="00B3407F" w:rsidRPr="003E5045">
        <w:rPr>
          <w:rFonts w:ascii="Times New Roman" w:hAnsi="Times New Roman"/>
          <w:sz w:val="24"/>
          <w:szCs w:val="24"/>
        </w:rPr>
        <w:t xml:space="preserve"> RM1</w:t>
      </w:r>
      <w:r w:rsidR="003E5045" w:rsidRPr="003E5045">
        <w:rPr>
          <w:rFonts w:ascii="Times New Roman" w:hAnsi="Times New Roman"/>
          <w:sz w:val="24"/>
          <w:szCs w:val="24"/>
        </w:rPr>
        <w:t>4</w:t>
      </w:r>
      <w:r w:rsidR="00B3407F" w:rsidRPr="003E5045">
        <w:rPr>
          <w:rFonts w:ascii="Times New Roman" w:hAnsi="Times New Roman"/>
          <w:sz w:val="24"/>
          <w:szCs w:val="24"/>
        </w:rPr>
        <w:t>-</w:t>
      </w:r>
      <w:r w:rsidR="003E5045" w:rsidRPr="003E5045">
        <w:rPr>
          <w:rFonts w:ascii="Times New Roman" w:hAnsi="Times New Roman"/>
          <w:sz w:val="24"/>
          <w:szCs w:val="24"/>
        </w:rPr>
        <w:t>1</w:t>
      </w:r>
      <w:r w:rsidR="00B3407F" w:rsidRPr="003E5045">
        <w:rPr>
          <w:rFonts w:ascii="Times New Roman" w:hAnsi="Times New Roman"/>
          <w:sz w:val="24"/>
          <w:szCs w:val="24"/>
        </w:rPr>
        <w:t>-000</w:t>
      </w:r>
    </w:p>
    <w:p w14:paraId="54417468" w14:textId="77777777" w:rsidR="00FD66F1" w:rsidRPr="003E5045" w:rsidRDefault="00FD66F1" w:rsidP="0092596C">
      <w:pPr>
        <w:spacing w:after="0" w:line="240" w:lineRule="auto"/>
        <w:rPr>
          <w:rFonts w:ascii="Times New Roman" w:hAnsi="Times New Roman" w:cs="Times New Roman"/>
          <w:sz w:val="24"/>
          <w:szCs w:val="24"/>
        </w:rPr>
      </w:pPr>
    </w:p>
    <w:p w14:paraId="6E1B920B" w14:textId="77777777" w:rsidR="00333EE2" w:rsidRPr="003E5045" w:rsidRDefault="00333EE2" w:rsidP="00333EE2">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In </w:t>
      </w:r>
      <w:r w:rsidR="007A7A19" w:rsidRPr="003E5045">
        <w:rPr>
          <w:rFonts w:ascii="Times New Roman" w:hAnsi="Times New Roman" w:cs="Times New Roman"/>
          <w:sz w:val="24"/>
          <w:szCs w:val="24"/>
        </w:rPr>
        <w:t xml:space="preserve">Docket </w:t>
      </w:r>
      <w:r w:rsidRPr="003E5045">
        <w:rPr>
          <w:rFonts w:ascii="Times New Roman" w:hAnsi="Times New Roman" w:cs="Times New Roman"/>
          <w:sz w:val="24"/>
          <w:szCs w:val="24"/>
        </w:rPr>
        <w:t>RM1</w:t>
      </w:r>
      <w:r w:rsidR="00600303" w:rsidRPr="003E5045">
        <w:rPr>
          <w:rFonts w:ascii="Times New Roman" w:hAnsi="Times New Roman" w:cs="Times New Roman"/>
          <w:sz w:val="24"/>
          <w:szCs w:val="24"/>
        </w:rPr>
        <w:t>4</w:t>
      </w:r>
      <w:r w:rsidRPr="003E5045">
        <w:rPr>
          <w:rFonts w:ascii="Times New Roman" w:hAnsi="Times New Roman" w:cs="Times New Roman"/>
          <w:sz w:val="24"/>
          <w:szCs w:val="24"/>
        </w:rPr>
        <w:t>-</w:t>
      </w:r>
      <w:r w:rsidR="00600303" w:rsidRPr="003E5045">
        <w:rPr>
          <w:rFonts w:ascii="Times New Roman" w:hAnsi="Times New Roman" w:cs="Times New Roman"/>
          <w:sz w:val="24"/>
          <w:szCs w:val="24"/>
        </w:rPr>
        <w:t>1</w:t>
      </w:r>
      <w:r w:rsidR="005B4642" w:rsidRPr="003E5045">
        <w:rPr>
          <w:rFonts w:ascii="Times New Roman" w:hAnsi="Times New Roman" w:cs="Times New Roman"/>
          <w:sz w:val="24"/>
          <w:szCs w:val="24"/>
        </w:rPr>
        <w:t xml:space="preserve"> </w:t>
      </w:r>
      <w:r w:rsidR="007A7A19" w:rsidRPr="003E5045">
        <w:rPr>
          <w:rFonts w:ascii="Times New Roman" w:hAnsi="Times New Roman" w:cs="Times New Roman"/>
          <w:sz w:val="24"/>
          <w:szCs w:val="24"/>
        </w:rPr>
        <w:t>the Commission approve</w:t>
      </w:r>
      <w:r w:rsidR="00FF5145">
        <w:rPr>
          <w:rFonts w:ascii="Times New Roman" w:hAnsi="Times New Roman" w:cs="Times New Roman"/>
          <w:sz w:val="24"/>
          <w:szCs w:val="24"/>
        </w:rPr>
        <w:t>s</w:t>
      </w:r>
      <w:r w:rsidR="007A7A19" w:rsidRPr="003E5045">
        <w:rPr>
          <w:rFonts w:ascii="Times New Roman" w:hAnsi="Times New Roman" w:cs="Times New Roman"/>
          <w:sz w:val="24"/>
          <w:szCs w:val="24"/>
        </w:rPr>
        <w:t xml:space="preserve"> Reliability Standard </w:t>
      </w:r>
      <w:r w:rsidR="00600303" w:rsidRPr="003E5045">
        <w:rPr>
          <w:rFonts w:ascii="Times New Roman" w:hAnsi="Times New Roman" w:cs="Times New Roman"/>
          <w:sz w:val="24"/>
          <w:szCs w:val="24"/>
        </w:rPr>
        <w:t>EOP</w:t>
      </w:r>
      <w:r w:rsidR="007A7A19" w:rsidRPr="003E5045">
        <w:rPr>
          <w:rFonts w:ascii="Times New Roman" w:hAnsi="Times New Roman" w:cs="Times New Roman"/>
          <w:sz w:val="24"/>
          <w:szCs w:val="24"/>
        </w:rPr>
        <w:t>-0</w:t>
      </w:r>
      <w:r w:rsidR="00600303" w:rsidRPr="003E5045">
        <w:rPr>
          <w:rFonts w:ascii="Times New Roman" w:hAnsi="Times New Roman" w:cs="Times New Roman"/>
          <w:sz w:val="24"/>
          <w:szCs w:val="24"/>
        </w:rPr>
        <w:t>1</w:t>
      </w:r>
      <w:r w:rsidR="007A7A19" w:rsidRPr="003E5045">
        <w:rPr>
          <w:rFonts w:ascii="Times New Roman" w:hAnsi="Times New Roman" w:cs="Times New Roman"/>
          <w:sz w:val="24"/>
          <w:szCs w:val="24"/>
        </w:rPr>
        <w:t>0-</w:t>
      </w:r>
      <w:r w:rsidR="00600303" w:rsidRPr="003E5045">
        <w:rPr>
          <w:rFonts w:ascii="Times New Roman" w:hAnsi="Times New Roman" w:cs="Times New Roman"/>
          <w:sz w:val="24"/>
          <w:szCs w:val="24"/>
        </w:rPr>
        <w:t>1</w:t>
      </w:r>
      <w:r w:rsidR="00CD7540" w:rsidRPr="003E5045">
        <w:rPr>
          <w:rFonts w:ascii="Times New Roman" w:hAnsi="Times New Roman" w:cs="Times New Roman"/>
          <w:sz w:val="24"/>
          <w:szCs w:val="24"/>
        </w:rPr>
        <w:t>.</w:t>
      </w:r>
      <w:r w:rsidR="007A7A19" w:rsidRPr="003E5045">
        <w:rPr>
          <w:rFonts w:ascii="Times New Roman" w:hAnsi="Times New Roman" w:cs="Times New Roman"/>
          <w:sz w:val="24"/>
          <w:szCs w:val="24"/>
        </w:rPr>
        <w:t xml:space="preserve"> </w:t>
      </w:r>
      <w:r w:rsidR="00CD7540" w:rsidRPr="003E5045">
        <w:rPr>
          <w:rFonts w:ascii="Times New Roman" w:hAnsi="Times New Roman" w:cs="Times New Roman"/>
          <w:sz w:val="24"/>
          <w:szCs w:val="24"/>
        </w:rPr>
        <w:t xml:space="preserve"> The North American Electric Reliability Corporation (NERC), the Commission-certified Electric Reliability Organization (ERO), submitted the proposed Reliability Standard for Commission approval in response to a Commission directive in Order No. 779.</w:t>
      </w:r>
      <w:r w:rsidR="00CD7540" w:rsidRPr="003E5045">
        <w:rPr>
          <w:rFonts w:ascii="Times New Roman" w:hAnsi="Times New Roman" w:cs="Times New Roman"/>
          <w:b/>
          <w:sz w:val="24"/>
          <w:szCs w:val="24"/>
          <w:vertAlign w:val="superscript"/>
        </w:rPr>
        <w:footnoteReference w:id="1"/>
      </w:r>
      <w:r w:rsidR="00CD7540" w:rsidRPr="003E5045">
        <w:rPr>
          <w:rFonts w:ascii="Times New Roman" w:hAnsi="Times New Roman" w:cs="Times New Roman"/>
          <w:sz w:val="24"/>
          <w:szCs w:val="24"/>
        </w:rPr>
        <w:t xml:space="preserve">  The Reliability Standard is designed to mitigate the effects of geomagnetic disturbances (GMDs) on the Bulk-Power System by requiring responsible entities to implement Operating Plans and Operating Procedures or Processes.  </w:t>
      </w:r>
    </w:p>
    <w:p w14:paraId="32BEAF27" w14:textId="77777777" w:rsidR="0002242D" w:rsidRPr="003E5045" w:rsidRDefault="0002242D" w:rsidP="0092596C">
      <w:pPr>
        <w:spacing w:after="0" w:line="240" w:lineRule="auto"/>
        <w:rPr>
          <w:rFonts w:ascii="Times New Roman" w:hAnsi="Times New Roman" w:cs="Times New Roman"/>
          <w:sz w:val="24"/>
          <w:szCs w:val="24"/>
        </w:rPr>
      </w:pPr>
    </w:p>
    <w:p w14:paraId="58522815" w14:textId="77777777" w:rsidR="00A72E7B" w:rsidRPr="003E5045"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CIRCUMSTANCES THAT MAKE THE COLLECTION OF INFORMATION NECESSARY</w:t>
      </w:r>
    </w:p>
    <w:p w14:paraId="62D8A151" w14:textId="77777777" w:rsidR="00A72E7B" w:rsidRPr="003E5045" w:rsidRDefault="00A72E7B" w:rsidP="0092596C">
      <w:pPr>
        <w:spacing w:after="0" w:line="240" w:lineRule="auto"/>
        <w:rPr>
          <w:rFonts w:ascii="Times New Roman" w:hAnsi="Times New Roman" w:cs="Times New Roman"/>
          <w:sz w:val="24"/>
          <w:szCs w:val="24"/>
        </w:rPr>
      </w:pPr>
    </w:p>
    <w:p w14:paraId="2BB18BA6" w14:textId="77777777" w:rsidR="00DF401D" w:rsidRPr="003E5045" w:rsidRDefault="00DF401D" w:rsidP="0092596C">
      <w:pPr>
        <w:pStyle w:val="FERCparanumber"/>
        <w:widowControl/>
        <w:numPr>
          <w:ilvl w:val="0"/>
          <w:numId w:val="0"/>
        </w:numPr>
        <w:spacing w:line="240" w:lineRule="auto"/>
        <w:rPr>
          <w:sz w:val="24"/>
        </w:rPr>
      </w:pPr>
      <w:r w:rsidRPr="003E5045">
        <w:rPr>
          <w:sz w:val="24"/>
        </w:rPr>
        <w:t>On August 8, 2005, The Electricity Modernization Act of 2005, which is Title XII of the Energy Policy Act of 2005 (</w:t>
      </w:r>
      <w:proofErr w:type="spellStart"/>
      <w:r w:rsidRPr="003E5045">
        <w:rPr>
          <w:sz w:val="24"/>
        </w:rPr>
        <w:t>EPAct</w:t>
      </w:r>
      <w:proofErr w:type="spellEnd"/>
      <w:r w:rsidRPr="003E5045">
        <w:rPr>
          <w:sz w:val="24"/>
        </w:rPr>
        <w:t xml:space="preserve"> 2005), was enacted into law.</w:t>
      </w:r>
      <w:r w:rsidRPr="003E5045">
        <w:rPr>
          <w:rStyle w:val="FootnoteReference"/>
          <w:sz w:val="24"/>
          <w:vertAlign w:val="superscript"/>
        </w:rPr>
        <w:footnoteReference w:id="2"/>
      </w:r>
      <w:r w:rsidRPr="003E5045">
        <w:rPr>
          <w:sz w:val="24"/>
        </w:rPr>
        <w:t xml:space="preserve">  </w:t>
      </w:r>
      <w:proofErr w:type="spellStart"/>
      <w:r w:rsidRPr="003E5045">
        <w:rPr>
          <w:sz w:val="24"/>
        </w:rPr>
        <w:t>EPAct</w:t>
      </w:r>
      <w:proofErr w:type="spellEnd"/>
      <w:r w:rsidRPr="003E5045">
        <w:rPr>
          <w:sz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sidRPr="003E5045">
        <w:rPr>
          <w:sz w:val="24"/>
        </w:rPr>
        <w:t>,</w:t>
      </w:r>
      <w:r w:rsidRPr="003E5045">
        <w:rPr>
          <w:sz w:val="24"/>
        </w:rPr>
        <w:t xml:space="preserve"> the Reliability Standards m</w:t>
      </w:r>
      <w:r w:rsidR="00F9136F" w:rsidRPr="003E5045">
        <w:rPr>
          <w:sz w:val="24"/>
        </w:rPr>
        <w:t>ust</w:t>
      </w:r>
      <w:r w:rsidRPr="003E5045">
        <w:rPr>
          <w:sz w:val="24"/>
        </w:rPr>
        <w:t xml:space="preserve"> be enforced by the ERO, s</w:t>
      </w:r>
      <w:r w:rsidR="003E5045" w:rsidRPr="003E5045">
        <w:rPr>
          <w:sz w:val="24"/>
        </w:rPr>
        <w:t xml:space="preserve">ubject to Commission oversight.  The Commission implements section 215 in 18 CFR 40.  </w:t>
      </w:r>
    </w:p>
    <w:p w14:paraId="5547365F" w14:textId="77777777" w:rsidR="00DF401D" w:rsidRPr="003E5045" w:rsidRDefault="00DF401D" w:rsidP="0092596C">
      <w:pPr>
        <w:spacing w:after="0" w:line="240" w:lineRule="auto"/>
        <w:rPr>
          <w:rFonts w:ascii="Times New Roman" w:hAnsi="Times New Roman" w:cs="Times New Roman"/>
          <w:sz w:val="24"/>
          <w:szCs w:val="24"/>
        </w:rPr>
      </w:pPr>
    </w:p>
    <w:p w14:paraId="27FDB6E6" w14:textId="77777777" w:rsidR="00CD7540" w:rsidRPr="003E5045" w:rsidRDefault="00CD7540"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In Order No. 779, the Commission directed NERC, pursuant to FPA section 215(d</w:t>
      </w:r>
      <w:proofErr w:type="gramStart"/>
      <w:r w:rsidRPr="003E5045">
        <w:rPr>
          <w:rFonts w:ascii="Times New Roman" w:hAnsi="Times New Roman" w:cs="Times New Roman"/>
          <w:sz w:val="24"/>
          <w:szCs w:val="24"/>
        </w:rPr>
        <w:t>)(</w:t>
      </w:r>
      <w:proofErr w:type="gramEnd"/>
      <w:r w:rsidRPr="003E5045">
        <w:rPr>
          <w:rFonts w:ascii="Times New Roman" w:hAnsi="Times New Roman" w:cs="Times New Roman"/>
          <w:sz w:val="24"/>
          <w:szCs w:val="24"/>
        </w:rPr>
        <w:t>5), to develop and submit for approval proposed Reliability Standards that address the impact of GMDs on the reliable operation of the Bulk-Power System.  The Commission based its directive on the potentially severe, wide-spread impact on the reliable operation of the Bulk-Power System that can be caused by GMD events and the absence of existing Reliability Standards to address GMD events.</w:t>
      </w:r>
      <w:r w:rsidRPr="003E5045">
        <w:rPr>
          <w:rFonts w:ascii="Times New Roman" w:hAnsi="Times New Roman" w:cs="Times New Roman"/>
          <w:b/>
          <w:sz w:val="24"/>
          <w:szCs w:val="24"/>
          <w:vertAlign w:val="superscript"/>
        </w:rPr>
        <w:footnoteReference w:id="3"/>
      </w:r>
      <w:r w:rsidRPr="003E5045">
        <w:rPr>
          <w:rFonts w:ascii="Times New Roman" w:hAnsi="Times New Roman" w:cs="Times New Roman"/>
          <w:sz w:val="24"/>
          <w:szCs w:val="24"/>
        </w:rPr>
        <w:t xml:space="preserve">  </w:t>
      </w:r>
    </w:p>
    <w:p w14:paraId="4B5E6DF8" w14:textId="77777777" w:rsidR="00EB4764" w:rsidRPr="003E5045" w:rsidRDefault="00EB4764" w:rsidP="00CD7540">
      <w:pPr>
        <w:spacing w:after="0" w:line="240" w:lineRule="auto"/>
        <w:ind w:left="720"/>
        <w:rPr>
          <w:rFonts w:ascii="Times New Roman" w:hAnsi="Times New Roman" w:cs="Times New Roman"/>
          <w:sz w:val="24"/>
          <w:szCs w:val="24"/>
        </w:rPr>
      </w:pPr>
    </w:p>
    <w:p w14:paraId="00ADA9D3" w14:textId="77777777" w:rsidR="00CD7540" w:rsidRPr="003E5045" w:rsidRDefault="00CD7540"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Commission directed NERC to implement the directive in two stages.  In the first stage, the Commission directed NERC to submit, within six months of the effective date of Order No. 779, one or more Reliability Standards (First Stage GMD Reliability Standards) that require owners and operators of the Bulk-Power System to develop and implement operational procedures to mitigate the effects of GMDs consistent with the reliable operation of the Bulk-Power System.</w:t>
      </w:r>
      <w:r w:rsidRPr="003E5045">
        <w:rPr>
          <w:rFonts w:ascii="Times New Roman" w:hAnsi="Times New Roman" w:cs="Times New Roman"/>
          <w:b/>
          <w:sz w:val="24"/>
          <w:szCs w:val="24"/>
          <w:vertAlign w:val="superscript"/>
        </w:rPr>
        <w:footnoteReference w:id="4"/>
      </w:r>
      <w:r w:rsidRPr="003E5045">
        <w:rPr>
          <w:rFonts w:ascii="Times New Roman" w:hAnsi="Times New Roman" w:cs="Times New Roman"/>
          <w:sz w:val="24"/>
          <w:szCs w:val="24"/>
        </w:rPr>
        <w:t xml:space="preserve"> </w:t>
      </w:r>
    </w:p>
    <w:p w14:paraId="2158B841" w14:textId="77777777" w:rsidR="00190012" w:rsidRPr="003E5045" w:rsidRDefault="00190012" w:rsidP="00F55597">
      <w:pPr>
        <w:spacing w:after="0" w:line="240" w:lineRule="auto"/>
        <w:ind w:left="720"/>
        <w:rPr>
          <w:rFonts w:ascii="Times New Roman" w:eastAsia="Times New Roman" w:hAnsi="Times New Roman" w:cs="Times New Roman"/>
          <w:sz w:val="24"/>
          <w:szCs w:val="24"/>
        </w:rPr>
      </w:pPr>
      <w:r w:rsidRPr="003E5045">
        <w:rPr>
          <w:rFonts w:ascii="Times New Roman" w:eastAsia="Times New Roman" w:hAnsi="Times New Roman" w:cs="Times New Roman"/>
          <w:sz w:val="24"/>
          <w:szCs w:val="24"/>
        </w:rPr>
        <w:t xml:space="preserve">  </w:t>
      </w:r>
    </w:p>
    <w:p w14:paraId="63A15CB8" w14:textId="77777777" w:rsidR="00EB4764" w:rsidRPr="003E5045" w:rsidRDefault="00EB4764" w:rsidP="00EB4764">
      <w:pPr>
        <w:spacing w:after="0" w:line="240" w:lineRule="auto"/>
        <w:rPr>
          <w:rFonts w:ascii="Times New Roman" w:eastAsia="Times New Roman" w:hAnsi="Times New Roman" w:cs="Times New Roman"/>
          <w:sz w:val="24"/>
          <w:szCs w:val="24"/>
        </w:rPr>
      </w:pPr>
      <w:r w:rsidRPr="003E5045">
        <w:rPr>
          <w:rFonts w:ascii="Times New Roman" w:eastAsia="Times New Roman" w:hAnsi="Times New Roman" w:cs="Times New Roman"/>
          <w:sz w:val="24"/>
          <w:szCs w:val="24"/>
        </w:rPr>
        <w:t xml:space="preserve">On November 13, 2013, NERC petitioned the Commission to approve proposed Reliability Standard EOP-010-1 and its associated violation risk factors and violation severity levels, </w:t>
      </w:r>
      <w:r w:rsidRPr="003E5045">
        <w:rPr>
          <w:rFonts w:ascii="Times New Roman" w:eastAsia="Times New Roman" w:hAnsi="Times New Roman" w:cs="Times New Roman"/>
          <w:sz w:val="24"/>
          <w:szCs w:val="24"/>
        </w:rPr>
        <w:lastRenderedPageBreak/>
        <w:t>implementation plan, and effective dates.  NERC states that the proposed Reliability Standard is just, reasonable, not unduly discriminatory or preferential, and in the public interest.  Further, NERC maintains that the proposed Reliability Standard satisfies the Commission’s directive in Order No. 779 corresponding to the development and submission of the First Stage GMD Reliability Standards.</w:t>
      </w:r>
    </w:p>
    <w:p w14:paraId="406EF2A5" w14:textId="77777777" w:rsidR="00EB3E6F" w:rsidRPr="003E5045" w:rsidRDefault="00EB3E6F" w:rsidP="0092596C">
      <w:pPr>
        <w:spacing w:after="0" w:line="240" w:lineRule="auto"/>
        <w:rPr>
          <w:rFonts w:ascii="Times New Roman" w:hAnsi="Times New Roman" w:cs="Times New Roman"/>
          <w:sz w:val="24"/>
          <w:szCs w:val="24"/>
        </w:rPr>
      </w:pPr>
    </w:p>
    <w:p w14:paraId="7B5F8665" w14:textId="77777777" w:rsidR="00A72E7B"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HOW, BY WHOM, AND FOR WHAT PURPOSE THE INFORMATION IS TO BE USED AND THE CONSEQUENCES OF NOT COLLECTING THE INFORMATION</w:t>
      </w:r>
    </w:p>
    <w:p w14:paraId="1AB3C475" w14:textId="77777777" w:rsidR="009A6326" w:rsidRPr="003E5045" w:rsidRDefault="009A6326" w:rsidP="009A6326">
      <w:pPr>
        <w:spacing w:after="0" w:line="240" w:lineRule="auto"/>
        <w:rPr>
          <w:rFonts w:ascii="Times New Roman" w:hAnsi="Times New Roman" w:cs="Times New Roman"/>
          <w:sz w:val="24"/>
          <w:szCs w:val="24"/>
        </w:rPr>
      </w:pPr>
    </w:p>
    <w:p w14:paraId="7D848867" w14:textId="77777777" w:rsidR="00EB4764" w:rsidRPr="003E5045" w:rsidRDefault="00EB4764"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NERC states that, consistent with Order No. 779 and the NERC Functional Model, Reliability Standard EOP-010-1 applies to r</w:t>
      </w:r>
      <w:r w:rsidR="00DD5283">
        <w:rPr>
          <w:rFonts w:ascii="Times New Roman" w:hAnsi="Times New Roman" w:cs="Times New Roman"/>
          <w:sz w:val="24"/>
          <w:szCs w:val="24"/>
        </w:rPr>
        <w:t xml:space="preserve">eliability coordinators and to </w:t>
      </w:r>
      <w:r w:rsidRPr="003E5045">
        <w:rPr>
          <w:rFonts w:ascii="Times New Roman" w:hAnsi="Times New Roman" w:cs="Times New Roman"/>
          <w:sz w:val="24"/>
          <w:szCs w:val="24"/>
        </w:rPr>
        <w:t>transmission operators with a “Transmission Operator Area that includes a power transformer with a high side wye-grounded winding with terminal voltage greater than 200 kV.”</w:t>
      </w:r>
      <w:r w:rsidRPr="003E5045">
        <w:rPr>
          <w:rFonts w:ascii="Times New Roman" w:hAnsi="Times New Roman" w:cs="Times New Roman"/>
          <w:b/>
          <w:sz w:val="24"/>
          <w:szCs w:val="24"/>
          <w:vertAlign w:val="superscript"/>
        </w:rPr>
        <w:footnoteReference w:id="5"/>
      </w:r>
      <w:r w:rsidRPr="003E5045">
        <w:rPr>
          <w:rFonts w:ascii="Times New Roman" w:hAnsi="Times New Roman" w:cs="Times New Roman"/>
          <w:sz w:val="24"/>
          <w:szCs w:val="24"/>
        </w:rPr>
        <w:t xml:space="preserve">  NERC explains that the proposed Reliability Standard has three requirements:  (1) Requirement R1 addresses coordination by reliability coordinators within their areas; (2) Requirement R2 addresses the dissemination of space weather information by reliability coordinators to ensure that entities within a reliability coordinator area have the appropriate information necessary to take action and that the same information is available to all entities; and (3) Requirement R3 requires transmission operators to develop GMD Operating Procedures or Processes.</w:t>
      </w:r>
    </w:p>
    <w:p w14:paraId="6071D7B2" w14:textId="77777777" w:rsidR="00EB4764" w:rsidRPr="003E5045" w:rsidRDefault="00EB4764" w:rsidP="00EB4764">
      <w:pPr>
        <w:spacing w:after="0" w:line="240" w:lineRule="auto"/>
        <w:rPr>
          <w:rFonts w:ascii="Times New Roman" w:hAnsi="Times New Roman" w:cs="Times New Roman"/>
          <w:sz w:val="24"/>
          <w:szCs w:val="24"/>
        </w:rPr>
      </w:pPr>
    </w:p>
    <w:p w14:paraId="0A6CA04F" w14:textId="77777777" w:rsidR="00EB4764" w:rsidRPr="003E5045" w:rsidRDefault="00EB4764"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NERC states that Requirement R1 requires reliability coordinators to develop, maintain, and implement a GMD Operating Plan that coordinates the GMD Operating Procedures or Operating Processes within the reliability coordinator area.</w:t>
      </w:r>
      <w:r w:rsidRPr="003E5045">
        <w:rPr>
          <w:rFonts w:ascii="Times New Roman" w:hAnsi="Times New Roman" w:cs="Times New Roman"/>
          <w:b/>
          <w:sz w:val="24"/>
          <w:szCs w:val="24"/>
          <w:vertAlign w:val="superscript"/>
        </w:rPr>
        <w:footnoteReference w:id="6"/>
      </w:r>
      <w:r w:rsidRPr="003E5045">
        <w:rPr>
          <w:rFonts w:ascii="Times New Roman" w:hAnsi="Times New Roman" w:cs="Times New Roman"/>
          <w:sz w:val="24"/>
          <w:szCs w:val="24"/>
        </w:rPr>
        <w:t xml:space="preserve">  NERC explains that reliability coordinators are required to ensure that GMD Operating Procedures and Operating Processes in a reliability coordinator area are not in conflict, </w:t>
      </w:r>
      <w:r w:rsidRPr="003C3532">
        <w:rPr>
          <w:rFonts w:ascii="Times New Roman" w:hAnsi="Times New Roman" w:cs="Times New Roman"/>
          <w:sz w:val="24"/>
          <w:szCs w:val="24"/>
        </w:rPr>
        <w:t>but reliability coordinators will not review the technical aspects of the GMD Operating Procedures and Operating Processes.</w:t>
      </w:r>
      <w:r w:rsidR="003C3532">
        <w:rPr>
          <w:rFonts w:ascii="Times New Roman" w:hAnsi="Times New Roman" w:cs="Times New Roman"/>
          <w:sz w:val="24"/>
          <w:szCs w:val="24"/>
        </w:rPr>
        <w:t xml:space="preserve">  </w:t>
      </w:r>
      <w:r w:rsidR="003C3532" w:rsidRPr="003C3532">
        <w:rPr>
          <w:rFonts w:ascii="Times New Roman" w:hAnsi="Times New Roman" w:cs="Times New Roman"/>
          <w:sz w:val="24"/>
          <w:szCs w:val="24"/>
        </w:rPr>
        <w:t xml:space="preserve">NERC explains that “if Company A submitted an Operating Procedure proposing to take Line X out of service under specified GMD conditions, and Company B submitted an Operating Procedure that relies on Line X remaining in service in the event of a GMD – it is the responsibility of the Reliability Coordinator to </w:t>
      </w:r>
      <w:r w:rsidR="003C3532" w:rsidRPr="003C3532">
        <w:rPr>
          <w:rFonts w:ascii="Times New Roman" w:hAnsi="Times New Roman" w:cs="Times New Roman"/>
          <w:i/>
          <w:sz w:val="24"/>
          <w:szCs w:val="24"/>
        </w:rPr>
        <w:t>identify</w:t>
      </w:r>
      <w:r w:rsidR="003C3532" w:rsidRPr="003C3532">
        <w:rPr>
          <w:rFonts w:ascii="Times New Roman" w:hAnsi="Times New Roman" w:cs="Times New Roman"/>
          <w:sz w:val="24"/>
          <w:szCs w:val="24"/>
        </w:rPr>
        <w:t xml:space="preserve"> this conflict.”</w:t>
      </w:r>
      <w:r w:rsidR="003C3532" w:rsidRPr="003C3532">
        <w:rPr>
          <w:rStyle w:val="FootnoteReference"/>
          <w:rFonts w:ascii="Times New Roman" w:hAnsi="Times New Roman" w:cs="Times New Roman"/>
          <w:sz w:val="24"/>
          <w:szCs w:val="24"/>
          <w:vertAlign w:val="superscript"/>
        </w:rPr>
        <w:footnoteReference w:id="7"/>
      </w:r>
      <w:r w:rsidR="003C3532" w:rsidRPr="003C3532">
        <w:rPr>
          <w:rFonts w:ascii="Times New Roman" w:hAnsi="Times New Roman" w:cs="Times New Roman"/>
          <w:sz w:val="24"/>
          <w:szCs w:val="24"/>
        </w:rPr>
        <w:t xml:space="preserve">  Beyond identifying a conflict and requiring its resolution by Company A and Company B, NERC states that the review is “not intended to be a review by the Reliability Coordinator of the technical aspects of the GMD Operating Procedures or Processes.”</w:t>
      </w:r>
      <w:r w:rsidR="003C3532" w:rsidRPr="003C3532">
        <w:rPr>
          <w:rStyle w:val="FootnoteReference"/>
          <w:rFonts w:ascii="Times New Roman" w:hAnsi="Times New Roman" w:cs="Times New Roman"/>
          <w:sz w:val="24"/>
          <w:szCs w:val="24"/>
          <w:vertAlign w:val="superscript"/>
        </w:rPr>
        <w:footnoteReference w:id="8"/>
      </w:r>
      <w:r w:rsidRPr="003E5045">
        <w:rPr>
          <w:rFonts w:ascii="Times New Roman" w:hAnsi="Times New Roman" w:cs="Times New Roman"/>
          <w:sz w:val="24"/>
          <w:szCs w:val="24"/>
        </w:rPr>
        <w:t xml:space="preserve">  Instead, NERC points out that transmission operators will be responsible for the technical aspects of their Operating Procedures and Operating Processes.  NERC further states that Requirement R1 requires reliability coordinators to describe the activities that must be undertaken in order to mitigate the effects of a GMD event.  NERC explains that, pursuant to Reliability Standard IRO-001-1.1, reliability coordinators have decision-making authority to act and to direct actions to be taken by transmission operators, balancing authorities, generator operators, transmission service providers, load-serving entities, and purchasing-selling entities within their reliability coordinator area to preserve the reliability of the bulk electric system.</w:t>
      </w:r>
    </w:p>
    <w:p w14:paraId="044EA59C" w14:textId="77777777" w:rsidR="00EB4764" w:rsidRPr="003E5045" w:rsidRDefault="00EB4764" w:rsidP="00EB4764">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NERC states that Requirement R2 requires reliability coordinators to disseminate space weather information to ensure coordination and consistent awareness in its reliability coordinator area.  NERC maintains that entrusting this responsibility to reliability coordinators is appropriate given the reliability coordinator’s wide-area view.  NERC also explains that Requirement R2 replaces existing Requirement R3 of Reliability Standard IRO-005-3.1a, which currently addresses dissemination of information regarding GMD forecasts.</w:t>
      </w:r>
      <w:r w:rsidRPr="003E5045">
        <w:rPr>
          <w:rFonts w:ascii="Times New Roman" w:hAnsi="Times New Roman" w:cs="Times New Roman"/>
          <w:b/>
          <w:sz w:val="24"/>
          <w:szCs w:val="24"/>
          <w:vertAlign w:val="superscript"/>
        </w:rPr>
        <w:footnoteReference w:id="9"/>
      </w:r>
      <w:r w:rsidRPr="003E5045">
        <w:rPr>
          <w:rFonts w:ascii="Times New Roman" w:hAnsi="Times New Roman" w:cs="Times New Roman"/>
          <w:sz w:val="24"/>
          <w:szCs w:val="24"/>
        </w:rPr>
        <w:t xml:space="preserve">   </w:t>
      </w:r>
    </w:p>
    <w:p w14:paraId="5833F9E8" w14:textId="77777777" w:rsidR="00EB4764" w:rsidRPr="003E5045" w:rsidRDefault="00EB4764" w:rsidP="00EB4764">
      <w:pPr>
        <w:spacing w:after="0" w:line="240" w:lineRule="auto"/>
        <w:rPr>
          <w:rFonts w:ascii="Times New Roman" w:hAnsi="Times New Roman" w:cs="Times New Roman"/>
          <w:sz w:val="24"/>
          <w:szCs w:val="24"/>
        </w:rPr>
      </w:pPr>
    </w:p>
    <w:p w14:paraId="5D0727E0" w14:textId="3A166E02" w:rsidR="00D119C3" w:rsidRDefault="00EB4764" w:rsidP="00D119C3">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NERC states that Requirement R3 requires transmission operators to develop GMD Operating Procedures or Operating Processes to address GMD events.  NERC explains that Requirement R3 is not prescriptive and allows entities to tailor their Operating Procedures or Operating Processes based on the responsible entity’s assessment of entity-specific factors, such as geography, geology, and system topology.  According to NERC, Requirement R3 requires each transmission operator to specify:  (1) steps or tasks that must be conducted to receive space weather information; (2) what actions must be taken under what conditions, and such conditions must be predetermined; and (3) when and under what conditions the Operating Procedure or Operating Process is exited.</w:t>
      </w:r>
      <w:r w:rsidR="00216890" w:rsidRPr="00B70A89">
        <w:rPr>
          <w:rStyle w:val="FootnoteReference"/>
          <w:rFonts w:ascii="Times New Roman" w:hAnsi="Times New Roman" w:cs="Times New Roman"/>
          <w:sz w:val="24"/>
          <w:szCs w:val="24"/>
          <w:vertAlign w:val="superscript"/>
        </w:rPr>
        <w:footnoteReference w:id="10"/>
      </w:r>
      <w:r w:rsidRPr="003E5045">
        <w:rPr>
          <w:rFonts w:ascii="Times New Roman" w:hAnsi="Times New Roman" w:cs="Times New Roman"/>
          <w:sz w:val="24"/>
          <w:szCs w:val="24"/>
        </w:rPr>
        <w:t xml:space="preserve">  NERC maintains that Reliability Standard EOP-010-1 does not prescribe specific actions that must be taken by responsible entities because “a ‘one-size fits all’ approach to crafting GMD Reliability Standards would fail to recognize the important role of locational differences.”</w:t>
      </w:r>
      <w:r w:rsidRPr="003E5045">
        <w:rPr>
          <w:rFonts w:ascii="Times New Roman" w:hAnsi="Times New Roman" w:cs="Times New Roman"/>
          <w:b/>
          <w:sz w:val="24"/>
          <w:szCs w:val="24"/>
          <w:vertAlign w:val="superscript"/>
        </w:rPr>
        <w:footnoteReference w:id="11"/>
      </w:r>
    </w:p>
    <w:p w14:paraId="7A2791FE" w14:textId="77777777" w:rsidR="00D438B3" w:rsidRDefault="00D438B3" w:rsidP="00D119C3">
      <w:pPr>
        <w:spacing w:after="0" w:line="240" w:lineRule="auto"/>
        <w:rPr>
          <w:rFonts w:ascii="Times New Roman" w:hAnsi="Times New Roman" w:cs="Times New Roman"/>
          <w:sz w:val="24"/>
          <w:szCs w:val="24"/>
        </w:rPr>
      </w:pPr>
    </w:p>
    <w:p w14:paraId="5FED3A45" w14:textId="4D7BF692" w:rsidR="00D438B3" w:rsidRPr="003E5045" w:rsidRDefault="00D438B3" w:rsidP="00D119C3">
      <w:pPr>
        <w:spacing w:after="0" w:line="240" w:lineRule="auto"/>
        <w:rPr>
          <w:rFonts w:ascii="Times New Roman" w:hAnsi="Times New Roman" w:cs="Times New Roman"/>
          <w:sz w:val="24"/>
          <w:szCs w:val="24"/>
        </w:rPr>
      </w:pPr>
      <w:r>
        <w:rPr>
          <w:rFonts w:ascii="Times New Roman" w:hAnsi="Times New Roman" w:cs="Times New Roman"/>
          <w:sz w:val="24"/>
          <w:szCs w:val="24"/>
        </w:rPr>
        <w:t>Entities would implement their Operating Procedures or Operating Processes in such a manner as to mitigate any effects of a GMD event.  The intent is that entities are able to avoid any power outages at all by implementing their procedures prior to a GMD event actually occurring.</w:t>
      </w:r>
    </w:p>
    <w:p w14:paraId="76919A1B" w14:textId="77777777" w:rsidR="00F55597" w:rsidRPr="003E5045" w:rsidRDefault="00F55597" w:rsidP="0092596C">
      <w:pPr>
        <w:spacing w:after="0" w:line="240" w:lineRule="auto"/>
        <w:rPr>
          <w:rFonts w:ascii="Times New Roman" w:hAnsi="Times New Roman" w:cs="Times New Roman"/>
          <w:sz w:val="24"/>
          <w:szCs w:val="24"/>
        </w:rPr>
      </w:pPr>
    </w:p>
    <w:p w14:paraId="4AD206ED"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ANY CONSIDERATION OF THE USE OF IMPROVED INFORMATION TECHNOLOGY TO REDUCE THE BURDEN AND TECHNICAL OR LEGAL OBSTACLES TO REDUCING BURDEN</w:t>
      </w:r>
    </w:p>
    <w:p w14:paraId="76609B85" w14:textId="77777777" w:rsidR="00EB3E6F" w:rsidRPr="003E5045" w:rsidRDefault="00EB3E6F" w:rsidP="0092596C">
      <w:pPr>
        <w:spacing w:after="0" w:line="240" w:lineRule="auto"/>
        <w:rPr>
          <w:rFonts w:ascii="Times New Roman" w:hAnsi="Times New Roman" w:cs="Times New Roman"/>
          <w:sz w:val="24"/>
          <w:szCs w:val="24"/>
        </w:rPr>
      </w:pPr>
    </w:p>
    <w:p w14:paraId="733B2CF5" w14:textId="38B432A4" w:rsidR="00C00D70" w:rsidRPr="003E5045" w:rsidRDefault="00C00D70" w:rsidP="0092596C">
      <w:pPr>
        <w:spacing w:after="0" w:line="240" w:lineRule="auto"/>
        <w:rPr>
          <w:rFonts w:ascii="Times New Roman" w:hAnsi="Times New Roman" w:cs="Times New Roman"/>
          <w:sz w:val="24"/>
          <w:szCs w:val="24"/>
        </w:rPr>
      </w:pPr>
      <w:r w:rsidRPr="00B70A89">
        <w:rPr>
          <w:rFonts w:ascii="Times New Roman" w:hAnsi="Times New Roman" w:cs="Times New Roman"/>
          <w:sz w:val="24"/>
          <w:szCs w:val="24"/>
        </w:rPr>
        <w:t>The use of current or improved technology is not covered in Reliability Standards, and is therefore left to the discretion of each entity.</w:t>
      </w:r>
      <w:r w:rsidR="00C52D3B" w:rsidRPr="00B70A89">
        <w:rPr>
          <w:rFonts w:ascii="Times New Roman" w:hAnsi="Times New Roman" w:cs="Times New Roman"/>
          <w:sz w:val="24"/>
          <w:szCs w:val="24"/>
        </w:rPr>
        <w:t xml:space="preserve"> </w:t>
      </w:r>
      <w:r w:rsidR="00E51641" w:rsidRPr="00B70A89">
        <w:rPr>
          <w:rFonts w:ascii="Times New Roman" w:hAnsi="Times New Roman" w:cs="Times New Roman"/>
          <w:sz w:val="24"/>
          <w:szCs w:val="24"/>
        </w:rPr>
        <w:t xml:space="preserve"> It should be noted that this standard (EOP-010-1) does not require any information or documentation to be submitted to FERC.</w:t>
      </w:r>
      <w:r w:rsidR="00E66168" w:rsidRPr="00B70A89">
        <w:t xml:space="preserve">  </w:t>
      </w:r>
      <w:r w:rsidR="00E66168" w:rsidRPr="00B70A89">
        <w:rPr>
          <w:rFonts w:ascii="Times New Roman" w:hAnsi="Times New Roman" w:cs="Times New Roman"/>
          <w:sz w:val="24"/>
          <w:szCs w:val="24"/>
        </w:rPr>
        <w:t>The Reliability Standards do not address how documents are submitted to compliance authorities; it only requires respondents to maintain evidence of their compliance with the requirements.  For example, when a Regional Entity (not FERC) audits a respondent for compliance with this Reliability Standard, it may view the respondents’ Operating Procedures.  The Reliability Standard does not address how or whether the Operating Procedure document would be transmitted from the respondent to the Regional Entity.  As a practical matter, the auditor would probably conduct an on-site visit to review the evidence.</w:t>
      </w:r>
    </w:p>
    <w:p w14:paraId="4038A5B8" w14:textId="77777777" w:rsidR="00EB3E6F" w:rsidRPr="003E5045" w:rsidRDefault="00EB3E6F" w:rsidP="0092596C">
      <w:pPr>
        <w:spacing w:after="0" w:line="240" w:lineRule="auto"/>
        <w:rPr>
          <w:rFonts w:ascii="Times New Roman" w:hAnsi="Times New Roman" w:cs="Times New Roman"/>
          <w:sz w:val="24"/>
          <w:szCs w:val="24"/>
        </w:rPr>
      </w:pPr>
    </w:p>
    <w:p w14:paraId="583A6147"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EFFORTS TO IDENTIF</w:t>
      </w:r>
      <w:r w:rsidR="00E05FA3" w:rsidRPr="003E5045">
        <w:rPr>
          <w:rFonts w:ascii="Times New Roman" w:hAnsi="Times New Roman" w:cs="Times New Roman"/>
          <w:b/>
          <w:sz w:val="24"/>
          <w:szCs w:val="24"/>
        </w:rPr>
        <w:t>Y</w:t>
      </w:r>
      <w:r w:rsidRPr="003E504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2B2CE0A" w14:textId="77777777" w:rsidR="00EB3E6F" w:rsidRPr="003E5045" w:rsidRDefault="00EB3E6F" w:rsidP="0092596C">
      <w:pPr>
        <w:spacing w:after="0" w:line="240" w:lineRule="auto"/>
        <w:rPr>
          <w:rFonts w:ascii="Times New Roman" w:hAnsi="Times New Roman" w:cs="Times New Roman"/>
          <w:sz w:val="24"/>
          <w:szCs w:val="24"/>
        </w:rPr>
      </w:pPr>
    </w:p>
    <w:p w14:paraId="26366794" w14:textId="77777777" w:rsidR="00D342FA" w:rsidRDefault="00C00D70"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The information collection requirements are unique to this </w:t>
      </w:r>
      <w:r w:rsidR="00A808EC">
        <w:rPr>
          <w:rFonts w:ascii="Times New Roman" w:hAnsi="Times New Roman" w:cs="Times New Roman"/>
          <w:sz w:val="24"/>
          <w:szCs w:val="24"/>
        </w:rPr>
        <w:t>R</w:t>
      </w:r>
      <w:r w:rsidRPr="003E5045">
        <w:rPr>
          <w:rFonts w:ascii="Times New Roman" w:hAnsi="Times New Roman" w:cs="Times New Roman"/>
          <w:sz w:val="24"/>
          <w:szCs w:val="24"/>
        </w:rPr>
        <w:t xml:space="preserve">eliability </w:t>
      </w:r>
      <w:r w:rsidR="00A808EC">
        <w:rPr>
          <w:rFonts w:ascii="Times New Roman" w:hAnsi="Times New Roman" w:cs="Times New Roman"/>
          <w:sz w:val="24"/>
          <w:szCs w:val="24"/>
        </w:rPr>
        <w:t>S</w:t>
      </w:r>
      <w:r w:rsidRPr="003E5045">
        <w:rPr>
          <w:rFonts w:ascii="Times New Roman" w:hAnsi="Times New Roman" w:cs="Times New Roman"/>
          <w:sz w:val="24"/>
          <w:szCs w:val="24"/>
        </w:rPr>
        <w:t>tandard and to this information collection.  The Commission does not know of any duplication in the requirements.</w:t>
      </w:r>
    </w:p>
    <w:p w14:paraId="28C42E5E" w14:textId="77777777" w:rsidR="00D342FA" w:rsidRDefault="00D342FA" w:rsidP="0092596C">
      <w:pPr>
        <w:spacing w:after="0" w:line="240" w:lineRule="auto"/>
        <w:rPr>
          <w:rFonts w:ascii="Times New Roman" w:hAnsi="Times New Roman" w:cs="Times New Roman"/>
          <w:sz w:val="24"/>
          <w:szCs w:val="24"/>
        </w:rPr>
      </w:pPr>
    </w:p>
    <w:p w14:paraId="30972907" w14:textId="14D44F0C" w:rsidR="00EB3E6F" w:rsidRPr="003E5045" w:rsidRDefault="00D342FA"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 contacted the Department of Energy’s Office of Electricity Delivery and Electric Reliability and the Nuclear Regulatory Commission to inquire if either agency asks respondents to develop Operating Procedures or Operating Processes related to GMD events.  </w:t>
      </w:r>
      <w:r w:rsidR="00A2666C">
        <w:rPr>
          <w:rFonts w:ascii="Times New Roman" w:hAnsi="Times New Roman" w:cs="Times New Roman"/>
          <w:sz w:val="24"/>
          <w:szCs w:val="24"/>
        </w:rPr>
        <w:t>Neither agency collects similar information.</w:t>
      </w:r>
      <w:r>
        <w:rPr>
          <w:rFonts w:ascii="Times New Roman" w:hAnsi="Times New Roman" w:cs="Times New Roman"/>
          <w:sz w:val="24"/>
          <w:szCs w:val="24"/>
        </w:rPr>
        <w:t xml:space="preserve"> </w:t>
      </w:r>
    </w:p>
    <w:p w14:paraId="320DD1C1" w14:textId="77777777" w:rsidR="00C00D70" w:rsidRPr="003E5045" w:rsidRDefault="00C00D70" w:rsidP="0092596C">
      <w:pPr>
        <w:spacing w:after="0" w:line="240" w:lineRule="auto"/>
        <w:rPr>
          <w:rFonts w:ascii="Times New Roman" w:hAnsi="Times New Roman" w:cs="Times New Roman"/>
          <w:sz w:val="24"/>
          <w:szCs w:val="24"/>
        </w:rPr>
      </w:pPr>
    </w:p>
    <w:p w14:paraId="57349548"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METHODS USED TO MINIMIZE THE BURDEN IN COLLECTION OF INFORMATION INVOLVING SMALL ENTITIES</w:t>
      </w:r>
    </w:p>
    <w:p w14:paraId="174FBF87" w14:textId="77777777" w:rsidR="00EB3E6F" w:rsidRPr="003E5045" w:rsidRDefault="00EB3E6F" w:rsidP="0092596C">
      <w:pPr>
        <w:spacing w:after="0" w:line="240" w:lineRule="auto"/>
        <w:rPr>
          <w:rFonts w:ascii="Times New Roman" w:hAnsi="Times New Roman" w:cs="Times New Roman"/>
          <w:sz w:val="24"/>
          <w:szCs w:val="24"/>
        </w:rPr>
      </w:pPr>
    </w:p>
    <w:p w14:paraId="697365BF" w14:textId="77777777" w:rsidR="00AE44B8" w:rsidRPr="003E5045" w:rsidRDefault="00AE44B8" w:rsidP="00AE44B8">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Reliability Standard EOP-010-1 minimizes or avoids burden on small entities.</w:t>
      </w:r>
      <w:r w:rsidR="00D606BB">
        <w:rPr>
          <w:rFonts w:ascii="Times New Roman" w:hAnsi="Times New Roman" w:cs="Times New Roman"/>
          <w:sz w:val="24"/>
          <w:szCs w:val="24"/>
        </w:rPr>
        <w:t xml:space="preserve"> T</w:t>
      </w:r>
      <w:r w:rsidRPr="003E5045">
        <w:rPr>
          <w:rFonts w:ascii="Times New Roman" w:hAnsi="Times New Roman" w:cs="Times New Roman"/>
          <w:sz w:val="24"/>
          <w:szCs w:val="24"/>
        </w:rPr>
        <w:t xml:space="preserve">he standard only applies to </w:t>
      </w:r>
      <w:r w:rsidR="00A808EC">
        <w:rPr>
          <w:rFonts w:ascii="Times New Roman" w:hAnsi="Times New Roman" w:cs="Times New Roman"/>
          <w:sz w:val="24"/>
          <w:szCs w:val="24"/>
        </w:rPr>
        <w:t xml:space="preserve">certain </w:t>
      </w:r>
      <w:r w:rsidRPr="003E5045">
        <w:rPr>
          <w:rFonts w:ascii="Times New Roman" w:hAnsi="Times New Roman" w:cs="Times New Roman"/>
          <w:sz w:val="24"/>
          <w:szCs w:val="24"/>
        </w:rPr>
        <w:t xml:space="preserve">transmission operators and reliability coordinators.  </w:t>
      </w:r>
      <w:r w:rsidR="00D606BB">
        <w:rPr>
          <w:rFonts w:ascii="Times New Roman" w:hAnsi="Times New Roman" w:cs="Times New Roman"/>
          <w:sz w:val="24"/>
          <w:szCs w:val="24"/>
        </w:rPr>
        <w:t>T</w:t>
      </w:r>
      <w:r w:rsidR="00021A58" w:rsidRPr="003E5045">
        <w:rPr>
          <w:rFonts w:ascii="Times New Roman" w:hAnsi="Times New Roman" w:cs="Times New Roman"/>
          <w:sz w:val="24"/>
          <w:szCs w:val="24"/>
        </w:rPr>
        <w:t xml:space="preserve">he Commission does not expect any material burden change </w:t>
      </w:r>
      <w:r w:rsidR="00D606BB">
        <w:rPr>
          <w:rFonts w:ascii="Times New Roman" w:hAnsi="Times New Roman" w:cs="Times New Roman"/>
          <w:sz w:val="24"/>
          <w:szCs w:val="24"/>
        </w:rPr>
        <w:t>for smaller entities</w:t>
      </w:r>
      <w:r w:rsidR="00021A58" w:rsidRPr="003E5045">
        <w:rPr>
          <w:rFonts w:ascii="Times New Roman" w:hAnsi="Times New Roman" w:cs="Times New Roman"/>
          <w:sz w:val="24"/>
          <w:szCs w:val="24"/>
        </w:rPr>
        <w:t xml:space="preserve"> because the proposed standard only applies to transmission operators with a Transmission Operator Area that includes a power transformer with a high side, wye-grounded winding with terminal voltage greater than 200 kV.  These types of arrangements typically only occur with large entities serving substantial geographical areas with significant energy output.</w:t>
      </w:r>
      <w:r w:rsidRPr="003E5045">
        <w:rPr>
          <w:rFonts w:ascii="Times New Roman" w:hAnsi="Times New Roman" w:cs="Times New Roman"/>
          <w:sz w:val="24"/>
          <w:szCs w:val="24"/>
        </w:rPr>
        <w:t xml:space="preserve"> </w:t>
      </w:r>
    </w:p>
    <w:p w14:paraId="0B134A13" w14:textId="77777777" w:rsidR="00C00D70" w:rsidRPr="003E5045" w:rsidRDefault="00C00D70" w:rsidP="0092596C">
      <w:pPr>
        <w:spacing w:after="0" w:line="240" w:lineRule="auto"/>
        <w:rPr>
          <w:rFonts w:ascii="Times New Roman" w:hAnsi="Times New Roman" w:cs="Times New Roman"/>
          <w:sz w:val="24"/>
          <w:szCs w:val="24"/>
        </w:rPr>
      </w:pPr>
    </w:p>
    <w:p w14:paraId="7E0D6DC6" w14:textId="77777777" w:rsidR="00C00D70" w:rsidRPr="003E5045" w:rsidRDefault="00C00D70"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In general, small entities may </w:t>
      </w:r>
      <w:r w:rsidR="00B86284" w:rsidRPr="003E5045">
        <w:rPr>
          <w:rFonts w:ascii="Times New Roman" w:hAnsi="Times New Roman" w:cs="Times New Roman"/>
          <w:sz w:val="24"/>
          <w:szCs w:val="24"/>
        </w:rPr>
        <w:t xml:space="preserve">reduce their burden by taking part in a joint registration organization or </w:t>
      </w:r>
      <w:r w:rsidRPr="003E5045">
        <w:rPr>
          <w:rFonts w:ascii="Times New Roman" w:hAnsi="Times New Roman" w:cs="Times New Roman"/>
          <w:sz w:val="24"/>
          <w:szCs w:val="24"/>
        </w:rPr>
        <w:t>a coordinated functional registration</w:t>
      </w:r>
      <w:r w:rsidR="00B86284" w:rsidRPr="003E5045">
        <w:rPr>
          <w:rFonts w:ascii="Times New Roman" w:hAnsi="Times New Roman" w:cs="Times New Roman"/>
          <w:sz w:val="24"/>
          <w:szCs w:val="24"/>
        </w:rPr>
        <w:t>.  These options allow an entity to share its compliance burden with other entities.</w:t>
      </w:r>
      <w:r w:rsidR="00B701FF">
        <w:rPr>
          <w:rFonts w:ascii="Times New Roman" w:hAnsi="Times New Roman" w:cs="Times New Roman"/>
          <w:sz w:val="24"/>
          <w:szCs w:val="24"/>
        </w:rPr>
        <w:t xml:space="preserve">  Detailed information regarding these options are available in NERC’s Rules of Procedure</w:t>
      </w:r>
      <w:r w:rsidR="00CB79F6">
        <w:rPr>
          <w:rFonts w:ascii="Times New Roman" w:hAnsi="Times New Roman" w:cs="Times New Roman"/>
          <w:sz w:val="24"/>
          <w:szCs w:val="24"/>
        </w:rPr>
        <w:t xml:space="preserve"> at</w:t>
      </w:r>
      <w:r w:rsidR="00B701FF">
        <w:rPr>
          <w:rFonts w:ascii="Times New Roman" w:hAnsi="Times New Roman" w:cs="Times New Roman"/>
          <w:sz w:val="24"/>
          <w:szCs w:val="24"/>
        </w:rPr>
        <w:t xml:space="preserve"> sections 507 and 508.</w:t>
      </w:r>
      <w:r w:rsidR="00B701FF" w:rsidRPr="00A2666C">
        <w:rPr>
          <w:rStyle w:val="FootnoteReference"/>
          <w:rFonts w:ascii="Times New Roman" w:hAnsi="Times New Roman" w:cs="Times New Roman"/>
          <w:sz w:val="24"/>
          <w:szCs w:val="24"/>
          <w:vertAlign w:val="superscript"/>
        </w:rPr>
        <w:footnoteReference w:id="12"/>
      </w:r>
    </w:p>
    <w:p w14:paraId="643951F1" w14:textId="77777777" w:rsidR="00EB3E6F" w:rsidRPr="003E5045" w:rsidRDefault="00EB3E6F" w:rsidP="0092596C">
      <w:pPr>
        <w:spacing w:after="0" w:line="240" w:lineRule="auto"/>
        <w:rPr>
          <w:rFonts w:ascii="Times New Roman" w:hAnsi="Times New Roman" w:cs="Times New Roman"/>
          <w:sz w:val="24"/>
          <w:szCs w:val="24"/>
        </w:rPr>
      </w:pPr>
    </w:p>
    <w:p w14:paraId="06098510"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CONSEQUENCE TO FEDERAL PROGRAM IF COLLECTION WERE CONDUCTED LESS FREQUENTLY</w:t>
      </w:r>
    </w:p>
    <w:p w14:paraId="3642699D" w14:textId="77777777" w:rsidR="00EB3E6F" w:rsidRPr="003E5045" w:rsidRDefault="00EB3E6F" w:rsidP="0092596C">
      <w:pPr>
        <w:spacing w:after="0" w:line="240" w:lineRule="auto"/>
        <w:rPr>
          <w:rFonts w:ascii="Times New Roman" w:hAnsi="Times New Roman" w:cs="Times New Roman"/>
          <w:sz w:val="24"/>
          <w:szCs w:val="24"/>
        </w:rPr>
      </w:pPr>
    </w:p>
    <w:p w14:paraId="2CDA8BB8" w14:textId="61629239" w:rsidR="00EB3E6F" w:rsidRPr="003E5045" w:rsidRDefault="005C60CF"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GMD </w:t>
      </w:r>
      <w:r w:rsidRPr="00B70A89">
        <w:rPr>
          <w:rFonts w:ascii="Times New Roman" w:hAnsi="Times New Roman" w:cs="Times New Roman"/>
          <w:sz w:val="24"/>
          <w:szCs w:val="24"/>
        </w:rPr>
        <w:t>events have the potential to cause severe, wide-spread impact on the reliable operation of the Bulk-Power System.</w:t>
      </w:r>
      <w:r w:rsidR="009B7ADB" w:rsidRPr="00B70A89">
        <w:t xml:space="preserve"> </w:t>
      </w:r>
      <w:r w:rsidR="009B7ADB" w:rsidRPr="00B70A89">
        <w:rPr>
          <w:rFonts w:ascii="Times New Roman" w:hAnsi="Times New Roman" w:cs="Times New Roman"/>
          <w:sz w:val="24"/>
          <w:szCs w:val="24"/>
        </w:rPr>
        <w:t xml:space="preserve">The most recent major event was in 1989 that knocked out power for about 6 million people in Quebec.  </w:t>
      </w:r>
      <w:r w:rsidRPr="00B70A89">
        <w:rPr>
          <w:rFonts w:ascii="Times New Roman" w:hAnsi="Times New Roman" w:cs="Times New Roman"/>
          <w:sz w:val="24"/>
          <w:szCs w:val="24"/>
        </w:rPr>
        <w:t>Currently there are no Reliability Standards to address GMD events.  The new Reliability Standard requires</w:t>
      </w:r>
      <w:r w:rsidRPr="003E5045">
        <w:rPr>
          <w:rFonts w:ascii="Times New Roman" w:hAnsi="Times New Roman" w:cs="Times New Roman"/>
          <w:sz w:val="24"/>
          <w:szCs w:val="24"/>
        </w:rPr>
        <w:t xml:space="preserve"> transmission operators and reliability coordinators to develop, maintain, and implement a GMD Operating Procedure or Operating Process.</w:t>
      </w:r>
      <w:r w:rsidR="00C25045" w:rsidRPr="003E5045">
        <w:rPr>
          <w:rFonts w:ascii="Times New Roman" w:hAnsi="Times New Roman" w:cs="Times New Roman"/>
          <w:sz w:val="24"/>
          <w:szCs w:val="24"/>
        </w:rPr>
        <w:t xml:space="preserve">  The standard does not indicate how often respondents must </w:t>
      </w:r>
      <w:r w:rsidR="004A32F7" w:rsidRPr="003E5045">
        <w:rPr>
          <w:rFonts w:ascii="Times New Roman" w:hAnsi="Times New Roman" w:cs="Times New Roman"/>
          <w:sz w:val="24"/>
          <w:szCs w:val="24"/>
        </w:rPr>
        <w:t xml:space="preserve">review their procedures but respondents are required to have evidence that that they reviewed their procedures.  Respondents are required to keep evidence for three years.  If respondents were to carry out these responsibilities on a less frequent basis there would be increased risk that GMD operating procedures and processes are out of date, leading to increased risk of black-outs due to GMD related events. </w:t>
      </w:r>
      <w:r w:rsidRPr="003E5045">
        <w:rPr>
          <w:rFonts w:ascii="Times New Roman" w:hAnsi="Times New Roman" w:cs="Times New Roman"/>
          <w:sz w:val="24"/>
          <w:szCs w:val="24"/>
        </w:rPr>
        <w:t xml:space="preserve">    </w:t>
      </w:r>
    </w:p>
    <w:p w14:paraId="572EE9F5" w14:textId="77777777" w:rsidR="00B86284" w:rsidRPr="003E5045" w:rsidRDefault="00B86284" w:rsidP="0092596C">
      <w:pPr>
        <w:spacing w:after="0" w:line="240" w:lineRule="auto"/>
        <w:rPr>
          <w:rFonts w:ascii="Times New Roman" w:hAnsi="Times New Roman" w:cs="Times New Roman"/>
          <w:sz w:val="24"/>
          <w:szCs w:val="24"/>
        </w:rPr>
      </w:pPr>
    </w:p>
    <w:p w14:paraId="3DD24D39"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EXPLAIN ANY SPECIAL CIRCUMSTANCES RELATING TO THE INFORMATION COLLECTION</w:t>
      </w:r>
    </w:p>
    <w:p w14:paraId="47E948CA" w14:textId="77777777" w:rsidR="00EB3E6F" w:rsidRPr="003E5045" w:rsidRDefault="00EB3E6F" w:rsidP="0092596C">
      <w:pPr>
        <w:spacing w:after="0" w:line="240" w:lineRule="auto"/>
        <w:rPr>
          <w:rFonts w:ascii="Times New Roman" w:hAnsi="Times New Roman" w:cs="Times New Roman"/>
          <w:sz w:val="24"/>
          <w:szCs w:val="24"/>
        </w:rPr>
      </w:pPr>
    </w:p>
    <w:p w14:paraId="5B9A595A" w14:textId="77777777" w:rsidR="00F82DB7" w:rsidRPr="003E5045" w:rsidRDefault="00F82DB7" w:rsidP="00F82DB7">
      <w:pPr>
        <w:spacing w:after="0" w:line="240" w:lineRule="auto"/>
        <w:rPr>
          <w:rFonts w:ascii="Times New Roman" w:hAnsi="Times New Roman"/>
          <w:sz w:val="24"/>
          <w:szCs w:val="24"/>
        </w:rPr>
      </w:pPr>
      <w:r w:rsidRPr="003E5045">
        <w:rPr>
          <w:rFonts w:ascii="Times New Roman" w:hAnsi="Times New Roman"/>
          <w:sz w:val="24"/>
          <w:szCs w:val="24"/>
        </w:rPr>
        <w:t xml:space="preserve">There </w:t>
      </w:r>
      <w:r w:rsidR="00AB18E0" w:rsidRPr="003E5045">
        <w:rPr>
          <w:rFonts w:ascii="Times New Roman" w:hAnsi="Times New Roman"/>
          <w:sz w:val="24"/>
          <w:szCs w:val="24"/>
        </w:rPr>
        <w:t>are no</w:t>
      </w:r>
      <w:r w:rsidRPr="003E5045">
        <w:rPr>
          <w:rFonts w:ascii="Times New Roman" w:hAnsi="Times New Roman"/>
          <w:sz w:val="24"/>
          <w:szCs w:val="24"/>
        </w:rPr>
        <w:t xml:space="preserve"> special circumstance</w:t>
      </w:r>
      <w:r w:rsidR="00AB18E0" w:rsidRPr="003E5045">
        <w:rPr>
          <w:rFonts w:ascii="Times New Roman" w:hAnsi="Times New Roman"/>
          <w:sz w:val="24"/>
          <w:szCs w:val="24"/>
        </w:rPr>
        <w:t>s</w:t>
      </w:r>
      <w:r w:rsidRPr="003E5045">
        <w:rPr>
          <w:rFonts w:ascii="Times New Roman" w:hAnsi="Times New Roman"/>
          <w:sz w:val="24"/>
          <w:szCs w:val="24"/>
        </w:rPr>
        <w:t xml:space="preserve"> as described in 5 CFR 1320.5</w:t>
      </w:r>
      <w:r w:rsidR="00AB18E0" w:rsidRPr="003E5045">
        <w:rPr>
          <w:rFonts w:ascii="Times New Roman" w:hAnsi="Times New Roman"/>
          <w:sz w:val="24"/>
          <w:szCs w:val="24"/>
        </w:rPr>
        <w:t xml:space="preserve"> pertaining to this collection.</w:t>
      </w:r>
      <w:r w:rsidRPr="003E5045">
        <w:rPr>
          <w:rFonts w:ascii="Times New Roman" w:hAnsi="Times New Roman"/>
          <w:sz w:val="24"/>
          <w:szCs w:val="24"/>
        </w:rPr>
        <w:t xml:space="preserve"> </w:t>
      </w:r>
    </w:p>
    <w:p w14:paraId="4B62C815" w14:textId="77777777" w:rsidR="00EB3E6F" w:rsidRPr="003E5045" w:rsidRDefault="00EB3E6F" w:rsidP="0092596C">
      <w:pPr>
        <w:spacing w:after="0" w:line="240" w:lineRule="auto"/>
        <w:rPr>
          <w:rFonts w:ascii="Times New Roman" w:hAnsi="Times New Roman" w:cs="Times New Roman"/>
          <w:sz w:val="24"/>
          <w:szCs w:val="24"/>
        </w:rPr>
      </w:pPr>
    </w:p>
    <w:p w14:paraId="27A2A72C" w14:textId="77777777" w:rsidR="00EB3E6F" w:rsidRPr="003E5045"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EFFORTS TO CONSULT OUTSIDE THE AGENCY: SUMMARIZE PUBLIC COMMENTS AND THE AGENCY’S RESPONSE</w:t>
      </w:r>
    </w:p>
    <w:p w14:paraId="25F3F8C9" w14:textId="77777777" w:rsidR="00EB3E6F" w:rsidRPr="003E5045" w:rsidRDefault="00EB3E6F" w:rsidP="0092596C">
      <w:pPr>
        <w:spacing w:after="0" w:line="240" w:lineRule="auto"/>
        <w:rPr>
          <w:rFonts w:ascii="Times New Roman" w:hAnsi="Times New Roman" w:cs="Times New Roman"/>
          <w:sz w:val="24"/>
          <w:szCs w:val="24"/>
        </w:rPr>
      </w:pPr>
    </w:p>
    <w:p w14:paraId="1B9BFA88" w14:textId="322071BB" w:rsidR="0072126E" w:rsidRDefault="0072126E" w:rsidP="0092596C">
      <w:pPr>
        <w:spacing w:after="0" w:line="240" w:lineRule="auto"/>
        <w:rPr>
          <w:rFonts w:ascii="Times New Roman" w:hAnsi="Times New Roman"/>
          <w:sz w:val="24"/>
          <w:szCs w:val="24"/>
        </w:rPr>
      </w:pPr>
      <w:r w:rsidRPr="003E5045">
        <w:rPr>
          <w:rFonts w:ascii="Times New Roman" w:hAnsi="Times New Roman"/>
          <w:bCs/>
          <w:sz w:val="24"/>
          <w:szCs w:val="24"/>
        </w:rPr>
        <w:t xml:space="preserve">The ERO process to establish Reliability Standards is a collaborative process with the ERO, Regional Entities and other stakeholders developing and reviewing drafts, and providing comments, with the final proposed standard </w:t>
      </w:r>
      <w:r w:rsidRPr="00B70A89">
        <w:rPr>
          <w:rFonts w:ascii="Times New Roman" w:hAnsi="Times New Roman"/>
          <w:bCs/>
          <w:sz w:val="24"/>
          <w:szCs w:val="24"/>
        </w:rPr>
        <w:t>submitted to the FERC for review and approval.</w:t>
      </w:r>
      <w:r w:rsidRPr="00B70A89">
        <w:rPr>
          <w:rFonts w:ascii="Times New Roman" w:hAnsi="Times New Roman"/>
          <w:b/>
          <w:bCs/>
          <w:sz w:val="24"/>
          <w:szCs w:val="24"/>
          <w:vertAlign w:val="superscript"/>
        </w:rPr>
        <w:footnoteReference w:id="13"/>
      </w:r>
      <w:r w:rsidRPr="00B70A89">
        <w:rPr>
          <w:rFonts w:ascii="Times New Roman" w:hAnsi="Times New Roman"/>
          <w:bCs/>
          <w:sz w:val="24"/>
          <w:szCs w:val="24"/>
        </w:rPr>
        <w:t xml:space="preserve">  </w:t>
      </w:r>
      <w:r w:rsidR="00EB68C9" w:rsidRPr="00B70A89">
        <w:rPr>
          <w:rFonts w:ascii="Times New Roman" w:hAnsi="Times New Roman"/>
          <w:bCs/>
          <w:sz w:val="24"/>
          <w:szCs w:val="24"/>
        </w:rPr>
        <w:t>The Reliability Standard was approved during the industry vetting process (before it was submitted to FERC).</w:t>
      </w:r>
      <w:r w:rsidR="00EB68C9" w:rsidRPr="00B70A89">
        <w:rPr>
          <w:rStyle w:val="FootnoteReference"/>
          <w:rFonts w:ascii="Times New Roman" w:hAnsi="Times New Roman"/>
          <w:bCs/>
          <w:sz w:val="24"/>
          <w:szCs w:val="24"/>
          <w:vertAlign w:val="superscript"/>
        </w:rPr>
        <w:footnoteReference w:id="14"/>
      </w:r>
      <w:r w:rsidR="00EB68C9" w:rsidRPr="00B70A89">
        <w:rPr>
          <w:rFonts w:ascii="Times New Roman" w:hAnsi="Times New Roman"/>
          <w:bCs/>
          <w:sz w:val="24"/>
          <w:szCs w:val="24"/>
        </w:rPr>
        <w:t xml:space="preserve">  There were nearly 350 representatives from across industry and government that </w:t>
      </w:r>
      <w:r w:rsidR="007A078E" w:rsidRPr="00B70A89">
        <w:rPr>
          <w:rFonts w:ascii="Times New Roman" w:hAnsi="Times New Roman"/>
          <w:bCs/>
          <w:sz w:val="24"/>
          <w:szCs w:val="24"/>
        </w:rPr>
        <w:t>voted for approval to send the Reliability Standard to FERC for final approval</w:t>
      </w:r>
      <w:r w:rsidR="00EB68C9" w:rsidRPr="00B70A89">
        <w:rPr>
          <w:rFonts w:ascii="Times New Roman" w:hAnsi="Times New Roman"/>
          <w:bCs/>
          <w:sz w:val="24"/>
          <w:szCs w:val="24"/>
        </w:rPr>
        <w:t>.</w:t>
      </w:r>
      <w:r w:rsidR="002140A7" w:rsidRPr="00B70A89">
        <w:rPr>
          <w:rFonts w:ascii="Times New Roman" w:hAnsi="Times New Roman"/>
          <w:bCs/>
          <w:sz w:val="24"/>
          <w:szCs w:val="24"/>
        </w:rPr>
        <w:t xml:space="preserve">  The development process is consistent with the attributes necessary for ANSI accreditation and is both open and balanced.</w:t>
      </w:r>
      <w:r w:rsidR="00EB68C9" w:rsidRPr="00B70A89">
        <w:rPr>
          <w:rFonts w:ascii="Times New Roman" w:hAnsi="Times New Roman"/>
          <w:bCs/>
          <w:sz w:val="24"/>
          <w:szCs w:val="24"/>
        </w:rPr>
        <w:t xml:space="preserve">  </w:t>
      </w:r>
      <w:r w:rsidRPr="00B70A89">
        <w:rPr>
          <w:rFonts w:ascii="Times New Roman" w:hAnsi="Times New Roman"/>
          <w:bCs/>
          <w:sz w:val="24"/>
          <w:szCs w:val="24"/>
        </w:rPr>
        <w:t xml:space="preserve">In addition, each FERC rulemaking (both proposed and final rules) is published in the </w:t>
      </w:r>
      <w:r w:rsidRPr="00B70A89">
        <w:rPr>
          <w:rFonts w:ascii="Times New Roman" w:hAnsi="Times New Roman"/>
          <w:bCs/>
          <w:sz w:val="24"/>
          <w:szCs w:val="24"/>
          <w:u w:val="single"/>
        </w:rPr>
        <w:t>Federal Register</w:t>
      </w:r>
      <w:r w:rsidRPr="00B70A89">
        <w:rPr>
          <w:rFonts w:ascii="Times New Roman" w:hAnsi="Times New Roman"/>
          <w:bCs/>
          <w:sz w:val="24"/>
          <w:szCs w:val="24"/>
        </w:rPr>
        <w:t>, thereby providing public utilities and licensees,</w:t>
      </w:r>
      <w:r w:rsidRPr="003E5045">
        <w:rPr>
          <w:rFonts w:ascii="Times New Roman" w:hAnsi="Times New Roman"/>
          <w:bCs/>
          <w:sz w:val="24"/>
          <w:szCs w:val="24"/>
        </w:rPr>
        <w:t xml:space="preserve"> state commissions, Federal agencies, and other interested parties an opportunity to submit data, views, comments or suggestions concerning the proposed collection of data. </w:t>
      </w:r>
      <w:r w:rsidRPr="003E5045">
        <w:rPr>
          <w:rFonts w:ascii="Times New Roman" w:hAnsi="Times New Roman"/>
          <w:sz w:val="24"/>
          <w:szCs w:val="24"/>
        </w:rPr>
        <w:t xml:space="preserve"> The proposed rule was published in the Federal Register on </w:t>
      </w:r>
      <w:r w:rsidR="00AB18E0" w:rsidRPr="003E5045">
        <w:rPr>
          <w:rFonts w:ascii="Times New Roman" w:hAnsi="Times New Roman"/>
          <w:sz w:val="24"/>
          <w:szCs w:val="24"/>
        </w:rPr>
        <w:t xml:space="preserve">January </w:t>
      </w:r>
      <w:r w:rsidR="003C235A" w:rsidRPr="003E5045">
        <w:rPr>
          <w:rFonts w:ascii="Times New Roman" w:hAnsi="Times New Roman"/>
          <w:sz w:val="24"/>
          <w:szCs w:val="24"/>
        </w:rPr>
        <w:t>22</w:t>
      </w:r>
      <w:r w:rsidR="00BB71CF" w:rsidRPr="003E5045">
        <w:rPr>
          <w:rFonts w:ascii="Times New Roman" w:hAnsi="Times New Roman"/>
          <w:sz w:val="24"/>
          <w:szCs w:val="24"/>
        </w:rPr>
        <w:t>, 201</w:t>
      </w:r>
      <w:r w:rsidR="00AB18E0" w:rsidRPr="003E5045">
        <w:rPr>
          <w:rFonts w:ascii="Times New Roman" w:hAnsi="Times New Roman"/>
          <w:sz w:val="24"/>
          <w:szCs w:val="24"/>
        </w:rPr>
        <w:t>4</w:t>
      </w:r>
      <w:r w:rsidR="00BB71CF" w:rsidRPr="003E5045">
        <w:rPr>
          <w:rFonts w:ascii="Times New Roman" w:hAnsi="Times New Roman"/>
          <w:sz w:val="24"/>
          <w:szCs w:val="24"/>
        </w:rPr>
        <w:t xml:space="preserve"> (7</w:t>
      </w:r>
      <w:r w:rsidR="00AB18E0" w:rsidRPr="003E5045">
        <w:rPr>
          <w:rFonts w:ascii="Times New Roman" w:hAnsi="Times New Roman"/>
          <w:sz w:val="24"/>
          <w:szCs w:val="24"/>
        </w:rPr>
        <w:t>9</w:t>
      </w:r>
      <w:r w:rsidR="00BB71CF" w:rsidRPr="003E5045">
        <w:rPr>
          <w:rFonts w:ascii="Times New Roman" w:hAnsi="Times New Roman"/>
          <w:sz w:val="24"/>
          <w:szCs w:val="24"/>
        </w:rPr>
        <w:t xml:space="preserve"> FR </w:t>
      </w:r>
      <w:r w:rsidR="003C235A" w:rsidRPr="003E5045">
        <w:rPr>
          <w:rFonts w:ascii="Times New Roman" w:hAnsi="Times New Roman"/>
          <w:sz w:val="24"/>
          <w:szCs w:val="24"/>
        </w:rPr>
        <w:t>3547</w:t>
      </w:r>
      <w:r w:rsidRPr="003E5045">
        <w:rPr>
          <w:rFonts w:ascii="Times New Roman" w:hAnsi="Times New Roman"/>
          <w:sz w:val="24"/>
          <w:szCs w:val="24"/>
        </w:rPr>
        <w:t>).</w:t>
      </w:r>
    </w:p>
    <w:p w14:paraId="49E70022" w14:textId="77777777" w:rsidR="00FC7738" w:rsidRDefault="00FC7738" w:rsidP="0092596C">
      <w:pPr>
        <w:spacing w:after="0" w:line="240" w:lineRule="auto"/>
        <w:rPr>
          <w:rFonts w:ascii="Times New Roman" w:hAnsi="Times New Roman"/>
          <w:sz w:val="24"/>
          <w:szCs w:val="24"/>
        </w:rPr>
      </w:pPr>
    </w:p>
    <w:p w14:paraId="3DFCF231" w14:textId="77777777" w:rsidR="00951B34" w:rsidRDefault="00FC7738" w:rsidP="0092596C">
      <w:pPr>
        <w:spacing w:after="0" w:line="240" w:lineRule="auto"/>
        <w:rPr>
          <w:rFonts w:ascii="Times New Roman" w:hAnsi="Times New Roman"/>
          <w:sz w:val="24"/>
          <w:szCs w:val="24"/>
        </w:rPr>
      </w:pPr>
      <w:r>
        <w:rPr>
          <w:rFonts w:ascii="Times New Roman" w:hAnsi="Times New Roman"/>
          <w:sz w:val="24"/>
          <w:szCs w:val="24"/>
        </w:rPr>
        <w:t xml:space="preserve">In response to the proposed rule the Commission received 20 sets of comments.  </w:t>
      </w:r>
      <w:r w:rsidR="00EB68C9">
        <w:rPr>
          <w:rFonts w:ascii="Times New Roman" w:hAnsi="Times New Roman"/>
          <w:sz w:val="24"/>
          <w:szCs w:val="24"/>
        </w:rPr>
        <w:t xml:space="preserve">Eight commenters supported the Reliability Standard without modification and one commenter supported the Reliability Standard with the exception of the implementation period.  These commenters were mostly utilities or utility organizations that would likely have to comply with the Reliability Standard.  The remaining commenters were individuals, vendors, or interest groups that would not be subject </w:t>
      </w:r>
      <w:r w:rsidR="00A91783">
        <w:rPr>
          <w:rFonts w:ascii="Times New Roman" w:hAnsi="Times New Roman"/>
          <w:sz w:val="24"/>
          <w:szCs w:val="24"/>
        </w:rPr>
        <w:t xml:space="preserve">to the Reliability Standard.  </w:t>
      </w:r>
      <w:r w:rsidR="00784B2E">
        <w:rPr>
          <w:rFonts w:ascii="Times New Roman" w:hAnsi="Times New Roman"/>
          <w:sz w:val="24"/>
          <w:szCs w:val="24"/>
        </w:rPr>
        <w:t xml:space="preserve">The comments revolved around applicability of the standard, effectiveness of GMD operational procedures, implementation plan and effective dates, and a few other issues.  </w:t>
      </w:r>
      <w:r w:rsidR="00A9229B">
        <w:rPr>
          <w:rFonts w:ascii="Times New Roman" w:hAnsi="Times New Roman"/>
          <w:sz w:val="24"/>
          <w:szCs w:val="24"/>
        </w:rPr>
        <w:t xml:space="preserve">The final rule addresses all the comments.  </w:t>
      </w:r>
      <w:r w:rsidR="00784B2E">
        <w:rPr>
          <w:rFonts w:ascii="Times New Roman" w:hAnsi="Times New Roman"/>
          <w:sz w:val="24"/>
          <w:szCs w:val="24"/>
        </w:rPr>
        <w:t xml:space="preserve">Below are excerpts from the final rule related to the applicability of the </w:t>
      </w:r>
      <w:r w:rsidR="00A808EC">
        <w:rPr>
          <w:rFonts w:ascii="Times New Roman" w:hAnsi="Times New Roman"/>
          <w:sz w:val="24"/>
          <w:szCs w:val="24"/>
        </w:rPr>
        <w:t>Reliability S</w:t>
      </w:r>
      <w:r w:rsidR="00784B2E">
        <w:rPr>
          <w:rFonts w:ascii="Times New Roman" w:hAnsi="Times New Roman"/>
          <w:sz w:val="24"/>
          <w:szCs w:val="24"/>
        </w:rPr>
        <w:t>tandard and the effectiveness of GMD operation</w:t>
      </w:r>
      <w:r w:rsidR="00A808EC">
        <w:rPr>
          <w:rFonts w:ascii="Times New Roman" w:hAnsi="Times New Roman"/>
          <w:sz w:val="24"/>
          <w:szCs w:val="24"/>
        </w:rPr>
        <w:t>al</w:t>
      </w:r>
      <w:r w:rsidR="00784B2E">
        <w:rPr>
          <w:rFonts w:ascii="Times New Roman" w:hAnsi="Times New Roman"/>
          <w:sz w:val="24"/>
          <w:szCs w:val="24"/>
        </w:rPr>
        <w:t xml:space="preserve"> </w:t>
      </w:r>
      <w:proofErr w:type="gramStart"/>
      <w:r w:rsidR="00784B2E">
        <w:rPr>
          <w:rFonts w:ascii="Times New Roman" w:hAnsi="Times New Roman"/>
          <w:sz w:val="24"/>
          <w:szCs w:val="24"/>
        </w:rPr>
        <w:t>procedures.</w:t>
      </w:r>
      <w:proofErr w:type="gramEnd"/>
      <w:r w:rsidR="00784B2E">
        <w:rPr>
          <w:rFonts w:ascii="Times New Roman" w:hAnsi="Times New Roman"/>
          <w:sz w:val="24"/>
          <w:szCs w:val="24"/>
        </w:rPr>
        <w:t xml:space="preserve">  </w:t>
      </w:r>
    </w:p>
    <w:p w14:paraId="2BE41379" w14:textId="77777777" w:rsidR="00951B34" w:rsidRDefault="00951B34" w:rsidP="0092596C">
      <w:pPr>
        <w:spacing w:after="0" w:line="240" w:lineRule="auto"/>
        <w:rPr>
          <w:rFonts w:ascii="Times New Roman" w:hAnsi="Times New Roman"/>
          <w:sz w:val="24"/>
          <w:szCs w:val="24"/>
        </w:rPr>
      </w:pPr>
    </w:p>
    <w:p w14:paraId="67CBE258" w14:textId="77777777" w:rsidR="00951B34" w:rsidRPr="00951B34" w:rsidRDefault="00951B34" w:rsidP="00951B34">
      <w:pPr>
        <w:tabs>
          <w:tab w:val="num" w:pos="1440"/>
        </w:tabs>
        <w:spacing w:after="0" w:line="240" w:lineRule="auto"/>
        <w:rPr>
          <w:rFonts w:ascii="Times New Roman" w:hAnsi="Times New Roman"/>
          <w:b/>
          <w:bCs/>
          <w:iCs/>
          <w:sz w:val="24"/>
          <w:szCs w:val="24"/>
          <w:u w:val="single"/>
        </w:rPr>
      </w:pPr>
      <w:r w:rsidRPr="00951B34">
        <w:rPr>
          <w:rFonts w:ascii="Times New Roman" w:hAnsi="Times New Roman"/>
          <w:b/>
          <w:bCs/>
          <w:iCs/>
          <w:sz w:val="24"/>
          <w:szCs w:val="24"/>
          <w:u w:val="single"/>
        </w:rPr>
        <w:t>Applicability Section of Reliability Standard EOP-010-1</w:t>
      </w:r>
    </w:p>
    <w:p w14:paraId="13B73E8F"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ab/>
      </w:r>
    </w:p>
    <w:p w14:paraId="77E7BFB3" w14:textId="77777777" w:rsidR="00951B34" w:rsidRPr="00951B34" w:rsidRDefault="00951B34" w:rsidP="00951B34">
      <w:pPr>
        <w:spacing w:after="0" w:line="240" w:lineRule="auto"/>
        <w:ind w:firstLine="720"/>
        <w:rPr>
          <w:rFonts w:ascii="Times New Roman" w:hAnsi="Times New Roman"/>
          <w:b/>
          <w:sz w:val="24"/>
          <w:szCs w:val="24"/>
          <w:u w:val="single"/>
        </w:rPr>
      </w:pPr>
      <w:r w:rsidRPr="00951B34">
        <w:rPr>
          <w:rFonts w:ascii="Times New Roman" w:hAnsi="Times New Roman"/>
          <w:b/>
          <w:sz w:val="24"/>
          <w:szCs w:val="24"/>
          <w:u w:val="single"/>
        </w:rPr>
        <w:t>NERC Petition</w:t>
      </w:r>
    </w:p>
    <w:p w14:paraId="10B2285F"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NERC submitted a white paper as part of its petition explaining the technical justification for applying Reliability Standard EOP-010-1 only to transmission operators that operate a power transformer with a high side wye-grounded winding with terminal voltage greater than 200 kV in their transmission operator areas.</w:t>
      </w:r>
      <w:r w:rsidRPr="00951B34">
        <w:rPr>
          <w:rFonts w:ascii="Times New Roman" w:hAnsi="Times New Roman"/>
          <w:b/>
          <w:sz w:val="24"/>
          <w:szCs w:val="24"/>
          <w:vertAlign w:val="superscript"/>
        </w:rPr>
        <w:footnoteReference w:id="15"/>
      </w:r>
      <w:r w:rsidRPr="00951B34">
        <w:rPr>
          <w:rFonts w:ascii="Times New Roman" w:hAnsi="Times New Roman"/>
          <w:sz w:val="24"/>
          <w:szCs w:val="24"/>
        </w:rPr>
        <w:t xml:space="preserve">  In another white paper, NERC explains its proposal regarding the applicability of the Reliability Standard to reliability coordinators and transmission operators only.</w:t>
      </w:r>
      <w:r w:rsidRPr="00951B34">
        <w:rPr>
          <w:rFonts w:ascii="Times New Roman" w:hAnsi="Times New Roman"/>
          <w:b/>
          <w:sz w:val="24"/>
          <w:szCs w:val="24"/>
          <w:vertAlign w:val="superscript"/>
        </w:rPr>
        <w:footnoteReference w:id="16"/>
      </w:r>
      <w:r w:rsidRPr="00951B34">
        <w:rPr>
          <w:rFonts w:ascii="Times New Roman" w:hAnsi="Times New Roman"/>
          <w:sz w:val="24"/>
          <w:szCs w:val="24"/>
        </w:rPr>
        <w:t xml:space="preserve">  The White Paper Supporting Functional Entity Applicability explains that the reliability coordinator has “responsibility and authority for reliable operation within the Reliability Coordinator Area (RCA) … and includes a wide-area view with situational awareness of neighboring RCAs.”</w:t>
      </w:r>
      <w:r w:rsidRPr="00951B34">
        <w:rPr>
          <w:rFonts w:ascii="Times New Roman" w:hAnsi="Times New Roman"/>
          <w:b/>
          <w:sz w:val="24"/>
          <w:szCs w:val="24"/>
          <w:vertAlign w:val="superscript"/>
        </w:rPr>
        <w:footnoteReference w:id="17"/>
      </w:r>
      <w:r w:rsidRPr="00951B34">
        <w:rPr>
          <w:rFonts w:ascii="Times New Roman" w:hAnsi="Times New Roman"/>
          <w:sz w:val="24"/>
          <w:szCs w:val="24"/>
        </w:rPr>
        <w:t xml:space="preserve">  NERC states that including reliability coordinators as applicable entities “provides the necessary coordination for planning and real-time actions.”</w:t>
      </w:r>
      <w:r w:rsidRPr="00951B34">
        <w:rPr>
          <w:rFonts w:ascii="Times New Roman" w:hAnsi="Times New Roman"/>
          <w:b/>
          <w:sz w:val="24"/>
          <w:szCs w:val="24"/>
          <w:vertAlign w:val="superscript"/>
        </w:rPr>
        <w:footnoteReference w:id="18"/>
      </w:r>
      <w:r w:rsidRPr="00951B34">
        <w:rPr>
          <w:rFonts w:ascii="Times New Roman" w:hAnsi="Times New Roman"/>
          <w:sz w:val="24"/>
          <w:szCs w:val="24"/>
        </w:rPr>
        <w:t xml:space="preserve">  With respect to transmission operators, NERC explains that “[l]</w:t>
      </w:r>
      <w:proofErr w:type="spellStart"/>
      <w:proofErr w:type="gramStart"/>
      <w:r w:rsidRPr="00951B34">
        <w:rPr>
          <w:rFonts w:ascii="Times New Roman" w:hAnsi="Times New Roman"/>
          <w:sz w:val="24"/>
          <w:szCs w:val="24"/>
        </w:rPr>
        <w:t>ike</w:t>
      </w:r>
      <w:proofErr w:type="spellEnd"/>
      <w:proofErr w:type="gramEnd"/>
      <w:r w:rsidRPr="00951B34">
        <w:rPr>
          <w:rFonts w:ascii="Times New Roman" w:hAnsi="Times New Roman"/>
          <w:sz w:val="24"/>
          <w:szCs w:val="24"/>
        </w:rPr>
        <w:t xml:space="preserve"> the [reliability coordinator], the [transmission operator] has responsibility and authority for the reliable operation of the transmission system within a specified area.”</w:t>
      </w:r>
      <w:r w:rsidRPr="00951B34">
        <w:rPr>
          <w:rFonts w:ascii="Times New Roman" w:hAnsi="Times New Roman"/>
          <w:b/>
          <w:sz w:val="24"/>
          <w:szCs w:val="24"/>
          <w:vertAlign w:val="superscript"/>
        </w:rPr>
        <w:footnoteReference w:id="19"/>
      </w:r>
      <w:r w:rsidRPr="00951B34">
        <w:rPr>
          <w:rFonts w:ascii="Times New Roman" w:hAnsi="Times New Roman"/>
          <w:sz w:val="24"/>
          <w:szCs w:val="24"/>
        </w:rPr>
        <w:t xml:space="preserve">  In addition, NERC justifies omitting balancing authorities and generator operators from the scope of the Reliability Standard.  NERC explains that balancing authorities “can be expected to address GMD impacts through use of generation … [but] the [balancing authority] would not initiate actions unilaterally during a GMD event and would instead respond to the direction of the [transmission operator] and [reliability coordinator].”</w:t>
      </w:r>
      <w:r w:rsidRPr="00951B34">
        <w:rPr>
          <w:rFonts w:ascii="Times New Roman" w:hAnsi="Times New Roman"/>
          <w:b/>
          <w:sz w:val="24"/>
          <w:szCs w:val="24"/>
          <w:vertAlign w:val="superscript"/>
        </w:rPr>
        <w:footnoteReference w:id="20"/>
      </w:r>
      <w:r w:rsidRPr="00951B34">
        <w:rPr>
          <w:rFonts w:ascii="Times New Roman" w:hAnsi="Times New Roman"/>
          <w:sz w:val="24"/>
          <w:szCs w:val="24"/>
        </w:rPr>
        <w:t xml:space="preserve">  As for generator operators, NERC states that some generator operators “would not have the technical basis for taking steps [to mitigate GMDs] on [their] own and would instead take steps based on the [reliability </w:t>
      </w:r>
      <w:proofErr w:type="gramStart"/>
      <w:r w:rsidRPr="00951B34">
        <w:rPr>
          <w:rFonts w:ascii="Times New Roman" w:hAnsi="Times New Roman"/>
          <w:sz w:val="24"/>
          <w:szCs w:val="24"/>
        </w:rPr>
        <w:t>coordinator’s</w:t>
      </w:r>
      <w:proofErr w:type="gramEnd"/>
      <w:r w:rsidRPr="00951B34">
        <w:rPr>
          <w:rFonts w:ascii="Times New Roman" w:hAnsi="Times New Roman"/>
          <w:sz w:val="24"/>
          <w:szCs w:val="24"/>
        </w:rPr>
        <w:t>] or [transmission operator’s] Operating Plans, Processes, or Procedures.”</w:t>
      </w:r>
      <w:r w:rsidRPr="00951B34">
        <w:rPr>
          <w:rFonts w:ascii="Times New Roman" w:hAnsi="Times New Roman"/>
          <w:b/>
          <w:sz w:val="24"/>
          <w:szCs w:val="24"/>
          <w:vertAlign w:val="superscript"/>
        </w:rPr>
        <w:footnoteReference w:id="21"/>
      </w:r>
      <w:r w:rsidRPr="00951B34">
        <w:rPr>
          <w:rFonts w:ascii="Times New Roman" w:hAnsi="Times New Roman"/>
          <w:sz w:val="24"/>
          <w:szCs w:val="24"/>
        </w:rPr>
        <w:t xml:space="preserve">  NERC also notes that generator owners and generator operators will be considered for inclusion in the Second Stage GMD Reliability Standards, “which will require applicable entities to conduct vulnerability assessment and develop appropriate mitigation strategies . . . [and that] [s]</w:t>
      </w:r>
      <w:proofErr w:type="spellStart"/>
      <w:r w:rsidRPr="00951B34">
        <w:rPr>
          <w:rFonts w:ascii="Times New Roman" w:hAnsi="Times New Roman"/>
          <w:sz w:val="24"/>
          <w:szCs w:val="24"/>
        </w:rPr>
        <w:t>uch</w:t>
      </w:r>
      <w:proofErr w:type="spellEnd"/>
      <w:r w:rsidRPr="00951B34">
        <w:rPr>
          <w:rFonts w:ascii="Times New Roman" w:hAnsi="Times New Roman"/>
          <w:sz w:val="24"/>
          <w:szCs w:val="24"/>
        </w:rPr>
        <w:t xml:space="preserve"> mitigation strategies could include the development of Operating Procedures for applicable [generator owners] and [generator operators].”</w:t>
      </w:r>
      <w:r w:rsidRPr="00951B34">
        <w:rPr>
          <w:rFonts w:ascii="Times New Roman" w:hAnsi="Times New Roman"/>
          <w:b/>
          <w:sz w:val="24"/>
          <w:szCs w:val="24"/>
          <w:vertAlign w:val="superscript"/>
        </w:rPr>
        <w:footnoteReference w:id="22"/>
      </w:r>
    </w:p>
    <w:p w14:paraId="1DC37F2F" w14:textId="77777777" w:rsidR="00951B34" w:rsidRPr="00951B34" w:rsidRDefault="00951B34" w:rsidP="00951B34">
      <w:pPr>
        <w:spacing w:after="0" w:line="240" w:lineRule="auto"/>
        <w:rPr>
          <w:rFonts w:ascii="Times New Roman" w:hAnsi="Times New Roman"/>
          <w:sz w:val="24"/>
          <w:szCs w:val="24"/>
        </w:rPr>
      </w:pPr>
    </w:p>
    <w:p w14:paraId="6FF2EA2A" w14:textId="77777777" w:rsidR="00951B34" w:rsidRPr="00951B34" w:rsidRDefault="00951B34" w:rsidP="00951B34">
      <w:pPr>
        <w:spacing w:after="0" w:line="240" w:lineRule="auto"/>
        <w:rPr>
          <w:rFonts w:ascii="Times New Roman" w:hAnsi="Times New Roman"/>
          <w:b/>
          <w:sz w:val="24"/>
          <w:szCs w:val="24"/>
          <w:u w:val="single"/>
        </w:rPr>
      </w:pPr>
      <w:r w:rsidRPr="00951B34">
        <w:rPr>
          <w:rFonts w:ascii="Times New Roman" w:hAnsi="Times New Roman"/>
          <w:sz w:val="24"/>
          <w:szCs w:val="24"/>
        </w:rPr>
        <w:tab/>
      </w:r>
      <w:r w:rsidRPr="00951B34">
        <w:rPr>
          <w:rFonts w:ascii="Times New Roman" w:hAnsi="Times New Roman"/>
          <w:b/>
          <w:sz w:val="24"/>
          <w:szCs w:val="24"/>
          <w:u w:val="single"/>
        </w:rPr>
        <w:t>NOPR</w:t>
      </w:r>
    </w:p>
    <w:p w14:paraId="550E4105" w14:textId="77777777" w:rsidR="00951B34" w:rsidRP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The NOPR stated that the applicability designations in Reliability Standard EOP-010-1 are appropriate, based on the justifications set forth in the white papers in Exhibits D and E of NERC’s petition.</w:t>
      </w:r>
    </w:p>
    <w:p w14:paraId="1EE14F16" w14:textId="77777777" w:rsidR="00951B34" w:rsidRPr="00951B34" w:rsidRDefault="00951B34" w:rsidP="00951B34">
      <w:pPr>
        <w:spacing w:after="0" w:line="240" w:lineRule="auto"/>
        <w:rPr>
          <w:rFonts w:ascii="Times New Roman" w:hAnsi="Times New Roman"/>
          <w:b/>
          <w:sz w:val="24"/>
          <w:szCs w:val="24"/>
          <w:u w:val="single"/>
        </w:rPr>
      </w:pPr>
      <w:r w:rsidRPr="00951B34">
        <w:rPr>
          <w:rFonts w:ascii="Times New Roman" w:hAnsi="Times New Roman"/>
          <w:sz w:val="24"/>
          <w:szCs w:val="24"/>
        </w:rPr>
        <w:tab/>
      </w:r>
      <w:r w:rsidRPr="00951B34">
        <w:rPr>
          <w:rFonts w:ascii="Times New Roman" w:hAnsi="Times New Roman"/>
          <w:b/>
          <w:sz w:val="24"/>
          <w:szCs w:val="24"/>
          <w:u w:val="single"/>
        </w:rPr>
        <w:t>Comments</w:t>
      </w:r>
    </w:p>
    <w:p w14:paraId="44A3B28B"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Foundation,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AFS, and Baker maintain that Reliability Standard EOP-010-1 should be applicable to more entities than transmission operators having a power transformer with a high side wye-grounded winding with terminal voltage greater than 200 kV in the transmission operator area.</w:t>
      </w:r>
    </w:p>
    <w:p w14:paraId="57055723" w14:textId="77777777" w:rsidR="00951B34" w:rsidRPr="00951B34" w:rsidRDefault="00951B34" w:rsidP="00951B34">
      <w:pPr>
        <w:spacing w:after="0" w:line="240" w:lineRule="auto"/>
        <w:rPr>
          <w:rFonts w:ascii="Times New Roman" w:hAnsi="Times New Roman"/>
          <w:sz w:val="24"/>
          <w:szCs w:val="24"/>
        </w:rPr>
      </w:pPr>
    </w:p>
    <w:p w14:paraId="02ECAEFD"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Foundation states that during the March 1989 solar storm discussed in Order No. 779, electric utilities reported effects on static VAR compensators and other reactive power equipment operating between 100 kV and 200 kV.  Foundation notes that such equipment is “designed to provide reactive power and to stabilize transmission networks during GMD.”</w:t>
      </w:r>
      <w:r w:rsidRPr="00951B34">
        <w:rPr>
          <w:rFonts w:ascii="Times New Roman" w:hAnsi="Times New Roman"/>
          <w:b/>
          <w:sz w:val="24"/>
          <w:szCs w:val="24"/>
          <w:vertAlign w:val="superscript"/>
        </w:rPr>
        <w:footnoteReference w:id="23"/>
      </w:r>
      <w:r w:rsidRPr="00951B34">
        <w:rPr>
          <w:rFonts w:ascii="Times New Roman" w:hAnsi="Times New Roman"/>
          <w:sz w:val="24"/>
          <w:szCs w:val="24"/>
        </w:rPr>
        <w:t xml:space="preserve">  Foundation states that Reliability Standard EOP-010-1 “would exempt Transmission Operators with equipment operating between 100 kV and 200 kV.”</w:t>
      </w:r>
      <w:r w:rsidRPr="00951B34">
        <w:rPr>
          <w:rFonts w:ascii="Times New Roman" w:hAnsi="Times New Roman"/>
          <w:b/>
          <w:sz w:val="24"/>
          <w:szCs w:val="24"/>
          <w:vertAlign w:val="superscript"/>
        </w:rPr>
        <w:footnoteReference w:id="24"/>
      </w:r>
      <w:r w:rsidRPr="00951B34">
        <w:rPr>
          <w:rFonts w:ascii="Times New Roman" w:hAnsi="Times New Roman"/>
          <w:sz w:val="24"/>
          <w:szCs w:val="24"/>
        </w:rPr>
        <w:t xml:space="preserve">  Foundation requests that the Commission remand Reliability Standard EOP-010-1 to include “owners and operators of all stabilizing and reactive power equipment operating between 100 kV and 200 kV.”</w:t>
      </w:r>
      <w:r w:rsidRPr="00951B34">
        <w:rPr>
          <w:rFonts w:ascii="Times New Roman" w:hAnsi="Times New Roman"/>
          <w:b/>
          <w:sz w:val="24"/>
          <w:szCs w:val="24"/>
          <w:vertAlign w:val="superscript"/>
        </w:rPr>
        <w:footnoteReference w:id="25"/>
      </w:r>
    </w:p>
    <w:p w14:paraId="4D01C825" w14:textId="77777777" w:rsidR="00951B34" w:rsidRPr="00951B34" w:rsidRDefault="00951B34" w:rsidP="00951B34">
      <w:pPr>
        <w:spacing w:after="0" w:line="240" w:lineRule="auto"/>
        <w:rPr>
          <w:rFonts w:ascii="Times New Roman" w:hAnsi="Times New Roman"/>
          <w:sz w:val="24"/>
          <w:szCs w:val="24"/>
        </w:rPr>
      </w:pPr>
    </w:p>
    <w:p w14:paraId="58682209" w14:textId="77777777" w:rsidR="00951B34" w:rsidRP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Foundation and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assert that the 200 kV threshold for transmission operators is inconsistent with the Commission-approved definition of bulk electric system, which generally includes assets operating at voltages of 100 kV and higher.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asserts that there is evidence that elements of the Bulk-Power System operating between 100 kV and 200kV would be substantially affected by a GMD event.  In support,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cites to an Oak Ridge National Laboratory GMD Study and an article from the Idaho National Laboratory, which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states tested sub-200 kV transformers.</w:t>
      </w:r>
      <w:r w:rsidRPr="00951B34">
        <w:rPr>
          <w:rFonts w:ascii="Times New Roman" w:hAnsi="Times New Roman"/>
          <w:b/>
          <w:sz w:val="24"/>
          <w:szCs w:val="24"/>
          <w:vertAlign w:val="superscript"/>
        </w:rPr>
        <w:footnoteReference w:id="26"/>
      </w:r>
      <w:r w:rsidRPr="00951B34">
        <w:rPr>
          <w:rFonts w:ascii="Times New Roman" w:hAnsi="Times New Roman"/>
          <w:sz w:val="24"/>
          <w:szCs w:val="24"/>
        </w:rPr>
        <w:t xml:space="preserve">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further claims that NERC improperly relied on a cost-benefit analysis to exclude networks operating at 200 kV and below.</w:t>
      </w:r>
    </w:p>
    <w:p w14:paraId="2DEEA802"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Foundation, AFS, EMP Coalition, </w:t>
      </w:r>
      <w:proofErr w:type="spellStart"/>
      <w:r w:rsidRPr="00951B34">
        <w:rPr>
          <w:rFonts w:ascii="Times New Roman" w:hAnsi="Times New Roman"/>
          <w:sz w:val="24"/>
          <w:szCs w:val="24"/>
        </w:rPr>
        <w:t>Kappenman</w:t>
      </w:r>
      <w:proofErr w:type="spellEnd"/>
      <w:r w:rsidRPr="00951B34">
        <w:rPr>
          <w:rFonts w:ascii="Times New Roman" w:hAnsi="Times New Roman"/>
          <w:sz w:val="24"/>
          <w:szCs w:val="24"/>
        </w:rPr>
        <w:t>, and Baker maintain that Reliability Standard EOP-010-1 should be applicable to generator operators and/or balancing authorities.</w:t>
      </w:r>
    </w:p>
    <w:p w14:paraId="37B02E6B" w14:textId="77777777" w:rsidR="00951B34" w:rsidRP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  </w:t>
      </w:r>
    </w:p>
    <w:p w14:paraId="7CF1829A"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Foundation states that balancing authorities have real-time responsibilities that would be essential during a GMD event.  Foundation asserts that excluding balancing authorities from the applicability section of Reliability Standard EOP-010-1 is “operationally unworkable” because it “assumes that the real time responsibilities of Balancing Authorities under fast-moving GMD conditions could be assumed by Reliability Coordinators.”</w:t>
      </w:r>
      <w:r w:rsidRPr="00951B34">
        <w:rPr>
          <w:rFonts w:ascii="Times New Roman" w:hAnsi="Times New Roman"/>
          <w:b/>
          <w:sz w:val="24"/>
          <w:szCs w:val="24"/>
          <w:vertAlign w:val="superscript"/>
        </w:rPr>
        <w:footnoteReference w:id="27"/>
      </w:r>
      <w:r w:rsidRPr="00951B34">
        <w:rPr>
          <w:rFonts w:ascii="Times New Roman" w:hAnsi="Times New Roman"/>
          <w:sz w:val="24"/>
          <w:szCs w:val="24"/>
        </w:rPr>
        <w:t xml:space="preserve">  Foundation states that the NOAA Space Weather Prediction Center would only provide 15-60 minutes warning of a severe solar storm.  Foundation asserts that, given the 15-60 minute limitation, there would be insufficient time for reliability coordinators to communicate with balancing authorities, transmission operators, and generator operators following a solar storm warning because the NERC Reliability Standards require three-part communications when engaging in oral, two-party communications.  </w:t>
      </w:r>
    </w:p>
    <w:p w14:paraId="582C55F0" w14:textId="77777777" w:rsidR="00951B34" w:rsidRPr="00951B34" w:rsidRDefault="00951B34" w:rsidP="00951B34">
      <w:pPr>
        <w:spacing w:after="0" w:line="240" w:lineRule="auto"/>
        <w:rPr>
          <w:rFonts w:ascii="Times New Roman" w:hAnsi="Times New Roman"/>
          <w:sz w:val="24"/>
          <w:szCs w:val="24"/>
        </w:rPr>
      </w:pPr>
    </w:p>
    <w:p w14:paraId="37E9CC1A"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Foundation and </w:t>
      </w:r>
      <w:proofErr w:type="spellStart"/>
      <w:r w:rsidRPr="00951B34">
        <w:rPr>
          <w:rFonts w:ascii="Times New Roman" w:hAnsi="Times New Roman"/>
          <w:sz w:val="24"/>
          <w:szCs w:val="24"/>
        </w:rPr>
        <w:t>Kappenman</w:t>
      </w:r>
      <w:proofErr w:type="spellEnd"/>
      <w:r w:rsidRPr="00951B34">
        <w:rPr>
          <w:rFonts w:ascii="Times New Roman" w:hAnsi="Times New Roman"/>
          <w:sz w:val="24"/>
          <w:szCs w:val="24"/>
        </w:rPr>
        <w:t xml:space="preserve"> also maintain that Reliability Standard EOP-010-1 does not address generator step up (GSU) transformers, which they assert are vulnerable to GMDs.  Foundation contends that generator operators have been installing </w:t>
      </w:r>
      <w:proofErr w:type="spellStart"/>
      <w:r w:rsidR="003C3532" w:rsidRPr="003C3532">
        <w:rPr>
          <w:rFonts w:ascii="Times New Roman" w:hAnsi="Times New Roman"/>
          <w:sz w:val="24"/>
          <w:szCs w:val="24"/>
        </w:rPr>
        <w:t>geomagnetically</w:t>
      </w:r>
      <w:proofErr w:type="spellEnd"/>
      <w:r w:rsidR="003C3532" w:rsidRPr="003C3532">
        <w:rPr>
          <w:rFonts w:ascii="Times New Roman" w:hAnsi="Times New Roman"/>
          <w:sz w:val="24"/>
          <w:szCs w:val="24"/>
        </w:rPr>
        <w:t>-induced currents (GIC)</w:t>
      </w:r>
      <w:r w:rsidR="003C3532">
        <w:rPr>
          <w:rFonts w:ascii="Times New Roman" w:hAnsi="Times New Roman"/>
          <w:sz w:val="24"/>
          <w:szCs w:val="24"/>
        </w:rPr>
        <w:t xml:space="preserve"> </w:t>
      </w:r>
      <w:r w:rsidRPr="00951B34">
        <w:rPr>
          <w:rFonts w:ascii="Times New Roman" w:hAnsi="Times New Roman"/>
          <w:sz w:val="24"/>
          <w:szCs w:val="24"/>
        </w:rPr>
        <w:t xml:space="preserve">monitors for their GSU transformers and have taken actions to </w:t>
      </w:r>
      <w:proofErr w:type="spellStart"/>
      <w:r w:rsidRPr="00951B34">
        <w:rPr>
          <w:rFonts w:ascii="Times New Roman" w:hAnsi="Times New Roman"/>
          <w:sz w:val="24"/>
          <w:szCs w:val="24"/>
        </w:rPr>
        <w:t>downrate</w:t>
      </w:r>
      <w:proofErr w:type="spellEnd"/>
      <w:r w:rsidRPr="00951B34">
        <w:rPr>
          <w:rFonts w:ascii="Times New Roman" w:hAnsi="Times New Roman"/>
          <w:sz w:val="24"/>
          <w:szCs w:val="24"/>
        </w:rPr>
        <w:t xml:space="preserve"> their GSU transformers during solar storms.  Foundation also notes that the NERC GMD Task Force developed an Operating Procedure Template for generator operators.</w:t>
      </w:r>
    </w:p>
    <w:p w14:paraId="1F47DB36" w14:textId="77777777" w:rsidR="00951B34" w:rsidRDefault="00951B34" w:rsidP="00951B34">
      <w:pPr>
        <w:spacing w:after="0" w:line="240" w:lineRule="auto"/>
        <w:rPr>
          <w:rFonts w:ascii="Times New Roman" w:hAnsi="Times New Roman"/>
          <w:sz w:val="24"/>
          <w:szCs w:val="24"/>
        </w:rPr>
      </w:pPr>
    </w:p>
    <w:p w14:paraId="22B17153" w14:textId="77777777" w:rsidR="00951B34" w:rsidRPr="00951B34" w:rsidRDefault="00951B34" w:rsidP="00951B34">
      <w:pPr>
        <w:spacing w:after="0" w:line="240" w:lineRule="auto"/>
        <w:rPr>
          <w:rFonts w:ascii="Times New Roman" w:hAnsi="Times New Roman"/>
          <w:b/>
          <w:sz w:val="24"/>
          <w:szCs w:val="24"/>
          <w:u w:val="single"/>
        </w:rPr>
      </w:pPr>
      <w:r w:rsidRPr="00951B34">
        <w:rPr>
          <w:rFonts w:ascii="Times New Roman" w:hAnsi="Times New Roman"/>
          <w:sz w:val="24"/>
          <w:szCs w:val="24"/>
        </w:rPr>
        <w:tab/>
      </w:r>
      <w:r w:rsidRPr="00951B34">
        <w:rPr>
          <w:rFonts w:ascii="Times New Roman" w:hAnsi="Times New Roman"/>
          <w:b/>
          <w:sz w:val="24"/>
          <w:szCs w:val="24"/>
          <w:u w:val="single"/>
        </w:rPr>
        <w:t>Commission Determination</w:t>
      </w:r>
    </w:p>
    <w:p w14:paraId="0C55344E"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We determine that the applicability section of Reliability Standard EOP-010-1 is technically justified and consistent with Order No. 779, both in terms of using a 200 kV threshold for determining applicable transmission operators and not including balancing authorities and generator operators as applicable entities.  </w:t>
      </w:r>
    </w:p>
    <w:p w14:paraId="3BC43BD3" w14:textId="77777777" w:rsidR="00951B34" w:rsidRPr="00951B34" w:rsidRDefault="00951B34" w:rsidP="00951B34">
      <w:pPr>
        <w:spacing w:after="0" w:line="240" w:lineRule="auto"/>
        <w:rPr>
          <w:rFonts w:ascii="Times New Roman" w:hAnsi="Times New Roman"/>
          <w:sz w:val="24"/>
          <w:szCs w:val="24"/>
        </w:rPr>
      </w:pPr>
    </w:p>
    <w:p w14:paraId="7237DCEC"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We reject the argument that the applicability threshold in Reliability Standard EOP-010-1 is inconsistent with the definition of bulk electric system because it excludes transmission operators with only 200 kV transformers and below.  Instead, we determine that the applicability section of Reliability Standard EOP-010-1 complies with the directive in Order No. 779 that the First Stage GMD Reliability Standards should mitigate the effects of GMDs consistent with the reliable operation of the Bulk-Power System.</w:t>
      </w:r>
      <w:r w:rsidRPr="00951B34">
        <w:rPr>
          <w:rFonts w:ascii="Times New Roman" w:hAnsi="Times New Roman"/>
          <w:b/>
          <w:sz w:val="24"/>
          <w:szCs w:val="24"/>
          <w:vertAlign w:val="superscript"/>
        </w:rPr>
        <w:footnoteReference w:id="28"/>
      </w:r>
      <w:r w:rsidRPr="00951B34">
        <w:rPr>
          <w:rFonts w:ascii="Times New Roman" w:hAnsi="Times New Roman"/>
          <w:sz w:val="24"/>
          <w:szCs w:val="24"/>
        </w:rPr>
        <w:t xml:space="preserve">  The NERC petition and White Paper Supporting Network Applicability provide an adequate technical basis to conclude that transformers operating at 200 kV and below are likely to have a limited impact on the Bulk-Power System during a GMD event.  We are not persuaded by the Foundation comments, discussed above, which do not refute this conclusion, or the materials cited by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cites a table in the Oak Ridge Laboratory GMD Study identifying at-risk transformers operating at 345 kV, which fall within the applicability criteria.</w:t>
      </w:r>
      <w:r w:rsidRPr="00951B34">
        <w:rPr>
          <w:rFonts w:ascii="Times New Roman" w:hAnsi="Times New Roman"/>
          <w:b/>
          <w:sz w:val="24"/>
          <w:szCs w:val="24"/>
          <w:vertAlign w:val="superscript"/>
        </w:rPr>
        <w:footnoteReference w:id="29"/>
      </w:r>
      <w:r w:rsidRPr="00951B34">
        <w:rPr>
          <w:rFonts w:ascii="Times New Roman" w:hAnsi="Times New Roman"/>
          <w:sz w:val="24"/>
          <w:szCs w:val="24"/>
        </w:rPr>
        <w:t xml:space="preserve">  Moreover, the Oak Ridge Laboratory GMD Study found that significantly higher GIC flows occur at higher operating voltages.</w:t>
      </w:r>
      <w:r w:rsidRPr="00951B34">
        <w:rPr>
          <w:rFonts w:ascii="Times New Roman" w:hAnsi="Times New Roman"/>
          <w:b/>
          <w:sz w:val="24"/>
          <w:szCs w:val="24"/>
          <w:vertAlign w:val="superscript"/>
        </w:rPr>
        <w:footnoteReference w:id="30"/>
      </w:r>
    </w:p>
    <w:p w14:paraId="642350AE" w14:textId="77777777" w:rsidR="00951B34" w:rsidRPr="00951B34" w:rsidRDefault="00951B34" w:rsidP="00951B34">
      <w:pPr>
        <w:spacing w:after="0" w:line="240" w:lineRule="auto"/>
        <w:rPr>
          <w:rFonts w:ascii="Times New Roman" w:hAnsi="Times New Roman"/>
          <w:sz w:val="24"/>
          <w:szCs w:val="24"/>
        </w:rPr>
      </w:pPr>
    </w:p>
    <w:p w14:paraId="39DB024C"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The applicability criteria for Reliability Standard EOP-010-1 determine which transmission operators must comply with the Reliability Standard (i.e., those with a power transformer with a high side wye-grounded winding with terminal voltage greater than 200 kV in the transmission operator area).  While this criterion excludes transmission operators operating transformers 200 kV and below, the 200 kV threshold does not mean that applicable transmission operators will ignore reactive power supplies operating at 200 kV or below on their systems when developing the required GMD Operating Procedures or Operating Processes.  Reliability Standard EOP-010-1, Requirement R3 supports this conclusion because it directs each applicable transmission operator to “develop, maintain, and implement a GMD Operating Procedure or Operating Process to mitigate the effects of GMD events on the reliable operation of its respective system.”  Accordingly, because Requirement R3 addresses an applicable transmission operator’s entire system, the requirement is not limited to transformers operating above 200 kV for the purposes of developing GMD Operating Procedures or Operating Processes by applicable transmission operators.</w:t>
      </w:r>
      <w:r w:rsidRPr="00951B34">
        <w:rPr>
          <w:rFonts w:ascii="Times New Roman" w:hAnsi="Times New Roman"/>
          <w:b/>
          <w:sz w:val="24"/>
          <w:szCs w:val="24"/>
          <w:vertAlign w:val="superscript"/>
        </w:rPr>
        <w:footnoteReference w:id="31"/>
      </w:r>
      <w:r w:rsidRPr="00951B34">
        <w:rPr>
          <w:rFonts w:ascii="Times New Roman" w:hAnsi="Times New Roman"/>
          <w:sz w:val="24"/>
          <w:szCs w:val="24"/>
        </w:rPr>
        <w:t xml:space="preserve">  </w:t>
      </w:r>
    </w:p>
    <w:p w14:paraId="21F3E458" w14:textId="77777777" w:rsidR="00951B34" w:rsidRPr="00951B34" w:rsidRDefault="00951B34" w:rsidP="00951B34">
      <w:pPr>
        <w:spacing w:after="0" w:line="240" w:lineRule="auto"/>
        <w:rPr>
          <w:rFonts w:ascii="Times New Roman" w:hAnsi="Times New Roman"/>
          <w:sz w:val="24"/>
          <w:szCs w:val="24"/>
        </w:rPr>
      </w:pPr>
    </w:p>
    <w:p w14:paraId="248BC96E"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The Idaho National Laboratory article cited by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stated that a simulated solar event affected “a pair of 138kV core form, 2 winding substation transformers, which had been in-service at [Idaho National Laboratory] since the 1950s,” through increased losses and generation of harmonics that resulted in loss of excitation.</w:t>
      </w:r>
      <w:r w:rsidRPr="00951B34">
        <w:rPr>
          <w:rFonts w:ascii="Times New Roman" w:hAnsi="Times New Roman"/>
          <w:b/>
          <w:sz w:val="24"/>
          <w:szCs w:val="24"/>
          <w:vertAlign w:val="superscript"/>
        </w:rPr>
        <w:footnoteReference w:id="32"/>
      </w:r>
      <w:r w:rsidRPr="00951B34">
        <w:rPr>
          <w:rFonts w:ascii="Times New Roman" w:hAnsi="Times New Roman"/>
          <w:sz w:val="24"/>
          <w:szCs w:val="24"/>
        </w:rPr>
        <w:t xml:space="preserve">  The Idaho National Laboratory article does not contradict NERC’s technical analysis, however.  NERC does not contend that GMD events will have no effect on networks operating at 200 kV and below.  Rather, the standard drafting team found that </w:t>
      </w:r>
      <w:proofErr w:type="spellStart"/>
      <w:r w:rsidRPr="00951B34">
        <w:rPr>
          <w:rFonts w:ascii="Times New Roman" w:hAnsi="Times New Roman"/>
          <w:sz w:val="24"/>
          <w:szCs w:val="24"/>
        </w:rPr>
        <w:t>geomagnetically</w:t>
      </w:r>
      <w:proofErr w:type="spellEnd"/>
      <w:r w:rsidRPr="00951B34">
        <w:rPr>
          <w:rFonts w:ascii="Times New Roman" w:hAnsi="Times New Roman"/>
          <w:sz w:val="24"/>
          <w:szCs w:val="24"/>
        </w:rPr>
        <w:t>-induced currents generated on networks operated at 200 kV and below would be significantly less than those operated at higher voltages, a finding that is consistent with the Oak Ridge Laboratory GMD Study.  Specifically, NERC’s modeling of a portion of the Eastern Interconnection showed only a small change in system impact from a GMD event when 115 kV and 161 kV circuits were excluded from the model.</w:t>
      </w:r>
      <w:r w:rsidRPr="00951B34">
        <w:rPr>
          <w:rFonts w:ascii="Times New Roman" w:hAnsi="Times New Roman"/>
          <w:b/>
          <w:sz w:val="24"/>
          <w:szCs w:val="24"/>
          <w:vertAlign w:val="superscript"/>
        </w:rPr>
        <w:footnoteReference w:id="33"/>
      </w:r>
      <w:r w:rsidRPr="00951B34">
        <w:rPr>
          <w:rFonts w:ascii="Times New Roman" w:hAnsi="Times New Roman"/>
          <w:sz w:val="24"/>
          <w:szCs w:val="24"/>
        </w:rPr>
        <w:t xml:space="preserve">  The materials cited in the comments do not rebut NERC’s technical analysis.  In sum, we determine that there is adequate technical justification for the 200 kV threshold for transmission operators.</w:t>
      </w:r>
      <w:r w:rsidRPr="00951B34">
        <w:rPr>
          <w:rFonts w:ascii="Times New Roman" w:hAnsi="Times New Roman"/>
          <w:b/>
          <w:sz w:val="24"/>
          <w:szCs w:val="24"/>
          <w:vertAlign w:val="superscript"/>
        </w:rPr>
        <w:footnoteReference w:id="34"/>
      </w:r>
    </w:p>
    <w:p w14:paraId="21BB430D" w14:textId="77777777" w:rsidR="00951B34" w:rsidRPr="00951B34" w:rsidRDefault="00951B34" w:rsidP="00951B34">
      <w:pPr>
        <w:spacing w:after="0" w:line="240" w:lineRule="auto"/>
        <w:rPr>
          <w:rFonts w:ascii="Times New Roman" w:hAnsi="Times New Roman"/>
          <w:sz w:val="24"/>
          <w:szCs w:val="24"/>
        </w:rPr>
      </w:pPr>
    </w:p>
    <w:p w14:paraId="28080525"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We also determine that NERC provided adequate justification not to include balancing authorities and generator operators in the applicability section of Reliability Standard EOP-010-1.  We disagree with Foundation’s assertion that balancing authorities should be included in the applicability section because reliability coordinators are incapable of communicating quickly with transmission operators, generator operators, and balancing authorities due to the three-part communications requirement in Reliability Standard COM-002-2.  We are not persuaded that GMD events pose unique communication problems for reliability coordinators because a reliability coordinator may only have 15-60 minutes warning of a severe solar storm.  Reliability coordinators are responsible for real-time system reliability and often must respond quickly or even immediately to Bulk-Power System events with little or no warning.</w:t>
      </w:r>
      <w:r w:rsidRPr="00951B34">
        <w:rPr>
          <w:rFonts w:ascii="Times New Roman" w:hAnsi="Times New Roman"/>
          <w:b/>
          <w:sz w:val="24"/>
          <w:szCs w:val="24"/>
          <w:vertAlign w:val="superscript"/>
        </w:rPr>
        <w:footnoteReference w:id="35"/>
      </w:r>
      <w:r w:rsidRPr="00951B34">
        <w:rPr>
          <w:rFonts w:ascii="Times New Roman" w:hAnsi="Times New Roman"/>
          <w:sz w:val="24"/>
          <w:szCs w:val="24"/>
        </w:rPr>
        <w:t xml:space="preserve">  Reliability Standard COM-002-2, Requirement R1 recognizes this responsibility by stating that “[e]ach Transmission Operator, Balancing Authority, and Generator Operator shall have communications (voice and data links) with appropriate Reliability Coordinators, Balancing Authorities, and Transmission Operators … [and] [s]</w:t>
      </w:r>
      <w:proofErr w:type="spellStart"/>
      <w:r w:rsidRPr="00951B34">
        <w:rPr>
          <w:rFonts w:ascii="Times New Roman" w:hAnsi="Times New Roman"/>
          <w:sz w:val="24"/>
          <w:szCs w:val="24"/>
        </w:rPr>
        <w:t>uch</w:t>
      </w:r>
      <w:proofErr w:type="spellEnd"/>
      <w:r w:rsidRPr="00951B34">
        <w:rPr>
          <w:rFonts w:ascii="Times New Roman" w:hAnsi="Times New Roman"/>
          <w:sz w:val="24"/>
          <w:szCs w:val="24"/>
        </w:rPr>
        <w:t xml:space="preserve"> communications shall be staffed and available for addressing a real-time emergency condition.” </w:t>
      </w:r>
    </w:p>
    <w:p w14:paraId="56BA117D" w14:textId="77777777" w:rsidR="00951B34" w:rsidRP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 </w:t>
      </w:r>
    </w:p>
    <w:p w14:paraId="3B3DD954"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With respect to generator operators, there is no dispute that GSU transformers are susceptible to </w:t>
      </w:r>
      <w:proofErr w:type="spellStart"/>
      <w:r w:rsidRPr="00951B34">
        <w:rPr>
          <w:rFonts w:ascii="Times New Roman" w:hAnsi="Times New Roman"/>
          <w:sz w:val="24"/>
          <w:szCs w:val="24"/>
        </w:rPr>
        <w:t>geomagnetically</w:t>
      </w:r>
      <w:proofErr w:type="spellEnd"/>
      <w:r w:rsidRPr="00951B34">
        <w:rPr>
          <w:rFonts w:ascii="Times New Roman" w:hAnsi="Times New Roman"/>
          <w:sz w:val="24"/>
          <w:szCs w:val="24"/>
        </w:rPr>
        <w:t>-induced currents.  While generator operators are not listed as applicable entities in Reliability Standard EOP-010-1, NERC explains that generator operators will have to act during a GMD event when directed by a reliability coordinator, in accordance with its reliability coordinator’s GMD Operating Plan, or by a transmission operator, in accordance with its transmission operator’s GMD Operating Procedures or Operating Processes.</w:t>
      </w:r>
      <w:r w:rsidRPr="00951B34">
        <w:rPr>
          <w:rFonts w:ascii="Times New Roman" w:hAnsi="Times New Roman"/>
          <w:b/>
          <w:sz w:val="24"/>
          <w:szCs w:val="24"/>
          <w:vertAlign w:val="superscript"/>
        </w:rPr>
        <w:footnoteReference w:id="36"/>
      </w:r>
      <w:r w:rsidRPr="00951B34">
        <w:rPr>
          <w:rFonts w:ascii="Times New Roman" w:hAnsi="Times New Roman"/>
          <w:sz w:val="24"/>
          <w:szCs w:val="24"/>
        </w:rPr>
        <w:t xml:space="preserve">  We are not persuaded that generator operators should be required to act independently under Reliability Standard EOP-010-1.  While generator operators might be, as Foundation asserts, increasingly installing GIC monitoring equipment, there is no evidence in the record regarding the proportion of generator operators with GIC monitoring capabilities.  Accordingly, we agree with NERC that at least some generator operators would not have the technical basis to address a GMD event and would instead need to rely on reliability coordinators and transmission operators for direction.</w:t>
      </w:r>
      <w:r w:rsidRPr="00951B34">
        <w:rPr>
          <w:rFonts w:ascii="Times New Roman" w:hAnsi="Times New Roman"/>
          <w:b/>
          <w:sz w:val="24"/>
          <w:szCs w:val="24"/>
          <w:vertAlign w:val="superscript"/>
        </w:rPr>
        <w:footnoteReference w:id="37"/>
      </w:r>
      <w:r w:rsidRPr="00951B34">
        <w:rPr>
          <w:rFonts w:ascii="Times New Roman" w:hAnsi="Times New Roman"/>
          <w:sz w:val="24"/>
          <w:szCs w:val="24"/>
        </w:rPr>
        <w:t xml:space="preserve">  </w:t>
      </w:r>
    </w:p>
    <w:p w14:paraId="4EC73B17" w14:textId="77777777" w:rsidR="00951B34" w:rsidRDefault="00951B34" w:rsidP="00951B34">
      <w:pPr>
        <w:spacing w:after="0" w:line="240" w:lineRule="auto"/>
        <w:rPr>
          <w:rFonts w:ascii="Times New Roman" w:hAnsi="Times New Roman"/>
          <w:sz w:val="24"/>
          <w:szCs w:val="24"/>
        </w:rPr>
      </w:pPr>
    </w:p>
    <w:p w14:paraId="4C32B773" w14:textId="77777777" w:rsidR="00951B34" w:rsidRP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We also note that the Geomagnetic Disturbance Operating Procedure Template for generator operators developed by the NERC GMD Task Force, which the Foundation’s comments reference, conditions some of its suggested actions on the generator operator having adequate monitoring systems.</w:t>
      </w:r>
      <w:r w:rsidRPr="00951B34">
        <w:rPr>
          <w:rFonts w:ascii="Times New Roman" w:hAnsi="Times New Roman"/>
          <w:b/>
          <w:sz w:val="24"/>
          <w:szCs w:val="24"/>
          <w:vertAlign w:val="superscript"/>
        </w:rPr>
        <w:footnoteReference w:id="38"/>
      </w:r>
      <w:r w:rsidRPr="00951B34">
        <w:rPr>
          <w:rFonts w:ascii="Times New Roman" w:hAnsi="Times New Roman"/>
          <w:sz w:val="24"/>
          <w:szCs w:val="24"/>
        </w:rPr>
        <w:t xml:space="preserve">  In sum, we are not persuaded by Foundation’s comments and, rather, determine that there is adequate justification in the record for not including balancing authorities and generator operators in the applicability section of Reliability Standard EOP-010-1.</w:t>
      </w:r>
      <w:r w:rsidRPr="00951B34">
        <w:rPr>
          <w:rFonts w:ascii="Times New Roman" w:hAnsi="Times New Roman"/>
          <w:b/>
          <w:sz w:val="24"/>
          <w:szCs w:val="24"/>
          <w:vertAlign w:val="superscript"/>
        </w:rPr>
        <w:footnoteReference w:id="39"/>
      </w:r>
    </w:p>
    <w:p w14:paraId="50B4854D" w14:textId="77777777" w:rsidR="00951B34" w:rsidRDefault="00951B34" w:rsidP="00951B34">
      <w:pPr>
        <w:tabs>
          <w:tab w:val="num" w:pos="1440"/>
        </w:tabs>
        <w:spacing w:after="0" w:line="240" w:lineRule="auto"/>
        <w:rPr>
          <w:rFonts w:ascii="Times New Roman" w:hAnsi="Times New Roman"/>
          <w:b/>
          <w:bCs/>
          <w:iCs/>
          <w:sz w:val="24"/>
          <w:szCs w:val="24"/>
          <w:u w:val="single"/>
        </w:rPr>
      </w:pPr>
    </w:p>
    <w:p w14:paraId="386AC299" w14:textId="77777777" w:rsidR="00951B34" w:rsidRPr="00951B34" w:rsidRDefault="00951B34" w:rsidP="00951B34">
      <w:pPr>
        <w:tabs>
          <w:tab w:val="num" w:pos="1440"/>
        </w:tabs>
        <w:spacing w:after="0" w:line="240" w:lineRule="auto"/>
        <w:rPr>
          <w:rFonts w:ascii="Times New Roman" w:hAnsi="Times New Roman"/>
          <w:b/>
          <w:bCs/>
          <w:iCs/>
          <w:sz w:val="24"/>
          <w:szCs w:val="24"/>
          <w:u w:val="single"/>
        </w:rPr>
      </w:pPr>
      <w:r w:rsidRPr="00951B34">
        <w:rPr>
          <w:rFonts w:ascii="Times New Roman" w:hAnsi="Times New Roman"/>
          <w:b/>
          <w:bCs/>
          <w:iCs/>
          <w:sz w:val="24"/>
          <w:szCs w:val="24"/>
          <w:u w:val="single"/>
        </w:rPr>
        <w:t>Effectiveness of GMD Operational Procedures</w:t>
      </w:r>
    </w:p>
    <w:p w14:paraId="72B84970"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ab/>
      </w:r>
    </w:p>
    <w:p w14:paraId="22E63012" w14:textId="77777777" w:rsidR="00951B34" w:rsidRPr="00951B34" w:rsidRDefault="00951B34" w:rsidP="00951B34">
      <w:pPr>
        <w:spacing w:after="0" w:line="240" w:lineRule="auto"/>
        <w:ind w:firstLine="720"/>
        <w:rPr>
          <w:rFonts w:ascii="Times New Roman" w:hAnsi="Times New Roman"/>
          <w:b/>
          <w:sz w:val="24"/>
          <w:szCs w:val="24"/>
          <w:u w:val="single"/>
        </w:rPr>
      </w:pPr>
      <w:r w:rsidRPr="00951B34">
        <w:rPr>
          <w:rFonts w:ascii="Times New Roman" w:hAnsi="Times New Roman"/>
          <w:b/>
          <w:sz w:val="24"/>
          <w:szCs w:val="24"/>
          <w:u w:val="single"/>
        </w:rPr>
        <w:t>NERC Petition</w:t>
      </w:r>
    </w:p>
    <w:p w14:paraId="73CEE90B"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NERC states, quoting Order No. 779, that “[o]</w:t>
      </w:r>
      <w:proofErr w:type="spellStart"/>
      <w:r w:rsidRPr="00951B34">
        <w:rPr>
          <w:rFonts w:ascii="Times New Roman" w:hAnsi="Times New Roman"/>
          <w:sz w:val="24"/>
          <w:szCs w:val="24"/>
        </w:rPr>
        <w:t>perational</w:t>
      </w:r>
      <w:proofErr w:type="spellEnd"/>
      <w:r w:rsidRPr="00951B34">
        <w:rPr>
          <w:rFonts w:ascii="Times New Roman" w:hAnsi="Times New Roman"/>
          <w:sz w:val="24"/>
          <w:szCs w:val="24"/>
        </w:rPr>
        <w:t xml:space="preserve"> procedures may help alleviate abnormal system conditions due to transformer absorption of reactive power during GMD events, helping to stabilize system voltage swings, and may potentially isolate some equipment from being damaged or </w:t>
      </w:r>
      <w:proofErr w:type="spellStart"/>
      <w:r w:rsidRPr="00951B34">
        <w:rPr>
          <w:rFonts w:ascii="Times New Roman" w:hAnsi="Times New Roman"/>
          <w:sz w:val="24"/>
          <w:szCs w:val="24"/>
        </w:rPr>
        <w:t>misoperated</w:t>
      </w:r>
      <w:proofErr w:type="spellEnd"/>
      <w:r w:rsidRPr="00951B34">
        <w:rPr>
          <w:rFonts w:ascii="Times New Roman" w:hAnsi="Times New Roman"/>
          <w:sz w:val="24"/>
          <w:szCs w:val="24"/>
        </w:rPr>
        <w:t>.”</w:t>
      </w:r>
      <w:r w:rsidRPr="00951B34">
        <w:rPr>
          <w:rFonts w:ascii="Times New Roman" w:hAnsi="Times New Roman"/>
          <w:b/>
          <w:sz w:val="24"/>
          <w:szCs w:val="24"/>
          <w:vertAlign w:val="superscript"/>
        </w:rPr>
        <w:footnoteReference w:id="40"/>
      </w:r>
      <w:r w:rsidRPr="00951B34">
        <w:rPr>
          <w:rFonts w:ascii="Times New Roman" w:hAnsi="Times New Roman"/>
          <w:sz w:val="24"/>
          <w:szCs w:val="24"/>
        </w:rPr>
        <w:t xml:space="preserve">  NERC explains that Reliability Standard EOP-010-1 “is an important first step in addressing the issue of GMDs and can be implemented relatively quickly.  While responsible entities will develop and implement Operational Procedures or Operational Processes, NERC will continue to support those efforts through the GMD Task Force, for example, by identifying and sharing Operating Plans, Processes, and Procedures found to be the most effective.”</w:t>
      </w:r>
      <w:r w:rsidRPr="00951B34">
        <w:rPr>
          <w:rFonts w:ascii="Times New Roman" w:hAnsi="Times New Roman"/>
          <w:b/>
          <w:sz w:val="24"/>
          <w:szCs w:val="24"/>
          <w:vertAlign w:val="superscript"/>
        </w:rPr>
        <w:footnoteReference w:id="41"/>
      </w:r>
    </w:p>
    <w:p w14:paraId="63CF4846" w14:textId="77777777" w:rsidR="00951B34" w:rsidRPr="00951B34" w:rsidRDefault="00951B34" w:rsidP="00951B34">
      <w:pPr>
        <w:spacing w:after="0" w:line="240" w:lineRule="auto"/>
        <w:rPr>
          <w:rFonts w:ascii="Times New Roman" w:hAnsi="Times New Roman"/>
          <w:sz w:val="24"/>
          <w:szCs w:val="24"/>
        </w:rPr>
      </w:pPr>
    </w:p>
    <w:p w14:paraId="22149A3F" w14:textId="77777777" w:rsidR="00951B34" w:rsidRPr="00951B34" w:rsidRDefault="00951B34" w:rsidP="00951B34">
      <w:pPr>
        <w:spacing w:after="0" w:line="240" w:lineRule="auto"/>
        <w:rPr>
          <w:rFonts w:ascii="Times New Roman" w:hAnsi="Times New Roman"/>
          <w:b/>
          <w:sz w:val="24"/>
          <w:szCs w:val="24"/>
          <w:u w:val="single"/>
        </w:rPr>
      </w:pPr>
      <w:r w:rsidRPr="00951B34">
        <w:rPr>
          <w:rFonts w:ascii="Times New Roman" w:hAnsi="Times New Roman"/>
          <w:sz w:val="24"/>
          <w:szCs w:val="24"/>
        </w:rPr>
        <w:tab/>
      </w:r>
      <w:r w:rsidRPr="00951B34">
        <w:rPr>
          <w:rFonts w:ascii="Times New Roman" w:hAnsi="Times New Roman"/>
          <w:b/>
          <w:sz w:val="24"/>
          <w:szCs w:val="24"/>
          <w:u w:val="single"/>
        </w:rPr>
        <w:t>NOPR</w:t>
      </w:r>
    </w:p>
    <w:p w14:paraId="0B6E1D2F"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The NOPR stated that Reliability Standard EOP-010-1 satisfies the directive in Order No. 779 that NERC submit one or more Reliability Standards that require owners and operators of the Bulk-Power System to develop and implement operational procedures to mitigate the effects of GMDs consistent with the reliable operation of the Bulk-Power System.  The NOPR also stated that operational procedures, while not a complete solution, constitute an important first step to addressing the GMD reliability gap.</w:t>
      </w:r>
    </w:p>
    <w:p w14:paraId="1A6253B1" w14:textId="77777777" w:rsidR="00951B34" w:rsidRPr="00951B34" w:rsidRDefault="00951B34" w:rsidP="00951B34">
      <w:pPr>
        <w:spacing w:after="0" w:line="240" w:lineRule="auto"/>
        <w:rPr>
          <w:rFonts w:ascii="Times New Roman" w:hAnsi="Times New Roman"/>
          <w:sz w:val="24"/>
          <w:szCs w:val="24"/>
        </w:rPr>
      </w:pPr>
    </w:p>
    <w:p w14:paraId="493168F2" w14:textId="77777777" w:rsidR="00951B34" w:rsidRPr="00951B34" w:rsidRDefault="00951B34" w:rsidP="00951B34">
      <w:pPr>
        <w:spacing w:after="0" w:line="240" w:lineRule="auto"/>
        <w:rPr>
          <w:rFonts w:ascii="Times New Roman" w:hAnsi="Times New Roman"/>
          <w:b/>
          <w:sz w:val="24"/>
          <w:szCs w:val="24"/>
          <w:u w:val="single"/>
        </w:rPr>
      </w:pPr>
      <w:r w:rsidRPr="00951B34">
        <w:rPr>
          <w:rFonts w:ascii="Times New Roman" w:hAnsi="Times New Roman"/>
          <w:sz w:val="24"/>
          <w:szCs w:val="24"/>
        </w:rPr>
        <w:tab/>
      </w:r>
      <w:r w:rsidRPr="00951B34">
        <w:rPr>
          <w:rFonts w:ascii="Times New Roman" w:hAnsi="Times New Roman"/>
          <w:b/>
          <w:sz w:val="24"/>
          <w:szCs w:val="24"/>
          <w:u w:val="single"/>
        </w:rPr>
        <w:t>Comments</w:t>
      </w:r>
    </w:p>
    <w:p w14:paraId="0793D5DF" w14:textId="77777777" w:rsidR="00951B34" w:rsidRDefault="00951B34" w:rsidP="00951B34">
      <w:pPr>
        <w:spacing w:after="0" w:line="240" w:lineRule="auto"/>
        <w:rPr>
          <w:rFonts w:ascii="Times New Roman" w:hAnsi="Times New Roman"/>
          <w:sz w:val="24"/>
          <w:szCs w:val="24"/>
        </w:rPr>
      </w:pP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and </w:t>
      </w:r>
      <w:proofErr w:type="spellStart"/>
      <w:r w:rsidRPr="00951B34">
        <w:rPr>
          <w:rFonts w:ascii="Times New Roman" w:hAnsi="Times New Roman"/>
          <w:sz w:val="24"/>
          <w:szCs w:val="24"/>
        </w:rPr>
        <w:t>Orquin</w:t>
      </w:r>
      <w:proofErr w:type="spellEnd"/>
      <w:r w:rsidRPr="00951B34">
        <w:rPr>
          <w:rFonts w:ascii="Times New Roman" w:hAnsi="Times New Roman"/>
          <w:sz w:val="24"/>
          <w:szCs w:val="24"/>
        </w:rPr>
        <w:t xml:space="preserve"> state that GMD operational procedures depend on the limited ability to predict GMD events.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states that space weather information is the “default trigger” for implementing operating procedures under Reliability Standard EOP-010-1 but that space weather forecasts have a high error rate.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contends that relying on space weather forecasts alone will result in false alarms or missed GMD event forecasts.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maintains that real-time or near real-time monitoring data should be used in conjunction with space weather forecasts to trigger GMD operational procedures.</w:t>
      </w:r>
    </w:p>
    <w:p w14:paraId="4D808A34" w14:textId="77777777" w:rsidR="00951B34" w:rsidRPr="00951B34" w:rsidRDefault="00951B34" w:rsidP="00951B34">
      <w:pPr>
        <w:spacing w:after="0" w:line="240" w:lineRule="auto"/>
        <w:rPr>
          <w:rFonts w:ascii="Times New Roman" w:hAnsi="Times New Roman"/>
          <w:sz w:val="24"/>
          <w:szCs w:val="24"/>
        </w:rPr>
      </w:pPr>
    </w:p>
    <w:p w14:paraId="5742BD96"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Baker states that operational procedures will be ineffective because:  (1) grid operators will be reluctant to take action during a GMD event (e.g., shed load); (2) the warning period for solar storms does not allow enough time for grid operators to take action; (3) grid operators will not have enough situational awareness to know how to take action during a GMD event; (4) there is no capacity to address GMD events on a national scale; (5) operational procedures have been shown to be inadequate in other contexts; (6) equipment failure may undermine the grid operators’ ability to respond; (7) GMD events will disrupt communication networks used by grid operators; (8) the potential effects of a GMD event on the Bulk-Power System are too complex to anticipate; and (9) Regional Transmission Organizations and Independent System Operators do not have the authority to shut down the grid in neighboring Regions.  Foundation states that grid operators will have to act blindly during a GMD event because Reliability Standard EOP-010-1 does not require GIC monitoring or mandatory sharing of GIC monitoring data.  Foundation also states that Reliability Standard EOP-010-1 is ineffective because it does not require “quantified contingency planning.”  </w:t>
      </w:r>
      <w:proofErr w:type="spellStart"/>
      <w:r w:rsidRPr="00951B34">
        <w:rPr>
          <w:rFonts w:ascii="Times New Roman" w:hAnsi="Times New Roman"/>
          <w:sz w:val="24"/>
          <w:szCs w:val="24"/>
        </w:rPr>
        <w:t>Orquin</w:t>
      </w:r>
      <w:proofErr w:type="spellEnd"/>
      <w:r w:rsidRPr="00951B34">
        <w:rPr>
          <w:rFonts w:ascii="Times New Roman" w:hAnsi="Times New Roman"/>
          <w:sz w:val="24"/>
          <w:szCs w:val="24"/>
        </w:rPr>
        <w:t xml:space="preserve"> maintains that operational procedures are of limited value and recommends using monitoring equipment and blocking devices at least as a back-up measure.  </w:t>
      </w:r>
    </w:p>
    <w:p w14:paraId="36701562" w14:textId="77777777" w:rsidR="00951B34" w:rsidRPr="00951B34" w:rsidRDefault="00951B34" w:rsidP="00951B34">
      <w:pPr>
        <w:spacing w:after="0" w:line="240" w:lineRule="auto"/>
        <w:rPr>
          <w:rFonts w:ascii="Times New Roman" w:hAnsi="Times New Roman"/>
          <w:sz w:val="24"/>
          <w:szCs w:val="24"/>
        </w:rPr>
      </w:pPr>
    </w:p>
    <w:p w14:paraId="04F12E0B" w14:textId="77777777" w:rsidR="00951B34" w:rsidRPr="00951B34" w:rsidRDefault="00951B34" w:rsidP="00951B34">
      <w:pPr>
        <w:spacing w:after="0" w:line="240" w:lineRule="auto"/>
        <w:rPr>
          <w:rFonts w:ascii="Times New Roman" w:hAnsi="Times New Roman"/>
          <w:b/>
          <w:sz w:val="24"/>
          <w:szCs w:val="24"/>
          <w:u w:val="single"/>
        </w:rPr>
      </w:pPr>
      <w:r w:rsidRPr="00951B34">
        <w:rPr>
          <w:rFonts w:ascii="Times New Roman" w:hAnsi="Times New Roman"/>
          <w:sz w:val="24"/>
          <w:szCs w:val="24"/>
        </w:rPr>
        <w:tab/>
      </w:r>
      <w:r w:rsidRPr="00951B34">
        <w:rPr>
          <w:rFonts w:ascii="Times New Roman" w:hAnsi="Times New Roman"/>
          <w:b/>
          <w:sz w:val="24"/>
          <w:szCs w:val="24"/>
          <w:u w:val="single"/>
        </w:rPr>
        <w:t>Commission Determination</w:t>
      </w:r>
    </w:p>
    <w:p w14:paraId="5A54A368" w14:textId="77777777" w:rsidR="00B34FF5" w:rsidRPr="00B70A89" w:rsidRDefault="00951B34" w:rsidP="00951B34">
      <w:pPr>
        <w:spacing w:after="0" w:line="240" w:lineRule="auto"/>
      </w:pPr>
      <w:r w:rsidRPr="00951B34">
        <w:rPr>
          <w:rFonts w:ascii="Times New Roman" w:hAnsi="Times New Roman"/>
          <w:sz w:val="24"/>
          <w:szCs w:val="24"/>
        </w:rPr>
        <w:t>As the Commission stated in Order No. 779, operational procedures are not a complete solution to the risks posed by a GMD event to the Bulk-Power System.  Order No. 779 directed NERC to develop Reliability Standards that require operational procedures because such Reliability Standards could be developed and implemented relatively quickly.  While we recognize the concerns in the comments of Baker and others regarding the efficacy of operational procedures, Order No. 779 weighed those concerns in ultimately directing NERC to develop operational procedures in the First Stage GMD Reliability Standards and more comprehensive protections in the Second Stage GMD Reliability Standards.</w:t>
      </w:r>
      <w:r w:rsidRPr="00951B34">
        <w:rPr>
          <w:rFonts w:ascii="Times New Roman" w:hAnsi="Times New Roman"/>
          <w:b/>
          <w:sz w:val="24"/>
          <w:szCs w:val="24"/>
          <w:vertAlign w:val="superscript"/>
        </w:rPr>
        <w:footnoteReference w:id="42"/>
      </w:r>
      <w:r w:rsidRPr="00951B34">
        <w:rPr>
          <w:rFonts w:ascii="Times New Roman" w:hAnsi="Times New Roman"/>
          <w:sz w:val="24"/>
          <w:szCs w:val="24"/>
        </w:rPr>
        <w:t xml:space="preserve">  We affirm the determination in Order No. 779 that operational procedures constitute “an important first step to addressing the GMD reliability gap because they can be implemented relatively quickly … [and] may help alleviate abnormal system conditions due to transformer absorption of reactive power during GMD events, helping to stabilize system </w:t>
      </w:r>
      <w:r w:rsidRPr="00B70A89">
        <w:rPr>
          <w:rFonts w:ascii="Times New Roman" w:hAnsi="Times New Roman"/>
          <w:sz w:val="24"/>
          <w:szCs w:val="24"/>
        </w:rPr>
        <w:t xml:space="preserve">voltage swings, and may potentially isolate some equipment from being damaged or </w:t>
      </w:r>
      <w:proofErr w:type="spellStart"/>
      <w:r w:rsidRPr="00B70A89">
        <w:rPr>
          <w:rFonts w:ascii="Times New Roman" w:hAnsi="Times New Roman"/>
          <w:sz w:val="24"/>
          <w:szCs w:val="24"/>
        </w:rPr>
        <w:t>misoperated</w:t>
      </w:r>
      <w:proofErr w:type="spellEnd"/>
      <w:r w:rsidRPr="00B70A89">
        <w:rPr>
          <w:rFonts w:ascii="Times New Roman" w:hAnsi="Times New Roman"/>
          <w:sz w:val="24"/>
          <w:szCs w:val="24"/>
        </w:rPr>
        <w:t>.”</w:t>
      </w:r>
      <w:r w:rsidRPr="00B70A89">
        <w:rPr>
          <w:rFonts w:ascii="Times New Roman" w:hAnsi="Times New Roman"/>
          <w:b/>
          <w:sz w:val="24"/>
          <w:szCs w:val="24"/>
          <w:vertAlign w:val="superscript"/>
        </w:rPr>
        <w:footnoteReference w:id="43"/>
      </w:r>
      <w:r w:rsidR="00B34FF5" w:rsidRPr="00B70A89">
        <w:t xml:space="preserve"> </w:t>
      </w:r>
    </w:p>
    <w:p w14:paraId="3461A08E" w14:textId="77777777" w:rsidR="00B34FF5" w:rsidRPr="00B70A89" w:rsidRDefault="00B34FF5" w:rsidP="00951B34">
      <w:pPr>
        <w:spacing w:after="0" w:line="240" w:lineRule="auto"/>
      </w:pPr>
    </w:p>
    <w:p w14:paraId="337FFC84" w14:textId="0EB2BED5" w:rsidR="00951B34" w:rsidRDefault="00B34FF5" w:rsidP="00951B34">
      <w:pPr>
        <w:spacing w:after="0" w:line="240" w:lineRule="auto"/>
        <w:rPr>
          <w:rFonts w:ascii="Times New Roman" w:hAnsi="Times New Roman"/>
          <w:sz w:val="24"/>
          <w:szCs w:val="24"/>
        </w:rPr>
      </w:pPr>
      <w:r w:rsidRPr="00B70A89">
        <w:rPr>
          <w:rFonts w:ascii="Times New Roman" w:hAnsi="Times New Roman"/>
          <w:sz w:val="24"/>
          <w:szCs w:val="24"/>
        </w:rPr>
        <w:t xml:space="preserve">In Order No. 779, the Commission determined that mandatory operational procedures would be a good first step to addressing the threats of GMDs.  Order No. 779 is a final agency action and was not challenged in court.  Previously, some utilities already had such procedures, although they were voluntary.  While not perfect, operational procedures can be effective in mitigating the risks posed by GMDs.  NERC’s standard drafting team reached the same conclusion in developing the Reliability Standard.  In addition, the Reliability Standard was approved during the industry vetting process as there were nearly 350 representatives from across industry and government that voted to approve the Reliability Standard.  While some non-utility commenters objected to the Reliability Standard, the Reliability Standard was supported by the vast majority of NERC’s stakeholders and by all industry commenters. </w:t>
      </w:r>
    </w:p>
    <w:p w14:paraId="50072759" w14:textId="77777777" w:rsidR="00951B34" w:rsidRPr="00951B34" w:rsidRDefault="00951B34" w:rsidP="00951B34">
      <w:pPr>
        <w:spacing w:after="0" w:line="240" w:lineRule="auto"/>
        <w:rPr>
          <w:rFonts w:ascii="Times New Roman" w:hAnsi="Times New Roman"/>
          <w:sz w:val="24"/>
          <w:szCs w:val="24"/>
        </w:rPr>
      </w:pPr>
    </w:p>
    <w:p w14:paraId="3D7D618A" w14:textId="77777777" w:rsid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 xml:space="preserve">With respect to the concerns raised by </w:t>
      </w:r>
      <w:proofErr w:type="spellStart"/>
      <w:r w:rsidRPr="00951B34">
        <w:rPr>
          <w:rFonts w:ascii="Times New Roman" w:hAnsi="Times New Roman"/>
          <w:sz w:val="24"/>
          <w:szCs w:val="24"/>
        </w:rPr>
        <w:t>SmartSense</w:t>
      </w:r>
      <w:proofErr w:type="spellEnd"/>
      <w:r w:rsidRPr="00951B34">
        <w:rPr>
          <w:rFonts w:ascii="Times New Roman" w:hAnsi="Times New Roman"/>
          <w:sz w:val="24"/>
          <w:szCs w:val="24"/>
        </w:rPr>
        <w:t xml:space="preserve"> regarding overreliance on space weather forecasts to trigger GMD operational procedures, Reliability Standard EOP-010-1 does not mandate the use of space weather to trigger the GMD operational procedures.  While Requirement R2 requires reliability coordinators to disseminate current and forecasted space weather conditions to the appropriate functional entities, Requirement R3 requires transmission operators to develop Operating Procedures or Operating Processes that, at a minimum, include “System Operator actions to be initiated based on predetermined conditions.”  Those “predetermined conditions” might include space weather information or other data, including GIC monitoring data, if available.  Requirement R3 ultimately leaves it to the transmission operator to define the predetermined conditions in its Operating Procedure or Operating Process.  Accordingly, we disagree that Reliability Standard EOP-010-1 requires that initiation of GMD operating procedures be based upon space weather only.  </w:t>
      </w:r>
    </w:p>
    <w:p w14:paraId="0E13CDAB" w14:textId="77777777" w:rsidR="00951B34" w:rsidRPr="00951B34" w:rsidRDefault="00951B34" w:rsidP="00951B34">
      <w:pPr>
        <w:spacing w:after="0" w:line="240" w:lineRule="auto"/>
        <w:rPr>
          <w:rFonts w:ascii="Times New Roman" w:hAnsi="Times New Roman"/>
          <w:sz w:val="24"/>
          <w:szCs w:val="24"/>
        </w:rPr>
      </w:pPr>
    </w:p>
    <w:p w14:paraId="28C5C721" w14:textId="77777777" w:rsidR="00951B34" w:rsidRPr="00951B34"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We are not persuaded that the First Stage GMD Reliability Standards should require all responsible entities to monitor GICs or mandate sharing GIC monitoring data with reliability coordinators, as Foundation contends.  As explained above, we directed NERC to develop only operational procedures in the First Stage GMD Reliability Standards, and to develop more comprehensive protections in the Second Stage GMD Reliability Standards.  The issue of monitoring requirements properly belongs in the Second Stage GMD Reliability Standards.</w:t>
      </w:r>
      <w:r w:rsidRPr="00951B34">
        <w:rPr>
          <w:rFonts w:ascii="Times New Roman" w:hAnsi="Times New Roman"/>
          <w:b/>
          <w:sz w:val="24"/>
          <w:szCs w:val="24"/>
          <w:vertAlign w:val="superscript"/>
        </w:rPr>
        <w:footnoteReference w:id="44"/>
      </w:r>
      <w:r w:rsidRPr="00951B34">
        <w:rPr>
          <w:rFonts w:ascii="Times New Roman" w:hAnsi="Times New Roman"/>
          <w:sz w:val="24"/>
          <w:szCs w:val="24"/>
        </w:rPr>
        <w:t xml:space="preserve">  </w:t>
      </w:r>
    </w:p>
    <w:p w14:paraId="467504B2" w14:textId="77777777" w:rsidR="00FC7738" w:rsidRPr="003E5045" w:rsidRDefault="00951B34" w:rsidP="00951B34">
      <w:pPr>
        <w:spacing w:after="0" w:line="240" w:lineRule="auto"/>
        <w:rPr>
          <w:rFonts w:ascii="Times New Roman" w:hAnsi="Times New Roman"/>
          <w:sz w:val="24"/>
          <w:szCs w:val="24"/>
        </w:rPr>
      </w:pPr>
      <w:r w:rsidRPr="00951B34">
        <w:rPr>
          <w:rFonts w:ascii="Times New Roman" w:hAnsi="Times New Roman"/>
          <w:sz w:val="24"/>
          <w:szCs w:val="24"/>
        </w:rPr>
        <w:t>In terms of real-time sharing of GIC information with reliability coordinators, we note that Reliability Standard COM-002-2, Requirement R1.1 states that “[e]ach Balancing Authority and Transmission Operator shall notify its Reliability Coordinator, and all other potentially affected Balancing Authorities and Transmission Operators through predetermined communication paths of any condition that could threaten the reliability of its area or when firm load shedding is anticipated.”  Accordingly, if a transmission operator monitors GIC levels that could threaten the reliability of its area of the Bulk-Power System, the transmission operator would have to communicate that information to its reliability coordinator.</w:t>
      </w:r>
      <w:r w:rsidRPr="00951B34">
        <w:rPr>
          <w:rFonts w:ascii="Times New Roman" w:hAnsi="Times New Roman"/>
          <w:b/>
          <w:sz w:val="24"/>
          <w:szCs w:val="24"/>
          <w:vertAlign w:val="superscript"/>
        </w:rPr>
        <w:footnoteReference w:id="45"/>
      </w:r>
      <w:r w:rsidRPr="00951B34">
        <w:rPr>
          <w:rFonts w:ascii="Times New Roman" w:hAnsi="Times New Roman"/>
          <w:sz w:val="24"/>
          <w:szCs w:val="24"/>
        </w:rPr>
        <w:t xml:space="preserve">  With respect to Foundation’s comment that Reliability Standard EOP-010-1 should include “quantified contingency planning,” Foundation does not explain the meaning of this term.  In any case, we note that Reliability Standard EOP-010-1, Requirement R3 requires applicable transmission operators to “develop, maintain, and implement a GMD Operating Procedure or Operating Process to mitigate the effects of GMD events on the reliable operation of its respective system.”</w:t>
      </w:r>
      <w:r w:rsidR="00784B2E">
        <w:rPr>
          <w:rFonts w:ascii="Times New Roman" w:hAnsi="Times New Roman"/>
          <w:sz w:val="24"/>
          <w:szCs w:val="24"/>
        </w:rPr>
        <w:t xml:space="preserve"> </w:t>
      </w:r>
    </w:p>
    <w:p w14:paraId="1241F3FD" w14:textId="77777777" w:rsidR="00EB3E6F" w:rsidRPr="003E5045" w:rsidRDefault="00EB3E6F" w:rsidP="0092596C">
      <w:pPr>
        <w:spacing w:after="0" w:line="240" w:lineRule="auto"/>
        <w:rPr>
          <w:rFonts w:ascii="Times New Roman" w:hAnsi="Times New Roman" w:cs="Times New Roman"/>
          <w:sz w:val="24"/>
          <w:szCs w:val="24"/>
        </w:rPr>
      </w:pPr>
    </w:p>
    <w:p w14:paraId="0739E3CA" w14:textId="77777777" w:rsidR="00EB3E6F"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EXPLAIN ANY PAYMENT OR GIFTS TO RESPONDENTS</w:t>
      </w:r>
    </w:p>
    <w:p w14:paraId="52E47CAC" w14:textId="77777777" w:rsidR="00D80FBD" w:rsidRPr="003E5045" w:rsidRDefault="00D80FBD" w:rsidP="0092596C">
      <w:pPr>
        <w:spacing w:after="0" w:line="240" w:lineRule="auto"/>
        <w:rPr>
          <w:rFonts w:ascii="Times New Roman" w:hAnsi="Times New Roman" w:cs="Times New Roman"/>
          <w:sz w:val="24"/>
          <w:szCs w:val="24"/>
        </w:rPr>
      </w:pPr>
    </w:p>
    <w:p w14:paraId="228FA67B" w14:textId="77777777" w:rsidR="0072126E" w:rsidRPr="003E5045" w:rsidRDefault="0072126E" w:rsidP="0092596C">
      <w:pPr>
        <w:spacing w:after="0" w:line="240" w:lineRule="auto"/>
        <w:rPr>
          <w:rFonts w:ascii="Times New Roman" w:hAnsi="Times New Roman"/>
          <w:sz w:val="24"/>
          <w:szCs w:val="24"/>
        </w:rPr>
      </w:pPr>
      <w:r w:rsidRPr="003E5045">
        <w:rPr>
          <w:rFonts w:ascii="Times New Roman" w:hAnsi="Times New Roman"/>
          <w:sz w:val="24"/>
          <w:szCs w:val="24"/>
        </w:rPr>
        <w:t>The Commission does not make payments or provide gifts for respondents related to this collection.</w:t>
      </w:r>
    </w:p>
    <w:p w14:paraId="7BF287E9" w14:textId="77777777" w:rsidR="00D80FBD" w:rsidRPr="003E5045" w:rsidRDefault="00D80FBD" w:rsidP="0092596C">
      <w:pPr>
        <w:spacing w:after="0" w:line="240" w:lineRule="auto"/>
        <w:rPr>
          <w:rFonts w:ascii="Times New Roman" w:hAnsi="Times New Roman" w:cs="Times New Roman"/>
          <w:sz w:val="24"/>
          <w:szCs w:val="24"/>
        </w:rPr>
      </w:pPr>
    </w:p>
    <w:p w14:paraId="2254DD92" w14:textId="77777777" w:rsidR="00D80FBD"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DESCRIBE ANY ASSURANCE OF CONFIDENTIALITY PROVIDED TO RESPONDENTS</w:t>
      </w:r>
    </w:p>
    <w:p w14:paraId="2CC5017B" w14:textId="77777777" w:rsidR="00182858" w:rsidRPr="003E5045" w:rsidRDefault="00182858" w:rsidP="0092596C">
      <w:pPr>
        <w:spacing w:after="0" w:line="240" w:lineRule="auto"/>
        <w:rPr>
          <w:rFonts w:ascii="Times New Roman" w:hAnsi="Times New Roman" w:cs="Times New Roman"/>
          <w:sz w:val="24"/>
          <w:szCs w:val="24"/>
        </w:rPr>
      </w:pPr>
    </w:p>
    <w:p w14:paraId="1CD6A48D" w14:textId="77777777" w:rsidR="00D80FBD" w:rsidRPr="003E5045" w:rsidRDefault="00B33F06"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Reliability Standard EOP-010-1 does not require any information or data to be submitted to FERC.  FERC regulations at 18 CFR 388.112 do allow entities submitting information to FERC to request privileged treatment of such information. </w:t>
      </w:r>
      <w:r w:rsidR="004552E9" w:rsidRPr="003E5045">
        <w:rPr>
          <w:rFonts w:ascii="Times New Roman" w:hAnsi="Times New Roman" w:cs="Times New Roman"/>
          <w:sz w:val="24"/>
          <w:szCs w:val="24"/>
        </w:rPr>
        <w:t>There are no specific assurances of confidentiality mentioned to respondents</w:t>
      </w:r>
      <w:r>
        <w:rPr>
          <w:rFonts w:ascii="Times New Roman" w:hAnsi="Times New Roman" w:cs="Times New Roman"/>
          <w:sz w:val="24"/>
          <w:szCs w:val="24"/>
        </w:rPr>
        <w:t xml:space="preserve"> in the Reliability Standard</w:t>
      </w:r>
      <w:r w:rsidR="004552E9" w:rsidRPr="003E5045">
        <w:rPr>
          <w:rFonts w:ascii="Times New Roman" w:hAnsi="Times New Roman" w:cs="Times New Roman"/>
          <w:sz w:val="24"/>
          <w:szCs w:val="24"/>
        </w:rPr>
        <w:t>.</w:t>
      </w:r>
    </w:p>
    <w:p w14:paraId="71737908" w14:textId="77777777" w:rsidR="00D80FBD" w:rsidRPr="003E5045" w:rsidRDefault="00D80FBD" w:rsidP="0092596C">
      <w:pPr>
        <w:spacing w:after="0" w:line="240" w:lineRule="auto"/>
        <w:rPr>
          <w:rFonts w:ascii="Times New Roman" w:hAnsi="Times New Roman" w:cs="Times New Roman"/>
          <w:sz w:val="24"/>
          <w:szCs w:val="24"/>
        </w:rPr>
      </w:pPr>
    </w:p>
    <w:p w14:paraId="75F71081" w14:textId="77777777" w:rsidR="00C57895" w:rsidRPr="00C57895" w:rsidRDefault="00C57895" w:rsidP="00C57895">
      <w:pPr>
        <w:pStyle w:val="ListParagraph"/>
        <w:numPr>
          <w:ilvl w:val="0"/>
          <w:numId w:val="1"/>
        </w:numPr>
        <w:spacing w:after="0" w:line="240" w:lineRule="auto"/>
        <w:ind w:left="360"/>
        <w:rPr>
          <w:rFonts w:ascii="Times New Roman" w:hAnsi="Times New Roman" w:cs="Times New Roman"/>
          <w:b/>
          <w:sz w:val="24"/>
          <w:szCs w:val="24"/>
        </w:rPr>
      </w:pPr>
      <w:r w:rsidRPr="00C57895">
        <w:rPr>
          <w:rFonts w:ascii="Times New Roman" w:hAnsi="Times New Roman" w:cs="Times New Roman"/>
          <w:b/>
          <w:sz w:val="26"/>
          <w:szCs w:val="26"/>
        </w:rPr>
        <w:t xml:space="preserve">PROVIDE ADDITIONAL JUSTIFICATION FOR ANY QUESTIONS OF A SENSITIVE NATURE, SUCH AS SEXUAL BEHAVIOR AND ATTITUDES, RELIGIOUS BELIEFS, AND OTHER MATTERS THAT ARE COMMONLY CONSIDERED PRIVATE. </w:t>
      </w:r>
    </w:p>
    <w:p w14:paraId="22411495" w14:textId="77777777" w:rsidR="00C57895" w:rsidRPr="00C57895" w:rsidRDefault="00C57895" w:rsidP="00C57895">
      <w:pPr>
        <w:spacing w:after="0" w:line="240" w:lineRule="auto"/>
        <w:rPr>
          <w:rFonts w:ascii="Times New Roman" w:hAnsi="Times New Roman" w:cs="Times New Roman"/>
          <w:b/>
          <w:sz w:val="24"/>
          <w:szCs w:val="24"/>
        </w:rPr>
      </w:pPr>
    </w:p>
    <w:p w14:paraId="35BF6B60" w14:textId="77777777" w:rsidR="00C57895" w:rsidRPr="00C57895" w:rsidRDefault="00C57895" w:rsidP="00C57895">
      <w:pPr>
        <w:spacing w:after="0" w:line="240" w:lineRule="auto"/>
        <w:rPr>
          <w:rFonts w:ascii="Times New Roman" w:hAnsi="Times New Roman" w:cs="Times New Roman"/>
          <w:sz w:val="24"/>
          <w:szCs w:val="24"/>
        </w:rPr>
      </w:pPr>
      <w:r w:rsidRPr="00C57895">
        <w:rPr>
          <w:rFonts w:ascii="Times New Roman" w:hAnsi="Times New Roman" w:cs="Times New Roman"/>
          <w:sz w:val="26"/>
          <w:szCs w:val="26"/>
        </w:rPr>
        <w:t>This collection does not contain any questions of a sensitive nature.</w:t>
      </w:r>
    </w:p>
    <w:p w14:paraId="0B871426" w14:textId="77777777" w:rsidR="00D80FBD" w:rsidRPr="003E5045" w:rsidRDefault="00D80FBD" w:rsidP="0092596C">
      <w:pPr>
        <w:spacing w:after="0" w:line="240" w:lineRule="auto"/>
        <w:rPr>
          <w:rFonts w:ascii="Times New Roman" w:hAnsi="Times New Roman" w:cs="Times New Roman"/>
          <w:sz w:val="24"/>
          <w:szCs w:val="24"/>
        </w:rPr>
      </w:pPr>
    </w:p>
    <w:p w14:paraId="581CBA37" w14:textId="77777777" w:rsidR="00D80FBD" w:rsidRPr="003E5045"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ESTIMATED BURDEN OF COLLECTION OF INFORMATION</w:t>
      </w:r>
    </w:p>
    <w:p w14:paraId="6120A399" w14:textId="77777777" w:rsidR="00A4336A" w:rsidRPr="003E5045" w:rsidRDefault="00A4336A" w:rsidP="0092596C">
      <w:pPr>
        <w:spacing w:after="0" w:line="240" w:lineRule="auto"/>
        <w:rPr>
          <w:rFonts w:ascii="Times New Roman" w:hAnsi="Times New Roman" w:cs="Times New Roman"/>
          <w:sz w:val="24"/>
          <w:szCs w:val="24"/>
        </w:rPr>
      </w:pPr>
    </w:p>
    <w:p w14:paraId="3C3119B2" w14:textId="77777777" w:rsidR="00AB18E0" w:rsidRPr="003E5045" w:rsidRDefault="00B62DC2" w:rsidP="00AB18E0">
      <w:pPr>
        <w:autoSpaceDE w:val="0"/>
        <w:autoSpaceDN w:val="0"/>
        <w:adjustRightInd w:val="0"/>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Reliability Standard </w:t>
      </w:r>
      <w:r w:rsidR="00AB18E0" w:rsidRPr="003E5045">
        <w:rPr>
          <w:rFonts w:ascii="Times New Roman" w:hAnsi="Times New Roman" w:cs="Times New Roman"/>
          <w:sz w:val="24"/>
          <w:szCs w:val="24"/>
        </w:rPr>
        <w:t>EO</w:t>
      </w:r>
      <w:r w:rsidR="00A808EC">
        <w:rPr>
          <w:rFonts w:ascii="Times New Roman" w:hAnsi="Times New Roman" w:cs="Times New Roman"/>
          <w:sz w:val="24"/>
          <w:szCs w:val="24"/>
        </w:rPr>
        <w:t>P</w:t>
      </w:r>
      <w:r w:rsidRPr="003E5045">
        <w:rPr>
          <w:rFonts w:ascii="Times New Roman" w:hAnsi="Times New Roman" w:cs="Times New Roman"/>
          <w:sz w:val="24"/>
          <w:szCs w:val="24"/>
        </w:rPr>
        <w:t>-0</w:t>
      </w:r>
      <w:r w:rsidR="00AB18E0" w:rsidRPr="003E5045">
        <w:rPr>
          <w:rFonts w:ascii="Times New Roman" w:hAnsi="Times New Roman" w:cs="Times New Roman"/>
          <w:sz w:val="24"/>
          <w:szCs w:val="24"/>
        </w:rPr>
        <w:t>10</w:t>
      </w:r>
      <w:r w:rsidRPr="003E5045">
        <w:rPr>
          <w:rFonts w:ascii="Times New Roman" w:hAnsi="Times New Roman" w:cs="Times New Roman"/>
          <w:sz w:val="24"/>
          <w:szCs w:val="24"/>
        </w:rPr>
        <w:t>-</w:t>
      </w:r>
      <w:r w:rsidR="00AB18E0" w:rsidRPr="003E5045">
        <w:rPr>
          <w:rFonts w:ascii="Times New Roman" w:hAnsi="Times New Roman" w:cs="Times New Roman"/>
          <w:sz w:val="24"/>
          <w:szCs w:val="24"/>
        </w:rPr>
        <w:t>1</w:t>
      </w:r>
      <w:r w:rsidRPr="003E5045">
        <w:rPr>
          <w:rFonts w:ascii="Times New Roman" w:hAnsi="Times New Roman" w:cs="Times New Roman"/>
          <w:sz w:val="24"/>
          <w:szCs w:val="24"/>
        </w:rPr>
        <w:t xml:space="preserve"> includes specific requirements </w:t>
      </w:r>
      <w:r w:rsidR="00AB18E0" w:rsidRPr="003E5045">
        <w:rPr>
          <w:rFonts w:ascii="Times New Roman" w:hAnsi="Times New Roman" w:cs="Times New Roman"/>
          <w:sz w:val="24"/>
          <w:szCs w:val="24"/>
        </w:rPr>
        <w:t>for</w:t>
      </w:r>
      <w:r w:rsidR="00A808EC">
        <w:rPr>
          <w:rFonts w:ascii="Times New Roman" w:hAnsi="Times New Roman" w:cs="Times New Roman"/>
          <w:sz w:val="24"/>
          <w:szCs w:val="24"/>
        </w:rPr>
        <w:t xml:space="preserve"> certain</w:t>
      </w:r>
      <w:r w:rsidR="00AB18E0" w:rsidRPr="003E5045">
        <w:rPr>
          <w:rFonts w:ascii="Times New Roman" w:hAnsi="Times New Roman" w:cs="Times New Roman"/>
          <w:sz w:val="24"/>
          <w:szCs w:val="24"/>
        </w:rPr>
        <w:t xml:space="preserve"> transmission operators and reliability coordinators to develop, maintain, and implement a GMD Operating Procedure or Operating Process to mitigate the effects of GMD events on the reliable operation of its respective system.  Requirement</w:t>
      </w:r>
      <w:r w:rsidR="00A808EC">
        <w:rPr>
          <w:rFonts w:ascii="Times New Roman" w:hAnsi="Times New Roman" w:cs="Times New Roman"/>
          <w:sz w:val="24"/>
          <w:szCs w:val="24"/>
        </w:rPr>
        <w:t>s</w:t>
      </w:r>
      <w:r w:rsidR="00AB18E0" w:rsidRPr="003E5045">
        <w:rPr>
          <w:rFonts w:ascii="Times New Roman" w:hAnsi="Times New Roman" w:cs="Times New Roman"/>
          <w:sz w:val="24"/>
          <w:szCs w:val="24"/>
        </w:rPr>
        <w:t xml:space="preserve"> </w:t>
      </w:r>
      <w:r w:rsidR="00A808EC">
        <w:rPr>
          <w:rFonts w:ascii="Times New Roman" w:hAnsi="Times New Roman" w:cs="Times New Roman"/>
          <w:sz w:val="24"/>
          <w:szCs w:val="24"/>
        </w:rPr>
        <w:t>R</w:t>
      </w:r>
      <w:r w:rsidR="00AB18E0" w:rsidRPr="003E5045">
        <w:rPr>
          <w:rFonts w:ascii="Times New Roman" w:hAnsi="Times New Roman" w:cs="Times New Roman"/>
          <w:sz w:val="24"/>
          <w:szCs w:val="24"/>
        </w:rPr>
        <w:t>1</w:t>
      </w:r>
      <w:r w:rsidR="00A808EC">
        <w:rPr>
          <w:rFonts w:ascii="Times New Roman" w:hAnsi="Times New Roman" w:cs="Times New Roman"/>
          <w:sz w:val="24"/>
          <w:szCs w:val="24"/>
        </w:rPr>
        <w:t xml:space="preserve"> </w:t>
      </w:r>
      <w:r w:rsidR="00A808EC" w:rsidRPr="003C3532">
        <w:rPr>
          <w:rFonts w:ascii="Times New Roman" w:hAnsi="Times New Roman" w:cs="Times New Roman"/>
          <w:sz w:val="24"/>
          <w:szCs w:val="24"/>
        </w:rPr>
        <w:t>and R2</w:t>
      </w:r>
      <w:r w:rsidR="00AB18E0" w:rsidRPr="003E5045">
        <w:rPr>
          <w:rFonts w:ascii="Times New Roman" w:hAnsi="Times New Roman" w:cs="Times New Roman"/>
          <w:sz w:val="24"/>
          <w:szCs w:val="24"/>
        </w:rPr>
        <w:t xml:space="preserve"> </w:t>
      </w:r>
      <w:r w:rsidR="00A808EC">
        <w:rPr>
          <w:rFonts w:ascii="Times New Roman" w:hAnsi="Times New Roman" w:cs="Times New Roman"/>
          <w:sz w:val="24"/>
          <w:szCs w:val="24"/>
        </w:rPr>
        <w:t>include</w:t>
      </w:r>
      <w:r w:rsidR="00A808EC" w:rsidRPr="003E5045">
        <w:rPr>
          <w:rFonts w:ascii="Times New Roman" w:hAnsi="Times New Roman" w:cs="Times New Roman"/>
          <w:sz w:val="24"/>
          <w:szCs w:val="24"/>
        </w:rPr>
        <w:t xml:space="preserve"> </w:t>
      </w:r>
      <w:r w:rsidR="00AB18E0" w:rsidRPr="003E5045">
        <w:rPr>
          <w:rFonts w:ascii="Times New Roman" w:hAnsi="Times New Roman" w:cs="Times New Roman"/>
          <w:sz w:val="24"/>
          <w:szCs w:val="24"/>
        </w:rPr>
        <w:t xml:space="preserve">specific </w:t>
      </w:r>
      <w:r w:rsidR="00A808EC">
        <w:rPr>
          <w:rFonts w:ascii="Times New Roman" w:hAnsi="Times New Roman" w:cs="Times New Roman"/>
          <w:sz w:val="24"/>
          <w:szCs w:val="24"/>
        </w:rPr>
        <w:t>requirements</w:t>
      </w:r>
      <w:r w:rsidR="00AB18E0" w:rsidRPr="003E5045">
        <w:rPr>
          <w:rFonts w:ascii="Times New Roman" w:hAnsi="Times New Roman" w:cs="Times New Roman"/>
          <w:sz w:val="24"/>
          <w:szCs w:val="24"/>
        </w:rPr>
        <w:t xml:space="preserve"> for reliability coordinators and Requirement </w:t>
      </w:r>
      <w:r w:rsidR="00A808EC">
        <w:rPr>
          <w:rFonts w:ascii="Times New Roman" w:hAnsi="Times New Roman" w:cs="Times New Roman"/>
          <w:sz w:val="24"/>
          <w:szCs w:val="24"/>
        </w:rPr>
        <w:t>R</w:t>
      </w:r>
      <w:r w:rsidR="00AB18E0" w:rsidRPr="003E5045">
        <w:rPr>
          <w:rFonts w:ascii="Times New Roman" w:hAnsi="Times New Roman" w:cs="Times New Roman"/>
          <w:sz w:val="24"/>
          <w:szCs w:val="24"/>
        </w:rPr>
        <w:t xml:space="preserve">3 </w:t>
      </w:r>
      <w:r w:rsidR="00A808EC">
        <w:rPr>
          <w:rFonts w:ascii="Times New Roman" w:hAnsi="Times New Roman" w:cs="Times New Roman"/>
          <w:sz w:val="24"/>
          <w:szCs w:val="24"/>
        </w:rPr>
        <w:t>includes</w:t>
      </w:r>
      <w:r w:rsidR="00AB18E0" w:rsidRPr="003E5045">
        <w:rPr>
          <w:rFonts w:ascii="Times New Roman" w:hAnsi="Times New Roman" w:cs="Times New Roman"/>
          <w:sz w:val="24"/>
          <w:szCs w:val="24"/>
        </w:rPr>
        <w:t xml:space="preserve"> specific </w:t>
      </w:r>
      <w:r w:rsidR="00A808EC">
        <w:rPr>
          <w:rFonts w:ascii="Times New Roman" w:hAnsi="Times New Roman" w:cs="Times New Roman"/>
          <w:sz w:val="24"/>
          <w:szCs w:val="24"/>
        </w:rPr>
        <w:t>requirements</w:t>
      </w:r>
      <w:r w:rsidR="00AB18E0" w:rsidRPr="003E5045">
        <w:rPr>
          <w:rFonts w:ascii="Times New Roman" w:hAnsi="Times New Roman" w:cs="Times New Roman"/>
          <w:sz w:val="24"/>
          <w:szCs w:val="24"/>
        </w:rPr>
        <w:t xml:space="preserve"> for transmission operators.</w:t>
      </w:r>
    </w:p>
    <w:p w14:paraId="42B397D5" w14:textId="77777777" w:rsidR="001C1311" w:rsidRPr="003E5045" w:rsidRDefault="001C1311" w:rsidP="00AB18E0">
      <w:pPr>
        <w:autoSpaceDE w:val="0"/>
        <w:autoSpaceDN w:val="0"/>
        <w:adjustRightInd w:val="0"/>
        <w:spacing w:after="0" w:line="240" w:lineRule="auto"/>
        <w:rPr>
          <w:rFonts w:ascii="Times New Roman" w:hAnsi="Times New Roman" w:cs="Times New Roman"/>
          <w:sz w:val="24"/>
          <w:szCs w:val="24"/>
        </w:rPr>
      </w:pPr>
    </w:p>
    <w:p w14:paraId="7ED49BDE" w14:textId="77777777" w:rsidR="001C1311" w:rsidRPr="003E5045" w:rsidRDefault="001C1311" w:rsidP="001C1311">
      <w:pPr>
        <w:autoSpaceDE w:val="0"/>
        <w:autoSpaceDN w:val="0"/>
        <w:adjustRightInd w:val="0"/>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Commission based the number of applicable entities on the NERC compliance registry as of November 27, 2013.  According to the registry, there are 16 reliability coordinators and 183 transmission operators.</w:t>
      </w:r>
    </w:p>
    <w:p w14:paraId="3D6C9D84" w14:textId="77777777" w:rsidR="001C1311" w:rsidRPr="003E5045" w:rsidRDefault="001C1311" w:rsidP="001C1311">
      <w:pPr>
        <w:autoSpaceDE w:val="0"/>
        <w:autoSpaceDN w:val="0"/>
        <w:adjustRightInd w:val="0"/>
        <w:spacing w:after="0" w:line="240" w:lineRule="auto"/>
        <w:rPr>
          <w:rFonts w:ascii="Times New Roman" w:hAnsi="Times New Roman" w:cs="Times New Roman"/>
          <w:sz w:val="24"/>
          <w:szCs w:val="24"/>
        </w:rPr>
      </w:pPr>
    </w:p>
    <w:p w14:paraId="0AE3B330" w14:textId="77777777" w:rsidR="001C1311" w:rsidRPr="003E5045" w:rsidRDefault="00A92B54" w:rsidP="001C1311">
      <w:pPr>
        <w:autoSpaceDE w:val="0"/>
        <w:autoSpaceDN w:val="0"/>
        <w:adjustRightInd w:val="0"/>
        <w:spacing w:after="0" w:line="240" w:lineRule="auto"/>
        <w:rPr>
          <w:rFonts w:ascii="Times New Roman" w:hAnsi="Times New Roman" w:cs="Times New Roman"/>
          <w:b/>
          <w:sz w:val="24"/>
          <w:szCs w:val="24"/>
        </w:rPr>
      </w:pPr>
      <w:r w:rsidRPr="003E5045">
        <w:rPr>
          <w:rFonts w:ascii="Times New Roman" w:hAnsi="Times New Roman" w:cs="Times New Roman"/>
          <w:sz w:val="24"/>
          <w:szCs w:val="24"/>
        </w:rPr>
        <w:t>The estimates below are an annual average of how many burden hours the new requirements will take to implement</w:t>
      </w:r>
      <w:r w:rsidR="001E5901" w:rsidRPr="003E5045">
        <w:rPr>
          <w:rFonts w:ascii="Times New Roman" w:hAnsi="Times New Roman" w:cs="Times New Roman"/>
          <w:sz w:val="24"/>
          <w:szCs w:val="24"/>
        </w:rPr>
        <w:t xml:space="preserve"> in t</w:t>
      </w:r>
      <w:r w:rsidR="00601BAC" w:rsidRPr="003E5045">
        <w:rPr>
          <w:rFonts w:ascii="Times New Roman" w:hAnsi="Times New Roman" w:cs="Times New Roman"/>
          <w:sz w:val="24"/>
          <w:szCs w:val="24"/>
        </w:rPr>
        <w:t>he first year and maintain</w:t>
      </w:r>
      <w:r w:rsidRPr="003E5045">
        <w:rPr>
          <w:rFonts w:ascii="Times New Roman" w:hAnsi="Times New Roman" w:cs="Times New Roman"/>
          <w:sz w:val="24"/>
          <w:szCs w:val="24"/>
        </w:rPr>
        <w:t xml:space="preserve"> every year</w:t>
      </w:r>
      <w:r w:rsidR="00601BAC" w:rsidRPr="003E5045">
        <w:rPr>
          <w:rFonts w:ascii="Times New Roman" w:hAnsi="Times New Roman" w:cs="Times New Roman"/>
          <w:sz w:val="24"/>
          <w:szCs w:val="24"/>
        </w:rPr>
        <w:t xml:space="preserve"> thereafter</w:t>
      </w:r>
      <w:r w:rsidRPr="003E5045">
        <w:rPr>
          <w:rFonts w:ascii="Times New Roman" w:hAnsi="Times New Roman" w:cs="Times New Roman"/>
          <w:sz w:val="24"/>
          <w:szCs w:val="24"/>
        </w:rPr>
        <w:t xml:space="preserve">.  Since both requirements have entities “develop and maintain” </w:t>
      </w:r>
      <w:r w:rsidR="0097671B" w:rsidRPr="003E5045">
        <w:rPr>
          <w:rFonts w:ascii="Times New Roman" w:hAnsi="Times New Roman" w:cs="Times New Roman"/>
          <w:sz w:val="24"/>
          <w:szCs w:val="24"/>
        </w:rPr>
        <w:t xml:space="preserve">the documentation </w:t>
      </w:r>
      <w:r w:rsidRPr="003E5045">
        <w:rPr>
          <w:rFonts w:ascii="Times New Roman" w:hAnsi="Times New Roman" w:cs="Times New Roman"/>
          <w:sz w:val="24"/>
          <w:szCs w:val="24"/>
        </w:rPr>
        <w:t>there will be a burden cost every year.</w:t>
      </w:r>
      <w:r w:rsidR="00601BAC" w:rsidRPr="003E5045">
        <w:rPr>
          <w:rFonts w:ascii="Times New Roman" w:hAnsi="Times New Roman" w:cs="Times New Roman"/>
          <w:sz w:val="24"/>
          <w:szCs w:val="24"/>
        </w:rPr>
        <w:t xml:space="preserve">  The average burden </w:t>
      </w:r>
      <w:r w:rsidR="001E5901" w:rsidRPr="003E5045">
        <w:rPr>
          <w:rFonts w:ascii="Times New Roman" w:hAnsi="Times New Roman" w:cs="Times New Roman"/>
          <w:sz w:val="24"/>
          <w:szCs w:val="24"/>
        </w:rPr>
        <w:t xml:space="preserve">hours </w:t>
      </w:r>
      <w:r w:rsidR="00601BAC" w:rsidRPr="003E5045">
        <w:rPr>
          <w:rFonts w:ascii="Times New Roman" w:hAnsi="Times New Roman" w:cs="Times New Roman"/>
          <w:sz w:val="24"/>
          <w:szCs w:val="24"/>
        </w:rPr>
        <w:t>per response are based on the assumption that the documentation will require two engineers approximately one day</w:t>
      </w:r>
      <w:r w:rsidR="001E5901" w:rsidRPr="003E5045">
        <w:rPr>
          <w:rFonts w:ascii="Times New Roman" w:hAnsi="Times New Roman" w:cs="Times New Roman"/>
          <w:sz w:val="24"/>
          <w:szCs w:val="24"/>
        </w:rPr>
        <w:t xml:space="preserve"> (at 10 hours per engineer)</w:t>
      </w:r>
      <w:r w:rsidR="00601BAC" w:rsidRPr="003E5045">
        <w:rPr>
          <w:rFonts w:ascii="Times New Roman" w:hAnsi="Times New Roman" w:cs="Times New Roman"/>
          <w:sz w:val="24"/>
          <w:szCs w:val="24"/>
        </w:rPr>
        <w:t xml:space="preserve"> to develop (first year) or to review and modify (subsequent years).  </w:t>
      </w:r>
    </w:p>
    <w:p w14:paraId="5C5DF0EF" w14:textId="77777777" w:rsidR="001C1311" w:rsidRPr="003E5045" w:rsidRDefault="001C1311" w:rsidP="00AB18E0">
      <w:pPr>
        <w:autoSpaceDE w:val="0"/>
        <w:autoSpaceDN w:val="0"/>
        <w:adjustRightInd w:val="0"/>
        <w:spacing w:after="0" w:line="240" w:lineRule="auto"/>
        <w:rPr>
          <w:rFonts w:ascii="Times New Roman" w:hAnsi="Times New Roman" w:cs="Times New Roman"/>
          <w:sz w:val="24"/>
          <w:szCs w:val="24"/>
        </w:rPr>
      </w:pPr>
    </w:p>
    <w:tbl>
      <w:tblPr>
        <w:tblW w:w="4944"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283"/>
        <w:gridCol w:w="1523"/>
        <w:gridCol w:w="1683"/>
        <w:gridCol w:w="1430"/>
        <w:gridCol w:w="1177"/>
        <w:gridCol w:w="1296"/>
        <w:gridCol w:w="1116"/>
      </w:tblGrid>
      <w:tr w:rsidR="001C1311" w:rsidRPr="003E5045" w14:paraId="24C24047" w14:textId="77777777" w:rsidTr="001C1311">
        <w:trPr>
          <w:cantSplit/>
          <w:trHeight w:val="510"/>
        </w:trPr>
        <w:tc>
          <w:tcPr>
            <w:tcW w:w="5000" w:type="pct"/>
            <w:gridSpan w:val="7"/>
            <w:tcBorders>
              <w:top w:val="single" w:sz="4" w:space="0" w:color="auto"/>
            </w:tcBorders>
            <w:shd w:val="clear" w:color="auto" w:fill="D9D9D9"/>
            <w:vAlign w:val="center"/>
          </w:tcPr>
          <w:p w14:paraId="1AF0D904" w14:textId="77777777" w:rsidR="001C1311" w:rsidRPr="003E5045" w:rsidRDefault="001C1311" w:rsidP="00076203">
            <w:pPr>
              <w:spacing w:after="0" w:line="240" w:lineRule="auto"/>
              <w:rPr>
                <w:rFonts w:ascii="Times New Roman" w:hAnsi="Times New Roman" w:cs="Times New Roman"/>
                <w:b/>
                <w:sz w:val="24"/>
                <w:szCs w:val="24"/>
              </w:rPr>
            </w:pPr>
            <w:r w:rsidRPr="003E5045">
              <w:rPr>
                <w:rFonts w:ascii="Times New Roman" w:hAnsi="Times New Roman" w:cs="Times New Roman"/>
                <w:b/>
                <w:sz w:val="24"/>
                <w:szCs w:val="24"/>
              </w:rPr>
              <w:t xml:space="preserve">Burden Estimate for </w:t>
            </w:r>
            <w:r w:rsidR="00076203" w:rsidRPr="003E5045">
              <w:rPr>
                <w:rFonts w:ascii="Times New Roman" w:hAnsi="Times New Roman" w:cs="Times New Roman"/>
                <w:b/>
                <w:sz w:val="24"/>
                <w:szCs w:val="24"/>
              </w:rPr>
              <w:t>Reliability Standard EOP-010-1</w:t>
            </w:r>
            <w:r w:rsidR="00076203">
              <w:rPr>
                <w:rFonts w:ascii="Times New Roman" w:hAnsi="Times New Roman" w:cs="Times New Roman"/>
                <w:b/>
                <w:sz w:val="24"/>
                <w:szCs w:val="24"/>
              </w:rPr>
              <w:t xml:space="preserve"> Implementation</w:t>
            </w:r>
          </w:p>
        </w:tc>
      </w:tr>
      <w:tr w:rsidR="001C1311" w:rsidRPr="003E5045" w14:paraId="40EF3EBD" w14:textId="77777777" w:rsidTr="001C1311">
        <w:trPr>
          <w:trHeight w:val="510"/>
        </w:trPr>
        <w:tc>
          <w:tcPr>
            <w:tcW w:w="645" w:type="pct"/>
            <w:shd w:val="clear" w:color="auto" w:fill="D9D9D9"/>
            <w:vAlign w:val="bottom"/>
          </w:tcPr>
          <w:p w14:paraId="4B28A4C1"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sz w:val="24"/>
                <w:szCs w:val="24"/>
              </w:rPr>
              <w:t>Reliability Standard Number</w:t>
            </w:r>
          </w:p>
        </w:tc>
        <w:tc>
          <w:tcPr>
            <w:tcW w:w="756" w:type="pct"/>
            <w:shd w:val="clear" w:color="auto" w:fill="D9D9D9"/>
            <w:vAlign w:val="bottom"/>
          </w:tcPr>
          <w:p w14:paraId="71456C75"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t>Type of Respondents</w:t>
            </w:r>
          </w:p>
        </w:tc>
        <w:tc>
          <w:tcPr>
            <w:tcW w:w="779" w:type="pct"/>
            <w:shd w:val="clear" w:color="auto" w:fill="D9D9D9"/>
            <w:vAlign w:val="bottom"/>
          </w:tcPr>
          <w:p w14:paraId="0F5EB75F"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t>Number of Respondents</w:t>
            </w:r>
            <w:r w:rsidRPr="003E5045">
              <w:rPr>
                <w:rFonts w:ascii="Times New Roman" w:hAnsi="Times New Roman" w:cs="Times New Roman"/>
                <w:bCs/>
                <w:sz w:val="24"/>
                <w:szCs w:val="24"/>
                <w:vertAlign w:val="superscript"/>
              </w:rPr>
              <w:footnoteReference w:id="46"/>
            </w:r>
          </w:p>
          <w:p w14:paraId="3FAD7C85"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t>(1)</w:t>
            </w:r>
          </w:p>
        </w:tc>
        <w:tc>
          <w:tcPr>
            <w:tcW w:w="705" w:type="pct"/>
            <w:shd w:val="clear" w:color="auto" w:fill="D9D9D9"/>
            <w:vAlign w:val="bottom"/>
          </w:tcPr>
          <w:p w14:paraId="7D8EDF51"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bCs/>
                <w:sz w:val="24"/>
                <w:szCs w:val="24"/>
              </w:rPr>
              <w:t>Number of Responses per Respondent</w:t>
            </w:r>
            <w:r w:rsidRPr="003E5045">
              <w:rPr>
                <w:rFonts w:ascii="Times New Roman" w:hAnsi="Times New Roman" w:cs="Times New Roman"/>
                <w:b/>
                <w:bCs/>
                <w:sz w:val="24"/>
                <w:szCs w:val="24"/>
              </w:rPr>
              <w:br/>
              <w:t>(2)</w:t>
            </w:r>
          </w:p>
        </w:tc>
        <w:tc>
          <w:tcPr>
            <w:tcW w:w="662" w:type="pct"/>
            <w:shd w:val="clear" w:color="auto" w:fill="D9D9D9"/>
            <w:vAlign w:val="bottom"/>
          </w:tcPr>
          <w:p w14:paraId="6D1A20EE" w14:textId="77777777" w:rsidR="001C1311" w:rsidRPr="003E5045" w:rsidRDefault="001C1311" w:rsidP="001C1311">
            <w:pPr>
              <w:spacing w:after="0" w:line="240" w:lineRule="auto"/>
              <w:jc w:val="center"/>
              <w:rPr>
                <w:rFonts w:ascii="Times New Roman" w:hAnsi="Times New Roman" w:cs="Times New Roman"/>
                <w:b/>
                <w:sz w:val="24"/>
                <w:szCs w:val="24"/>
              </w:rPr>
            </w:pPr>
            <w:r w:rsidRPr="003E5045">
              <w:rPr>
                <w:rFonts w:ascii="Times New Roman" w:hAnsi="Times New Roman" w:cs="Times New Roman"/>
                <w:b/>
                <w:sz w:val="24"/>
                <w:szCs w:val="24"/>
              </w:rPr>
              <w:t>Average Burden Hours Per Response</w:t>
            </w:r>
          </w:p>
          <w:p w14:paraId="1E6E4A11" w14:textId="77777777" w:rsidR="001C1311" w:rsidRPr="003E5045" w:rsidRDefault="001C1311" w:rsidP="001C1311">
            <w:pPr>
              <w:spacing w:after="0" w:line="240" w:lineRule="auto"/>
              <w:jc w:val="center"/>
              <w:rPr>
                <w:rFonts w:ascii="Times New Roman" w:hAnsi="Times New Roman" w:cs="Times New Roman"/>
                <w:b/>
                <w:sz w:val="24"/>
                <w:szCs w:val="24"/>
              </w:rPr>
            </w:pPr>
            <w:r w:rsidRPr="003E5045">
              <w:rPr>
                <w:rFonts w:ascii="Times New Roman" w:hAnsi="Times New Roman" w:cs="Times New Roman"/>
                <w:b/>
                <w:sz w:val="24"/>
                <w:szCs w:val="24"/>
              </w:rPr>
              <w:t>(3)</w:t>
            </w:r>
          </w:p>
        </w:tc>
        <w:tc>
          <w:tcPr>
            <w:tcW w:w="660" w:type="pct"/>
            <w:shd w:val="clear" w:color="auto" w:fill="D9D9D9"/>
            <w:vAlign w:val="bottom"/>
          </w:tcPr>
          <w:p w14:paraId="081C2E8B" w14:textId="77777777" w:rsidR="001C1311" w:rsidRPr="003E5045" w:rsidRDefault="001C1311" w:rsidP="001C1311">
            <w:pPr>
              <w:spacing w:after="0" w:line="240" w:lineRule="auto"/>
              <w:jc w:val="center"/>
              <w:rPr>
                <w:rFonts w:ascii="Times New Roman" w:hAnsi="Times New Roman" w:cs="Times New Roman"/>
                <w:b/>
                <w:sz w:val="24"/>
                <w:szCs w:val="24"/>
              </w:rPr>
            </w:pPr>
            <w:r w:rsidRPr="003E5045">
              <w:rPr>
                <w:rFonts w:ascii="Times New Roman" w:hAnsi="Times New Roman" w:cs="Times New Roman"/>
                <w:b/>
                <w:sz w:val="24"/>
                <w:szCs w:val="24"/>
              </w:rPr>
              <w:t>Total Annual Burden Hours</w:t>
            </w:r>
          </w:p>
          <w:p w14:paraId="3C323F19"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sz w:val="24"/>
                <w:szCs w:val="24"/>
              </w:rPr>
              <w:t>(1)x(2)x(3)</w:t>
            </w:r>
          </w:p>
        </w:tc>
        <w:tc>
          <w:tcPr>
            <w:tcW w:w="792" w:type="pct"/>
            <w:shd w:val="clear" w:color="auto" w:fill="D9D9D9"/>
            <w:vAlign w:val="bottom"/>
          </w:tcPr>
          <w:p w14:paraId="6EAB6930" w14:textId="77777777" w:rsidR="001C1311" w:rsidRPr="003E5045" w:rsidRDefault="001C1311" w:rsidP="001C1311">
            <w:pPr>
              <w:spacing w:after="0" w:line="240" w:lineRule="auto"/>
              <w:jc w:val="center"/>
              <w:rPr>
                <w:rFonts w:ascii="Times New Roman" w:hAnsi="Times New Roman" w:cs="Times New Roman"/>
                <w:b/>
                <w:bCs/>
                <w:sz w:val="24"/>
                <w:szCs w:val="24"/>
              </w:rPr>
            </w:pPr>
            <w:r w:rsidRPr="003E5045">
              <w:rPr>
                <w:rFonts w:ascii="Times New Roman" w:hAnsi="Times New Roman" w:cs="Times New Roman"/>
                <w:b/>
                <w:sz w:val="24"/>
                <w:szCs w:val="24"/>
              </w:rPr>
              <w:t>Total Annual Cost</w:t>
            </w:r>
            <w:r w:rsidRPr="003E5045">
              <w:rPr>
                <w:rFonts w:ascii="Times New Roman" w:hAnsi="Times New Roman" w:cs="Times New Roman"/>
                <w:sz w:val="24"/>
                <w:szCs w:val="24"/>
                <w:vertAlign w:val="superscript"/>
              </w:rPr>
              <w:footnoteReference w:id="47"/>
            </w:r>
          </w:p>
        </w:tc>
      </w:tr>
      <w:tr w:rsidR="001C1311" w:rsidRPr="003E5045" w14:paraId="5B8D1F6D" w14:textId="77777777" w:rsidTr="001C1311">
        <w:trPr>
          <w:trHeight w:val="510"/>
        </w:trPr>
        <w:tc>
          <w:tcPr>
            <w:tcW w:w="645" w:type="pct"/>
            <w:shd w:val="clear" w:color="auto" w:fill="FFFFFF"/>
          </w:tcPr>
          <w:p w14:paraId="3546AC82" w14:textId="77777777" w:rsidR="001C1311" w:rsidRPr="003E5045" w:rsidRDefault="001C1311" w:rsidP="001C1311">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EOP-010-1 (R1)</w:t>
            </w:r>
          </w:p>
        </w:tc>
        <w:tc>
          <w:tcPr>
            <w:tcW w:w="756" w:type="pct"/>
            <w:shd w:val="clear" w:color="auto" w:fill="FFFFFF"/>
          </w:tcPr>
          <w:p w14:paraId="7354B484" w14:textId="77777777" w:rsidR="001C1311" w:rsidRPr="003E5045" w:rsidRDefault="001C1311" w:rsidP="001C1311">
            <w:pPr>
              <w:spacing w:after="0" w:line="240" w:lineRule="auto"/>
              <w:rPr>
                <w:rFonts w:ascii="Times New Roman" w:hAnsi="Times New Roman" w:cs="Times New Roman"/>
                <w:bCs/>
                <w:sz w:val="24"/>
                <w:szCs w:val="24"/>
              </w:rPr>
            </w:pPr>
            <w:r w:rsidRPr="003E5045">
              <w:rPr>
                <w:rFonts w:ascii="Times New Roman" w:hAnsi="Times New Roman" w:cs="Times New Roman"/>
                <w:bCs/>
                <w:sz w:val="24"/>
                <w:szCs w:val="24"/>
              </w:rPr>
              <w:t>Reliability Coordinator</w:t>
            </w:r>
          </w:p>
        </w:tc>
        <w:tc>
          <w:tcPr>
            <w:tcW w:w="779" w:type="pct"/>
            <w:shd w:val="clear" w:color="auto" w:fill="FFFFFF"/>
            <w:vAlign w:val="bottom"/>
          </w:tcPr>
          <w:p w14:paraId="139E1C20" w14:textId="77777777" w:rsidR="001C1311" w:rsidRPr="003E5045" w:rsidRDefault="001C1311" w:rsidP="001C1311">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16</w:t>
            </w:r>
          </w:p>
        </w:tc>
        <w:tc>
          <w:tcPr>
            <w:tcW w:w="705" w:type="pct"/>
            <w:shd w:val="clear" w:color="auto" w:fill="FFFFFF"/>
            <w:vAlign w:val="bottom"/>
          </w:tcPr>
          <w:p w14:paraId="33A9A7F4" w14:textId="77777777" w:rsidR="001C1311" w:rsidRPr="003E5045" w:rsidRDefault="001C1311" w:rsidP="001C1311">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w:t>
            </w:r>
          </w:p>
        </w:tc>
        <w:tc>
          <w:tcPr>
            <w:tcW w:w="662" w:type="pct"/>
            <w:shd w:val="clear" w:color="auto" w:fill="FFFFFF"/>
            <w:vAlign w:val="bottom"/>
          </w:tcPr>
          <w:p w14:paraId="0E9D1B8D"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20</w:t>
            </w:r>
          </w:p>
        </w:tc>
        <w:tc>
          <w:tcPr>
            <w:tcW w:w="660" w:type="pct"/>
            <w:shd w:val="clear" w:color="auto" w:fill="FFFFFF"/>
            <w:vAlign w:val="bottom"/>
          </w:tcPr>
          <w:p w14:paraId="3C36B6E1"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320</w:t>
            </w:r>
          </w:p>
        </w:tc>
        <w:tc>
          <w:tcPr>
            <w:tcW w:w="792" w:type="pct"/>
            <w:shd w:val="clear" w:color="auto" w:fill="FFFFFF"/>
            <w:vAlign w:val="bottom"/>
          </w:tcPr>
          <w:p w14:paraId="1A12BA98"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$19,200</w:t>
            </w:r>
            <w:r w:rsidRPr="003E5045">
              <w:rPr>
                <w:rFonts w:ascii="Times New Roman" w:hAnsi="Times New Roman" w:cs="Times New Roman"/>
                <w:sz w:val="24"/>
                <w:szCs w:val="24"/>
              </w:rPr>
              <w:br/>
              <w:t>($60/</w:t>
            </w:r>
            <w:proofErr w:type="spellStart"/>
            <w:r w:rsidRPr="003E5045">
              <w:rPr>
                <w:rFonts w:ascii="Times New Roman" w:hAnsi="Times New Roman" w:cs="Times New Roman"/>
                <w:sz w:val="24"/>
                <w:szCs w:val="24"/>
              </w:rPr>
              <w:t>hr</w:t>
            </w:r>
            <w:proofErr w:type="spellEnd"/>
            <w:r w:rsidRPr="003E5045">
              <w:rPr>
                <w:rFonts w:ascii="Times New Roman" w:hAnsi="Times New Roman" w:cs="Times New Roman"/>
                <w:sz w:val="24"/>
                <w:szCs w:val="24"/>
              </w:rPr>
              <w:t>)</w:t>
            </w:r>
          </w:p>
        </w:tc>
      </w:tr>
      <w:tr w:rsidR="001C1311" w:rsidRPr="003E5045" w14:paraId="54520890" w14:textId="77777777" w:rsidTr="001C1311">
        <w:trPr>
          <w:trHeight w:val="510"/>
        </w:trPr>
        <w:tc>
          <w:tcPr>
            <w:tcW w:w="645" w:type="pct"/>
            <w:shd w:val="clear" w:color="auto" w:fill="FFFFFF"/>
          </w:tcPr>
          <w:p w14:paraId="4FFB7A01" w14:textId="77777777" w:rsidR="001C1311" w:rsidRPr="003E5045" w:rsidRDefault="001C1311" w:rsidP="001C1311">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EOP-010-1 (R3)</w:t>
            </w:r>
          </w:p>
        </w:tc>
        <w:tc>
          <w:tcPr>
            <w:tcW w:w="756" w:type="pct"/>
            <w:shd w:val="clear" w:color="auto" w:fill="FFFFFF"/>
          </w:tcPr>
          <w:p w14:paraId="7D84574B" w14:textId="77777777" w:rsidR="001C1311" w:rsidRPr="003E5045" w:rsidRDefault="001C1311" w:rsidP="001C1311">
            <w:pPr>
              <w:spacing w:after="0" w:line="240" w:lineRule="auto"/>
              <w:rPr>
                <w:rFonts w:ascii="Times New Roman" w:hAnsi="Times New Roman" w:cs="Times New Roman"/>
                <w:bCs/>
                <w:sz w:val="24"/>
                <w:szCs w:val="24"/>
              </w:rPr>
            </w:pPr>
            <w:r w:rsidRPr="003E5045">
              <w:rPr>
                <w:rFonts w:ascii="Times New Roman" w:hAnsi="Times New Roman" w:cs="Times New Roman"/>
                <w:bCs/>
                <w:sz w:val="24"/>
                <w:szCs w:val="24"/>
              </w:rPr>
              <w:t>Transmission Operator</w:t>
            </w:r>
          </w:p>
        </w:tc>
        <w:tc>
          <w:tcPr>
            <w:tcW w:w="779" w:type="pct"/>
            <w:shd w:val="clear" w:color="auto" w:fill="FFFFFF"/>
            <w:vAlign w:val="bottom"/>
          </w:tcPr>
          <w:p w14:paraId="5915DDC4" w14:textId="77777777" w:rsidR="001C1311" w:rsidRPr="003E5045" w:rsidRDefault="001C1311" w:rsidP="001C1311">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183</w:t>
            </w:r>
          </w:p>
        </w:tc>
        <w:tc>
          <w:tcPr>
            <w:tcW w:w="705" w:type="pct"/>
            <w:shd w:val="clear" w:color="auto" w:fill="FFFFFF"/>
            <w:vAlign w:val="bottom"/>
          </w:tcPr>
          <w:p w14:paraId="36E99C6B" w14:textId="77777777" w:rsidR="001C1311" w:rsidRPr="003E5045" w:rsidRDefault="001C1311" w:rsidP="001C1311">
            <w:pPr>
              <w:spacing w:after="0" w:line="240" w:lineRule="auto"/>
              <w:jc w:val="right"/>
              <w:rPr>
                <w:rFonts w:ascii="Times New Roman" w:hAnsi="Times New Roman" w:cs="Times New Roman"/>
                <w:bCs/>
                <w:sz w:val="24"/>
                <w:szCs w:val="24"/>
              </w:rPr>
            </w:pPr>
            <w:r w:rsidRPr="003E5045">
              <w:rPr>
                <w:rFonts w:ascii="Times New Roman" w:hAnsi="Times New Roman" w:cs="Times New Roman"/>
                <w:bCs/>
                <w:sz w:val="24"/>
                <w:szCs w:val="24"/>
              </w:rPr>
              <w:t>1</w:t>
            </w:r>
          </w:p>
        </w:tc>
        <w:tc>
          <w:tcPr>
            <w:tcW w:w="662" w:type="pct"/>
            <w:shd w:val="clear" w:color="auto" w:fill="FFFFFF"/>
            <w:vAlign w:val="bottom"/>
          </w:tcPr>
          <w:p w14:paraId="3B228425"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20</w:t>
            </w:r>
          </w:p>
        </w:tc>
        <w:tc>
          <w:tcPr>
            <w:tcW w:w="660" w:type="pct"/>
            <w:shd w:val="clear" w:color="auto" w:fill="FFFFFF"/>
            <w:vAlign w:val="bottom"/>
          </w:tcPr>
          <w:p w14:paraId="36346006"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3,660</w:t>
            </w:r>
          </w:p>
        </w:tc>
        <w:tc>
          <w:tcPr>
            <w:tcW w:w="792" w:type="pct"/>
            <w:shd w:val="clear" w:color="auto" w:fill="FFFFFF"/>
            <w:vAlign w:val="bottom"/>
          </w:tcPr>
          <w:p w14:paraId="1254A531"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$219,600</w:t>
            </w:r>
            <w:r w:rsidRPr="003E5045">
              <w:rPr>
                <w:rFonts w:ascii="Times New Roman" w:hAnsi="Times New Roman" w:cs="Times New Roman"/>
                <w:sz w:val="24"/>
                <w:szCs w:val="24"/>
              </w:rPr>
              <w:br/>
              <w:t>($60/</w:t>
            </w:r>
            <w:proofErr w:type="spellStart"/>
            <w:r w:rsidRPr="003E5045">
              <w:rPr>
                <w:rFonts w:ascii="Times New Roman" w:hAnsi="Times New Roman" w:cs="Times New Roman"/>
                <w:sz w:val="24"/>
                <w:szCs w:val="24"/>
              </w:rPr>
              <w:t>hr</w:t>
            </w:r>
            <w:proofErr w:type="spellEnd"/>
            <w:r w:rsidRPr="003E5045">
              <w:rPr>
                <w:rFonts w:ascii="Times New Roman" w:hAnsi="Times New Roman" w:cs="Times New Roman"/>
                <w:sz w:val="24"/>
                <w:szCs w:val="24"/>
              </w:rPr>
              <w:t>)</w:t>
            </w:r>
          </w:p>
        </w:tc>
      </w:tr>
      <w:tr w:rsidR="001C1311" w:rsidRPr="003E5045" w14:paraId="02FC7484" w14:textId="77777777" w:rsidTr="001C1311">
        <w:trPr>
          <w:trHeight w:val="510"/>
        </w:trPr>
        <w:tc>
          <w:tcPr>
            <w:tcW w:w="645" w:type="pct"/>
          </w:tcPr>
          <w:p w14:paraId="6A1F6C41" w14:textId="77777777" w:rsidR="001C1311" w:rsidRPr="003E5045" w:rsidRDefault="001C1311" w:rsidP="00C44AE9">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TOTAL</w:t>
            </w:r>
          </w:p>
        </w:tc>
        <w:tc>
          <w:tcPr>
            <w:tcW w:w="756" w:type="pct"/>
            <w:shd w:val="clear" w:color="auto" w:fill="D9D9D9"/>
          </w:tcPr>
          <w:p w14:paraId="5288E1B0" w14:textId="77777777" w:rsidR="001C1311" w:rsidRPr="003E5045" w:rsidRDefault="001C1311" w:rsidP="00C44AE9">
            <w:pPr>
              <w:spacing w:after="0" w:line="240" w:lineRule="auto"/>
              <w:rPr>
                <w:rFonts w:ascii="Times New Roman" w:hAnsi="Times New Roman" w:cs="Times New Roman"/>
                <w:bCs/>
                <w:sz w:val="24"/>
                <w:szCs w:val="24"/>
              </w:rPr>
            </w:pPr>
          </w:p>
        </w:tc>
        <w:tc>
          <w:tcPr>
            <w:tcW w:w="2147" w:type="pct"/>
            <w:gridSpan w:val="3"/>
            <w:shd w:val="clear" w:color="auto" w:fill="D9D9D9"/>
            <w:vAlign w:val="bottom"/>
          </w:tcPr>
          <w:p w14:paraId="6847023D" w14:textId="77777777" w:rsidR="001C1311" w:rsidRPr="003E5045" w:rsidRDefault="001C1311" w:rsidP="00C44AE9">
            <w:pPr>
              <w:spacing w:after="0" w:line="240" w:lineRule="auto"/>
              <w:jc w:val="right"/>
              <w:rPr>
                <w:rFonts w:ascii="Times New Roman" w:hAnsi="Times New Roman" w:cs="Times New Roman"/>
                <w:sz w:val="24"/>
                <w:szCs w:val="24"/>
              </w:rPr>
            </w:pPr>
          </w:p>
        </w:tc>
        <w:tc>
          <w:tcPr>
            <w:tcW w:w="660" w:type="pct"/>
            <w:shd w:val="clear" w:color="auto" w:fill="FFFFFF"/>
            <w:vAlign w:val="bottom"/>
          </w:tcPr>
          <w:p w14:paraId="072DCE2F" w14:textId="77777777" w:rsidR="001C1311" w:rsidRPr="003E5045" w:rsidRDefault="001C1311" w:rsidP="00C44AE9">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3,980</w:t>
            </w:r>
          </w:p>
        </w:tc>
        <w:tc>
          <w:tcPr>
            <w:tcW w:w="792" w:type="pct"/>
            <w:shd w:val="clear" w:color="auto" w:fill="FFFFFF"/>
            <w:vAlign w:val="bottom"/>
          </w:tcPr>
          <w:p w14:paraId="034B8365" w14:textId="77777777" w:rsidR="001C1311" w:rsidRPr="003E5045" w:rsidRDefault="001C1311" w:rsidP="001C1311">
            <w:pPr>
              <w:spacing w:after="0" w:line="240" w:lineRule="auto"/>
              <w:jc w:val="right"/>
              <w:rPr>
                <w:rFonts w:ascii="Times New Roman" w:hAnsi="Times New Roman" w:cs="Times New Roman"/>
                <w:sz w:val="24"/>
                <w:szCs w:val="24"/>
              </w:rPr>
            </w:pPr>
            <w:r w:rsidRPr="003E5045">
              <w:rPr>
                <w:rFonts w:ascii="Times New Roman" w:hAnsi="Times New Roman" w:cs="Times New Roman"/>
                <w:sz w:val="24"/>
                <w:szCs w:val="24"/>
              </w:rPr>
              <w:t>$238,800</w:t>
            </w:r>
          </w:p>
        </w:tc>
      </w:tr>
    </w:tbl>
    <w:p w14:paraId="2A0E8F9F" w14:textId="77777777" w:rsidR="00B62DC2" w:rsidRPr="003E5045" w:rsidRDefault="00B62DC2" w:rsidP="00B62DC2">
      <w:pPr>
        <w:spacing w:after="0" w:line="240" w:lineRule="auto"/>
        <w:rPr>
          <w:rFonts w:ascii="Times New Roman" w:hAnsi="Times New Roman" w:cs="Times New Roman"/>
          <w:sz w:val="24"/>
          <w:szCs w:val="24"/>
        </w:rPr>
      </w:pPr>
    </w:p>
    <w:p w14:paraId="0BA8A2EC" w14:textId="77777777" w:rsidR="00D80FBD" w:rsidRDefault="003C3532" w:rsidP="0092596C">
      <w:pPr>
        <w:spacing w:after="0" w:line="240" w:lineRule="auto"/>
        <w:rPr>
          <w:rFonts w:ascii="Times New Roman" w:hAnsi="Times New Roman" w:cs="Times New Roman"/>
          <w:sz w:val="24"/>
          <w:szCs w:val="24"/>
        </w:rPr>
      </w:pPr>
      <w:r w:rsidRPr="003C3532">
        <w:rPr>
          <w:rFonts w:ascii="Times New Roman" w:hAnsi="Times New Roman" w:cs="Times New Roman"/>
          <w:sz w:val="24"/>
          <w:szCs w:val="24"/>
        </w:rPr>
        <w:t>The above chart does not include Reliability Standard EOP-010-1, Requirement R2 because, as NERC states, that requirement replaces IRO-005-3.1a, Requirement R3 and has no change in overall burden.  In addition, while our burden estimate with respect to Reliability Standard EOP-010-1, Requirement R3 assumes that all 183 transmission operators are subject to that requirement, we note that not all 183 transmission operators are likely to be subject to Requirement R3 because that requirement only applies to transmission operators with a Transmission Operator Area that includes a power transformer with a high side, wye-grounded winding with terminal voltage greater than 200 kV.</w:t>
      </w:r>
    </w:p>
    <w:p w14:paraId="5F7EF39A" w14:textId="77777777" w:rsidR="003C3532" w:rsidRPr="003E5045" w:rsidRDefault="003C3532" w:rsidP="0092596C">
      <w:pPr>
        <w:spacing w:after="0" w:line="240" w:lineRule="auto"/>
        <w:rPr>
          <w:rFonts w:ascii="Times New Roman" w:hAnsi="Times New Roman" w:cs="Times New Roman"/>
          <w:sz w:val="24"/>
          <w:szCs w:val="24"/>
        </w:rPr>
      </w:pPr>
    </w:p>
    <w:p w14:paraId="245439CE" w14:textId="77777777" w:rsidR="00D80FBD" w:rsidRPr="003E5045"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ESTIMATE OF THE TOTAL ANNUAL COST BURDEN TO RESPONDENTS</w:t>
      </w:r>
    </w:p>
    <w:p w14:paraId="4E3A6C07" w14:textId="77777777" w:rsidR="00E636D7" w:rsidRPr="003E5045" w:rsidRDefault="00E636D7" w:rsidP="0092596C">
      <w:pPr>
        <w:spacing w:after="0" w:line="240" w:lineRule="auto"/>
        <w:rPr>
          <w:rFonts w:ascii="Times New Roman" w:hAnsi="Times New Roman" w:cs="Times New Roman"/>
          <w:sz w:val="24"/>
          <w:szCs w:val="24"/>
        </w:rPr>
      </w:pPr>
    </w:p>
    <w:p w14:paraId="324F1A5E" w14:textId="21B7D10D" w:rsidR="004552E9" w:rsidRPr="003E5045" w:rsidRDefault="00C60AAE" w:rsidP="0092596C">
      <w:pPr>
        <w:spacing w:after="0" w:line="240" w:lineRule="auto"/>
        <w:rPr>
          <w:rFonts w:ascii="Times New Roman" w:hAnsi="Times New Roman"/>
          <w:sz w:val="24"/>
          <w:szCs w:val="24"/>
        </w:rPr>
      </w:pPr>
      <w:r>
        <w:rPr>
          <w:rFonts w:ascii="Times New Roman" w:hAnsi="Times New Roman"/>
          <w:sz w:val="24"/>
          <w:szCs w:val="24"/>
        </w:rPr>
        <w:t xml:space="preserve">The total annual cost burden to respondents due to this collection is estimated at $238,800 as detailed in the table above.  </w:t>
      </w:r>
      <w:r w:rsidR="004552E9" w:rsidRPr="003E5045">
        <w:rPr>
          <w:rFonts w:ascii="Times New Roman" w:hAnsi="Times New Roman"/>
          <w:sz w:val="24"/>
          <w:szCs w:val="24"/>
        </w:rPr>
        <w:t xml:space="preserve">There </w:t>
      </w:r>
      <w:proofErr w:type="gramStart"/>
      <w:r>
        <w:rPr>
          <w:rFonts w:ascii="Times New Roman" w:hAnsi="Times New Roman"/>
          <w:sz w:val="24"/>
          <w:szCs w:val="24"/>
        </w:rPr>
        <w:t>are</w:t>
      </w:r>
      <w:proofErr w:type="gramEnd"/>
      <w:r w:rsidR="004552E9" w:rsidRPr="003E5045">
        <w:rPr>
          <w:rFonts w:ascii="Times New Roman" w:hAnsi="Times New Roman"/>
          <w:sz w:val="24"/>
          <w:szCs w:val="24"/>
        </w:rPr>
        <w:t xml:space="preserve"> no start-up or other non-labor hour cost</w:t>
      </w:r>
      <w:r>
        <w:rPr>
          <w:rFonts w:ascii="Times New Roman" w:hAnsi="Times New Roman"/>
          <w:sz w:val="24"/>
          <w:szCs w:val="24"/>
        </w:rPr>
        <w:t>s</w:t>
      </w:r>
      <w:r w:rsidR="003C3532">
        <w:rPr>
          <w:rFonts w:ascii="Times New Roman" w:hAnsi="Times New Roman"/>
          <w:sz w:val="24"/>
          <w:szCs w:val="24"/>
        </w:rPr>
        <w:t xml:space="preserve"> associated with this</w:t>
      </w:r>
      <w:r w:rsidR="001C1311" w:rsidRPr="003E5045">
        <w:rPr>
          <w:rFonts w:ascii="Times New Roman" w:hAnsi="Times New Roman"/>
          <w:sz w:val="24"/>
          <w:szCs w:val="24"/>
        </w:rPr>
        <w:t xml:space="preserve"> rule</w:t>
      </w:r>
      <w:r w:rsidR="004552E9" w:rsidRPr="003E5045">
        <w:rPr>
          <w:rFonts w:ascii="Times New Roman" w:hAnsi="Times New Roman"/>
          <w:sz w:val="24"/>
          <w:szCs w:val="24"/>
        </w:rPr>
        <w:t>.</w:t>
      </w:r>
      <w:r>
        <w:rPr>
          <w:rFonts w:ascii="Times New Roman" w:hAnsi="Times New Roman"/>
          <w:sz w:val="24"/>
          <w:szCs w:val="24"/>
        </w:rPr>
        <w:t xml:space="preserve">  </w:t>
      </w:r>
      <w:r w:rsidR="004552E9" w:rsidRPr="003E5045">
        <w:rPr>
          <w:rFonts w:ascii="Times New Roman" w:hAnsi="Times New Roman"/>
          <w:sz w:val="24"/>
          <w:szCs w:val="24"/>
        </w:rPr>
        <w:t xml:space="preserve">  </w:t>
      </w:r>
    </w:p>
    <w:p w14:paraId="1FB3491D" w14:textId="77777777" w:rsidR="00E636D7" w:rsidRPr="003E5045" w:rsidRDefault="00E636D7" w:rsidP="0092596C">
      <w:pPr>
        <w:spacing w:after="0" w:line="240" w:lineRule="auto"/>
        <w:rPr>
          <w:rFonts w:ascii="Times New Roman" w:hAnsi="Times New Roman" w:cs="Times New Roman"/>
          <w:sz w:val="24"/>
          <w:szCs w:val="24"/>
        </w:rPr>
      </w:pPr>
    </w:p>
    <w:p w14:paraId="3C08A385" w14:textId="77777777" w:rsidR="00E636D7" w:rsidRPr="003E504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ESTIMATED ANNUALIZED COST TO FEDERAL GOVERNMENT</w:t>
      </w:r>
    </w:p>
    <w:p w14:paraId="3275F1D2" w14:textId="77777777" w:rsidR="00A276F5" w:rsidRPr="003E5045" w:rsidRDefault="00A276F5" w:rsidP="0092596C">
      <w:pPr>
        <w:spacing w:after="0" w:line="240" w:lineRule="auto"/>
        <w:rPr>
          <w:rFonts w:ascii="Times New Roman" w:hAnsi="Times New Roman" w:cs="Times New Roman"/>
          <w:sz w:val="24"/>
          <w:szCs w:val="24"/>
        </w:rPr>
      </w:pPr>
    </w:p>
    <w:p w14:paraId="71CACA38" w14:textId="77777777" w:rsidR="004552E9" w:rsidRPr="003E5045" w:rsidRDefault="004552E9" w:rsidP="0092596C">
      <w:pPr>
        <w:spacing w:after="0" w:line="240" w:lineRule="auto"/>
        <w:rPr>
          <w:rFonts w:ascii="Times New Roman" w:hAnsi="Times New Roman"/>
          <w:sz w:val="24"/>
          <w:szCs w:val="24"/>
        </w:rPr>
      </w:pPr>
      <w:r w:rsidRPr="003E5045">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14:paraId="0BBCCABF" w14:textId="77777777" w:rsidR="00076203" w:rsidRPr="00076203" w:rsidRDefault="00076203" w:rsidP="00076203">
      <w:pPr>
        <w:spacing w:after="0"/>
        <w:rPr>
          <w:rFonts w:ascii="Times New Roman" w:eastAsia="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76203" w:rsidRPr="00076203" w14:paraId="575027DC" w14:textId="77777777" w:rsidTr="004076DE">
        <w:tc>
          <w:tcPr>
            <w:tcW w:w="3182" w:type="dxa"/>
            <w:shd w:val="clear" w:color="auto" w:fill="CCCCCC"/>
          </w:tcPr>
          <w:p w14:paraId="64BAB35D" w14:textId="77777777" w:rsidR="00076203" w:rsidRPr="00076203" w:rsidRDefault="00076203" w:rsidP="0092617D">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FERC-</w:t>
            </w:r>
            <w:r w:rsidR="0092617D">
              <w:rPr>
                <w:rFonts w:ascii="Times New Roman" w:eastAsia="Times New Roman" w:hAnsi="Times New Roman" w:cs="Times New Roman"/>
                <w:b/>
                <w:sz w:val="24"/>
                <w:szCs w:val="24"/>
              </w:rPr>
              <w:t>725</w:t>
            </w:r>
            <w:r w:rsidR="00622DC1">
              <w:rPr>
                <w:rFonts w:ascii="Times New Roman" w:eastAsia="Times New Roman" w:hAnsi="Times New Roman" w:cs="Times New Roman"/>
                <w:b/>
                <w:sz w:val="24"/>
                <w:szCs w:val="24"/>
              </w:rPr>
              <w:t>S</w:t>
            </w:r>
          </w:p>
        </w:tc>
        <w:tc>
          <w:tcPr>
            <w:tcW w:w="3201" w:type="dxa"/>
            <w:shd w:val="clear" w:color="auto" w:fill="CCCCCC"/>
          </w:tcPr>
          <w:p w14:paraId="697FD68B" w14:textId="77777777" w:rsidR="00076203" w:rsidRPr="00076203" w:rsidRDefault="00076203" w:rsidP="00076203">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Number of Employees (FTEs)</w:t>
            </w:r>
          </w:p>
        </w:tc>
        <w:tc>
          <w:tcPr>
            <w:tcW w:w="2995" w:type="dxa"/>
            <w:shd w:val="clear" w:color="auto" w:fill="CCCCCC"/>
          </w:tcPr>
          <w:p w14:paraId="68567194" w14:textId="77777777" w:rsidR="00076203" w:rsidRPr="00076203" w:rsidRDefault="00076203" w:rsidP="00076203">
            <w:pPr>
              <w:spacing w:after="0" w:line="240" w:lineRule="auto"/>
              <w:rPr>
                <w:rFonts w:ascii="Times New Roman" w:eastAsia="Times New Roman" w:hAnsi="Times New Roman" w:cs="Times New Roman"/>
                <w:b/>
                <w:sz w:val="24"/>
                <w:szCs w:val="24"/>
              </w:rPr>
            </w:pPr>
            <w:r w:rsidRPr="00076203">
              <w:rPr>
                <w:rFonts w:ascii="Times New Roman" w:eastAsia="Times New Roman" w:hAnsi="Times New Roman" w:cs="Times New Roman"/>
                <w:b/>
                <w:sz w:val="24"/>
                <w:szCs w:val="24"/>
              </w:rPr>
              <w:t>Estimated Annual Federal Cost</w:t>
            </w:r>
          </w:p>
        </w:tc>
      </w:tr>
      <w:tr w:rsidR="00076203" w:rsidRPr="00076203" w14:paraId="3157B413" w14:textId="77777777" w:rsidTr="004076DE">
        <w:tc>
          <w:tcPr>
            <w:tcW w:w="3182" w:type="dxa"/>
          </w:tcPr>
          <w:p w14:paraId="39160EBF" w14:textId="77777777" w:rsidR="00076203" w:rsidRPr="00076203" w:rsidRDefault="00076203" w:rsidP="00076203">
            <w:pPr>
              <w:spacing w:after="0" w:line="240" w:lineRule="auto"/>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Analysis and Processing of filings</w:t>
            </w:r>
          </w:p>
        </w:tc>
        <w:tc>
          <w:tcPr>
            <w:tcW w:w="3201" w:type="dxa"/>
            <w:vAlign w:val="center"/>
          </w:tcPr>
          <w:p w14:paraId="1E40777A" w14:textId="77777777" w:rsidR="00076203" w:rsidRPr="00076203" w:rsidRDefault="00076203" w:rsidP="0007620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95" w:type="dxa"/>
            <w:vAlign w:val="center"/>
          </w:tcPr>
          <w:p w14:paraId="2A343EBD" w14:textId="77777777" w:rsidR="00076203" w:rsidRPr="00076203" w:rsidRDefault="00076203" w:rsidP="0007620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76203" w:rsidRPr="00076203" w14:paraId="4CF033F2" w14:textId="77777777" w:rsidTr="004076DE">
        <w:tc>
          <w:tcPr>
            <w:tcW w:w="3182" w:type="dxa"/>
          </w:tcPr>
          <w:p w14:paraId="0CA40776" w14:textId="77777777" w:rsidR="00076203" w:rsidRPr="00076203" w:rsidRDefault="00076203" w:rsidP="00076203">
            <w:pPr>
              <w:spacing w:after="0" w:line="240" w:lineRule="auto"/>
              <w:rPr>
                <w:rFonts w:ascii="Times New Roman" w:eastAsia="Times New Roman" w:hAnsi="Times New Roman" w:cs="Times New Roman"/>
                <w:sz w:val="24"/>
                <w:szCs w:val="24"/>
              </w:rPr>
            </w:pPr>
            <w:r w:rsidRPr="00D81467">
              <w:rPr>
                <w:rFonts w:ascii="Times New Roman" w:eastAsia="Times New Roman" w:hAnsi="Times New Roman" w:cs="Times New Roman"/>
                <w:sz w:val="24"/>
                <w:szCs w:val="24"/>
              </w:rPr>
              <w:t>Paperwork Reduction Act Administrative Cost</w:t>
            </w:r>
            <w:bookmarkStart w:id="1" w:name="_Ref389748397"/>
            <w:r w:rsidRPr="00D81467">
              <w:rPr>
                <w:rFonts w:ascii="Times New Roman" w:eastAsia="Times New Roman" w:hAnsi="Times New Roman" w:cs="Times New Roman"/>
                <w:sz w:val="24"/>
                <w:szCs w:val="24"/>
                <w:vertAlign w:val="superscript"/>
              </w:rPr>
              <w:footnoteReference w:id="48"/>
            </w:r>
            <w:bookmarkEnd w:id="1"/>
          </w:p>
        </w:tc>
        <w:tc>
          <w:tcPr>
            <w:tcW w:w="3201" w:type="dxa"/>
            <w:shd w:val="clear" w:color="auto" w:fill="D9D9D9" w:themeFill="background1" w:themeFillShade="D9"/>
            <w:vAlign w:val="center"/>
          </w:tcPr>
          <w:p w14:paraId="0BBEE315" w14:textId="77777777" w:rsidR="00076203" w:rsidRPr="00076203" w:rsidRDefault="00076203" w:rsidP="00076203">
            <w:pPr>
              <w:spacing w:after="0" w:line="240" w:lineRule="auto"/>
              <w:jc w:val="right"/>
              <w:rPr>
                <w:rFonts w:ascii="Times New Roman" w:eastAsia="Times New Roman" w:hAnsi="Times New Roman" w:cs="Times New Roman"/>
                <w:sz w:val="24"/>
                <w:szCs w:val="24"/>
              </w:rPr>
            </w:pPr>
          </w:p>
        </w:tc>
        <w:tc>
          <w:tcPr>
            <w:tcW w:w="2995" w:type="dxa"/>
            <w:vAlign w:val="center"/>
          </w:tcPr>
          <w:p w14:paraId="351A4C5C" w14:textId="77777777" w:rsidR="00076203" w:rsidRPr="00076203" w:rsidRDefault="00076203" w:rsidP="00D81467">
            <w:pPr>
              <w:spacing w:after="0" w:line="240" w:lineRule="auto"/>
              <w:jc w:val="right"/>
              <w:rPr>
                <w:rFonts w:ascii="Times New Roman" w:eastAsia="Times New Roman" w:hAnsi="Times New Roman" w:cs="Times New Roman"/>
                <w:sz w:val="24"/>
                <w:szCs w:val="24"/>
              </w:rPr>
            </w:pPr>
            <w:r w:rsidRPr="00076203">
              <w:rPr>
                <w:rFonts w:ascii="Times New Roman" w:eastAsia="Times New Roman" w:hAnsi="Times New Roman" w:cs="Times New Roman"/>
                <w:sz w:val="24"/>
                <w:szCs w:val="24"/>
              </w:rPr>
              <w:t>$</w:t>
            </w:r>
            <w:r w:rsidR="00D81467">
              <w:rPr>
                <w:rFonts w:ascii="Times New Roman" w:eastAsia="Times New Roman" w:hAnsi="Times New Roman" w:cs="Times New Roman"/>
                <w:sz w:val="24"/>
                <w:szCs w:val="24"/>
              </w:rPr>
              <w:t>5,092</w:t>
            </w:r>
          </w:p>
        </w:tc>
      </w:tr>
    </w:tbl>
    <w:p w14:paraId="3605B28A" w14:textId="77777777" w:rsidR="00A276F5" w:rsidRPr="003E5045" w:rsidRDefault="00A276F5" w:rsidP="0092596C">
      <w:pPr>
        <w:spacing w:after="0" w:line="240" w:lineRule="auto"/>
        <w:rPr>
          <w:rFonts w:ascii="Times New Roman" w:hAnsi="Times New Roman" w:cs="Times New Roman"/>
          <w:sz w:val="24"/>
          <w:szCs w:val="24"/>
        </w:rPr>
      </w:pPr>
    </w:p>
    <w:p w14:paraId="139F39FE" w14:textId="77777777" w:rsidR="00A276F5" w:rsidRPr="003E5045" w:rsidRDefault="00A276F5" w:rsidP="0092596C">
      <w:pPr>
        <w:spacing w:after="0" w:line="240" w:lineRule="auto"/>
        <w:rPr>
          <w:rFonts w:ascii="Times New Roman" w:hAnsi="Times New Roman" w:cs="Times New Roman"/>
          <w:sz w:val="24"/>
          <w:szCs w:val="24"/>
        </w:rPr>
      </w:pPr>
    </w:p>
    <w:p w14:paraId="5E80814A" w14:textId="77777777" w:rsidR="00A276F5" w:rsidRPr="003E5045"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REASONS FOR CHANGES IN BURDEN INCLUDING THE NEED FOR ANY INCREASE</w:t>
      </w:r>
    </w:p>
    <w:p w14:paraId="02ECE0AF" w14:textId="77777777" w:rsidR="00DB14A2" w:rsidRPr="003E5045" w:rsidRDefault="00DB14A2" w:rsidP="00DB14A2">
      <w:pPr>
        <w:spacing w:after="0" w:line="240" w:lineRule="auto"/>
        <w:rPr>
          <w:rFonts w:ascii="Times New Roman" w:hAnsi="Times New Roman" w:cs="Times New Roman"/>
          <w:sz w:val="24"/>
          <w:szCs w:val="24"/>
          <w:u w:val="single"/>
        </w:rPr>
      </w:pPr>
    </w:p>
    <w:p w14:paraId="54744329" w14:textId="77777777" w:rsidR="00DF739D" w:rsidRPr="003E5045" w:rsidRDefault="00DF739D"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 xml:space="preserve">The </w:t>
      </w:r>
      <w:r w:rsidR="00C44AE9" w:rsidRPr="003E5045">
        <w:rPr>
          <w:rFonts w:ascii="Times New Roman" w:hAnsi="Times New Roman" w:cs="Times New Roman"/>
          <w:sz w:val="24"/>
          <w:szCs w:val="24"/>
        </w:rPr>
        <w:t>new</w:t>
      </w:r>
      <w:r w:rsidRPr="003E5045">
        <w:rPr>
          <w:rFonts w:ascii="Times New Roman" w:hAnsi="Times New Roman" w:cs="Times New Roman"/>
          <w:sz w:val="24"/>
          <w:szCs w:val="24"/>
        </w:rPr>
        <w:t xml:space="preserve"> burden is the re</w:t>
      </w:r>
      <w:r w:rsidR="006835EB" w:rsidRPr="003E5045">
        <w:rPr>
          <w:rFonts w:ascii="Times New Roman" w:hAnsi="Times New Roman" w:cs="Times New Roman"/>
          <w:sz w:val="24"/>
          <w:szCs w:val="24"/>
        </w:rPr>
        <w:t xml:space="preserve">sult of </w:t>
      </w:r>
      <w:r w:rsidR="00C44AE9" w:rsidRPr="003E5045">
        <w:rPr>
          <w:rFonts w:ascii="Times New Roman" w:hAnsi="Times New Roman" w:cs="Times New Roman"/>
          <w:sz w:val="24"/>
          <w:szCs w:val="24"/>
        </w:rPr>
        <w:t>the requirements to develop</w:t>
      </w:r>
      <w:r w:rsidR="00537D89" w:rsidRPr="003E5045">
        <w:rPr>
          <w:rFonts w:ascii="Times New Roman" w:hAnsi="Times New Roman" w:cs="Times New Roman"/>
          <w:sz w:val="24"/>
          <w:szCs w:val="24"/>
        </w:rPr>
        <w:t xml:space="preserve"> and maintain</w:t>
      </w:r>
      <w:r w:rsidR="00C44AE9" w:rsidRPr="003E5045">
        <w:rPr>
          <w:rFonts w:ascii="Times New Roman" w:hAnsi="Times New Roman" w:cs="Times New Roman"/>
          <w:sz w:val="24"/>
          <w:szCs w:val="24"/>
        </w:rPr>
        <w:t xml:space="preserve"> GMD operating procedures and processes.  The Commission finds these requirements necessary to ensure that responsible entities have Operating Plans and Operating Procedures or Processes in place to mitigate the effects of geomagnetic disturbances on the Bulk-Power System.</w:t>
      </w:r>
      <w:r w:rsidR="008F3AD3" w:rsidRPr="003E5045">
        <w:rPr>
          <w:rFonts w:ascii="Times New Roman" w:hAnsi="Times New Roman" w:cs="Times New Roman"/>
          <w:sz w:val="24"/>
          <w:szCs w:val="24"/>
        </w:rPr>
        <w:t xml:space="preserve"> </w:t>
      </w:r>
    </w:p>
    <w:p w14:paraId="0B414E79" w14:textId="77777777" w:rsidR="00DF739D" w:rsidRPr="003E5045" w:rsidRDefault="00DF739D" w:rsidP="0092596C">
      <w:pPr>
        <w:spacing w:after="0" w:line="240" w:lineRule="auto"/>
        <w:rPr>
          <w:rFonts w:ascii="Times New Roman" w:hAnsi="Times New Roman" w:cs="Times New Roman"/>
          <w:sz w:val="24"/>
          <w:szCs w:val="24"/>
        </w:rPr>
      </w:pPr>
    </w:p>
    <w:p w14:paraId="636C2284" w14:textId="77777777" w:rsidR="0092596C" w:rsidRPr="003E5045" w:rsidRDefault="0092596C" w:rsidP="0092596C">
      <w:pPr>
        <w:spacing w:after="0" w:line="240" w:lineRule="auto"/>
        <w:rPr>
          <w:rFonts w:ascii="Times New Roman" w:hAnsi="Times New Roman" w:cs="Times New Roman"/>
          <w:sz w:val="24"/>
          <w:szCs w:val="24"/>
        </w:rPr>
      </w:pPr>
      <w:r w:rsidRPr="003E5045">
        <w:rPr>
          <w:rFonts w:ascii="Times New Roman" w:hAnsi="Times New Roman" w:cs="Times New Roman"/>
          <w:sz w:val="24"/>
          <w:szCs w:val="24"/>
        </w:rPr>
        <w:t>The following table shows burden inventory</w:t>
      </w:r>
      <w:r w:rsidR="008B0A37" w:rsidRPr="003E5045">
        <w:rPr>
          <w:rFonts w:ascii="Times New Roman" w:hAnsi="Times New Roman" w:cs="Times New Roman"/>
          <w:sz w:val="24"/>
          <w:szCs w:val="24"/>
        </w:rPr>
        <w:t xml:space="preserve"> for the new FERC-725</w:t>
      </w:r>
      <w:r w:rsidR="00C44AE9" w:rsidRPr="003E5045">
        <w:rPr>
          <w:rFonts w:ascii="Times New Roman" w:hAnsi="Times New Roman" w:cs="Times New Roman"/>
          <w:sz w:val="24"/>
          <w:szCs w:val="24"/>
        </w:rPr>
        <w:t>S</w:t>
      </w:r>
      <w:r w:rsidR="00DF56DA" w:rsidRPr="003E5045">
        <w:rPr>
          <w:rFonts w:ascii="Times New Roman" w:hAnsi="Times New Roman" w:cs="Times New Roman"/>
          <w:sz w:val="24"/>
          <w:szCs w:val="24"/>
        </w:rPr>
        <w:t xml:space="preserve"> </w:t>
      </w:r>
      <w:r w:rsidRPr="003E5045">
        <w:rPr>
          <w:rFonts w:ascii="Times New Roman" w:hAnsi="Times New Roman" w:cs="Times New Roman"/>
          <w:sz w:val="24"/>
          <w:szCs w:val="24"/>
        </w:rPr>
        <w:t xml:space="preserve">because of the </w:t>
      </w:r>
      <w:r w:rsidR="00C44AE9" w:rsidRPr="003E5045">
        <w:rPr>
          <w:rFonts w:ascii="Times New Roman" w:hAnsi="Times New Roman" w:cs="Times New Roman"/>
          <w:sz w:val="24"/>
          <w:szCs w:val="24"/>
        </w:rPr>
        <w:t>new information collection requirements</w:t>
      </w:r>
      <w:r w:rsidRPr="003E5045">
        <w:rPr>
          <w:rFonts w:ascii="Times New Roman" w:hAnsi="Times New Roman" w:cs="Times New Roman"/>
          <w:sz w:val="24"/>
          <w:szCs w:val="24"/>
        </w:rPr>
        <w:t>.</w:t>
      </w:r>
    </w:p>
    <w:p w14:paraId="46750263" w14:textId="77777777" w:rsidR="0092596C" w:rsidRPr="003E5045"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3E5045" w14:paraId="7D6D9CA9" w14:textId="77777777" w:rsidTr="0092596C">
        <w:trPr>
          <w:trHeight w:val="870"/>
        </w:trPr>
        <w:tc>
          <w:tcPr>
            <w:tcW w:w="2679" w:type="dxa"/>
            <w:shd w:val="clear" w:color="auto" w:fill="D9D9D9"/>
            <w:vAlign w:val="bottom"/>
          </w:tcPr>
          <w:p w14:paraId="11E9610A"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FERC-725</w:t>
            </w:r>
            <w:r w:rsidR="001607F6">
              <w:rPr>
                <w:rFonts w:ascii="Times New Roman" w:hAnsi="Times New Roman"/>
                <w:b/>
                <w:sz w:val="24"/>
                <w:szCs w:val="24"/>
              </w:rPr>
              <w:t>S</w:t>
            </w:r>
          </w:p>
        </w:tc>
        <w:tc>
          <w:tcPr>
            <w:tcW w:w="1461" w:type="dxa"/>
            <w:shd w:val="clear" w:color="auto" w:fill="D9D9D9"/>
            <w:vAlign w:val="bottom"/>
          </w:tcPr>
          <w:p w14:paraId="413C84A4"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Total Request</w:t>
            </w:r>
          </w:p>
        </w:tc>
        <w:tc>
          <w:tcPr>
            <w:tcW w:w="1620" w:type="dxa"/>
            <w:shd w:val="clear" w:color="auto" w:fill="D9D9D9"/>
            <w:vAlign w:val="bottom"/>
          </w:tcPr>
          <w:p w14:paraId="49B95068"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Previously Approved</w:t>
            </w:r>
          </w:p>
        </w:tc>
        <w:tc>
          <w:tcPr>
            <w:tcW w:w="1800" w:type="dxa"/>
            <w:shd w:val="clear" w:color="auto" w:fill="D9D9D9"/>
            <w:vAlign w:val="bottom"/>
          </w:tcPr>
          <w:p w14:paraId="654E94E6"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Change due to Adjustment in Estimate</w:t>
            </w:r>
          </w:p>
        </w:tc>
        <w:tc>
          <w:tcPr>
            <w:tcW w:w="1800" w:type="dxa"/>
            <w:shd w:val="clear" w:color="auto" w:fill="D9D9D9"/>
            <w:vAlign w:val="bottom"/>
          </w:tcPr>
          <w:p w14:paraId="12B323B5" w14:textId="77777777" w:rsidR="0092596C" w:rsidRPr="003E5045" w:rsidRDefault="0092596C" w:rsidP="0092596C">
            <w:pPr>
              <w:spacing w:after="0" w:line="240" w:lineRule="auto"/>
              <w:jc w:val="center"/>
              <w:rPr>
                <w:rFonts w:ascii="Times New Roman" w:hAnsi="Times New Roman"/>
                <w:b/>
                <w:sz w:val="24"/>
                <w:szCs w:val="24"/>
              </w:rPr>
            </w:pPr>
            <w:r w:rsidRPr="003E5045">
              <w:rPr>
                <w:rFonts w:ascii="Times New Roman" w:hAnsi="Times New Roman"/>
                <w:b/>
                <w:sz w:val="24"/>
                <w:szCs w:val="24"/>
              </w:rPr>
              <w:t>Change Due to Agency Discretion</w:t>
            </w:r>
          </w:p>
        </w:tc>
      </w:tr>
      <w:tr w:rsidR="0092596C" w:rsidRPr="003E5045" w14:paraId="77FFD818" w14:textId="77777777" w:rsidTr="0092596C">
        <w:trPr>
          <w:trHeight w:val="591"/>
        </w:trPr>
        <w:tc>
          <w:tcPr>
            <w:tcW w:w="2679" w:type="dxa"/>
          </w:tcPr>
          <w:p w14:paraId="711FEB4A" w14:textId="77777777" w:rsidR="0092596C" w:rsidRPr="003E5045" w:rsidRDefault="0092596C" w:rsidP="0092596C">
            <w:pPr>
              <w:spacing w:after="0" w:line="240" w:lineRule="auto"/>
              <w:jc w:val="center"/>
              <w:rPr>
                <w:rFonts w:ascii="Times New Roman" w:hAnsi="Times New Roman"/>
                <w:sz w:val="24"/>
                <w:szCs w:val="24"/>
              </w:rPr>
            </w:pPr>
            <w:r w:rsidRPr="003E5045">
              <w:rPr>
                <w:rFonts w:ascii="Times New Roman" w:hAnsi="Times New Roman"/>
                <w:sz w:val="24"/>
                <w:szCs w:val="24"/>
              </w:rPr>
              <w:t>Annual Number of Responses</w:t>
            </w:r>
          </w:p>
        </w:tc>
        <w:tc>
          <w:tcPr>
            <w:tcW w:w="1461" w:type="dxa"/>
            <w:vAlign w:val="center"/>
          </w:tcPr>
          <w:p w14:paraId="7092654C" w14:textId="77777777"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199</w:t>
            </w:r>
          </w:p>
        </w:tc>
        <w:tc>
          <w:tcPr>
            <w:tcW w:w="1620" w:type="dxa"/>
            <w:vAlign w:val="center"/>
          </w:tcPr>
          <w:p w14:paraId="3B4518B5" w14:textId="77777777"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64D1BA95" w14:textId="77777777"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5CEFD65F" w14:textId="77777777"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199</w:t>
            </w:r>
          </w:p>
        </w:tc>
      </w:tr>
      <w:tr w:rsidR="0092596C" w:rsidRPr="003E5045" w14:paraId="552A4CB4" w14:textId="77777777" w:rsidTr="0092596C">
        <w:trPr>
          <w:trHeight w:val="575"/>
        </w:trPr>
        <w:tc>
          <w:tcPr>
            <w:tcW w:w="2679" w:type="dxa"/>
          </w:tcPr>
          <w:p w14:paraId="2D120BE7" w14:textId="77777777" w:rsidR="0092596C" w:rsidRPr="003E5045" w:rsidRDefault="0092596C" w:rsidP="0092596C">
            <w:pPr>
              <w:spacing w:after="0" w:line="240" w:lineRule="auto"/>
              <w:jc w:val="center"/>
              <w:rPr>
                <w:rFonts w:ascii="Times New Roman" w:hAnsi="Times New Roman"/>
                <w:sz w:val="24"/>
                <w:szCs w:val="24"/>
              </w:rPr>
            </w:pPr>
            <w:r w:rsidRPr="003E5045">
              <w:rPr>
                <w:rFonts w:ascii="Times New Roman" w:hAnsi="Times New Roman"/>
                <w:sz w:val="24"/>
                <w:szCs w:val="24"/>
              </w:rPr>
              <w:t>Annual Time Burden (</w:t>
            </w:r>
            <w:proofErr w:type="spellStart"/>
            <w:r w:rsidRPr="003E5045">
              <w:rPr>
                <w:rFonts w:ascii="Times New Roman" w:hAnsi="Times New Roman"/>
                <w:sz w:val="24"/>
                <w:szCs w:val="24"/>
              </w:rPr>
              <w:t>Hr</w:t>
            </w:r>
            <w:proofErr w:type="spellEnd"/>
            <w:r w:rsidRPr="003E5045">
              <w:rPr>
                <w:rFonts w:ascii="Times New Roman" w:hAnsi="Times New Roman"/>
                <w:sz w:val="24"/>
                <w:szCs w:val="24"/>
              </w:rPr>
              <w:t>)</w:t>
            </w:r>
          </w:p>
        </w:tc>
        <w:tc>
          <w:tcPr>
            <w:tcW w:w="1461" w:type="dxa"/>
            <w:vAlign w:val="center"/>
          </w:tcPr>
          <w:p w14:paraId="285F6813" w14:textId="77777777"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3,980</w:t>
            </w:r>
          </w:p>
        </w:tc>
        <w:tc>
          <w:tcPr>
            <w:tcW w:w="1620" w:type="dxa"/>
            <w:vAlign w:val="center"/>
          </w:tcPr>
          <w:p w14:paraId="6F285B7E" w14:textId="77777777"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7A4AF29F" w14:textId="77777777" w:rsidR="0092596C" w:rsidRPr="003E5045" w:rsidRDefault="001E5901"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284AB5B9" w14:textId="77777777" w:rsidR="0092596C" w:rsidRPr="003E5045" w:rsidRDefault="00076203" w:rsidP="0092596C">
            <w:pPr>
              <w:spacing w:after="0" w:line="240" w:lineRule="auto"/>
              <w:jc w:val="right"/>
              <w:rPr>
                <w:rFonts w:ascii="Times New Roman" w:hAnsi="Times New Roman"/>
                <w:sz w:val="24"/>
                <w:szCs w:val="24"/>
              </w:rPr>
            </w:pPr>
            <w:r>
              <w:rPr>
                <w:rFonts w:ascii="Times New Roman" w:hAnsi="Times New Roman"/>
                <w:sz w:val="24"/>
                <w:szCs w:val="24"/>
              </w:rPr>
              <w:t>3,</w:t>
            </w:r>
            <w:r w:rsidR="001E5901" w:rsidRPr="003E5045">
              <w:rPr>
                <w:rFonts w:ascii="Times New Roman" w:hAnsi="Times New Roman"/>
                <w:sz w:val="24"/>
                <w:szCs w:val="24"/>
              </w:rPr>
              <w:t>980</w:t>
            </w:r>
          </w:p>
        </w:tc>
      </w:tr>
      <w:tr w:rsidR="0092596C" w:rsidRPr="003E5045" w14:paraId="7D896E47" w14:textId="77777777" w:rsidTr="0092596C">
        <w:trPr>
          <w:trHeight w:val="295"/>
        </w:trPr>
        <w:tc>
          <w:tcPr>
            <w:tcW w:w="2679" w:type="dxa"/>
          </w:tcPr>
          <w:p w14:paraId="52CD6EB4" w14:textId="77777777" w:rsidR="0092596C" w:rsidRPr="003E5045" w:rsidRDefault="0092596C" w:rsidP="0092596C">
            <w:pPr>
              <w:spacing w:after="0" w:line="240" w:lineRule="auto"/>
              <w:jc w:val="center"/>
              <w:rPr>
                <w:rFonts w:ascii="Times New Roman" w:hAnsi="Times New Roman"/>
                <w:sz w:val="24"/>
                <w:szCs w:val="24"/>
              </w:rPr>
            </w:pPr>
            <w:r w:rsidRPr="003E5045">
              <w:rPr>
                <w:rFonts w:ascii="Times New Roman" w:hAnsi="Times New Roman"/>
                <w:sz w:val="24"/>
                <w:szCs w:val="24"/>
              </w:rPr>
              <w:t>Annual Cost Burden ($)</w:t>
            </w:r>
          </w:p>
        </w:tc>
        <w:tc>
          <w:tcPr>
            <w:tcW w:w="1461" w:type="dxa"/>
            <w:vAlign w:val="center"/>
          </w:tcPr>
          <w:p w14:paraId="2E1CDD03" w14:textId="77777777" w:rsidR="0092596C" w:rsidRPr="003E5045" w:rsidRDefault="00580974"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620" w:type="dxa"/>
            <w:vAlign w:val="center"/>
          </w:tcPr>
          <w:p w14:paraId="24578BF7" w14:textId="77777777" w:rsidR="0092596C" w:rsidRPr="003E5045" w:rsidRDefault="00580974"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4DA14E55" w14:textId="77777777" w:rsidR="0092596C" w:rsidRPr="003E5045" w:rsidRDefault="0092596C"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c>
          <w:tcPr>
            <w:tcW w:w="1800" w:type="dxa"/>
            <w:vAlign w:val="center"/>
          </w:tcPr>
          <w:p w14:paraId="4046F748" w14:textId="77777777" w:rsidR="0092596C" w:rsidRPr="003E5045" w:rsidRDefault="00580974" w:rsidP="0092596C">
            <w:pPr>
              <w:spacing w:after="0" w:line="240" w:lineRule="auto"/>
              <w:jc w:val="right"/>
              <w:rPr>
                <w:rFonts w:ascii="Times New Roman" w:hAnsi="Times New Roman"/>
                <w:sz w:val="24"/>
                <w:szCs w:val="24"/>
              </w:rPr>
            </w:pPr>
            <w:r w:rsidRPr="003E5045">
              <w:rPr>
                <w:rFonts w:ascii="Times New Roman" w:hAnsi="Times New Roman"/>
                <w:sz w:val="24"/>
                <w:szCs w:val="24"/>
              </w:rPr>
              <w:t>-</w:t>
            </w:r>
          </w:p>
        </w:tc>
      </w:tr>
    </w:tbl>
    <w:p w14:paraId="1C5893EE" w14:textId="77777777" w:rsidR="0092596C" w:rsidRPr="003E5045" w:rsidRDefault="0092596C" w:rsidP="0092596C">
      <w:pPr>
        <w:spacing w:after="0" w:line="240" w:lineRule="auto"/>
        <w:rPr>
          <w:rFonts w:ascii="Times New Roman" w:hAnsi="Times New Roman" w:cs="Times New Roman"/>
          <w:sz w:val="24"/>
          <w:szCs w:val="24"/>
        </w:rPr>
      </w:pPr>
    </w:p>
    <w:p w14:paraId="0D2FC7F0" w14:textId="77777777" w:rsidR="00970FE4" w:rsidRPr="003E5045" w:rsidRDefault="00970FE4" w:rsidP="0092596C">
      <w:pPr>
        <w:spacing w:after="0" w:line="240" w:lineRule="auto"/>
        <w:rPr>
          <w:rFonts w:ascii="Times New Roman" w:hAnsi="Times New Roman" w:cs="Times New Roman"/>
          <w:sz w:val="24"/>
          <w:szCs w:val="24"/>
        </w:rPr>
      </w:pPr>
    </w:p>
    <w:p w14:paraId="7D15F7AF" w14:textId="77777777" w:rsidR="00A276F5" w:rsidRPr="00A457B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 xml:space="preserve">TIME SCHEDULE FOR </w:t>
      </w:r>
      <w:r w:rsidRPr="00A457B5">
        <w:rPr>
          <w:rFonts w:ascii="Times New Roman" w:hAnsi="Times New Roman" w:cs="Times New Roman"/>
          <w:b/>
          <w:sz w:val="24"/>
          <w:szCs w:val="24"/>
        </w:rPr>
        <w:t>PUBLICATION OF DATA</w:t>
      </w:r>
    </w:p>
    <w:p w14:paraId="4ECBE8F0" w14:textId="77777777" w:rsidR="00826750" w:rsidRPr="00A457B5" w:rsidRDefault="00826750" w:rsidP="0092596C">
      <w:pPr>
        <w:spacing w:after="0" w:line="240" w:lineRule="auto"/>
        <w:rPr>
          <w:rFonts w:ascii="Times New Roman" w:hAnsi="Times New Roman" w:cs="Times New Roman"/>
          <w:sz w:val="24"/>
          <w:szCs w:val="24"/>
        </w:rPr>
      </w:pPr>
    </w:p>
    <w:p w14:paraId="7FB41C78" w14:textId="5AA5A071" w:rsidR="00414F32" w:rsidRPr="003E5045" w:rsidRDefault="00826750" w:rsidP="0092596C">
      <w:pPr>
        <w:spacing w:after="0" w:line="240" w:lineRule="auto"/>
        <w:rPr>
          <w:rFonts w:ascii="Times New Roman" w:hAnsi="Times New Roman" w:cs="Times New Roman"/>
          <w:sz w:val="24"/>
          <w:szCs w:val="24"/>
        </w:rPr>
      </w:pPr>
      <w:r w:rsidRPr="00A457B5">
        <w:rPr>
          <w:rFonts w:ascii="Times New Roman" w:hAnsi="Times New Roman" w:cs="Times New Roman"/>
          <w:sz w:val="24"/>
          <w:szCs w:val="24"/>
        </w:rPr>
        <w:t>There are no data publications as part of this collection</w:t>
      </w:r>
      <w:r w:rsidR="00045A8C" w:rsidRPr="00A457B5">
        <w:rPr>
          <w:rFonts w:ascii="Times New Roman" w:hAnsi="Times New Roman" w:cs="Times New Roman"/>
          <w:sz w:val="24"/>
          <w:szCs w:val="24"/>
        </w:rPr>
        <w:t>.</w:t>
      </w:r>
      <w:r w:rsidR="00045A8C" w:rsidRPr="00A457B5">
        <w:t xml:space="preserve">  </w:t>
      </w:r>
      <w:r w:rsidR="00045A8C" w:rsidRPr="00A457B5">
        <w:rPr>
          <w:rFonts w:ascii="Times New Roman" w:hAnsi="Times New Roman" w:cs="Times New Roman"/>
          <w:sz w:val="24"/>
          <w:szCs w:val="24"/>
        </w:rPr>
        <w:t xml:space="preserve">FERC does not plan to publish data related to this collection.  </w:t>
      </w:r>
      <w:r w:rsidR="00B34FF5" w:rsidRPr="00A457B5">
        <w:rPr>
          <w:rFonts w:ascii="Times New Roman" w:hAnsi="Times New Roman" w:cs="Times New Roman"/>
          <w:sz w:val="24"/>
          <w:szCs w:val="24"/>
        </w:rPr>
        <w:t>The Electric Reliability Organization, NERC in this instance, is appointed by FERC to</w:t>
      </w:r>
      <w:r w:rsidR="00045A8C" w:rsidRPr="00A457B5">
        <w:rPr>
          <w:rFonts w:ascii="Times New Roman" w:hAnsi="Times New Roman" w:cs="Times New Roman"/>
          <w:sz w:val="24"/>
          <w:szCs w:val="24"/>
        </w:rPr>
        <w:t xml:space="preserve"> receive any data related to this collection </w:t>
      </w:r>
      <w:r w:rsidR="00B34FF5" w:rsidRPr="00A457B5">
        <w:rPr>
          <w:rFonts w:ascii="Times New Roman" w:hAnsi="Times New Roman" w:cs="Times New Roman"/>
          <w:sz w:val="24"/>
          <w:szCs w:val="24"/>
        </w:rPr>
        <w:t xml:space="preserve">and </w:t>
      </w:r>
      <w:r w:rsidR="00045A8C" w:rsidRPr="00A457B5">
        <w:rPr>
          <w:rFonts w:ascii="Times New Roman" w:hAnsi="Times New Roman" w:cs="Times New Roman"/>
          <w:sz w:val="24"/>
          <w:szCs w:val="24"/>
        </w:rPr>
        <w:t>is responsible for the inspection of the information.  The Reliability Standard in question requires</w:t>
      </w:r>
      <w:r w:rsidR="00045A8C" w:rsidRPr="00045A8C">
        <w:rPr>
          <w:rFonts w:ascii="Times New Roman" w:hAnsi="Times New Roman" w:cs="Times New Roman"/>
          <w:sz w:val="24"/>
          <w:szCs w:val="24"/>
        </w:rPr>
        <w:t xml:space="preserve"> entities to develop GMD Procedures/Processes but not to submit data</w:t>
      </w:r>
      <w:r w:rsidR="007A078E">
        <w:rPr>
          <w:rFonts w:ascii="Times New Roman" w:hAnsi="Times New Roman" w:cs="Times New Roman"/>
          <w:sz w:val="24"/>
          <w:szCs w:val="24"/>
        </w:rPr>
        <w:t xml:space="preserve"> to FERC</w:t>
      </w:r>
      <w:r w:rsidR="00045A8C" w:rsidRPr="00045A8C">
        <w:rPr>
          <w:rFonts w:ascii="Times New Roman" w:hAnsi="Times New Roman" w:cs="Times New Roman"/>
          <w:sz w:val="24"/>
          <w:szCs w:val="24"/>
        </w:rPr>
        <w:t xml:space="preserve">.   The entity must only retain evidence of its compliance for three years. </w:t>
      </w:r>
    </w:p>
    <w:p w14:paraId="3BB52D44" w14:textId="77777777" w:rsidR="00414F32" w:rsidRPr="003E5045" w:rsidRDefault="00414F32" w:rsidP="0092596C">
      <w:pPr>
        <w:spacing w:after="0" w:line="240" w:lineRule="auto"/>
        <w:rPr>
          <w:rFonts w:ascii="Times New Roman" w:hAnsi="Times New Roman" w:cs="Times New Roman"/>
          <w:sz w:val="24"/>
          <w:szCs w:val="24"/>
        </w:rPr>
      </w:pPr>
    </w:p>
    <w:p w14:paraId="30966557" w14:textId="77777777" w:rsidR="00414F32" w:rsidRPr="003E504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DISPLAY OF EXPIRATION DATE</w:t>
      </w:r>
    </w:p>
    <w:p w14:paraId="14BA9A11" w14:textId="77777777" w:rsidR="00414F32" w:rsidRPr="003E5045" w:rsidRDefault="00414F32" w:rsidP="0092596C">
      <w:pPr>
        <w:spacing w:after="0" w:line="240" w:lineRule="auto"/>
        <w:rPr>
          <w:rFonts w:ascii="Times New Roman" w:hAnsi="Times New Roman" w:cs="Times New Roman"/>
          <w:sz w:val="24"/>
          <w:szCs w:val="24"/>
        </w:rPr>
      </w:pPr>
    </w:p>
    <w:p w14:paraId="55B54163" w14:textId="77777777" w:rsidR="00076203" w:rsidRPr="00076203" w:rsidRDefault="00D81467" w:rsidP="00076203">
      <w:pPr>
        <w:spacing w:after="0"/>
        <w:rPr>
          <w:rFonts w:ascii="Times New Roman" w:hAnsi="Times New Roman"/>
          <w:sz w:val="24"/>
          <w:szCs w:val="24"/>
        </w:rPr>
      </w:pPr>
      <w:r>
        <w:rPr>
          <w:rFonts w:ascii="Times New Roman" w:hAnsi="Times New Roman"/>
          <w:sz w:val="24"/>
          <w:szCs w:val="24"/>
        </w:rPr>
        <w:t>The expiration date</w:t>
      </w:r>
      <w:r w:rsidR="00076203" w:rsidRPr="00E84A39">
        <w:rPr>
          <w:rFonts w:ascii="Times New Roman" w:hAnsi="Times New Roman"/>
          <w:sz w:val="24"/>
          <w:szCs w:val="24"/>
        </w:rPr>
        <w:t xml:space="preserve"> </w:t>
      </w:r>
      <w:r>
        <w:rPr>
          <w:rFonts w:ascii="Times New Roman" w:hAnsi="Times New Roman"/>
          <w:sz w:val="24"/>
          <w:szCs w:val="24"/>
        </w:rPr>
        <w:t>is</w:t>
      </w:r>
      <w:r w:rsidR="00076203" w:rsidRPr="00E84A39">
        <w:rPr>
          <w:rFonts w:ascii="Times New Roman" w:hAnsi="Times New Roman"/>
          <w:sz w:val="24"/>
          <w:szCs w:val="24"/>
        </w:rPr>
        <w:t xml:space="preserve"> displayed </w:t>
      </w:r>
      <w:r w:rsidR="00076203">
        <w:rPr>
          <w:rFonts w:ascii="Times New Roman" w:hAnsi="Times New Roman"/>
          <w:sz w:val="24"/>
          <w:szCs w:val="24"/>
        </w:rPr>
        <w:t xml:space="preserve">in a table posted </w:t>
      </w:r>
      <w:r w:rsidR="00076203" w:rsidRPr="00E84A39">
        <w:rPr>
          <w:rFonts w:ascii="Times New Roman" w:hAnsi="Times New Roman"/>
          <w:sz w:val="24"/>
          <w:szCs w:val="24"/>
        </w:rPr>
        <w:t xml:space="preserve">on ferc.gov </w:t>
      </w:r>
      <w:r w:rsidR="00076203">
        <w:rPr>
          <w:rFonts w:ascii="Times New Roman" w:hAnsi="Times New Roman"/>
          <w:sz w:val="24"/>
          <w:szCs w:val="24"/>
        </w:rPr>
        <w:t>at</w:t>
      </w:r>
      <w:r w:rsidR="00076203" w:rsidRPr="00E84A39">
        <w:rPr>
          <w:rFonts w:ascii="Times New Roman" w:hAnsi="Times New Roman"/>
          <w:sz w:val="24"/>
          <w:szCs w:val="24"/>
        </w:rPr>
        <w:t xml:space="preserve"> </w:t>
      </w:r>
      <w:hyperlink r:id="rId13" w:history="1">
        <w:r w:rsidR="00076203" w:rsidRPr="00E84A39">
          <w:rPr>
            <w:rStyle w:val="Hyperlink"/>
            <w:rFonts w:ascii="Times New Roman" w:hAnsi="Times New Roman"/>
            <w:sz w:val="24"/>
            <w:szCs w:val="24"/>
          </w:rPr>
          <w:t>http://www.ferc.gov/docs-filing/info-collections.asp</w:t>
        </w:r>
      </w:hyperlink>
      <w:r w:rsidR="00076203" w:rsidRPr="00E84A39">
        <w:rPr>
          <w:rFonts w:ascii="Times New Roman" w:hAnsi="Times New Roman"/>
          <w:sz w:val="24"/>
          <w:szCs w:val="24"/>
        </w:rPr>
        <w:t>.</w:t>
      </w:r>
    </w:p>
    <w:p w14:paraId="259A4A2F" w14:textId="77777777" w:rsidR="00414F32" w:rsidRPr="003E5045" w:rsidRDefault="00414F32" w:rsidP="0092596C">
      <w:pPr>
        <w:spacing w:after="0" w:line="240" w:lineRule="auto"/>
        <w:rPr>
          <w:rFonts w:ascii="Times New Roman" w:hAnsi="Times New Roman" w:cs="Times New Roman"/>
          <w:sz w:val="24"/>
          <w:szCs w:val="24"/>
        </w:rPr>
      </w:pPr>
    </w:p>
    <w:p w14:paraId="2B1CB109" w14:textId="77777777" w:rsidR="00414F32" w:rsidRPr="003E5045"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3E5045">
        <w:rPr>
          <w:rFonts w:ascii="Times New Roman" w:hAnsi="Times New Roman" w:cs="Times New Roman"/>
          <w:b/>
          <w:sz w:val="24"/>
          <w:szCs w:val="24"/>
        </w:rPr>
        <w:t>EXCEPTIONS TO THE CERTIFICATION STATEMENT</w:t>
      </w:r>
    </w:p>
    <w:p w14:paraId="06C07672" w14:textId="77777777" w:rsidR="0057700F" w:rsidRPr="003E5045" w:rsidRDefault="0057700F" w:rsidP="0092596C">
      <w:pPr>
        <w:spacing w:after="0" w:line="240" w:lineRule="auto"/>
        <w:rPr>
          <w:rFonts w:ascii="Times New Roman" w:hAnsi="Times New Roman" w:cs="Times New Roman"/>
          <w:b/>
          <w:sz w:val="24"/>
          <w:szCs w:val="24"/>
        </w:rPr>
      </w:pPr>
    </w:p>
    <w:p w14:paraId="208CB487" w14:textId="155900DE" w:rsidR="00970FE4" w:rsidRPr="003E5045" w:rsidRDefault="00B16372" w:rsidP="0092596C">
      <w:pPr>
        <w:spacing w:after="0" w:line="240" w:lineRule="auto"/>
        <w:rPr>
          <w:rFonts w:ascii="Times New Roman" w:hAnsi="Times New Roman" w:cs="Times New Roman"/>
          <w:sz w:val="24"/>
          <w:szCs w:val="24"/>
        </w:rPr>
      </w:pPr>
      <w:r w:rsidRPr="003E5045">
        <w:rPr>
          <w:rFonts w:ascii="Times New Roman" w:eastAsia="Calibri" w:hAnsi="Times New Roman" w:cs="Times New Roman"/>
          <w:sz w:val="24"/>
          <w:szCs w:val="24"/>
        </w:rPr>
        <w:t xml:space="preserve">The Commission does not </w:t>
      </w:r>
      <w:r w:rsidR="006E16FF">
        <w:rPr>
          <w:rFonts w:ascii="Times New Roman" w:eastAsia="Calibri" w:hAnsi="Times New Roman" w:cs="Times New Roman"/>
          <w:sz w:val="24"/>
          <w:szCs w:val="24"/>
        </w:rPr>
        <w:t xml:space="preserve">expect to </w:t>
      </w:r>
      <w:r w:rsidRPr="003E5045">
        <w:rPr>
          <w:rFonts w:ascii="Times New Roman" w:eastAsia="Calibri" w:hAnsi="Times New Roman" w:cs="Times New Roman"/>
          <w:sz w:val="24"/>
          <w:szCs w:val="24"/>
        </w:rPr>
        <w:t xml:space="preserve">use statistical methods </w:t>
      </w:r>
      <w:r w:rsidR="006E16FF">
        <w:rPr>
          <w:rFonts w:ascii="Times New Roman" w:eastAsia="Calibri" w:hAnsi="Times New Roman" w:cs="Times New Roman"/>
          <w:sz w:val="24"/>
          <w:szCs w:val="24"/>
        </w:rPr>
        <w:t>to analyze the information collected under this control number</w:t>
      </w:r>
      <w:r w:rsidRPr="003E5045">
        <w:rPr>
          <w:rFonts w:ascii="Times New Roman" w:eastAsia="Calibri" w:hAnsi="Times New Roman" w:cs="Times New Roman"/>
          <w:sz w:val="24"/>
          <w:szCs w:val="24"/>
        </w:rPr>
        <w:t xml:space="preserve">.  </w:t>
      </w:r>
    </w:p>
    <w:p w14:paraId="50F672F6" w14:textId="77777777" w:rsidR="00414F32" w:rsidRPr="003E5045" w:rsidRDefault="00414F32" w:rsidP="0092596C">
      <w:pPr>
        <w:spacing w:after="0" w:line="240" w:lineRule="auto"/>
        <w:rPr>
          <w:rFonts w:ascii="Times New Roman" w:hAnsi="Times New Roman" w:cs="Times New Roman"/>
          <w:sz w:val="24"/>
          <w:szCs w:val="24"/>
        </w:rPr>
      </w:pPr>
    </w:p>
    <w:sectPr w:rsidR="00414F32" w:rsidRPr="003E5045">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7BA2F4" w15:done="0"/>
  <w15:commentEx w15:paraId="66D38E20" w15:done="0"/>
  <w15:commentEx w15:paraId="2E659401" w15:done="0"/>
  <w15:commentEx w15:paraId="2989101D" w15:done="0"/>
  <w15:commentEx w15:paraId="359367E6" w15:done="0"/>
  <w15:commentEx w15:paraId="3AFF1109" w15:done="0"/>
  <w15:commentEx w15:paraId="2FE940EC" w15:paraIdParent="3AFF1109" w15:done="0"/>
  <w15:commentEx w15:paraId="36FC2590" w15:done="0"/>
  <w15:commentEx w15:paraId="019F9555" w15:done="0"/>
  <w15:commentEx w15:paraId="676172ED" w15:done="0"/>
  <w15:commentEx w15:paraId="7281CA56" w15:done="0"/>
  <w15:commentEx w15:paraId="23A2A2C6" w15:done="0"/>
  <w15:commentEx w15:paraId="602FABB0" w15:done="0"/>
  <w15:commentEx w15:paraId="314B5534" w15:done="0"/>
  <w15:commentEx w15:paraId="170B7094" w15:done="0"/>
  <w15:commentEx w15:paraId="033D9CE3" w15:done="0"/>
  <w15:commentEx w15:paraId="39258BC6" w15:done="0"/>
  <w15:commentEx w15:paraId="555E92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EABDC" w14:textId="77777777" w:rsidR="0011083C" w:rsidRDefault="0011083C" w:rsidP="00FD66F1">
      <w:pPr>
        <w:spacing w:after="0" w:line="240" w:lineRule="auto"/>
      </w:pPr>
      <w:r>
        <w:separator/>
      </w:r>
    </w:p>
  </w:endnote>
  <w:endnote w:type="continuationSeparator" w:id="0">
    <w:p w14:paraId="3FE48D65" w14:textId="77777777" w:rsidR="0011083C" w:rsidRDefault="0011083C"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61CD90CB" w14:textId="77777777" w:rsidR="00C60AAE" w:rsidRPr="000A6548" w:rsidRDefault="00C60AAE">
        <w:pPr>
          <w:pStyle w:val="Footer"/>
          <w:jc w:val="right"/>
          <w:rPr>
            <w:rFonts w:ascii="Times New Roman" w:hAnsi="Times New Roman" w:cs="Times New Roman"/>
          </w:rPr>
        </w:pPr>
        <w:r w:rsidRPr="000A6548">
          <w:rPr>
            <w:rFonts w:ascii="Times New Roman" w:hAnsi="Times New Roman" w:cs="Times New Roman"/>
          </w:rPr>
          <w:fldChar w:fldCharType="begin"/>
        </w:r>
        <w:r w:rsidRPr="000A6548">
          <w:rPr>
            <w:rFonts w:ascii="Times New Roman" w:hAnsi="Times New Roman" w:cs="Times New Roman"/>
          </w:rPr>
          <w:instrText xml:space="preserve"> PAGE   \* MERGEFORMAT </w:instrText>
        </w:r>
        <w:r w:rsidRPr="000A6548">
          <w:rPr>
            <w:rFonts w:ascii="Times New Roman" w:hAnsi="Times New Roman" w:cs="Times New Roman"/>
          </w:rPr>
          <w:fldChar w:fldCharType="separate"/>
        </w:r>
        <w:r w:rsidR="00EE79F9">
          <w:rPr>
            <w:rFonts w:ascii="Times New Roman" w:hAnsi="Times New Roman" w:cs="Times New Roman"/>
            <w:noProof/>
          </w:rPr>
          <w:t>1</w:t>
        </w:r>
        <w:r w:rsidRPr="000A6548">
          <w:rPr>
            <w:rFonts w:ascii="Times New Roman" w:hAnsi="Times New Roman" w:cs="Times New Roman"/>
            <w:noProof/>
          </w:rPr>
          <w:fldChar w:fldCharType="end"/>
        </w:r>
      </w:p>
    </w:sdtContent>
  </w:sdt>
  <w:p w14:paraId="26389D61" w14:textId="77777777" w:rsidR="00C60AAE" w:rsidRDefault="00C6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48E89" w14:textId="77777777" w:rsidR="0011083C" w:rsidRDefault="0011083C" w:rsidP="00FD66F1">
      <w:pPr>
        <w:spacing w:after="0" w:line="240" w:lineRule="auto"/>
      </w:pPr>
      <w:r>
        <w:separator/>
      </w:r>
    </w:p>
  </w:footnote>
  <w:footnote w:type="continuationSeparator" w:id="0">
    <w:p w14:paraId="5110EE44" w14:textId="77777777" w:rsidR="0011083C" w:rsidRDefault="0011083C" w:rsidP="00FD66F1">
      <w:pPr>
        <w:spacing w:after="0" w:line="240" w:lineRule="auto"/>
      </w:pPr>
      <w:r>
        <w:continuationSeparator/>
      </w:r>
    </w:p>
  </w:footnote>
  <w:footnote w:id="1">
    <w:p w14:paraId="73C7EC9D" w14:textId="77777777" w:rsidR="00C60AAE" w:rsidRPr="00B016F3" w:rsidRDefault="00C60AAE" w:rsidP="003C235A">
      <w:pPr>
        <w:pStyle w:val="FootnoteText"/>
        <w:ind w:firstLine="720"/>
      </w:pPr>
      <w:r w:rsidRPr="00B016F3">
        <w:rPr>
          <w:rStyle w:val="FootnoteReference"/>
          <w:szCs w:val="26"/>
        </w:rPr>
        <w:footnoteRef/>
      </w:r>
      <w:r w:rsidRPr="00B016F3">
        <w:t xml:space="preserve"> </w:t>
      </w:r>
      <w:r w:rsidRPr="00B016F3">
        <w:rPr>
          <w:i/>
        </w:rPr>
        <w:t>Reliability Standards for Geomagnetic Disturbances</w:t>
      </w:r>
      <w:r w:rsidRPr="00B016F3">
        <w:t xml:space="preserve">, Order No. 779, 78 FR 30,747, 143 FERC ¶ 61,147, </w:t>
      </w:r>
      <w:proofErr w:type="spellStart"/>
      <w:r w:rsidRPr="00B016F3">
        <w:rPr>
          <w:i/>
        </w:rPr>
        <w:t>reh’g</w:t>
      </w:r>
      <w:proofErr w:type="spellEnd"/>
      <w:r w:rsidRPr="00B016F3">
        <w:rPr>
          <w:i/>
        </w:rPr>
        <w:t xml:space="preserve"> denied</w:t>
      </w:r>
      <w:r w:rsidRPr="00B016F3">
        <w:t xml:space="preserve">, 144 FERC ¶ 61,113 (2013). </w:t>
      </w:r>
    </w:p>
  </w:footnote>
  <w:footnote w:id="2">
    <w:p w14:paraId="57CD4688" w14:textId="77777777" w:rsidR="00C60AAE" w:rsidRPr="00B016F3" w:rsidRDefault="00C60AAE" w:rsidP="001607F6">
      <w:pPr>
        <w:pStyle w:val="FootnoteText"/>
        <w:ind w:firstLine="720"/>
        <w:rPr>
          <w:sz w:val="22"/>
          <w:szCs w:val="22"/>
        </w:rPr>
      </w:pPr>
      <w:r w:rsidRPr="001607F6">
        <w:rPr>
          <w:rStyle w:val="FootnoteReference"/>
          <w:sz w:val="22"/>
          <w:szCs w:val="22"/>
        </w:rPr>
        <w:footnoteRef/>
      </w:r>
      <w:r w:rsidRPr="000E56E7">
        <w:rPr>
          <w:sz w:val="22"/>
          <w:szCs w:val="22"/>
        </w:rPr>
        <w:t xml:space="preserve"> The Energy Policy Act of 2005, Pub. L. No 109-58, Title XII, Subtitle A, 119 Stat. 594, 941 (2005), codified at 16 U.S.C. 824o (2000).</w:t>
      </w:r>
    </w:p>
  </w:footnote>
  <w:footnote w:id="3">
    <w:p w14:paraId="7917C737" w14:textId="77777777" w:rsidR="00C60AAE" w:rsidRPr="00B016F3" w:rsidRDefault="00C60AAE" w:rsidP="001607F6">
      <w:pPr>
        <w:pStyle w:val="FootnoteText"/>
        <w:ind w:firstLine="720"/>
      </w:pPr>
      <w:r w:rsidRPr="00B016F3">
        <w:rPr>
          <w:rStyle w:val="FootnoteReference"/>
          <w:szCs w:val="26"/>
        </w:rPr>
        <w:footnoteRef/>
      </w:r>
      <w:r w:rsidRPr="00B016F3">
        <w:t xml:space="preserve"> Order No. 779, 143 FERC ¶ 61,147 at P 3.</w:t>
      </w:r>
    </w:p>
  </w:footnote>
  <w:footnote w:id="4">
    <w:p w14:paraId="204273D5" w14:textId="77777777" w:rsidR="00C60AAE" w:rsidRDefault="00C60AAE" w:rsidP="001607F6">
      <w:pPr>
        <w:pStyle w:val="FootnoteText"/>
        <w:ind w:firstLine="720"/>
      </w:pPr>
      <w:r w:rsidRPr="00B016F3">
        <w:rPr>
          <w:rStyle w:val="FootnoteReference"/>
          <w:szCs w:val="26"/>
        </w:rPr>
        <w:footnoteRef/>
      </w:r>
      <w:r w:rsidRPr="00B016F3">
        <w:t xml:space="preserve"> </w:t>
      </w:r>
      <w:r w:rsidRPr="00B016F3">
        <w:rPr>
          <w:i/>
        </w:rPr>
        <w:t xml:space="preserve">Id. </w:t>
      </w:r>
      <w:r w:rsidRPr="00B016F3">
        <w:t>P 2.</w:t>
      </w:r>
    </w:p>
  </w:footnote>
  <w:footnote w:id="5">
    <w:p w14:paraId="306266C1" w14:textId="77777777" w:rsidR="00C60AAE" w:rsidRDefault="00C60AAE" w:rsidP="001607F6">
      <w:pPr>
        <w:pStyle w:val="FootnoteText"/>
        <w:ind w:firstLine="720"/>
      </w:pPr>
      <w:r>
        <w:rPr>
          <w:rStyle w:val="FootnoteReference"/>
          <w:szCs w:val="26"/>
        </w:rPr>
        <w:footnoteRef/>
      </w:r>
      <w:r>
        <w:t xml:space="preserve"> NERC Petition at 8 (“A power transformer with a ‘high side wye-grounded winding’ refers to a power transformer with windings on the high voltage side that are connected in a wye configuration and have a grounded neutral connection.”).</w:t>
      </w:r>
    </w:p>
  </w:footnote>
  <w:footnote w:id="6">
    <w:p w14:paraId="4A0CD2AE" w14:textId="77777777" w:rsidR="00C60AAE" w:rsidRDefault="00C60AAE" w:rsidP="001607F6">
      <w:pPr>
        <w:pStyle w:val="FootnoteText"/>
        <w:ind w:firstLine="720"/>
      </w:pPr>
      <w:r>
        <w:rPr>
          <w:rStyle w:val="FootnoteReference"/>
          <w:szCs w:val="26"/>
        </w:rPr>
        <w:footnoteRef/>
      </w:r>
      <w:r>
        <w:t xml:space="preserve"> Operating Plan, Operating Procedure, and Operating Process are existing terms defined in the Glossary of Terms Used in NERC Reliability Standards.   </w:t>
      </w:r>
      <w:r w:rsidRPr="005A38EA">
        <w:rPr>
          <w:i/>
        </w:rPr>
        <w:t>See</w:t>
      </w:r>
      <w:r>
        <w:t xml:space="preserve"> Glossary of Terms Used in NERC Reliability Standards (effective November 21, 2013) at 49-50.  </w:t>
      </w:r>
    </w:p>
  </w:footnote>
  <w:footnote w:id="7">
    <w:p w14:paraId="68FB2B82" w14:textId="77777777" w:rsidR="00C60AAE" w:rsidRDefault="00C60AAE" w:rsidP="00A563E2">
      <w:pPr>
        <w:pStyle w:val="FootnoteText"/>
        <w:ind w:firstLine="720"/>
      </w:pPr>
      <w:r>
        <w:rPr>
          <w:rStyle w:val="FootnoteReference"/>
        </w:rPr>
        <w:footnoteRef/>
      </w:r>
      <w:r>
        <w:t xml:space="preserve"> </w:t>
      </w:r>
      <w:r w:rsidRPr="003C3532">
        <w:t>NERC Petition at 11-12 (emphasis in original)</w:t>
      </w:r>
    </w:p>
  </w:footnote>
  <w:footnote w:id="8">
    <w:p w14:paraId="06C11351" w14:textId="77777777" w:rsidR="00C60AAE" w:rsidRDefault="00C60AAE" w:rsidP="00A563E2">
      <w:pPr>
        <w:pStyle w:val="FootnoteText"/>
        <w:ind w:firstLine="720"/>
      </w:pPr>
      <w:r>
        <w:rPr>
          <w:rStyle w:val="FootnoteReference"/>
        </w:rPr>
        <w:footnoteRef/>
      </w:r>
      <w:r>
        <w:t xml:space="preserve"> </w:t>
      </w:r>
      <w:r w:rsidRPr="003C3532">
        <w:t>NERC Petition at 11-12 (emphasis in original)</w:t>
      </w:r>
    </w:p>
  </w:footnote>
  <w:footnote w:id="9">
    <w:p w14:paraId="380EABEB" w14:textId="77777777" w:rsidR="00C60AAE" w:rsidRDefault="00C60AAE" w:rsidP="001607F6">
      <w:pPr>
        <w:pStyle w:val="FootnoteText"/>
        <w:ind w:firstLine="720"/>
      </w:pPr>
      <w:r>
        <w:rPr>
          <w:rStyle w:val="FootnoteReference"/>
          <w:szCs w:val="26"/>
        </w:rPr>
        <w:footnoteRef/>
      </w:r>
      <w:r>
        <w:t xml:space="preserve"> According to NERC, Reliability Standard IRO-005-3.1a will be retired once the Commission approves proposed Reliability Standard IRO-005-4, which is currently pending before the Commission.  NERC Petition at 13.</w:t>
      </w:r>
    </w:p>
  </w:footnote>
  <w:footnote w:id="10">
    <w:p w14:paraId="09872530" w14:textId="763C79A9" w:rsidR="00216890" w:rsidRDefault="00216890" w:rsidP="00B70A89">
      <w:pPr>
        <w:pStyle w:val="FootnoteText"/>
        <w:ind w:firstLine="720"/>
      </w:pPr>
      <w:r>
        <w:rPr>
          <w:rStyle w:val="FootnoteReference"/>
        </w:rPr>
        <w:footnoteRef/>
      </w:r>
      <w:r>
        <w:t xml:space="preserve"> NERC Petition at 13-15.</w:t>
      </w:r>
    </w:p>
  </w:footnote>
  <w:footnote w:id="11">
    <w:p w14:paraId="25E637A1" w14:textId="77777777" w:rsidR="00C60AAE" w:rsidRDefault="00C60AAE" w:rsidP="001607F6">
      <w:pPr>
        <w:pStyle w:val="FootnoteText"/>
        <w:ind w:firstLine="720"/>
      </w:pPr>
      <w:r>
        <w:rPr>
          <w:rStyle w:val="FootnoteReference"/>
          <w:szCs w:val="26"/>
        </w:rPr>
        <w:footnoteRef/>
      </w:r>
      <w:r>
        <w:t xml:space="preserve"> NERC Petition at 14.</w:t>
      </w:r>
    </w:p>
  </w:footnote>
  <w:footnote w:id="12">
    <w:p w14:paraId="0BF0EC7D" w14:textId="77777777" w:rsidR="00B701FF" w:rsidRDefault="00B701FF" w:rsidP="00B70A89">
      <w:pPr>
        <w:pStyle w:val="FootnoteText"/>
        <w:ind w:firstLine="720"/>
      </w:pPr>
      <w:r w:rsidRPr="00B70A89">
        <w:rPr>
          <w:rStyle w:val="FootnoteReference"/>
          <w:b/>
          <w:vertAlign w:val="superscript"/>
        </w:rPr>
        <w:footnoteRef/>
      </w:r>
      <w:r>
        <w:t xml:space="preserve"> </w:t>
      </w:r>
      <w:proofErr w:type="gramStart"/>
      <w:r>
        <w:t xml:space="preserve">Available at </w:t>
      </w:r>
      <w:hyperlink r:id="rId1" w:history="1">
        <w:r w:rsidRPr="004E715D">
          <w:rPr>
            <w:rStyle w:val="Hyperlink"/>
          </w:rPr>
          <w:t>http://www.nerc.com/FilingsOrders/us/RuleOfProcedureDL/NERC_ROP_Effective_20140701_updated_20140602.pdf</w:t>
        </w:r>
      </w:hyperlink>
      <w:r>
        <w:t>.</w:t>
      </w:r>
      <w:proofErr w:type="gramEnd"/>
      <w:r>
        <w:t xml:space="preserve"> </w:t>
      </w:r>
    </w:p>
  </w:footnote>
  <w:footnote w:id="13">
    <w:p w14:paraId="34AD3873" w14:textId="374ADCED" w:rsidR="00C60AAE" w:rsidRPr="009A6041" w:rsidRDefault="00C60AAE" w:rsidP="009A6041">
      <w:pPr>
        <w:pStyle w:val="FootnoteText"/>
        <w:spacing w:after="240"/>
        <w:ind w:firstLine="720"/>
        <w:rPr>
          <w:sz w:val="22"/>
          <w:szCs w:val="22"/>
        </w:rPr>
      </w:pPr>
      <w:r w:rsidRPr="009A6041">
        <w:rPr>
          <w:rStyle w:val="FootnoteReference"/>
          <w:b/>
          <w:sz w:val="22"/>
          <w:szCs w:val="22"/>
          <w:vertAlign w:val="superscript"/>
        </w:rPr>
        <w:footnoteRef/>
      </w:r>
      <w:r w:rsidRPr="009A6041">
        <w:rPr>
          <w:sz w:val="22"/>
          <w:szCs w:val="22"/>
        </w:rPr>
        <w:t xml:space="preserve"> </w:t>
      </w:r>
      <w:r w:rsidRPr="00B70A89">
        <w:t xml:space="preserve">Details of the current ERO Reliability Standard processes are available on the NERC website at </w:t>
      </w:r>
      <w:r w:rsidR="002140A7" w:rsidRPr="00B70A89">
        <w:t>http://www.nerc.com/files/Appendix_3A_StandardsProcessesManual_20120131.pdf</w:t>
      </w:r>
      <w:r w:rsidRPr="009A6041">
        <w:rPr>
          <w:sz w:val="22"/>
          <w:szCs w:val="22"/>
        </w:rPr>
        <w:t xml:space="preserve"> </w:t>
      </w:r>
    </w:p>
  </w:footnote>
  <w:footnote w:id="14">
    <w:p w14:paraId="745B60BA" w14:textId="77777777" w:rsidR="00EB68C9" w:rsidRDefault="00EB68C9" w:rsidP="00B70A89">
      <w:pPr>
        <w:pStyle w:val="FootnoteText"/>
        <w:ind w:firstLine="720"/>
      </w:pPr>
      <w:r>
        <w:rPr>
          <w:rStyle w:val="FootnoteReference"/>
        </w:rPr>
        <w:footnoteRef/>
      </w:r>
      <w:r>
        <w:t xml:space="preserve"> The Standard went through three ballots.  It received a 62.74% approval rate on the first ballot and, after revisions, a 91.95% approval rate on the last ballot.</w:t>
      </w:r>
    </w:p>
  </w:footnote>
  <w:footnote w:id="15">
    <w:p w14:paraId="709AAE50" w14:textId="77777777" w:rsidR="00C60AAE" w:rsidRDefault="00C60AAE" w:rsidP="00951B34">
      <w:pPr>
        <w:pStyle w:val="FootnoteText"/>
      </w:pPr>
      <w:r>
        <w:rPr>
          <w:rStyle w:val="FootnoteReference"/>
        </w:rPr>
        <w:footnoteRef/>
      </w:r>
      <w:r>
        <w:t xml:space="preserve"> NERC Petition, Exhibit D (White Paper Supporting Network Applicability) at 1.</w:t>
      </w:r>
    </w:p>
  </w:footnote>
  <w:footnote w:id="16">
    <w:p w14:paraId="791E1EE2" w14:textId="77777777" w:rsidR="00C60AAE" w:rsidRPr="0069253F" w:rsidRDefault="00C60AAE" w:rsidP="00951B34">
      <w:pPr>
        <w:pStyle w:val="FootnoteText"/>
      </w:pPr>
      <w:r>
        <w:rPr>
          <w:rStyle w:val="FootnoteReference"/>
        </w:rPr>
        <w:footnoteRef/>
      </w:r>
      <w:r>
        <w:t xml:space="preserve"> NERC Petition, Exhibit E (White Paper Supporting Functional Entity Applicability).</w:t>
      </w:r>
    </w:p>
  </w:footnote>
  <w:footnote w:id="17">
    <w:p w14:paraId="1393ACA1" w14:textId="77777777" w:rsidR="00C60AAE" w:rsidRPr="00584923" w:rsidRDefault="00C60AAE" w:rsidP="00951B34">
      <w:pPr>
        <w:pStyle w:val="FootnoteText"/>
      </w:pPr>
      <w:r>
        <w:rPr>
          <w:rStyle w:val="FootnoteReference"/>
        </w:rPr>
        <w:footnoteRef/>
      </w:r>
      <w:r>
        <w:t xml:space="preserve"> </w:t>
      </w:r>
      <w:r>
        <w:rPr>
          <w:i/>
        </w:rPr>
        <w:t>Id.</w:t>
      </w:r>
      <w:r>
        <w:t xml:space="preserve"> at 2.</w:t>
      </w:r>
    </w:p>
  </w:footnote>
  <w:footnote w:id="18">
    <w:p w14:paraId="23525EF4" w14:textId="77777777" w:rsidR="00C60AAE" w:rsidRPr="00584923" w:rsidRDefault="00C60AAE" w:rsidP="00951B34">
      <w:pPr>
        <w:pStyle w:val="FootnoteText"/>
      </w:pPr>
      <w:r>
        <w:rPr>
          <w:rStyle w:val="FootnoteReference"/>
        </w:rPr>
        <w:footnoteRef/>
      </w:r>
      <w:r>
        <w:t xml:space="preserve"> </w:t>
      </w:r>
      <w:r>
        <w:rPr>
          <w:i/>
        </w:rPr>
        <w:t>Id.</w:t>
      </w:r>
    </w:p>
  </w:footnote>
  <w:footnote w:id="19">
    <w:p w14:paraId="2A116E8A" w14:textId="77777777" w:rsidR="00C60AAE" w:rsidRPr="00584923" w:rsidRDefault="00C60AAE" w:rsidP="00951B34">
      <w:pPr>
        <w:pStyle w:val="FootnoteText"/>
      </w:pPr>
      <w:r>
        <w:rPr>
          <w:rStyle w:val="FootnoteReference"/>
        </w:rPr>
        <w:footnoteRef/>
      </w:r>
      <w:r>
        <w:t xml:space="preserve"> </w:t>
      </w:r>
      <w:r>
        <w:rPr>
          <w:i/>
        </w:rPr>
        <w:t>Id</w:t>
      </w:r>
      <w:r>
        <w:t>.</w:t>
      </w:r>
    </w:p>
  </w:footnote>
  <w:footnote w:id="20">
    <w:p w14:paraId="79CA6AF0" w14:textId="77777777" w:rsidR="00C60AAE" w:rsidRPr="00D926B2" w:rsidRDefault="00C60AAE" w:rsidP="00951B34">
      <w:pPr>
        <w:pStyle w:val="FootnoteText"/>
        <w:rPr>
          <w:u w:val="single"/>
        </w:rPr>
      </w:pPr>
      <w:r>
        <w:rPr>
          <w:rStyle w:val="FootnoteReference"/>
        </w:rPr>
        <w:footnoteRef/>
      </w:r>
      <w:r>
        <w:t xml:space="preserve"> </w:t>
      </w:r>
      <w:r w:rsidRPr="00B62B50">
        <w:rPr>
          <w:i/>
        </w:rPr>
        <w:t>Id.</w:t>
      </w:r>
      <w:r w:rsidRPr="00B62B50">
        <w:t xml:space="preserve"> at 3-4.</w:t>
      </w:r>
    </w:p>
  </w:footnote>
  <w:footnote w:id="21">
    <w:p w14:paraId="65756BFA" w14:textId="77777777" w:rsidR="00C60AAE" w:rsidRPr="000F1263" w:rsidRDefault="00C60AAE" w:rsidP="00951B34">
      <w:pPr>
        <w:pStyle w:val="FootnoteText"/>
      </w:pPr>
      <w:r>
        <w:rPr>
          <w:rStyle w:val="FootnoteReference"/>
        </w:rPr>
        <w:footnoteRef/>
      </w:r>
      <w:r>
        <w:t xml:space="preserve"> </w:t>
      </w:r>
      <w:r>
        <w:rPr>
          <w:i/>
        </w:rPr>
        <w:t>Id.</w:t>
      </w:r>
      <w:r>
        <w:t xml:space="preserve"> at 4.</w:t>
      </w:r>
    </w:p>
  </w:footnote>
  <w:footnote w:id="22">
    <w:p w14:paraId="64BC3A26" w14:textId="77777777" w:rsidR="00C60AAE" w:rsidRPr="000F1263" w:rsidRDefault="00C60AAE" w:rsidP="00951B34">
      <w:pPr>
        <w:pStyle w:val="FootnoteText"/>
      </w:pPr>
      <w:r>
        <w:rPr>
          <w:rStyle w:val="FootnoteReference"/>
        </w:rPr>
        <w:footnoteRef/>
      </w:r>
      <w:r>
        <w:t xml:space="preserve"> </w:t>
      </w:r>
      <w:r>
        <w:rPr>
          <w:i/>
        </w:rPr>
        <w:t>Id.</w:t>
      </w:r>
    </w:p>
  </w:footnote>
  <w:footnote w:id="23">
    <w:p w14:paraId="240FA5F6" w14:textId="77777777" w:rsidR="00C60AAE" w:rsidRDefault="00C60AAE" w:rsidP="00951B34">
      <w:pPr>
        <w:pStyle w:val="FootnoteText"/>
      </w:pPr>
      <w:r>
        <w:rPr>
          <w:rStyle w:val="FootnoteReference"/>
        </w:rPr>
        <w:footnoteRef/>
      </w:r>
      <w:r>
        <w:t xml:space="preserve"> Foundation Comments at 10.</w:t>
      </w:r>
    </w:p>
  </w:footnote>
  <w:footnote w:id="24">
    <w:p w14:paraId="075EA643" w14:textId="77777777" w:rsidR="00C60AAE" w:rsidRDefault="00C60AAE" w:rsidP="00951B34">
      <w:pPr>
        <w:pStyle w:val="FootnoteText"/>
      </w:pPr>
      <w:r>
        <w:rPr>
          <w:rStyle w:val="FootnoteReference"/>
        </w:rPr>
        <w:footnoteRef/>
      </w:r>
      <w:r>
        <w:t xml:space="preserve"> </w:t>
      </w:r>
      <w:r>
        <w:rPr>
          <w:i/>
        </w:rPr>
        <w:t>Id</w:t>
      </w:r>
      <w:r>
        <w:t>.</w:t>
      </w:r>
    </w:p>
  </w:footnote>
  <w:footnote w:id="25">
    <w:p w14:paraId="551D0E4A" w14:textId="77777777" w:rsidR="00C60AAE" w:rsidRPr="00FE4E3F" w:rsidRDefault="00C60AAE" w:rsidP="00951B34">
      <w:pPr>
        <w:pStyle w:val="FootnoteText"/>
      </w:pPr>
      <w:r>
        <w:rPr>
          <w:rStyle w:val="FootnoteReference"/>
        </w:rPr>
        <w:footnoteRef/>
      </w:r>
      <w:r>
        <w:t xml:space="preserve"> </w:t>
      </w:r>
      <w:r>
        <w:rPr>
          <w:i/>
        </w:rPr>
        <w:t>Id.</w:t>
      </w:r>
      <w:r>
        <w:t xml:space="preserve"> at 13.</w:t>
      </w:r>
    </w:p>
  </w:footnote>
  <w:footnote w:id="26">
    <w:p w14:paraId="56B9FE54" w14:textId="77777777" w:rsidR="00C60AAE" w:rsidRPr="00A33852" w:rsidRDefault="00C60AAE" w:rsidP="00951B34">
      <w:pPr>
        <w:pStyle w:val="FootnoteText"/>
      </w:pPr>
      <w:r>
        <w:rPr>
          <w:rStyle w:val="FootnoteReference"/>
        </w:rPr>
        <w:footnoteRef/>
      </w:r>
      <w:r>
        <w:t xml:space="preserve"> </w:t>
      </w:r>
      <w:proofErr w:type="spellStart"/>
      <w:r>
        <w:t>SmartSense</w:t>
      </w:r>
      <w:proofErr w:type="spellEnd"/>
      <w:r>
        <w:t xml:space="preserve"> Comments at 10-11 (citing Oak Ridge National Laboratory, Electromagnetic Pulse: Effects on the U.S. Power Grid: Meta-R-319 at page 4-14 (January 2010), </w:t>
      </w:r>
      <w:r w:rsidRPr="00A33852">
        <w:rPr>
          <w:i/>
        </w:rPr>
        <w:t>available at</w:t>
      </w:r>
      <w:r>
        <w:t xml:space="preserve"> </w:t>
      </w:r>
      <w:hyperlink r:id="rId2" w:history="1">
        <w:r w:rsidRPr="009179B1">
          <w:rPr>
            <w:rStyle w:val="Hyperlink"/>
          </w:rPr>
          <w:t>http://www.ornl.gov/sci/ees/etsd/pes/pubs/ferc_Meta-R-319.pdf</w:t>
        </w:r>
      </w:hyperlink>
      <w:r>
        <w:t xml:space="preserve">; Idaho National Laboratory, </w:t>
      </w:r>
      <w:r>
        <w:rPr>
          <w:i/>
        </w:rPr>
        <w:t>INL Broadens Understanding of Solar Storms</w:t>
      </w:r>
      <w:r>
        <w:t xml:space="preserve"> (December 16, 2013), </w:t>
      </w:r>
      <w:r>
        <w:rPr>
          <w:i/>
        </w:rPr>
        <w:t>available at</w:t>
      </w:r>
      <w:r>
        <w:t xml:space="preserve"> </w:t>
      </w:r>
      <w:hyperlink r:id="rId3" w:history="1">
        <w:r w:rsidRPr="009179B1">
          <w:rPr>
            <w:rStyle w:val="Hyperlink"/>
          </w:rPr>
          <w:t>https://inlportal.inl.gov/portal/server.pt/community/newsroom/257/feature_story_details/1269?featurestory=DA_615269</w:t>
        </w:r>
      </w:hyperlink>
      <w:r>
        <w:t xml:space="preserve">). </w:t>
      </w:r>
    </w:p>
  </w:footnote>
  <w:footnote w:id="27">
    <w:p w14:paraId="385EC75D" w14:textId="77777777" w:rsidR="00C60AAE" w:rsidRDefault="00C60AAE" w:rsidP="00951B34">
      <w:pPr>
        <w:pStyle w:val="FootnoteText"/>
      </w:pPr>
      <w:r>
        <w:rPr>
          <w:rStyle w:val="FootnoteReference"/>
        </w:rPr>
        <w:footnoteRef/>
      </w:r>
      <w:r>
        <w:t xml:space="preserve"> Foundation Comments at 14.</w:t>
      </w:r>
    </w:p>
  </w:footnote>
  <w:footnote w:id="28">
    <w:p w14:paraId="27131560" w14:textId="77777777" w:rsidR="00C60AAE" w:rsidRDefault="00C60AAE" w:rsidP="00951B34">
      <w:pPr>
        <w:pStyle w:val="FootnoteText"/>
      </w:pPr>
      <w:r>
        <w:rPr>
          <w:rStyle w:val="FootnoteReference"/>
        </w:rPr>
        <w:footnoteRef/>
      </w:r>
      <w:r>
        <w:t xml:space="preserve"> Order No. 779, </w:t>
      </w:r>
      <w:r w:rsidRPr="00151660">
        <w:t>143 FERC ¶ 61,147</w:t>
      </w:r>
      <w:r>
        <w:t xml:space="preserve"> at P 29; </w:t>
      </w:r>
      <w:r>
        <w:rPr>
          <w:i/>
        </w:rPr>
        <w:t xml:space="preserve">see </w:t>
      </w:r>
      <w:r w:rsidRPr="00F13A4B">
        <w:rPr>
          <w:i/>
        </w:rPr>
        <w:t>also</w:t>
      </w:r>
      <w:r>
        <w:t xml:space="preserve"> </w:t>
      </w:r>
      <w:r w:rsidRPr="00F13A4B">
        <w:rPr>
          <w:szCs w:val="26"/>
        </w:rPr>
        <w:t>16</w:t>
      </w:r>
      <w:r>
        <w:rPr>
          <w:szCs w:val="26"/>
        </w:rPr>
        <w:t xml:space="preserve"> U.S.C. 824o(a)(3) (“The term ‘reliability standard’ means a requirement … to provide for the reliable operation of the bulk-power system.”); </w:t>
      </w:r>
      <w:r w:rsidRPr="00F13A4B">
        <w:rPr>
          <w:i/>
          <w:szCs w:val="26"/>
        </w:rPr>
        <w:t>Mandatory Reliability Standards for the Bulk-Power System</w:t>
      </w:r>
      <w:r>
        <w:rPr>
          <w:szCs w:val="26"/>
        </w:rPr>
        <w:t xml:space="preserve">, Order No. 693, </w:t>
      </w:r>
      <w:r w:rsidRPr="00F13A4B">
        <w:rPr>
          <w:szCs w:val="26"/>
        </w:rPr>
        <w:t>FERC St</w:t>
      </w:r>
      <w:r>
        <w:rPr>
          <w:szCs w:val="26"/>
        </w:rPr>
        <w:t xml:space="preserve">ats. &amp; </w:t>
      </w:r>
      <w:proofErr w:type="spellStart"/>
      <w:r>
        <w:rPr>
          <w:szCs w:val="26"/>
        </w:rPr>
        <w:t>Regs</w:t>
      </w:r>
      <w:proofErr w:type="spellEnd"/>
      <w:r>
        <w:rPr>
          <w:szCs w:val="26"/>
        </w:rPr>
        <w:t>. ¶ 31,242, at PP 97-98</w:t>
      </w:r>
      <w:r w:rsidRPr="00F13A4B">
        <w:rPr>
          <w:szCs w:val="26"/>
        </w:rPr>
        <w:t xml:space="preserve">, </w:t>
      </w:r>
      <w:r w:rsidRPr="00F13A4B">
        <w:rPr>
          <w:i/>
          <w:szCs w:val="26"/>
        </w:rPr>
        <w:t xml:space="preserve">order on </w:t>
      </w:r>
      <w:proofErr w:type="spellStart"/>
      <w:r w:rsidRPr="00F13A4B">
        <w:rPr>
          <w:i/>
          <w:szCs w:val="26"/>
        </w:rPr>
        <w:t>reh’g</w:t>
      </w:r>
      <w:proofErr w:type="spellEnd"/>
      <w:r w:rsidRPr="00F13A4B">
        <w:rPr>
          <w:szCs w:val="26"/>
        </w:rPr>
        <w:t xml:space="preserve">, Order No. 693-A, 120 FERC </w:t>
      </w:r>
      <w:r>
        <w:rPr>
          <w:szCs w:val="26"/>
        </w:rPr>
        <w:t xml:space="preserve">¶ 61,053 (2007) (explaining that each Reliability Standard will identify the set of users, owners and operators that must comply with that standard and “NERC has indicated that in the future it may add to a Reliability Standard limitations on applicability based on electric facility characteristics such as generator nameplate ratings”). </w:t>
      </w:r>
    </w:p>
  </w:footnote>
  <w:footnote w:id="29">
    <w:p w14:paraId="2227CE81" w14:textId="77777777" w:rsidR="00C60AAE" w:rsidRDefault="00C60AAE" w:rsidP="00951B34">
      <w:pPr>
        <w:pStyle w:val="FootnoteText"/>
      </w:pPr>
      <w:r>
        <w:rPr>
          <w:rStyle w:val="FootnoteReference"/>
        </w:rPr>
        <w:footnoteRef/>
      </w:r>
      <w:r>
        <w:t xml:space="preserve"> </w:t>
      </w:r>
      <w:proofErr w:type="spellStart"/>
      <w:r>
        <w:t>SmartSense</w:t>
      </w:r>
      <w:proofErr w:type="spellEnd"/>
      <w:r>
        <w:t xml:space="preserve"> Comments at 10 n.31 (citing Oak Ridge National Laboratory, Electromagnetic Pulse: Effects on the U.S. Power Grid: Meta-R-319 at page 4-14).</w:t>
      </w:r>
    </w:p>
  </w:footnote>
  <w:footnote w:id="30">
    <w:p w14:paraId="6C2A0167" w14:textId="77777777" w:rsidR="00C60AAE" w:rsidRDefault="00C60AAE" w:rsidP="00951B34">
      <w:pPr>
        <w:pStyle w:val="FootnoteText"/>
      </w:pPr>
      <w:r>
        <w:rPr>
          <w:rStyle w:val="FootnoteReference"/>
        </w:rPr>
        <w:footnoteRef/>
      </w:r>
      <w:r>
        <w:t xml:space="preserve"> </w:t>
      </w:r>
      <w:r>
        <w:rPr>
          <w:i/>
        </w:rPr>
        <w:t>Id.</w:t>
      </w:r>
      <w:r>
        <w:t xml:space="preserve"> at page 1-15 (“The operating voltage of the transmission network is an important factor in determining the level of GIC flow that will occur on each part of the U.S. power grid.  At the higher operating voltages, there are pronounced trends that:  the average length of each line increases and the average circuit resistance decreases.  These trends result in larger GIC flows in the higher voltage portions of the network, given the same geo-electric field conditions.”).</w:t>
      </w:r>
    </w:p>
  </w:footnote>
  <w:footnote w:id="31">
    <w:p w14:paraId="2284C4C1" w14:textId="77777777" w:rsidR="00C60AAE" w:rsidRDefault="00C60AAE" w:rsidP="00951B34">
      <w:pPr>
        <w:pStyle w:val="FootnoteText"/>
      </w:pPr>
      <w:r>
        <w:rPr>
          <w:rStyle w:val="FootnoteReference"/>
        </w:rPr>
        <w:footnoteRef/>
      </w:r>
      <w:r>
        <w:t xml:space="preserve"> </w:t>
      </w:r>
      <w:r>
        <w:rPr>
          <w:i/>
        </w:rPr>
        <w:t xml:space="preserve">See </w:t>
      </w:r>
      <w:r>
        <w:t>NERC Petition at 14 (“An Operating Procedure or Operating Process is maintained when it is kept relevant by taking into consideration system configuration, conditions or operating experiences, as needed to accomplish its purpose.  Requirement R3 … allows entities to tailor their Operational Procedures or Processes based on the responsible entity’s assessment of entity-specific factors, such as geography, geology, and system topology.”).</w:t>
      </w:r>
    </w:p>
  </w:footnote>
  <w:footnote w:id="32">
    <w:p w14:paraId="5A7CEF29" w14:textId="77777777" w:rsidR="00C60AAE" w:rsidRDefault="00C60AAE" w:rsidP="00951B34">
      <w:pPr>
        <w:pStyle w:val="FootnoteText"/>
      </w:pPr>
      <w:r>
        <w:rPr>
          <w:rStyle w:val="FootnoteReference"/>
        </w:rPr>
        <w:footnoteRef/>
      </w:r>
      <w:r>
        <w:t xml:space="preserve"> Idaho National Laboratory, </w:t>
      </w:r>
      <w:r>
        <w:rPr>
          <w:i/>
        </w:rPr>
        <w:t>INL Broadens Understanding of Solar Storms</w:t>
      </w:r>
      <w:r>
        <w:t xml:space="preserve"> (December 16, 2013), </w:t>
      </w:r>
      <w:r>
        <w:rPr>
          <w:i/>
        </w:rPr>
        <w:t>available at</w:t>
      </w:r>
      <w:r>
        <w:t xml:space="preserve"> </w:t>
      </w:r>
      <w:hyperlink r:id="rId4" w:history="1">
        <w:r w:rsidRPr="009179B1">
          <w:rPr>
            <w:rStyle w:val="Hyperlink"/>
          </w:rPr>
          <w:t>https://inlportal.inl.gov/portal/server.pt/community/newsroom/257/feature_story_details/1269?featurestory=DA_615269</w:t>
        </w:r>
      </w:hyperlink>
      <w:r>
        <w:t>).</w:t>
      </w:r>
    </w:p>
  </w:footnote>
  <w:footnote w:id="33">
    <w:p w14:paraId="05EFE9F0" w14:textId="77777777" w:rsidR="00C60AAE" w:rsidRDefault="00C60AAE" w:rsidP="00951B34">
      <w:pPr>
        <w:pStyle w:val="FootnoteText"/>
      </w:pPr>
      <w:r>
        <w:rPr>
          <w:rStyle w:val="FootnoteReference"/>
        </w:rPr>
        <w:footnoteRef/>
      </w:r>
      <w:r>
        <w:t xml:space="preserve"> NERC Petition, Exhibit D (White Paper Supporting Network Applicability) at 8 (Table A2).</w:t>
      </w:r>
    </w:p>
  </w:footnote>
  <w:footnote w:id="34">
    <w:p w14:paraId="5FEE6132" w14:textId="77777777" w:rsidR="00C60AAE" w:rsidRDefault="00C60AAE" w:rsidP="00951B34">
      <w:pPr>
        <w:pStyle w:val="FootnoteText"/>
      </w:pPr>
      <w:r>
        <w:rPr>
          <w:rStyle w:val="FootnoteReference"/>
        </w:rPr>
        <w:footnoteRef/>
      </w:r>
      <w:r>
        <w:t xml:space="preserve"> As we conclude that NERC provided adequate technical justification for the 200 kV applicability threshold, we reject </w:t>
      </w:r>
      <w:proofErr w:type="spellStart"/>
      <w:r>
        <w:t>SmartSense’s</w:t>
      </w:r>
      <w:proofErr w:type="spellEnd"/>
      <w:r>
        <w:t xml:space="preserve"> assertion that NERC improperly based the 200 kV threshold on a cost-benefit analysis.  </w:t>
      </w:r>
    </w:p>
  </w:footnote>
  <w:footnote w:id="35">
    <w:p w14:paraId="5713A02B" w14:textId="77777777" w:rsidR="00C60AAE" w:rsidRDefault="00C60AAE" w:rsidP="00951B34">
      <w:pPr>
        <w:pStyle w:val="FootnoteText"/>
      </w:pPr>
      <w:r>
        <w:rPr>
          <w:rStyle w:val="FootnoteReference"/>
        </w:rPr>
        <w:footnoteRef/>
      </w:r>
      <w:r>
        <w:t xml:space="preserve"> NERC, Reliability Functional Model Technical Document, Version 5, at 7 (Approved May 2010), </w:t>
      </w:r>
      <w:r w:rsidRPr="00050EFC">
        <w:rPr>
          <w:i/>
        </w:rPr>
        <w:t>available at</w:t>
      </w:r>
      <w:r>
        <w:t xml:space="preserve"> </w:t>
      </w:r>
      <w:hyperlink r:id="rId5" w:history="1">
        <w:r w:rsidRPr="00676F80">
          <w:rPr>
            <w:rStyle w:val="Hyperlink"/>
          </w:rPr>
          <w:t>http://www.nerc.com/pa/Stand/Functional%20Model%20Archive%201/FM_Technical_Document_V5_2009Dec1.pdf</w:t>
        </w:r>
      </w:hyperlink>
      <w:r>
        <w:t>.</w:t>
      </w:r>
    </w:p>
  </w:footnote>
  <w:footnote w:id="36">
    <w:p w14:paraId="26F465C4" w14:textId="77777777" w:rsidR="00C60AAE" w:rsidRDefault="00C60AAE" w:rsidP="00951B34">
      <w:pPr>
        <w:pStyle w:val="FootnoteText"/>
      </w:pPr>
      <w:r>
        <w:rPr>
          <w:rStyle w:val="FootnoteReference"/>
        </w:rPr>
        <w:footnoteRef/>
      </w:r>
      <w:r>
        <w:t xml:space="preserve"> NERC Petition, Exhibit E (White Paper Supporting Functional Entity Applicability) at 2-4.</w:t>
      </w:r>
    </w:p>
  </w:footnote>
  <w:footnote w:id="37">
    <w:p w14:paraId="08F0E95F" w14:textId="77777777" w:rsidR="00C60AAE" w:rsidRPr="00B907B2" w:rsidRDefault="00C60AAE" w:rsidP="00951B34">
      <w:pPr>
        <w:pStyle w:val="FootnoteText"/>
      </w:pPr>
      <w:r>
        <w:rPr>
          <w:rStyle w:val="FootnoteReference"/>
        </w:rPr>
        <w:footnoteRef/>
      </w:r>
      <w:r>
        <w:t xml:space="preserve"> </w:t>
      </w:r>
      <w:r>
        <w:rPr>
          <w:i/>
        </w:rPr>
        <w:t>Id.</w:t>
      </w:r>
      <w:r>
        <w:t xml:space="preserve"> at 4.</w:t>
      </w:r>
    </w:p>
  </w:footnote>
  <w:footnote w:id="38">
    <w:p w14:paraId="1D359AD6" w14:textId="77777777" w:rsidR="00C60AAE" w:rsidRPr="00703C0F" w:rsidRDefault="00C60AAE" w:rsidP="00951B34">
      <w:pPr>
        <w:pStyle w:val="FootnoteText"/>
        <w:rPr>
          <w:i/>
        </w:rPr>
      </w:pPr>
      <w:r>
        <w:rPr>
          <w:rStyle w:val="FootnoteReference"/>
        </w:rPr>
        <w:footnoteRef/>
      </w:r>
      <w:r>
        <w:t xml:space="preserve"> NERC, Geomagnetic Disturbance Operating Procedure Template Generator Operator, at 1, </w:t>
      </w:r>
      <w:r>
        <w:rPr>
          <w:i/>
        </w:rPr>
        <w:t xml:space="preserve">available at </w:t>
      </w:r>
      <w:hyperlink r:id="rId6" w:history="1">
        <w:r w:rsidRPr="009179B1">
          <w:rPr>
            <w:rStyle w:val="Hyperlink"/>
          </w:rPr>
          <w:t>http://www.nerc.com/docs/pc/gmdtf/Template_GOP.pdf</w:t>
        </w:r>
      </w:hyperlink>
      <w:r>
        <w:t xml:space="preserve"> (“Some actions listed below should only be undertaken if supported by an adequate GIC impact study and/or if adequate monitoring systems are available.  Otherwise they can make matters worse.”).</w:t>
      </w:r>
    </w:p>
  </w:footnote>
  <w:footnote w:id="39">
    <w:p w14:paraId="2C81B57F" w14:textId="77777777" w:rsidR="00C60AAE" w:rsidRDefault="00C60AAE" w:rsidP="00951B34">
      <w:pPr>
        <w:pStyle w:val="FootnoteText"/>
      </w:pPr>
      <w:r>
        <w:rPr>
          <w:rStyle w:val="FootnoteReference"/>
        </w:rPr>
        <w:footnoteRef/>
      </w:r>
      <w:r>
        <w:t xml:space="preserve"> While not basing our determination on NERC’s representation or pre-judging what NERC ultimately submits in the Second Stage GMD Reliability Standards, we note NERC’s statement that the standard drafting team for the Second Stage GMD Reliability Standards is considering including generator owners and generator operators in the applicability section of that proposed Reliability Standard.  NERC Petition, Exhibit E at 4. </w:t>
      </w:r>
    </w:p>
  </w:footnote>
  <w:footnote w:id="40">
    <w:p w14:paraId="071C93FE" w14:textId="77777777" w:rsidR="00C60AAE" w:rsidRDefault="00C60AAE" w:rsidP="00951B34">
      <w:pPr>
        <w:pStyle w:val="FootnoteText"/>
      </w:pPr>
      <w:r>
        <w:rPr>
          <w:rStyle w:val="FootnoteReference"/>
        </w:rPr>
        <w:footnoteRef/>
      </w:r>
      <w:r>
        <w:t xml:space="preserve"> NERC Petition at 3 (quoting Order No. 779, </w:t>
      </w:r>
      <w:r w:rsidRPr="00151660">
        <w:t>143 FERC ¶ 61,147</w:t>
      </w:r>
      <w:r>
        <w:t xml:space="preserve"> at P 36).</w:t>
      </w:r>
    </w:p>
  </w:footnote>
  <w:footnote w:id="41">
    <w:p w14:paraId="6E663C5B" w14:textId="77777777" w:rsidR="00C60AAE" w:rsidRDefault="00C60AAE" w:rsidP="00951B34">
      <w:pPr>
        <w:pStyle w:val="FootnoteText"/>
      </w:pPr>
      <w:r>
        <w:rPr>
          <w:rStyle w:val="FootnoteReference"/>
        </w:rPr>
        <w:footnoteRef/>
      </w:r>
      <w:r>
        <w:t xml:space="preserve"> </w:t>
      </w:r>
      <w:r>
        <w:rPr>
          <w:i/>
        </w:rPr>
        <w:t>Id.</w:t>
      </w:r>
      <w:r>
        <w:t xml:space="preserve"> at 3-4.</w:t>
      </w:r>
    </w:p>
  </w:footnote>
  <w:footnote w:id="42">
    <w:p w14:paraId="63265B07" w14:textId="77777777" w:rsidR="00C60AAE" w:rsidRDefault="00C60AAE" w:rsidP="00951B34">
      <w:pPr>
        <w:pStyle w:val="FootnoteText"/>
      </w:pPr>
      <w:r>
        <w:rPr>
          <w:rStyle w:val="FootnoteReference"/>
        </w:rPr>
        <w:footnoteRef/>
      </w:r>
      <w:r>
        <w:t xml:space="preserve"> In Order No. 779, the Commission noted that some entities have already implemented operational procedures that address GMD events.  Order No. 779, </w:t>
      </w:r>
      <w:r w:rsidRPr="00151660">
        <w:t>143 FERC ¶ 61,147</w:t>
      </w:r>
      <w:r>
        <w:t xml:space="preserve"> at P 37.  </w:t>
      </w:r>
    </w:p>
  </w:footnote>
  <w:footnote w:id="43">
    <w:p w14:paraId="517F1201" w14:textId="77777777" w:rsidR="00C60AAE" w:rsidRDefault="00C60AAE" w:rsidP="00951B34">
      <w:pPr>
        <w:pStyle w:val="FootnoteText"/>
      </w:pPr>
      <w:r>
        <w:rPr>
          <w:rStyle w:val="FootnoteReference"/>
        </w:rPr>
        <w:footnoteRef/>
      </w:r>
      <w:r>
        <w:t xml:space="preserve"> Order No. 779, </w:t>
      </w:r>
      <w:r w:rsidRPr="00151660">
        <w:t>143 FERC ¶ 61,147</w:t>
      </w:r>
      <w:r>
        <w:t xml:space="preserve"> at P 36.</w:t>
      </w:r>
    </w:p>
  </w:footnote>
  <w:footnote w:id="44">
    <w:p w14:paraId="12E290E0" w14:textId="77777777" w:rsidR="00C60AAE" w:rsidRDefault="00C60AAE" w:rsidP="00951B34">
      <w:pPr>
        <w:pStyle w:val="FootnoteText"/>
      </w:pPr>
      <w:r>
        <w:rPr>
          <w:rStyle w:val="FootnoteReference"/>
        </w:rPr>
        <w:footnoteRef/>
      </w:r>
      <w:r>
        <w:t xml:space="preserve"> We will also consider then the need for the Second Stage GMD Reliability Standard’s planning requirements to integrate appropriately with the First Stage GMD Reliability Standard’s operating requirements.</w:t>
      </w:r>
    </w:p>
  </w:footnote>
  <w:footnote w:id="45">
    <w:p w14:paraId="18DC930E" w14:textId="77777777" w:rsidR="00C60AAE" w:rsidRDefault="00C60AAE" w:rsidP="00951B34">
      <w:pPr>
        <w:pStyle w:val="FootnoteText"/>
      </w:pPr>
      <w:r>
        <w:rPr>
          <w:rStyle w:val="FootnoteReference"/>
        </w:rPr>
        <w:footnoteRef/>
      </w:r>
      <w:r>
        <w:t xml:space="preserve"> We do not address here the issue of access to GMD monitoring data for other purposes, such as reassessing the benchmark GMD event, since this issue too belongs properly in the Second Stage GMD Reliability Standards.</w:t>
      </w:r>
    </w:p>
  </w:footnote>
  <w:footnote w:id="46">
    <w:p w14:paraId="610243F8" w14:textId="77777777" w:rsidR="00C60AAE" w:rsidRDefault="00C60AAE" w:rsidP="001607F6">
      <w:pPr>
        <w:pStyle w:val="FootnoteText"/>
        <w:ind w:firstLine="720"/>
      </w:pPr>
      <w:r>
        <w:rPr>
          <w:rStyle w:val="FootnoteReference"/>
          <w:szCs w:val="26"/>
        </w:rPr>
        <w:footnoteRef/>
      </w:r>
      <w:r>
        <w:t xml:space="preserve"> This number was calculated by adding all the applicable entities while removing double counting caused by entities registered under multiple functions.</w:t>
      </w:r>
    </w:p>
  </w:footnote>
  <w:footnote w:id="47">
    <w:p w14:paraId="2EF670AA" w14:textId="77777777" w:rsidR="00C60AAE" w:rsidRDefault="00C60AAE" w:rsidP="001607F6">
      <w:pPr>
        <w:pStyle w:val="FootnoteText"/>
        <w:ind w:firstLine="720"/>
      </w:pPr>
      <w:r>
        <w:rPr>
          <w:rStyle w:val="FootnoteReference"/>
          <w:szCs w:val="26"/>
        </w:rPr>
        <w:footnoteRef/>
      </w:r>
      <w:r>
        <w:t xml:space="preserve"> The estimated hourly loaded cost (salary plus benefits) for an engineer is assumed to be $60/hour, based on salaries as reported by the Bureau of Labor Statistics (BLS) (</w:t>
      </w:r>
      <w:hyperlink r:id="rId7" w:history="1">
        <w:r>
          <w:rPr>
            <w:rStyle w:val="Hyperlink"/>
          </w:rPr>
          <w:t>http://bls.gov/oes/current/naics2_22.htm</w:t>
        </w:r>
      </w:hyperlink>
      <w:r>
        <w:t>).  Loaded costs are BLS rates divided by 0.703 and rounded to the nearest dollar (</w:t>
      </w:r>
      <w:hyperlink r:id="rId8" w:history="1">
        <w:r w:rsidRPr="00911DED">
          <w:rPr>
            <w:rStyle w:val="Hyperlink"/>
          </w:rPr>
          <w:t>http://www.bls.gov/news.release/ecec.nr0.htm</w:t>
        </w:r>
      </w:hyperlink>
      <w:r w:rsidRPr="00911DED">
        <w:t>)</w:t>
      </w:r>
      <w:r>
        <w:t>.</w:t>
      </w:r>
    </w:p>
  </w:footnote>
  <w:footnote w:id="48">
    <w:p w14:paraId="3F4CEEFE" w14:textId="77777777" w:rsidR="00C60AAE" w:rsidRDefault="00C60AAE" w:rsidP="00076203">
      <w:pPr>
        <w:pStyle w:val="FootnoteText"/>
        <w:ind w:firstLine="720"/>
      </w:pPr>
      <w:r w:rsidRPr="00BD4A05">
        <w:rPr>
          <w:rStyle w:val="FootnoteReference"/>
        </w:rPr>
        <w:footnoteRef/>
      </w:r>
      <w:r>
        <w:t xml:space="preserve"> </w:t>
      </w:r>
      <w:r w:rsidRPr="00D81467">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NOPR in Docket No. RM14-14), and other changes to the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3AFB5" w14:textId="77777777" w:rsidR="00C60AAE" w:rsidRDefault="00C60AAE" w:rsidP="00B3407F">
    <w:pPr>
      <w:pStyle w:val="Header"/>
      <w:rPr>
        <w:rFonts w:ascii="Times New Roman" w:hAnsi="Times New Roman"/>
        <w:sz w:val="24"/>
        <w:szCs w:val="24"/>
      </w:rPr>
    </w:pPr>
    <w:r>
      <w:rPr>
        <w:rFonts w:ascii="Times New Roman" w:hAnsi="Times New Roman"/>
        <w:sz w:val="24"/>
        <w:szCs w:val="24"/>
      </w:rPr>
      <w:t xml:space="preserve">FERC-725S (OMB Control No.: 1902-0270) </w:t>
    </w:r>
  </w:p>
  <w:p w14:paraId="68789A9A" w14:textId="77777777" w:rsidR="00C60AAE" w:rsidRDefault="00C60AAE" w:rsidP="00B3407F">
    <w:pPr>
      <w:pStyle w:val="Header"/>
      <w:rPr>
        <w:rFonts w:ascii="Times New Roman" w:hAnsi="Times New Roman"/>
        <w:sz w:val="24"/>
        <w:szCs w:val="24"/>
      </w:rPr>
    </w:pPr>
    <w:r>
      <w:rPr>
        <w:rFonts w:ascii="Times New Roman" w:hAnsi="Times New Roman"/>
        <w:sz w:val="24"/>
        <w:szCs w:val="24"/>
      </w:rPr>
      <w:t>Docket No. RM14-1</w:t>
    </w:r>
    <w:r w:rsidRPr="001F1AD2">
      <w:rPr>
        <w:rFonts w:ascii="Times New Roman" w:hAnsi="Times New Roman"/>
        <w:sz w:val="24"/>
        <w:szCs w:val="24"/>
      </w:rPr>
      <w:t xml:space="preserve"> </w:t>
    </w:r>
    <w:r>
      <w:rPr>
        <w:rFonts w:ascii="Times New Roman" w:hAnsi="Times New Roman"/>
        <w:sz w:val="24"/>
        <w:szCs w:val="24"/>
      </w:rPr>
      <w:t xml:space="preserve">Final Rule, issued June 19, 2014 </w:t>
    </w:r>
  </w:p>
  <w:p w14:paraId="75CFFCB4" w14:textId="32344F9F" w:rsidR="00C60AAE" w:rsidRDefault="00C60AAE" w:rsidP="00B3407F">
    <w:pPr>
      <w:pStyle w:val="Header"/>
      <w:rPr>
        <w:rFonts w:ascii="Times New Roman" w:hAnsi="Times New Roman"/>
        <w:sz w:val="24"/>
        <w:szCs w:val="24"/>
      </w:rPr>
    </w:pPr>
    <w:r w:rsidRPr="009A2394">
      <w:rPr>
        <w:rFonts w:ascii="Times New Roman" w:hAnsi="Times New Roman"/>
        <w:sz w:val="24"/>
        <w:szCs w:val="24"/>
      </w:rPr>
      <w:t xml:space="preserve">RIN: </w:t>
    </w:r>
    <w:r w:rsidRPr="003D11E0">
      <w:rPr>
        <w:rFonts w:ascii="Times New Roman" w:hAnsi="Times New Roman"/>
        <w:sz w:val="24"/>
        <w:szCs w:val="24"/>
      </w:rPr>
      <w:t>1902-</w:t>
    </w:r>
    <w:r>
      <w:rPr>
        <w:rFonts w:ascii="Times New Roman" w:hAnsi="Times New Roman"/>
        <w:sz w:val="24"/>
        <w:szCs w:val="24"/>
      </w:rPr>
      <w:t>AE80</w:t>
    </w:r>
    <w:r w:rsidR="00003FEC">
      <w:rPr>
        <w:rFonts w:ascii="Times New Roman" w:hAnsi="Times New Roman"/>
        <w:sz w:val="24"/>
        <w:szCs w:val="24"/>
      </w:rPr>
      <w:t xml:space="preserve">, Updated </w:t>
    </w:r>
    <w:r w:rsidR="007A078E">
      <w:rPr>
        <w:rFonts w:ascii="Times New Roman" w:hAnsi="Times New Roman"/>
        <w:sz w:val="24"/>
        <w:szCs w:val="24"/>
      </w:rPr>
      <w:t>10/30</w:t>
    </w:r>
    <w:r w:rsidR="00003FEC">
      <w:rPr>
        <w:rFonts w:ascii="Times New Roman" w:hAnsi="Times New Roman"/>
        <w:sz w:val="24"/>
        <w:szCs w:val="24"/>
      </w:rPr>
      <w:t>/</w:t>
    </w:r>
    <w:r w:rsidR="007A53B1">
      <w:rPr>
        <w:rFonts w:ascii="Times New Roman" w:hAnsi="Times New Roman"/>
        <w:sz w:val="24"/>
        <w:szCs w:val="24"/>
      </w:rPr>
      <w:t>20</w:t>
    </w:r>
    <w:r w:rsidR="00003FEC">
      <w:rPr>
        <w:rFonts w:ascii="Times New Roman" w:hAnsi="Times New Roman"/>
        <w:sz w:val="24"/>
        <w:szCs w:val="24"/>
      </w:rPr>
      <w:t>14</w:t>
    </w:r>
  </w:p>
  <w:p w14:paraId="471E81C5" w14:textId="77777777" w:rsidR="00C60AAE" w:rsidRDefault="00C60AAE"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nsid w:val="4FB756CA"/>
    <w:multiLevelType w:val="hybridMultilevel"/>
    <w:tmpl w:val="D8EA1246"/>
    <w:lvl w:ilvl="0" w:tplc="F8101DFE">
      <w:start w:val="2"/>
      <w:numFmt w:val="decimal"/>
      <w:lvlText w:val="%1."/>
      <w:lvlJc w:val="left"/>
      <w:pPr>
        <w:tabs>
          <w:tab w:val="num" w:pos="720"/>
        </w:tabs>
        <w:ind w:left="720" w:hanging="360"/>
      </w:pPr>
      <w:rPr>
        <w:rFonts w:hint="default"/>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260868"/>
    <w:multiLevelType w:val="hybridMultilevel"/>
    <w:tmpl w:val="FF063818"/>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9">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2"/>
  </w:num>
  <w:num w:numId="3">
    <w:abstractNumId w:val="15"/>
  </w:num>
  <w:num w:numId="4">
    <w:abstractNumId w:val="17"/>
  </w:num>
  <w:num w:numId="5">
    <w:abstractNumId w:val="19"/>
  </w:num>
  <w:num w:numId="6">
    <w:abstractNumId w:val="18"/>
  </w:num>
  <w:num w:numId="7">
    <w:abstractNumId w:val="11"/>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3FEC"/>
    <w:rsid w:val="000042C0"/>
    <w:rsid w:val="00021A58"/>
    <w:rsid w:val="0002242D"/>
    <w:rsid w:val="00024320"/>
    <w:rsid w:val="00035845"/>
    <w:rsid w:val="00045A8C"/>
    <w:rsid w:val="00071E8E"/>
    <w:rsid w:val="00076203"/>
    <w:rsid w:val="0008455C"/>
    <w:rsid w:val="000A6548"/>
    <w:rsid w:val="000B0C37"/>
    <w:rsid w:val="000E4604"/>
    <w:rsid w:val="000E56E7"/>
    <w:rsid w:val="0011083C"/>
    <w:rsid w:val="00117E4C"/>
    <w:rsid w:val="00137DE4"/>
    <w:rsid w:val="00143103"/>
    <w:rsid w:val="001607F6"/>
    <w:rsid w:val="001622A5"/>
    <w:rsid w:val="00165CDB"/>
    <w:rsid w:val="001701C1"/>
    <w:rsid w:val="0017787C"/>
    <w:rsid w:val="00181727"/>
    <w:rsid w:val="00182858"/>
    <w:rsid w:val="00185730"/>
    <w:rsid w:val="00190012"/>
    <w:rsid w:val="001C1311"/>
    <w:rsid w:val="001C300E"/>
    <w:rsid w:val="001E506C"/>
    <w:rsid w:val="001E5901"/>
    <w:rsid w:val="001F1AD2"/>
    <w:rsid w:val="00212FCA"/>
    <w:rsid w:val="002140A7"/>
    <w:rsid w:val="00216634"/>
    <w:rsid w:val="00216890"/>
    <w:rsid w:val="00220C8C"/>
    <w:rsid w:val="002249B4"/>
    <w:rsid w:val="00231EBD"/>
    <w:rsid w:val="0023536A"/>
    <w:rsid w:val="00254C5D"/>
    <w:rsid w:val="0026674D"/>
    <w:rsid w:val="002800F3"/>
    <w:rsid w:val="002A3817"/>
    <w:rsid w:val="002B13E2"/>
    <w:rsid w:val="002D5620"/>
    <w:rsid w:val="002E3274"/>
    <w:rsid w:val="002E48FF"/>
    <w:rsid w:val="00324D7D"/>
    <w:rsid w:val="00333EE2"/>
    <w:rsid w:val="00345EF7"/>
    <w:rsid w:val="003723E3"/>
    <w:rsid w:val="00376399"/>
    <w:rsid w:val="003B25DD"/>
    <w:rsid w:val="003C235A"/>
    <w:rsid w:val="003C3532"/>
    <w:rsid w:val="003D11E0"/>
    <w:rsid w:val="003D2DC4"/>
    <w:rsid w:val="003D69FC"/>
    <w:rsid w:val="003E5045"/>
    <w:rsid w:val="003F745C"/>
    <w:rsid w:val="004076DE"/>
    <w:rsid w:val="00414F32"/>
    <w:rsid w:val="00415C53"/>
    <w:rsid w:val="00417592"/>
    <w:rsid w:val="00451BC6"/>
    <w:rsid w:val="00453246"/>
    <w:rsid w:val="004552E9"/>
    <w:rsid w:val="00457F4F"/>
    <w:rsid w:val="004779B9"/>
    <w:rsid w:val="0048277D"/>
    <w:rsid w:val="0049729F"/>
    <w:rsid w:val="004A32F7"/>
    <w:rsid w:val="004A6CC9"/>
    <w:rsid w:val="004B01EE"/>
    <w:rsid w:val="004B0722"/>
    <w:rsid w:val="004B6FBB"/>
    <w:rsid w:val="004C4C89"/>
    <w:rsid w:val="004D7BDC"/>
    <w:rsid w:val="004F6977"/>
    <w:rsid w:val="004F7A4D"/>
    <w:rsid w:val="00504E92"/>
    <w:rsid w:val="005229F0"/>
    <w:rsid w:val="00522F69"/>
    <w:rsid w:val="00530462"/>
    <w:rsid w:val="0053287C"/>
    <w:rsid w:val="005335A7"/>
    <w:rsid w:val="00537D89"/>
    <w:rsid w:val="00571C5E"/>
    <w:rsid w:val="0057700F"/>
    <w:rsid w:val="00577124"/>
    <w:rsid w:val="00580974"/>
    <w:rsid w:val="005A1F8D"/>
    <w:rsid w:val="005A2792"/>
    <w:rsid w:val="005B4642"/>
    <w:rsid w:val="005B77CE"/>
    <w:rsid w:val="005C60CF"/>
    <w:rsid w:val="005D7AC9"/>
    <w:rsid w:val="005E7290"/>
    <w:rsid w:val="005F1C3C"/>
    <w:rsid w:val="00600303"/>
    <w:rsid w:val="00601BAC"/>
    <w:rsid w:val="00602795"/>
    <w:rsid w:val="006166FA"/>
    <w:rsid w:val="00622DC1"/>
    <w:rsid w:val="00627F89"/>
    <w:rsid w:val="00653BD5"/>
    <w:rsid w:val="00664BC0"/>
    <w:rsid w:val="006835EB"/>
    <w:rsid w:val="00690136"/>
    <w:rsid w:val="00694A76"/>
    <w:rsid w:val="006E16FF"/>
    <w:rsid w:val="006E33D4"/>
    <w:rsid w:val="006E6BF1"/>
    <w:rsid w:val="0072126E"/>
    <w:rsid w:val="00730307"/>
    <w:rsid w:val="00734692"/>
    <w:rsid w:val="007518B7"/>
    <w:rsid w:val="00763EAE"/>
    <w:rsid w:val="00764D4D"/>
    <w:rsid w:val="00773AEB"/>
    <w:rsid w:val="00777B05"/>
    <w:rsid w:val="00784B2E"/>
    <w:rsid w:val="00787670"/>
    <w:rsid w:val="007A078E"/>
    <w:rsid w:val="007A2C74"/>
    <w:rsid w:val="007A2F92"/>
    <w:rsid w:val="007A53B1"/>
    <w:rsid w:val="007A7A19"/>
    <w:rsid w:val="007E0896"/>
    <w:rsid w:val="007E7C0F"/>
    <w:rsid w:val="007F2CD9"/>
    <w:rsid w:val="007F3D17"/>
    <w:rsid w:val="0081469B"/>
    <w:rsid w:val="0081641C"/>
    <w:rsid w:val="00821554"/>
    <w:rsid w:val="00824B30"/>
    <w:rsid w:val="00826750"/>
    <w:rsid w:val="00837F0A"/>
    <w:rsid w:val="00851015"/>
    <w:rsid w:val="00853FEA"/>
    <w:rsid w:val="008619E1"/>
    <w:rsid w:val="00861A1F"/>
    <w:rsid w:val="00876F75"/>
    <w:rsid w:val="00883F19"/>
    <w:rsid w:val="00894651"/>
    <w:rsid w:val="008A21A4"/>
    <w:rsid w:val="008B0A37"/>
    <w:rsid w:val="008B703B"/>
    <w:rsid w:val="008C1300"/>
    <w:rsid w:val="008C288D"/>
    <w:rsid w:val="008E70CD"/>
    <w:rsid w:val="008F3AD3"/>
    <w:rsid w:val="00913A8B"/>
    <w:rsid w:val="0092057D"/>
    <w:rsid w:val="0092596C"/>
    <w:rsid w:val="0092617D"/>
    <w:rsid w:val="009469AB"/>
    <w:rsid w:val="00951B34"/>
    <w:rsid w:val="00970FE4"/>
    <w:rsid w:val="0097671B"/>
    <w:rsid w:val="0098144A"/>
    <w:rsid w:val="00990149"/>
    <w:rsid w:val="009A2394"/>
    <w:rsid w:val="009A6041"/>
    <w:rsid w:val="009A6326"/>
    <w:rsid w:val="009B7ADB"/>
    <w:rsid w:val="009E1190"/>
    <w:rsid w:val="009E68B7"/>
    <w:rsid w:val="009F358B"/>
    <w:rsid w:val="00A22222"/>
    <w:rsid w:val="00A2666C"/>
    <w:rsid w:val="00A276F5"/>
    <w:rsid w:val="00A30951"/>
    <w:rsid w:val="00A4336A"/>
    <w:rsid w:val="00A457B5"/>
    <w:rsid w:val="00A548BE"/>
    <w:rsid w:val="00A549C4"/>
    <w:rsid w:val="00A563E2"/>
    <w:rsid w:val="00A72E7B"/>
    <w:rsid w:val="00A808EC"/>
    <w:rsid w:val="00A91783"/>
    <w:rsid w:val="00A9229B"/>
    <w:rsid w:val="00A92B54"/>
    <w:rsid w:val="00A92E6C"/>
    <w:rsid w:val="00A9315A"/>
    <w:rsid w:val="00A968FB"/>
    <w:rsid w:val="00A96B65"/>
    <w:rsid w:val="00AB0888"/>
    <w:rsid w:val="00AB18E0"/>
    <w:rsid w:val="00AB50C1"/>
    <w:rsid w:val="00AB7329"/>
    <w:rsid w:val="00AC488E"/>
    <w:rsid w:val="00AC5B54"/>
    <w:rsid w:val="00AD3DE5"/>
    <w:rsid w:val="00AE44B8"/>
    <w:rsid w:val="00AF32F2"/>
    <w:rsid w:val="00B016F3"/>
    <w:rsid w:val="00B1381C"/>
    <w:rsid w:val="00B16372"/>
    <w:rsid w:val="00B33F06"/>
    <w:rsid w:val="00B3407F"/>
    <w:rsid w:val="00B34FF5"/>
    <w:rsid w:val="00B5301A"/>
    <w:rsid w:val="00B62DC2"/>
    <w:rsid w:val="00B701FF"/>
    <w:rsid w:val="00B70A89"/>
    <w:rsid w:val="00B745E3"/>
    <w:rsid w:val="00B76FBC"/>
    <w:rsid w:val="00B86284"/>
    <w:rsid w:val="00BA1C7D"/>
    <w:rsid w:val="00BA5743"/>
    <w:rsid w:val="00BA7C56"/>
    <w:rsid w:val="00BB71CF"/>
    <w:rsid w:val="00BC302C"/>
    <w:rsid w:val="00C00D70"/>
    <w:rsid w:val="00C01698"/>
    <w:rsid w:val="00C10C1A"/>
    <w:rsid w:val="00C118F9"/>
    <w:rsid w:val="00C25045"/>
    <w:rsid w:val="00C25EF3"/>
    <w:rsid w:val="00C44AE9"/>
    <w:rsid w:val="00C510DD"/>
    <w:rsid w:val="00C52D3B"/>
    <w:rsid w:val="00C57485"/>
    <w:rsid w:val="00C57895"/>
    <w:rsid w:val="00C60AAE"/>
    <w:rsid w:val="00C60EDC"/>
    <w:rsid w:val="00C867EB"/>
    <w:rsid w:val="00C96F41"/>
    <w:rsid w:val="00CA495F"/>
    <w:rsid w:val="00CA4F8C"/>
    <w:rsid w:val="00CA59C3"/>
    <w:rsid w:val="00CB5C60"/>
    <w:rsid w:val="00CB79F6"/>
    <w:rsid w:val="00CC086F"/>
    <w:rsid w:val="00CD061C"/>
    <w:rsid w:val="00CD7540"/>
    <w:rsid w:val="00CD7DBB"/>
    <w:rsid w:val="00CE34E4"/>
    <w:rsid w:val="00CF734E"/>
    <w:rsid w:val="00D037AB"/>
    <w:rsid w:val="00D05A7F"/>
    <w:rsid w:val="00D119C3"/>
    <w:rsid w:val="00D20588"/>
    <w:rsid w:val="00D31FF3"/>
    <w:rsid w:val="00D342FA"/>
    <w:rsid w:val="00D35285"/>
    <w:rsid w:val="00D438B3"/>
    <w:rsid w:val="00D606BB"/>
    <w:rsid w:val="00D734E6"/>
    <w:rsid w:val="00D80FBD"/>
    <w:rsid w:val="00D81467"/>
    <w:rsid w:val="00D8341B"/>
    <w:rsid w:val="00DB14A2"/>
    <w:rsid w:val="00DC4E36"/>
    <w:rsid w:val="00DD0C60"/>
    <w:rsid w:val="00DD3306"/>
    <w:rsid w:val="00DD5283"/>
    <w:rsid w:val="00DE1A72"/>
    <w:rsid w:val="00DF401D"/>
    <w:rsid w:val="00DF56DA"/>
    <w:rsid w:val="00DF739D"/>
    <w:rsid w:val="00E05800"/>
    <w:rsid w:val="00E05FA3"/>
    <w:rsid w:val="00E11CA6"/>
    <w:rsid w:val="00E14565"/>
    <w:rsid w:val="00E20612"/>
    <w:rsid w:val="00E32441"/>
    <w:rsid w:val="00E37D76"/>
    <w:rsid w:val="00E51641"/>
    <w:rsid w:val="00E57AAC"/>
    <w:rsid w:val="00E636D7"/>
    <w:rsid w:val="00E66168"/>
    <w:rsid w:val="00E77D58"/>
    <w:rsid w:val="00E87A4F"/>
    <w:rsid w:val="00EB1FF5"/>
    <w:rsid w:val="00EB3E6F"/>
    <w:rsid w:val="00EB4764"/>
    <w:rsid w:val="00EB68C9"/>
    <w:rsid w:val="00EC0232"/>
    <w:rsid w:val="00ED09F5"/>
    <w:rsid w:val="00ED5560"/>
    <w:rsid w:val="00EE79F9"/>
    <w:rsid w:val="00EF085B"/>
    <w:rsid w:val="00EF4103"/>
    <w:rsid w:val="00F0060C"/>
    <w:rsid w:val="00F12DC2"/>
    <w:rsid w:val="00F152DF"/>
    <w:rsid w:val="00F35A97"/>
    <w:rsid w:val="00F41C13"/>
    <w:rsid w:val="00F55597"/>
    <w:rsid w:val="00F82DB7"/>
    <w:rsid w:val="00F9136F"/>
    <w:rsid w:val="00FB16E6"/>
    <w:rsid w:val="00FC1142"/>
    <w:rsid w:val="00FC7738"/>
    <w:rsid w:val="00FD66F1"/>
    <w:rsid w:val="00FF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E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customStyle="1" w:styleId="Level1">
    <w:name w:val="Level 1"/>
    <w:basedOn w:val="Normal"/>
    <w:rsid w:val="00C57895"/>
    <w:pPr>
      <w:widowControl w:val="0"/>
      <w:numPr>
        <w:numId w:val="3"/>
      </w:numPr>
      <w:autoSpaceDE w:val="0"/>
      <w:autoSpaceDN w:val="0"/>
      <w:adjustRightInd w:val="0"/>
      <w:spacing w:after="0" w:line="240" w:lineRule="auto"/>
      <w:ind w:hanging="720"/>
      <w:outlineLvl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uiPriority w:val="99"/>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customStyle="1" w:styleId="Level1">
    <w:name w:val="Level 1"/>
    <w:basedOn w:val="Normal"/>
    <w:rsid w:val="00C57895"/>
    <w:pPr>
      <w:widowControl w:val="0"/>
      <w:numPr>
        <w:numId w:val="3"/>
      </w:numPr>
      <w:autoSpaceDE w:val="0"/>
      <w:autoSpaceDN w:val="0"/>
      <w:adjustRightInd w:val="0"/>
      <w:spacing w:after="0" w:line="240" w:lineRule="auto"/>
      <w:ind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1328752263">
      <w:bodyDiv w:val="1"/>
      <w:marLeft w:val="0"/>
      <w:marRight w:val="0"/>
      <w:marTop w:val="0"/>
      <w:marBottom w:val="0"/>
      <w:divBdr>
        <w:top w:val="none" w:sz="0" w:space="0" w:color="auto"/>
        <w:left w:val="none" w:sz="0" w:space="0" w:color="auto"/>
        <w:bottom w:val="none" w:sz="0" w:space="0" w:color="auto"/>
        <w:right w:val="none" w:sz="0" w:space="0" w:color="auto"/>
      </w:divBdr>
    </w:div>
    <w:div w:id="1473787175">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3" Type="http://schemas.openxmlformats.org/officeDocument/2006/relationships/hyperlink" Target="https://inlportal.inl.gov/portal/server.pt/community/newsroom/257/feature_story_details/1269?featurestory=DA_615269" TargetMode="External"/><Relationship Id="rId7" Type="http://schemas.openxmlformats.org/officeDocument/2006/relationships/hyperlink" Target="http://bls.gov/oes/current/naics2_22.htm" TargetMode="External"/><Relationship Id="rId2" Type="http://schemas.openxmlformats.org/officeDocument/2006/relationships/hyperlink" Target="http://www.ornl.gov/sci/ees/etsd/pes/pubs/ferc_Meta-R-319.pdf" TargetMode="External"/><Relationship Id="rId1" Type="http://schemas.openxmlformats.org/officeDocument/2006/relationships/hyperlink" Target="http://www.nerc.com/FilingsOrders/us/RuleOfProcedureDL/NERC_ROP_Effective_20140701_updated_20140602.pdf" TargetMode="External"/><Relationship Id="rId6" Type="http://schemas.openxmlformats.org/officeDocument/2006/relationships/hyperlink" Target="http://www.nerc.com/docs/pc/gmdtf/Template_GOP.pdf" TargetMode="External"/><Relationship Id="rId5" Type="http://schemas.openxmlformats.org/officeDocument/2006/relationships/hyperlink" Target="http://www.nerc.com/pa/Stand/Functional%20Model%20Archive%201/FM_Technical_Document_V5_2009Dec1.pdf" TargetMode="External"/><Relationship Id="rId4" Type="http://schemas.openxmlformats.org/officeDocument/2006/relationships/hyperlink" Target="https://inlportal.inl.gov/portal/server.pt/community/newsroom/257/feature_story_details/1269?featurestory=DA_615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dms="http://schemas.microsoft.com/office/2006/documentManagement/types" targetNamespace="d6eefc7d-9817-4fa6-84d5-3bc009be21b8" elementFormDefault="qualified">
    <xsd:import namespace="http://schemas.microsoft.com/office/2006/documentManagement/type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725S</_x0031__x002e__x0020_Collection_x0020_Number>
    <Date xmlns="d6eefc7d-9817-4fa6-84d5-3bc009be21b8">2014-10-30T00:00:00-04:00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RM14-1</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8EE49-B13C-4CBF-8C27-6F9387446396}">
  <ds:schemaRefs>
    <ds:schemaRef ds:uri="http://schemas.microsoft.com/sharepoint/v3/contenttype/forms"/>
  </ds:schemaRefs>
</ds:datastoreItem>
</file>

<file path=customXml/itemProps2.xml><?xml version="1.0" encoding="utf-8"?>
<ds:datastoreItem xmlns:ds="http://schemas.openxmlformats.org/officeDocument/2006/customXml" ds:itemID="{EDE8147A-E17F-422B-A07F-F554D09B7FF5}">
  <ds:schemaRefs>
    <ds:schemaRef ds:uri="http://schemas.microsoft.com/office/2006/metadata/customXsn"/>
  </ds:schemaRefs>
</ds:datastoreItem>
</file>

<file path=customXml/itemProps3.xml><?xml version="1.0" encoding="utf-8"?>
<ds:datastoreItem xmlns:ds="http://schemas.openxmlformats.org/officeDocument/2006/customXml" ds:itemID="{96B7679C-3C4F-4CB5-9055-F9570276F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5F59CE-8395-4AB3-87B1-CD831C71D2F5}">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820630D1-E887-4EBC-9547-2940D831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5833</Words>
  <Characters>34591</Characters>
  <Application>Microsoft Office Word</Application>
  <DocSecurity>0</DocSecurity>
  <Lines>628</Lines>
  <Paragraphs>213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2014-10-30T18:30:00Z</dcterms:created>
  <dcterms:modified xsi:type="dcterms:W3CDTF">2014-10-30T18:30:00Z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ies>
</file>