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Pr="00EA6E07" w:rsidRDefault="00F06866" w:rsidP="00F06866">
      <w:pPr>
        <w:pStyle w:val="Heading2"/>
        <w:tabs>
          <w:tab w:val="left" w:pos="900"/>
        </w:tabs>
        <w:ind w:right="-180"/>
      </w:pPr>
      <w:r w:rsidRPr="00EA6E07">
        <w:rPr>
          <w:sz w:val="28"/>
        </w:rPr>
        <w:t xml:space="preserve">Request for Approval under the “Generic Clearance for the Collection of Routine Customer Feedback” (OMB Control Number: </w:t>
      </w:r>
      <w:r w:rsidR="00CE7805" w:rsidRPr="00EA6E07">
        <w:rPr>
          <w:sz w:val="28"/>
        </w:rPr>
        <w:t>1880-0542</w:t>
      </w:r>
      <w:r w:rsidRPr="00EA6E07">
        <w:rPr>
          <w:sz w:val="28"/>
        </w:rPr>
        <w:t>)</w:t>
      </w:r>
    </w:p>
    <w:p w:rsidR="0086237E" w:rsidRPr="00EA6E07" w:rsidRDefault="0086237E" w:rsidP="00434E33">
      <w:pPr>
        <w:rPr>
          <w:b/>
        </w:rPr>
      </w:pPr>
    </w:p>
    <w:p w:rsidR="000E5E8C" w:rsidRPr="00EA6E07" w:rsidRDefault="00770EAE" w:rsidP="00B661B5">
      <w:pPr>
        <w:spacing w:before="240" w:after="120"/>
      </w:pPr>
      <w:r>
        <w:rPr>
          <w:b/>
          <w:noProof/>
        </w:rPr>
        <mc:AlternateContent>
          <mc:Choice Requires="wps">
            <w:drawing>
              <wp:anchor distT="4294967292" distB="4294967292" distL="114300" distR="114300" simplePos="0" relativeHeight="251657728"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EA6E07">
        <w:rPr>
          <w:b/>
        </w:rPr>
        <w:t>TITLE OF INFORMATION COLLECTION</w:t>
      </w:r>
      <w:r w:rsidR="005E714A" w:rsidRPr="00EA6E07">
        <w:t xml:space="preserve">  </w:t>
      </w:r>
    </w:p>
    <w:p w:rsidR="005E714A" w:rsidRPr="00EA6E07" w:rsidRDefault="00DD0851" w:rsidP="00D64D06">
      <w:r>
        <w:t>Magnets and School Turnaround</w:t>
      </w:r>
      <w:r w:rsidR="00B614B2">
        <w:t>s</w:t>
      </w:r>
    </w:p>
    <w:p w:rsidR="000E5E8C" w:rsidRPr="00EA6E07" w:rsidRDefault="00F15956" w:rsidP="00D64D06">
      <w:pPr>
        <w:spacing w:before="120" w:after="120"/>
        <w:rPr>
          <w:b/>
        </w:rPr>
      </w:pPr>
      <w:r w:rsidRPr="00EA6E07">
        <w:rPr>
          <w:b/>
        </w:rPr>
        <w:t>PURPOSE</w:t>
      </w:r>
      <w:r w:rsidR="00C14CC4" w:rsidRPr="00EA6E07">
        <w:rPr>
          <w:b/>
        </w:rPr>
        <w:t xml:space="preserve">  </w:t>
      </w:r>
    </w:p>
    <w:p w:rsidR="00B23920" w:rsidRPr="00B23920" w:rsidRDefault="00DE2A74" w:rsidP="00B23920">
      <w:pPr>
        <w:spacing w:after="120"/>
      </w:pPr>
      <w:r w:rsidRPr="00EA6E07">
        <w:t xml:space="preserve">The purpose of the </w:t>
      </w:r>
      <w:r w:rsidR="00886ABD">
        <w:t>data collection interview</w:t>
      </w:r>
      <w:r w:rsidR="004E7A23" w:rsidRPr="00EA6E07">
        <w:t xml:space="preserve"> </w:t>
      </w:r>
      <w:r w:rsidR="00886ABD" w:rsidRPr="00886ABD">
        <w:t xml:space="preserve">is to understand how </w:t>
      </w:r>
      <w:r w:rsidR="00DD0851" w:rsidRPr="00DD0851">
        <w:t xml:space="preserve">schools that </w:t>
      </w:r>
      <w:r w:rsidR="00DD0851">
        <w:t xml:space="preserve">have </w:t>
      </w:r>
      <w:r w:rsidR="00DD0851" w:rsidRPr="00DD0851">
        <w:t>received funds from the Magnet Schools Assistance Program (MSAP</w:t>
      </w:r>
      <w:r w:rsidR="00DD0851">
        <w:t>)</w:t>
      </w:r>
      <w:r w:rsidR="00DD0851" w:rsidRPr="00DD0851">
        <w:t xml:space="preserve"> </w:t>
      </w:r>
      <w:r w:rsidR="00DD0851">
        <w:t xml:space="preserve">in fiscal year 2010 </w:t>
      </w:r>
      <w:r w:rsidR="00DD0851" w:rsidRPr="00DD0851">
        <w:t>successfully aligned their magnet and school turnaround plans.</w:t>
      </w:r>
      <w:r w:rsidR="00DD0851">
        <w:t xml:space="preserve"> </w:t>
      </w:r>
      <w:r w:rsidR="00DD0851" w:rsidRPr="00DD0851">
        <w:t>Through case studies of four schools</w:t>
      </w:r>
      <w:r w:rsidR="00DD0851">
        <w:t xml:space="preserve"> in four districts</w:t>
      </w:r>
      <w:r w:rsidR="00DD0851" w:rsidRPr="00DD0851">
        <w:t>, this project will explore the principles and strategies used both to establish successful magnet schools and to achieve a successful school turnaround</w:t>
      </w:r>
      <w:r w:rsidR="00B23920">
        <w:t>, which are interlinked</w:t>
      </w:r>
      <w:r w:rsidR="00DD0851" w:rsidRPr="00DD0851">
        <w:t xml:space="preserve">. </w:t>
      </w:r>
      <w:r w:rsidR="00B23920" w:rsidRPr="00B23920">
        <w:t>Research consistently indicates that a student’s peer group is by far the most important within-school factor in determining a child’s academic success.</w:t>
      </w:r>
      <w:r w:rsidR="00B23920" w:rsidRPr="00B23920">
        <w:rPr>
          <w:vertAlign w:val="superscript"/>
        </w:rPr>
        <w:footnoteReference w:id="1"/>
      </w:r>
      <w:r w:rsidR="00B23920" w:rsidRPr="00B23920">
        <w:t xml:space="preserve">  This is particularly true for low</w:t>
      </w:r>
      <w:r w:rsidR="0046257E">
        <w:t>-</w:t>
      </w:r>
      <w:r w:rsidR="00B23920" w:rsidRPr="00B23920">
        <w:t xml:space="preserve">income students and students from underrepresented minority </w:t>
      </w:r>
      <w:r w:rsidR="00110571">
        <w:t>groups</w:t>
      </w:r>
      <w:r w:rsidR="00B23920" w:rsidRPr="00B23920">
        <w:rPr>
          <w:vertAlign w:val="superscript"/>
        </w:rPr>
        <w:footnoteReference w:id="2"/>
      </w:r>
      <w:r w:rsidR="00110571">
        <w:t>.</w:t>
      </w:r>
      <w:r w:rsidR="00B23920" w:rsidRPr="00B23920">
        <w:t xml:space="preserve">  Since one of the central goals of federally funded magnet schools is to reduce minority group isolation, a successful magnet program is well-positioned to turnaround a school academically.  Critically, a successful magnet program means that the school is both attracting a diverse group of students and equitably serving all students within it.</w:t>
      </w:r>
    </w:p>
    <w:p w:rsidR="00DD0851" w:rsidRPr="00DD0851" w:rsidRDefault="00DD0851" w:rsidP="00DD0851">
      <w:pPr>
        <w:spacing w:after="120"/>
      </w:pPr>
      <w:r w:rsidRPr="00DD0851">
        <w:t xml:space="preserve">In addition to analyzing </w:t>
      </w:r>
      <w:r>
        <w:t xml:space="preserve">2010 </w:t>
      </w:r>
      <w:r w:rsidRPr="00DD0851">
        <w:t>MSAP grant applications</w:t>
      </w:r>
      <w:r w:rsidR="00C879EB">
        <w:t xml:space="preserve"> and</w:t>
      </w:r>
      <w:r w:rsidRPr="00DD0851">
        <w:t xml:space="preserve"> publicly available enrollment and achievement</w:t>
      </w:r>
      <w:r w:rsidR="00C879EB">
        <w:t xml:space="preserve"> data</w:t>
      </w:r>
      <w:r w:rsidRPr="00DD0851">
        <w:t xml:space="preserve">, members of the Civil Rights Project (CRP) research team will conduct site visits, surveys and interviews with school personnel </w:t>
      </w:r>
      <w:r>
        <w:t>of the</w:t>
      </w:r>
      <w:r w:rsidRPr="00DD0851">
        <w:t xml:space="preserve"> four selected schools. The results of the research </w:t>
      </w:r>
      <w:r>
        <w:t>will</w:t>
      </w:r>
      <w:r w:rsidRPr="00DD0851">
        <w:t xml:space="preserve"> provide new knowledge about the ways in which federally funded magnet schools are navigating integration and turnaround strategies, which could help strengthen the design and replication of successful magnets going forward. </w:t>
      </w:r>
    </w:p>
    <w:p w:rsidR="0096222A" w:rsidRPr="00EA6E07" w:rsidRDefault="00DD0851" w:rsidP="00947789">
      <w:r w:rsidRPr="00D364D3">
        <w:t xml:space="preserve">The Magnets and School Turnaround </w:t>
      </w:r>
      <w:r w:rsidR="00D5602F" w:rsidRPr="00D364D3">
        <w:t xml:space="preserve">Study </w:t>
      </w:r>
      <w:r w:rsidRPr="00D364D3">
        <w:t>data collection will include surve</w:t>
      </w:r>
      <w:r w:rsidR="00A0571A" w:rsidRPr="00D364D3">
        <w:t>ys, interviews, and site visits</w:t>
      </w:r>
      <w:r w:rsidRPr="00D364D3">
        <w:t xml:space="preserve"> with personnel from four selected schools that participated in the 2010 MSAP cohort. </w:t>
      </w:r>
      <w:r w:rsidR="00D5602F" w:rsidRPr="00D364D3">
        <w:t>T</w:t>
      </w:r>
      <w:r w:rsidRPr="00D364D3">
        <w:t xml:space="preserve">he </w:t>
      </w:r>
      <w:r w:rsidR="00940C75">
        <w:t>2</w:t>
      </w:r>
      <w:r w:rsidR="008E1823" w:rsidRPr="00D364D3">
        <w:t xml:space="preserve">0-minute </w:t>
      </w:r>
      <w:r w:rsidRPr="00D364D3">
        <w:t xml:space="preserve">MSAP School Turnaround Survey for Administrators will be administered to a total of 16 </w:t>
      </w:r>
      <w:r w:rsidR="00C74993" w:rsidRPr="00D364D3">
        <w:t xml:space="preserve">school </w:t>
      </w:r>
      <w:r w:rsidR="00C74993">
        <w:t>principals</w:t>
      </w:r>
      <w:r w:rsidR="00770EAE">
        <w:t xml:space="preserve"> and assistant principals and</w:t>
      </w:r>
      <w:r w:rsidR="008E1823" w:rsidRPr="00D364D3">
        <w:t xml:space="preserve"> the </w:t>
      </w:r>
      <w:r w:rsidR="00940C75">
        <w:t>20</w:t>
      </w:r>
      <w:r w:rsidR="008E1823" w:rsidRPr="00D364D3">
        <w:t xml:space="preserve">-minute </w:t>
      </w:r>
      <w:r w:rsidR="00D5602F" w:rsidRPr="00D364D3">
        <w:t>MSAP School Turnaround Survey for Teachers will be administe</w:t>
      </w:r>
      <w:r w:rsidR="008E1823" w:rsidRPr="00D364D3">
        <w:t xml:space="preserve">red to a total of 164 teachers. In addition, researchers will conduct 2-day site visits </w:t>
      </w:r>
      <w:r w:rsidR="00C74993">
        <w:t>at</w:t>
      </w:r>
      <w:r w:rsidR="008E1823" w:rsidRPr="00D364D3">
        <w:t xml:space="preserve"> each of the four schools. </w:t>
      </w:r>
      <w:r w:rsidR="00500F86">
        <w:t>Each</w:t>
      </w:r>
      <w:r w:rsidR="008E1823" w:rsidRPr="00D364D3">
        <w:t xml:space="preserve"> site visit will include individual 30-minute interviews with the </w:t>
      </w:r>
      <w:r w:rsidR="00500F86">
        <w:t>four</w:t>
      </w:r>
      <w:r w:rsidR="008E1823" w:rsidRPr="00D364D3">
        <w:t xml:space="preserve"> school administrators who completed the survey</w:t>
      </w:r>
      <w:r w:rsidR="00500F86" w:rsidRPr="00D364D3">
        <w:t xml:space="preserve">; </w:t>
      </w:r>
      <w:r w:rsidR="00500F86">
        <w:t xml:space="preserve">two 30-minute </w:t>
      </w:r>
      <w:r w:rsidR="008E1823" w:rsidRPr="00D364D3">
        <w:t xml:space="preserve">focus group discussions with </w:t>
      </w:r>
      <w:r w:rsidR="00500F86">
        <w:t>seven</w:t>
      </w:r>
      <w:r w:rsidR="008E1823" w:rsidRPr="00D364D3">
        <w:t xml:space="preserve"> teachers, </w:t>
      </w:r>
      <w:r w:rsidR="00500F86">
        <w:t xml:space="preserve">one 30-minute </w:t>
      </w:r>
      <w:r w:rsidR="008E1823" w:rsidRPr="00D364D3">
        <w:t xml:space="preserve">focus group discussion with </w:t>
      </w:r>
      <w:r w:rsidR="00500F86">
        <w:t>five</w:t>
      </w:r>
      <w:r w:rsidR="008E1823" w:rsidRPr="00D364D3">
        <w:t xml:space="preserve"> parents, and </w:t>
      </w:r>
      <w:r w:rsidR="00500F86">
        <w:t>four</w:t>
      </w:r>
      <w:r w:rsidR="008E1823" w:rsidRPr="00D364D3">
        <w:t xml:space="preserve"> unstru</w:t>
      </w:r>
      <w:r w:rsidR="00D364D3" w:rsidRPr="00D364D3">
        <w:t xml:space="preserve">ctured holistic observations that </w:t>
      </w:r>
      <w:r w:rsidR="00D364D3">
        <w:t>examine</w:t>
      </w:r>
      <w:r w:rsidR="00D364D3" w:rsidRPr="00D364D3">
        <w:t xml:space="preserve"> interactions during class, lunchtime, recess, and one extracurricular </w:t>
      </w:r>
      <w:r w:rsidR="00947789" w:rsidRPr="00D364D3">
        <w:t>activity to</w:t>
      </w:r>
      <w:r w:rsidR="00D364D3" w:rsidRPr="00D364D3">
        <w:rPr>
          <w:rFonts w:eastAsia="Calibri"/>
          <w:sz w:val="24"/>
        </w:rPr>
        <w:t xml:space="preserve"> document important elements and characteristics of a magnet school turnaround.</w:t>
      </w:r>
      <w:r w:rsidR="00D364D3" w:rsidRPr="00D364D3">
        <w:rPr>
          <w:rFonts w:eastAsia="Calibri"/>
          <w:sz w:val="24"/>
          <w:vertAlign w:val="superscript"/>
        </w:rPr>
        <w:footnoteReference w:id="3"/>
      </w:r>
      <w:r w:rsidR="00947789">
        <w:rPr>
          <w:rFonts w:eastAsia="Calibri"/>
          <w:sz w:val="24"/>
        </w:rPr>
        <w:t xml:space="preserve"> </w:t>
      </w:r>
      <w:r w:rsidR="00737B55" w:rsidRPr="00C74993">
        <w:rPr>
          <w:rFonts w:eastAsia="Calibri"/>
          <w:szCs w:val="22"/>
        </w:rPr>
        <w:t>Data will be collected</w:t>
      </w:r>
      <w:r w:rsidR="00947789" w:rsidRPr="00C74993">
        <w:rPr>
          <w:rFonts w:eastAsia="Calibri"/>
          <w:szCs w:val="22"/>
        </w:rPr>
        <w:t xml:space="preserve"> by</w:t>
      </w:r>
      <w:r w:rsidR="00947789">
        <w:rPr>
          <w:rFonts w:eastAsia="Calibri"/>
          <w:sz w:val="24"/>
        </w:rPr>
        <w:t xml:space="preserve"> </w:t>
      </w:r>
      <w:r w:rsidR="00051089" w:rsidRPr="00EA6E07">
        <w:lastRenderedPageBreak/>
        <w:t>ED-OII-1</w:t>
      </w:r>
      <w:r w:rsidR="004E7A23" w:rsidRPr="00EA6E07">
        <w:t>3</w:t>
      </w:r>
      <w:r w:rsidR="00051089" w:rsidRPr="00EA6E07">
        <w:t xml:space="preserve">-C-0073 </w:t>
      </w:r>
      <w:r w:rsidR="009F6F18">
        <w:t>sub</w:t>
      </w:r>
      <w:r w:rsidR="008518A0" w:rsidRPr="00EA6E07">
        <w:t>contractor</w:t>
      </w:r>
      <w:r w:rsidR="00B94935">
        <w:t>—</w:t>
      </w:r>
      <w:r w:rsidR="00DC2CC5">
        <w:t>University of California</w:t>
      </w:r>
      <w:r w:rsidR="009F6F18">
        <w:t xml:space="preserve"> Los Angeles</w:t>
      </w:r>
      <w:r w:rsidR="00DC2CC5">
        <w:t>,</w:t>
      </w:r>
      <w:r w:rsidR="009F6F18">
        <w:t xml:space="preserve"> Civil Rights Project (CRP</w:t>
      </w:r>
      <w:r w:rsidR="00737B55">
        <w:t>). The attached instruments and surveys</w:t>
      </w:r>
      <w:r w:rsidR="00041A28" w:rsidRPr="00EA6E07">
        <w:t xml:space="preserve"> </w:t>
      </w:r>
      <w:r w:rsidR="00051089" w:rsidRPr="00EA6E07">
        <w:t>will be completed one time within the 3-year MSAP grant cycle</w:t>
      </w:r>
      <w:r w:rsidR="00271CC8" w:rsidRPr="00EA6E07">
        <w:t>.</w:t>
      </w:r>
    </w:p>
    <w:p w:rsidR="0096222A" w:rsidRPr="00EA6E07" w:rsidRDefault="0096222A" w:rsidP="0096222A"/>
    <w:p w:rsidR="00434E33" w:rsidRPr="00EA6E07" w:rsidRDefault="00434E33" w:rsidP="00B661B5">
      <w:pPr>
        <w:pStyle w:val="Header"/>
        <w:widowControl/>
        <w:tabs>
          <w:tab w:val="clear" w:pos="4320"/>
          <w:tab w:val="clear" w:pos="8640"/>
        </w:tabs>
        <w:spacing w:after="120"/>
        <w:rPr>
          <w:i/>
          <w:snapToGrid/>
        </w:rPr>
      </w:pPr>
      <w:r w:rsidRPr="00EA6E07">
        <w:rPr>
          <w:b/>
        </w:rPr>
        <w:t>DESCRIPTION OF RESPONDENTS</w:t>
      </w:r>
      <w:r w:rsidRPr="00EA6E07">
        <w:t xml:space="preserve"> </w:t>
      </w:r>
    </w:p>
    <w:p w:rsidR="00770EAE" w:rsidRDefault="00770EAE" w:rsidP="00733AFD">
      <w:pPr>
        <w:rPr>
          <w:rFonts w:eastAsia="Cambria"/>
        </w:rPr>
      </w:pPr>
      <w:r>
        <w:rPr>
          <w:rFonts w:eastAsia="Cambria"/>
        </w:rPr>
        <w:t xml:space="preserve">Magnet school principals and assistant principals are essential to magnet and school turnaround success as they lead, guide and implement programmatic, academic and climate shifts.  Magnet school teachers, similarly, are critical components of magnet and school turnaround success as </w:t>
      </w:r>
      <w:r w:rsidR="0088495F">
        <w:rPr>
          <w:rFonts w:eastAsia="Cambria"/>
        </w:rPr>
        <w:t xml:space="preserve">they </w:t>
      </w:r>
      <w:r>
        <w:rPr>
          <w:rFonts w:eastAsia="Cambria"/>
        </w:rPr>
        <w:t xml:space="preserve">work to incorporate and address major shifts in their classrooms.  Finally, magnet school parents are well-positioned to observe and provide feedback on external perceptions of magnet and turnaround processes.  Understanding the perspectives of each of these groups on how successfully magnet school and turnaround processes were aligned will help MSAP tailor technical assistance products and services to grantees as well as to the larger </w:t>
      </w:r>
      <w:r w:rsidR="00110571">
        <w:rPr>
          <w:rFonts w:eastAsia="Cambria"/>
        </w:rPr>
        <w:t>magnet school</w:t>
      </w:r>
      <w:r>
        <w:rPr>
          <w:rFonts w:eastAsia="Cambria"/>
        </w:rPr>
        <w:t xml:space="preserve"> community.  </w:t>
      </w:r>
    </w:p>
    <w:p w:rsidR="00AD40C6" w:rsidRDefault="00AD40C6" w:rsidP="005F362B"/>
    <w:p w:rsidR="005F362B" w:rsidRPr="00EA6E07" w:rsidRDefault="005F362B" w:rsidP="005F362B">
      <w:r w:rsidRPr="00EA6E07">
        <w:t xml:space="preserve">See the attached </w:t>
      </w:r>
      <w:r w:rsidR="00737B55">
        <w:t>Magnets and School Turnaround</w:t>
      </w:r>
      <w:r w:rsidR="00AD40C6">
        <w:t>s</w:t>
      </w:r>
      <w:r w:rsidR="00737B55">
        <w:t xml:space="preserve"> surveys and interview and focus group protocols</w:t>
      </w:r>
    </w:p>
    <w:p w:rsidR="008E6CA2" w:rsidRPr="00EA6E07" w:rsidRDefault="008E6CA2">
      <w:pPr>
        <w:rPr>
          <w:rFonts w:eastAsia="Cambria"/>
          <w:highlight w:val="yellow"/>
        </w:rPr>
      </w:pPr>
    </w:p>
    <w:p w:rsidR="00F06866" w:rsidRPr="00EA6E07" w:rsidRDefault="00F06866">
      <w:pPr>
        <w:rPr>
          <w:b/>
        </w:rPr>
      </w:pPr>
      <w:r w:rsidRPr="00EA6E07">
        <w:rPr>
          <w:b/>
        </w:rPr>
        <w:t>TYPE OF COLLECTION</w:t>
      </w:r>
      <w:r w:rsidRPr="00EA6E07">
        <w:t xml:space="preserve"> (Check one)</w:t>
      </w:r>
    </w:p>
    <w:p w:rsidR="00441434" w:rsidRPr="00EA6E07" w:rsidRDefault="00441434" w:rsidP="0096108F">
      <w:pPr>
        <w:pStyle w:val="BodyTextIndent"/>
        <w:tabs>
          <w:tab w:val="left" w:pos="360"/>
        </w:tabs>
        <w:ind w:left="0"/>
        <w:rPr>
          <w:bCs/>
          <w:sz w:val="16"/>
          <w:szCs w:val="16"/>
        </w:rPr>
      </w:pPr>
    </w:p>
    <w:p w:rsidR="00F06866" w:rsidRPr="00EA6E07" w:rsidRDefault="0096108F" w:rsidP="0096108F">
      <w:pPr>
        <w:pStyle w:val="BodyTextIndent"/>
        <w:tabs>
          <w:tab w:val="left" w:pos="360"/>
        </w:tabs>
        <w:ind w:left="0"/>
        <w:rPr>
          <w:bCs/>
          <w:sz w:val="24"/>
        </w:rPr>
      </w:pPr>
      <w:r w:rsidRPr="00EA6E07">
        <w:rPr>
          <w:bCs/>
          <w:sz w:val="24"/>
        </w:rPr>
        <w:t xml:space="preserve">[ ] </w:t>
      </w:r>
      <w:r w:rsidR="00F06866" w:rsidRPr="00EA6E07">
        <w:rPr>
          <w:bCs/>
          <w:sz w:val="24"/>
        </w:rPr>
        <w:t>Customer Comment Card/Complaint Form</w:t>
      </w:r>
      <w:r w:rsidRPr="00EA6E07">
        <w:rPr>
          <w:bCs/>
          <w:sz w:val="24"/>
        </w:rPr>
        <w:t xml:space="preserve"> </w:t>
      </w:r>
      <w:r w:rsidRPr="00EA6E07">
        <w:rPr>
          <w:bCs/>
          <w:sz w:val="24"/>
        </w:rPr>
        <w:tab/>
      </w:r>
      <w:r w:rsidR="006516B5" w:rsidRPr="00EA6E07">
        <w:rPr>
          <w:bCs/>
          <w:sz w:val="24"/>
        </w:rPr>
        <w:t>[</w:t>
      </w:r>
      <w:r w:rsidR="00D64D06">
        <w:rPr>
          <w:bCs/>
          <w:sz w:val="24"/>
        </w:rPr>
        <w:t>X</w:t>
      </w:r>
      <w:r w:rsidRPr="00EA6E07">
        <w:rPr>
          <w:bCs/>
          <w:sz w:val="24"/>
        </w:rPr>
        <w:t xml:space="preserve">] </w:t>
      </w:r>
      <w:r w:rsidR="00F06866" w:rsidRPr="00EA6E07">
        <w:rPr>
          <w:bCs/>
          <w:sz w:val="24"/>
        </w:rPr>
        <w:t>Customer Satisfaction Survey</w:t>
      </w:r>
      <w:r w:rsidRPr="00EA6E07">
        <w:rPr>
          <w:bCs/>
          <w:sz w:val="24"/>
        </w:rPr>
        <w:t xml:space="preserve"> </w:t>
      </w:r>
      <w:r w:rsidR="00CA2650" w:rsidRPr="00EA6E07">
        <w:rPr>
          <w:bCs/>
          <w:sz w:val="24"/>
        </w:rPr>
        <w:t xml:space="preserve">  </w:t>
      </w:r>
      <w:r w:rsidRPr="00EA6E07">
        <w:rPr>
          <w:bCs/>
          <w:sz w:val="24"/>
        </w:rPr>
        <w:t xml:space="preserve"> </w:t>
      </w:r>
    </w:p>
    <w:p w:rsidR="0096108F" w:rsidRPr="00EA6E07" w:rsidRDefault="0096108F" w:rsidP="0096108F">
      <w:pPr>
        <w:pStyle w:val="BodyTextIndent"/>
        <w:tabs>
          <w:tab w:val="left" w:pos="360"/>
        </w:tabs>
        <w:ind w:left="0"/>
        <w:rPr>
          <w:bCs/>
          <w:sz w:val="24"/>
        </w:rPr>
      </w:pPr>
      <w:r w:rsidRPr="00EA6E07">
        <w:rPr>
          <w:bCs/>
          <w:sz w:val="24"/>
        </w:rPr>
        <w:t xml:space="preserve">[ ] </w:t>
      </w:r>
      <w:r w:rsidR="00F06866" w:rsidRPr="00EA6E07">
        <w:rPr>
          <w:bCs/>
          <w:sz w:val="24"/>
        </w:rPr>
        <w:t>Usability</w:t>
      </w:r>
      <w:r w:rsidR="009239AA" w:rsidRPr="00EA6E07">
        <w:rPr>
          <w:bCs/>
          <w:sz w:val="24"/>
        </w:rPr>
        <w:t xml:space="preserve"> Testing (e.g., Website or Software</w:t>
      </w:r>
      <w:r w:rsidR="00F06866" w:rsidRPr="00EA6E07">
        <w:rPr>
          <w:bCs/>
          <w:sz w:val="24"/>
        </w:rPr>
        <w:tab/>
        <w:t>[ ] Small Discussion Group</w:t>
      </w:r>
    </w:p>
    <w:p w:rsidR="00F06866" w:rsidRPr="00EA6E07" w:rsidRDefault="00563459" w:rsidP="0096108F">
      <w:pPr>
        <w:pStyle w:val="BodyTextIndent"/>
        <w:tabs>
          <w:tab w:val="left" w:pos="360"/>
        </w:tabs>
        <w:ind w:left="0"/>
        <w:rPr>
          <w:bCs/>
          <w:sz w:val="24"/>
        </w:rPr>
      </w:pPr>
      <w:r w:rsidRPr="00EA6E07">
        <w:rPr>
          <w:bCs/>
          <w:sz w:val="24"/>
        </w:rPr>
        <w:t>[</w:t>
      </w:r>
      <w:r w:rsidR="00D64D06">
        <w:rPr>
          <w:bCs/>
          <w:sz w:val="24"/>
        </w:rPr>
        <w:t>X</w:t>
      </w:r>
      <w:r w:rsidRPr="00EA6E07">
        <w:rPr>
          <w:bCs/>
          <w:sz w:val="24"/>
        </w:rPr>
        <w:t>] Focus</w:t>
      </w:r>
      <w:r w:rsidR="00935ADA" w:rsidRPr="00EA6E07">
        <w:rPr>
          <w:bCs/>
          <w:sz w:val="24"/>
        </w:rPr>
        <w:t xml:space="preserve"> Group</w:t>
      </w:r>
      <w:r w:rsidR="00D64D06">
        <w:rPr>
          <w:bCs/>
          <w:sz w:val="24"/>
        </w:rPr>
        <w:t>s</w:t>
      </w:r>
      <w:r w:rsidR="00935ADA" w:rsidRPr="00EA6E07">
        <w:rPr>
          <w:bCs/>
          <w:sz w:val="24"/>
        </w:rPr>
        <w:t xml:space="preserve">  </w:t>
      </w:r>
      <w:r w:rsidR="00935ADA" w:rsidRPr="00EA6E07">
        <w:rPr>
          <w:bCs/>
          <w:sz w:val="24"/>
        </w:rPr>
        <w:tab/>
      </w:r>
      <w:r w:rsidR="00935ADA" w:rsidRPr="00EA6E07">
        <w:rPr>
          <w:bCs/>
          <w:sz w:val="24"/>
        </w:rPr>
        <w:tab/>
      </w:r>
      <w:r w:rsidR="00935ADA" w:rsidRPr="00EA6E07">
        <w:rPr>
          <w:bCs/>
          <w:sz w:val="24"/>
        </w:rPr>
        <w:tab/>
      </w:r>
      <w:r w:rsidR="00935ADA" w:rsidRPr="00EA6E07">
        <w:rPr>
          <w:bCs/>
          <w:sz w:val="24"/>
        </w:rPr>
        <w:tab/>
      </w:r>
      <w:r w:rsidR="00935ADA" w:rsidRPr="00EA6E07">
        <w:rPr>
          <w:bCs/>
          <w:sz w:val="24"/>
        </w:rPr>
        <w:tab/>
      </w:r>
      <w:r w:rsidR="00F06866" w:rsidRPr="00EA6E07">
        <w:rPr>
          <w:bCs/>
          <w:sz w:val="24"/>
        </w:rPr>
        <w:t>[</w:t>
      </w:r>
      <w:r w:rsidR="00D64D06">
        <w:rPr>
          <w:bCs/>
          <w:sz w:val="24"/>
        </w:rPr>
        <w:t>X</w:t>
      </w:r>
      <w:r w:rsidR="00F06866" w:rsidRPr="00EA6E07">
        <w:rPr>
          <w:bCs/>
          <w:sz w:val="24"/>
        </w:rPr>
        <w:t>] Other</w:t>
      </w:r>
      <w:r w:rsidR="00D64D06">
        <w:rPr>
          <w:bCs/>
          <w:sz w:val="24"/>
          <w:u w:val="single"/>
        </w:rPr>
        <w:t xml:space="preserve"> I</w:t>
      </w:r>
      <w:r w:rsidR="00822F25">
        <w:rPr>
          <w:bCs/>
          <w:sz w:val="24"/>
          <w:u w:val="single"/>
        </w:rPr>
        <w:t>nterview</w:t>
      </w:r>
      <w:r w:rsidR="00D64D06">
        <w:rPr>
          <w:bCs/>
          <w:sz w:val="24"/>
          <w:u w:val="single"/>
        </w:rPr>
        <w:t xml:space="preserve"> &amp; Observations</w:t>
      </w:r>
    </w:p>
    <w:p w:rsidR="00434E33" w:rsidRPr="00EA6E07" w:rsidRDefault="00434E33">
      <w:pPr>
        <w:pStyle w:val="Header"/>
        <w:tabs>
          <w:tab w:val="clear" w:pos="4320"/>
          <w:tab w:val="clear" w:pos="8640"/>
        </w:tabs>
      </w:pPr>
    </w:p>
    <w:p w:rsidR="00CA2650" w:rsidRPr="00EA6E07" w:rsidRDefault="00441434" w:rsidP="00B661B5">
      <w:pPr>
        <w:keepNext/>
        <w:rPr>
          <w:b/>
        </w:rPr>
      </w:pPr>
      <w:r w:rsidRPr="00EA6E07">
        <w:rPr>
          <w:b/>
        </w:rPr>
        <w:t>C</w:t>
      </w:r>
      <w:r w:rsidR="009C13B9" w:rsidRPr="00EA6E07">
        <w:rPr>
          <w:b/>
        </w:rPr>
        <w:t>ERTIFICATION</w:t>
      </w:r>
    </w:p>
    <w:p w:rsidR="00441434" w:rsidRPr="00EA6E07" w:rsidRDefault="00441434" w:rsidP="00B661B5">
      <w:pPr>
        <w:keepNext/>
        <w:rPr>
          <w:sz w:val="16"/>
          <w:szCs w:val="16"/>
        </w:rPr>
      </w:pPr>
    </w:p>
    <w:p w:rsidR="008101A5" w:rsidRPr="00EA6E07" w:rsidRDefault="008101A5" w:rsidP="00B661B5">
      <w:pPr>
        <w:keepNext/>
      </w:pPr>
      <w:r w:rsidRPr="00EA6E07">
        <w:t>I certify the following to be true</w:t>
      </w:r>
      <w:r w:rsidR="00B661B5">
        <w:t>.</w:t>
      </w:r>
      <w:r w:rsidRPr="00EA6E07">
        <w:t xml:space="preserve"> </w:t>
      </w:r>
    </w:p>
    <w:p w:rsidR="008101A5" w:rsidRPr="00EA6E07" w:rsidRDefault="008101A5" w:rsidP="00B661B5">
      <w:pPr>
        <w:pStyle w:val="ListParagraph"/>
        <w:keepNext/>
        <w:numPr>
          <w:ilvl w:val="0"/>
          <w:numId w:val="14"/>
        </w:numPr>
        <w:ind w:left="720" w:hanging="432"/>
      </w:pPr>
      <w:r w:rsidRPr="00EA6E07">
        <w:t xml:space="preserve">The collection is voluntary. </w:t>
      </w:r>
    </w:p>
    <w:p w:rsidR="008101A5" w:rsidRPr="00EA6E07" w:rsidRDefault="008101A5" w:rsidP="00B661B5">
      <w:pPr>
        <w:pStyle w:val="ListParagraph"/>
        <w:keepNext/>
        <w:numPr>
          <w:ilvl w:val="0"/>
          <w:numId w:val="14"/>
        </w:numPr>
        <w:ind w:left="720" w:hanging="432"/>
      </w:pPr>
      <w:r w:rsidRPr="00EA6E07">
        <w:t>The collection is low-burden for respondents and low-cost for the Federal Government.</w:t>
      </w:r>
    </w:p>
    <w:p w:rsidR="008101A5" w:rsidRPr="00EA6E07" w:rsidRDefault="008101A5" w:rsidP="001C04E0">
      <w:pPr>
        <w:pStyle w:val="ListParagraph"/>
        <w:numPr>
          <w:ilvl w:val="0"/>
          <w:numId w:val="14"/>
        </w:numPr>
        <w:ind w:left="720" w:hanging="432"/>
      </w:pPr>
      <w:r w:rsidRPr="00EA6E07">
        <w:t xml:space="preserve">The collection is non-controversial and does </w:t>
      </w:r>
      <w:r w:rsidRPr="00EA6E07">
        <w:rPr>
          <w:u w:val="single"/>
        </w:rPr>
        <w:t>not</w:t>
      </w:r>
      <w:r w:rsidRPr="00EA6E07">
        <w:t xml:space="preserve"> raise issues of concern to other federal agencies.</w:t>
      </w:r>
      <w:r w:rsidRPr="00EA6E07">
        <w:tab/>
      </w:r>
      <w:r w:rsidRPr="00EA6E07">
        <w:tab/>
      </w:r>
      <w:r w:rsidRPr="00EA6E07">
        <w:tab/>
      </w:r>
      <w:r w:rsidRPr="00EA6E07">
        <w:tab/>
      </w:r>
      <w:r w:rsidRPr="00EA6E07">
        <w:tab/>
      </w:r>
      <w:r w:rsidRPr="00EA6E07">
        <w:tab/>
      </w:r>
      <w:r w:rsidRPr="00EA6E07">
        <w:tab/>
      </w:r>
      <w:r w:rsidRPr="00EA6E07">
        <w:tab/>
      </w:r>
      <w:r w:rsidRPr="00EA6E07">
        <w:tab/>
      </w:r>
    </w:p>
    <w:p w:rsidR="008101A5" w:rsidRPr="00EA6E07" w:rsidRDefault="008101A5" w:rsidP="001C04E0">
      <w:pPr>
        <w:pStyle w:val="ListParagraph"/>
        <w:numPr>
          <w:ilvl w:val="0"/>
          <w:numId w:val="14"/>
        </w:numPr>
        <w:ind w:left="720" w:hanging="432"/>
      </w:pPr>
      <w:r w:rsidRPr="00EA6E07">
        <w:t xml:space="preserve">The results are </w:t>
      </w:r>
      <w:r w:rsidRPr="00EA6E07">
        <w:rPr>
          <w:u w:val="single"/>
        </w:rPr>
        <w:t>not</w:t>
      </w:r>
      <w:r w:rsidRPr="00EA6E07">
        <w:t xml:space="preserve"> intended to be disseminated to the public.</w:t>
      </w:r>
      <w:r w:rsidRPr="00EA6E07">
        <w:tab/>
      </w:r>
      <w:r w:rsidRPr="00EA6E07">
        <w:tab/>
      </w:r>
    </w:p>
    <w:p w:rsidR="008101A5" w:rsidRPr="00EA6E07" w:rsidRDefault="008101A5" w:rsidP="001C04E0">
      <w:pPr>
        <w:pStyle w:val="ListParagraph"/>
        <w:numPr>
          <w:ilvl w:val="0"/>
          <w:numId w:val="14"/>
        </w:numPr>
        <w:ind w:left="720" w:hanging="432"/>
      </w:pPr>
      <w:r w:rsidRPr="00EA6E07">
        <w:t xml:space="preserve">Information gathered will not be used for the purpose of </w:t>
      </w:r>
      <w:r w:rsidRPr="00EA6E07">
        <w:rPr>
          <w:u w:val="single"/>
        </w:rPr>
        <w:t>substantially</w:t>
      </w:r>
      <w:r w:rsidRPr="00EA6E07">
        <w:t xml:space="preserve"> informing </w:t>
      </w:r>
      <w:r w:rsidRPr="00EA6E07">
        <w:rPr>
          <w:u w:val="single"/>
        </w:rPr>
        <w:t xml:space="preserve">influential </w:t>
      </w:r>
      <w:r w:rsidRPr="00EA6E07">
        <w:t xml:space="preserve">policy decisions. </w:t>
      </w:r>
    </w:p>
    <w:p w:rsidR="008101A5" w:rsidRPr="00EA6E07" w:rsidRDefault="008101A5" w:rsidP="001C04E0">
      <w:pPr>
        <w:pStyle w:val="ListParagraph"/>
        <w:numPr>
          <w:ilvl w:val="0"/>
          <w:numId w:val="14"/>
        </w:numPr>
        <w:ind w:left="720" w:hanging="432"/>
      </w:pPr>
      <w:r w:rsidRPr="00EA6E07">
        <w:t>The collection is targeted to the solicitation of opinions from respondents who have experience with the program or may have experience with the program in the future.</w:t>
      </w:r>
    </w:p>
    <w:p w:rsidR="009C13B9" w:rsidRPr="00EA6E07" w:rsidRDefault="009C13B9" w:rsidP="001C04E0">
      <w:pPr>
        <w:ind w:left="720" w:hanging="432"/>
      </w:pPr>
    </w:p>
    <w:p w:rsidR="009C13B9" w:rsidRPr="00EA6E07" w:rsidRDefault="009C13B9" w:rsidP="009C13B9">
      <w:r w:rsidRPr="00EA6E07">
        <w:t>Name:________________________________________________</w:t>
      </w:r>
    </w:p>
    <w:p w:rsidR="009C13B9" w:rsidRPr="00EA6E07" w:rsidRDefault="009C13B9" w:rsidP="009C13B9">
      <w:pPr>
        <w:pStyle w:val="ListParagraph"/>
        <w:ind w:left="360"/>
      </w:pPr>
    </w:p>
    <w:p w:rsidR="009C13B9" w:rsidRPr="00EA6E07" w:rsidRDefault="009C13B9" w:rsidP="009C13B9">
      <w:r w:rsidRPr="00EA6E07">
        <w:t>To assist review, please provide answers to the following question:</w:t>
      </w:r>
    </w:p>
    <w:p w:rsidR="009C13B9" w:rsidRPr="00EA6E07" w:rsidRDefault="009C13B9" w:rsidP="009C13B9">
      <w:pPr>
        <w:pStyle w:val="ListParagraph"/>
        <w:ind w:left="360"/>
      </w:pPr>
    </w:p>
    <w:p w:rsidR="009C13B9" w:rsidRPr="00EA6E07" w:rsidRDefault="00C86E91" w:rsidP="00B661B5">
      <w:pPr>
        <w:spacing w:after="120"/>
        <w:rPr>
          <w:b/>
        </w:rPr>
      </w:pPr>
      <w:r w:rsidRPr="00EA6E07">
        <w:rPr>
          <w:b/>
        </w:rPr>
        <w:t>Personally Identifiable Information</w:t>
      </w:r>
    </w:p>
    <w:p w:rsidR="00C86E91" w:rsidRPr="00EA6E07" w:rsidRDefault="009C13B9" w:rsidP="00B661B5">
      <w:pPr>
        <w:pStyle w:val="ListParagraph"/>
        <w:numPr>
          <w:ilvl w:val="0"/>
          <w:numId w:val="18"/>
        </w:numPr>
        <w:spacing w:after="120"/>
        <w:ind w:left="648"/>
        <w:contextualSpacing w:val="0"/>
      </w:pPr>
      <w:r w:rsidRPr="00EA6E07">
        <w:t>Is</w:t>
      </w:r>
      <w:r w:rsidR="00237B48" w:rsidRPr="00EA6E07">
        <w:t xml:space="preserve"> personally identifiable information (PII) collected</w:t>
      </w:r>
      <w:r w:rsidRPr="00EA6E07">
        <w:t xml:space="preserve">?  </w:t>
      </w:r>
      <w:r w:rsidR="009239AA" w:rsidRPr="00EA6E07">
        <w:t>[  ] Yes  [</w:t>
      </w:r>
      <w:r w:rsidR="006516B5" w:rsidRPr="00EA6E07">
        <w:t>X</w:t>
      </w:r>
      <w:r w:rsidR="009239AA" w:rsidRPr="00EA6E07">
        <w:t xml:space="preserve">]  No </w:t>
      </w:r>
    </w:p>
    <w:p w:rsidR="00C86E91" w:rsidRPr="00EA6E07" w:rsidRDefault="009C13B9" w:rsidP="00B661B5">
      <w:pPr>
        <w:pStyle w:val="ListParagraph"/>
        <w:numPr>
          <w:ilvl w:val="0"/>
          <w:numId w:val="18"/>
        </w:numPr>
        <w:spacing w:after="120"/>
        <w:ind w:left="648"/>
        <w:contextualSpacing w:val="0"/>
      </w:pPr>
      <w:r w:rsidRPr="00EA6E07">
        <w:t xml:space="preserve">If </w:t>
      </w:r>
      <w:r w:rsidR="009239AA" w:rsidRPr="00EA6E07">
        <w:t>Yes,</w:t>
      </w:r>
      <w:r w:rsidRPr="00EA6E07">
        <w:t xml:space="preserve"> </w:t>
      </w:r>
      <w:r w:rsidR="009239AA" w:rsidRPr="00EA6E07">
        <w:t>is the information that will be collected included in records that are subject to the Privacy Act of 1974?   [  ] Yes [  No</w:t>
      </w:r>
      <w:r w:rsidR="00C86E91" w:rsidRPr="00EA6E07">
        <w:t xml:space="preserve">   </w:t>
      </w:r>
    </w:p>
    <w:p w:rsidR="00C86E91" w:rsidRPr="00EA6E07" w:rsidRDefault="00C86E91" w:rsidP="00B661B5">
      <w:pPr>
        <w:pStyle w:val="ListParagraph"/>
        <w:numPr>
          <w:ilvl w:val="0"/>
          <w:numId w:val="18"/>
        </w:numPr>
        <w:spacing w:after="120"/>
        <w:ind w:left="648"/>
        <w:contextualSpacing w:val="0"/>
      </w:pPr>
      <w:r w:rsidRPr="00EA6E07">
        <w:t>If Applicable, has a System or Records Notice been published?  [  ] Yes  [  ] No</w:t>
      </w:r>
    </w:p>
    <w:p w:rsidR="00EA6E07" w:rsidRDefault="00EA6E07" w:rsidP="00C86E91">
      <w:pPr>
        <w:pStyle w:val="ListParagraph"/>
        <w:ind w:left="0"/>
        <w:rPr>
          <w:b/>
        </w:rPr>
      </w:pPr>
    </w:p>
    <w:p w:rsidR="00C86E91" w:rsidRPr="00EA6E07" w:rsidRDefault="00C74993" w:rsidP="00B661B5">
      <w:pPr>
        <w:pStyle w:val="ListParagraph"/>
        <w:spacing w:after="120"/>
        <w:ind w:left="0"/>
        <w:contextualSpacing w:val="0"/>
        <w:rPr>
          <w:b/>
        </w:rPr>
      </w:pPr>
      <w:r>
        <w:rPr>
          <w:b/>
        </w:rPr>
        <w:lastRenderedPageBreak/>
        <w:br/>
      </w:r>
      <w:r w:rsidR="00CB1078" w:rsidRPr="00EA6E07">
        <w:rPr>
          <w:b/>
        </w:rPr>
        <w:t>Gifts or Payments</w:t>
      </w:r>
      <w:r w:rsidR="00C86E91" w:rsidRPr="00EA6E07">
        <w:rPr>
          <w:b/>
        </w:rPr>
        <w:t>:</w:t>
      </w:r>
    </w:p>
    <w:p w:rsidR="00C86E91" w:rsidRPr="00EA6E07" w:rsidRDefault="00C86E91" w:rsidP="00C86E91">
      <w:r w:rsidRPr="00EA6E07">
        <w:t xml:space="preserve">Is an incentive (e.g., money or reimbursement of expenses, token of appreciation) provided to participants?  [  ] Yes </w:t>
      </w:r>
      <w:r w:rsidR="00400695" w:rsidRPr="00EA6E07">
        <w:t>[X</w:t>
      </w:r>
      <w:r w:rsidRPr="00EA6E07">
        <w:t xml:space="preserve">] No  </w:t>
      </w:r>
    </w:p>
    <w:p w:rsidR="004D6E14" w:rsidRPr="00EA6E07" w:rsidRDefault="004D6E14">
      <w:pPr>
        <w:rPr>
          <w:b/>
        </w:rPr>
      </w:pPr>
    </w:p>
    <w:p w:rsidR="00C86E91" w:rsidRPr="00EA6E07" w:rsidRDefault="00C86E91">
      <w:pPr>
        <w:rPr>
          <w:b/>
        </w:rPr>
      </w:pPr>
    </w:p>
    <w:p w:rsidR="005E714A" w:rsidRPr="00EA6E07" w:rsidRDefault="005E714A" w:rsidP="00C86E91">
      <w:pPr>
        <w:rPr>
          <w:i/>
        </w:rPr>
      </w:pPr>
      <w:r w:rsidRPr="00EA6E07">
        <w:rPr>
          <w:b/>
        </w:rPr>
        <w:t>BURDEN HOUR</w:t>
      </w:r>
      <w:r w:rsidR="00441434" w:rsidRPr="00EA6E07">
        <w:rPr>
          <w:b/>
        </w:rPr>
        <w:t>S</w:t>
      </w:r>
      <w:r w:rsidRPr="00EA6E07">
        <w:t xml:space="preserve"> </w:t>
      </w:r>
    </w:p>
    <w:p w:rsidR="006832D9" w:rsidRPr="00EA6E07" w:rsidRDefault="006832D9" w:rsidP="00F3170F">
      <w:pPr>
        <w:keepNext/>
        <w:keepLines/>
        <w:rPr>
          <w:b/>
        </w:rPr>
      </w:pPr>
    </w:p>
    <w:tbl>
      <w:tblPr>
        <w:tblStyle w:val="TableGrid"/>
        <w:tblW w:w="10098" w:type="dxa"/>
        <w:tblLayout w:type="fixed"/>
        <w:tblLook w:val="01E0" w:firstRow="1" w:lastRow="1" w:firstColumn="1" w:lastColumn="1" w:noHBand="0" w:noVBand="0"/>
      </w:tblPr>
      <w:tblGrid>
        <w:gridCol w:w="3618"/>
        <w:gridCol w:w="1530"/>
        <w:gridCol w:w="1530"/>
        <w:gridCol w:w="1710"/>
        <w:gridCol w:w="1710"/>
      </w:tblGrid>
      <w:tr w:rsidR="00882A9C" w:rsidRPr="00EA6E07" w:rsidTr="00882A9C">
        <w:trPr>
          <w:trHeight w:val="274"/>
        </w:trPr>
        <w:tc>
          <w:tcPr>
            <w:tcW w:w="3618" w:type="dxa"/>
            <w:tcBorders>
              <w:bottom w:val="single" w:sz="4" w:space="0" w:color="auto"/>
            </w:tcBorders>
            <w:vAlign w:val="center"/>
          </w:tcPr>
          <w:p w:rsidR="00882A9C" w:rsidRPr="00110571" w:rsidRDefault="00882A9C" w:rsidP="00940C75">
            <w:pPr>
              <w:jc w:val="center"/>
              <w:rPr>
                <w:b/>
                <w:sz w:val="20"/>
                <w:szCs w:val="20"/>
              </w:rPr>
            </w:pPr>
            <w:r w:rsidRPr="00110571">
              <w:rPr>
                <w:b/>
                <w:sz w:val="20"/>
                <w:szCs w:val="20"/>
              </w:rPr>
              <w:t>Category of Respondent</w:t>
            </w:r>
          </w:p>
        </w:tc>
        <w:tc>
          <w:tcPr>
            <w:tcW w:w="1530" w:type="dxa"/>
            <w:tcBorders>
              <w:bottom w:val="single" w:sz="4" w:space="0" w:color="auto"/>
            </w:tcBorders>
            <w:vAlign w:val="center"/>
          </w:tcPr>
          <w:p w:rsidR="00882A9C" w:rsidRPr="00110571" w:rsidRDefault="00882A9C" w:rsidP="00940C75">
            <w:pPr>
              <w:jc w:val="center"/>
              <w:rPr>
                <w:b/>
                <w:sz w:val="20"/>
                <w:szCs w:val="20"/>
              </w:rPr>
            </w:pPr>
            <w:r w:rsidRPr="00110571">
              <w:rPr>
                <w:b/>
                <w:sz w:val="20"/>
                <w:szCs w:val="20"/>
              </w:rPr>
              <w:t>No. of Respondents</w:t>
            </w:r>
          </w:p>
        </w:tc>
        <w:tc>
          <w:tcPr>
            <w:tcW w:w="1530" w:type="dxa"/>
            <w:tcBorders>
              <w:bottom w:val="single" w:sz="4" w:space="0" w:color="auto"/>
            </w:tcBorders>
            <w:vAlign w:val="center"/>
          </w:tcPr>
          <w:p w:rsidR="00882A9C" w:rsidRPr="00110571" w:rsidRDefault="00882A9C" w:rsidP="00940C75">
            <w:pPr>
              <w:jc w:val="center"/>
              <w:rPr>
                <w:b/>
                <w:sz w:val="20"/>
                <w:szCs w:val="20"/>
              </w:rPr>
            </w:pPr>
            <w:r w:rsidRPr="00110571">
              <w:rPr>
                <w:b/>
                <w:sz w:val="20"/>
                <w:szCs w:val="20"/>
              </w:rPr>
              <w:t>Participation Time</w:t>
            </w:r>
            <w:r>
              <w:rPr>
                <w:b/>
                <w:sz w:val="20"/>
                <w:szCs w:val="20"/>
              </w:rPr>
              <w:t xml:space="preserve"> per respondent in minutes</w:t>
            </w:r>
          </w:p>
        </w:tc>
        <w:tc>
          <w:tcPr>
            <w:tcW w:w="1710" w:type="dxa"/>
            <w:tcBorders>
              <w:bottom w:val="single" w:sz="4" w:space="0" w:color="auto"/>
            </w:tcBorders>
          </w:tcPr>
          <w:p w:rsidR="00882A9C" w:rsidRPr="00110571" w:rsidRDefault="00882A9C" w:rsidP="00940C75">
            <w:pPr>
              <w:jc w:val="center"/>
              <w:rPr>
                <w:b/>
                <w:sz w:val="20"/>
                <w:szCs w:val="20"/>
              </w:rPr>
            </w:pPr>
            <w:r>
              <w:rPr>
                <w:b/>
                <w:sz w:val="20"/>
                <w:szCs w:val="20"/>
              </w:rPr>
              <w:t>Total participation per respondent category  in minutes</w:t>
            </w:r>
          </w:p>
        </w:tc>
        <w:tc>
          <w:tcPr>
            <w:tcW w:w="1710" w:type="dxa"/>
            <w:tcBorders>
              <w:bottom w:val="single" w:sz="4" w:space="0" w:color="auto"/>
            </w:tcBorders>
            <w:vAlign w:val="center"/>
          </w:tcPr>
          <w:p w:rsidR="00882A9C" w:rsidRPr="00110571" w:rsidRDefault="00882A9C" w:rsidP="00940C75">
            <w:pPr>
              <w:jc w:val="center"/>
              <w:rPr>
                <w:b/>
                <w:sz w:val="20"/>
                <w:szCs w:val="20"/>
              </w:rPr>
            </w:pPr>
            <w:r w:rsidRPr="00110571">
              <w:rPr>
                <w:b/>
                <w:sz w:val="20"/>
                <w:szCs w:val="20"/>
              </w:rPr>
              <w:t>Burden</w:t>
            </w:r>
          </w:p>
          <w:p w:rsidR="00882A9C" w:rsidRPr="00110571" w:rsidRDefault="00882A9C" w:rsidP="00940C75">
            <w:pPr>
              <w:jc w:val="center"/>
              <w:rPr>
                <w:b/>
                <w:sz w:val="20"/>
                <w:szCs w:val="20"/>
              </w:rPr>
            </w:pPr>
            <w:r w:rsidRPr="00110571">
              <w:rPr>
                <w:b/>
                <w:sz w:val="20"/>
                <w:szCs w:val="20"/>
              </w:rPr>
              <w:t>Hours</w:t>
            </w:r>
          </w:p>
        </w:tc>
      </w:tr>
      <w:tr w:rsidR="00882A9C" w:rsidRPr="00EA6E07" w:rsidTr="00882A9C">
        <w:trPr>
          <w:trHeight w:val="274"/>
        </w:trPr>
        <w:tc>
          <w:tcPr>
            <w:tcW w:w="3618" w:type="dxa"/>
          </w:tcPr>
          <w:p w:rsidR="00882A9C" w:rsidRPr="00110571" w:rsidRDefault="00882A9C" w:rsidP="00110571">
            <w:pPr>
              <w:rPr>
                <w:sz w:val="20"/>
                <w:szCs w:val="20"/>
              </w:rPr>
            </w:pPr>
            <w:r w:rsidRPr="00110571">
              <w:rPr>
                <w:sz w:val="20"/>
                <w:szCs w:val="20"/>
              </w:rPr>
              <w:t xml:space="preserve">Survey: School Administrators </w:t>
            </w:r>
          </w:p>
        </w:tc>
        <w:tc>
          <w:tcPr>
            <w:tcW w:w="1530" w:type="dxa"/>
          </w:tcPr>
          <w:p w:rsidR="00882A9C" w:rsidRPr="00110571" w:rsidRDefault="00882A9C" w:rsidP="00500F86">
            <w:pPr>
              <w:jc w:val="center"/>
              <w:rPr>
                <w:sz w:val="20"/>
                <w:szCs w:val="20"/>
              </w:rPr>
            </w:pPr>
            <w:r w:rsidRPr="00110571">
              <w:rPr>
                <w:sz w:val="20"/>
                <w:szCs w:val="20"/>
              </w:rPr>
              <w:t>16</w:t>
            </w:r>
          </w:p>
        </w:tc>
        <w:tc>
          <w:tcPr>
            <w:tcW w:w="1530" w:type="dxa"/>
          </w:tcPr>
          <w:p w:rsidR="00882A9C" w:rsidRPr="00110571" w:rsidRDefault="00882A9C" w:rsidP="00882A9C">
            <w:pPr>
              <w:jc w:val="center"/>
              <w:rPr>
                <w:sz w:val="20"/>
                <w:szCs w:val="20"/>
              </w:rPr>
            </w:pPr>
            <w:r w:rsidRPr="00110571">
              <w:rPr>
                <w:sz w:val="20"/>
                <w:szCs w:val="20"/>
              </w:rPr>
              <w:t xml:space="preserve">20 </w:t>
            </w:r>
          </w:p>
        </w:tc>
        <w:tc>
          <w:tcPr>
            <w:tcW w:w="1710" w:type="dxa"/>
          </w:tcPr>
          <w:p w:rsidR="00882A9C" w:rsidRPr="00110571" w:rsidRDefault="00882A9C" w:rsidP="00500F86">
            <w:pPr>
              <w:jc w:val="center"/>
              <w:rPr>
                <w:sz w:val="20"/>
                <w:szCs w:val="20"/>
              </w:rPr>
            </w:pPr>
            <w:r>
              <w:rPr>
                <w:sz w:val="20"/>
                <w:szCs w:val="20"/>
              </w:rPr>
              <w:t>320</w:t>
            </w:r>
          </w:p>
        </w:tc>
        <w:tc>
          <w:tcPr>
            <w:tcW w:w="1710" w:type="dxa"/>
          </w:tcPr>
          <w:p w:rsidR="00882A9C" w:rsidRPr="00110571" w:rsidRDefault="00882A9C" w:rsidP="00882A9C">
            <w:pPr>
              <w:jc w:val="center"/>
              <w:rPr>
                <w:sz w:val="20"/>
                <w:szCs w:val="20"/>
              </w:rPr>
            </w:pPr>
            <w:r w:rsidRPr="00110571">
              <w:rPr>
                <w:sz w:val="20"/>
                <w:szCs w:val="20"/>
              </w:rPr>
              <w:t xml:space="preserve">5 </w:t>
            </w:r>
          </w:p>
        </w:tc>
      </w:tr>
      <w:tr w:rsidR="00882A9C" w:rsidRPr="00EA6E07" w:rsidTr="00882A9C">
        <w:trPr>
          <w:trHeight w:val="274"/>
        </w:trPr>
        <w:tc>
          <w:tcPr>
            <w:tcW w:w="3618" w:type="dxa"/>
            <w:tcBorders>
              <w:bottom w:val="single" w:sz="4" w:space="0" w:color="auto"/>
            </w:tcBorders>
          </w:tcPr>
          <w:p w:rsidR="00882A9C" w:rsidRPr="00110571" w:rsidRDefault="00882A9C" w:rsidP="00372B32">
            <w:pPr>
              <w:rPr>
                <w:sz w:val="20"/>
                <w:szCs w:val="20"/>
              </w:rPr>
            </w:pPr>
            <w:r w:rsidRPr="00110571">
              <w:rPr>
                <w:sz w:val="20"/>
                <w:szCs w:val="20"/>
              </w:rPr>
              <w:t xml:space="preserve">Survey: Teachers </w:t>
            </w:r>
          </w:p>
        </w:tc>
        <w:tc>
          <w:tcPr>
            <w:tcW w:w="1530" w:type="dxa"/>
            <w:tcBorders>
              <w:bottom w:val="single" w:sz="4" w:space="0" w:color="auto"/>
            </w:tcBorders>
          </w:tcPr>
          <w:p w:rsidR="00882A9C" w:rsidRPr="00110571" w:rsidRDefault="00882A9C" w:rsidP="00500F86">
            <w:pPr>
              <w:jc w:val="center"/>
              <w:rPr>
                <w:sz w:val="20"/>
                <w:szCs w:val="20"/>
              </w:rPr>
            </w:pPr>
            <w:r w:rsidRPr="00110571">
              <w:rPr>
                <w:sz w:val="20"/>
                <w:szCs w:val="20"/>
              </w:rPr>
              <w:t>164</w:t>
            </w:r>
          </w:p>
        </w:tc>
        <w:tc>
          <w:tcPr>
            <w:tcW w:w="1530" w:type="dxa"/>
            <w:tcBorders>
              <w:bottom w:val="single" w:sz="4" w:space="0" w:color="auto"/>
            </w:tcBorders>
          </w:tcPr>
          <w:p w:rsidR="00882A9C" w:rsidRPr="00110571" w:rsidRDefault="00882A9C" w:rsidP="00882A9C">
            <w:pPr>
              <w:jc w:val="center"/>
              <w:rPr>
                <w:sz w:val="20"/>
                <w:szCs w:val="20"/>
              </w:rPr>
            </w:pPr>
            <w:r w:rsidRPr="00110571">
              <w:rPr>
                <w:sz w:val="20"/>
                <w:szCs w:val="20"/>
              </w:rPr>
              <w:t xml:space="preserve">20 </w:t>
            </w:r>
          </w:p>
        </w:tc>
        <w:tc>
          <w:tcPr>
            <w:tcW w:w="1710" w:type="dxa"/>
            <w:tcBorders>
              <w:bottom w:val="single" w:sz="4" w:space="0" w:color="auto"/>
            </w:tcBorders>
          </w:tcPr>
          <w:p w:rsidR="00882A9C" w:rsidRPr="00110571" w:rsidRDefault="00882A9C" w:rsidP="00500F86">
            <w:pPr>
              <w:jc w:val="center"/>
              <w:rPr>
                <w:sz w:val="20"/>
                <w:szCs w:val="20"/>
              </w:rPr>
            </w:pPr>
            <w:r>
              <w:rPr>
                <w:sz w:val="20"/>
                <w:szCs w:val="20"/>
              </w:rPr>
              <w:t>3280</w:t>
            </w:r>
          </w:p>
        </w:tc>
        <w:tc>
          <w:tcPr>
            <w:tcW w:w="1710" w:type="dxa"/>
            <w:tcBorders>
              <w:bottom w:val="single" w:sz="4" w:space="0" w:color="auto"/>
            </w:tcBorders>
          </w:tcPr>
          <w:p w:rsidR="00882A9C" w:rsidRPr="00110571" w:rsidRDefault="00882A9C" w:rsidP="00882A9C">
            <w:pPr>
              <w:jc w:val="center"/>
              <w:rPr>
                <w:sz w:val="20"/>
                <w:szCs w:val="20"/>
              </w:rPr>
            </w:pPr>
            <w:r w:rsidRPr="00110571">
              <w:rPr>
                <w:sz w:val="20"/>
                <w:szCs w:val="20"/>
              </w:rPr>
              <w:t xml:space="preserve">55 </w:t>
            </w:r>
          </w:p>
        </w:tc>
      </w:tr>
      <w:tr w:rsidR="00882A9C" w:rsidRPr="00EA6E07" w:rsidTr="00882A9C">
        <w:trPr>
          <w:trHeight w:val="274"/>
        </w:trPr>
        <w:tc>
          <w:tcPr>
            <w:tcW w:w="3618" w:type="dxa"/>
            <w:tcBorders>
              <w:bottom w:val="single" w:sz="4" w:space="0" w:color="auto"/>
            </w:tcBorders>
          </w:tcPr>
          <w:p w:rsidR="00882A9C" w:rsidRPr="00110571" w:rsidRDefault="00882A9C" w:rsidP="00372B32">
            <w:pPr>
              <w:rPr>
                <w:sz w:val="20"/>
                <w:szCs w:val="20"/>
              </w:rPr>
            </w:pPr>
            <w:r w:rsidRPr="00110571">
              <w:rPr>
                <w:sz w:val="20"/>
                <w:szCs w:val="20"/>
              </w:rPr>
              <w:t>Interview: School Administrators</w:t>
            </w:r>
          </w:p>
        </w:tc>
        <w:tc>
          <w:tcPr>
            <w:tcW w:w="1530" w:type="dxa"/>
            <w:tcBorders>
              <w:bottom w:val="single" w:sz="4" w:space="0" w:color="auto"/>
            </w:tcBorders>
          </w:tcPr>
          <w:p w:rsidR="00882A9C" w:rsidRPr="00110571" w:rsidRDefault="00882A9C" w:rsidP="00500F86">
            <w:pPr>
              <w:jc w:val="center"/>
              <w:rPr>
                <w:sz w:val="20"/>
                <w:szCs w:val="20"/>
              </w:rPr>
            </w:pPr>
            <w:r w:rsidRPr="00110571">
              <w:rPr>
                <w:sz w:val="20"/>
                <w:szCs w:val="20"/>
              </w:rPr>
              <w:t>16</w:t>
            </w:r>
          </w:p>
        </w:tc>
        <w:tc>
          <w:tcPr>
            <w:tcW w:w="1530" w:type="dxa"/>
            <w:tcBorders>
              <w:bottom w:val="single" w:sz="4" w:space="0" w:color="auto"/>
            </w:tcBorders>
          </w:tcPr>
          <w:p w:rsidR="00882A9C" w:rsidRPr="00110571" w:rsidRDefault="00882A9C" w:rsidP="00882A9C">
            <w:pPr>
              <w:jc w:val="center"/>
              <w:rPr>
                <w:sz w:val="20"/>
                <w:szCs w:val="20"/>
              </w:rPr>
            </w:pPr>
            <w:r w:rsidRPr="00110571">
              <w:rPr>
                <w:sz w:val="20"/>
                <w:szCs w:val="20"/>
              </w:rPr>
              <w:t xml:space="preserve">30 </w:t>
            </w:r>
          </w:p>
        </w:tc>
        <w:tc>
          <w:tcPr>
            <w:tcW w:w="1710" w:type="dxa"/>
            <w:tcBorders>
              <w:bottom w:val="single" w:sz="4" w:space="0" w:color="auto"/>
            </w:tcBorders>
          </w:tcPr>
          <w:p w:rsidR="00882A9C" w:rsidRPr="00110571" w:rsidRDefault="00882A9C" w:rsidP="00500F86">
            <w:pPr>
              <w:jc w:val="center"/>
              <w:rPr>
                <w:sz w:val="20"/>
                <w:szCs w:val="20"/>
              </w:rPr>
            </w:pPr>
            <w:r>
              <w:rPr>
                <w:sz w:val="20"/>
                <w:szCs w:val="20"/>
              </w:rPr>
              <w:t>480</w:t>
            </w:r>
          </w:p>
        </w:tc>
        <w:tc>
          <w:tcPr>
            <w:tcW w:w="1710" w:type="dxa"/>
            <w:tcBorders>
              <w:bottom w:val="single" w:sz="4" w:space="0" w:color="auto"/>
            </w:tcBorders>
          </w:tcPr>
          <w:p w:rsidR="00882A9C" w:rsidRPr="00110571" w:rsidRDefault="00882A9C" w:rsidP="00882A9C">
            <w:pPr>
              <w:jc w:val="center"/>
              <w:rPr>
                <w:sz w:val="20"/>
                <w:szCs w:val="20"/>
              </w:rPr>
            </w:pPr>
            <w:r w:rsidRPr="00110571">
              <w:rPr>
                <w:sz w:val="20"/>
                <w:szCs w:val="20"/>
              </w:rPr>
              <w:t xml:space="preserve">8 </w:t>
            </w:r>
          </w:p>
        </w:tc>
      </w:tr>
      <w:tr w:rsidR="00882A9C" w:rsidRPr="00EA6E07" w:rsidTr="00882A9C">
        <w:trPr>
          <w:trHeight w:val="274"/>
        </w:trPr>
        <w:tc>
          <w:tcPr>
            <w:tcW w:w="3618" w:type="dxa"/>
          </w:tcPr>
          <w:p w:rsidR="00882A9C" w:rsidRPr="00110571" w:rsidRDefault="00882A9C" w:rsidP="00372B32">
            <w:pPr>
              <w:rPr>
                <w:sz w:val="20"/>
                <w:szCs w:val="20"/>
              </w:rPr>
            </w:pPr>
            <w:r w:rsidRPr="00110571">
              <w:rPr>
                <w:sz w:val="20"/>
                <w:szCs w:val="20"/>
              </w:rPr>
              <w:t>Focus Groups: Teacher</w:t>
            </w:r>
            <w:r>
              <w:rPr>
                <w:sz w:val="20"/>
                <w:szCs w:val="20"/>
              </w:rPr>
              <w:t>s</w:t>
            </w:r>
            <w:r w:rsidRPr="00110571">
              <w:rPr>
                <w:sz w:val="20"/>
                <w:szCs w:val="20"/>
              </w:rPr>
              <w:t xml:space="preserve"> </w:t>
            </w:r>
          </w:p>
        </w:tc>
        <w:tc>
          <w:tcPr>
            <w:tcW w:w="1530" w:type="dxa"/>
          </w:tcPr>
          <w:p w:rsidR="00882A9C" w:rsidRPr="00110571" w:rsidRDefault="00882A9C" w:rsidP="00500F86">
            <w:pPr>
              <w:jc w:val="center"/>
              <w:rPr>
                <w:sz w:val="20"/>
                <w:szCs w:val="20"/>
              </w:rPr>
            </w:pPr>
            <w:r w:rsidRPr="00110571">
              <w:rPr>
                <w:sz w:val="20"/>
                <w:szCs w:val="20"/>
              </w:rPr>
              <w:t>56</w:t>
            </w:r>
          </w:p>
        </w:tc>
        <w:tc>
          <w:tcPr>
            <w:tcW w:w="1530" w:type="dxa"/>
          </w:tcPr>
          <w:p w:rsidR="00882A9C" w:rsidRPr="00110571" w:rsidRDefault="00882A9C" w:rsidP="00882A9C">
            <w:pPr>
              <w:jc w:val="center"/>
              <w:rPr>
                <w:sz w:val="20"/>
                <w:szCs w:val="20"/>
              </w:rPr>
            </w:pPr>
            <w:r w:rsidRPr="00110571">
              <w:rPr>
                <w:sz w:val="20"/>
                <w:szCs w:val="20"/>
              </w:rPr>
              <w:t xml:space="preserve">30 </w:t>
            </w:r>
          </w:p>
        </w:tc>
        <w:tc>
          <w:tcPr>
            <w:tcW w:w="1710" w:type="dxa"/>
          </w:tcPr>
          <w:p w:rsidR="00882A9C" w:rsidRPr="00110571" w:rsidRDefault="00882A9C" w:rsidP="00500F86">
            <w:pPr>
              <w:jc w:val="center"/>
              <w:rPr>
                <w:sz w:val="20"/>
                <w:szCs w:val="20"/>
              </w:rPr>
            </w:pPr>
            <w:r>
              <w:rPr>
                <w:sz w:val="20"/>
                <w:szCs w:val="20"/>
              </w:rPr>
              <w:t>1680</w:t>
            </w:r>
          </w:p>
        </w:tc>
        <w:tc>
          <w:tcPr>
            <w:tcW w:w="1710" w:type="dxa"/>
          </w:tcPr>
          <w:p w:rsidR="00882A9C" w:rsidRPr="00110571" w:rsidRDefault="00882A9C" w:rsidP="00882A9C">
            <w:pPr>
              <w:jc w:val="center"/>
              <w:rPr>
                <w:sz w:val="20"/>
                <w:szCs w:val="20"/>
              </w:rPr>
            </w:pPr>
            <w:r w:rsidRPr="00110571">
              <w:rPr>
                <w:sz w:val="20"/>
                <w:szCs w:val="20"/>
              </w:rPr>
              <w:t xml:space="preserve">28 </w:t>
            </w:r>
          </w:p>
        </w:tc>
      </w:tr>
      <w:tr w:rsidR="00882A9C" w:rsidRPr="00EA6E07" w:rsidTr="00882A9C">
        <w:trPr>
          <w:trHeight w:val="274"/>
        </w:trPr>
        <w:tc>
          <w:tcPr>
            <w:tcW w:w="3618" w:type="dxa"/>
            <w:tcBorders>
              <w:bottom w:val="single" w:sz="4" w:space="0" w:color="auto"/>
            </w:tcBorders>
          </w:tcPr>
          <w:p w:rsidR="00882A9C" w:rsidRPr="00110571" w:rsidRDefault="00882A9C" w:rsidP="00372B32">
            <w:pPr>
              <w:rPr>
                <w:sz w:val="20"/>
                <w:szCs w:val="20"/>
              </w:rPr>
            </w:pPr>
            <w:r w:rsidRPr="00110571">
              <w:rPr>
                <w:sz w:val="20"/>
                <w:szCs w:val="20"/>
              </w:rPr>
              <w:t>Focus Groups: Parent</w:t>
            </w:r>
            <w:r>
              <w:rPr>
                <w:sz w:val="20"/>
                <w:szCs w:val="20"/>
              </w:rPr>
              <w:t>s</w:t>
            </w:r>
            <w:r w:rsidRPr="00110571">
              <w:rPr>
                <w:sz w:val="20"/>
                <w:szCs w:val="20"/>
              </w:rPr>
              <w:t xml:space="preserve"> </w:t>
            </w:r>
          </w:p>
        </w:tc>
        <w:tc>
          <w:tcPr>
            <w:tcW w:w="1530" w:type="dxa"/>
            <w:tcBorders>
              <w:bottom w:val="single" w:sz="4" w:space="0" w:color="auto"/>
            </w:tcBorders>
          </w:tcPr>
          <w:p w:rsidR="00882A9C" w:rsidRPr="00110571" w:rsidRDefault="00882A9C" w:rsidP="00500F86">
            <w:pPr>
              <w:jc w:val="center"/>
              <w:rPr>
                <w:sz w:val="20"/>
                <w:szCs w:val="20"/>
              </w:rPr>
            </w:pPr>
            <w:r w:rsidRPr="00110571">
              <w:rPr>
                <w:sz w:val="20"/>
                <w:szCs w:val="20"/>
              </w:rPr>
              <w:t>20</w:t>
            </w:r>
          </w:p>
        </w:tc>
        <w:tc>
          <w:tcPr>
            <w:tcW w:w="1530" w:type="dxa"/>
            <w:tcBorders>
              <w:bottom w:val="single" w:sz="4" w:space="0" w:color="auto"/>
            </w:tcBorders>
          </w:tcPr>
          <w:p w:rsidR="00882A9C" w:rsidRPr="00110571" w:rsidRDefault="00882A9C" w:rsidP="00882A9C">
            <w:pPr>
              <w:jc w:val="center"/>
              <w:rPr>
                <w:sz w:val="20"/>
                <w:szCs w:val="20"/>
              </w:rPr>
            </w:pPr>
            <w:r w:rsidRPr="00110571">
              <w:rPr>
                <w:sz w:val="20"/>
                <w:szCs w:val="20"/>
              </w:rPr>
              <w:t xml:space="preserve">30 </w:t>
            </w:r>
          </w:p>
        </w:tc>
        <w:tc>
          <w:tcPr>
            <w:tcW w:w="1710" w:type="dxa"/>
            <w:tcBorders>
              <w:bottom w:val="single" w:sz="4" w:space="0" w:color="auto"/>
            </w:tcBorders>
          </w:tcPr>
          <w:p w:rsidR="00882A9C" w:rsidRPr="00110571" w:rsidRDefault="00882A9C" w:rsidP="00500F86">
            <w:pPr>
              <w:jc w:val="center"/>
              <w:rPr>
                <w:sz w:val="20"/>
                <w:szCs w:val="20"/>
              </w:rPr>
            </w:pPr>
            <w:r>
              <w:rPr>
                <w:sz w:val="20"/>
                <w:szCs w:val="20"/>
              </w:rPr>
              <w:t>600</w:t>
            </w:r>
          </w:p>
        </w:tc>
        <w:tc>
          <w:tcPr>
            <w:tcW w:w="1710" w:type="dxa"/>
            <w:tcBorders>
              <w:bottom w:val="single" w:sz="4" w:space="0" w:color="auto"/>
            </w:tcBorders>
          </w:tcPr>
          <w:p w:rsidR="00882A9C" w:rsidRPr="00110571" w:rsidRDefault="00882A9C" w:rsidP="00882A9C">
            <w:pPr>
              <w:jc w:val="center"/>
              <w:rPr>
                <w:sz w:val="20"/>
                <w:szCs w:val="20"/>
              </w:rPr>
            </w:pPr>
            <w:r w:rsidRPr="00110571">
              <w:rPr>
                <w:sz w:val="20"/>
                <w:szCs w:val="20"/>
              </w:rPr>
              <w:t xml:space="preserve">10 </w:t>
            </w:r>
          </w:p>
        </w:tc>
      </w:tr>
      <w:tr w:rsidR="00882A9C" w:rsidRPr="00EA6E07" w:rsidTr="00882A9C">
        <w:trPr>
          <w:trHeight w:val="289"/>
        </w:trPr>
        <w:tc>
          <w:tcPr>
            <w:tcW w:w="3618" w:type="dxa"/>
          </w:tcPr>
          <w:p w:rsidR="00882A9C" w:rsidRPr="00110571" w:rsidRDefault="00882A9C" w:rsidP="00843796">
            <w:pPr>
              <w:rPr>
                <w:b/>
                <w:sz w:val="20"/>
                <w:szCs w:val="20"/>
              </w:rPr>
            </w:pPr>
            <w:r w:rsidRPr="00110571">
              <w:rPr>
                <w:b/>
                <w:sz w:val="20"/>
                <w:szCs w:val="20"/>
              </w:rPr>
              <w:t>Totals</w:t>
            </w:r>
          </w:p>
        </w:tc>
        <w:tc>
          <w:tcPr>
            <w:tcW w:w="1530" w:type="dxa"/>
          </w:tcPr>
          <w:p w:rsidR="00882A9C" w:rsidRPr="00110571" w:rsidRDefault="00882A9C" w:rsidP="00500F86">
            <w:pPr>
              <w:jc w:val="center"/>
              <w:rPr>
                <w:b/>
                <w:sz w:val="20"/>
                <w:szCs w:val="20"/>
              </w:rPr>
            </w:pPr>
            <w:r w:rsidRPr="00110571">
              <w:rPr>
                <w:b/>
                <w:sz w:val="20"/>
                <w:szCs w:val="20"/>
              </w:rPr>
              <w:t>272</w:t>
            </w:r>
          </w:p>
        </w:tc>
        <w:tc>
          <w:tcPr>
            <w:tcW w:w="1530" w:type="dxa"/>
          </w:tcPr>
          <w:p w:rsidR="00882A9C" w:rsidRPr="00110571" w:rsidRDefault="00882A9C" w:rsidP="00882A9C">
            <w:pPr>
              <w:jc w:val="center"/>
              <w:rPr>
                <w:b/>
                <w:sz w:val="20"/>
                <w:szCs w:val="20"/>
              </w:rPr>
            </w:pPr>
            <w:r w:rsidRPr="00110571">
              <w:rPr>
                <w:b/>
                <w:sz w:val="20"/>
                <w:szCs w:val="20"/>
              </w:rPr>
              <w:t xml:space="preserve">130 </w:t>
            </w:r>
          </w:p>
        </w:tc>
        <w:tc>
          <w:tcPr>
            <w:tcW w:w="1710" w:type="dxa"/>
          </w:tcPr>
          <w:p w:rsidR="00882A9C" w:rsidRPr="00110571" w:rsidRDefault="00882A9C" w:rsidP="00500F86">
            <w:pPr>
              <w:jc w:val="center"/>
              <w:rPr>
                <w:b/>
                <w:sz w:val="20"/>
                <w:szCs w:val="20"/>
              </w:rPr>
            </w:pPr>
            <w:r>
              <w:rPr>
                <w:b/>
                <w:sz w:val="20"/>
                <w:szCs w:val="20"/>
              </w:rPr>
              <w:t>6360</w:t>
            </w:r>
          </w:p>
        </w:tc>
        <w:tc>
          <w:tcPr>
            <w:tcW w:w="1710" w:type="dxa"/>
          </w:tcPr>
          <w:p w:rsidR="00882A9C" w:rsidRPr="00110571" w:rsidRDefault="00882A9C" w:rsidP="00882A9C">
            <w:pPr>
              <w:jc w:val="center"/>
              <w:rPr>
                <w:b/>
                <w:sz w:val="20"/>
                <w:szCs w:val="20"/>
              </w:rPr>
            </w:pPr>
            <w:r w:rsidRPr="00110571">
              <w:rPr>
                <w:b/>
                <w:sz w:val="20"/>
                <w:szCs w:val="20"/>
              </w:rPr>
              <w:t xml:space="preserve">106 </w:t>
            </w:r>
          </w:p>
        </w:tc>
      </w:tr>
    </w:tbl>
    <w:p w:rsidR="00F3170F" w:rsidRPr="00EA6E07" w:rsidRDefault="00F3170F" w:rsidP="00F3170F"/>
    <w:p w:rsidR="00441434" w:rsidRPr="00EA6E07" w:rsidRDefault="00441434" w:rsidP="00F3170F"/>
    <w:p w:rsidR="00B661B5" w:rsidRDefault="001C39F7" w:rsidP="00B661B5">
      <w:pPr>
        <w:spacing w:after="120"/>
        <w:rPr>
          <w:b/>
        </w:rPr>
      </w:pPr>
      <w:r w:rsidRPr="00EA6E07">
        <w:rPr>
          <w:b/>
        </w:rPr>
        <w:t xml:space="preserve">FEDERAL </w:t>
      </w:r>
      <w:r w:rsidR="009F5923" w:rsidRPr="00EA6E07">
        <w:rPr>
          <w:b/>
        </w:rPr>
        <w:t>COST</w:t>
      </w:r>
    </w:p>
    <w:p w:rsidR="005E714A" w:rsidRPr="00B661B5" w:rsidRDefault="00C86E91" w:rsidP="00B661B5">
      <w:pPr>
        <w:rPr>
          <w:b/>
        </w:rPr>
      </w:pPr>
      <w:r w:rsidRPr="00B661B5">
        <w:t>The estimated annual cost t</w:t>
      </w:r>
      <w:r w:rsidR="00041A28" w:rsidRPr="00B661B5">
        <w:t xml:space="preserve">o the Federal government is approximately </w:t>
      </w:r>
      <w:r w:rsidR="00041A28" w:rsidRPr="00B661B5">
        <w:rPr>
          <w:u w:val="single"/>
        </w:rPr>
        <w:t>_$</w:t>
      </w:r>
      <w:r w:rsidR="00C13518">
        <w:rPr>
          <w:u w:val="single"/>
        </w:rPr>
        <w:t>9</w:t>
      </w:r>
      <w:r w:rsidR="00D428A9" w:rsidRPr="00B661B5">
        <w:rPr>
          <w:u w:val="single"/>
        </w:rPr>
        <w:t>7,</w:t>
      </w:r>
      <w:r w:rsidR="00C13518">
        <w:rPr>
          <w:u w:val="single"/>
        </w:rPr>
        <w:t>800</w:t>
      </w:r>
      <w:r w:rsidR="00041A28" w:rsidRPr="00B661B5">
        <w:t>.</w:t>
      </w:r>
      <w:r w:rsidR="002F5C06" w:rsidRPr="00B661B5">
        <w:t xml:space="preserve"> This is a one-time cost under ED-OII-1</w:t>
      </w:r>
      <w:r w:rsidR="004E7A23" w:rsidRPr="00B661B5">
        <w:t>3</w:t>
      </w:r>
      <w:r w:rsidR="002F5C06" w:rsidRPr="00B661B5">
        <w:t>-C-0073</w:t>
      </w:r>
      <w:r w:rsidR="00947789">
        <w:t>. This is the Part 2 of a study on minority group isolation and school turnaround. Part 1 -</w:t>
      </w:r>
      <w:r w:rsidR="00947789" w:rsidRPr="00947789">
        <w:rPr>
          <w:rFonts w:ascii="Times New Roman" w:eastAsiaTheme="minorHAnsi" w:hAnsi="Times New Roman"/>
          <w:sz w:val="24"/>
        </w:rPr>
        <w:t xml:space="preserve"> </w:t>
      </w:r>
      <w:r w:rsidR="00947789" w:rsidRPr="00947789">
        <w:t>Defining Minority Group Isolation in Federally Funded Magnet Schools</w:t>
      </w:r>
      <w:r w:rsidR="00947789">
        <w:t xml:space="preserve"> was recently approved under OMB control number </w:t>
      </w:r>
      <w:r w:rsidR="00947789" w:rsidRPr="00947789">
        <w:t>1880-0542</w:t>
      </w:r>
      <w:r w:rsidR="00947789">
        <w:t>.</w:t>
      </w:r>
    </w:p>
    <w:p w:rsidR="00ED6492" w:rsidRPr="00EA6E07" w:rsidRDefault="00ED6492">
      <w:pPr>
        <w:rPr>
          <w:b/>
          <w:bCs/>
          <w:u w:val="single"/>
        </w:rPr>
      </w:pPr>
    </w:p>
    <w:p w:rsidR="0069403B" w:rsidRPr="00EA6E07" w:rsidRDefault="00ED6492" w:rsidP="00B661B5">
      <w:pPr>
        <w:keepNext/>
        <w:rPr>
          <w:b/>
        </w:rPr>
      </w:pPr>
      <w:r w:rsidRPr="00EA6E07">
        <w:rPr>
          <w:b/>
          <w:bCs/>
          <w:u w:val="single"/>
        </w:rPr>
        <w:t xml:space="preserve">If you are conducting a focus group, survey, or plan to employ statistical methods, please </w:t>
      </w:r>
      <w:r w:rsidR="0069403B" w:rsidRPr="00EA6E07">
        <w:rPr>
          <w:b/>
          <w:bCs/>
          <w:u w:val="single"/>
        </w:rPr>
        <w:t xml:space="preserve"> provide answers to the following questions:</w:t>
      </w:r>
    </w:p>
    <w:p w:rsidR="0069403B" w:rsidRPr="00EA6E07" w:rsidRDefault="0069403B" w:rsidP="00B661B5">
      <w:pPr>
        <w:keepNext/>
        <w:rPr>
          <w:b/>
        </w:rPr>
      </w:pPr>
    </w:p>
    <w:p w:rsidR="00F06866" w:rsidRPr="00EA6E07" w:rsidRDefault="00636621" w:rsidP="00B661B5">
      <w:pPr>
        <w:spacing w:after="120"/>
        <w:rPr>
          <w:b/>
        </w:rPr>
      </w:pPr>
      <w:r w:rsidRPr="00EA6E07">
        <w:rPr>
          <w:b/>
        </w:rPr>
        <w:t>The</w:t>
      </w:r>
      <w:r w:rsidR="0069403B" w:rsidRPr="00EA6E07">
        <w:rPr>
          <w:b/>
        </w:rPr>
        <w:t xml:space="preserve"> select</w:t>
      </w:r>
      <w:r w:rsidRPr="00EA6E07">
        <w:rPr>
          <w:b/>
        </w:rPr>
        <w:t>ion of your targeted respondents</w:t>
      </w:r>
    </w:p>
    <w:p w:rsidR="0069403B" w:rsidRPr="00EA6E07" w:rsidRDefault="0069403B" w:rsidP="0069403B">
      <w:pPr>
        <w:pStyle w:val="ListParagraph"/>
        <w:numPr>
          <w:ilvl w:val="0"/>
          <w:numId w:val="15"/>
        </w:numPr>
      </w:pPr>
      <w:r w:rsidRPr="00EA6E07">
        <w:t>Do you have a customer list or something similar that defines the universe of potential respondents</w:t>
      </w:r>
      <w:r w:rsidR="00636621" w:rsidRPr="00EA6E07">
        <w:t xml:space="preserve"> and do you have a sampling plan for selecting from this universe</w:t>
      </w:r>
      <w:r w:rsidRPr="00EA6E07">
        <w:t>?</w:t>
      </w:r>
      <w:r w:rsidRPr="00EA6E07">
        <w:tab/>
      </w:r>
      <w:r w:rsidRPr="00EA6E07">
        <w:tab/>
      </w:r>
      <w:r w:rsidRPr="00EA6E07">
        <w:tab/>
      </w:r>
      <w:r w:rsidRPr="00EA6E07">
        <w:tab/>
      </w:r>
      <w:r w:rsidRPr="00EA6E07">
        <w:tab/>
      </w:r>
      <w:r w:rsidRPr="00EA6E07">
        <w:tab/>
      </w:r>
      <w:r w:rsidRPr="00EA6E07">
        <w:tab/>
      </w:r>
      <w:r w:rsidRPr="00EA6E07">
        <w:tab/>
      </w:r>
      <w:r w:rsidR="00636621" w:rsidRPr="00EA6E07">
        <w:tab/>
      </w:r>
      <w:r w:rsidR="00636621" w:rsidRPr="00EA6E07">
        <w:tab/>
      </w:r>
      <w:r w:rsidR="00636621" w:rsidRPr="00EA6E07">
        <w:tab/>
      </w:r>
      <w:r w:rsidRPr="00EA6E07">
        <w:t>[</w:t>
      </w:r>
      <w:r w:rsidR="00D64D06">
        <w:t>X</w:t>
      </w:r>
      <w:r w:rsidRPr="00EA6E07">
        <w:t>] Yes</w:t>
      </w:r>
      <w:r w:rsidRPr="00EA6E07">
        <w:tab/>
        <w:t>[] No</w:t>
      </w:r>
    </w:p>
    <w:p w:rsidR="00636621" w:rsidRPr="00EA6E07" w:rsidRDefault="00636621" w:rsidP="00636621">
      <w:pPr>
        <w:pStyle w:val="ListParagraph"/>
      </w:pPr>
    </w:p>
    <w:p w:rsidR="00636621" w:rsidRPr="00EA6E07" w:rsidRDefault="00636621" w:rsidP="00EA6E07">
      <w:pPr>
        <w:ind w:left="360"/>
      </w:pPr>
      <w:r w:rsidRPr="00EA6E07">
        <w:t>If the answer is yes, please provide a description of both below</w:t>
      </w:r>
      <w:r w:rsidR="00A403BB" w:rsidRPr="00EA6E07">
        <w:t xml:space="preserve"> (or attach the sampling plan)</w:t>
      </w:r>
      <w:r w:rsidRPr="00EA6E07">
        <w:t>?   If the answer is no, please provide a description of how you plan to identify your potential group of respondents</w:t>
      </w:r>
      <w:r w:rsidR="001B0AAA" w:rsidRPr="00EA6E07">
        <w:t xml:space="preserve"> and how you will select them</w:t>
      </w:r>
      <w:r w:rsidRPr="00EA6E07">
        <w:t>?</w:t>
      </w:r>
    </w:p>
    <w:p w:rsidR="006F74D4" w:rsidRPr="00EA6E07" w:rsidRDefault="006F74D4" w:rsidP="006F74D4"/>
    <w:p w:rsidR="00B661B5" w:rsidRPr="00CC0C46" w:rsidRDefault="00CC0C46" w:rsidP="00B661B5">
      <w:pPr>
        <w:spacing w:after="120"/>
        <w:rPr>
          <w:u w:val="single"/>
        </w:rPr>
      </w:pPr>
      <w:r>
        <w:rPr>
          <w:u w:val="single"/>
        </w:rPr>
        <w:t>Additional Information</w:t>
      </w:r>
    </w:p>
    <w:p w:rsidR="00D64D06" w:rsidRPr="00D64D06" w:rsidRDefault="00D64D06" w:rsidP="00D64D06">
      <w:pPr>
        <w:spacing w:after="120"/>
        <w:rPr>
          <w:rFonts w:eastAsia="Calibri"/>
          <w:szCs w:val="22"/>
        </w:rPr>
      </w:pPr>
      <w:r w:rsidRPr="00D64D06">
        <w:rPr>
          <w:rFonts w:eastAsia="Calibri"/>
          <w:szCs w:val="22"/>
        </w:rPr>
        <w:t xml:space="preserve">The four </w:t>
      </w:r>
      <w:r>
        <w:rPr>
          <w:rFonts w:eastAsia="Calibri"/>
          <w:szCs w:val="22"/>
        </w:rPr>
        <w:t xml:space="preserve">schools </w:t>
      </w:r>
      <w:r w:rsidRPr="00D64D06">
        <w:rPr>
          <w:rFonts w:eastAsia="Calibri"/>
          <w:szCs w:val="22"/>
        </w:rPr>
        <w:t>were selected through an analysis of enrollment by race</w:t>
      </w:r>
      <w:r>
        <w:rPr>
          <w:rFonts w:eastAsia="Calibri"/>
          <w:szCs w:val="22"/>
        </w:rPr>
        <w:t xml:space="preserve"> from 2</w:t>
      </w:r>
      <w:r w:rsidRPr="00D64D06">
        <w:rPr>
          <w:rFonts w:eastAsia="Calibri"/>
          <w:szCs w:val="22"/>
        </w:rPr>
        <w:t xml:space="preserve">009-2014, student achievement by race from 2009-2014, and a careful review of 2010 MSAP </w:t>
      </w:r>
      <w:r w:rsidR="00C74993">
        <w:rPr>
          <w:rFonts w:eastAsia="Calibri"/>
          <w:szCs w:val="22"/>
        </w:rPr>
        <w:t xml:space="preserve">cohort grant </w:t>
      </w:r>
      <w:r w:rsidRPr="00D64D06">
        <w:rPr>
          <w:rFonts w:eastAsia="Calibri"/>
          <w:szCs w:val="22"/>
        </w:rPr>
        <w:t>applications.  We first reviewed district-level enrollment trends from 2009-2014 for evidence that MSAP-funded schools were reducing minority group isolation</w:t>
      </w:r>
      <w:r w:rsidR="00101EAB">
        <w:rPr>
          <w:rFonts w:eastAsia="Calibri"/>
          <w:szCs w:val="22"/>
        </w:rPr>
        <w:t xml:space="preserve"> (e.g., were attracting growing shares of white and/or Asian students)</w:t>
      </w:r>
      <w:r w:rsidRPr="00D64D06">
        <w:rPr>
          <w:rFonts w:eastAsia="Calibri"/>
          <w:szCs w:val="22"/>
        </w:rPr>
        <w:t xml:space="preserve">.  We then examined </w:t>
      </w:r>
      <w:r w:rsidR="00C74993">
        <w:rPr>
          <w:rFonts w:eastAsia="Calibri"/>
          <w:szCs w:val="22"/>
        </w:rPr>
        <w:t xml:space="preserve">grant </w:t>
      </w:r>
      <w:r w:rsidR="00C74993" w:rsidRPr="00D64D06">
        <w:rPr>
          <w:rFonts w:eastAsia="Calibri"/>
          <w:szCs w:val="22"/>
        </w:rPr>
        <w:t xml:space="preserve">applications </w:t>
      </w:r>
      <w:r w:rsidR="00C74993">
        <w:rPr>
          <w:rFonts w:eastAsia="Calibri"/>
          <w:szCs w:val="22"/>
        </w:rPr>
        <w:t xml:space="preserve">of </w:t>
      </w:r>
      <w:r w:rsidRPr="00D64D06">
        <w:rPr>
          <w:rFonts w:eastAsia="Calibri"/>
          <w:szCs w:val="22"/>
        </w:rPr>
        <w:t xml:space="preserve">2010 MSAP </w:t>
      </w:r>
      <w:r w:rsidR="00C74993">
        <w:rPr>
          <w:rFonts w:eastAsia="Calibri"/>
          <w:szCs w:val="22"/>
        </w:rPr>
        <w:t xml:space="preserve">cohort, which had a </w:t>
      </w:r>
      <w:r w:rsidR="00C74993" w:rsidRPr="00D64D06">
        <w:rPr>
          <w:rFonts w:eastAsia="Calibri"/>
          <w:szCs w:val="22"/>
        </w:rPr>
        <w:t xml:space="preserve">school turnaround </w:t>
      </w:r>
      <w:r w:rsidR="00C74993" w:rsidRPr="00D64D06">
        <w:rPr>
          <w:rFonts w:eastAsia="Calibri"/>
          <w:szCs w:val="22"/>
        </w:rPr>
        <w:lastRenderedPageBreak/>
        <w:t xml:space="preserve">priority </w:t>
      </w:r>
      <w:r w:rsidRPr="00D64D06">
        <w:rPr>
          <w:rFonts w:eastAsia="Calibri"/>
          <w:szCs w:val="22"/>
        </w:rPr>
        <w:t xml:space="preserve">for descriptions of school turnaround status.  </w:t>
      </w:r>
      <w:r w:rsidR="00101EAB">
        <w:rPr>
          <w:rFonts w:eastAsia="Calibri"/>
          <w:szCs w:val="22"/>
        </w:rPr>
        <w:t xml:space="preserve">Based on evidence of steadily increasing racial diversity and 2010 magnet school turnaround status, we created a list of 22 possible schools.  </w:t>
      </w:r>
      <w:r w:rsidRPr="00D64D06">
        <w:rPr>
          <w:rFonts w:eastAsia="Calibri"/>
          <w:szCs w:val="22"/>
        </w:rPr>
        <w:t xml:space="preserve"> </w:t>
      </w:r>
      <w:r w:rsidR="00101EAB">
        <w:rPr>
          <w:rFonts w:eastAsia="Calibri"/>
          <w:szCs w:val="22"/>
        </w:rPr>
        <w:t xml:space="preserve">For those 22 schools, we </w:t>
      </w:r>
      <w:r w:rsidRPr="00D64D06">
        <w:rPr>
          <w:rFonts w:eastAsia="Calibri"/>
          <w:szCs w:val="22"/>
        </w:rPr>
        <w:t xml:space="preserve">examined math and reading achievement data, as well as high school graduation rates where applicable.  Finally, </w:t>
      </w:r>
      <w:r w:rsidR="00101EAB">
        <w:rPr>
          <w:rFonts w:eastAsia="Calibri"/>
          <w:szCs w:val="22"/>
        </w:rPr>
        <w:t xml:space="preserve">for those 22 schools, </w:t>
      </w:r>
      <w:r w:rsidRPr="00D64D06">
        <w:rPr>
          <w:rFonts w:eastAsia="Calibri"/>
          <w:szCs w:val="22"/>
        </w:rPr>
        <w:t>we paired the achievement data with school-level enrollment data to see whether the possible sites were</w:t>
      </w:r>
      <w:r w:rsidR="00101EAB">
        <w:rPr>
          <w:rFonts w:eastAsia="Calibri"/>
          <w:szCs w:val="22"/>
        </w:rPr>
        <w:t xml:space="preserve"> raising achievement and/or narrowing achievement gaps and</w:t>
      </w:r>
      <w:r w:rsidRPr="00D64D06">
        <w:rPr>
          <w:rFonts w:eastAsia="Calibri"/>
          <w:szCs w:val="22"/>
        </w:rPr>
        <w:t xml:space="preserve"> reducing minority group isolation</w:t>
      </w:r>
      <w:r w:rsidR="00B7702A">
        <w:rPr>
          <w:rFonts w:eastAsia="Calibri"/>
          <w:szCs w:val="22"/>
        </w:rPr>
        <w:t xml:space="preserve">. </w:t>
      </w:r>
      <w:r w:rsidR="00101EAB">
        <w:rPr>
          <w:rFonts w:eastAsia="Calibri"/>
          <w:szCs w:val="22"/>
        </w:rPr>
        <w:t>We</w:t>
      </w:r>
      <w:r w:rsidRPr="00D64D06">
        <w:rPr>
          <w:rFonts w:eastAsia="Calibri"/>
          <w:szCs w:val="22"/>
        </w:rPr>
        <w:t xml:space="preserve"> sought variation across region of the country; type of district(s) (central city, countywide, consortium of districts),</w:t>
      </w:r>
      <w:r w:rsidR="00101EAB">
        <w:rPr>
          <w:rFonts w:eastAsia="Calibri"/>
          <w:szCs w:val="22"/>
        </w:rPr>
        <w:t xml:space="preserve"> magnet</w:t>
      </w:r>
      <w:r w:rsidRPr="00D64D06">
        <w:rPr>
          <w:rFonts w:eastAsia="Calibri"/>
          <w:szCs w:val="22"/>
        </w:rPr>
        <w:t xml:space="preserve"> theme and grade-level.  A team of five researchers independently reviewed</w:t>
      </w:r>
      <w:r w:rsidR="00B7702A">
        <w:rPr>
          <w:rFonts w:eastAsia="Calibri"/>
          <w:szCs w:val="22"/>
        </w:rPr>
        <w:t xml:space="preserve"> all </w:t>
      </w:r>
      <w:r w:rsidRPr="00D64D06">
        <w:rPr>
          <w:rFonts w:eastAsia="Calibri"/>
          <w:szCs w:val="22"/>
        </w:rPr>
        <w:t>the data, offered possibilities for site selection and came to consensus.</w:t>
      </w:r>
    </w:p>
    <w:p w:rsidR="00A403BB" w:rsidRPr="00EA6E07" w:rsidRDefault="00A403BB" w:rsidP="00B661B5">
      <w:pPr>
        <w:spacing w:after="120"/>
        <w:rPr>
          <w:b/>
        </w:rPr>
      </w:pPr>
      <w:r w:rsidRPr="00EA6E07">
        <w:rPr>
          <w:b/>
        </w:rPr>
        <w:t>Administration of the Instrument</w:t>
      </w:r>
    </w:p>
    <w:p w:rsidR="00A403BB" w:rsidRPr="00EA6E07" w:rsidRDefault="001B0AAA" w:rsidP="00A403BB">
      <w:pPr>
        <w:pStyle w:val="ListParagraph"/>
        <w:numPr>
          <w:ilvl w:val="0"/>
          <w:numId w:val="17"/>
        </w:numPr>
      </w:pPr>
      <w:r w:rsidRPr="00EA6E07">
        <w:t>H</w:t>
      </w:r>
      <w:r w:rsidR="00A403BB" w:rsidRPr="00EA6E07">
        <w:t>ow will you collect the information? (Check all that apply)</w:t>
      </w:r>
    </w:p>
    <w:p w:rsidR="001B0AAA" w:rsidRPr="00EA6E07" w:rsidRDefault="00B661B5" w:rsidP="001B0AAA">
      <w:pPr>
        <w:ind w:left="720"/>
      </w:pPr>
      <w:r>
        <w:t>[</w:t>
      </w:r>
      <w:r w:rsidR="00D64D06">
        <w:t>X</w:t>
      </w:r>
      <w:r w:rsidR="00A403BB" w:rsidRPr="00EA6E07">
        <w:t>] Web-based</w:t>
      </w:r>
      <w:r w:rsidR="001B0AAA" w:rsidRPr="00EA6E07">
        <w:t xml:space="preserve"> or other forms of Social </w:t>
      </w:r>
      <w:r w:rsidRPr="00EA6E07">
        <w:t xml:space="preserve">Media </w:t>
      </w:r>
      <w:r>
        <w:t>(</w:t>
      </w:r>
      <w:r w:rsidR="00EA6E07">
        <w:t>Please see attached instrument)</w:t>
      </w:r>
    </w:p>
    <w:p w:rsidR="001B0AAA" w:rsidRPr="00EA6E07" w:rsidRDefault="00C223EF" w:rsidP="001B0AAA">
      <w:pPr>
        <w:ind w:left="720"/>
      </w:pPr>
      <w:r>
        <w:t>[</w:t>
      </w:r>
      <w:r w:rsidR="00D64D06">
        <w:t xml:space="preserve">  </w:t>
      </w:r>
      <w:r w:rsidR="00A403BB" w:rsidRPr="00EA6E07">
        <w:t>] Telephone</w:t>
      </w:r>
      <w:r w:rsidR="00A403BB" w:rsidRPr="00EA6E07">
        <w:tab/>
      </w:r>
    </w:p>
    <w:p w:rsidR="001B0AAA" w:rsidRPr="00EA6E07" w:rsidRDefault="00A403BB" w:rsidP="001B0AAA">
      <w:pPr>
        <w:ind w:left="720"/>
      </w:pPr>
      <w:r w:rsidRPr="00EA6E07">
        <w:t>[</w:t>
      </w:r>
      <w:r w:rsidR="00D64D06">
        <w:t>X</w:t>
      </w:r>
      <w:r w:rsidRPr="00EA6E07">
        <w:t>] In-person</w:t>
      </w:r>
      <w:r w:rsidRPr="00EA6E07">
        <w:tab/>
      </w:r>
    </w:p>
    <w:p w:rsidR="001B0AAA" w:rsidRPr="00EA6E07" w:rsidRDefault="00A403BB" w:rsidP="001B0AAA">
      <w:pPr>
        <w:ind w:left="720"/>
      </w:pPr>
      <w:r w:rsidRPr="00EA6E07">
        <w:t xml:space="preserve">[ </w:t>
      </w:r>
      <w:r w:rsidR="001B0AAA" w:rsidRPr="00EA6E07">
        <w:t xml:space="preserve"> </w:t>
      </w:r>
      <w:r w:rsidRPr="00EA6E07">
        <w:t>] Mail</w:t>
      </w:r>
      <w:r w:rsidR="001B0AAA" w:rsidRPr="00EA6E07">
        <w:t xml:space="preserve"> </w:t>
      </w:r>
    </w:p>
    <w:p w:rsidR="001B0AAA" w:rsidRPr="00EA6E07" w:rsidRDefault="00A403BB" w:rsidP="007B6853">
      <w:pPr>
        <w:spacing w:after="120"/>
        <w:ind w:left="720"/>
      </w:pPr>
      <w:r w:rsidRPr="00EA6E07">
        <w:t xml:space="preserve">[ </w:t>
      </w:r>
      <w:r w:rsidR="001B0AAA" w:rsidRPr="00EA6E07">
        <w:t xml:space="preserve"> </w:t>
      </w:r>
      <w:r w:rsidRPr="00EA6E07">
        <w:t>] Other, Explain</w:t>
      </w:r>
    </w:p>
    <w:p w:rsidR="00F24CFC" w:rsidRPr="00EA6E07" w:rsidRDefault="00F24CFC" w:rsidP="00F24CFC">
      <w:pPr>
        <w:pStyle w:val="ListParagraph"/>
        <w:numPr>
          <w:ilvl w:val="0"/>
          <w:numId w:val="17"/>
        </w:numPr>
      </w:pPr>
      <w:r w:rsidRPr="00EA6E07">
        <w:t>Will interviewers or facilitators be used?  [</w:t>
      </w:r>
      <w:r w:rsidR="00C223EF">
        <w:t>X</w:t>
      </w:r>
      <w:r w:rsidRPr="00EA6E07">
        <w:t xml:space="preserve">  ] Yes [</w:t>
      </w:r>
      <w:r w:rsidR="00C223EF">
        <w:t xml:space="preserve"> </w:t>
      </w:r>
      <w:r w:rsidRPr="00EA6E07">
        <w:t>] No</w:t>
      </w:r>
    </w:p>
    <w:p w:rsidR="00CE7805" w:rsidRPr="00BA730F" w:rsidRDefault="00D64D06" w:rsidP="00BA730F">
      <w:pPr>
        <w:pStyle w:val="ListParagraph"/>
        <w:spacing w:before="120"/>
        <w:ind w:left="360"/>
        <w:contextualSpacing w:val="0"/>
      </w:pPr>
      <w:r>
        <w:t>Site visit d</w:t>
      </w:r>
      <w:r w:rsidRPr="00D64D06">
        <w:t>ata collection will be conducted by C</w:t>
      </w:r>
      <w:r>
        <w:t xml:space="preserve">ivil </w:t>
      </w:r>
      <w:r w:rsidRPr="00D64D06">
        <w:t>R</w:t>
      </w:r>
      <w:r>
        <w:t xml:space="preserve">ights </w:t>
      </w:r>
      <w:r w:rsidRPr="00D64D06">
        <w:t>P</w:t>
      </w:r>
      <w:r>
        <w:t xml:space="preserve">roject researchers. Four researchers working in teams of two will visit each site. </w:t>
      </w:r>
      <w:r w:rsidR="00C223EF">
        <w:t xml:space="preserve"> N</w:t>
      </w:r>
      <w:r w:rsidR="00BA730F">
        <w:t>o recording device will be used.</w:t>
      </w:r>
      <w:bookmarkStart w:id="0" w:name="_GoBack"/>
      <w:bookmarkEnd w:id="0"/>
    </w:p>
    <w:sectPr w:rsidR="00CE7805" w:rsidRPr="00BA730F" w:rsidSect="00947789">
      <w:headerReference w:type="default" r:id="rId8"/>
      <w:footerReference w:type="default" r:id="rId9"/>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BBD" w:rsidRDefault="00B13BBD">
      <w:r>
        <w:separator/>
      </w:r>
    </w:p>
  </w:endnote>
  <w:endnote w:type="continuationSeparator" w:id="0">
    <w:p w:rsidR="00B13BBD" w:rsidRDefault="00B1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F01515">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A730F">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BBD" w:rsidRDefault="00B13BBD">
      <w:r>
        <w:separator/>
      </w:r>
    </w:p>
  </w:footnote>
  <w:footnote w:type="continuationSeparator" w:id="0">
    <w:p w:rsidR="00B13BBD" w:rsidRDefault="00B13BBD">
      <w:r>
        <w:continuationSeparator/>
      </w:r>
    </w:p>
  </w:footnote>
  <w:footnote w:id="1">
    <w:p w:rsidR="00B23920" w:rsidRPr="00D364D3" w:rsidRDefault="00B23920" w:rsidP="00D364D3">
      <w:pPr>
        <w:pStyle w:val="FootnoteText"/>
        <w:spacing w:after="120"/>
        <w:rPr>
          <w:sz w:val="18"/>
          <w:szCs w:val="18"/>
        </w:rPr>
      </w:pPr>
      <w:r w:rsidRPr="003D5C42">
        <w:rPr>
          <w:rStyle w:val="FootnoteReference"/>
          <w:rFonts w:ascii="Times New Roman" w:hAnsi="Times New Roman"/>
        </w:rPr>
        <w:footnoteRef/>
      </w:r>
      <w:r w:rsidRPr="00D364D3">
        <w:rPr>
          <w:sz w:val="18"/>
          <w:szCs w:val="18"/>
        </w:rPr>
        <w:t xml:space="preserve">James S. Coleman, Equality of Educational Opportunity Study (EEOS) (Washington, D.C.: U.S. Department of Health, Education and Welfare, 1966); Geoffrey </w:t>
      </w:r>
      <w:proofErr w:type="spellStart"/>
      <w:r w:rsidRPr="00D364D3">
        <w:rPr>
          <w:sz w:val="18"/>
          <w:szCs w:val="18"/>
        </w:rPr>
        <w:t>Borman</w:t>
      </w:r>
      <w:proofErr w:type="spellEnd"/>
      <w:r w:rsidRPr="00D364D3">
        <w:rPr>
          <w:sz w:val="18"/>
          <w:szCs w:val="18"/>
        </w:rPr>
        <w:t xml:space="preserve"> and Maritza Dowling, “Schools and Inequality: A Multilevel Analysis of Coleman’s Equality of Educational Opportunity Data,” Teachers College Record 112 (2010): 1201–-1246; National Center for Education Statistics, School Composition and the Black-White Achievement Gap (Washington, D.C.: U.S. Department of Education, 2015).</w:t>
      </w:r>
    </w:p>
  </w:footnote>
  <w:footnote w:id="2">
    <w:p w:rsidR="00B23920" w:rsidRPr="00D364D3" w:rsidRDefault="00B23920" w:rsidP="00D364D3">
      <w:pPr>
        <w:pStyle w:val="FootnoteText"/>
        <w:spacing w:after="120"/>
        <w:rPr>
          <w:sz w:val="18"/>
          <w:szCs w:val="18"/>
        </w:rPr>
      </w:pPr>
      <w:r w:rsidRPr="00D364D3">
        <w:rPr>
          <w:rStyle w:val="FootnoteReference"/>
          <w:sz w:val="18"/>
          <w:szCs w:val="18"/>
        </w:rPr>
        <w:footnoteRef/>
      </w:r>
      <w:r w:rsidRPr="00D364D3">
        <w:rPr>
          <w:sz w:val="18"/>
          <w:szCs w:val="18"/>
        </w:rPr>
        <w:t xml:space="preserve"> </w:t>
      </w:r>
      <w:r w:rsidRPr="00D364D3">
        <w:rPr>
          <w:i/>
          <w:sz w:val="18"/>
          <w:szCs w:val="18"/>
        </w:rPr>
        <w:t>Ibid</w:t>
      </w:r>
      <w:r w:rsidRPr="00D364D3">
        <w:rPr>
          <w:sz w:val="18"/>
          <w:szCs w:val="18"/>
        </w:rPr>
        <w:t xml:space="preserve">. Richard </w:t>
      </w:r>
      <w:proofErr w:type="spellStart"/>
      <w:r w:rsidRPr="00D364D3">
        <w:rPr>
          <w:sz w:val="18"/>
          <w:szCs w:val="18"/>
        </w:rPr>
        <w:t>Kahlenberg</w:t>
      </w:r>
      <w:proofErr w:type="spellEnd"/>
      <w:r w:rsidRPr="00D364D3">
        <w:rPr>
          <w:sz w:val="18"/>
          <w:szCs w:val="18"/>
        </w:rPr>
        <w:t xml:space="preserve">, All Together Now (Washington, D.C.: Brookings Institution, 2001); Gregory </w:t>
      </w:r>
      <w:proofErr w:type="spellStart"/>
      <w:r w:rsidRPr="00D364D3">
        <w:rPr>
          <w:sz w:val="18"/>
          <w:szCs w:val="18"/>
        </w:rPr>
        <w:t>Palardy</w:t>
      </w:r>
      <w:proofErr w:type="spellEnd"/>
      <w:r w:rsidRPr="00D364D3">
        <w:rPr>
          <w:sz w:val="18"/>
          <w:szCs w:val="18"/>
        </w:rPr>
        <w:t>, “High School Socioeconomic Segregation and Student Attainment,” American Educational Research Journal 50 (2013): 714–54.</w:t>
      </w:r>
    </w:p>
  </w:footnote>
  <w:footnote w:id="3">
    <w:p w:rsidR="00D364D3" w:rsidRPr="00D364D3" w:rsidRDefault="00D364D3" w:rsidP="00D364D3">
      <w:pPr>
        <w:pStyle w:val="FootnoteText"/>
        <w:spacing w:after="120"/>
        <w:rPr>
          <w:sz w:val="18"/>
          <w:szCs w:val="18"/>
        </w:rPr>
      </w:pPr>
      <w:r w:rsidRPr="00D364D3">
        <w:rPr>
          <w:rStyle w:val="FootnoteReference"/>
          <w:sz w:val="18"/>
          <w:szCs w:val="18"/>
        </w:rPr>
        <w:footnoteRef/>
      </w:r>
      <w:r w:rsidRPr="00D364D3">
        <w:rPr>
          <w:sz w:val="18"/>
          <w:szCs w:val="18"/>
        </w:rPr>
        <w:t xml:space="preserve"> </w:t>
      </w:r>
      <w:proofErr w:type="spellStart"/>
      <w:proofErr w:type="gramStart"/>
      <w:r w:rsidRPr="00D364D3">
        <w:rPr>
          <w:sz w:val="18"/>
          <w:szCs w:val="18"/>
        </w:rPr>
        <w:t>Firmin</w:t>
      </w:r>
      <w:proofErr w:type="spellEnd"/>
      <w:r w:rsidRPr="00D364D3">
        <w:rPr>
          <w:sz w:val="18"/>
          <w:szCs w:val="18"/>
        </w:rPr>
        <w:t xml:space="preserve">, M. “Unstructured Interview,” In Given, L. (Ed.) </w:t>
      </w:r>
      <w:r w:rsidRPr="00D364D3">
        <w:rPr>
          <w:i/>
          <w:sz w:val="18"/>
          <w:szCs w:val="18"/>
        </w:rPr>
        <w:t>The SAGE Encyclopedia of Qualitative Research Methods</w:t>
      </w:r>
      <w:r w:rsidRPr="00D364D3">
        <w:rPr>
          <w:sz w:val="18"/>
          <w:szCs w:val="18"/>
        </w:rPr>
        <w:t>, http://dx.doi.org/10.4135/9781412963909.n475.</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C05BE2"/>
    <w:multiLevelType w:val="hybridMultilevel"/>
    <w:tmpl w:val="62C6A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23A57"/>
    <w:rsid w:val="000242D2"/>
    <w:rsid w:val="00041A28"/>
    <w:rsid w:val="00047A64"/>
    <w:rsid w:val="00051089"/>
    <w:rsid w:val="00067329"/>
    <w:rsid w:val="00075B51"/>
    <w:rsid w:val="000902AF"/>
    <w:rsid w:val="000A0B69"/>
    <w:rsid w:val="000B1C61"/>
    <w:rsid w:val="000B2838"/>
    <w:rsid w:val="000C3C86"/>
    <w:rsid w:val="000D44CA"/>
    <w:rsid w:val="000E1A28"/>
    <w:rsid w:val="000E200B"/>
    <w:rsid w:val="000E5E8C"/>
    <w:rsid w:val="000F68BE"/>
    <w:rsid w:val="00101EAB"/>
    <w:rsid w:val="00110571"/>
    <w:rsid w:val="00132FAE"/>
    <w:rsid w:val="0016305B"/>
    <w:rsid w:val="00165C5B"/>
    <w:rsid w:val="0019043F"/>
    <w:rsid w:val="001927A4"/>
    <w:rsid w:val="00194AC6"/>
    <w:rsid w:val="001A23B0"/>
    <w:rsid w:val="001A25CC"/>
    <w:rsid w:val="001B0AAA"/>
    <w:rsid w:val="001C04E0"/>
    <w:rsid w:val="001C39F7"/>
    <w:rsid w:val="001D3085"/>
    <w:rsid w:val="001F39ED"/>
    <w:rsid w:val="00201DCD"/>
    <w:rsid w:val="002169B4"/>
    <w:rsid w:val="00221809"/>
    <w:rsid w:val="0023065C"/>
    <w:rsid w:val="00237B48"/>
    <w:rsid w:val="00244333"/>
    <w:rsid w:val="0024521E"/>
    <w:rsid w:val="00252C0F"/>
    <w:rsid w:val="0026274C"/>
    <w:rsid w:val="00263C3D"/>
    <w:rsid w:val="00271CC8"/>
    <w:rsid w:val="00274400"/>
    <w:rsid w:val="00274D0B"/>
    <w:rsid w:val="00285BFE"/>
    <w:rsid w:val="002B3C95"/>
    <w:rsid w:val="002D082D"/>
    <w:rsid w:val="002D0B92"/>
    <w:rsid w:val="002F5C06"/>
    <w:rsid w:val="00326CCB"/>
    <w:rsid w:val="00372B32"/>
    <w:rsid w:val="003D5BBE"/>
    <w:rsid w:val="003E3C61"/>
    <w:rsid w:val="003F04D1"/>
    <w:rsid w:val="003F1C5B"/>
    <w:rsid w:val="003F4DDD"/>
    <w:rsid w:val="00400695"/>
    <w:rsid w:val="0042714F"/>
    <w:rsid w:val="00434E33"/>
    <w:rsid w:val="00441434"/>
    <w:rsid w:val="00444F91"/>
    <w:rsid w:val="004462E7"/>
    <w:rsid w:val="0045264C"/>
    <w:rsid w:val="0046257E"/>
    <w:rsid w:val="004876EC"/>
    <w:rsid w:val="004D6E14"/>
    <w:rsid w:val="004E7A23"/>
    <w:rsid w:val="004F09DE"/>
    <w:rsid w:val="004F4BC2"/>
    <w:rsid w:val="0050042B"/>
    <w:rsid w:val="005009B0"/>
    <w:rsid w:val="00500F86"/>
    <w:rsid w:val="00505892"/>
    <w:rsid w:val="00514298"/>
    <w:rsid w:val="00520D88"/>
    <w:rsid w:val="00563459"/>
    <w:rsid w:val="00576754"/>
    <w:rsid w:val="0058329A"/>
    <w:rsid w:val="00593913"/>
    <w:rsid w:val="005A1006"/>
    <w:rsid w:val="005B104D"/>
    <w:rsid w:val="005E714A"/>
    <w:rsid w:val="005F1E84"/>
    <w:rsid w:val="005F362B"/>
    <w:rsid w:val="006140A0"/>
    <w:rsid w:val="00636621"/>
    <w:rsid w:val="006367FB"/>
    <w:rsid w:val="00642B49"/>
    <w:rsid w:val="006516B5"/>
    <w:rsid w:val="006816F9"/>
    <w:rsid w:val="00682E78"/>
    <w:rsid w:val="006832D9"/>
    <w:rsid w:val="0069403B"/>
    <w:rsid w:val="006954FD"/>
    <w:rsid w:val="00697494"/>
    <w:rsid w:val="006E7215"/>
    <w:rsid w:val="006F3DDE"/>
    <w:rsid w:val="006F74D4"/>
    <w:rsid w:val="006F7DEE"/>
    <w:rsid w:val="00703F8E"/>
    <w:rsid w:val="00704678"/>
    <w:rsid w:val="007046E5"/>
    <w:rsid w:val="007154D3"/>
    <w:rsid w:val="00733AFD"/>
    <w:rsid w:val="00737B55"/>
    <w:rsid w:val="007425E7"/>
    <w:rsid w:val="00765AD6"/>
    <w:rsid w:val="00770EAE"/>
    <w:rsid w:val="007A75CB"/>
    <w:rsid w:val="007B6853"/>
    <w:rsid w:val="007E5310"/>
    <w:rsid w:val="00802607"/>
    <w:rsid w:val="00804992"/>
    <w:rsid w:val="008101A5"/>
    <w:rsid w:val="00822664"/>
    <w:rsid w:val="00822F25"/>
    <w:rsid w:val="008361A2"/>
    <w:rsid w:val="00836C79"/>
    <w:rsid w:val="00843796"/>
    <w:rsid w:val="008518A0"/>
    <w:rsid w:val="0086237E"/>
    <w:rsid w:val="00866BE4"/>
    <w:rsid w:val="00882A9C"/>
    <w:rsid w:val="0088495F"/>
    <w:rsid w:val="00886ABD"/>
    <w:rsid w:val="00895229"/>
    <w:rsid w:val="008D3389"/>
    <w:rsid w:val="008E1823"/>
    <w:rsid w:val="008E6CA2"/>
    <w:rsid w:val="008F0203"/>
    <w:rsid w:val="008F50D4"/>
    <w:rsid w:val="0090775A"/>
    <w:rsid w:val="009239AA"/>
    <w:rsid w:val="00933468"/>
    <w:rsid w:val="00935ADA"/>
    <w:rsid w:val="00940C75"/>
    <w:rsid w:val="00946B6C"/>
    <w:rsid w:val="00947789"/>
    <w:rsid w:val="00955A71"/>
    <w:rsid w:val="009607A9"/>
    <w:rsid w:val="0096108F"/>
    <w:rsid w:val="0096222A"/>
    <w:rsid w:val="0097176F"/>
    <w:rsid w:val="0097739D"/>
    <w:rsid w:val="009A2479"/>
    <w:rsid w:val="009C13B9"/>
    <w:rsid w:val="009D01A2"/>
    <w:rsid w:val="009F5923"/>
    <w:rsid w:val="009F6F18"/>
    <w:rsid w:val="00A0571A"/>
    <w:rsid w:val="00A403BB"/>
    <w:rsid w:val="00A457BA"/>
    <w:rsid w:val="00A603BA"/>
    <w:rsid w:val="00A674DF"/>
    <w:rsid w:val="00A77184"/>
    <w:rsid w:val="00A83AA6"/>
    <w:rsid w:val="00A978A8"/>
    <w:rsid w:val="00AD40C6"/>
    <w:rsid w:val="00AE1809"/>
    <w:rsid w:val="00B040A0"/>
    <w:rsid w:val="00B06D82"/>
    <w:rsid w:val="00B13BBD"/>
    <w:rsid w:val="00B23920"/>
    <w:rsid w:val="00B25C11"/>
    <w:rsid w:val="00B614B2"/>
    <w:rsid w:val="00B661B5"/>
    <w:rsid w:val="00B7702A"/>
    <w:rsid w:val="00B80D76"/>
    <w:rsid w:val="00B94935"/>
    <w:rsid w:val="00BA2105"/>
    <w:rsid w:val="00BA730F"/>
    <w:rsid w:val="00BA7E06"/>
    <w:rsid w:val="00BB2F1F"/>
    <w:rsid w:val="00BB43B5"/>
    <w:rsid w:val="00BB6219"/>
    <w:rsid w:val="00BC4EDD"/>
    <w:rsid w:val="00BC560D"/>
    <w:rsid w:val="00BD290F"/>
    <w:rsid w:val="00C13518"/>
    <w:rsid w:val="00C14CC4"/>
    <w:rsid w:val="00C223EF"/>
    <w:rsid w:val="00C33C52"/>
    <w:rsid w:val="00C40D8B"/>
    <w:rsid w:val="00C74993"/>
    <w:rsid w:val="00C8407A"/>
    <w:rsid w:val="00C8488C"/>
    <w:rsid w:val="00C86E91"/>
    <w:rsid w:val="00C879EB"/>
    <w:rsid w:val="00CA2650"/>
    <w:rsid w:val="00CB1078"/>
    <w:rsid w:val="00CB6B0A"/>
    <w:rsid w:val="00CC0C46"/>
    <w:rsid w:val="00CC6FAF"/>
    <w:rsid w:val="00CC7A87"/>
    <w:rsid w:val="00CD0E61"/>
    <w:rsid w:val="00CD38B6"/>
    <w:rsid w:val="00CE7805"/>
    <w:rsid w:val="00D12F44"/>
    <w:rsid w:val="00D15831"/>
    <w:rsid w:val="00D24698"/>
    <w:rsid w:val="00D364D3"/>
    <w:rsid w:val="00D428A9"/>
    <w:rsid w:val="00D4368B"/>
    <w:rsid w:val="00D477FD"/>
    <w:rsid w:val="00D5602F"/>
    <w:rsid w:val="00D633C1"/>
    <w:rsid w:val="00D6383F"/>
    <w:rsid w:val="00D64D06"/>
    <w:rsid w:val="00D80FB8"/>
    <w:rsid w:val="00DB59D0"/>
    <w:rsid w:val="00DC2CC5"/>
    <w:rsid w:val="00DC33D3"/>
    <w:rsid w:val="00DD0851"/>
    <w:rsid w:val="00DD482D"/>
    <w:rsid w:val="00DE2A74"/>
    <w:rsid w:val="00DF3F22"/>
    <w:rsid w:val="00E26329"/>
    <w:rsid w:val="00E40B50"/>
    <w:rsid w:val="00E50293"/>
    <w:rsid w:val="00E65FFC"/>
    <w:rsid w:val="00E80951"/>
    <w:rsid w:val="00E86CC6"/>
    <w:rsid w:val="00EA2C3D"/>
    <w:rsid w:val="00EA6E07"/>
    <w:rsid w:val="00EB56B3"/>
    <w:rsid w:val="00ED6492"/>
    <w:rsid w:val="00EE7942"/>
    <w:rsid w:val="00EE7DC0"/>
    <w:rsid w:val="00EF2095"/>
    <w:rsid w:val="00F01515"/>
    <w:rsid w:val="00F06866"/>
    <w:rsid w:val="00F15956"/>
    <w:rsid w:val="00F24CFC"/>
    <w:rsid w:val="00F3170F"/>
    <w:rsid w:val="00F355D1"/>
    <w:rsid w:val="00F70B63"/>
    <w:rsid w:val="00F76E9E"/>
    <w:rsid w:val="00F976B0"/>
    <w:rsid w:val="00FA6DE7"/>
    <w:rsid w:val="00FC0A8E"/>
    <w:rsid w:val="00FE2FA6"/>
    <w:rsid w:val="00FE3DF2"/>
    <w:rsid w:val="00FF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64D3"/>
    <w:pPr>
      <w:spacing w:line="276" w:lineRule="auto"/>
    </w:pPr>
    <w:rPr>
      <w:rFonts w:ascii="Cambria" w:hAnsi="Cambria"/>
      <w:sz w:val="22"/>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00695"/>
    <w:rPr>
      <w:sz w:val="20"/>
      <w:szCs w:val="20"/>
    </w:rPr>
  </w:style>
  <w:style w:type="character" w:customStyle="1" w:styleId="FootnoteTextChar">
    <w:name w:val="Footnote Text Char"/>
    <w:basedOn w:val="DefaultParagraphFont"/>
    <w:link w:val="FootnoteText"/>
    <w:rsid w:val="00400695"/>
  </w:style>
  <w:style w:type="character" w:styleId="FootnoteReference">
    <w:name w:val="footnote reference"/>
    <w:uiPriority w:val="99"/>
    <w:unhideWhenUsed/>
    <w:rsid w:val="00400695"/>
    <w:rPr>
      <w:vertAlign w:val="superscript"/>
    </w:rPr>
  </w:style>
  <w:style w:type="character" w:styleId="Hyperlink">
    <w:name w:val="Hyperlink"/>
    <w:basedOn w:val="DefaultParagraphFont"/>
    <w:rsid w:val="006F74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64D3"/>
    <w:pPr>
      <w:spacing w:line="276" w:lineRule="auto"/>
    </w:pPr>
    <w:rPr>
      <w:rFonts w:ascii="Cambria" w:hAnsi="Cambria"/>
      <w:sz w:val="22"/>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00695"/>
    <w:rPr>
      <w:sz w:val="20"/>
      <w:szCs w:val="20"/>
    </w:rPr>
  </w:style>
  <w:style w:type="character" w:customStyle="1" w:styleId="FootnoteTextChar">
    <w:name w:val="Footnote Text Char"/>
    <w:basedOn w:val="DefaultParagraphFont"/>
    <w:link w:val="FootnoteText"/>
    <w:rsid w:val="00400695"/>
  </w:style>
  <w:style w:type="character" w:styleId="FootnoteReference">
    <w:name w:val="footnote reference"/>
    <w:uiPriority w:val="99"/>
    <w:unhideWhenUsed/>
    <w:rsid w:val="00400695"/>
    <w:rPr>
      <w:vertAlign w:val="superscript"/>
    </w:rPr>
  </w:style>
  <w:style w:type="character" w:styleId="Hyperlink">
    <w:name w:val="Hyperlink"/>
    <w:basedOn w:val="DefaultParagraphFont"/>
    <w:rsid w:val="006F74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1280</Words>
  <Characters>7300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Authorised User</cp:lastModifiedBy>
  <cp:revision>2</cp:revision>
  <cp:lastPrinted>2010-10-04T16:59:00Z</cp:lastPrinted>
  <dcterms:created xsi:type="dcterms:W3CDTF">2016-03-21T20:30:00Z</dcterms:created>
  <dcterms:modified xsi:type="dcterms:W3CDTF">2016-03-21T20:30:00Z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