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1D" w:rsidRPr="008A697E" w:rsidRDefault="00855780" w:rsidP="00746F1D">
      <w:pPr>
        <w:rPr>
          <w:sz w:val="28"/>
          <w:szCs w:val="28"/>
        </w:rPr>
      </w:pPr>
      <w:bookmarkStart w:id="0" w:name="_GoBack"/>
      <w:bookmarkEnd w:id="0"/>
      <w:r w:rsidRPr="008A697E">
        <w:rPr>
          <w:sz w:val="28"/>
          <w:szCs w:val="28"/>
        </w:rPr>
        <w:t xml:space="preserve">Part I </w:t>
      </w:r>
      <w:r w:rsidR="006C623F" w:rsidRPr="008A697E">
        <w:rPr>
          <w:sz w:val="28"/>
          <w:szCs w:val="28"/>
        </w:rPr>
        <w:t>Agency Workload Data</w:t>
      </w:r>
    </w:p>
    <w:p w:rsidR="006C623F" w:rsidRPr="008A697E" w:rsidRDefault="0089103E" w:rsidP="00746F1D">
      <w:pPr>
        <w:rPr>
          <w:b/>
        </w:rPr>
      </w:pPr>
      <w:r w:rsidRPr="008A697E">
        <w:rPr>
          <w:b/>
        </w:rPr>
        <w:t xml:space="preserve">A. </w:t>
      </w:r>
      <w:r w:rsidR="006C623F" w:rsidRPr="008A697E">
        <w:rPr>
          <w:b/>
        </w:rPr>
        <w:t>Information and Referral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40"/>
      </w:tblGrid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>Information regarding the VR/AIVR</w:t>
            </w:r>
          </w:p>
        </w:tc>
        <w:tc>
          <w:tcPr>
            <w:tcW w:w="540" w:type="dxa"/>
          </w:tcPr>
          <w:p w:rsidR="006C623F" w:rsidRDefault="006C623F" w:rsidP="006C623F"/>
        </w:tc>
      </w:tr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 xml:space="preserve"> Information regarding Independent Living</w:t>
            </w:r>
          </w:p>
        </w:tc>
        <w:tc>
          <w:tcPr>
            <w:tcW w:w="540" w:type="dxa"/>
          </w:tcPr>
          <w:p w:rsidR="006C623F" w:rsidRDefault="006C623F" w:rsidP="006C623F"/>
        </w:tc>
      </w:tr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>Information regarding ADA</w:t>
            </w:r>
          </w:p>
        </w:tc>
        <w:tc>
          <w:tcPr>
            <w:tcW w:w="540" w:type="dxa"/>
          </w:tcPr>
          <w:p w:rsidR="006C623F" w:rsidRDefault="006C623F" w:rsidP="006C623F"/>
        </w:tc>
      </w:tr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>Other information provided</w:t>
            </w:r>
          </w:p>
        </w:tc>
        <w:tc>
          <w:tcPr>
            <w:tcW w:w="540" w:type="dxa"/>
          </w:tcPr>
          <w:p w:rsidR="006C623F" w:rsidRDefault="006C623F" w:rsidP="006C623F"/>
        </w:tc>
      </w:tr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>Total I&amp;R services (A1+A2+A3+A4)</w:t>
            </w:r>
          </w:p>
        </w:tc>
        <w:tc>
          <w:tcPr>
            <w:tcW w:w="540" w:type="dxa"/>
          </w:tcPr>
          <w:p w:rsidR="006C623F" w:rsidRDefault="006C623F" w:rsidP="006C623F"/>
        </w:tc>
      </w:tr>
      <w:tr w:rsidR="006C623F" w:rsidTr="006C623F">
        <w:tc>
          <w:tcPr>
            <w:tcW w:w="4788" w:type="dxa"/>
          </w:tcPr>
          <w:p w:rsidR="006C623F" w:rsidRDefault="006C623F" w:rsidP="006C623F">
            <w:pPr>
              <w:pStyle w:val="ListParagraph"/>
              <w:numPr>
                <w:ilvl w:val="0"/>
                <w:numId w:val="6"/>
              </w:numPr>
            </w:pPr>
            <w:r>
              <w:t>Individuals attending trainings by CAP</w:t>
            </w:r>
          </w:p>
        </w:tc>
        <w:tc>
          <w:tcPr>
            <w:tcW w:w="540" w:type="dxa"/>
          </w:tcPr>
          <w:p w:rsidR="006C623F" w:rsidRDefault="006C623F" w:rsidP="006C623F"/>
        </w:tc>
      </w:tr>
    </w:tbl>
    <w:p w:rsidR="005F6ED2" w:rsidRDefault="005F6ED2" w:rsidP="006C623F"/>
    <w:p w:rsidR="004C004D" w:rsidRDefault="004C004D" w:rsidP="006C623F">
      <w:r>
        <w:t>Response:  RSA accepts this recommendation</w:t>
      </w:r>
      <w:r w:rsidR="00E3216B">
        <w:t xml:space="preserve">.  </w:t>
      </w:r>
      <w:r w:rsidR="00E3216B" w:rsidRPr="00E3216B">
        <w:t xml:space="preserve">The reporting options under Part I.A, Information and Referral Services, have been expanded by deleting the single option regarding information </w:t>
      </w:r>
      <w:proofErr w:type="gramStart"/>
      <w:r w:rsidR="00E3216B" w:rsidRPr="00E3216B">
        <w:t>about  programs</w:t>
      </w:r>
      <w:proofErr w:type="gramEnd"/>
      <w:r w:rsidR="00E3216B" w:rsidRPr="00E3216B">
        <w:t xml:space="preserve"> funded under the Rehabilitation Act and including separate options for information about the vocational rehabilitation (VR) program, independent living programs, the American Indian VR Service projects and the CAP</w:t>
      </w:r>
      <w:r w:rsidR="00E3216B">
        <w:t>.</w:t>
      </w:r>
    </w:p>
    <w:p w:rsidR="00110919" w:rsidRPr="008A697E" w:rsidRDefault="0089103E" w:rsidP="00746F1D">
      <w:pPr>
        <w:pStyle w:val="NoSpacing"/>
        <w:rPr>
          <w:b/>
        </w:rPr>
      </w:pPr>
      <w:r w:rsidRPr="008A697E">
        <w:rPr>
          <w:b/>
        </w:rPr>
        <w:t xml:space="preserve">B. </w:t>
      </w:r>
      <w:r w:rsidR="00746F1D" w:rsidRPr="008A697E">
        <w:rPr>
          <w:b/>
        </w:rPr>
        <w:t xml:space="preserve">Individuals Served </w:t>
      </w:r>
    </w:p>
    <w:p w:rsidR="006327DA" w:rsidRDefault="0089103E" w:rsidP="00110919">
      <w:pPr>
        <w:pStyle w:val="NoSpacing"/>
      </w:pPr>
      <w:r>
        <w:t>Recommendation</w:t>
      </w:r>
      <w:r w:rsidR="006327DA">
        <w:t xml:space="preserve">: Individuals, who </w:t>
      </w:r>
      <w:r>
        <w:t>come back to CAP</w:t>
      </w:r>
      <w:r w:rsidR="00E3428C">
        <w:t xml:space="preserve"> in the same fiscal year but,</w:t>
      </w:r>
      <w:r>
        <w:t xml:space="preserve"> due to a different problem area</w:t>
      </w:r>
      <w:r w:rsidR="00504955">
        <w:t>, can</w:t>
      </w:r>
      <w:r w:rsidR="006327DA">
        <w:t xml:space="preserve"> be counted separately.</w:t>
      </w:r>
      <w:r w:rsidR="00691C2F">
        <w:t xml:space="preserve"> </w:t>
      </w:r>
    </w:p>
    <w:p w:rsidR="004C004D" w:rsidRDefault="004C004D" w:rsidP="00110919">
      <w:pPr>
        <w:pStyle w:val="NoSpacing"/>
      </w:pPr>
    </w:p>
    <w:p w:rsidR="004C004D" w:rsidRDefault="004C004D" w:rsidP="00110919">
      <w:pPr>
        <w:pStyle w:val="NoSpacing"/>
      </w:pPr>
      <w:r>
        <w:t>Response:  RSA</w:t>
      </w:r>
      <w:r w:rsidR="00E3216B">
        <w:t>-227 form currently</w:t>
      </w:r>
      <w:r>
        <w:t xml:space="preserve"> identifies individuals who ha</w:t>
      </w:r>
      <w:r w:rsidR="00181F45">
        <w:t>d</w:t>
      </w:r>
      <w:r>
        <w:t xml:space="preserve"> multiple case</w:t>
      </w:r>
      <w:r w:rsidR="00181F45">
        <w:t xml:space="preserve"> files</w:t>
      </w:r>
      <w:r>
        <w:t xml:space="preserve"> open during a fiscal year under</w:t>
      </w:r>
      <w:r w:rsidR="00181F45">
        <w:t xml:space="preserve"> Part II.A, Line 4.  </w:t>
      </w:r>
    </w:p>
    <w:p w:rsidR="00746F1D" w:rsidRDefault="00746F1D" w:rsidP="00110919">
      <w:pPr>
        <w:pStyle w:val="NoSpacing"/>
      </w:pPr>
    </w:p>
    <w:p w:rsidR="00746F1D" w:rsidRPr="008A697E" w:rsidRDefault="00746F1D" w:rsidP="00110919">
      <w:pPr>
        <w:pStyle w:val="NoSpacing"/>
        <w:rPr>
          <w:b/>
        </w:rPr>
      </w:pPr>
      <w:r w:rsidRPr="008A697E">
        <w:rPr>
          <w:b/>
        </w:rPr>
        <w:t>D. Reasons for closing individual case files</w:t>
      </w:r>
    </w:p>
    <w:p w:rsidR="00110919" w:rsidRDefault="00746F1D" w:rsidP="00746F1D">
      <w:r>
        <w:t>Recommendation</w:t>
      </w:r>
      <w:r w:rsidR="00110919">
        <w:t xml:space="preserve">: </w:t>
      </w:r>
      <w:r>
        <w:t>add “</w:t>
      </w:r>
      <w:r w:rsidR="00110919">
        <w:t>In</w:t>
      </w:r>
      <w:r>
        <w:t>dividual represented themselves” as one of the reasons for closing the case.</w:t>
      </w:r>
    </w:p>
    <w:p w:rsidR="00181F45" w:rsidRDefault="00181F45" w:rsidP="00746F1D">
      <w:r>
        <w:t>Response:  RSA did</w:t>
      </w:r>
      <w:r w:rsidR="00A86B46">
        <w:t xml:space="preserve"> not add this additional option</w:t>
      </w:r>
      <w:r>
        <w:t xml:space="preserve"> as </w:t>
      </w:r>
      <w:r w:rsidR="00A86B46">
        <w:t xml:space="preserve">CAP should identify why individuals chose to represent themselves through the available options.  </w:t>
      </w:r>
    </w:p>
    <w:p w:rsidR="00110919" w:rsidRPr="008A697E" w:rsidRDefault="00746F1D" w:rsidP="00746F1D">
      <w:pPr>
        <w:pStyle w:val="NoSpacing"/>
        <w:rPr>
          <w:b/>
        </w:rPr>
      </w:pPr>
      <w:r w:rsidRPr="008A697E">
        <w:rPr>
          <w:b/>
        </w:rPr>
        <w:t xml:space="preserve">E. </w:t>
      </w:r>
      <w:r w:rsidR="00110919" w:rsidRPr="008A697E">
        <w:rPr>
          <w:b/>
        </w:rPr>
        <w:t>Results</w:t>
      </w:r>
      <w:r w:rsidRPr="008A697E">
        <w:rPr>
          <w:b/>
        </w:rPr>
        <w:t xml:space="preserve"> achieved for individuals</w:t>
      </w:r>
    </w:p>
    <w:p w:rsidR="006C623F" w:rsidRDefault="00746F1D" w:rsidP="00746F1D">
      <w:r>
        <w:t>Recommendation: add</w:t>
      </w:r>
      <w:r w:rsidR="00110919">
        <w:t xml:space="preserve"> </w:t>
      </w:r>
      <w:r>
        <w:t>“</w:t>
      </w:r>
      <w:r w:rsidR="00110919">
        <w:t>Compromise Reached</w:t>
      </w:r>
      <w:r>
        <w:t>” as one of the results achieved</w:t>
      </w:r>
    </w:p>
    <w:p w:rsidR="00A86B46" w:rsidRDefault="00A86B46" w:rsidP="00746F1D">
      <w:r>
        <w:t xml:space="preserve">Response:  RSA did not include this option </w:t>
      </w:r>
      <w:r w:rsidR="00DA1709">
        <w:t>since</w:t>
      </w:r>
      <w:r>
        <w:t xml:space="preserve"> </w:t>
      </w:r>
      <w:r w:rsidR="00DA1709">
        <w:t xml:space="preserve">“compromise reached” is not a specific result.  CAP </w:t>
      </w:r>
      <w:r w:rsidR="001424EC">
        <w:t xml:space="preserve">has the option to </w:t>
      </w:r>
      <w:r w:rsidR="00DA1709">
        <w:t xml:space="preserve">identify partial issues resolved in the client’s favor under Part II.D, Line 2.  </w:t>
      </w:r>
    </w:p>
    <w:p w:rsidR="00A436F6" w:rsidRPr="008A697E" w:rsidRDefault="00A436F6">
      <w:pPr>
        <w:rPr>
          <w:sz w:val="28"/>
          <w:szCs w:val="28"/>
        </w:rPr>
      </w:pPr>
      <w:r w:rsidRPr="008A697E">
        <w:rPr>
          <w:sz w:val="28"/>
          <w:szCs w:val="28"/>
        </w:rPr>
        <w:t>Part II Program Data</w:t>
      </w:r>
    </w:p>
    <w:p w:rsidR="0009222B" w:rsidRPr="008A697E" w:rsidRDefault="0009222B" w:rsidP="0009222B">
      <w:pPr>
        <w:pStyle w:val="NoSpacing"/>
        <w:rPr>
          <w:b/>
        </w:rPr>
      </w:pPr>
      <w:r w:rsidRPr="008A697E">
        <w:rPr>
          <w:b/>
        </w:rPr>
        <w:t>C. Race/ethnicity</w:t>
      </w:r>
    </w:p>
    <w:p w:rsidR="0009222B" w:rsidRDefault="0009222B" w:rsidP="0009222B">
      <w:pPr>
        <w:pStyle w:val="NoSpacing"/>
      </w:pPr>
      <w:r>
        <w:t>Recommendation: add “more than one race/ethnicity”</w:t>
      </w:r>
    </w:p>
    <w:p w:rsidR="00DA1709" w:rsidRDefault="00DA1709" w:rsidP="0009222B">
      <w:pPr>
        <w:pStyle w:val="NoSpacing"/>
      </w:pPr>
      <w:r>
        <w:br/>
        <w:t>Response:  RSA does not have the authority to modify the section “Race/ethnicity of individuals served” since this field is directed by the Office of Management and Budget (OMB)</w:t>
      </w:r>
      <w:r w:rsidR="001424EC">
        <w:t xml:space="preserve">, as a </w:t>
      </w:r>
      <w:r>
        <w:t xml:space="preserve">universal </w:t>
      </w:r>
      <w:r w:rsidR="001424EC">
        <w:t xml:space="preserve"> collection field </w:t>
      </w:r>
      <w:r>
        <w:t>for all federal agencies</w:t>
      </w:r>
      <w:r w:rsidR="001424EC">
        <w:t xml:space="preserve"> collecting consumer information</w:t>
      </w:r>
      <w:r>
        <w:t xml:space="preserve">.  In addition, CAP has the option of choosing “Two or more races” on Line 7 of Part III.C.  </w:t>
      </w:r>
    </w:p>
    <w:p w:rsidR="0009222B" w:rsidRDefault="0009222B" w:rsidP="0009222B">
      <w:pPr>
        <w:pStyle w:val="NoSpacing"/>
      </w:pPr>
    </w:p>
    <w:p w:rsidR="0009222B" w:rsidRPr="008A697E" w:rsidRDefault="0009222B" w:rsidP="0009222B">
      <w:pPr>
        <w:pStyle w:val="NoSpacing"/>
        <w:rPr>
          <w:b/>
        </w:rPr>
      </w:pPr>
      <w:r w:rsidRPr="008A697E">
        <w:rPr>
          <w:b/>
        </w:rPr>
        <w:lastRenderedPageBreak/>
        <w:t>D. Primary disabling condition</w:t>
      </w:r>
    </w:p>
    <w:p w:rsidR="0009222B" w:rsidRDefault="0009222B" w:rsidP="0009222B">
      <w:pPr>
        <w:pStyle w:val="NoSpacing"/>
      </w:pPr>
      <w:r>
        <w:t>Recommendation: revise the disability conditions to use current terminology and align it closer to terminology used in VR reporting</w:t>
      </w:r>
    </w:p>
    <w:p w:rsidR="008C67DC" w:rsidRDefault="0009222B" w:rsidP="0009222B">
      <w:pPr>
        <w:pStyle w:val="NoSpacing"/>
      </w:pPr>
      <w:r>
        <w:t xml:space="preserve">Example: change 10. Mental retardation to Cognitive/Intellectual </w:t>
      </w:r>
    </w:p>
    <w:p w:rsidR="0009222B" w:rsidRDefault="008C67DC" w:rsidP="0009222B">
      <w:pPr>
        <w:pStyle w:val="NoSpacing"/>
      </w:pPr>
      <w:r>
        <w:t>Add: Autism Spectrum Disorder</w:t>
      </w:r>
    </w:p>
    <w:p w:rsidR="00DA1709" w:rsidRDefault="00DA1709" w:rsidP="0009222B">
      <w:pPr>
        <w:pStyle w:val="NoSpacing"/>
      </w:pPr>
    </w:p>
    <w:p w:rsidR="00DA1709" w:rsidRDefault="00DA1709" w:rsidP="0009222B">
      <w:pPr>
        <w:pStyle w:val="NoSpacing"/>
      </w:pPr>
      <w:r>
        <w:t xml:space="preserve">Response:  RSA has updated the lists of disability codes to be reflective of the disability codes currently collected by other protection and advocacy programs.  The disability codes used by VR agencies </w:t>
      </w:r>
      <w:r w:rsidR="008C67DC">
        <w:t xml:space="preserve">include a combination of </w:t>
      </w:r>
      <w:r>
        <w:t xml:space="preserve">cause and source of </w:t>
      </w:r>
      <w:r w:rsidR="008C67DC">
        <w:t>impairment to determine</w:t>
      </w:r>
      <w:r w:rsidR="001424EC">
        <w:t xml:space="preserve"> all</w:t>
      </w:r>
      <w:r w:rsidR="008C67DC">
        <w:t xml:space="preserve"> disability code</w:t>
      </w:r>
      <w:r w:rsidR="001424EC">
        <w:t>s, which would not be appropriate for this report</w:t>
      </w:r>
      <w:r w:rsidR="008C67DC">
        <w:t xml:space="preserve">.  The current list of impairments does not include “mental retardation” and already includes “Autism Spectrum Disorder”, as suggested by the commenter.  </w:t>
      </w:r>
    </w:p>
    <w:p w:rsidR="0009222B" w:rsidRDefault="0009222B" w:rsidP="0009222B">
      <w:pPr>
        <w:pStyle w:val="NoSpacing"/>
      </w:pPr>
      <w:r>
        <w:tab/>
      </w:r>
    </w:p>
    <w:p w:rsidR="0009222B" w:rsidRDefault="0009222B" w:rsidP="0009222B">
      <w:pPr>
        <w:pStyle w:val="NoSpacing"/>
      </w:pPr>
    </w:p>
    <w:p w:rsidR="00A436F6" w:rsidRPr="008A697E" w:rsidRDefault="00A436F6" w:rsidP="0097579C">
      <w:pPr>
        <w:pStyle w:val="NoSpacing"/>
        <w:rPr>
          <w:b/>
        </w:rPr>
      </w:pPr>
      <w:r w:rsidRPr="008A697E">
        <w:rPr>
          <w:b/>
        </w:rPr>
        <w:t>E. Types of Individuals Served: Multiple responses permitted.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30"/>
      </w:tblGrid>
      <w:tr w:rsidR="00A436F6" w:rsidTr="001B548A">
        <w:tc>
          <w:tcPr>
            <w:tcW w:w="4788" w:type="dxa"/>
          </w:tcPr>
          <w:p w:rsidR="00A436F6" w:rsidRDefault="00855780">
            <w:r>
              <w:t xml:space="preserve">1. </w:t>
            </w:r>
            <w:r w:rsidR="00A436F6">
              <w:t>Applicant of VR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855780">
            <w:r>
              <w:t xml:space="preserve">2. </w:t>
            </w:r>
            <w:r w:rsidR="00A436F6">
              <w:t>Eligible on VR Waiting List</w:t>
            </w:r>
          </w:p>
        </w:tc>
        <w:tc>
          <w:tcPr>
            <w:tcW w:w="630" w:type="dxa"/>
          </w:tcPr>
          <w:p w:rsidR="00A436F6" w:rsidRDefault="00A436F6"/>
        </w:tc>
      </w:tr>
      <w:tr w:rsidR="00855780" w:rsidTr="001B548A">
        <w:tc>
          <w:tcPr>
            <w:tcW w:w="4788" w:type="dxa"/>
          </w:tcPr>
          <w:p w:rsidR="00855780" w:rsidRDefault="00855780">
            <w:r>
              <w:t>3. Client of VR</w:t>
            </w:r>
          </w:p>
        </w:tc>
        <w:tc>
          <w:tcPr>
            <w:tcW w:w="630" w:type="dxa"/>
          </w:tcPr>
          <w:p w:rsidR="00855780" w:rsidRDefault="00855780"/>
        </w:tc>
      </w:tr>
      <w:tr w:rsidR="00A436F6" w:rsidTr="001B548A">
        <w:tc>
          <w:tcPr>
            <w:tcW w:w="4788" w:type="dxa"/>
          </w:tcPr>
          <w:p w:rsidR="00A436F6" w:rsidRDefault="00855780">
            <w:r>
              <w:t xml:space="preserve">4. </w:t>
            </w:r>
            <w:r w:rsidR="00A436F6">
              <w:t>Applicant/Client of IL Program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855780">
            <w:r>
              <w:t xml:space="preserve">5. </w:t>
            </w:r>
            <w:r w:rsidR="00A436F6">
              <w:t>Applicant/Client of AIVR (American Indian VR)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8A697E" w:rsidP="008A697E">
            <w:pPr>
              <w:pStyle w:val="NoSpacing"/>
            </w:pPr>
            <w:r>
              <w:t>6.</w:t>
            </w:r>
            <w:r w:rsidR="00A436F6">
              <w:t>High School</w:t>
            </w:r>
            <w:r w:rsidR="00B60719">
              <w:t>/Transition</w:t>
            </w:r>
            <w:r w:rsidR="00A436F6">
              <w:t xml:space="preserve"> Student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FA5714" w:rsidP="00FA5714">
            <w:r>
              <w:t>7.</w:t>
            </w:r>
            <w:r w:rsidR="00A436F6">
              <w:t>College Student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8A697E" w:rsidP="008A697E">
            <w:r>
              <w:t xml:space="preserve">8. </w:t>
            </w:r>
            <w:r w:rsidR="00A436F6">
              <w:t>Unemployed Adult</w:t>
            </w:r>
          </w:p>
        </w:tc>
        <w:tc>
          <w:tcPr>
            <w:tcW w:w="630" w:type="dxa"/>
          </w:tcPr>
          <w:p w:rsidR="00A436F6" w:rsidRDefault="00A436F6" w:rsidP="008A697E">
            <w:pPr>
              <w:ind w:left="360"/>
            </w:pPr>
          </w:p>
        </w:tc>
      </w:tr>
      <w:tr w:rsidR="00A436F6" w:rsidTr="001B548A">
        <w:tc>
          <w:tcPr>
            <w:tcW w:w="4788" w:type="dxa"/>
          </w:tcPr>
          <w:p w:rsidR="00A436F6" w:rsidRDefault="008A697E">
            <w:r>
              <w:t xml:space="preserve">9. </w:t>
            </w:r>
            <w:r w:rsidR="00A436F6">
              <w:t>Employed, needing assistance</w:t>
            </w:r>
          </w:p>
        </w:tc>
        <w:tc>
          <w:tcPr>
            <w:tcW w:w="630" w:type="dxa"/>
          </w:tcPr>
          <w:p w:rsidR="00A436F6" w:rsidRDefault="00A436F6"/>
        </w:tc>
      </w:tr>
      <w:tr w:rsidR="0009222B" w:rsidTr="001B548A">
        <w:tc>
          <w:tcPr>
            <w:tcW w:w="4788" w:type="dxa"/>
          </w:tcPr>
          <w:p w:rsidR="0009222B" w:rsidRDefault="008A697E">
            <w:r>
              <w:t xml:space="preserve">10. </w:t>
            </w:r>
            <w:r w:rsidR="00B60719">
              <w:t xml:space="preserve">Employed in a sheltered workshop </w:t>
            </w:r>
          </w:p>
        </w:tc>
        <w:tc>
          <w:tcPr>
            <w:tcW w:w="630" w:type="dxa"/>
          </w:tcPr>
          <w:p w:rsidR="0009222B" w:rsidRDefault="0009222B"/>
        </w:tc>
      </w:tr>
      <w:tr w:rsidR="00A436F6" w:rsidTr="001B548A">
        <w:tc>
          <w:tcPr>
            <w:tcW w:w="4788" w:type="dxa"/>
          </w:tcPr>
          <w:p w:rsidR="00A436F6" w:rsidRDefault="008A697E">
            <w:r>
              <w:t xml:space="preserve">11. </w:t>
            </w:r>
            <w:r w:rsidR="001B548A">
              <w:t>Seeking self-employment</w:t>
            </w:r>
          </w:p>
        </w:tc>
        <w:tc>
          <w:tcPr>
            <w:tcW w:w="630" w:type="dxa"/>
          </w:tcPr>
          <w:p w:rsidR="00A436F6" w:rsidRDefault="00A436F6"/>
        </w:tc>
      </w:tr>
      <w:tr w:rsidR="00A436F6" w:rsidTr="001B548A">
        <w:tc>
          <w:tcPr>
            <w:tcW w:w="4788" w:type="dxa"/>
          </w:tcPr>
          <w:p w:rsidR="00A436F6" w:rsidRDefault="008A697E">
            <w:r>
              <w:t xml:space="preserve">12. </w:t>
            </w:r>
            <w:r w:rsidR="001B548A">
              <w:t>Self-employed, needing assistance</w:t>
            </w:r>
          </w:p>
        </w:tc>
        <w:tc>
          <w:tcPr>
            <w:tcW w:w="630" w:type="dxa"/>
          </w:tcPr>
          <w:p w:rsidR="00A436F6" w:rsidRDefault="00A436F6"/>
        </w:tc>
      </w:tr>
      <w:tr w:rsidR="00C71ABC" w:rsidTr="001B548A">
        <w:tc>
          <w:tcPr>
            <w:tcW w:w="4788" w:type="dxa"/>
          </w:tcPr>
          <w:p w:rsidR="00C71ABC" w:rsidRDefault="00FA5714">
            <w:r>
              <w:t xml:space="preserve">13. </w:t>
            </w:r>
            <w:r w:rsidR="00855780">
              <w:t>Other</w:t>
            </w:r>
          </w:p>
        </w:tc>
        <w:tc>
          <w:tcPr>
            <w:tcW w:w="630" w:type="dxa"/>
          </w:tcPr>
          <w:p w:rsidR="00C71ABC" w:rsidRDefault="00C71ABC"/>
        </w:tc>
      </w:tr>
    </w:tbl>
    <w:p w:rsidR="0097579C" w:rsidRDefault="0097579C" w:rsidP="0097579C">
      <w:pPr>
        <w:pStyle w:val="NoSpacing"/>
      </w:pPr>
    </w:p>
    <w:p w:rsidR="008C67DC" w:rsidRDefault="008C67DC" w:rsidP="0097579C">
      <w:pPr>
        <w:pStyle w:val="NoSpacing"/>
      </w:pPr>
      <w:r>
        <w:t xml:space="preserve">Response:  </w:t>
      </w:r>
      <w:r w:rsidR="001A707B" w:rsidRPr="001A707B">
        <w:t>An additional Section E was added under Part III-Program Data to include “Types of Individuals Served.”  As a result, the RSA Form-227 report will now collect information on whether individuals served by CAP were applicants for VR services, individuals eligible for VR services not currently on a waiting list due to the implementation of an order of selection, individuals eligible for VR services currently on a waiting list, applicants for or  eligible to receive independent living services, transition students, and all other applicants or individuals eligible for programs or projects funded under the Rehabilitation Act.</w:t>
      </w:r>
    </w:p>
    <w:p w:rsidR="001A707B" w:rsidRDefault="001A707B" w:rsidP="0097579C">
      <w:pPr>
        <w:pStyle w:val="NoSpacing"/>
      </w:pPr>
    </w:p>
    <w:p w:rsidR="00C71ABC" w:rsidRPr="00FA5714" w:rsidRDefault="00C71ABC" w:rsidP="0097579C">
      <w:pPr>
        <w:pStyle w:val="NoSpacing"/>
        <w:rPr>
          <w:b/>
        </w:rPr>
      </w:pPr>
      <w:r w:rsidRPr="00FA5714">
        <w:rPr>
          <w:b/>
        </w:rPr>
        <w:t>F.  Source of concern: Multiple responses permitted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30"/>
      </w:tblGrid>
      <w:tr w:rsidR="00C71ABC" w:rsidTr="00C71ABC">
        <w:tc>
          <w:tcPr>
            <w:tcW w:w="4788" w:type="dxa"/>
          </w:tcPr>
          <w:p w:rsidR="00C71ABC" w:rsidRDefault="00D51600">
            <w:r>
              <w:t xml:space="preserve">1. </w:t>
            </w:r>
            <w:r w:rsidR="00C71ABC">
              <w:t xml:space="preserve">VR agency </w:t>
            </w:r>
          </w:p>
        </w:tc>
        <w:tc>
          <w:tcPr>
            <w:tcW w:w="630" w:type="dxa"/>
          </w:tcPr>
          <w:p w:rsidR="00C71ABC" w:rsidRDefault="00C71ABC"/>
        </w:tc>
      </w:tr>
      <w:tr w:rsidR="00C71ABC" w:rsidTr="00C71ABC">
        <w:tc>
          <w:tcPr>
            <w:tcW w:w="4788" w:type="dxa"/>
          </w:tcPr>
          <w:p w:rsidR="00C71ABC" w:rsidRDefault="00D51600">
            <w:r>
              <w:t xml:space="preserve">2. </w:t>
            </w:r>
            <w:r w:rsidR="00C71ABC">
              <w:t>VR agency service provider</w:t>
            </w:r>
          </w:p>
        </w:tc>
        <w:tc>
          <w:tcPr>
            <w:tcW w:w="630" w:type="dxa"/>
          </w:tcPr>
          <w:p w:rsidR="00C71ABC" w:rsidRDefault="00C71ABC"/>
        </w:tc>
      </w:tr>
      <w:tr w:rsidR="00C71ABC" w:rsidTr="00C71ABC">
        <w:tc>
          <w:tcPr>
            <w:tcW w:w="4788" w:type="dxa"/>
          </w:tcPr>
          <w:p w:rsidR="00C71ABC" w:rsidRDefault="00D51600">
            <w:r>
              <w:t xml:space="preserve">3. </w:t>
            </w:r>
            <w:r w:rsidR="00C71ABC">
              <w:t>American Indian VR (121 Project)</w:t>
            </w:r>
          </w:p>
        </w:tc>
        <w:tc>
          <w:tcPr>
            <w:tcW w:w="630" w:type="dxa"/>
          </w:tcPr>
          <w:p w:rsidR="00C71ABC" w:rsidRDefault="00C71ABC"/>
        </w:tc>
      </w:tr>
      <w:tr w:rsidR="00C71ABC" w:rsidTr="00C71ABC">
        <w:tc>
          <w:tcPr>
            <w:tcW w:w="4788" w:type="dxa"/>
          </w:tcPr>
          <w:p w:rsidR="00C71ABC" w:rsidRDefault="00D51600">
            <w:r>
              <w:t xml:space="preserve">4. </w:t>
            </w:r>
            <w:r w:rsidR="00C71ABC">
              <w:t>IL Program</w:t>
            </w:r>
          </w:p>
        </w:tc>
        <w:tc>
          <w:tcPr>
            <w:tcW w:w="630" w:type="dxa"/>
          </w:tcPr>
          <w:p w:rsidR="00C71ABC" w:rsidRDefault="00C71ABC"/>
        </w:tc>
      </w:tr>
      <w:tr w:rsidR="00C71ABC" w:rsidTr="00C71ABC">
        <w:tc>
          <w:tcPr>
            <w:tcW w:w="4788" w:type="dxa"/>
          </w:tcPr>
          <w:p w:rsidR="00C71ABC" w:rsidRDefault="00D51600">
            <w:r>
              <w:t xml:space="preserve">5. </w:t>
            </w:r>
            <w:r w:rsidR="00C71ABC">
              <w:t>Other Rehabilitation Act sources</w:t>
            </w:r>
          </w:p>
        </w:tc>
        <w:tc>
          <w:tcPr>
            <w:tcW w:w="630" w:type="dxa"/>
          </w:tcPr>
          <w:p w:rsidR="00C71ABC" w:rsidRDefault="00C71ABC"/>
        </w:tc>
      </w:tr>
      <w:tr w:rsidR="00C71ABC" w:rsidTr="00C71ABC">
        <w:tc>
          <w:tcPr>
            <w:tcW w:w="4788" w:type="dxa"/>
          </w:tcPr>
          <w:p w:rsidR="00C71ABC" w:rsidRDefault="00D51600" w:rsidP="00D51600">
            <w:r>
              <w:t xml:space="preserve">6.   </w:t>
            </w:r>
            <w:r w:rsidR="00C71ABC">
              <w:t>Employer</w:t>
            </w:r>
          </w:p>
        </w:tc>
        <w:tc>
          <w:tcPr>
            <w:tcW w:w="630" w:type="dxa"/>
          </w:tcPr>
          <w:p w:rsidR="00C71ABC" w:rsidRDefault="00C71ABC"/>
        </w:tc>
      </w:tr>
    </w:tbl>
    <w:p w:rsidR="00C71ABC" w:rsidRDefault="00C71ABC"/>
    <w:p w:rsidR="00110919" w:rsidRDefault="008C67DC" w:rsidP="0097579C">
      <w:pPr>
        <w:pStyle w:val="NoSpacing"/>
      </w:pPr>
      <w:r>
        <w:t xml:space="preserve">Response:  RSA believes “Source of Concern” is an unnecessary field as the source of the concern can be identified under “Problem Areas”, Part II.B.  </w:t>
      </w:r>
    </w:p>
    <w:p w:rsidR="00110919" w:rsidRDefault="00110919" w:rsidP="0097579C">
      <w:pPr>
        <w:pStyle w:val="NoSpacing"/>
      </w:pPr>
    </w:p>
    <w:p w:rsidR="00E61FE8" w:rsidRDefault="007322DF" w:rsidP="0097579C">
      <w:pPr>
        <w:pStyle w:val="NoSpacing"/>
      </w:pPr>
      <w:r>
        <w:t xml:space="preserve">Part II </w:t>
      </w:r>
      <w:r w:rsidR="00E61FE8">
        <w:t>G. Problem Areas/Case Issue: Multiple responses permitted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30"/>
      </w:tblGrid>
      <w:tr w:rsidR="00E61FE8" w:rsidTr="00E61FE8">
        <w:tc>
          <w:tcPr>
            <w:tcW w:w="4788" w:type="dxa"/>
          </w:tcPr>
          <w:p w:rsidR="00E61FE8" w:rsidRDefault="00E61FE8">
            <w:r>
              <w:t>Eligibility process/OOS</w:t>
            </w:r>
          </w:p>
        </w:tc>
        <w:tc>
          <w:tcPr>
            <w:tcW w:w="630" w:type="dxa"/>
          </w:tcPr>
          <w:p w:rsidR="00E61FE8" w:rsidRDefault="00E61FE8"/>
        </w:tc>
      </w:tr>
      <w:tr w:rsidR="00D51600" w:rsidTr="00E61FE8">
        <w:tc>
          <w:tcPr>
            <w:tcW w:w="4788" w:type="dxa"/>
          </w:tcPr>
          <w:p w:rsidR="00D51600" w:rsidRDefault="00D51600">
            <w:r>
              <w:t>Application to Eligibility Exceeded 60 days</w:t>
            </w:r>
          </w:p>
        </w:tc>
        <w:tc>
          <w:tcPr>
            <w:tcW w:w="630" w:type="dxa"/>
          </w:tcPr>
          <w:p w:rsidR="00D51600" w:rsidRDefault="00D51600"/>
        </w:tc>
      </w:tr>
      <w:tr w:rsidR="00E61FE8" w:rsidTr="00E61FE8">
        <w:tc>
          <w:tcPr>
            <w:tcW w:w="4788" w:type="dxa"/>
          </w:tcPr>
          <w:p w:rsidR="00E61FE8" w:rsidRDefault="00E61FE8">
            <w:r>
              <w:t>Communication issues between individual and VR</w:t>
            </w:r>
            <w:r w:rsidR="004D2B54">
              <w:t>C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E61FE8" w:rsidRDefault="00E61FE8">
            <w:r>
              <w:t>IPE development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E61FE8" w:rsidRDefault="00E61FE8">
            <w:r>
              <w:t xml:space="preserve">Conflict over </w:t>
            </w:r>
            <w:r w:rsidR="004D2B54">
              <w:t>choice of goal or service provider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E61FE8" w:rsidRDefault="004D2B54">
            <w:r>
              <w:t>Conflict over approval of services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4D2B54" w:rsidRDefault="004D2B54">
            <w:r>
              <w:t>Delay in response or delay in service delivery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E61FE8" w:rsidRDefault="004D2B54">
            <w:r>
              <w:t>Case closed</w:t>
            </w:r>
          </w:p>
        </w:tc>
        <w:tc>
          <w:tcPr>
            <w:tcW w:w="630" w:type="dxa"/>
          </w:tcPr>
          <w:p w:rsidR="00E61FE8" w:rsidRDefault="00E61FE8"/>
        </w:tc>
      </w:tr>
      <w:tr w:rsidR="00E61FE8" w:rsidTr="00E61FE8">
        <w:tc>
          <w:tcPr>
            <w:tcW w:w="4788" w:type="dxa"/>
          </w:tcPr>
          <w:p w:rsidR="00E61FE8" w:rsidRDefault="00681D25">
            <w:r>
              <w:t>Post-employment</w:t>
            </w:r>
          </w:p>
        </w:tc>
        <w:tc>
          <w:tcPr>
            <w:tcW w:w="630" w:type="dxa"/>
          </w:tcPr>
          <w:p w:rsidR="00E61FE8" w:rsidRDefault="00E61FE8"/>
        </w:tc>
      </w:tr>
    </w:tbl>
    <w:p w:rsidR="00E61FE8" w:rsidRDefault="00E61FE8"/>
    <w:p w:rsidR="001A707B" w:rsidRDefault="008C67DC">
      <w:r>
        <w:t xml:space="preserve">Response:  </w:t>
      </w:r>
      <w:r w:rsidR="001A707B" w:rsidRPr="001A707B">
        <w:t xml:space="preserve">Part II.B, Problem Areas, has been expanded to include independent living services and assignment to an order of selection priority category as additional options.  </w:t>
      </w:r>
    </w:p>
    <w:p w:rsidR="0097579C" w:rsidRDefault="0097579C">
      <w:r>
        <w:t xml:space="preserve">H. Type of CAP service provided: Recommend changing to </w:t>
      </w:r>
      <w:r w:rsidR="006C623F">
        <w:t>multiple</w:t>
      </w:r>
      <w:r>
        <w:t xml:space="preserve"> responses permitted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30"/>
      </w:tblGrid>
      <w:tr w:rsidR="0097579C" w:rsidTr="0097579C">
        <w:tc>
          <w:tcPr>
            <w:tcW w:w="4788" w:type="dxa"/>
          </w:tcPr>
          <w:p w:rsidR="0097579C" w:rsidRDefault="0097579C">
            <w:r>
              <w:t>Advisory/interpretational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Negotiation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Self-advocacy advice/coaching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Administrative/informal review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Alternate dispute resolution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Formal appeal/impartial hearing</w:t>
            </w:r>
          </w:p>
        </w:tc>
        <w:tc>
          <w:tcPr>
            <w:tcW w:w="630" w:type="dxa"/>
          </w:tcPr>
          <w:p w:rsidR="0097579C" w:rsidRDefault="0097579C"/>
        </w:tc>
      </w:tr>
      <w:tr w:rsidR="0097579C" w:rsidTr="0097579C">
        <w:tc>
          <w:tcPr>
            <w:tcW w:w="4788" w:type="dxa"/>
          </w:tcPr>
          <w:p w:rsidR="0097579C" w:rsidRDefault="0097579C">
            <w:r>
              <w:t>Legal remedy</w:t>
            </w:r>
          </w:p>
        </w:tc>
        <w:tc>
          <w:tcPr>
            <w:tcW w:w="630" w:type="dxa"/>
          </w:tcPr>
          <w:p w:rsidR="0097579C" w:rsidRDefault="0097579C"/>
        </w:tc>
      </w:tr>
    </w:tbl>
    <w:p w:rsidR="0097579C" w:rsidRDefault="0097579C"/>
    <w:p w:rsidR="00A55A86" w:rsidRDefault="00A55A86">
      <w:r>
        <w:t xml:space="preserve">Response:  RSA </w:t>
      </w:r>
      <w:r w:rsidR="004763AC">
        <w:t>believe one response for each individual served is critical for reporting purposes</w:t>
      </w:r>
      <w:r w:rsidR="00F60BBC">
        <w:t xml:space="preserve">.  As such, </w:t>
      </w:r>
      <w:r w:rsidR="004763AC">
        <w:t xml:space="preserve">the total for “Type of CAP services provided” </w:t>
      </w:r>
      <w:r w:rsidR="00F60BBC">
        <w:t xml:space="preserve">must </w:t>
      </w:r>
      <w:r w:rsidR="004763AC">
        <w:t xml:space="preserve">be equal to the total number of individuals served on Line 3, Part II.A.   The instructions discuss how multiple cases should be handled for this category.  </w:t>
      </w:r>
    </w:p>
    <w:sectPr w:rsidR="00A5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426"/>
    <w:multiLevelType w:val="hybridMultilevel"/>
    <w:tmpl w:val="0C70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97032"/>
    <w:multiLevelType w:val="hybridMultilevel"/>
    <w:tmpl w:val="047EB3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52E1"/>
    <w:multiLevelType w:val="hybridMultilevel"/>
    <w:tmpl w:val="BEF2D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40ADD"/>
    <w:multiLevelType w:val="hybridMultilevel"/>
    <w:tmpl w:val="F042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708B6"/>
    <w:multiLevelType w:val="hybridMultilevel"/>
    <w:tmpl w:val="E89A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4A16"/>
    <w:multiLevelType w:val="hybridMultilevel"/>
    <w:tmpl w:val="A9360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F03CC"/>
    <w:multiLevelType w:val="hybridMultilevel"/>
    <w:tmpl w:val="F6FA903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1FF125A"/>
    <w:multiLevelType w:val="hybridMultilevel"/>
    <w:tmpl w:val="06F8A7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F6"/>
    <w:rsid w:val="0009222B"/>
    <w:rsid w:val="000C4EAC"/>
    <w:rsid w:val="000F5F57"/>
    <w:rsid w:val="00110919"/>
    <w:rsid w:val="001424EC"/>
    <w:rsid w:val="00181F45"/>
    <w:rsid w:val="001A707B"/>
    <w:rsid w:val="001B0D1B"/>
    <w:rsid w:val="001B548A"/>
    <w:rsid w:val="001D3AC4"/>
    <w:rsid w:val="004763AC"/>
    <w:rsid w:val="004C004D"/>
    <w:rsid w:val="004D2B54"/>
    <w:rsid w:val="00504955"/>
    <w:rsid w:val="005F6ED2"/>
    <w:rsid w:val="006327DA"/>
    <w:rsid w:val="00681D25"/>
    <w:rsid w:val="00691C2F"/>
    <w:rsid w:val="006C623F"/>
    <w:rsid w:val="007322DF"/>
    <w:rsid w:val="00746F1D"/>
    <w:rsid w:val="00855780"/>
    <w:rsid w:val="0089103E"/>
    <w:rsid w:val="008A697E"/>
    <w:rsid w:val="008C67DC"/>
    <w:rsid w:val="0097579C"/>
    <w:rsid w:val="009931C2"/>
    <w:rsid w:val="00A436F6"/>
    <w:rsid w:val="00A51081"/>
    <w:rsid w:val="00A55A86"/>
    <w:rsid w:val="00A73E16"/>
    <w:rsid w:val="00A86B46"/>
    <w:rsid w:val="00B60719"/>
    <w:rsid w:val="00C71ABC"/>
    <w:rsid w:val="00D51600"/>
    <w:rsid w:val="00DA1709"/>
    <w:rsid w:val="00E3216B"/>
    <w:rsid w:val="00E3428C"/>
    <w:rsid w:val="00E61FE8"/>
    <w:rsid w:val="00F051C1"/>
    <w:rsid w:val="00F60BBC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57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57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Vegoe, Linda A</dc:creator>
  <cp:lastModifiedBy>Tomakie Washington</cp:lastModifiedBy>
  <cp:revision>2</cp:revision>
  <cp:lastPrinted>2014-05-29T18:57:00Z</cp:lastPrinted>
  <dcterms:created xsi:type="dcterms:W3CDTF">2014-06-25T18:38:00Z</dcterms:created>
  <dcterms:modified xsi:type="dcterms:W3CDTF">2014-06-25T18:38:00Z</dcterms:modified>
</cp:coreProperties>
</file>