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6307B9" w14:textId="77777777" w:rsidR="000C3685" w:rsidRPr="0008664F" w:rsidRDefault="009D7416" w:rsidP="000C3685">
      <w:pPr>
        <w:jc w:val="center"/>
        <w:rPr>
          <w:sz w:val="22"/>
          <w:szCs w:val="22"/>
        </w:rPr>
      </w:pPr>
      <w:r w:rsidRPr="0008664F">
        <w:rPr>
          <w:sz w:val="22"/>
          <w:szCs w:val="22"/>
        </w:rPr>
        <w:t>DEPARTMENT OF THE TREASURY</w:t>
      </w:r>
    </w:p>
    <w:p w14:paraId="0E2C3175" w14:textId="77777777" w:rsidR="000C3685" w:rsidRPr="0008664F" w:rsidRDefault="000C3685" w:rsidP="000C3685">
      <w:pPr>
        <w:jc w:val="center"/>
        <w:rPr>
          <w:sz w:val="22"/>
          <w:szCs w:val="22"/>
        </w:rPr>
      </w:pPr>
    </w:p>
    <w:p w14:paraId="50720289" w14:textId="77777777" w:rsidR="000C3685" w:rsidRPr="0008664F" w:rsidRDefault="009D7416" w:rsidP="000C3685">
      <w:pPr>
        <w:jc w:val="center"/>
        <w:rPr>
          <w:sz w:val="22"/>
          <w:szCs w:val="22"/>
        </w:rPr>
      </w:pPr>
      <w:r w:rsidRPr="0008664F">
        <w:rPr>
          <w:sz w:val="22"/>
          <w:szCs w:val="22"/>
        </w:rPr>
        <w:t xml:space="preserve">ALCOHOL AND TOBACCO TAX AND TRADE BUREAU </w:t>
      </w:r>
    </w:p>
    <w:p w14:paraId="40D821FA" w14:textId="77777777" w:rsidR="000C3685" w:rsidRPr="0008664F" w:rsidRDefault="000C3685" w:rsidP="000C3685">
      <w:pPr>
        <w:jc w:val="center"/>
        <w:rPr>
          <w:sz w:val="22"/>
          <w:szCs w:val="22"/>
        </w:rPr>
      </w:pPr>
    </w:p>
    <w:p w14:paraId="3E9C565A" w14:textId="77777777" w:rsidR="000C3685" w:rsidRPr="0008664F" w:rsidRDefault="009D7416" w:rsidP="000C3685">
      <w:pPr>
        <w:jc w:val="center"/>
        <w:rPr>
          <w:sz w:val="22"/>
          <w:szCs w:val="22"/>
        </w:rPr>
      </w:pPr>
      <w:r w:rsidRPr="0008664F">
        <w:rPr>
          <w:sz w:val="22"/>
          <w:szCs w:val="22"/>
        </w:rPr>
        <w:t>Supporting Statement – Information Collection Request</w:t>
      </w:r>
    </w:p>
    <w:p w14:paraId="0EA98F11" w14:textId="77777777" w:rsidR="000C3685" w:rsidRPr="0008664F" w:rsidRDefault="000C3685" w:rsidP="000C3685">
      <w:pPr>
        <w:jc w:val="center"/>
        <w:rPr>
          <w:sz w:val="22"/>
          <w:szCs w:val="22"/>
        </w:rPr>
      </w:pPr>
    </w:p>
    <w:p w14:paraId="19E246E3" w14:textId="77777777" w:rsidR="009D7416" w:rsidRPr="0008664F" w:rsidRDefault="009D7416" w:rsidP="000C3685">
      <w:pPr>
        <w:jc w:val="center"/>
        <w:rPr>
          <w:sz w:val="22"/>
          <w:szCs w:val="22"/>
        </w:rPr>
      </w:pPr>
      <w:r w:rsidRPr="0008664F">
        <w:rPr>
          <w:sz w:val="22"/>
          <w:szCs w:val="22"/>
        </w:rPr>
        <w:t xml:space="preserve">OMB Control Number </w:t>
      </w:r>
      <w:r w:rsidR="005235B0" w:rsidRPr="0008664F">
        <w:rPr>
          <w:sz w:val="22"/>
          <w:szCs w:val="22"/>
        </w:rPr>
        <w:t>1513-</w:t>
      </w:r>
      <w:r w:rsidR="00240E3E" w:rsidRPr="0008664F">
        <w:rPr>
          <w:sz w:val="22"/>
          <w:szCs w:val="22"/>
        </w:rPr>
        <w:t>0130</w:t>
      </w:r>
    </w:p>
    <w:p w14:paraId="18C61F6D" w14:textId="77777777" w:rsidR="009D7416" w:rsidRPr="0008664F" w:rsidRDefault="009D7416">
      <w:pPr>
        <w:rPr>
          <w:sz w:val="22"/>
          <w:szCs w:val="22"/>
        </w:rPr>
      </w:pPr>
    </w:p>
    <w:p w14:paraId="03B04B7A" w14:textId="77777777" w:rsidR="009D7416" w:rsidRPr="0008664F" w:rsidRDefault="00D51F7A">
      <w:pPr>
        <w:rPr>
          <w:sz w:val="22"/>
          <w:szCs w:val="22"/>
        </w:rPr>
      </w:pPr>
      <w:r w:rsidRPr="0008664F">
        <w:rPr>
          <w:sz w:val="22"/>
          <w:szCs w:val="22"/>
        </w:rPr>
        <w:t>TTB F 5250.2</w:t>
      </w:r>
      <w:r w:rsidR="00FD67A7" w:rsidRPr="0008664F">
        <w:rPr>
          <w:sz w:val="22"/>
          <w:szCs w:val="22"/>
        </w:rPr>
        <w:t xml:space="preserve">   </w:t>
      </w:r>
      <w:r w:rsidR="009D7416" w:rsidRPr="0008664F">
        <w:rPr>
          <w:sz w:val="22"/>
          <w:szCs w:val="22"/>
        </w:rPr>
        <w:t xml:space="preserve"> </w:t>
      </w:r>
      <w:r w:rsidRPr="0008664F">
        <w:rPr>
          <w:sz w:val="22"/>
          <w:szCs w:val="22"/>
        </w:rPr>
        <w:t>Report</w:t>
      </w:r>
      <w:r w:rsidR="008B2B87" w:rsidRPr="0008664F">
        <w:rPr>
          <w:sz w:val="22"/>
          <w:szCs w:val="22"/>
        </w:rPr>
        <w:t xml:space="preserve"> of </w:t>
      </w:r>
      <w:r w:rsidR="00B148CA" w:rsidRPr="0008664F">
        <w:rPr>
          <w:sz w:val="22"/>
          <w:szCs w:val="22"/>
        </w:rPr>
        <w:t xml:space="preserve">Removal, Transfer, or </w:t>
      </w:r>
      <w:r w:rsidR="008B2B87" w:rsidRPr="0008664F">
        <w:rPr>
          <w:sz w:val="22"/>
          <w:szCs w:val="22"/>
        </w:rPr>
        <w:t>Sale of Processed Tobacco</w:t>
      </w:r>
      <w:r w:rsidRPr="0008664F">
        <w:rPr>
          <w:sz w:val="22"/>
          <w:szCs w:val="22"/>
        </w:rPr>
        <w:t xml:space="preserve"> </w:t>
      </w:r>
    </w:p>
    <w:p w14:paraId="1D4C479C" w14:textId="77777777" w:rsidR="009D7416" w:rsidRPr="0008664F" w:rsidRDefault="009D7416">
      <w:pPr>
        <w:rPr>
          <w:sz w:val="22"/>
          <w:szCs w:val="22"/>
        </w:rPr>
      </w:pPr>
    </w:p>
    <w:p w14:paraId="1263FFAB" w14:textId="77777777" w:rsidR="009D7416" w:rsidRPr="0008664F" w:rsidRDefault="009D7416">
      <w:pPr>
        <w:rPr>
          <w:sz w:val="22"/>
          <w:szCs w:val="22"/>
        </w:rPr>
      </w:pPr>
      <w:r w:rsidRPr="0008664F">
        <w:rPr>
          <w:bCs/>
          <w:sz w:val="22"/>
          <w:szCs w:val="22"/>
        </w:rPr>
        <w:t xml:space="preserve">A.  </w:t>
      </w:r>
      <w:r w:rsidRPr="0008664F">
        <w:rPr>
          <w:bCs/>
          <w:sz w:val="22"/>
          <w:szCs w:val="22"/>
          <w:u w:val="single"/>
        </w:rPr>
        <w:t>Justification</w:t>
      </w:r>
      <w:r w:rsidRPr="0008664F">
        <w:rPr>
          <w:sz w:val="22"/>
          <w:szCs w:val="22"/>
        </w:rPr>
        <w:t xml:space="preserve">. </w:t>
      </w:r>
    </w:p>
    <w:p w14:paraId="21540E5A" w14:textId="77777777" w:rsidR="009D7416" w:rsidRPr="0008664F" w:rsidRDefault="009D7416">
      <w:pPr>
        <w:rPr>
          <w:sz w:val="22"/>
          <w:szCs w:val="22"/>
        </w:rPr>
      </w:pPr>
    </w:p>
    <w:p w14:paraId="30B75442" w14:textId="77777777" w:rsidR="005039C5" w:rsidRPr="0008664F" w:rsidRDefault="001342AE" w:rsidP="005039C5">
      <w:pPr>
        <w:tabs>
          <w:tab w:val="left" w:pos="576"/>
          <w:tab w:val="left" w:pos="1296"/>
          <w:tab w:val="left" w:pos="2016"/>
          <w:tab w:val="left" w:pos="2736"/>
          <w:tab w:val="left" w:pos="8496"/>
        </w:tabs>
        <w:suppressAutoHyphens/>
        <w:spacing w:line="240" w:lineRule="atLeast"/>
        <w:rPr>
          <w:sz w:val="22"/>
          <w:szCs w:val="22"/>
        </w:rPr>
      </w:pPr>
      <w:r w:rsidRPr="0008664F">
        <w:rPr>
          <w:sz w:val="22"/>
          <w:szCs w:val="22"/>
        </w:rPr>
        <w:t>1.</w:t>
      </w:r>
      <w:r w:rsidRPr="0008664F">
        <w:rPr>
          <w:sz w:val="22"/>
          <w:szCs w:val="22"/>
        </w:rPr>
        <w:tab/>
      </w:r>
      <w:r w:rsidR="005039C5" w:rsidRPr="0008664F">
        <w:rPr>
          <w:sz w:val="22"/>
          <w:szCs w:val="22"/>
        </w:rPr>
        <w:t xml:space="preserve">What are the circumstances that make this collection of information necessary and what </w:t>
      </w:r>
      <w:proofErr w:type="gramStart"/>
      <w:r w:rsidR="005039C5" w:rsidRPr="0008664F">
        <w:rPr>
          <w:sz w:val="22"/>
          <w:szCs w:val="22"/>
        </w:rPr>
        <w:t>legal</w:t>
      </w:r>
      <w:proofErr w:type="gramEnd"/>
      <w:r w:rsidR="005039C5" w:rsidRPr="0008664F">
        <w:rPr>
          <w:sz w:val="22"/>
          <w:szCs w:val="22"/>
        </w:rPr>
        <w:t xml:space="preserve"> or administrative requirements necessitate the collection?  Also include the following:  Align the information collection to Treasury’s Strategic Goals, Line of Business/Sub-function, and IT Investment, if one is used.</w:t>
      </w:r>
    </w:p>
    <w:p w14:paraId="04283F59" w14:textId="77777777" w:rsidR="005039C5" w:rsidRPr="0008664F" w:rsidRDefault="005039C5" w:rsidP="005039C5">
      <w:pPr>
        <w:widowControl/>
        <w:autoSpaceDE/>
        <w:autoSpaceDN/>
        <w:adjustRightInd/>
        <w:rPr>
          <w:sz w:val="22"/>
          <w:szCs w:val="22"/>
        </w:rPr>
      </w:pPr>
    </w:p>
    <w:p w14:paraId="1712E4DE" w14:textId="77777777" w:rsidR="00362D73" w:rsidRPr="0008664F" w:rsidRDefault="00362D73" w:rsidP="005039C5">
      <w:pPr>
        <w:rPr>
          <w:sz w:val="22"/>
          <w:szCs w:val="22"/>
        </w:rPr>
      </w:pPr>
      <w:r w:rsidRPr="0008664F">
        <w:rPr>
          <w:sz w:val="22"/>
          <w:szCs w:val="22"/>
        </w:rPr>
        <w:t>On February 4, 2009, President Obama signed into law the Children’s Health Insurance Program Reauthorization Act of 2009, Pub. L. 111-3, 123 Stat. 8 (the Act).  Section 702 of the Act included amendments to the Internal Revenue Code of 1986 (IRC) to extend permit, inventory, reporting, and recordkeeping requirements to manufacturers and importers of processed tobacco even though such processed tobacco is not subject to excise tax under the IRC.</w:t>
      </w:r>
    </w:p>
    <w:p w14:paraId="4AE2E094" w14:textId="77777777" w:rsidR="00362D73" w:rsidRPr="0008664F" w:rsidRDefault="00362D73" w:rsidP="001342AE">
      <w:pPr>
        <w:rPr>
          <w:sz w:val="22"/>
          <w:szCs w:val="22"/>
        </w:rPr>
      </w:pPr>
    </w:p>
    <w:p w14:paraId="7CCE75FD" w14:textId="77777777" w:rsidR="009D7416" w:rsidRPr="0008664F" w:rsidRDefault="007F4F7C">
      <w:pPr>
        <w:rPr>
          <w:sz w:val="22"/>
          <w:szCs w:val="22"/>
        </w:rPr>
      </w:pPr>
      <w:proofErr w:type="gramStart"/>
      <w:r w:rsidRPr="0008664F">
        <w:rPr>
          <w:sz w:val="22"/>
          <w:szCs w:val="22"/>
        </w:rPr>
        <w:t>Under</w:t>
      </w:r>
      <w:proofErr w:type="gramEnd"/>
      <w:r w:rsidRPr="0008664F">
        <w:rPr>
          <w:sz w:val="22"/>
          <w:szCs w:val="22"/>
        </w:rPr>
        <w:t xml:space="preserve"> </w:t>
      </w:r>
      <w:r w:rsidR="0092619F" w:rsidRPr="0008664F">
        <w:rPr>
          <w:sz w:val="22"/>
          <w:szCs w:val="22"/>
        </w:rPr>
        <w:t>26 U.S.C. 5722</w:t>
      </w:r>
      <w:r w:rsidRPr="0008664F">
        <w:rPr>
          <w:sz w:val="22"/>
          <w:szCs w:val="22"/>
        </w:rPr>
        <w:t>,</w:t>
      </w:r>
      <w:r w:rsidR="0092619F" w:rsidRPr="0008664F">
        <w:rPr>
          <w:sz w:val="22"/>
          <w:szCs w:val="22"/>
        </w:rPr>
        <w:t xml:space="preserve"> </w:t>
      </w:r>
      <w:r w:rsidR="00C01018" w:rsidRPr="0008664F">
        <w:rPr>
          <w:sz w:val="22"/>
          <w:szCs w:val="22"/>
        </w:rPr>
        <w:t xml:space="preserve">as amended by the Act, </w:t>
      </w:r>
      <w:r w:rsidR="0092619F" w:rsidRPr="0008664F">
        <w:rPr>
          <w:color w:val="000000"/>
          <w:sz w:val="22"/>
          <w:szCs w:val="22"/>
        </w:rPr>
        <w:t xml:space="preserve">every manufacturer or importer of tobacco products, processed tobacco, or cigarette papers and tubes, and every export warehouse proprietor, shall make reports containing such information, in such form, at such times, and for such periods as the Secretary shall by regulation prescribe.  </w:t>
      </w:r>
      <w:r w:rsidR="00D51F7A" w:rsidRPr="0008664F">
        <w:rPr>
          <w:sz w:val="22"/>
          <w:szCs w:val="22"/>
        </w:rPr>
        <w:t xml:space="preserve">TTB believes that unregulated transfers or sales of processed tobacco to persons who do not hold TTB permits could lead to processed tobacco </w:t>
      </w:r>
      <w:r w:rsidR="00C01018" w:rsidRPr="0008664F">
        <w:rPr>
          <w:sz w:val="22"/>
          <w:szCs w:val="22"/>
        </w:rPr>
        <w:t xml:space="preserve">being sold to </w:t>
      </w:r>
      <w:r w:rsidR="00D51F7A" w:rsidRPr="0008664F">
        <w:rPr>
          <w:sz w:val="22"/>
          <w:szCs w:val="22"/>
        </w:rPr>
        <w:t xml:space="preserve">illegal manufacturers.  In order to </w:t>
      </w:r>
      <w:r w:rsidR="00C01018" w:rsidRPr="0008664F">
        <w:rPr>
          <w:sz w:val="22"/>
          <w:szCs w:val="22"/>
        </w:rPr>
        <w:t xml:space="preserve">effectively </w:t>
      </w:r>
      <w:r w:rsidR="00D51F7A" w:rsidRPr="0008664F">
        <w:rPr>
          <w:sz w:val="22"/>
          <w:szCs w:val="22"/>
        </w:rPr>
        <w:t>regulate processed tobacco and to minimize its transfer to</w:t>
      </w:r>
      <w:r w:rsidR="00C01018" w:rsidRPr="0008664F">
        <w:rPr>
          <w:sz w:val="22"/>
          <w:szCs w:val="22"/>
        </w:rPr>
        <w:t xml:space="preserve"> illegal</w:t>
      </w:r>
      <w:r w:rsidR="00D51F7A" w:rsidRPr="0008664F">
        <w:rPr>
          <w:sz w:val="22"/>
          <w:szCs w:val="22"/>
        </w:rPr>
        <w:t xml:space="preserve"> manufacturers, </w:t>
      </w:r>
      <w:r w:rsidR="00DA4C91" w:rsidRPr="0008664F">
        <w:rPr>
          <w:sz w:val="22"/>
          <w:szCs w:val="22"/>
        </w:rPr>
        <w:t xml:space="preserve">TTB </w:t>
      </w:r>
      <w:r w:rsidR="00C01018" w:rsidRPr="0008664F">
        <w:rPr>
          <w:sz w:val="22"/>
          <w:szCs w:val="22"/>
        </w:rPr>
        <w:t xml:space="preserve">promulgated </w:t>
      </w:r>
      <w:r w:rsidR="00DA4C91" w:rsidRPr="0008664F">
        <w:rPr>
          <w:sz w:val="22"/>
          <w:szCs w:val="22"/>
        </w:rPr>
        <w:t>regulations</w:t>
      </w:r>
      <w:r w:rsidR="00213ACB" w:rsidRPr="0008664F">
        <w:rPr>
          <w:sz w:val="22"/>
          <w:szCs w:val="22"/>
        </w:rPr>
        <w:t>,</w:t>
      </w:r>
      <w:r w:rsidR="00EB35E1" w:rsidRPr="0008664F">
        <w:rPr>
          <w:sz w:val="22"/>
          <w:szCs w:val="22"/>
        </w:rPr>
        <w:t xml:space="preserve"> at 27 CFR 40</w:t>
      </w:r>
      <w:r w:rsidR="00213ACB" w:rsidRPr="0008664F">
        <w:rPr>
          <w:sz w:val="22"/>
          <w:szCs w:val="22"/>
        </w:rPr>
        <w:t>.72, 40.202, 40.522, and 41.262,</w:t>
      </w:r>
      <w:r w:rsidR="00DA4C91" w:rsidRPr="0008664F">
        <w:rPr>
          <w:sz w:val="22"/>
          <w:szCs w:val="22"/>
        </w:rPr>
        <w:t xml:space="preserve"> </w:t>
      </w:r>
      <w:r w:rsidR="00C01018" w:rsidRPr="0008664F">
        <w:rPr>
          <w:sz w:val="22"/>
          <w:szCs w:val="22"/>
        </w:rPr>
        <w:t xml:space="preserve">to </w:t>
      </w:r>
      <w:r w:rsidR="00D51F7A" w:rsidRPr="0008664F">
        <w:rPr>
          <w:sz w:val="22"/>
          <w:szCs w:val="22"/>
        </w:rPr>
        <w:t xml:space="preserve">include a requirement </w:t>
      </w:r>
      <w:r w:rsidR="00C01018" w:rsidRPr="0008664F">
        <w:rPr>
          <w:sz w:val="22"/>
          <w:szCs w:val="22"/>
        </w:rPr>
        <w:t xml:space="preserve">that </w:t>
      </w:r>
      <w:r w:rsidR="00DA4C91" w:rsidRPr="0008664F">
        <w:rPr>
          <w:sz w:val="22"/>
          <w:szCs w:val="22"/>
        </w:rPr>
        <w:t xml:space="preserve">manufacturers </w:t>
      </w:r>
      <w:r w:rsidR="00814E57" w:rsidRPr="0008664F">
        <w:rPr>
          <w:sz w:val="22"/>
          <w:szCs w:val="22"/>
        </w:rPr>
        <w:t xml:space="preserve">and importers </w:t>
      </w:r>
      <w:r w:rsidR="00DA4C91" w:rsidRPr="0008664F">
        <w:rPr>
          <w:sz w:val="22"/>
          <w:szCs w:val="22"/>
        </w:rPr>
        <w:t xml:space="preserve">of </w:t>
      </w:r>
      <w:r w:rsidR="00814E57" w:rsidRPr="0008664F">
        <w:rPr>
          <w:sz w:val="22"/>
          <w:szCs w:val="22"/>
        </w:rPr>
        <w:t xml:space="preserve">tobacco products or </w:t>
      </w:r>
      <w:r w:rsidR="00DA4C91" w:rsidRPr="0008664F">
        <w:rPr>
          <w:sz w:val="22"/>
          <w:szCs w:val="22"/>
        </w:rPr>
        <w:t xml:space="preserve">processed tobacco </w:t>
      </w:r>
      <w:r w:rsidR="00D51F7A" w:rsidRPr="0008664F">
        <w:rPr>
          <w:sz w:val="22"/>
          <w:szCs w:val="22"/>
        </w:rPr>
        <w:t>file a report with TTB covering all such transfers or sales.  This report protects the revenue.</w:t>
      </w:r>
    </w:p>
    <w:p w14:paraId="17915E27" w14:textId="77777777" w:rsidR="00D51F7A" w:rsidRPr="0008664F" w:rsidRDefault="00D51F7A">
      <w:pPr>
        <w:rPr>
          <w:sz w:val="22"/>
          <w:szCs w:val="22"/>
        </w:rPr>
      </w:pPr>
    </w:p>
    <w:p w14:paraId="3ED5BF95" w14:textId="77777777" w:rsidR="005039C5" w:rsidRPr="0008664F" w:rsidRDefault="005039C5" w:rsidP="005039C5">
      <w:pPr>
        <w:widowControl/>
        <w:tabs>
          <w:tab w:val="left" w:pos="576"/>
          <w:tab w:val="left" w:pos="1296"/>
          <w:tab w:val="left" w:pos="2016"/>
          <w:tab w:val="left" w:pos="2736"/>
          <w:tab w:val="left" w:pos="8496"/>
        </w:tabs>
        <w:suppressAutoHyphens/>
        <w:autoSpaceDE/>
        <w:autoSpaceDN/>
        <w:adjustRightInd/>
        <w:spacing w:line="240" w:lineRule="atLeast"/>
        <w:rPr>
          <w:sz w:val="22"/>
          <w:szCs w:val="22"/>
        </w:rPr>
      </w:pPr>
      <w:r w:rsidRPr="0008664F">
        <w:rPr>
          <w:sz w:val="22"/>
          <w:szCs w:val="22"/>
        </w:rPr>
        <w:t>This information collection is aligned with:</w:t>
      </w:r>
    </w:p>
    <w:p w14:paraId="2923808F" w14:textId="77777777" w:rsidR="005039C5" w:rsidRPr="0008664F" w:rsidRDefault="005039C5" w:rsidP="005039C5">
      <w:pPr>
        <w:widowControl/>
        <w:tabs>
          <w:tab w:val="left" w:pos="576"/>
          <w:tab w:val="left" w:pos="1296"/>
          <w:tab w:val="left" w:pos="2016"/>
          <w:tab w:val="left" w:pos="2736"/>
          <w:tab w:val="left" w:pos="8496"/>
        </w:tabs>
        <w:suppressAutoHyphens/>
        <w:autoSpaceDE/>
        <w:autoSpaceDN/>
        <w:adjustRightInd/>
        <w:spacing w:line="240" w:lineRule="atLeast"/>
        <w:rPr>
          <w:sz w:val="22"/>
          <w:szCs w:val="22"/>
        </w:rPr>
      </w:pPr>
      <w:r w:rsidRPr="0008664F">
        <w:rPr>
          <w:sz w:val="22"/>
          <w:szCs w:val="22"/>
        </w:rPr>
        <w:t xml:space="preserve">   Treasury Strategic Goal:  Effectively Manage U.S. Government Finances.</w:t>
      </w:r>
    </w:p>
    <w:p w14:paraId="5207C816" w14:textId="77777777" w:rsidR="005039C5" w:rsidRPr="0008664F" w:rsidRDefault="005039C5" w:rsidP="005039C5">
      <w:pPr>
        <w:widowControl/>
        <w:tabs>
          <w:tab w:val="left" w:pos="576"/>
          <w:tab w:val="left" w:pos="1296"/>
          <w:tab w:val="left" w:pos="2016"/>
          <w:tab w:val="left" w:pos="2736"/>
          <w:tab w:val="left" w:pos="8496"/>
        </w:tabs>
        <w:suppressAutoHyphens/>
        <w:autoSpaceDE/>
        <w:autoSpaceDN/>
        <w:adjustRightInd/>
        <w:spacing w:line="240" w:lineRule="atLeast"/>
        <w:rPr>
          <w:sz w:val="22"/>
          <w:szCs w:val="22"/>
        </w:rPr>
      </w:pPr>
      <w:r w:rsidRPr="0008664F">
        <w:rPr>
          <w:sz w:val="22"/>
          <w:szCs w:val="22"/>
        </w:rPr>
        <w:t xml:space="preserve">   Line of Business/Sub-function:  General Government/Taxation Management.</w:t>
      </w:r>
    </w:p>
    <w:p w14:paraId="0F93E18A" w14:textId="77777777" w:rsidR="005039C5" w:rsidRPr="0008664F" w:rsidRDefault="005039C5" w:rsidP="005039C5">
      <w:pPr>
        <w:widowControl/>
        <w:tabs>
          <w:tab w:val="left" w:pos="576"/>
          <w:tab w:val="left" w:pos="1296"/>
          <w:tab w:val="left" w:pos="2016"/>
          <w:tab w:val="left" w:pos="2736"/>
          <w:tab w:val="left" w:pos="8496"/>
        </w:tabs>
        <w:suppressAutoHyphens/>
        <w:autoSpaceDE/>
        <w:autoSpaceDN/>
        <w:adjustRightInd/>
        <w:spacing w:line="240" w:lineRule="atLeast"/>
        <w:rPr>
          <w:sz w:val="22"/>
          <w:szCs w:val="22"/>
        </w:rPr>
      </w:pPr>
      <w:r w:rsidRPr="0008664F">
        <w:rPr>
          <w:sz w:val="22"/>
          <w:szCs w:val="22"/>
        </w:rPr>
        <w:t xml:space="preserve">   </w:t>
      </w:r>
      <w:proofErr w:type="gramStart"/>
      <w:r w:rsidRPr="0008664F">
        <w:rPr>
          <w:sz w:val="22"/>
          <w:szCs w:val="22"/>
        </w:rPr>
        <w:t>IT</w:t>
      </w:r>
      <w:proofErr w:type="gramEnd"/>
      <w:r w:rsidRPr="0008664F">
        <w:rPr>
          <w:sz w:val="22"/>
          <w:szCs w:val="22"/>
        </w:rPr>
        <w:t xml:space="preserve"> Investment:  Tax Major Application Systems.</w:t>
      </w:r>
    </w:p>
    <w:p w14:paraId="3740340A" w14:textId="77777777" w:rsidR="005039C5" w:rsidRPr="0008664F" w:rsidRDefault="005039C5" w:rsidP="005039C5">
      <w:pPr>
        <w:widowControl/>
        <w:tabs>
          <w:tab w:val="left" w:pos="576"/>
          <w:tab w:val="left" w:pos="1296"/>
          <w:tab w:val="left" w:pos="2016"/>
          <w:tab w:val="left" w:pos="2736"/>
          <w:tab w:val="left" w:pos="8496"/>
        </w:tabs>
        <w:suppressAutoHyphens/>
        <w:autoSpaceDE/>
        <w:autoSpaceDN/>
        <w:adjustRightInd/>
        <w:spacing w:line="240" w:lineRule="atLeast"/>
        <w:rPr>
          <w:sz w:val="22"/>
          <w:szCs w:val="22"/>
        </w:rPr>
      </w:pPr>
    </w:p>
    <w:p w14:paraId="3519335C" w14:textId="77777777" w:rsidR="001342AE" w:rsidRPr="0008664F" w:rsidRDefault="001342AE" w:rsidP="001342AE">
      <w:pPr>
        <w:rPr>
          <w:sz w:val="22"/>
          <w:szCs w:val="22"/>
        </w:rPr>
      </w:pPr>
      <w:r w:rsidRPr="0008664F">
        <w:rPr>
          <w:sz w:val="22"/>
          <w:szCs w:val="22"/>
        </w:rPr>
        <w:t>2.  How, by whom, and for what purpose is this information used?</w:t>
      </w:r>
    </w:p>
    <w:p w14:paraId="22D40E17" w14:textId="77777777" w:rsidR="001342AE" w:rsidRPr="0008664F" w:rsidRDefault="001342AE" w:rsidP="001342AE">
      <w:pPr>
        <w:rPr>
          <w:sz w:val="22"/>
          <w:szCs w:val="22"/>
        </w:rPr>
      </w:pPr>
    </w:p>
    <w:p w14:paraId="3C2D4EA4" w14:textId="6DBB20AB" w:rsidR="009D7416" w:rsidRPr="0008664F" w:rsidRDefault="00213ACB">
      <w:pPr>
        <w:rPr>
          <w:sz w:val="22"/>
          <w:szCs w:val="22"/>
        </w:rPr>
      </w:pPr>
      <w:r w:rsidRPr="0008664F">
        <w:rPr>
          <w:sz w:val="22"/>
          <w:szCs w:val="22"/>
        </w:rPr>
        <w:t>This report provides</w:t>
      </w:r>
      <w:r w:rsidR="00EB5072" w:rsidRPr="0008664F">
        <w:rPr>
          <w:sz w:val="22"/>
          <w:szCs w:val="22"/>
        </w:rPr>
        <w:t xml:space="preserve"> timely </w:t>
      </w:r>
      <w:r w:rsidRPr="0008664F">
        <w:rPr>
          <w:sz w:val="22"/>
          <w:szCs w:val="22"/>
        </w:rPr>
        <w:t xml:space="preserve">information concerning transfers </w:t>
      </w:r>
      <w:r w:rsidR="00EB5072" w:rsidRPr="0008664F">
        <w:rPr>
          <w:sz w:val="22"/>
          <w:szCs w:val="22"/>
        </w:rPr>
        <w:t xml:space="preserve">of processed tobacco </w:t>
      </w:r>
      <w:r w:rsidRPr="0008664F">
        <w:rPr>
          <w:sz w:val="22"/>
          <w:szCs w:val="22"/>
        </w:rPr>
        <w:t>to unregulated persons</w:t>
      </w:r>
      <w:r w:rsidR="00EB35E1" w:rsidRPr="0008664F">
        <w:rPr>
          <w:sz w:val="22"/>
          <w:szCs w:val="22"/>
        </w:rPr>
        <w:t>,</w:t>
      </w:r>
      <w:r w:rsidRPr="0008664F">
        <w:rPr>
          <w:sz w:val="22"/>
          <w:szCs w:val="22"/>
        </w:rPr>
        <w:t xml:space="preserve"> allowing TTB to </w:t>
      </w:r>
      <w:r w:rsidR="00EB5072" w:rsidRPr="0008664F">
        <w:rPr>
          <w:sz w:val="22"/>
          <w:szCs w:val="22"/>
        </w:rPr>
        <w:t xml:space="preserve">track processed tobacco and </w:t>
      </w:r>
      <w:r w:rsidRPr="0008664F">
        <w:rPr>
          <w:sz w:val="22"/>
          <w:szCs w:val="22"/>
        </w:rPr>
        <w:t>take timely act</w:t>
      </w:r>
      <w:r w:rsidR="0094748A">
        <w:rPr>
          <w:sz w:val="22"/>
          <w:szCs w:val="22"/>
        </w:rPr>
        <w:t>ion against potential diversion to illegal manufacturing</w:t>
      </w:r>
      <w:r w:rsidRPr="0008664F">
        <w:rPr>
          <w:sz w:val="22"/>
          <w:szCs w:val="22"/>
        </w:rPr>
        <w:t>.</w:t>
      </w:r>
      <w:r w:rsidR="00EB5072" w:rsidRPr="0008664F">
        <w:rPr>
          <w:sz w:val="22"/>
          <w:szCs w:val="22"/>
        </w:rPr>
        <w:t xml:space="preserve">  </w:t>
      </w:r>
    </w:p>
    <w:p w14:paraId="312EAB97" w14:textId="77777777" w:rsidR="0054729B" w:rsidRPr="0008664F" w:rsidRDefault="0054729B" w:rsidP="001D089C">
      <w:pPr>
        <w:rPr>
          <w:sz w:val="22"/>
          <w:szCs w:val="22"/>
        </w:rPr>
      </w:pPr>
    </w:p>
    <w:p w14:paraId="66799AAB" w14:textId="77777777" w:rsidR="001D089C" w:rsidRPr="0008664F" w:rsidRDefault="0008664F" w:rsidP="001D089C">
      <w:pPr>
        <w:rPr>
          <w:sz w:val="22"/>
          <w:szCs w:val="22"/>
        </w:rPr>
      </w:pPr>
      <w:r w:rsidRPr="0008664F">
        <w:rPr>
          <w:sz w:val="22"/>
          <w:szCs w:val="22"/>
        </w:rPr>
        <w:br w:type="page"/>
      </w:r>
      <w:r w:rsidR="001D089C" w:rsidRPr="0008664F">
        <w:rPr>
          <w:sz w:val="22"/>
          <w:szCs w:val="22"/>
        </w:rPr>
        <w:lastRenderedPageBreak/>
        <w:t>3.</w:t>
      </w:r>
      <w:r w:rsidR="001D089C" w:rsidRPr="0008664F">
        <w:rPr>
          <w:sz w:val="22"/>
          <w:szCs w:val="22"/>
        </w:rPr>
        <w:tab/>
        <w:t>To what extent does this collection of information involve the use of automated, electronic, mechanical, or other technological collection techniques or other forms of information technology?  What consideration is given to use information technology to reduce burden?</w:t>
      </w:r>
    </w:p>
    <w:p w14:paraId="622F71A7" w14:textId="77777777" w:rsidR="001D089C" w:rsidRPr="0008664F" w:rsidRDefault="001D089C" w:rsidP="001D089C">
      <w:pPr>
        <w:rPr>
          <w:sz w:val="22"/>
          <w:szCs w:val="22"/>
        </w:rPr>
      </w:pPr>
    </w:p>
    <w:p w14:paraId="51280436" w14:textId="77777777" w:rsidR="009D7416" w:rsidRPr="0008664F" w:rsidRDefault="00A3003D">
      <w:pPr>
        <w:rPr>
          <w:sz w:val="22"/>
          <w:szCs w:val="22"/>
        </w:rPr>
      </w:pPr>
      <w:r w:rsidRPr="0008664F">
        <w:rPr>
          <w:sz w:val="22"/>
          <w:szCs w:val="22"/>
        </w:rPr>
        <w:t xml:space="preserve">The regulations at 27 CFR </w:t>
      </w:r>
      <w:proofErr w:type="gramStart"/>
      <w:r w:rsidRPr="0008664F">
        <w:rPr>
          <w:sz w:val="22"/>
          <w:szCs w:val="22"/>
        </w:rPr>
        <w:t>part</w:t>
      </w:r>
      <w:proofErr w:type="gramEnd"/>
      <w:r w:rsidRPr="0008664F">
        <w:rPr>
          <w:sz w:val="22"/>
          <w:szCs w:val="22"/>
        </w:rPr>
        <w:t xml:space="preserve"> 73 set forth the provisions under which TTB may accept electronic submission of forms and electronic signatures for such submissions.  </w:t>
      </w:r>
      <w:r w:rsidR="009D7416" w:rsidRPr="0008664F">
        <w:rPr>
          <w:sz w:val="22"/>
          <w:szCs w:val="22"/>
        </w:rPr>
        <w:t xml:space="preserve">We </w:t>
      </w:r>
      <w:r w:rsidR="00362D73" w:rsidRPr="0008664F">
        <w:rPr>
          <w:sz w:val="22"/>
          <w:szCs w:val="22"/>
        </w:rPr>
        <w:t>will</w:t>
      </w:r>
      <w:r w:rsidR="009D7416" w:rsidRPr="0008664F">
        <w:rPr>
          <w:sz w:val="22"/>
          <w:szCs w:val="22"/>
        </w:rPr>
        <w:t xml:space="preserve"> approve, on a case-by-case basis, the use of technology for the </w:t>
      </w:r>
      <w:r w:rsidR="00EB5072" w:rsidRPr="0008664F">
        <w:rPr>
          <w:sz w:val="22"/>
          <w:szCs w:val="22"/>
        </w:rPr>
        <w:t>submission of this information</w:t>
      </w:r>
      <w:r w:rsidR="009D7416" w:rsidRPr="0008664F">
        <w:rPr>
          <w:sz w:val="22"/>
          <w:szCs w:val="22"/>
        </w:rPr>
        <w:t xml:space="preserve">. </w:t>
      </w:r>
      <w:r w:rsidR="00EB5072" w:rsidRPr="0008664F">
        <w:rPr>
          <w:sz w:val="22"/>
          <w:szCs w:val="22"/>
        </w:rPr>
        <w:t xml:space="preserve"> </w:t>
      </w:r>
    </w:p>
    <w:p w14:paraId="07365EB7" w14:textId="77777777" w:rsidR="009D7416" w:rsidRPr="0008664F" w:rsidRDefault="009D7416">
      <w:pPr>
        <w:rPr>
          <w:sz w:val="22"/>
          <w:szCs w:val="22"/>
        </w:rPr>
      </w:pPr>
      <w:r w:rsidRPr="0008664F">
        <w:rPr>
          <w:sz w:val="22"/>
          <w:szCs w:val="22"/>
        </w:rPr>
        <w:t xml:space="preserve">  </w:t>
      </w:r>
    </w:p>
    <w:p w14:paraId="4BDC56D1" w14:textId="77777777" w:rsidR="001342AE" w:rsidRPr="0008664F" w:rsidRDefault="001342AE" w:rsidP="001342AE">
      <w:pPr>
        <w:rPr>
          <w:sz w:val="22"/>
          <w:szCs w:val="22"/>
        </w:rPr>
      </w:pPr>
      <w:r w:rsidRPr="0008664F">
        <w:rPr>
          <w:sz w:val="22"/>
          <w:szCs w:val="22"/>
        </w:rPr>
        <w:t>4.</w:t>
      </w:r>
      <w:r w:rsidRPr="0008664F">
        <w:rPr>
          <w:sz w:val="22"/>
          <w:szCs w:val="22"/>
        </w:rPr>
        <w:tab/>
        <w:t>What efforts are used to identify duplication?  Why can’t any similar information already available be used or modified for use for the purposes described in Item 2 above?</w:t>
      </w:r>
      <w:r w:rsidRPr="0008664F">
        <w:rPr>
          <w:sz w:val="22"/>
          <w:szCs w:val="22"/>
        </w:rPr>
        <w:tab/>
      </w:r>
    </w:p>
    <w:p w14:paraId="5EFB5C93" w14:textId="77777777" w:rsidR="001342AE" w:rsidRPr="0008664F" w:rsidRDefault="001342AE" w:rsidP="001342AE">
      <w:pPr>
        <w:rPr>
          <w:sz w:val="22"/>
          <w:szCs w:val="22"/>
        </w:rPr>
      </w:pPr>
    </w:p>
    <w:p w14:paraId="6C1B6CA2" w14:textId="6D05D529" w:rsidR="009D7416" w:rsidRPr="0008664F" w:rsidRDefault="0054729B">
      <w:pPr>
        <w:rPr>
          <w:sz w:val="22"/>
          <w:szCs w:val="22"/>
        </w:rPr>
      </w:pPr>
      <w:r w:rsidRPr="0008664F">
        <w:rPr>
          <w:sz w:val="22"/>
          <w:szCs w:val="22"/>
        </w:rPr>
        <w:t>This information collection request only requires reports that are pertinent to each</w:t>
      </w:r>
      <w:r w:rsidR="00D05CB6">
        <w:rPr>
          <w:sz w:val="22"/>
          <w:szCs w:val="22"/>
        </w:rPr>
        <w:t xml:space="preserve"> manufacturer</w:t>
      </w:r>
      <w:r w:rsidR="00D51F7A" w:rsidRPr="0008664F">
        <w:rPr>
          <w:sz w:val="22"/>
          <w:szCs w:val="22"/>
        </w:rPr>
        <w:t xml:space="preserve"> or </w:t>
      </w:r>
      <w:r w:rsidRPr="0008664F">
        <w:rPr>
          <w:sz w:val="22"/>
          <w:szCs w:val="22"/>
        </w:rPr>
        <w:t>importer’s specific operation.  As far as we can determine, similar information is not available elsewhere.</w:t>
      </w:r>
    </w:p>
    <w:p w14:paraId="73237F01" w14:textId="77777777" w:rsidR="0054729B" w:rsidRPr="0008664F" w:rsidRDefault="0054729B">
      <w:pPr>
        <w:rPr>
          <w:sz w:val="22"/>
          <w:szCs w:val="22"/>
        </w:rPr>
      </w:pPr>
    </w:p>
    <w:p w14:paraId="33CC48D1" w14:textId="77777777" w:rsidR="001342AE" w:rsidRPr="0008664F" w:rsidRDefault="001342AE" w:rsidP="001342AE">
      <w:pPr>
        <w:rPr>
          <w:sz w:val="22"/>
          <w:szCs w:val="22"/>
        </w:rPr>
      </w:pPr>
      <w:r w:rsidRPr="0008664F">
        <w:rPr>
          <w:sz w:val="22"/>
          <w:szCs w:val="22"/>
        </w:rPr>
        <w:t>5.</w:t>
      </w:r>
      <w:r w:rsidRPr="0008664F">
        <w:rPr>
          <w:sz w:val="22"/>
          <w:szCs w:val="22"/>
        </w:rPr>
        <w:tab/>
        <w:t>If this collection of information impacts small businesses or other small entities, what methods are used to minimize burden?</w:t>
      </w:r>
    </w:p>
    <w:p w14:paraId="3F1252B7" w14:textId="77777777" w:rsidR="001342AE" w:rsidRPr="0008664F" w:rsidRDefault="001342AE" w:rsidP="001342AE">
      <w:pPr>
        <w:rPr>
          <w:sz w:val="22"/>
          <w:szCs w:val="22"/>
        </w:rPr>
      </w:pPr>
    </w:p>
    <w:p w14:paraId="3CFC19B0" w14:textId="77777777" w:rsidR="009D7416" w:rsidRPr="0008664F" w:rsidRDefault="00EB5072">
      <w:pPr>
        <w:rPr>
          <w:sz w:val="22"/>
          <w:szCs w:val="22"/>
        </w:rPr>
      </w:pPr>
      <w:r w:rsidRPr="0008664F">
        <w:rPr>
          <w:sz w:val="22"/>
          <w:szCs w:val="22"/>
        </w:rPr>
        <w:t>S</w:t>
      </w:r>
      <w:r w:rsidR="00213ACB" w:rsidRPr="0008664F">
        <w:rPr>
          <w:sz w:val="22"/>
          <w:szCs w:val="22"/>
        </w:rPr>
        <w:t xml:space="preserve">ale or transfer </w:t>
      </w:r>
      <w:r w:rsidRPr="0008664F">
        <w:rPr>
          <w:sz w:val="22"/>
          <w:szCs w:val="22"/>
        </w:rPr>
        <w:t xml:space="preserve">of processed tobacco </w:t>
      </w:r>
      <w:r w:rsidR="00213ACB" w:rsidRPr="0008664F">
        <w:rPr>
          <w:sz w:val="22"/>
          <w:szCs w:val="22"/>
        </w:rPr>
        <w:t>to a</w:t>
      </w:r>
      <w:r w:rsidRPr="0008664F">
        <w:rPr>
          <w:sz w:val="22"/>
          <w:szCs w:val="22"/>
        </w:rPr>
        <w:t>n</w:t>
      </w:r>
      <w:r w:rsidR="00213ACB" w:rsidRPr="0008664F">
        <w:rPr>
          <w:sz w:val="22"/>
          <w:szCs w:val="22"/>
        </w:rPr>
        <w:t xml:space="preserve"> </w:t>
      </w:r>
      <w:r w:rsidRPr="0008664F">
        <w:rPr>
          <w:sz w:val="22"/>
          <w:szCs w:val="22"/>
        </w:rPr>
        <w:t>un</w:t>
      </w:r>
      <w:r w:rsidR="00213ACB" w:rsidRPr="0008664F">
        <w:rPr>
          <w:sz w:val="22"/>
          <w:szCs w:val="22"/>
        </w:rPr>
        <w:t>regulated entity can occur without regard</w:t>
      </w:r>
      <w:r w:rsidR="00EB35E1" w:rsidRPr="0008664F">
        <w:rPr>
          <w:sz w:val="22"/>
          <w:szCs w:val="22"/>
        </w:rPr>
        <w:t xml:space="preserve"> to</w:t>
      </w:r>
      <w:r w:rsidR="00213ACB" w:rsidRPr="0008664F">
        <w:rPr>
          <w:sz w:val="22"/>
          <w:szCs w:val="22"/>
        </w:rPr>
        <w:t xml:space="preserve"> </w:t>
      </w:r>
      <w:r w:rsidRPr="0008664F">
        <w:rPr>
          <w:sz w:val="22"/>
          <w:szCs w:val="22"/>
        </w:rPr>
        <w:t xml:space="preserve">the size of the </w:t>
      </w:r>
      <w:r w:rsidR="00213ACB" w:rsidRPr="0008664F">
        <w:rPr>
          <w:sz w:val="22"/>
          <w:szCs w:val="22"/>
        </w:rPr>
        <w:t>business</w:t>
      </w:r>
      <w:r w:rsidRPr="0008664F">
        <w:rPr>
          <w:sz w:val="22"/>
          <w:szCs w:val="22"/>
        </w:rPr>
        <w:t xml:space="preserve">, and TTB believes that the information required to be reported is the minimum </w:t>
      </w:r>
      <w:r w:rsidR="007B2305" w:rsidRPr="0008664F">
        <w:rPr>
          <w:sz w:val="22"/>
          <w:szCs w:val="22"/>
        </w:rPr>
        <w:t>necessary to protect the revenue</w:t>
      </w:r>
      <w:r w:rsidR="00213ACB" w:rsidRPr="0008664F">
        <w:rPr>
          <w:sz w:val="22"/>
          <w:szCs w:val="22"/>
        </w:rPr>
        <w:t>.</w:t>
      </w:r>
      <w:r w:rsidR="00B77F99" w:rsidRPr="0008664F">
        <w:rPr>
          <w:sz w:val="22"/>
          <w:szCs w:val="22"/>
        </w:rPr>
        <w:t xml:space="preserve">  </w:t>
      </w:r>
      <w:r w:rsidR="00FB2526" w:rsidRPr="0008664F">
        <w:rPr>
          <w:sz w:val="22"/>
          <w:szCs w:val="22"/>
        </w:rPr>
        <w:t xml:space="preserve">However, smaller </w:t>
      </w:r>
      <w:r w:rsidR="00D51F7A" w:rsidRPr="0008664F">
        <w:rPr>
          <w:sz w:val="22"/>
          <w:szCs w:val="22"/>
        </w:rPr>
        <w:t xml:space="preserve">manufacturers and </w:t>
      </w:r>
      <w:r w:rsidR="00FB2526" w:rsidRPr="0008664F">
        <w:rPr>
          <w:sz w:val="22"/>
          <w:szCs w:val="22"/>
        </w:rPr>
        <w:t>im</w:t>
      </w:r>
      <w:r w:rsidR="009D7416" w:rsidRPr="0008664F">
        <w:rPr>
          <w:sz w:val="22"/>
          <w:szCs w:val="22"/>
        </w:rPr>
        <w:t xml:space="preserve">porters of </w:t>
      </w:r>
      <w:r w:rsidR="00D51F7A" w:rsidRPr="0008664F">
        <w:rPr>
          <w:sz w:val="22"/>
          <w:szCs w:val="22"/>
        </w:rPr>
        <w:t>processed tobacco</w:t>
      </w:r>
      <w:r w:rsidR="009D7416" w:rsidRPr="0008664F">
        <w:rPr>
          <w:sz w:val="22"/>
          <w:szCs w:val="22"/>
        </w:rPr>
        <w:t xml:space="preserve"> </w:t>
      </w:r>
      <w:r w:rsidR="00213ACB" w:rsidRPr="0008664F">
        <w:rPr>
          <w:sz w:val="22"/>
          <w:szCs w:val="22"/>
        </w:rPr>
        <w:t xml:space="preserve">should </w:t>
      </w:r>
      <w:r w:rsidR="00FB2526" w:rsidRPr="0008664F">
        <w:rPr>
          <w:sz w:val="22"/>
          <w:szCs w:val="22"/>
        </w:rPr>
        <w:t xml:space="preserve">have </w:t>
      </w:r>
      <w:r w:rsidR="001E3405" w:rsidRPr="0008664F">
        <w:rPr>
          <w:sz w:val="22"/>
          <w:szCs w:val="22"/>
        </w:rPr>
        <w:t xml:space="preserve">fewer </w:t>
      </w:r>
      <w:r w:rsidR="00213ACB" w:rsidRPr="0008664F">
        <w:rPr>
          <w:sz w:val="22"/>
          <w:szCs w:val="22"/>
        </w:rPr>
        <w:t>transactions that would require such reporting</w:t>
      </w:r>
      <w:r w:rsidR="009D7416" w:rsidRPr="0008664F">
        <w:rPr>
          <w:sz w:val="22"/>
          <w:szCs w:val="22"/>
        </w:rPr>
        <w:t xml:space="preserve">. </w:t>
      </w:r>
    </w:p>
    <w:p w14:paraId="2E723B4C" w14:textId="77777777" w:rsidR="009D7416" w:rsidRPr="0008664F" w:rsidRDefault="009D7416">
      <w:pPr>
        <w:rPr>
          <w:sz w:val="22"/>
          <w:szCs w:val="22"/>
        </w:rPr>
      </w:pPr>
    </w:p>
    <w:p w14:paraId="6F599B96" w14:textId="77777777" w:rsidR="001342AE" w:rsidRPr="0008664F" w:rsidRDefault="001342AE" w:rsidP="001342AE">
      <w:pPr>
        <w:rPr>
          <w:sz w:val="22"/>
          <w:szCs w:val="22"/>
        </w:rPr>
      </w:pPr>
      <w:r w:rsidRPr="0008664F">
        <w:rPr>
          <w:sz w:val="22"/>
          <w:szCs w:val="22"/>
        </w:rPr>
        <w:t>6.</w:t>
      </w:r>
      <w:r w:rsidRPr="0008664F">
        <w:rPr>
          <w:sz w:val="22"/>
          <w:szCs w:val="22"/>
        </w:rPr>
        <w:tab/>
        <w:t>What consequences to Federal program or policy activities and what, if any, technical or legal obstacles to reducing burden will occur if this collection is not conducted or is conducted less frequently?</w:t>
      </w:r>
    </w:p>
    <w:p w14:paraId="5BB2C68C" w14:textId="77777777" w:rsidR="001342AE" w:rsidRPr="0008664F" w:rsidRDefault="001342AE" w:rsidP="001342AE">
      <w:pPr>
        <w:rPr>
          <w:sz w:val="22"/>
          <w:szCs w:val="22"/>
        </w:rPr>
      </w:pPr>
    </w:p>
    <w:p w14:paraId="7477C8D7" w14:textId="77777777" w:rsidR="009D7416" w:rsidRPr="0008664F" w:rsidRDefault="009D7416">
      <w:pPr>
        <w:rPr>
          <w:sz w:val="22"/>
          <w:szCs w:val="22"/>
        </w:rPr>
      </w:pPr>
      <w:r w:rsidRPr="0008664F">
        <w:rPr>
          <w:sz w:val="22"/>
          <w:szCs w:val="22"/>
        </w:rPr>
        <w:t xml:space="preserve">Without the information required in this collection of information, TTB would be severely hampered in </w:t>
      </w:r>
      <w:r w:rsidR="00D70008" w:rsidRPr="0008664F">
        <w:rPr>
          <w:sz w:val="22"/>
          <w:szCs w:val="22"/>
        </w:rPr>
        <w:t>tracking processed tobacco and d</w:t>
      </w:r>
      <w:r w:rsidRPr="0008664F">
        <w:rPr>
          <w:sz w:val="22"/>
          <w:szCs w:val="22"/>
        </w:rPr>
        <w:t xml:space="preserve">etermining whether </w:t>
      </w:r>
      <w:r w:rsidR="00D70008" w:rsidRPr="0008664F">
        <w:rPr>
          <w:sz w:val="22"/>
          <w:szCs w:val="22"/>
        </w:rPr>
        <w:t>the processed tobacco</w:t>
      </w:r>
      <w:r w:rsidRPr="0008664F">
        <w:rPr>
          <w:sz w:val="22"/>
          <w:szCs w:val="22"/>
        </w:rPr>
        <w:t xml:space="preserve"> </w:t>
      </w:r>
      <w:r w:rsidR="00D70008" w:rsidRPr="0008664F">
        <w:rPr>
          <w:sz w:val="22"/>
          <w:szCs w:val="22"/>
        </w:rPr>
        <w:t>is</w:t>
      </w:r>
      <w:r w:rsidRPr="0008664F">
        <w:rPr>
          <w:sz w:val="22"/>
          <w:szCs w:val="22"/>
        </w:rPr>
        <w:t xml:space="preserve"> being illegally diverted. </w:t>
      </w:r>
      <w:r w:rsidR="00FB2526" w:rsidRPr="0008664F">
        <w:rPr>
          <w:sz w:val="22"/>
          <w:szCs w:val="22"/>
        </w:rPr>
        <w:t xml:space="preserve"> </w:t>
      </w:r>
      <w:r w:rsidR="00E25194" w:rsidRPr="0008664F">
        <w:rPr>
          <w:sz w:val="22"/>
          <w:szCs w:val="22"/>
        </w:rPr>
        <w:t>Not collecting this information or l</w:t>
      </w:r>
      <w:r w:rsidRPr="0008664F">
        <w:rPr>
          <w:sz w:val="22"/>
          <w:szCs w:val="22"/>
        </w:rPr>
        <w:t xml:space="preserve">ess frequent collection of this information would pose jeopardy to the revenue. </w:t>
      </w:r>
    </w:p>
    <w:p w14:paraId="3260D418" w14:textId="77777777" w:rsidR="009D7416" w:rsidRPr="0008664F" w:rsidRDefault="009D7416">
      <w:pPr>
        <w:rPr>
          <w:sz w:val="22"/>
          <w:szCs w:val="22"/>
        </w:rPr>
      </w:pPr>
    </w:p>
    <w:p w14:paraId="47B57D73" w14:textId="55D1FD40" w:rsidR="001342AE" w:rsidRPr="0008664F" w:rsidRDefault="001342AE" w:rsidP="001342AE">
      <w:pPr>
        <w:tabs>
          <w:tab w:val="left" w:pos="576"/>
          <w:tab w:val="left" w:pos="1296"/>
          <w:tab w:val="left" w:pos="2016"/>
          <w:tab w:val="left" w:pos="2736"/>
          <w:tab w:val="left" w:pos="8496"/>
        </w:tabs>
        <w:suppressAutoHyphens/>
        <w:spacing w:line="240" w:lineRule="atLeast"/>
        <w:rPr>
          <w:sz w:val="22"/>
          <w:szCs w:val="22"/>
        </w:rPr>
      </w:pPr>
      <w:r w:rsidRPr="0008664F">
        <w:rPr>
          <w:sz w:val="22"/>
          <w:szCs w:val="22"/>
        </w:rPr>
        <w:t>7.</w:t>
      </w:r>
      <w:r w:rsidRPr="0008664F">
        <w:rPr>
          <w:sz w:val="22"/>
          <w:szCs w:val="22"/>
        </w:rPr>
        <w:tab/>
        <w:t>Are there any special circumstances associated with this information collection</w:t>
      </w:r>
      <w:r w:rsidR="0056763A" w:rsidRPr="0056763A">
        <w:rPr>
          <w:sz w:val="22"/>
          <w:szCs w:val="22"/>
        </w:rPr>
        <w:t xml:space="preserve"> </w:t>
      </w:r>
      <w:r w:rsidR="0056763A" w:rsidRPr="0026134B">
        <w:rPr>
          <w:sz w:val="22"/>
          <w:szCs w:val="22"/>
        </w:rPr>
        <w:t>that would require it to be conducted in a manner inconsistent with OMB guidelines</w:t>
      </w:r>
      <w:r w:rsidRPr="0008664F">
        <w:rPr>
          <w:sz w:val="22"/>
          <w:szCs w:val="22"/>
        </w:rPr>
        <w:t xml:space="preserve">? </w:t>
      </w:r>
    </w:p>
    <w:p w14:paraId="189A91BA" w14:textId="77777777" w:rsidR="001342AE" w:rsidRPr="0008664F" w:rsidRDefault="001342AE" w:rsidP="001342AE">
      <w:pPr>
        <w:rPr>
          <w:sz w:val="22"/>
          <w:szCs w:val="22"/>
        </w:rPr>
      </w:pPr>
    </w:p>
    <w:p w14:paraId="7CD54417" w14:textId="77777777" w:rsidR="004C6AC4" w:rsidRPr="0008664F" w:rsidRDefault="004C6AC4" w:rsidP="004C6AC4">
      <w:pPr>
        <w:rPr>
          <w:sz w:val="22"/>
          <w:szCs w:val="22"/>
        </w:rPr>
      </w:pPr>
      <w:r w:rsidRPr="0008664F">
        <w:rPr>
          <w:sz w:val="22"/>
          <w:szCs w:val="22"/>
        </w:rPr>
        <w:t>There are no special circumstances associated with this information collection.</w:t>
      </w:r>
    </w:p>
    <w:p w14:paraId="1CA2170D" w14:textId="77777777" w:rsidR="004C6AC4" w:rsidRPr="0008664F" w:rsidRDefault="004C6AC4" w:rsidP="004C6AC4">
      <w:pPr>
        <w:rPr>
          <w:sz w:val="22"/>
          <w:szCs w:val="22"/>
        </w:rPr>
      </w:pPr>
    </w:p>
    <w:p w14:paraId="115B0865" w14:textId="6BD3A09C" w:rsidR="001342AE" w:rsidRPr="0008664F" w:rsidRDefault="001342AE" w:rsidP="004C6AC4">
      <w:pPr>
        <w:rPr>
          <w:sz w:val="22"/>
          <w:szCs w:val="22"/>
        </w:rPr>
      </w:pPr>
      <w:r w:rsidRPr="0008664F">
        <w:rPr>
          <w:sz w:val="22"/>
          <w:szCs w:val="22"/>
        </w:rPr>
        <w:t>8.</w:t>
      </w:r>
      <w:r w:rsidRPr="0008664F">
        <w:rPr>
          <w:sz w:val="22"/>
          <w:szCs w:val="22"/>
        </w:rPr>
        <w:tab/>
        <w:t>What effort was made to notify the general public about this collection of information?</w:t>
      </w:r>
      <w:r w:rsidR="0056763A">
        <w:rPr>
          <w:sz w:val="22"/>
          <w:szCs w:val="22"/>
        </w:rPr>
        <w:t xml:space="preserve">  </w:t>
      </w:r>
      <w:r w:rsidR="0056763A" w:rsidRPr="0026134B">
        <w:rPr>
          <w:sz w:val="22"/>
          <w:szCs w:val="22"/>
        </w:rPr>
        <w:t>Summarize the public comments that were received and describe the action taken by the agency in response to those comments.</w:t>
      </w:r>
    </w:p>
    <w:p w14:paraId="6C5DC6C8" w14:textId="77777777" w:rsidR="001342AE" w:rsidRPr="0008664F" w:rsidRDefault="001342AE" w:rsidP="001342AE">
      <w:pPr>
        <w:tabs>
          <w:tab w:val="left" w:pos="480"/>
          <w:tab w:val="left" w:pos="1080"/>
          <w:tab w:val="left" w:pos="3480"/>
        </w:tabs>
        <w:suppressAutoHyphens/>
        <w:ind w:left="480" w:hanging="480"/>
        <w:rPr>
          <w:sz w:val="22"/>
          <w:szCs w:val="22"/>
        </w:rPr>
      </w:pPr>
    </w:p>
    <w:p w14:paraId="7C1332EB" w14:textId="77777777" w:rsidR="00C82E65" w:rsidRDefault="00B148CA" w:rsidP="00B148CA">
      <w:pPr>
        <w:rPr>
          <w:sz w:val="22"/>
          <w:szCs w:val="22"/>
        </w:rPr>
      </w:pPr>
      <w:r w:rsidRPr="0008664F">
        <w:rPr>
          <w:sz w:val="22"/>
          <w:szCs w:val="22"/>
        </w:rPr>
        <w:t xml:space="preserve">A temporary rule (74 FR 29401) and notice of proposed rulemaking (74 FR 29433) </w:t>
      </w:r>
      <w:r w:rsidR="00895DF4" w:rsidRPr="0008664F">
        <w:rPr>
          <w:sz w:val="22"/>
          <w:szCs w:val="22"/>
        </w:rPr>
        <w:t xml:space="preserve">were </w:t>
      </w:r>
      <w:r w:rsidRPr="0008664F">
        <w:rPr>
          <w:sz w:val="22"/>
          <w:szCs w:val="22"/>
        </w:rPr>
        <w:t xml:space="preserve">published in the Federal Register on Monday, June 22, 2009.  The temporary rule solicited comments from the general public regarding this collection of information, as well as other collections of information.  </w:t>
      </w:r>
    </w:p>
    <w:p w14:paraId="07B92291" w14:textId="77777777" w:rsidR="00C82E65" w:rsidRDefault="00C82E65" w:rsidP="00B148CA">
      <w:pPr>
        <w:rPr>
          <w:sz w:val="22"/>
          <w:szCs w:val="22"/>
        </w:rPr>
      </w:pPr>
    </w:p>
    <w:p w14:paraId="646FDAA8" w14:textId="77777777" w:rsidR="00C82E65" w:rsidRDefault="00B148CA" w:rsidP="00B148CA">
      <w:pPr>
        <w:rPr>
          <w:sz w:val="22"/>
          <w:szCs w:val="22"/>
        </w:rPr>
      </w:pPr>
      <w:r w:rsidRPr="0008664F">
        <w:rPr>
          <w:sz w:val="22"/>
          <w:szCs w:val="22"/>
        </w:rPr>
        <w:t xml:space="preserve">A 60-day Federal Register notice was published for this information collection on Friday, September 18, 2009 </w:t>
      </w:r>
      <w:r w:rsidR="00895DF4" w:rsidRPr="0008664F">
        <w:rPr>
          <w:sz w:val="22"/>
          <w:szCs w:val="22"/>
        </w:rPr>
        <w:t>(</w:t>
      </w:r>
      <w:r w:rsidRPr="0008664F">
        <w:rPr>
          <w:sz w:val="22"/>
          <w:szCs w:val="22"/>
        </w:rPr>
        <w:t>74 FR 47990</w:t>
      </w:r>
      <w:r w:rsidR="00895DF4" w:rsidRPr="0008664F">
        <w:rPr>
          <w:sz w:val="22"/>
          <w:szCs w:val="22"/>
        </w:rPr>
        <w:t>)</w:t>
      </w:r>
      <w:r w:rsidRPr="0008664F">
        <w:rPr>
          <w:sz w:val="22"/>
          <w:szCs w:val="22"/>
        </w:rPr>
        <w:t xml:space="preserve">.  The notice solicited comments from the general public.  </w:t>
      </w:r>
    </w:p>
    <w:p w14:paraId="2F55A7D0" w14:textId="77777777" w:rsidR="0056763A" w:rsidRDefault="0056763A" w:rsidP="00B148CA">
      <w:pPr>
        <w:rPr>
          <w:sz w:val="22"/>
          <w:szCs w:val="22"/>
        </w:rPr>
      </w:pPr>
    </w:p>
    <w:p w14:paraId="649FDA6B" w14:textId="74DFFCFF" w:rsidR="00B148CA" w:rsidRPr="0008664F" w:rsidRDefault="0056763A" w:rsidP="00B148CA">
      <w:pPr>
        <w:rPr>
          <w:sz w:val="22"/>
          <w:szCs w:val="22"/>
        </w:rPr>
      </w:pPr>
      <w:r>
        <w:rPr>
          <w:sz w:val="22"/>
          <w:szCs w:val="22"/>
        </w:rPr>
        <w:br w:type="page"/>
      </w:r>
      <w:r>
        <w:rPr>
          <w:sz w:val="22"/>
          <w:szCs w:val="22"/>
        </w:rPr>
        <w:lastRenderedPageBreak/>
        <w:t>A</w:t>
      </w:r>
      <w:r w:rsidR="001E3405" w:rsidRPr="0008664F">
        <w:rPr>
          <w:sz w:val="22"/>
          <w:szCs w:val="22"/>
        </w:rPr>
        <w:t xml:space="preserve"> final rule (77 FR 37287) was published in the Federal Register on Thursday, June 21, 2012</w:t>
      </w:r>
      <w:r w:rsidR="00895DF4" w:rsidRPr="0008664F">
        <w:rPr>
          <w:sz w:val="22"/>
          <w:szCs w:val="22"/>
        </w:rPr>
        <w:t>, in which TTB addressed comments concerning this collection of information</w:t>
      </w:r>
      <w:r w:rsidR="00FA061C" w:rsidRPr="0008664F">
        <w:rPr>
          <w:sz w:val="22"/>
          <w:szCs w:val="22"/>
        </w:rPr>
        <w:t>.  All</w:t>
      </w:r>
      <w:r w:rsidR="00D420B8" w:rsidRPr="0008664F">
        <w:rPr>
          <w:sz w:val="22"/>
          <w:szCs w:val="22"/>
        </w:rPr>
        <w:t xml:space="preserve"> of </w:t>
      </w:r>
      <w:r w:rsidR="00FA061C" w:rsidRPr="0008664F">
        <w:rPr>
          <w:sz w:val="22"/>
          <w:szCs w:val="22"/>
        </w:rPr>
        <w:t>these comments</w:t>
      </w:r>
      <w:r w:rsidR="00D420B8" w:rsidRPr="0008664F">
        <w:rPr>
          <w:sz w:val="22"/>
          <w:szCs w:val="22"/>
        </w:rPr>
        <w:t xml:space="preserve"> were received in response to the temporary rule</w:t>
      </w:r>
      <w:r w:rsidR="001E3405" w:rsidRPr="0008664F">
        <w:rPr>
          <w:sz w:val="22"/>
          <w:szCs w:val="22"/>
        </w:rPr>
        <w:t>.</w:t>
      </w:r>
    </w:p>
    <w:p w14:paraId="4FF9BE91" w14:textId="77777777" w:rsidR="0056763A" w:rsidRDefault="0056763A" w:rsidP="001E3405">
      <w:pPr>
        <w:rPr>
          <w:sz w:val="22"/>
          <w:szCs w:val="22"/>
        </w:rPr>
      </w:pPr>
    </w:p>
    <w:p w14:paraId="6D4F71A0" w14:textId="3B10AB26" w:rsidR="001E3405" w:rsidRPr="0008664F" w:rsidRDefault="001E3405" w:rsidP="001E3405">
      <w:pPr>
        <w:rPr>
          <w:sz w:val="22"/>
          <w:szCs w:val="22"/>
        </w:rPr>
      </w:pPr>
      <w:r w:rsidRPr="0008664F">
        <w:rPr>
          <w:sz w:val="22"/>
          <w:szCs w:val="22"/>
        </w:rPr>
        <w:t xml:space="preserve">Several commenters recommended that export shipments and certain other shipments of processed tobacco </w:t>
      </w:r>
      <w:r w:rsidR="00FA061C" w:rsidRPr="0008664F">
        <w:rPr>
          <w:sz w:val="22"/>
          <w:szCs w:val="22"/>
        </w:rPr>
        <w:t xml:space="preserve">to non-permit holders </w:t>
      </w:r>
      <w:r w:rsidR="000B7833" w:rsidRPr="0008664F">
        <w:rPr>
          <w:sz w:val="22"/>
          <w:szCs w:val="22"/>
        </w:rPr>
        <w:t xml:space="preserve">should not have to </w:t>
      </w:r>
      <w:r w:rsidRPr="0008664F">
        <w:rPr>
          <w:sz w:val="22"/>
          <w:szCs w:val="22"/>
        </w:rPr>
        <w:t>be report</w:t>
      </w:r>
      <w:r w:rsidR="000B7833" w:rsidRPr="0008664F">
        <w:rPr>
          <w:sz w:val="22"/>
          <w:szCs w:val="22"/>
        </w:rPr>
        <w:t>ed</w:t>
      </w:r>
      <w:r w:rsidRPr="0008664F">
        <w:rPr>
          <w:sz w:val="22"/>
          <w:szCs w:val="22"/>
        </w:rPr>
        <w:t xml:space="preserve"> o</w:t>
      </w:r>
      <w:r w:rsidR="000B7833" w:rsidRPr="0008664F">
        <w:rPr>
          <w:sz w:val="22"/>
          <w:szCs w:val="22"/>
        </w:rPr>
        <w:t>n</w:t>
      </w:r>
      <w:r w:rsidRPr="0008664F">
        <w:rPr>
          <w:sz w:val="22"/>
          <w:szCs w:val="22"/>
        </w:rPr>
        <w:t xml:space="preserve"> TTB F</w:t>
      </w:r>
      <w:r w:rsidR="000B7833" w:rsidRPr="0008664F">
        <w:rPr>
          <w:sz w:val="22"/>
          <w:szCs w:val="22"/>
        </w:rPr>
        <w:t> </w:t>
      </w:r>
      <w:r w:rsidRPr="0008664F">
        <w:rPr>
          <w:sz w:val="22"/>
          <w:szCs w:val="22"/>
        </w:rPr>
        <w:t xml:space="preserve">5250.2.  Commenters also suggested that the reporting deadline for the form be extended beyond the close of business the day after the transfer.  </w:t>
      </w:r>
      <w:r w:rsidR="003574BF" w:rsidRPr="0008664F">
        <w:rPr>
          <w:sz w:val="22"/>
          <w:szCs w:val="22"/>
        </w:rPr>
        <w:t>Under t</w:t>
      </w:r>
      <w:r w:rsidRPr="0008664F">
        <w:rPr>
          <w:sz w:val="22"/>
          <w:szCs w:val="22"/>
        </w:rPr>
        <w:t>he final rule</w:t>
      </w:r>
      <w:r w:rsidR="003574BF" w:rsidRPr="0008664F">
        <w:rPr>
          <w:sz w:val="22"/>
          <w:szCs w:val="22"/>
        </w:rPr>
        <w:t>,</w:t>
      </w:r>
      <w:r w:rsidRPr="0008664F">
        <w:rPr>
          <w:sz w:val="22"/>
          <w:szCs w:val="22"/>
        </w:rPr>
        <w:t xml:space="preserve"> </w:t>
      </w:r>
      <w:r w:rsidR="00FA061C" w:rsidRPr="0008664F">
        <w:rPr>
          <w:sz w:val="22"/>
          <w:szCs w:val="22"/>
        </w:rPr>
        <w:t xml:space="preserve">manufacturers and importers may remove </w:t>
      </w:r>
      <w:r w:rsidR="00D420B8" w:rsidRPr="0008664F">
        <w:rPr>
          <w:sz w:val="22"/>
          <w:szCs w:val="22"/>
        </w:rPr>
        <w:t xml:space="preserve">processed tobacco </w:t>
      </w:r>
      <w:r w:rsidR="00401EEA" w:rsidRPr="0008664F">
        <w:rPr>
          <w:sz w:val="22"/>
          <w:szCs w:val="22"/>
        </w:rPr>
        <w:t xml:space="preserve">to non-permit holders for </w:t>
      </w:r>
      <w:r w:rsidRPr="0008664F">
        <w:rPr>
          <w:sz w:val="22"/>
          <w:szCs w:val="22"/>
        </w:rPr>
        <w:t xml:space="preserve">certain </w:t>
      </w:r>
      <w:r w:rsidR="003574BF" w:rsidRPr="0008664F">
        <w:rPr>
          <w:sz w:val="22"/>
          <w:szCs w:val="22"/>
        </w:rPr>
        <w:t xml:space="preserve">purposes such as scientific testing or testing of equipment </w:t>
      </w:r>
      <w:r w:rsidR="00D420B8" w:rsidRPr="0008664F">
        <w:rPr>
          <w:sz w:val="22"/>
          <w:szCs w:val="22"/>
        </w:rPr>
        <w:t>without</w:t>
      </w:r>
      <w:r w:rsidRPr="0008664F">
        <w:rPr>
          <w:sz w:val="22"/>
          <w:szCs w:val="22"/>
        </w:rPr>
        <w:t xml:space="preserve"> </w:t>
      </w:r>
      <w:r w:rsidR="00D420B8" w:rsidRPr="0008664F">
        <w:rPr>
          <w:sz w:val="22"/>
          <w:szCs w:val="22"/>
        </w:rPr>
        <w:t xml:space="preserve">having to </w:t>
      </w:r>
      <w:r w:rsidRPr="0008664F">
        <w:rPr>
          <w:sz w:val="22"/>
          <w:szCs w:val="22"/>
        </w:rPr>
        <w:t xml:space="preserve">report </w:t>
      </w:r>
      <w:r w:rsidR="00D420B8" w:rsidRPr="0008664F">
        <w:rPr>
          <w:sz w:val="22"/>
          <w:szCs w:val="22"/>
        </w:rPr>
        <w:t xml:space="preserve">the removal </w:t>
      </w:r>
      <w:r w:rsidRPr="0008664F">
        <w:rPr>
          <w:sz w:val="22"/>
          <w:szCs w:val="22"/>
        </w:rPr>
        <w:t xml:space="preserve">on </w:t>
      </w:r>
      <w:r w:rsidR="003574BF" w:rsidRPr="0008664F">
        <w:rPr>
          <w:sz w:val="22"/>
          <w:szCs w:val="22"/>
        </w:rPr>
        <w:t>TTB F 5250.2</w:t>
      </w:r>
      <w:r w:rsidRPr="0008664F">
        <w:rPr>
          <w:sz w:val="22"/>
          <w:szCs w:val="22"/>
        </w:rPr>
        <w:t xml:space="preserve">.  In addition, </w:t>
      </w:r>
      <w:r w:rsidR="003574BF" w:rsidRPr="0008664F">
        <w:rPr>
          <w:sz w:val="22"/>
          <w:szCs w:val="22"/>
        </w:rPr>
        <w:t>under the final rule, manufacturers and importers may</w:t>
      </w:r>
      <w:r w:rsidRPr="0008664F">
        <w:rPr>
          <w:sz w:val="22"/>
          <w:szCs w:val="22"/>
        </w:rPr>
        <w:t xml:space="preserve"> apply for and obtain authorization to report removals</w:t>
      </w:r>
      <w:r w:rsidR="00D420B8" w:rsidRPr="0008664F">
        <w:rPr>
          <w:sz w:val="22"/>
          <w:szCs w:val="22"/>
        </w:rPr>
        <w:t xml:space="preserve"> of processed tobacco for export</w:t>
      </w:r>
      <w:r w:rsidRPr="0008664F">
        <w:rPr>
          <w:sz w:val="22"/>
          <w:szCs w:val="22"/>
        </w:rPr>
        <w:t xml:space="preserve"> in a monthly summary, and in a format approved by TTB, rather than </w:t>
      </w:r>
      <w:r w:rsidR="003574BF" w:rsidRPr="0008664F">
        <w:rPr>
          <w:sz w:val="22"/>
          <w:szCs w:val="22"/>
        </w:rPr>
        <w:t>filing</w:t>
      </w:r>
      <w:r w:rsidRPr="0008664F">
        <w:rPr>
          <w:sz w:val="22"/>
          <w:szCs w:val="22"/>
        </w:rPr>
        <w:t xml:space="preserve"> TTB F 5250.2</w:t>
      </w:r>
      <w:r w:rsidR="003574BF" w:rsidRPr="0008664F">
        <w:rPr>
          <w:sz w:val="22"/>
          <w:szCs w:val="22"/>
        </w:rPr>
        <w:t xml:space="preserve"> each time they make such removals</w:t>
      </w:r>
      <w:r w:rsidRPr="0008664F">
        <w:rPr>
          <w:sz w:val="22"/>
          <w:szCs w:val="22"/>
        </w:rPr>
        <w:t>.  TTB states in the final rule that it w</w:t>
      </w:r>
      <w:r w:rsidR="003574BF" w:rsidRPr="0008664F">
        <w:rPr>
          <w:sz w:val="22"/>
          <w:szCs w:val="22"/>
        </w:rPr>
        <w:t>ill</w:t>
      </w:r>
      <w:r w:rsidRPr="0008664F">
        <w:rPr>
          <w:sz w:val="22"/>
          <w:szCs w:val="22"/>
        </w:rPr>
        <w:t xml:space="preserve"> not otherwise delay the reporting required on the form because the timely collection of this information is an important enforcement tool.</w:t>
      </w:r>
    </w:p>
    <w:p w14:paraId="1BC70622" w14:textId="77777777" w:rsidR="001E3405" w:rsidRPr="0008664F" w:rsidRDefault="001E3405" w:rsidP="001E3405">
      <w:pPr>
        <w:rPr>
          <w:sz w:val="22"/>
          <w:szCs w:val="22"/>
        </w:rPr>
      </w:pPr>
    </w:p>
    <w:p w14:paraId="3D42F555" w14:textId="1B4D012C" w:rsidR="001E3405" w:rsidRPr="0008664F" w:rsidRDefault="001E3405" w:rsidP="001E3405">
      <w:pPr>
        <w:rPr>
          <w:sz w:val="22"/>
          <w:szCs w:val="22"/>
        </w:rPr>
      </w:pPr>
      <w:r w:rsidRPr="0008664F">
        <w:rPr>
          <w:sz w:val="22"/>
          <w:szCs w:val="22"/>
        </w:rPr>
        <w:t xml:space="preserve">Commenters also requested that TTB remove </w:t>
      </w:r>
      <w:r w:rsidR="003574BF" w:rsidRPr="0008664F">
        <w:rPr>
          <w:sz w:val="22"/>
          <w:szCs w:val="22"/>
        </w:rPr>
        <w:t>a</w:t>
      </w:r>
      <w:r w:rsidRPr="0008664F">
        <w:rPr>
          <w:sz w:val="22"/>
          <w:szCs w:val="22"/>
        </w:rPr>
        <w:t xml:space="preserve"> requirement for information about the person picking up the processed tobacco for delivery.  </w:t>
      </w:r>
      <w:r w:rsidR="003574BF" w:rsidRPr="0008664F">
        <w:rPr>
          <w:sz w:val="22"/>
          <w:szCs w:val="22"/>
        </w:rPr>
        <w:t>In t</w:t>
      </w:r>
      <w:r w:rsidRPr="0008664F">
        <w:rPr>
          <w:sz w:val="22"/>
          <w:szCs w:val="22"/>
        </w:rPr>
        <w:t>he final rule</w:t>
      </w:r>
      <w:r w:rsidR="00985D38" w:rsidRPr="0008664F">
        <w:rPr>
          <w:sz w:val="22"/>
          <w:szCs w:val="22"/>
        </w:rPr>
        <w:t>, TTB</w:t>
      </w:r>
      <w:r w:rsidRPr="0008664F">
        <w:rPr>
          <w:sz w:val="22"/>
          <w:szCs w:val="22"/>
        </w:rPr>
        <w:t xml:space="preserve"> explains that </w:t>
      </w:r>
      <w:r w:rsidR="00985D38" w:rsidRPr="0008664F">
        <w:rPr>
          <w:sz w:val="22"/>
          <w:szCs w:val="22"/>
        </w:rPr>
        <w:t>it</w:t>
      </w:r>
      <w:r w:rsidRPr="0008664F">
        <w:rPr>
          <w:sz w:val="22"/>
          <w:szCs w:val="22"/>
        </w:rPr>
        <w:t xml:space="preserve"> finds this information effective in tracking processed tobacco and preventing diversion to illegal manufacturers, but the final rule does amend the regulations to clarify that</w:t>
      </w:r>
      <w:r w:rsidR="00FE284E" w:rsidRPr="0008664F">
        <w:rPr>
          <w:sz w:val="22"/>
          <w:szCs w:val="22"/>
        </w:rPr>
        <w:t>,</w:t>
      </w:r>
      <w:r w:rsidRPr="0008664F">
        <w:rPr>
          <w:sz w:val="22"/>
          <w:szCs w:val="22"/>
        </w:rPr>
        <w:t xml:space="preserve"> where an address is required, a business address</w:t>
      </w:r>
      <w:r w:rsidR="0094748A">
        <w:rPr>
          <w:sz w:val="22"/>
          <w:szCs w:val="22"/>
        </w:rPr>
        <w:t>, rather than a person</w:t>
      </w:r>
      <w:r w:rsidR="00055157">
        <w:rPr>
          <w:sz w:val="22"/>
          <w:szCs w:val="22"/>
        </w:rPr>
        <w:t>al</w:t>
      </w:r>
      <w:r w:rsidR="0094748A">
        <w:rPr>
          <w:sz w:val="22"/>
          <w:szCs w:val="22"/>
        </w:rPr>
        <w:t xml:space="preserve"> address, </w:t>
      </w:r>
      <w:r w:rsidRPr="0008664F">
        <w:rPr>
          <w:sz w:val="22"/>
          <w:szCs w:val="22"/>
        </w:rPr>
        <w:t>should be provided.</w:t>
      </w:r>
      <w:r w:rsidR="0094748A">
        <w:rPr>
          <w:sz w:val="22"/>
          <w:szCs w:val="22"/>
        </w:rPr>
        <w:t xml:space="preserve">  The final rule also provided an alternate method for retaining the type of information in question where a shipment is by common carrier.</w:t>
      </w:r>
    </w:p>
    <w:p w14:paraId="4CCA9372" w14:textId="77777777" w:rsidR="00C51427" w:rsidRPr="0008664F" w:rsidRDefault="00C51427" w:rsidP="001E3405">
      <w:pPr>
        <w:rPr>
          <w:sz w:val="22"/>
          <w:szCs w:val="22"/>
        </w:rPr>
      </w:pPr>
    </w:p>
    <w:p w14:paraId="128766E4" w14:textId="77777777" w:rsidR="00D90BF2" w:rsidRPr="0008664F" w:rsidRDefault="00D90BF2" w:rsidP="00D90BF2">
      <w:pPr>
        <w:widowControl/>
        <w:autoSpaceDE/>
        <w:autoSpaceDN/>
        <w:adjustRightInd/>
        <w:rPr>
          <w:sz w:val="22"/>
          <w:szCs w:val="22"/>
        </w:rPr>
      </w:pPr>
      <w:r w:rsidRPr="0008664F">
        <w:rPr>
          <w:sz w:val="22"/>
          <w:szCs w:val="22"/>
        </w:rPr>
        <w:t xml:space="preserve">TTB published a 60-day Federal Register notice </w:t>
      </w:r>
      <w:r w:rsidR="00946FC8" w:rsidRPr="0008664F">
        <w:rPr>
          <w:sz w:val="22"/>
          <w:szCs w:val="22"/>
        </w:rPr>
        <w:t xml:space="preserve">(79 FR </w:t>
      </w:r>
      <w:r w:rsidR="00946FC8" w:rsidRPr="0008664F">
        <w:rPr>
          <w:bCs/>
          <w:sz w:val="22"/>
          <w:szCs w:val="22"/>
        </w:rPr>
        <w:t xml:space="preserve">20305) </w:t>
      </w:r>
      <w:r w:rsidRPr="0008664F">
        <w:rPr>
          <w:sz w:val="22"/>
          <w:szCs w:val="22"/>
        </w:rPr>
        <w:t>on Friday, April 11</w:t>
      </w:r>
      <w:r w:rsidR="00946FC8">
        <w:rPr>
          <w:sz w:val="22"/>
          <w:szCs w:val="22"/>
        </w:rPr>
        <w:t xml:space="preserve">, </w:t>
      </w:r>
      <w:r w:rsidRPr="0008664F">
        <w:rPr>
          <w:sz w:val="22"/>
          <w:szCs w:val="22"/>
        </w:rPr>
        <w:t xml:space="preserve">2014 </w:t>
      </w:r>
      <w:r w:rsidR="00946FC8" w:rsidRPr="0008664F">
        <w:rPr>
          <w:sz w:val="22"/>
          <w:szCs w:val="22"/>
        </w:rPr>
        <w:t xml:space="preserve">for </w:t>
      </w:r>
      <w:r w:rsidR="00946FC8">
        <w:rPr>
          <w:sz w:val="22"/>
          <w:szCs w:val="22"/>
        </w:rPr>
        <w:t xml:space="preserve">the renewal of </w:t>
      </w:r>
      <w:r w:rsidR="00946FC8" w:rsidRPr="0008664F">
        <w:rPr>
          <w:sz w:val="22"/>
          <w:szCs w:val="22"/>
        </w:rPr>
        <w:t>this information collection</w:t>
      </w:r>
      <w:r w:rsidRPr="0008664F">
        <w:rPr>
          <w:sz w:val="22"/>
          <w:szCs w:val="22"/>
        </w:rPr>
        <w:t>.  The notice solicited comments from the general public.  TTB received no comments.</w:t>
      </w:r>
    </w:p>
    <w:p w14:paraId="6F82F092" w14:textId="77777777" w:rsidR="00D90BF2" w:rsidRPr="0008664F" w:rsidRDefault="00D90BF2" w:rsidP="001342AE">
      <w:pPr>
        <w:tabs>
          <w:tab w:val="left" w:pos="576"/>
          <w:tab w:val="left" w:pos="1296"/>
          <w:tab w:val="left" w:pos="2016"/>
          <w:tab w:val="left" w:pos="2736"/>
          <w:tab w:val="left" w:pos="8496"/>
        </w:tabs>
        <w:suppressAutoHyphens/>
        <w:spacing w:line="240" w:lineRule="atLeast"/>
        <w:rPr>
          <w:sz w:val="22"/>
          <w:szCs w:val="22"/>
        </w:rPr>
      </w:pPr>
    </w:p>
    <w:p w14:paraId="0D5416A4" w14:textId="77777777" w:rsidR="001342AE" w:rsidRPr="0008664F" w:rsidRDefault="001342AE" w:rsidP="001342AE">
      <w:pPr>
        <w:tabs>
          <w:tab w:val="left" w:pos="576"/>
          <w:tab w:val="left" w:pos="1296"/>
          <w:tab w:val="left" w:pos="2016"/>
          <w:tab w:val="left" w:pos="2736"/>
          <w:tab w:val="left" w:pos="8496"/>
        </w:tabs>
        <w:suppressAutoHyphens/>
        <w:spacing w:line="240" w:lineRule="atLeast"/>
        <w:rPr>
          <w:sz w:val="22"/>
          <w:szCs w:val="22"/>
        </w:rPr>
      </w:pPr>
      <w:r w:rsidRPr="0008664F">
        <w:rPr>
          <w:sz w:val="22"/>
          <w:szCs w:val="22"/>
        </w:rPr>
        <w:t>9.</w:t>
      </w:r>
      <w:r w:rsidRPr="0008664F">
        <w:rPr>
          <w:sz w:val="22"/>
          <w:szCs w:val="22"/>
        </w:rPr>
        <w:tab/>
        <w:t xml:space="preserve">What decision was made to provide any payment or gift to respondents, other than </w:t>
      </w:r>
      <w:r w:rsidR="00D90BF2" w:rsidRPr="0008664F">
        <w:rPr>
          <w:sz w:val="22"/>
          <w:szCs w:val="22"/>
        </w:rPr>
        <w:t>remuneration</w:t>
      </w:r>
      <w:r w:rsidRPr="0008664F">
        <w:rPr>
          <w:sz w:val="22"/>
          <w:szCs w:val="22"/>
        </w:rPr>
        <w:t xml:space="preserve"> of contractors or grantees?</w:t>
      </w:r>
    </w:p>
    <w:p w14:paraId="6DF53FF5" w14:textId="77777777" w:rsidR="001342AE" w:rsidRPr="0008664F" w:rsidRDefault="001342AE" w:rsidP="001342AE">
      <w:pPr>
        <w:tabs>
          <w:tab w:val="left" w:pos="576"/>
          <w:tab w:val="left" w:pos="1296"/>
          <w:tab w:val="left" w:pos="2016"/>
          <w:tab w:val="left" w:pos="2736"/>
          <w:tab w:val="left" w:pos="8496"/>
        </w:tabs>
        <w:suppressAutoHyphens/>
        <w:spacing w:line="240" w:lineRule="atLeast"/>
        <w:rPr>
          <w:sz w:val="22"/>
          <w:szCs w:val="22"/>
        </w:rPr>
      </w:pPr>
    </w:p>
    <w:p w14:paraId="74A3848D" w14:textId="77777777" w:rsidR="001342AE" w:rsidRPr="0008664F" w:rsidRDefault="001342AE" w:rsidP="001342AE">
      <w:pPr>
        <w:pStyle w:val="BodyTextIndent2"/>
        <w:ind w:firstLine="0"/>
        <w:rPr>
          <w:rFonts w:ascii="Arial" w:hAnsi="Arial" w:cs="Arial"/>
          <w:sz w:val="22"/>
          <w:szCs w:val="22"/>
        </w:rPr>
      </w:pPr>
      <w:r w:rsidRPr="0008664F">
        <w:rPr>
          <w:rFonts w:ascii="Arial" w:hAnsi="Arial" w:cs="Arial"/>
          <w:sz w:val="22"/>
          <w:szCs w:val="22"/>
        </w:rPr>
        <w:t>No payment or gift is associated with this collection.</w:t>
      </w:r>
    </w:p>
    <w:p w14:paraId="4020FA4D" w14:textId="77777777" w:rsidR="00BD2944" w:rsidRPr="0008664F" w:rsidRDefault="00BD2944" w:rsidP="00BD2944">
      <w:pPr>
        <w:tabs>
          <w:tab w:val="left" w:pos="576"/>
          <w:tab w:val="left" w:pos="1296"/>
          <w:tab w:val="left" w:pos="2016"/>
          <w:tab w:val="left" w:pos="2736"/>
          <w:tab w:val="left" w:pos="8496"/>
        </w:tabs>
        <w:suppressAutoHyphens/>
        <w:spacing w:line="240" w:lineRule="atLeast"/>
        <w:rPr>
          <w:sz w:val="22"/>
          <w:szCs w:val="22"/>
        </w:rPr>
      </w:pPr>
      <w:r w:rsidRPr="0008664F">
        <w:rPr>
          <w:sz w:val="22"/>
          <w:szCs w:val="22"/>
        </w:rPr>
        <w:t>10.</w:t>
      </w:r>
      <w:r w:rsidRPr="0008664F">
        <w:rPr>
          <w:sz w:val="22"/>
          <w:szCs w:val="22"/>
        </w:rPr>
        <w:tab/>
        <w:t>What assurance of confidentiality was provided to respondents and what was the basis for the assurance in statute, regulations, or agency policy?</w:t>
      </w:r>
    </w:p>
    <w:p w14:paraId="4C2F3729" w14:textId="77777777" w:rsidR="00BD2944" w:rsidRPr="0008664F" w:rsidRDefault="00BD2944" w:rsidP="00BD2944">
      <w:pPr>
        <w:rPr>
          <w:sz w:val="22"/>
          <w:szCs w:val="22"/>
        </w:rPr>
      </w:pPr>
    </w:p>
    <w:p w14:paraId="4A63FBE8" w14:textId="77777777" w:rsidR="000E57EE" w:rsidRPr="0008664F" w:rsidRDefault="000E57EE" w:rsidP="000E57EE">
      <w:pPr>
        <w:pStyle w:val="PlainText"/>
        <w:rPr>
          <w:rFonts w:ascii="Arial" w:hAnsi="Arial" w:cs="Arial"/>
          <w:sz w:val="22"/>
          <w:szCs w:val="22"/>
        </w:rPr>
      </w:pPr>
      <w:r w:rsidRPr="0008664F">
        <w:rPr>
          <w:rFonts w:ascii="Arial" w:hAnsi="Arial" w:cs="Arial"/>
          <w:sz w:val="22"/>
          <w:szCs w:val="22"/>
        </w:rPr>
        <w:t xml:space="preserve">No specific assurance of confidentiality is provided; however, TTB protects the confidentiality of tax information under 26 U.S.C. 6103. </w:t>
      </w:r>
    </w:p>
    <w:p w14:paraId="78C3CF37" w14:textId="77777777" w:rsidR="000E57EE" w:rsidRPr="0008664F" w:rsidRDefault="000E57EE" w:rsidP="001342AE">
      <w:pPr>
        <w:rPr>
          <w:sz w:val="22"/>
          <w:szCs w:val="22"/>
        </w:rPr>
      </w:pPr>
    </w:p>
    <w:p w14:paraId="0AF16C51" w14:textId="4CC9862E" w:rsidR="00D90BF2" w:rsidRPr="0008664F" w:rsidRDefault="001342AE" w:rsidP="00D90BF2">
      <w:pPr>
        <w:rPr>
          <w:snapToGrid w:val="0"/>
          <w:sz w:val="22"/>
          <w:szCs w:val="22"/>
        </w:rPr>
      </w:pPr>
      <w:r w:rsidRPr="0008664F">
        <w:rPr>
          <w:sz w:val="22"/>
          <w:szCs w:val="22"/>
        </w:rPr>
        <w:t>11.</w:t>
      </w:r>
      <w:r w:rsidR="00D90BF2" w:rsidRPr="0008664F">
        <w:rPr>
          <w:sz w:val="22"/>
          <w:szCs w:val="22"/>
        </w:rPr>
        <w:t xml:space="preserve">   </w:t>
      </w:r>
      <w:r w:rsidR="00D90BF2" w:rsidRPr="0008664F">
        <w:rPr>
          <w:snapToGrid w:val="0"/>
          <w:sz w:val="22"/>
          <w:szCs w:val="22"/>
        </w:rPr>
        <w:t>What justification is there for questions of a sensitive nature?</w:t>
      </w:r>
      <w:r w:rsidR="00CD6E0B">
        <w:rPr>
          <w:sz w:val="22"/>
          <w:szCs w:val="22"/>
        </w:rPr>
        <w:t xml:space="preserve">  If personal</w:t>
      </w:r>
      <w:r w:rsidR="00D90BF2" w:rsidRPr="0008664F">
        <w:rPr>
          <w:sz w:val="22"/>
          <w:szCs w:val="22"/>
        </w:rPr>
        <w:t xml:space="preserve"> identifiable information (PII) is being collected in an electronic system, identify the Privacy Impact Assessment (PIA) that has been conducted for the information collected under this request and/or Privacy Act System of Records notice (SORN) that has been issued for the electronic system in which the PII is being stored.  </w:t>
      </w:r>
    </w:p>
    <w:p w14:paraId="6AD51226" w14:textId="77777777" w:rsidR="00D90BF2" w:rsidRPr="0008664F" w:rsidRDefault="00D90BF2" w:rsidP="00D90BF2">
      <w:pPr>
        <w:widowControl/>
        <w:tabs>
          <w:tab w:val="left" w:pos="576"/>
          <w:tab w:val="left" w:pos="1584"/>
          <w:tab w:val="left" w:pos="2304"/>
          <w:tab w:val="left" w:pos="3024"/>
        </w:tabs>
        <w:autoSpaceDE/>
        <w:autoSpaceDN/>
        <w:adjustRightInd/>
        <w:rPr>
          <w:sz w:val="22"/>
          <w:szCs w:val="22"/>
        </w:rPr>
      </w:pPr>
    </w:p>
    <w:p w14:paraId="0B263AE3" w14:textId="77777777" w:rsidR="00D90BF2" w:rsidRPr="0008664F" w:rsidRDefault="00D90BF2" w:rsidP="00D90BF2">
      <w:pPr>
        <w:widowControl/>
        <w:tabs>
          <w:tab w:val="left" w:pos="576"/>
          <w:tab w:val="left" w:pos="1584"/>
          <w:tab w:val="left" w:pos="2304"/>
          <w:tab w:val="left" w:pos="3024"/>
        </w:tabs>
        <w:autoSpaceDE/>
        <w:autoSpaceDN/>
        <w:adjustRightInd/>
        <w:rPr>
          <w:sz w:val="22"/>
          <w:szCs w:val="22"/>
        </w:rPr>
      </w:pPr>
      <w:r w:rsidRPr="0008664F">
        <w:rPr>
          <w:sz w:val="22"/>
          <w:szCs w:val="22"/>
        </w:rPr>
        <w:t>We ask no questions of a sensitive nature. This collection is not associated with a PIA or SORN.</w:t>
      </w:r>
    </w:p>
    <w:p w14:paraId="54ADCC56" w14:textId="77777777" w:rsidR="00D90BF2" w:rsidRPr="0008664F" w:rsidRDefault="00D90BF2" w:rsidP="00D90BF2">
      <w:pPr>
        <w:autoSpaceDE/>
        <w:autoSpaceDN/>
        <w:adjustRightInd/>
        <w:rPr>
          <w:snapToGrid w:val="0"/>
          <w:sz w:val="22"/>
          <w:szCs w:val="22"/>
        </w:rPr>
      </w:pPr>
    </w:p>
    <w:p w14:paraId="2A84F016" w14:textId="0982AEEB" w:rsidR="001342AE" w:rsidRPr="0008664F" w:rsidRDefault="0056763A" w:rsidP="00D90BF2">
      <w:pPr>
        <w:rPr>
          <w:sz w:val="22"/>
          <w:szCs w:val="22"/>
        </w:rPr>
      </w:pPr>
      <w:r>
        <w:rPr>
          <w:sz w:val="22"/>
          <w:szCs w:val="22"/>
        </w:rPr>
        <w:br w:type="page"/>
      </w:r>
      <w:r w:rsidR="001342AE" w:rsidRPr="0008664F">
        <w:rPr>
          <w:sz w:val="22"/>
          <w:szCs w:val="22"/>
        </w:rPr>
        <w:lastRenderedPageBreak/>
        <w:t>12.</w:t>
      </w:r>
      <w:r w:rsidR="001342AE" w:rsidRPr="0008664F">
        <w:rPr>
          <w:sz w:val="22"/>
          <w:szCs w:val="22"/>
        </w:rPr>
        <w:tab/>
        <w:t>What is the estimated hour burden of this collection of information?</w:t>
      </w:r>
    </w:p>
    <w:p w14:paraId="48FB4499" w14:textId="77777777" w:rsidR="008811EC" w:rsidRPr="0008664F" w:rsidRDefault="008811EC" w:rsidP="001342AE">
      <w:pPr>
        <w:rPr>
          <w:sz w:val="22"/>
          <w:szCs w:val="22"/>
        </w:rPr>
      </w:pPr>
    </w:p>
    <w:p w14:paraId="6A837BCB" w14:textId="674025B2" w:rsidR="0053545E" w:rsidRPr="0008664F" w:rsidRDefault="0053545E" w:rsidP="00284D3A">
      <w:pPr>
        <w:rPr>
          <w:sz w:val="22"/>
          <w:szCs w:val="22"/>
        </w:rPr>
      </w:pPr>
      <w:r w:rsidRPr="0008664F">
        <w:rPr>
          <w:sz w:val="22"/>
          <w:szCs w:val="22"/>
        </w:rPr>
        <w:t>TTB estimates that 800 respondents would be required to prepare and submit reports.  Thus, the reporting burden is calculated as follows</w:t>
      </w:r>
      <w:r w:rsidR="00516180">
        <w:rPr>
          <w:sz w:val="22"/>
          <w:szCs w:val="22"/>
        </w:rPr>
        <w:t>:</w:t>
      </w:r>
    </w:p>
    <w:p w14:paraId="5D30ED31" w14:textId="77777777" w:rsidR="0056763A" w:rsidRDefault="0056763A" w:rsidP="0056763A">
      <w:pPr>
        <w:rPr>
          <w:sz w:val="22"/>
          <w:szCs w:val="22"/>
        </w:rPr>
      </w:pPr>
    </w:p>
    <w:p w14:paraId="6223421F" w14:textId="757D263D" w:rsidR="0053545E" w:rsidRPr="0008664F" w:rsidRDefault="0053545E" w:rsidP="0056763A">
      <w:pPr>
        <w:ind w:firstLine="360"/>
        <w:rPr>
          <w:sz w:val="22"/>
          <w:szCs w:val="22"/>
        </w:rPr>
      </w:pPr>
      <w:r w:rsidRPr="0008664F">
        <w:rPr>
          <w:sz w:val="22"/>
          <w:szCs w:val="22"/>
        </w:rPr>
        <w:t xml:space="preserve">800 respondents x 6 responses per respondent = 4,800 responses  </w:t>
      </w:r>
    </w:p>
    <w:p w14:paraId="7DAC95B8" w14:textId="77777777" w:rsidR="0053545E" w:rsidRPr="0008664F" w:rsidRDefault="0053545E" w:rsidP="0053545E">
      <w:pPr>
        <w:ind w:left="360"/>
        <w:rPr>
          <w:sz w:val="22"/>
          <w:szCs w:val="22"/>
        </w:rPr>
      </w:pPr>
      <w:r w:rsidRPr="0008664F">
        <w:rPr>
          <w:sz w:val="22"/>
          <w:szCs w:val="22"/>
        </w:rPr>
        <w:t>                  @ .50 hour per response = 2,400 hours</w:t>
      </w:r>
    </w:p>
    <w:p w14:paraId="60F8BAB7" w14:textId="77777777" w:rsidR="0053545E" w:rsidRPr="0008664F" w:rsidRDefault="0053545E" w:rsidP="0053545E">
      <w:pPr>
        <w:ind w:left="360"/>
        <w:rPr>
          <w:sz w:val="22"/>
          <w:szCs w:val="22"/>
        </w:rPr>
      </w:pPr>
    </w:p>
    <w:p w14:paraId="411FD685" w14:textId="77777777" w:rsidR="0053545E" w:rsidRPr="0008664F" w:rsidRDefault="0053545E" w:rsidP="0053545E">
      <w:pPr>
        <w:spacing w:line="240" w:lineRule="atLeast"/>
        <w:ind w:left="360"/>
        <w:rPr>
          <w:sz w:val="22"/>
          <w:szCs w:val="22"/>
        </w:rPr>
      </w:pPr>
      <w:r w:rsidRPr="0008664F">
        <w:rPr>
          <w:sz w:val="22"/>
          <w:szCs w:val="22"/>
        </w:rPr>
        <w:t>Total Burden Hours = 2,400</w:t>
      </w:r>
    </w:p>
    <w:p w14:paraId="7F43B05E" w14:textId="77777777" w:rsidR="00055157" w:rsidRDefault="00055157" w:rsidP="005448D9">
      <w:pPr>
        <w:tabs>
          <w:tab w:val="left" w:pos="480"/>
          <w:tab w:val="left" w:pos="1080"/>
          <w:tab w:val="left" w:pos="3480"/>
        </w:tabs>
        <w:suppressAutoHyphens/>
        <w:spacing w:line="240" w:lineRule="atLeast"/>
        <w:rPr>
          <w:sz w:val="22"/>
          <w:szCs w:val="22"/>
        </w:rPr>
      </w:pPr>
    </w:p>
    <w:p w14:paraId="311ADD8A" w14:textId="77777777" w:rsidR="00E943DE" w:rsidRDefault="001342AE" w:rsidP="00E943DE">
      <w:pPr>
        <w:tabs>
          <w:tab w:val="left" w:pos="480"/>
          <w:tab w:val="left" w:pos="1080"/>
          <w:tab w:val="left" w:pos="3480"/>
        </w:tabs>
        <w:suppressAutoHyphens/>
        <w:spacing w:line="240" w:lineRule="atLeast"/>
        <w:ind w:left="480" w:hanging="480"/>
        <w:rPr>
          <w:sz w:val="22"/>
          <w:szCs w:val="22"/>
        </w:rPr>
      </w:pPr>
      <w:r w:rsidRPr="0008664F">
        <w:rPr>
          <w:sz w:val="22"/>
          <w:szCs w:val="22"/>
        </w:rPr>
        <w:t xml:space="preserve">13.     What is the estimated total annual cost burden </w:t>
      </w:r>
      <w:r w:rsidR="0056763A">
        <w:rPr>
          <w:sz w:val="22"/>
          <w:szCs w:val="22"/>
        </w:rPr>
        <w:t xml:space="preserve">to respondents or </w:t>
      </w:r>
      <w:proofErr w:type="spellStart"/>
      <w:proofErr w:type="gramStart"/>
      <w:r w:rsidR="0056763A">
        <w:rPr>
          <w:sz w:val="22"/>
          <w:szCs w:val="22"/>
        </w:rPr>
        <w:t>recordkeepers</w:t>
      </w:r>
      <w:proofErr w:type="gramEnd"/>
    </w:p>
    <w:p w14:paraId="231E01E2" w14:textId="6EB1CE92" w:rsidR="001342AE" w:rsidRPr="0008664F" w:rsidRDefault="001342AE" w:rsidP="00E943DE">
      <w:pPr>
        <w:tabs>
          <w:tab w:val="left" w:pos="480"/>
          <w:tab w:val="left" w:pos="1080"/>
          <w:tab w:val="left" w:pos="3480"/>
        </w:tabs>
        <w:suppressAutoHyphens/>
        <w:spacing w:line="240" w:lineRule="atLeast"/>
        <w:rPr>
          <w:sz w:val="22"/>
          <w:szCs w:val="22"/>
        </w:rPr>
      </w:pPr>
      <w:proofErr w:type="spellEnd"/>
      <w:proofErr w:type="gramStart"/>
      <w:r w:rsidRPr="0008664F">
        <w:rPr>
          <w:sz w:val="22"/>
          <w:szCs w:val="22"/>
        </w:rPr>
        <w:t>resulting</w:t>
      </w:r>
      <w:proofErr w:type="gramEnd"/>
      <w:r w:rsidRPr="0008664F">
        <w:rPr>
          <w:sz w:val="22"/>
          <w:szCs w:val="22"/>
        </w:rPr>
        <w:t xml:space="preserve"> from this collection of information</w:t>
      </w:r>
      <w:r w:rsidR="0056763A" w:rsidRPr="0026134B">
        <w:rPr>
          <w:sz w:val="22"/>
          <w:szCs w:val="22"/>
        </w:rPr>
        <w:t>(excluding the value of the burden hours in Question 12 above</w:t>
      </w:r>
      <w:r w:rsidRPr="0008664F">
        <w:rPr>
          <w:sz w:val="22"/>
          <w:szCs w:val="22"/>
        </w:rPr>
        <w:t>?</w:t>
      </w:r>
    </w:p>
    <w:p w14:paraId="513B0069" w14:textId="77777777" w:rsidR="001342AE" w:rsidRPr="0008664F" w:rsidRDefault="001342AE" w:rsidP="001342AE">
      <w:pPr>
        <w:tabs>
          <w:tab w:val="left" w:pos="480"/>
          <w:tab w:val="left" w:pos="1080"/>
          <w:tab w:val="left" w:pos="3480"/>
        </w:tabs>
        <w:suppressAutoHyphens/>
        <w:spacing w:line="240" w:lineRule="atLeast"/>
        <w:ind w:left="480" w:hanging="480"/>
        <w:rPr>
          <w:sz w:val="22"/>
          <w:szCs w:val="22"/>
        </w:rPr>
      </w:pPr>
    </w:p>
    <w:p w14:paraId="5F8B96A8" w14:textId="77777777" w:rsidR="00C51427" w:rsidRPr="0008664F" w:rsidRDefault="00C51427" w:rsidP="00C51427">
      <w:pPr>
        <w:rPr>
          <w:sz w:val="22"/>
          <w:szCs w:val="22"/>
        </w:rPr>
      </w:pPr>
      <w:r w:rsidRPr="0008664F">
        <w:rPr>
          <w:sz w:val="22"/>
          <w:szCs w:val="22"/>
        </w:rPr>
        <w:t xml:space="preserve">The total annual cost estimate associated with this paperwork requirement is allocated entirely to operations and maintenance.  Annual costs are allocated as follows: </w:t>
      </w:r>
    </w:p>
    <w:p w14:paraId="091F950F" w14:textId="77777777" w:rsidR="00C51427" w:rsidRPr="0008664F" w:rsidRDefault="00C51427" w:rsidP="00C51427">
      <w:pPr>
        <w:ind w:left="720" w:firstLine="720"/>
        <w:rPr>
          <w:color w:val="0000FF"/>
          <w:sz w:val="22"/>
          <w:szCs w:val="22"/>
        </w:rPr>
      </w:pPr>
    </w:p>
    <w:p w14:paraId="2ADF880F" w14:textId="0AAFEE1A" w:rsidR="00E943DE" w:rsidRDefault="00E943DE" w:rsidP="00E943DE">
      <w:pPr>
        <w:tabs>
          <w:tab w:val="left" w:pos="576"/>
          <w:tab w:val="left" w:pos="2016"/>
        </w:tabs>
        <w:ind w:firstLine="720"/>
        <w:rPr>
          <w:sz w:val="22"/>
          <w:szCs w:val="22"/>
        </w:rPr>
      </w:pPr>
      <w:r>
        <w:rPr>
          <w:sz w:val="22"/>
          <w:szCs w:val="22"/>
        </w:rPr>
        <w:t>Wage</w:t>
      </w:r>
      <w:r>
        <w:rPr>
          <w:sz w:val="22"/>
          <w:szCs w:val="22"/>
        </w:rPr>
        <w:t xml:space="preserve"> $7.25/hour        Preparation 2,4</w:t>
      </w:r>
      <w:r>
        <w:rPr>
          <w:sz w:val="22"/>
          <w:szCs w:val="22"/>
        </w:rPr>
        <w:t xml:space="preserve">00 hours @ $7.25              </w:t>
      </w:r>
      <w:r>
        <w:rPr>
          <w:sz w:val="22"/>
          <w:szCs w:val="22"/>
        </w:rPr>
        <w:t xml:space="preserve">    </w:t>
      </w:r>
      <w:r>
        <w:rPr>
          <w:sz w:val="22"/>
          <w:szCs w:val="22"/>
        </w:rPr>
        <w:t xml:space="preserve"> =</w:t>
      </w:r>
      <w:r>
        <w:rPr>
          <w:sz w:val="22"/>
          <w:szCs w:val="22"/>
        </w:rPr>
        <w:t xml:space="preserve">     $17,4</w:t>
      </w:r>
      <w:r>
        <w:rPr>
          <w:sz w:val="22"/>
          <w:szCs w:val="22"/>
        </w:rPr>
        <w:t>00</w:t>
      </w:r>
    </w:p>
    <w:p w14:paraId="5C73797F" w14:textId="205BD17C" w:rsidR="00E943DE" w:rsidRDefault="00E943DE" w:rsidP="00E943DE">
      <w:pPr>
        <w:tabs>
          <w:tab w:val="left" w:pos="576"/>
          <w:tab w:val="left" w:pos="2016"/>
        </w:tabs>
        <w:ind w:firstLine="720"/>
        <w:rPr>
          <w:sz w:val="22"/>
          <w:szCs w:val="22"/>
        </w:rPr>
      </w:pPr>
      <w:r>
        <w:rPr>
          <w:sz w:val="22"/>
          <w:szCs w:val="22"/>
        </w:rPr>
        <w:t xml:space="preserve">Postage:          </w:t>
      </w:r>
      <w:r>
        <w:rPr>
          <w:sz w:val="22"/>
          <w:szCs w:val="22"/>
        </w:rPr>
        <w:t xml:space="preserve">                               4,8</w:t>
      </w:r>
      <w:r>
        <w:rPr>
          <w:sz w:val="22"/>
          <w:szCs w:val="22"/>
        </w:rPr>
        <w:t xml:space="preserve">00 annual reports @ $0.49 </w:t>
      </w:r>
      <w:r>
        <w:rPr>
          <w:sz w:val="22"/>
          <w:szCs w:val="22"/>
        </w:rPr>
        <w:t xml:space="preserve">    </w:t>
      </w:r>
      <w:r>
        <w:rPr>
          <w:sz w:val="22"/>
          <w:szCs w:val="22"/>
        </w:rPr>
        <w:t>=</w:t>
      </w:r>
      <w:r>
        <w:rPr>
          <w:sz w:val="22"/>
          <w:szCs w:val="22"/>
        </w:rPr>
        <w:t xml:space="preserve">     </w:t>
      </w:r>
      <w:proofErr w:type="gramStart"/>
      <w:r>
        <w:rPr>
          <w:sz w:val="22"/>
          <w:szCs w:val="22"/>
          <w:u w:val="single"/>
        </w:rPr>
        <w:t>$  2</w:t>
      </w:r>
      <w:r>
        <w:rPr>
          <w:sz w:val="22"/>
          <w:szCs w:val="22"/>
          <w:u w:val="single"/>
        </w:rPr>
        <w:t>,</w:t>
      </w:r>
      <w:r>
        <w:rPr>
          <w:sz w:val="22"/>
          <w:szCs w:val="22"/>
          <w:u w:val="single"/>
        </w:rPr>
        <w:t>352</w:t>
      </w:r>
      <w:proofErr w:type="gramEnd"/>
      <w:r>
        <w:rPr>
          <w:sz w:val="22"/>
          <w:szCs w:val="22"/>
        </w:rPr>
        <w:t xml:space="preserve"> </w:t>
      </w:r>
    </w:p>
    <w:p w14:paraId="5508D301" w14:textId="3D216215" w:rsidR="00E943DE" w:rsidRDefault="00E943DE" w:rsidP="00E943DE">
      <w:pPr>
        <w:tabs>
          <w:tab w:val="left" w:pos="576"/>
          <w:tab w:val="left" w:pos="2016"/>
        </w:tabs>
        <w:ind w:firstLine="720"/>
        <w:rPr>
          <w:sz w:val="22"/>
          <w:szCs w:val="22"/>
        </w:rPr>
      </w:pPr>
      <w:r>
        <w:rPr>
          <w:sz w:val="22"/>
          <w:szCs w:val="22"/>
        </w:rPr>
        <w:t xml:space="preserve">Total:                                                                                                 </w:t>
      </w:r>
      <w:r>
        <w:rPr>
          <w:sz w:val="22"/>
          <w:szCs w:val="22"/>
        </w:rPr>
        <w:t xml:space="preserve">         $19,752</w:t>
      </w:r>
      <w:r>
        <w:rPr>
          <w:sz w:val="22"/>
          <w:szCs w:val="22"/>
        </w:rPr>
        <w:t xml:space="preserve"> </w:t>
      </w:r>
    </w:p>
    <w:p w14:paraId="4E93AD59" w14:textId="77777777" w:rsidR="00E943DE" w:rsidRDefault="00E943DE" w:rsidP="00E943DE">
      <w:pPr>
        <w:tabs>
          <w:tab w:val="left" w:pos="576"/>
          <w:tab w:val="left" w:pos="2016"/>
        </w:tabs>
        <w:rPr>
          <w:sz w:val="22"/>
          <w:szCs w:val="22"/>
        </w:rPr>
      </w:pPr>
    </w:p>
    <w:p w14:paraId="41395363" w14:textId="77777777" w:rsidR="001342AE" w:rsidRPr="0008664F" w:rsidRDefault="00E25194" w:rsidP="00C51427">
      <w:pPr>
        <w:tabs>
          <w:tab w:val="left" w:pos="480"/>
          <w:tab w:val="left" w:pos="1080"/>
          <w:tab w:val="left" w:pos="3480"/>
        </w:tabs>
        <w:suppressAutoHyphens/>
        <w:spacing w:line="240" w:lineRule="atLeast"/>
        <w:rPr>
          <w:sz w:val="22"/>
          <w:szCs w:val="22"/>
        </w:rPr>
      </w:pPr>
      <w:bookmarkStart w:id="0" w:name="_GoBack"/>
      <w:bookmarkEnd w:id="0"/>
      <w:r w:rsidRPr="0008664F">
        <w:rPr>
          <w:sz w:val="22"/>
          <w:szCs w:val="22"/>
        </w:rPr>
        <w:t>14</w:t>
      </w:r>
      <w:r w:rsidR="001342AE" w:rsidRPr="0008664F">
        <w:rPr>
          <w:sz w:val="22"/>
          <w:szCs w:val="22"/>
        </w:rPr>
        <w:t>.</w:t>
      </w:r>
      <w:r w:rsidR="001342AE" w:rsidRPr="0008664F">
        <w:rPr>
          <w:sz w:val="22"/>
          <w:szCs w:val="22"/>
        </w:rPr>
        <w:tab/>
        <w:t xml:space="preserve">What is the annualized cost to the Federal </w:t>
      </w:r>
      <w:r w:rsidR="00BB40E0" w:rsidRPr="0008664F">
        <w:rPr>
          <w:sz w:val="22"/>
          <w:szCs w:val="22"/>
        </w:rPr>
        <w:t>G</w:t>
      </w:r>
      <w:r w:rsidR="001342AE" w:rsidRPr="0008664F">
        <w:rPr>
          <w:sz w:val="22"/>
          <w:szCs w:val="22"/>
        </w:rPr>
        <w:t>overnment?</w:t>
      </w:r>
    </w:p>
    <w:p w14:paraId="4F40CC2A" w14:textId="77777777" w:rsidR="001342AE" w:rsidRPr="0008664F" w:rsidRDefault="001342AE" w:rsidP="001342AE">
      <w:pPr>
        <w:tabs>
          <w:tab w:val="left" w:pos="576"/>
          <w:tab w:val="left" w:pos="1296"/>
          <w:tab w:val="left" w:pos="2016"/>
          <w:tab w:val="left" w:pos="2736"/>
          <w:tab w:val="left" w:pos="8496"/>
        </w:tabs>
        <w:suppressAutoHyphens/>
        <w:spacing w:line="240" w:lineRule="atLeast"/>
        <w:rPr>
          <w:sz w:val="22"/>
          <w:szCs w:val="22"/>
        </w:rPr>
      </w:pPr>
    </w:p>
    <w:p w14:paraId="03E540E0" w14:textId="77777777" w:rsidR="007733B1" w:rsidRPr="0008664F" w:rsidRDefault="007733B1" w:rsidP="007733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 w:val="22"/>
          <w:szCs w:val="22"/>
        </w:rPr>
      </w:pPr>
      <w:r w:rsidRPr="0008664F">
        <w:rPr>
          <w:sz w:val="22"/>
          <w:szCs w:val="22"/>
        </w:rPr>
        <w:t>Estimates of annual cost to the Federal Government are as follows:</w:t>
      </w:r>
    </w:p>
    <w:p w14:paraId="0CF68E25" w14:textId="77777777" w:rsidR="007733B1" w:rsidRPr="0008664F" w:rsidRDefault="007733B1" w:rsidP="007733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 w:val="22"/>
          <w:szCs w:val="22"/>
        </w:rPr>
      </w:pPr>
    </w:p>
    <w:p w14:paraId="69B7E0D4" w14:textId="77777777" w:rsidR="007733B1" w:rsidRPr="0008664F" w:rsidRDefault="007733B1" w:rsidP="007733B1">
      <w:pPr>
        <w:ind w:left="720" w:firstLine="720"/>
        <w:rPr>
          <w:bCs/>
          <w:sz w:val="22"/>
          <w:szCs w:val="22"/>
        </w:rPr>
      </w:pPr>
      <w:r w:rsidRPr="0008664F">
        <w:rPr>
          <w:bCs/>
          <w:sz w:val="22"/>
          <w:szCs w:val="22"/>
        </w:rPr>
        <w:t xml:space="preserve">Clerical Cost   </w:t>
      </w:r>
      <w:r w:rsidRPr="0008664F">
        <w:rPr>
          <w:bCs/>
          <w:sz w:val="22"/>
          <w:szCs w:val="22"/>
        </w:rPr>
        <w:tab/>
      </w:r>
      <w:r w:rsidRPr="0008664F">
        <w:rPr>
          <w:bCs/>
          <w:sz w:val="22"/>
          <w:szCs w:val="22"/>
        </w:rPr>
        <w:tab/>
        <w:t xml:space="preserve">    </w:t>
      </w:r>
      <w:r w:rsidRPr="0008664F">
        <w:rPr>
          <w:bCs/>
          <w:sz w:val="22"/>
          <w:szCs w:val="22"/>
        </w:rPr>
        <w:tab/>
      </w:r>
      <w:r w:rsidRPr="0008664F">
        <w:rPr>
          <w:bCs/>
          <w:sz w:val="22"/>
          <w:szCs w:val="22"/>
        </w:rPr>
        <w:tab/>
      </w:r>
      <w:r w:rsidRPr="0008664F">
        <w:rPr>
          <w:bCs/>
          <w:sz w:val="22"/>
          <w:szCs w:val="22"/>
        </w:rPr>
        <w:tab/>
        <w:t xml:space="preserve">  </w:t>
      </w:r>
      <w:r w:rsidR="005039C5" w:rsidRPr="0008664F">
        <w:rPr>
          <w:bCs/>
          <w:sz w:val="22"/>
          <w:szCs w:val="22"/>
        </w:rPr>
        <w:t xml:space="preserve">       </w:t>
      </w:r>
      <w:proofErr w:type="gramStart"/>
      <w:r w:rsidR="005039C5" w:rsidRPr="0008664F">
        <w:rPr>
          <w:bCs/>
          <w:sz w:val="22"/>
          <w:szCs w:val="22"/>
        </w:rPr>
        <w:t xml:space="preserve">$  </w:t>
      </w:r>
      <w:r w:rsidRPr="0008664F">
        <w:rPr>
          <w:bCs/>
          <w:sz w:val="22"/>
          <w:szCs w:val="22"/>
        </w:rPr>
        <w:t>14,500</w:t>
      </w:r>
      <w:proofErr w:type="gramEnd"/>
    </w:p>
    <w:p w14:paraId="4E39187B" w14:textId="77777777" w:rsidR="007733B1" w:rsidRPr="0008664F" w:rsidRDefault="007733B1" w:rsidP="007733B1">
      <w:pPr>
        <w:ind w:left="720" w:firstLine="720"/>
        <w:rPr>
          <w:bCs/>
          <w:sz w:val="22"/>
          <w:szCs w:val="22"/>
        </w:rPr>
      </w:pPr>
      <w:proofErr w:type="gramStart"/>
      <w:r w:rsidRPr="0008664F">
        <w:rPr>
          <w:bCs/>
          <w:sz w:val="22"/>
          <w:szCs w:val="22"/>
        </w:rPr>
        <w:t>Other Salary (review by specialist, etc.)</w:t>
      </w:r>
      <w:proofErr w:type="gramEnd"/>
      <w:r w:rsidRPr="0008664F">
        <w:rPr>
          <w:bCs/>
          <w:sz w:val="22"/>
          <w:szCs w:val="22"/>
        </w:rPr>
        <w:tab/>
        <w:t xml:space="preserve">             80,000</w:t>
      </w:r>
    </w:p>
    <w:p w14:paraId="7F6CFCFF" w14:textId="77777777" w:rsidR="007733B1" w:rsidRPr="0008664F" w:rsidRDefault="007733B1" w:rsidP="007733B1">
      <w:pPr>
        <w:ind w:left="1440"/>
        <w:rPr>
          <w:bCs/>
          <w:sz w:val="22"/>
          <w:szCs w:val="22"/>
        </w:rPr>
      </w:pPr>
      <w:r w:rsidRPr="0008664F">
        <w:rPr>
          <w:bCs/>
          <w:sz w:val="22"/>
          <w:szCs w:val="22"/>
        </w:rPr>
        <w:t>Overhead</w:t>
      </w:r>
      <w:r w:rsidRPr="0008664F">
        <w:rPr>
          <w:bCs/>
          <w:sz w:val="22"/>
          <w:szCs w:val="22"/>
        </w:rPr>
        <w:tab/>
      </w:r>
      <w:r w:rsidRPr="0008664F">
        <w:rPr>
          <w:bCs/>
          <w:sz w:val="22"/>
          <w:szCs w:val="22"/>
        </w:rPr>
        <w:tab/>
        <w:t xml:space="preserve">          </w:t>
      </w:r>
      <w:r w:rsidRPr="0008664F">
        <w:rPr>
          <w:bCs/>
          <w:sz w:val="22"/>
          <w:szCs w:val="22"/>
        </w:rPr>
        <w:tab/>
      </w:r>
      <w:r w:rsidRPr="0008664F">
        <w:rPr>
          <w:bCs/>
          <w:sz w:val="22"/>
          <w:szCs w:val="22"/>
        </w:rPr>
        <w:tab/>
      </w:r>
      <w:r w:rsidRPr="0008664F">
        <w:rPr>
          <w:bCs/>
          <w:sz w:val="22"/>
          <w:szCs w:val="22"/>
        </w:rPr>
        <w:tab/>
        <w:t xml:space="preserve">         </w:t>
      </w:r>
      <w:r w:rsidRPr="0008664F">
        <w:rPr>
          <w:bCs/>
          <w:sz w:val="22"/>
          <w:szCs w:val="22"/>
          <w:u w:val="single"/>
        </w:rPr>
        <w:t xml:space="preserve">      9,500</w:t>
      </w:r>
    </w:p>
    <w:p w14:paraId="1332CC6F" w14:textId="77777777" w:rsidR="007733B1" w:rsidRPr="0008664F" w:rsidRDefault="005039C5" w:rsidP="007733B1">
      <w:pPr>
        <w:ind w:left="1440"/>
        <w:rPr>
          <w:bCs/>
          <w:sz w:val="22"/>
          <w:szCs w:val="22"/>
        </w:rPr>
      </w:pPr>
      <w:r w:rsidRPr="0008664F">
        <w:rPr>
          <w:bCs/>
          <w:sz w:val="22"/>
          <w:szCs w:val="22"/>
        </w:rPr>
        <w:t xml:space="preserve">  </w:t>
      </w:r>
      <w:r w:rsidR="007733B1" w:rsidRPr="0008664F">
        <w:rPr>
          <w:bCs/>
          <w:sz w:val="22"/>
          <w:szCs w:val="22"/>
        </w:rPr>
        <w:t xml:space="preserve">TOTAL </w:t>
      </w:r>
      <w:r w:rsidR="007733B1" w:rsidRPr="0008664F">
        <w:rPr>
          <w:bCs/>
          <w:sz w:val="22"/>
          <w:szCs w:val="22"/>
        </w:rPr>
        <w:tab/>
      </w:r>
      <w:r w:rsidR="007733B1" w:rsidRPr="0008664F">
        <w:rPr>
          <w:bCs/>
          <w:sz w:val="22"/>
          <w:szCs w:val="22"/>
        </w:rPr>
        <w:tab/>
        <w:t xml:space="preserve">          </w:t>
      </w:r>
      <w:r w:rsidR="007733B1" w:rsidRPr="0008664F">
        <w:rPr>
          <w:bCs/>
          <w:sz w:val="22"/>
          <w:szCs w:val="22"/>
        </w:rPr>
        <w:tab/>
      </w:r>
      <w:r w:rsidR="007733B1" w:rsidRPr="0008664F">
        <w:rPr>
          <w:bCs/>
          <w:sz w:val="22"/>
          <w:szCs w:val="22"/>
        </w:rPr>
        <w:tab/>
      </w:r>
      <w:r w:rsidR="007733B1" w:rsidRPr="0008664F">
        <w:rPr>
          <w:bCs/>
          <w:sz w:val="22"/>
          <w:szCs w:val="22"/>
        </w:rPr>
        <w:tab/>
        <w:t xml:space="preserve">         $10</w:t>
      </w:r>
      <w:r w:rsidRPr="0008664F">
        <w:rPr>
          <w:bCs/>
          <w:sz w:val="22"/>
          <w:szCs w:val="22"/>
        </w:rPr>
        <w:t>4</w:t>
      </w:r>
      <w:r w:rsidR="007733B1" w:rsidRPr="0008664F">
        <w:rPr>
          <w:bCs/>
          <w:sz w:val="22"/>
          <w:szCs w:val="22"/>
        </w:rPr>
        <w:t>,000</w:t>
      </w:r>
      <w:r w:rsidR="001E2B17" w:rsidRPr="0008664F">
        <w:rPr>
          <w:bCs/>
          <w:sz w:val="22"/>
          <w:szCs w:val="22"/>
        </w:rPr>
        <w:t xml:space="preserve">   </w:t>
      </w:r>
    </w:p>
    <w:p w14:paraId="1ED9734D" w14:textId="77777777" w:rsidR="009D7416" w:rsidRPr="0008664F" w:rsidRDefault="009D7416" w:rsidP="00064F42">
      <w:pPr>
        <w:rPr>
          <w:sz w:val="22"/>
          <w:szCs w:val="22"/>
        </w:rPr>
      </w:pPr>
    </w:p>
    <w:p w14:paraId="17291490" w14:textId="77777777" w:rsidR="00131CEF" w:rsidRDefault="00131CEF" w:rsidP="001342AE">
      <w:pPr>
        <w:tabs>
          <w:tab w:val="left" w:pos="576"/>
          <w:tab w:val="left" w:pos="1296"/>
          <w:tab w:val="left" w:pos="2016"/>
          <w:tab w:val="left" w:pos="2736"/>
          <w:tab w:val="left" w:pos="8496"/>
        </w:tabs>
        <w:suppressAutoHyphens/>
        <w:spacing w:line="240" w:lineRule="atLeast"/>
        <w:rPr>
          <w:sz w:val="22"/>
          <w:szCs w:val="22"/>
        </w:rPr>
      </w:pPr>
      <w:r w:rsidRPr="009F51B9">
        <w:rPr>
          <w:sz w:val="22"/>
          <w:szCs w:val="22"/>
        </w:rPr>
        <w:t xml:space="preserve">Printing and distribution cost has either significantly decreased or no longer exist due to the availability of TTB forms on TTB.gov and in our electronic systems (PONL, FONL, COLA Online, and/or Pay.gov) and.  As a result, there is no longer printing and distribution cost for this collection. </w:t>
      </w:r>
    </w:p>
    <w:p w14:paraId="1E0685A6" w14:textId="77777777" w:rsidR="00131CEF" w:rsidRDefault="00131CEF" w:rsidP="001342AE">
      <w:pPr>
        <w:tabs>
          <w:tab w:val="left" w:pos="576"/>
          <w:tab w:val="left" w:pos="1296"/>
          <w:tab w:val="left" w:pos="2016"/>
          <w:tab w:val="left" w:pos="2736"/>
          <w:tab w:val="left" w:pos="8496"/>
        </w:tabs>
        <w:suppressAutoHyphens/>
        <w:spacing w:line="240" w:lineRule="atLeast"/>
        <w:rPr>
          <w:sz w:val="22"/>
          <w:szCs w:val="22"/>
        </w:rPr>
      </w:pPr>
    </w:p>
    <w:p w14:paraId="7B41E0A8" w14:textId="54DA65A5" w:rsidR="001342AE" w:rsidRPr="0008664F" w:rsidRDefault="001342AE" w:rsidP="001342AE">
      <w:pPr>
        <w:tabs>
          <w:tab w:val="left" w:pos="576"/>
          <w:tab w:val="left" w:pos="1296"/>
          <w:tab w:val="left" w:pos="2016"/>
          <w:tab w:val="left" w:pos="2736"/>
          <w:tab w:val="left" w:pos="8496"/>
        </w:tabs>
        <w:suppressAutoHyphens/>
        <w:spacing w:line="240" w:lineRule="atLeast"/>
        <w:rPr>
          <w:sz w:val="22"/>
          <w:szCs w:val="22"/>
        </w:rPr>
      </w:pPr>
      <w:r w:rsidRPr="0008664F">
        <w:rPr>
          <w:sz w:val="22"/>
          <w:szCs w:val="22"/>
        </w:rPr>
        <w:t>15.</w:t>
      </w:r>
      <w:r w:rsidRPr="0008664F">
        <w:rPr>
          <w:sz w:val="22"/>
          <w:szCs w:val="22"/>
        </w:rPr>
        <w:tab/>
        <w:t>What is the reason for any program changes or adjustments reported?</w:t>
      </w:r>
    </w:p>
    <w:p w14:paraId="29548571" w14:textId="77777777" w:rsidR="001342AE" w:rsidRPr="0008664F" w:rsidRDefault="001342AE" w:rsidP="001342AE">
      <w:pPr>
        <w:tabs>
          <w:tab w:val="left" w:pos="576"/>
          <w:tab w:val="left" w:pos="1296"/>
          <w:tab w:val="left" w:pos="2016"/>
          <w:tab w:val="left" w:pos="2736"/>
          <w:tab w:val="left" w:pos="8496"/>
        </w:tabs>
        <w:suppressAutoHyphens/>
        <w:spacing w:line="240" w:lineRule="atLeast"/>
        <w:rPr>
          <w:sz w:val="22"/>
          <w:szCs w:val="22"/>
        </w:rPr>
      </w:pPr>
    </w:p>
    <w:p w14:paraId="2A9015FF" w14:textId="13CF6B80" w:rsidR="00BB40E0" w:rsidRPr="0008664F" w:rsidRDefault="00D05CB6" w:rsidP="00BB40E0">
      <w:pPr>
        <w:rPr>
          <w:sz w:val="22"/>
          <w:szCs w:val="22"/>
        </w:rPr>
      </w:pPr>
      <w:r>
        <w:rPr>
          <w:sz w:val="22"/>
          <w:szCs w:val="22"/>
        </w:rPr>
        <w:t xml:space="preserve">There is an </w:t>
      </w:r>
      <w:r w:rsidR="00BB40E0" w:rsidRPr="0008664F">
        <w:rPr>
          <w:sz w:val="22"/>
          <w:szCs w:val="22"/>
        </w:rPr>
        <w:t>adj</w:t>
      </w:r>
      <w:r>
        <w:rPr>
          <w:sz w:val="22"/>
          <w:szCs w:val="22"/>
        </w:rPr>
        <w:t>ustment</w:t>
      </w:r>
      <w:r w:rsidR="00BB40E0" w:rsidRPr="0008664F">
        <w:rPr>
          <w:sz w:val="22"/>
          <w:szCs w:val="22"/>
        </w:rPr>
        <w:t xml:space="preserve"> associated with this information collection.</w:t>
      </w:r>
      <w:r>
        <w:rPr>
          <w:sz w:val="22"/>
          <w:szCs w:val="22"/>
        </w:rPr>
        <w:t xml:space="preserve">  The burden hours have increased because of an increase in the number of importer/manufacturers.</w:t>
      </w:r>
    </w:p>
    <w:p w14:paraId="74A89839" w14:textId="77777777" w:rsidR="00D25760" w:rsidRPr="0008664F" w:rsidRDefault="00D25760">
      <w:pPr>
        <w:rPr>
          <w:sz w:val="22"/>
          <w:szCs w:val="22"/>
        </w:rPr>
      </w:pPr>
    </w:p>
    <w:p w14:paraId="02E4B294" w14:textId="77777777" w:rsidR="00C20663" w:rsidRPr="0008664F" w:rsidRDefault="00C20663" w:rsidP="00C20663">
      <w:pPr>
        <w:tabs>
          <w:tab w:val="left" w:pos="576"/>
          <w:tab w:val="left" w:pos="1296"/>
          <w:tab w:val="left" w:pos="2016"/>
          <w:tab w:val="left" w:pos="2736"/>
          <w:tab w:val="left" w:pos="8496"/>
        </w:tabs>
        <w:suppressAutoHyphens/>
        <w:spacing w:line="240" w:lineRule="atLeast"/>
        <w:rPr>
          <w:sz w:val="22"/>
          <w:szCs w:val="22"/>
        </w:rPr>
      </w:pPr>
      <w:r w:rsidRPr="0008664F">
        <w:rPr>
          <w:sz w:val="22"/>
          <w:szCs w:val="22"/>
        </w:rPr>
        <w:t>16.</w:t>
      </w:r>
      <w:r w:rsidRPr="0008664F">
        <w:rPr>
          <w:sz w:val="22"/>
          <w:szCs w:val="22"/>
        </w:rPr>
        <w:tab/>
        <w:t>Outline plans for tabulation and publication for collections of information whose results will be published.</w:t>
      </w:r>
    </w:p>
    <w:p w14:paraId="1AA39296" w14:textId="77777777" w:rsidR="00C20663" w:rsidRPr="0008664F" w:rsidRDefault="00C20663" w:rsidP="00C20663">
      <w:pPr>
        <w:tabs>
          <w:tab w:val="left" w:pos="480"/>
          <w:tab w:val="left" w:pos="1080"/>
          <w:tab w:val="left" w:pos="3480"/>
        </w:tabs>
        <w:suppressAutoHyphens/>
        <w:spacing w:line="240" w:lineRule="atLeast"/>
        <w:ind w:left="480" w:hanging="480"/>
        <w:rPr>
          <w:sz w:val="22"/>
          <w:szCs w:val="22"/>
        </w:rPr>
      </w:pPr>
    </w:p>
    <w:p w14:paraId="103B4E87" w14:textId="77777777" w:rsidR="00C20663" w:rsidRPr="0008664F" w:rsidRDefault="00C20663" w:rsidP="00C20663">
      <w:pPr>
        <w:tabs>
          <w:tab w:val="left" w:pos="720"/>
          <w:tab w:val="left" w:pos="1152"/>
          <w:tab w:val="left" w:pos="4896"/>
        </w:tabs>
        <w:rPr>
          <w:sz w:val="22"/>
          <w:szCs w:val="22"/>
        </w:rPr>
      </w:pPr>
      <w:r w:rsidRPr="0008664F">
        <w:rPr>
          <w:sz w:val="22"/>
          <w:szCs w:val="22"/>
        </w:rPr>
        <w:t>The results of this collection will not be published.</w:t>
      </w:r>
    </w:p>
    <w:p w14:paraId="4E4046D7" w14:textId="77777777" w:rsidR="0092619F" w:rsidRPr="0008664F" w:rsidRDefault="0092619F" w:rsidP="00C20663">
      <w:pPr>
        <w:tabs>
          <w:tab w:val="left" w:pos="576"/>
          <w:tab w:val="left" w:pos="1296"/>
          <w:tab w:val="left" w:pos="2016"/>
          <w:tab w:val="left" w:pos="2736"/>
          <w:tab w:val="left" w:pos="8496"/>
        </w:tabs>
        <w:suppressAutoHyphens/>
        <w:spacing w:line="240" w:lineRule="atLeast"/>
        <w:rPr>
          <w:sz w:val="22"/>
          <w:szCs w:val="22"/>
        </w:rPr>
      </w:pPr>
    </w:p>
    <w:p w14:paraId="12EA8FFB" w14:textId="77777777" w:rsidR="00C20663" w:rsidRPr="0008664F" w:rsidRDefault="00C20663" w:rsidP="00C20663">
      <w:pPr>
        <w:tabs>
          <w:tab w:val="left" w:pos="576"/>
          <w:tab w:val="left" w:pos="1296"/>
          <w:tab w:val="left" w:pos="2016"/>
          <w:tab w:val="left" w:pos="2736"/>
          <w:tab w:val="left" w:pos="8496"/>
        </w:tabs>
        <w:suppressAutoHyphens/>
        <w:spacing w:line="240" w:lineRule="atLeast"/>
        <w:rPr>
          <w:sz w:val="22"/>
          <w:szCs w:val="22"/>
        </w:rPr>
      </w:pPr>
      <w:r w:rsidRPr="0008664F">
        <w:rPr>
          <w:sz w:val="22"/>
          <w:szCs w:val="22"/>
        </w:rPr>
        <w:t>17.</w:t>
      </w:r>
      <w:r w:rsidRPr="0008664F">
        <w:rPr>
          <w:sz w:val="22"/>
          <w:szCs w:val="22"/>
        </w:rPr>
        <w:tab/>
        <w:t>If seeking approval to not display the expiration date for OMB approval of this information collection, what are the reasons that the display would be inappropriate?</w:t>
      </w:r>
    </w:p>
    <w:p w14:paraId="4BA25CE9" w14:textId="77777777" w:rsidR="00C20663" w:rsidRPr="0008664F" w:rsidRDefault="00C20663" w:rsidP="00C20663">
      <w:pPr>
        <w:spacing w:before="302" w:line="283" w:lineRule="exact"/>
        <w:rPr>
          <w:sz w:val="22"/>
          <w:szCs w:val="22"/>
        </w:rPr>
      </w:pPr>
      <w:r w:rsidRPr="0008664F">
        <w:rPr>
          <w:sz w:val="22"/>
          <w:szCs w:val="22"/>
        </w:rPr>
        <w:t xml:space="preserve">We are not seeking approval to not display the expiration date for OMB approval. </w:t>
      </w:r>
    </w:p>
    <w:p w14:paraId="76F7D6B7" w14:textId="39085462" w:rsidR="00C20663" w:rsidRPr="0008664F" w:rsidRDefault="00C20663" w:rsidP="00C20663">
      <w:pPr>
        <w:tabs>
          <w:tab w:val="left" w:pos="576"/>
          <w:tab w:val="left" w:pos="1296"/>
          <w:tab w:val="left" w:pos="2016"/>
          <w:tab w:val="left" w:pos="2736"/>
          <w:tab w:val="left" w:pos="8496"/>
        </w:tabs>
        <w:suppressAutoHyphens/>
        <w:spacing w:line="240" w:lineRule="atLeast"/>
        <w:rPr>
          <w:sz w:val="22"/>
          <w:szCs w:val="22"/>
        </w:rPr>
      </w:pPr>
      <w:r w:rsidRPr="0008664F">
        <w:rPr>
          <w:sz w:val="22"/>
          <w:szCs w:val="22"/>
        </w:rPr>
        <w:t>18.</w:t>
      </w:r>
      <w:r w:rsidRPr="0008664F">
        <w:rPr>
          <w:sz w:val="22"/>
          <w:szCs w:val="22"/>
        </w:rPr>
        <w:tab/>
        <w:t>What are the exceptions to the certification statement?</w:t>
      </w:r>
    </w:p>
    <w:p w14:paraId="1CF52A3C" w14:textId="77777777" w:rsidR="00C20663" w:rsidRPr="0008664F" w:rsidRDefault="00C20663" w:rsidP="00C20663">
      <w:pPr>
        <w:tabs>
          <w:tab w:val="left" w:pos="576"/>
          <w:tab w:val="left" w:pos="1296"/>
          <w:tab w:val="left" w:pos="2016"/>
          <w:tab w:val="left" w:pos="2736"/>
          <w:tab w:val="left" w:pos="8496"/>
        </w:tabs>
        <w:suppressAutoHyphens/>
        <w:spacing w:line="240" w:lineRule="atLeast"/>
        <w:rPr>
          <w:sz w:val="22"/>
          <w:szCs w:val="22"/>
        </w:rPr>
      </w:pPr>
    </w:p>
    <w:p w14:paraId="04620E1A" w14:textId="77777777" w:rsidR="0008664F" w:rsidRPr="0008664F" w:rsidRDefault="0008664F" w:rsidP="0008664F">
      <w:pPr>
        <w:widowControl/>
        <w:autoSpaceDE/>
        <w:autoSpaceDN/>
        <w:adjustRightInd/>
        <w:ind w:firstLine="540"/>
        <w:rPr>
          <w:sz w:val="22"/>
          <w:szCs w:val="22"/>
        </w:rPr>
      </w:pPr>
      <w:r w:rsidRPr="0008664F">
        <w:rPr>
          <w:sz w:val="22"/>
          <w:szCs w:val="22"/>
        </w:rPr>
        <w:t>(c)  See item 5 for explanation regarding burden to small businesses.</w:t>
      </w:r>
    </w:p>
    <w:p w14:paraId="40C3A7CE" w14:textId="77777777" w:rsidR="0008664F" w:rsidRPr="0008664F" w:rsidRDefault="0008664F" w:rsidP="0008664F">
      <w:pPr>
        <w:widowControl/>
        <w:autoSpaceDE/>
        <w:autoSpaceDN/>
        <w:adjustRightInd/>
        <w:ind w:firstLine="540"/>
        <w:rPr>
          <w:sz w:val="22"/>
          <w:szCs w:val="22"/>
        </w:rPr>
      </w:pPr>
      <w:r w:rsidRPr="0008664F">
        <w:rPr>
          <w:sz w:val="22"/>
          <w:szCs w:val="22"/>
        </w:rPr>
        <w:t>(f)  This is not a recordkeeping collection so there is no retention period.</w:t>
      </w:r>
    </w:p>
    <w:p w14:paraId="2D0951B2" w14:textId="77777777" w:rsidR="0008664F" w:rsidRPr="0008664F" w:rsidRDefault="0008664F" w:rsidP="0008664F">
      <w:pPr>
        <w:widowControl/>
        <w:autoSpaceDE/>
        <w:autoSpaceDN/>
        <w:adjustRightInd/>
        <w:ind w:left="540"/>
        <w:rPr>
          <w:sz w:val="22"/>
          <w:szCs w:val="22"/>
        </w:rPr>
      </w:pPr>
      <w:r w:rsidRPr="0008664F">
        <w:rPr>
          <w:sz w:val="22"/>
          <w:szCs w:val="22"/>
        </w:rPr>
        <w:t>(</w:t>
      </w:r>
      <w:proofErr w:type="spellStart"/>
      <w:r w:rsidRPr="0008664F">
        <w:rPr>
          <w:sz w:val="22"/>
          <w:szCs w:val="22"/>
        </w:rPr>
        <w:t>i</w:t>
      </w:r>
      <w:proofErr w:type="spellEnd"/>
      <w:r w:rsidRPr="0008664F">
        <w:rPr>
          <w:sz w:val="22"/>
          <w:szCs w:val="22"/>
        </w:rPr>
        <w:t>)  There is no statistical method used for this collection.</w:t>
      </w:r>
    </w:p>
    <w:p w14:paraId="598FD48E" w14:textId="77777777" w:rsidR="0008664F" w:rsidRPr="0008664F" w:rsidRDefault="0008664F" w:rsidP="0008664F">
      <w:pPr>
        <w:widowControl/>
        <w:autoSpaceDE/>
        <w:autoSpaceDN/>
        <w:adjustRightInd/>
        <w:ind w:firstLine="540"/>
        <w:rPr>
          <w:sz w:val="22"/>
          <w:szCs w:val="22"/>
        </w:rPr>
      </w:pPr>
      <w:r w:rsidRPr="0008664F">
        <w:rPr>
          <w:sz w:val="22"/>
          <w:szCs w:val="22"/>
        </w:rPr>
        <w:t>(j)  See item 3 for explanation regarding the use of information technology.</w:t>
      </w:r>
    </w:p>
    <w:p w14:paraId="7DDA42F1" w14:textId="77777777" w:rsidR="0008664F" w:rsidRPr="0008664F" w:rsidRDefault="0008664F" w:rsidP="0008664F">
      <w:pPr>
        <w:widowControl/>
        <w:autoSpaceDE/>
        <w:autoSpaceDN/>
        <w:adjustRightInd/>
        <w:ind w:firstLine="720"/>
        <w:rPr>
          <w:sz w:val="22"/>
          <w:szCs w:val="22"/>
        </w:rPr>
      </w:pPr>
    </w:p>
    <w:p w14:paraId="39472551" w14:textId="77777777" w:rsidR="00C20663" w:rsidRPr="0008664F" w:rsidRDefault="00C20663" w:rsidP="00C20663">
      <w:pPr>
        <w:tabs>
          <w:tab w:val="left" w:pos="576"/>
          <w:tab w:val="left" w:pos="1152"/>
          <w:tab w:val="left" w:pos="4896"/>
        </w:tabs>
        <w:rPr>
          <w:b/>
          <w:sz w:val="22"/>
          <w:szCs w:val="22"/>
        </w:rPr>
      </w:pPr>
      <w:r w:rsidRPr="0008664F">
        <w:rPr>
          <w:b/>
          <w:sz w:val="22"/>
          <w:szCs w:val="22"/>
        </w:rPr>
        <w:t>B.</w:t>
      </w:r>
      <w:r w:rsidRPr="0008664F">
        <w:rPr>
          <w:b/>
          <w:sz w:val="22"/>
          <w:szCs w:val="22"/>
        </w:rPr>
        <w:tab/>
      </w:r>
      <w:r w:rsidRPr="0008664F">
        <w:rPr>
          <w:b/>
          <w:sz w:val="22"/>
          <w:szCs w:val="22"/>
          <w:u w:val="single"/>
        </w:rPr>
        <w:t>Collection of Information Employing Statistical Methods</w:t>
      </w:r>
    </w:p>
    <w:p w14:paraId="796F6160" w14:textId="77777777" w:rsidR="00C20663" w:rsidRPr="0008664F" w:rsidRDefault="00C20663" w:rsidP="00C20663">
      <w:pPr>
        <w:tabs>
          <w:tab w:val="left" w:pos="576"/>
          <w:tab w:val="left" w:pos="1152"/>
          <w:tab w:val="left" w:pos="4896"/>
        </w:tabs>
        <w:rPr>
          <w:sz w:val="22"/>
          <w:szCs w:val="22"/>
        </w:rPr>
      </w:pPr>
    </w:p>
    <w:p w14:paraId="40F78E9F" w14:textId="77777777" w:rsidR="00C20663" w:rsidRPr="0008664F" w:rsidRDefault="00C20663" w:rsidP="00C20663">
      <w:pPr>
        <w:ind w:left="720"/>
        <w:rPr>
          <w:sz w:val="22"/>
          <w:szCs w:val="22"/>
        </w:rPr>
      </w:pPr>
      <w:r w:rsidRPr="0008664F">
        <w:rPr>
          <w:sz w:val="22"/>
          <w:szCs w:val="22"/>
        </w:rPr>
        <w:t>This collection does not employ statistical methods.</w:t>
      </w:r>
    </w:p>
    <w:sectPr w:rsidR="00C20663" w:rsidRPr="0008664F" w:rsidSect="001342AE">
      <w:headerReference w:type="even" r:id="rId10"/>
      <w:headerReference w:type="default" r:id="rId11"/>
      <w:footnotePr>
        <w:numRestart w:val="eachPage"/>
      </w:footnotePr>
      <w:pgSz w:w="12240" w:h="15840" w:code="1"/>
      <w:pgMar w:top="1440" w:right="1584" w:bottom="144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069C24" w14:textId="77777777" w:rsidR="00086492" w:rsidRDefault="00086492">
      <w:r>
        <w:separator/>
      </w:r>
    </w:p>
  </w:endnote>
  <w:endnote w:type="continuationSeparator" w:id="0">
    <w:p w14:paraId="43025AD2" w14:textId="77777777" w:rsidR="00086492" w:rsidRDefault="00086492">
      <w:r>
        <w:continuationSeparator/>
      </w:r>
    </w:p>
  </w:endnote>
  <w:endnote w:type="continuationNotice" w:id="1">
    <w:p w14:paraId="153BC037" w14:textId="77777777" w:rsidR="00086492" w:rsidRDefault="000864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947C1E" w14:textId="77777777" w:rsidR="00086492" w:rsidRDefault="00086492">
      <w:r>
        <w:separator/>
      </w:r>
    </w:p>
  </w:footnote>
  <w:footnote w:type="continuationSeparator" w:id="0">
    <w:p w14:paraId="39792362" w14:textId="77777777" w:rsidR="00086492" w:rsidRDefault="00086492">
      <w:r>
        <w:continuationSeparator/>
      </w:r>
    </w:p>
  </w:footnote>
  <w:footnote w:type="continuationNotice" w:id="1">
    <w:p w14:paraId="1A40D25B" w14:textId="77777777" w:rsidR="00086492" w:rsidRDefault="0008649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272F11" w14:textId="77777777" w:rsidR="00086492" w:rsidRDefault="00086492" w:rsidP="00452FF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45A00E" w14:textId="77777777" w:rsidR="00086492" w:rsidRDefault="000864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EF252" w14:textId="38081BFE" w:rsidR="00086492" w:rsidRDefault="00086492">
    <w:pPr>
      <w:pStyle w:val="Header"/>
    </w:pPr>
    <w:r>
      <w:rPr>
        <w:sz w:val="22"/>
      </w:rPr>
      <w:t>OMB Control Number 1513-0130 - Supporting Statement</w:t>
    </w:r>
    <w:r>
      <w:rPr>
        <w:sz w:val="22"/>
      </w:rPr>
      <w:tab/>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sidR="00E943DE">
      <w:rPr>
        <w:rStyle w:val="PageNumber"/>
        <w:noProof/>
        <w:sz w:val="22"/>
      </w:rPr>
      <w:t>4</w:t>
    </w:r>
    <w:r>
      <w:rPr>
        <w:rStyle w:val="PageNumber"/>
        <w:sz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728CD"/>
    <w:multiLevelType w:val="hybridMultilevel"/>
    <w:tmpl w:val="14E273B0"/>
    <w:lvl w:ilvl="0" w:tplc="CFE07670">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Page"/>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17450"/>
    <w:rsid w:val="00026FC8"/>
    <w:rsid w:val="0002770F"/>
    <w:rsid w:val="00055157"/>
    <w:rsid w:val="00064F42"/>
    <w:rsid w:val="00086492"/>
    <w:rsid w:val="0008664F"/>
    <w:rsid w:val="000B7833"/>
    <w:rsid w:val="000C3685"/>
    <w:rsid w:val="000E129B"/>
    <w:rsid w:val="000E2A27"/>
    <w:rsid w:val="000E57EE"/>
    <w:rsid w:val="00131CEF"/>
    <w:rsid w:val="001342AE"/>
    <w:rsid w:val="001413C2"/>
    <w:rsid w:val="00160F7A"/>
    <w:rsid w:val="001621ED"/>
    <w:rsid w:val="001B7C26"/>
    <w:rsid w:val="001C2C6B"/>
    <w:rsid w:val="001D089C"/>
    <w:rsid w:val="001E2B17"/>
    <w:rsid w:val="001E3405"/>
    <w:rsid w:val="001F745E"/>
    <w:rsid w:val="002036F5"/>
    <w:rsid w:val="00213ACB"/>
    <w:rsid w:val="00222C62"/>
    <w:rsid w:val="0022725D"/>
    <w:rsid w:val="00240E3E"/>
    <w:rsid w:val="002718F8"/>
    <w:rsid w:val="00284D3A"/>
    <w:rsid w:val="002E5232"/>
    <w:rsid w:val="002E5574"/>
    <w:rsid w:val="003574BF"/>
    <w:rsid w:val="00362D73"/>
    <w:rsid w:val="003976A3"/>
    <w:rsid w:val="003B04CC"/>
    <w:rsid w:val="003C586B"/>
    <w:rsid w:val="003F3727"/>
    <w:rsid w:val="00401EEA"/>
    <w:rsid w:val="0041064F"/>
    <w:rsid w:val="0042087D"/>
    <w:rsid w:val="00452FFF"/>
    <w:rsid w:val="004576CC"/>
    <w:rsid w:val="004614E5"/>
    <w:rsid w:val="004948A9"/>
    <w:rsid w:val="004C164B"/>
    <w:rsid w:val="004C6AC4"/>
    <w:rsid w:val="0050019C"/>
    <w:rsid w:val="005039C5"/>
    <w:rsid w:val="00503CEE"/>
    <w:rsid w:val="00516180"/>
    <w:rsid w:val="005235B0"/>
    <w:rsid w:val="0053004A"/>
    <w:rsid w:val="0053545E"/>
    <w:rsid w:val="005448D9"/>
    <w:rsid w:val="0054729B"/>
    <w:rsid w:val="0056763A"/>
    <w:rsid w:val="00584C8F"/>
    <w:rsid w:val="005A5DB4"/>
    <w:rsid w:val="005C3920"/>
    <w:rsid w:val="005E598C"/>
    <w:rsid w:val="006104B3"/>
    <w:rsid w:val="006259DA"/>
    <w:rsid w:val="006336E0"/>
    <w:rsid w:val="00653806"/>
    <w:rsid w:val="00682CA6"/>
    <w:rsid w:val="00686757"/>
    <w:rsid w:val="006A2163"/>
    <w:rsid w:val="00713B28"/>
    <w:rsid w:val="00715841"/>
    <w:rsid w:val="007505F5"/>
    <w:rsid w:val="007733B1"/>
    <w:rsid w:val="00774D62"/>
    <w:rsid w:val="00786923"/>
    <w:rsid w:val="007A36FB"/>
    <w:rsid w:val="007B2305"/>
    <w:rsid w:val="007C205F"/>
    <w:rsid w:val="007E0116"/>
    <w:rsid w:val="007F4F7C"/>
    <w:rsid w:val="00814E57"/>
    <w:rsid w:val="008253FA"/>
    <w:rsid w:val="008811EC"/>
    <w:rsid w:val="00884A4E"/>
    <w:rsid w:val="00894D8B"/>
    <w:rsid w:val="00895DF4"/>
    <w:rsid w:val="008B2B87"/>
    <w:rsid w:val="008D391A"/>
    <w:rsid w:val="008F302C"/>
    <w:rsid w:val="0092619F"/>
    <w:rsid w:val="009443C2"/>
    <w:rsid w:val="00946FC8"/>
    <w:rsid w:val="0094748A"/>
    <w:rsid w:val="009630F3"/>
    <w:rsid w:val="00980C91"/>
    <w:rsid w:val="00985D38"/>
    <w:rsid w:val="009C4D86"/>
    <w:rsid w:val="009D3186"/>
    <w:rsid w:val="009D7416"/>
    <w:rsid w:val="00A1272A"/>
    <w:rsid w:val="00A20420"/>
    <w:rsid w:val="00A273B1"/>
    <w:rsid w:val="00A3003D"/>
    <w:rsid w:val="00A65F14"/>
    <w:rsid w:val="00A806F1"/>
    <w:rsid w:val="00A81E06"/>
    <w:rsid w:val="00AC71CA"/>
    <w:rsid w:val="00AD3C00"/>
    <w:rsid w:val="00AE2CD9"/>
    <w:rsid w:val="00B148CA"/>
    <w:rsid w:val="00B77F99"/>
    <w:rsid w:val="00B81F55"/>
    <w:rsid w:val="00B92A49"/>
    <w:rsid w:val="00BB40E0"/>
    <w:rsid w:val="00BD2944"/>
    <w:rsid w:val="00C01018"/>
    <w:rsid w:val="00C17450"/>
    <w:rsid w:val="00C20663"/>
    <w:rsid w:val="00C2258F"/>
    <w:rsid w:val="00C51427"/>
    <w:rsid w:val="00C82E65"/>
    <w:rsid w:val="00CB69B0"/>
    <w:rsid w:val="00CC1150"/>
    <w:rsid w:val="00CD6E0B"/>
    <w:rsid w:val="00D05CB6"/>
    <w:rsid w:val="00D17B1B"/>
    <w:rsid w:val="00D25760"/>
    <w:rsid w:val="00D2762B"/>
    <w:rsid w:val="00D420B8"/>
    <w:rsid w:val="00D51F7A"/>
    <w:rsid w:val="00D52B18"/>
    <w:rsid w:val="00D70008"/>
    <w:rsid w:val="00D70CB2"/>
    <w:rsid w:val="00D90BF2"/>
    <w:rsid w:val="00DA4C91"/>
    <w:rsid w:val="00DF61FB"/>
    <w:rsid w:val="00E25194"/>
    <w:rsid w:val="00E25647"/>
    <w:rsid w:val="00E725BD"/>
    <w:rsid w:val="00E767EE"/>
    <w:rsid w:val="00E92289"/>
    <w:rsid w:val="00E943DE"/>
    <w:rsid w:val="00E95378"/>
    <w:rsid w:val="00EB35E1"/>
    <w:rsid w:val="00EB5072"/>
    <w:rsid w:val="00EB6F2F"/>
    <w:rsid w:val="00F2471B"/>
    <w:rsid w:val="00F50C99"/>
    <w:rsid w:val="00FA061C"/>
    <w:rsid w:val="00FA758D"/>
    <w:rsid w:val="00FB20B7"/>
    <w:rsid w:val="00FB2526"/>
    <w:rsid w:val="00FD67A7"/>
    <w:rsid w:val="00FD7439"/>
    <w:rsid w:val="00FE284E"/>
    <w:rsid w:val="00FE5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Arial" w:hAnsi="Arial" w:cs="Arial"/>
    </w:rPr>
  </w:style>
  <w:style w:type="paragraph" w:styleId="Heading1">
    <w:name w:val="heading 1"/>
    <w:basedOn w:val="Normal"/>
    <w:next w:val="Normal"/>
    <w:qFormat/>
    <w:pPr>
      <w:keepNext/>
      <w:widowControl/>
      <w:spacing w:line="398" w:lineRule="exact"/>
      <w:outlineLvl w:val="0"/>
    </w:pPr>
    <w:rPr>
      <w:sz w:val="24"/>
    </w:rPr>
  </w:style>
  <w:style w:type="paragraph" w:styleId="Heading2">
    <w:name w:val="heading 2"/>
    <w:basedOn w:val="Normal"/>
    <w:next w:val="Normal"/>
    <w:qFormat/>
    <w:pPr>
      <w:keepNext/>
      <w:ind w:left="2160" w:firstLine="72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342AE"/>
    <w:pPr>
      <w:tabs>
        <w:tab w:val="center" w:pos="4320"/>
        <w:tab w:val="right" w:pos="8640"/>
      </w:tabs>
    </w:pPr>
  </w:style>
  <w:style w:type="character" w:styleId="PageNumber">
    <w:name w:val="page number"/>
    <w:basedOn w:val="DefaultParagraphFont"/>
    <w:rsid w:val="001342AE"/>
  </w:style>
  <w:style w:type="paragraph" w:styleId="Footer">
    <w:name w:val="footer"/>
    <w:basedOn w:val="Normal"/>
    <w:rsid w:val="001342AE"/>
    <w:pPr>
      <w:tabs>
        <w:tab w:val="center" w:pos="4320"/>
        <w:tab w:val="right" w:pos="8640"/>
      </w:tabs>
    </w:pPr>
  </w:style>
  <w:style w:type="paragraph" w:styleId="BodyTextIndent2">
    <w:name w:val="Body Text Indent 2"/>
    <w:basedOn w:val="Normal"/>
    <w:rsid w:val="001342AE"/>
    <w:pPr>
      <w:widowControl/>
      <w:tabs>
        <w:tab w:val="left" w:pos="720"/>
        <w:tab w:val="left" w:pos="1440"/>
        <w:tab w:val="left" w:pos="2160"/>
        <w:tab w:val="left" w:pos="5040"/>
        <w:tab w:val="left" w:pos="6480"/>
        <w:tab w:val="left" w:pos="7920"/>
      </w:tabs>
      <w:autoSpaceDE/>
      <w:autoSpaceDN/>
      <w:adjustRightInd/>
      <w:spacing w:line="480" w:lineRule="auto"/>
      <w:ind w:firstLine="270"/>
    </w:pPr>
    <w:rPr>
      <w:rFonts w:ascii="Times New Roman" w:hAnsi="Times New Roman" w:cs="Times New Roman"/>
      <w:snapToGrid w:val="0"/>
      <w:sz w:val="24"/>
    </w:rPr>
  </w:style>
  <w:style w:type="paragraph" w:styleId="BalloonText">
    <w:name w:val="Balloon Text"/>
    <w:basedOn w:val="Normal"/>
    <w:semiHidden/>
    <w:rsid w:val="00E25194"/>
    <w:rPr>
      <w:rFonts w:ascii="Tahoma" w:hAnsi="Tahoma" w:cs="Tahoma"/>
      <w:sz w:val="16"/>
      <w:szCs w:val="16"/>
    </w:rPr>
  </w:style>
  <w:style w:type="character" w:styleId="CommentReference">
    <w:name w:val="annotation reference"/>
    <w:semiHidden/>
    <w:rsid w:val="004948A9"/>
    <w:rPr>
      <w:sz w:val="16"/>
      <w:szCs w:val="16"/>
    </w:rPr>
  </w:style>
  <w:style w:type="paragraph" w:styleId="CommentText">
    <w:name w:val="annotation text"/>
    <w:basedOn w:val="Normal"/>
    <w:semiHidden/>
    <w:rsid w:val="004948A9"/>
  </w:style>
  <w:style w:type="paragraph" w:styleId="CommentSubject">
    <w:name w:val="annotation subject"/>
    <w:basedOn w:val="CommentText"/>
    <w:next w:val="CommentText"/>
    <w:semiHidden/>
    <w:rsid w:val="004948A9"/>
    <w:rPr>
      <w:b/>
      <w:bCs/>
    </w:rPr>
  </w:style>
  <w:style w:type="paragraph" w:styleId="PlainText">
    <w:name w:val="Plain Text"/>
    <w:basedOn w:val="Normal"/>
    <w:rsid w:val="00362D73"/>
    <w:pPr>
      <w:widowControl/>
      <w:autoSpaceDE/>
      <w:autoSpaceDN/>
      <w:adjustRightInd/>
    </w:pPr>
    <w:rPr>
      <w:rFonts w:ascii="Courier New" w:hAnsi="Courier New" w:cs="Times New Roman"/>
    </w:rPr>
  </w:style>
  <w:style w:type="paragraph" w:styleId="Revision">
    <w:name w:val="Revision"/>
    <w:hidden/>
    <w:uiPriority w:val="99"/>
    <w:semiHidden/>
    <w:rsid w:val="00D70008"/>
    <w:rPr>
      <w:rFonts w:ascii="Arial" w:hAnsi="Arial" w:cs="Arial"/>
    </w:rPr>
  </w:style>
  <w:style w:type="paragraph" w:styleId="ListParagraph">
    <w:name w:val="List Paragraph"/>
    <w:basedOn w:val="Normal"/>
    <w:uiPriority w:val="34"/>
    <w:qFormat/>
    <w:rsid w:val="0053545E"/>
    <w:pPr>
      <w:widowControl/>
      <w:autoSpaceDE/>
      <w:autoSpaceDN/>
      <w:adjustRightInd/>
      <w:spacing w:after="200" w:line="276" w:lineRule="auto"/>
      <w:ind w:left="720"/>
      <w:contextualSpacing/>
    </w:pPr>
    <w:rPr>
      <w:rFonts w:ascii="Calibri" w:eastAsia="Calibri" w:hAnsi="Calibri"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Arial" w:hAnsi="Arial" w:cs="Arial"/>
    </w:rPr>
  </w:style>
  <w:style w:type="paragraph" w:styleId="Heading1">
    <w:name w:val="heading 1"/>
    <w:basedOn w:val="Normal"/>
    <w:next w:val="Normal"/>
    <w:qFormat/>
    <w:pPr>
      <w:keepNext/>
      <w:widowControl/>
      <w:spacing w:line="398" w:lineRule="exact"/>
      <w:outlineLvl w:val="0"/>
    </w:pPr>
    <w:rPr>
      <w:sz w:val="24"/>
    </w:rPr>
  </w:style>
  <w:style w:type="paragraph" w:styleId="Heading2">
    <w:name w:val="heading 2"/>
    <w:basedOn w:val="Normal"/>
    <w:next w:val="Normal"/>
    <w:qFormat/>
    <w:pPr>
      <w:keepNext/>
      <w:ind w:left="2160" w:firstLine="72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342AE"/>
    <w:pPr>
      <w:tabs>
        <w:tab w:val="center" w:pos="4320"/>
        <w:tab w:val="right" w:pos="8640"/>
      </w:tabs>
    </w:pPr>
  </w:style>
  <w:style w:type="character" w:styleId="PageNumber">
    <w:name w:val="page number"/>
    <w:basedOn w:val="DefaultParagraphFont"/>
    <w:rsid w:val="001342AE"/>
  </w:style>
  <w:style w:type="paragraph" w:styleId="Footer">
    <w:name w:val="footer"/>
    <w:basedOn w:val="Normal"/>
    <w:rsid w:val="001342AE"/>
    <w:pPr>
      <w:tabs>
        <w:tab w:val="center" w:pos="4320"/>
        <w:tab w:val="right" w:pos="8640"/>
      </w:tabs>
    </w:pPr>
  </w:style>
  <w:style w:type="paragraph" w:styleId="BodyTextIndent2">
    <w:name w:val="Body Text Indent 2"/>
    <w:basedOn w:val="Normal"/>
    <w:rsid w:val="001342AE"/>
    <w:pPr>
      <w:widowControl/>
      <w:tabs>
        <w:tab w:val="left" w:pos="720"/>
        <w:tab w:val="left" w:pos="1440"/>
        <w:tab w:val="left" w:pos="2160"/>
        <w:tab w:val="left" w:pos="5040"/>
        <w:tab w:val="left" w:pos="6480"/>
        <w:tab w:val="left" w:pos="7920"/>
      </w:tabs>
      <w:autoSpaceDE/>
      <w:autoSpaceDN/>
      <w:adjustRightInd/>
      <w:spacing w:line="480" w:lineRule="auto"/>
      <w:ind w:firstLine="270"/>
    </w:pPr>
    <w:rPr>
      <w:rFonts w:ascii="Times New Roman" w:hAnsi="Times New Roman" w:cs="Times New Roman"/>
      <w:snapToGrid w:val="0"/>
      <w:sz w:val="24"/>
    </w:rPr>
  </w:style>
  <w:style w:type="paragraph" w:styleId="BalloonText">
    <w:name w:val="Balloon Text"/>
    <w:basedOn w:val="Normal"/>
    <w:semiHidden/>
    <w:rsid w:val="00E25194"/>
    <w:rPr>
      <w:rFonts w:ascii="Tahoma" w:hAnsi="Tahoma" w:cs="Tahoma"/>
      <w:sz w:val="16"/>
      <w:szCs w:val="16"/>
    </w:rPr>
  </w:style>
  <w:style w:type="character" w:styleId="CommentReference">
    <w:name w:val="annotation reference"/>
    <w:semiHidden/>
    <w:rsid w:val="004948A9"/>
    <w:rPr>
      <w:sz w:val="16"/>
      <w:szCs w:val="16"/>
    </w:rPr>
  </w:style>
  <w:style w:type="paragraph" w:styleId="CommentText">
    <w:name w:val="annotation text"/>
    <w:basedOn w:val="Normal"/>
    <w:semiHidden/>
    <w:rsid w:val="004948A9"/>
  </w:style>
  <w:style w:type="paragraph" w:styleId="CommentSubject">
    <w:name w:val="annotation subject"/>
    <w:basedOn w:val="CommentText"/>
    <w:next w:val="CommentText"/>
    <w:semiHidden/>
    <w:rsid w:val="004948A9"/>
    <w:rPr>
      <w:b/>
      <w:bCs/>
    </w:rPr>
  </w:style>
  <w:style w:type="paragraph" w:styleId="PlainText">
    <w:name w:val="Plain Text"/>
    <w:basedOn w:val="Normal"/>
    <w:rsid w:val="00362D73"/>
    <w:pPr>
      <w:widowControl/>
      <w:autoSpaceDE/>
      <w:autoSpaceDN/>
      <w:adjustRightInd/>
    </w:pPr>
    <w:rPr>
      <w:rFonts w:ascii="Courier New" w:hAnsi="Courier New" w:cs="Times New Roman"/>
    </w:rPr>
  </w:style>
  <w:style w:type="paragraph" w:styleId="Revision">
    <w:name w:val="Revision"/>
    <w:hidden/>
    <w:uiPriority w:val="99"/>
    <w:semiHidden/>
    <w:rsid w:val="00D70008"/>
    <w:rPr>
      <w:rFonts w:ascii="Arial" w:hAnsi="Arial" w:cs="Arial"/>
    </w:rPr>
  </w:style>
  <w:style w:type="paragraph" w:styleId="ListParagraph">
    <w:name w:val="List Paragraph"/>
    <w:basedOn w:val="Normal"/>
    <w:uiPriority w:val="34"/>
    <w:qFormat/>
    <w:rsid w:val="0053545E"/>
    <w:pPr>
      <w:widowControl/>
      <w:autoSpaceDE/>
      <w:autoSpaceDN/>
      <w:adjustRightInd/>
      <w:spacing w:after="200" w:line="276" w:lineRule="auto"/>
      <w:ind w:left="720"/>
      <w:contextualSpacing/>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502656">
      <w:bodyDiv w:val="1"/>
      <w:marLeft w:val="0"/>
      <w:marRight w:val="0"/>
      <w:marTop w:val="0"/>
      <w:marBottom w:val="0"/>
      <w:divBdr>
        <w:top w:val="none" w:sz="0" w:space="0" w:color="auto"/>
        <w:left w:val="none" w:sz="0" w:space="0" w:color="auto"/>
        <w:bottom w:val="none" w:sz="0" w:space="0" w:color="auto"/>
        <w:right w:val="none" w:sz="0" w:space="0" w:color="auto"/>
      </w:divBdr>
    </w:div>
    <w:div w:id="1540043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8C2CB-EB2B-472C-8F77-156D81855241}">
  <ds:schemaRefs>
    <ds:schemaRef ds:uri="http://schemas.openxmlformats.org/officeDocument/2006/bibliography"/>
  </ds:schemaRefs>
</ds:datastoreItem>
</file>

<file path=customXml/itemProps2.xml><?xml version="1.0" encoding="utf-8"?>
<ds:datastoreItem xmlns:ds="http://schemas.openxmlformats.org/officeDocument/2006/customXml" ds:itemID="{A14F61EA-43B2-4D74-9A46-83829911F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11340CDD</Template>
  <TotalTime>57</TotalTime>
  <Pages>5</Pages>
  <Words>1641</Words>
  <Characters>9521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DEPARTMENT OF THE TREASURY</vt:lpstr>
    </vt:vector>
  </TitlesOfParts>
  <Company>ATF</Company>
  <LinksUpToDate>false</LinksUpToDate>
  <CharactersWithSpaces>11140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TREASURY</dc:title>
  <dc:creator>ATF</dc:creator>
  <cp:lastModifiedBy>Wood, Mary A.</cp:lastModifiedBy>
  <cp:revision>7</cp:revision>
  <cp:lastPrinted>2013-02-11T15:22:00Z</cp:lastPrinted>
  <dcterms:created xsi:type="dcterms:W3CDTF">2014-06-24T01:22:00Z</dcterms:created>
  <dcterms:modified xsi:type="dcterms:W3CDTF">2014-06-26T18:44:00Z</dcterms:modified>
</cp:coreProperties>
</file>