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B39" w:rsidRDefault="00EC4B39" w:rsidP="002C3CFF">
      <w:pPr>
        <w:spacing w:after="0" w:line="240" w:lineRule="auto"/>
        <w:jc w:val="center"/>
        <w:rPr>
          <w:b/>
          <w:sz w:val="24"/>
          <w:szCs w:val="24"/>
        </w:rPr>
      </w:pPr>
      <w:bookmarkStart w:id="0" w:name="_GoBack"/>
      <w:bookmarkEnd w:id="0"/>
      <w:r>
        <w:rPr>
          <w:b/>
          <w:sz w:val="24"/>
          <w:szCs w:val="24"/>
        </w:rPr>
        <w:t xml:space="preserve">Supporting Statement for Paperwork Reduction Act Generic Information Collection Submissions for </w:t>
      </w:r>
    </w:p>
    <w:p w:rsidR="00F51CF1" w:rsidRDefault="00EC4B39" w:rsidP="002C3CFF">
      <w:pPr>
        <w:spacing w:after="0" w:line="240" w:lineRule="auto"/>
        <w:jc w:val="center"/>
        <w:outlineLvl w:val="0"/>
        <w:rPr>
          <w:b/>
          <w:sz w:val="24"/>
          <w:szCs w:val="24"/>
        </w:rPr>
      </w:pPr>
      <w:r>
        <w:rPr>
          <w:b/>
          <w:sz w:val="24"/>
          <w:szCs w:val="24"/>
        </w:rPr>
        <w:t>“D</w:t>
      </w:r>
      <w:r w:rsidR="00754ECF">
        <w:rPr>
          <w:b/>
          <w:sz w:val="24"/>
          <w:szCs w:val="24"/>
        </w:rPr>
        <w:t>epartment of Labor</w:t>
      </w:r>
      <w:r>
        <w:rPr>
          <w:b/>
          <w:sz w:val="24"/>
          <w:szCs w:val="24"/>
        </w:rPr>
        <w:t xml:space="preserve"> Generic Clearance for the Collection of Qualitative Feedb</w:t>
      </w:r>
      <w:r w:rsidR="00F51CF1">
        <w:rPr>
          <w:b/>
          <w:sz w:val="24"/>
          <w:szCs w:val="24"/>
        </w:rPr>
        <w:t>ack on Agency Service Delivery”</w:t>
      </w:r>
    </w:p>
    <w:p w:rsidR="00F51CF1" w:rsidRPr="00717B88" w:rsidRDefault="00F51CF1" w:rsidP="002C3CFF">
      <w:pPr>
        <w:spacing w:after="0" w:line="240" w:lineRule="auto"/>
        <w:outlineLvl w:val="0"/>
        <w:rPr>
          <w:sz w:val="24"/>
          <w:szCs w:val="24"/>
        </w:rPr>
      </w:pPr>
    </w:p>
    <w:p w:rsidR="00E31D8F" w:rsidRPr="006F4128" w:rsidRDefault="00E31D8F" w:rsidP="002C3CFF">
      <w:pPr>
        <w:spacing w:after="0" w:line="240" w:lineRule="auto"/>
        <w:outlineLvl w:val="0"/>
        <w:rPr>
          <w:sz w:val="24"/>
          <w:szCs w:val="24"/>
        </w:rPr>
      </w:pPr>
      <w:r>
        <w:rPr>
          <w:sz w:val="24"/>
          <w:szCs w:val="24"/>
        </w:rPr>
        <w:t xml:space="preserve">This Information Collection Request (ICR) seeks to extend PRA authorization for the </w:t>
      </w:r>
      <w:r w:rsidRPr="006F4128">
        <w:rPr>
          <w:sz w:val="24"/>
          <w:szCs w:val="24"/>
        </w:rPr>
        <w:t>Department of Labor (D</w:t>
      </w:r>
      <w:r w:rsidR="006F4128" w:rsidRPr="006F4128">
        <w:rPr>
          <w:sz w:val="24"/>
          <w:szCs w:val="24"/>
        </w:rPr>
        <w:t>O</w:t>
      </w:r>
      <w:r w:rsidRPr="006F4128">
        <w:rPr>
          <w:sz w:val="24"/>
          <w:szCs w:val="24"/>
        </w:rPr>
        <w:t>L</w:t>
      </w:r>
      <w:r w:rsidR="006F4128" w:rsidRPr="006F4128">
        <w:rPr>
          <w:sz w:val="24"/>
          <w:szCs w:val="24"/>
        </w:rPr>
        <w:t>)</w:t>
      </w:r>
      <w:r w:rsidRPr="006F4128">
        <w:rPr>
          <w:sz w:val="24"/>
          <w:szCs w:val="24"/>
        </w:rPr>
        <w:t xml:space="preserve"> Generic Clearance for the Collection of Qualitative Feedback on Agency Service Delivery</w:t>
      </w:r>
      <w:r w:rsidR="006F4128">
        <w:rPr>
          <w:sz w:val="24"/>
          <w:szCs w:val="24"/>
        </w:rPr>
        <w:t xml:space="preserve">.  The ICR includes </w:t>
      </w:r>
      <w:r w:rsidR="008A78D2">
        <w:rPr>
          <w:sz w:val="24"/>
          <w:szCs w:val="24"/>
        </w:rPr>
        <w:t>twelve (12)</w:t>
      </w:r>
      <w:r w:rsidR="006F4128">
        <w:rPr>
          <w:sz w:val="24"/>
          <w:szCs w:val="24"/>
        </w:rPr>
        <w:t xml:space="preserve"> information collection instruments </w:t>
      </w:r>
      <w:r w:rsidR="00484EDD">
        <w:rPr>
          <w:sz w:val="24"/>
          <w:szCs w:val="24"/>
        </w:rPr>
        <w:t xml:space="preserve">to be continued without changes, one </w:t>
      </w:r>
      <w:r w:rsidR="008A78D2">
        <w:rPr>
          <w:sz w:val="24"/>
          <w:szCs w:val="24"/>
        </w:rPr>
        <w:t xml:space="preserve">(1) </w:t>
      </w:r>
      <w:r w:rsidR="00484EDD">
        <w:rPr>
          <w:sz w:val="24"/>
          <w:szCs w:val="24"/>
        </w:rPr>
        <w:t xml:space="preserve">new instrument, and two </w:t>
      </w:r>
      <w:r w:rsidR="008A78D2">
        <w:rPr>
          <w:sz w:val="24"/>
          <w:szCs w:val="24"/>
        </w:rPr>
        <w:t xml:space="preserve">(2) </w:t>
      </w:r>
      <w:r w:rsidR="00484EDD">
        <w:rPr>
          <w:sz w:val="24"/>
          <w:szCs w:val="24"/>
        </w:rPr>
        <w:t>instruments for which the questions will be changed.</w:t>
      </w:r>
      <w:r w:rsidR="009538A2">
        <w:rPr>
          <w:sz w:val="24"/>
          <w:szCs w:val="24"/>
        </w:rPr>
        <w:t xml:space="preserve">  </w:t>
      </w:r>
      <w:r w:rsidR="009538A2">
        <w:rPr>
          <w:sz w:val="24"/>
        </w:rPr>
        <w:t>The Department notes that the ICR is intentionally submitted as an extension request, without change.  The DOL believes this is the most consistent approach to a generic where the terms of the ICR will remain the same.  Were the DOL not to have included the updated instruments in this request, then non-material change requests would have been subsequently submitted to incorporate them.  The method DOL allows the existing instruments to be used while clearance is obtained.</w:t>
      </w:r>
    </w:p>
    <w:p w:rsidR="00F51CF1" w:rsidRDefault="00F51CF1" w:rsidP="002C3CFF">
      <w:pPr>
        <w:spacing w:after="0" w:line="240" w:lineRule="auto"/>
      </w:pPr>
    </w:p>
    <w:p w:rsidR="00EC4B39" w:rsidRDefault="00EC4B39" w:rsidP="002C3CFF">
      <w:pPr>
        <w:pStyle w:val="ListParagraph"/>
        <w:numPr>
          <w:ilvl w:val="0"/>
          <w:numId w:val="1"/>
        </w:numPr>
        <w:spacing w:after="0" w:line="240" w:lineRule="auto"/>
        <w:ind w:left="0"/>
        <w:rPr>
          <w:b/>
        </w:rPr>
      </w:pPr>
      <w:r>
        <w:rPr>
          <w:b/>
        </w:rPr>
        <w:t>JUSTIFICATION</w:t>
      </w:r>
    </w:p>
    <w:p w:rsidR="00EC4B39" w:rsidRDefault="00EC4B39" w:rsidP="002C3CFF">
      <w:pPr>
        <w:pStyle w:val="ListParagraph"/>
        <w:spacing w:after="0" w:line="240" w:lineRule="auto"/>
        <w:ind w:left="0"/>
        <w:rPr>
          <w:b/>
        </w:rPr>
      </w:pPr>
    </w:p>
    <w:p w:rsidR="00EC4B39" w:rsidRDefault="00EC4B39" w:rsidP="002C3CFF">
      <w:pPr>
        <w:pStyle w:val="ListParagraph"/>
        <w:numPr>
          <w:ilvl w:val="0"/>
          <w:numId w:val="2"/>
        </w:numPr>
        <w:spacing w:after="0" w:line="240" w:lineRule="auto"/>
        <w:ind w:left="0"/>
        <w:rPr>
          <w:b/>
        </w:rPr>
      </w:pPr>
      <w:r>
        <w:rPr>
          <w:b/>
        </w:rPr>
        <w:t>Circumstances Making the Collection of Information Necessary</w:t>
      </w:r>
    </w:p>
    <w:p w:rsidR="00EC4B39" w:rsidRDefault="00EC4B39" w:rsidP="002C3CFF">
      <w:pPr>
        <w:pStyle w:val="ListParagraph"/>
        <w:spacing w:after="0" w:line="240" w:lineRule="auto"/>
        <w:ind w:left="0"/>
        <w:rPr>
          <w:b/>
        </w:rPr>
      </w:pPr>
    </w:p>
    <w:p w:rsidR="00EC4B39" w:rsidRDefault="00EC4B39" w:rsidP="002C3CFF">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 the U.S. Department of Labor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EC4B39" w:rsidRDefault="00EC4B39" w:rsidP="002C3CFF">
      <w:pPr>
        <w:spacing w:after="0" w:line="240" w:lineRule="auto"/>
        <w:rPr>
          <w:b/>
        </w:rPr>
      </w:pPr>
    </w:p>
    <w:p w:rsidR="00EC4B39" w:rsidRDefault="00EC4B39" w:rsidP="002C3CFF">
      <w:pPr>
        <w:spacing w:after="0" w:line="240" w:lineRule="auto"/>
      </w:pPr>
      <w:r>
        <w:t>This collection of information is necessary to enable the Agency to garner customer and stakeholder feedback in an efficient, timely manner, in accordance with our commitment to improving service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EC4B39" w:rsidRDefault="00EC4B39" w:rsidP="002C3CFF">
      <w:pPr>
        <w:spacing w:after="0" w:line="240" w:lineRule="auto"/>
      </w:pPr>
    </w:p>
    <w:p w:rsidR="00EC4B39" w:rsidRDefault="00EC4B39" w:rsidP="002C3CFF">
      <w:pPr>
        <w:pStyle w:val="ListParagraph"/>
        <w:numPr>
          <w:ilvl w:val="0"/>
          <w:numId w:val="2"/>
        </w:numPr>
        <w:spacing w:after="0" w:line="240" w:lineRule="auto"/>
        <w:ind w:left="0"/>
        <w:rPr>
          <w:b/>
        </w:rPr>
      </w:pPr>
      <w:r>
        <w:rPr>
          <w:b/>
        </w:rPr>
        <w:t>Purpose and Use of the Information Collection</w:t>
      </w:r>
    </w:p>
    <w:p w:rsidR="00EC4B39" w:rsidRDefault="00EC4B39" w:rsidP="002C3CFF">
      <w:pPr>
        <w:spacing w:after="0" w:line="240" w:lineRule="auto"/>
        <w:rPr>
          <w:highlight w:val="yellow"/>
        </w:rPr>
      </w:pPr>
    </w:p>
    <w:p w:rsidR="00EC4B39" w:rsidRDefault="00EC4B39" w:rsidP="002C3CFF">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w:t>
      </w:r>
      <w:r>
        <w:lastRenderedPageBreak/>
        <w:t>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EC4B39" w:rsidRDefault="00EC4B39" w:rsidP="002C3CFF">
      <w:pPr>
        <w:spacing w:after="0" w:line="240" w:lineRule="auto"/>
      </w:pPr>
    </w:p>
    <w:p w:rsidR="00EC4B39" w:rsidRDefault="00EC4B39" w:rsidP="002C3CFF">
      <w:pPr>
        <w:spacing w:after="0" w:line="240" w:lineRule="auto"/>
      </w:pPr>
      <w:r>
        <w:t xml:space="preserve">The Agency will only submit a collection for approval under this generic clearance if it meets the following conditions:   </w:t>
      </w:r>
    </w:p>
    <w:p w:rsidR="00EC4B39" w:rsidRDefault="00EC4B39" w:rsidP="002C3CFF">
      <w:pPr>
        <w:spacing w:after="0" w:line="240" w:lineRule="auto"/>
      </w:pPr>
    </w:p>
    <w:p w:rsidR="00EC4B39" w:rsidRDefault="00EC4B39" w:rsidP="002C3CFF">
      <w:pPr>
        <w:pStyle w:val="ListParagraph"/>
        <w:numPr>
          <w:ilvl w:val="0"/>
          <w:numId w:val="13"/>
        </w:numPr>
        <w:spacing w:after="0" w:line="240" w:lineRule="auto"/>
      </w:pPr>
      <w:r>
        <w:t>Information gathered will be used</w:t>
      </w:r>
      <w:r w:rsidRPr="00377B51">
        <w:t xml:space="preserve"> </w:t>
      </w:r>
      <w:r>
        <w:t>only internally  for general service improvement and program management purposes and is not intended for release outside of the agency (if released, procedures outlined in Question 16 will be followed);</w:t>
      </w:r>
    </w:p>
    <w:p w:rsidR="00EC4B39" w:rsidRDefault="00EC4B39" w:rsidP="002C3CFF">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t>;</w:t>
      </w:r>
    </w:p>
    <w:p w:rsidR="00EC4B39" w:rsidRDefault="00EC4B39" w:rsidP="002C3CFF">
      <w:pPr>
        <w:pStyle w:val="ListParagraph"/>
        <w:numPr>
          <w:ilvl w:val="0"/>
          <w:numId w:val="9"/>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  </w:t>
      </w:r>
    </w:p>
    <w:p w:rsidR="00EC4B39" w:rsidRDefault="00EC4B39" w:rsidP="002C3CFF">
      <w:pPr>
        <w:pStyle w:val="ListParagraph"/>
        <w:numPr>
          <w:ilvl w:val="0"/>
          <w:numId w:val="9"/>
        </w:numPr>
        <w:spacing w:after="0" w:line="240" w:lineRule="auto"/>
      </w:pPr>
      <w:r>
        <w:t>The collections are voluntary;</w:t>
      </w:r>
    </w:p>
    <w:p w:rsidR="00EC4B39" w:rsidRDefault="00EC4B39" w:rsidP="002C3CFF">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EC4B39" w:rsidRDefault="00EC4B39" w:rsidP="002C3CFF">
      <w:pPr>
        <w:pStyle w:val="ListParagraph"/>
        <w:numPr>
          <w:ilvl w:val="0"/>
          <w:numId w:val="9"/>
        </w:numPr>
        <w:spacing w:after="0" w:line="240" w:lineRule="auto"/>
      </w:pPr>
      <w:r>
        <w:t xml:space="preserve">The collections are non-controversial and do not raise issues of  concern to other Federal agencies; </w:t>
      </w:r>
    </w:p>
    <w:p w:rsidR="00EC4B39" w:rsidRDefault="00EC4B39" w:rsidP="002C3CFF">
      <w:pPr>
        <w:pStyle w:val="ListParagraph"/>
        <w:numPr>
          <w:ilvl w:val="0"/>
          <w:numId w:val="9"/>
        </w:numPr>
        <w:spacing w:after="0" w:line="240" w:lineRule="auto"/>
      </w:pPr>
      <w:r>
        <w:t>Any collection is targeted to the solicitation of opinions from respondents who have experience with the program or may have experience with the program in the near future; and</w:t>
      </w:r>
    </w:p>
    <w:p w:rsidR="00EC4B39" w:rsidRDefault="00EC4B39" w:rsidP="002C3CFF">
      <w:pPr>
        <w:pStyle w:val="ListParagraph"/>
        <w:numPr>
          <w:ilvl w:val="0"/>
          <w:numId w:val="9"/>
        </w:numPr>
        <w:spacing w:after="0" w:line="240" w:lineRule="auto"/>
      </w:pPr>
      <w:r>
        <w:t xml:space="preserve">With the exception of information needed to provide remuneration for participants of focus groups and cognitive laboratory studies, personally identifiable information (PII) is collected only to the extent necessary and is not retained. </w:t>
      </w:r>
    </w:p>
    <w:p w:rsidR="00EC4B39" w:rsidRDefault="00EC4B39" w:rsidP="002C3CFF">
      <w:pPr>
        <w:pStyle w:val="ListParagraph"/>
        <w:spacing w:after="0" w:line="240" w:lineRule="auto"/>
        <w:ind w:left="360"/>
      </w:pPr>
    </w:p>
    <w:p w:rsidR="00EC4B39" w:rsidRDefault="00EC4B39" w:rsidP="002C3CFF">
      <w:pPr>
        <w:spacing w:after="0" w:line="240" w:lineRule="auto"/>
      </w:pPr>
      <w:r>
        <w:t xml:space="preserve">If these conditions are not met, the Agency will submit an information collection request to OMB for approval through the normal PRA process.  </w:t>
      </w:r>
    </w:p>
    <w:p w:rsidR="00EC4B39" w:rsidRDefault="00EC4B39" w:rsidP="002C3CFF">
      <w:pPr>
        <w:spacing w:after="0" w:line="240" w:lineRule="auto"/>
      </w:pPr>
    </w:p>
    <w:p w:rsidR="00EC4B39" w:rsidRDefault="00EC4B39" w:rsidP="002C3CFF">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00717B88">
        <w:t>five (</w:t>
      </w:r>
      <w:r w:rsidRPr="003A7A16">
        <w:t>5</w:t>
      </w:r>
      <w:r w:rsidR="00717B88">
        <w:t>)</w:t>
      </w:r>
      <w:r w:rsidRPr="003A7A16">
        <w:t xml:space="preserve"> business days</w:t>
      </w:r>
      <w:r>
        <w:t>.</w:t>
      </w:r>
    </w:p>
    <w:p w:rsidR="00EC4B39" w:rsidRDefault="00EC4B39" w:rsidP="002C3CFF">
      <w:pPr>
        <w:spacing w:after="0" w:line="240" w:lineRule="auto"/>
      </w:pPr>
    </w:p>
    <w:p w:rsidR="00EC4B39" w:rsidRDefault="00EC4B39" w:rsidP="002C3CFF">
      <w:pPr>
        <w:spacing w:after="0" w:line="240" w:lineRule="auto"/>
      </w:pPr>
      <w:r>
        <w:t>The types of collections that this generic clearance covers include, but are not limited to:</w:t>
      </w:r>
    </w:p>
    <w:p w:rsidR="00EC4B39" w:rsidRDefault="00EC4B39" w:rsidP="002C3CFF">
      <w:pPr>
        <w:pStyle w:val="ListParagraph"/>
        <w:numPr>
          <w:ilvl w:val="0"/>
          <w:numId w:val="15"/>
        </w:numPr>
        <w:spacing w:after="0" w:line="240" w:lineRule="auto"/>
      </w:pPr>
      <w:r>
        <w:t>Customer comment cards/complaint forms</w:t>
      </w:r>
    </w:p>
    <w:p w:rsidR="00EC4B39" w:rsidRDefault="00EC4B39" w:rsidP="002C3CFF">
      <w:pPr>
        <w:pStyle w:val="ListParagraph"/>
        <w:numPr>
          <w:ilvl w:val="0"/>
          <w:numId w:val="15"/>
        </w:numPr>
        <w:spacing w:after="0" w:line="240" w:lineRule="auto"/>
      </w:pPr>
      <w:r>
        <w:t>Small discussion groups</w:t>
      </w:r>
    </w:p>
    <w:p w:rsidR="00EC4B39" w:rsidRDefault="00EC4B39" w:rsidP="002C3CFF">
      <w:pPr>
        <w:pStyle w:val="ListParagraph"/>
        <w:numPr>
          <w:ilvl w:val="0"/>
          <w:numId w:val="15"/>
        </w:numPr>
        <w:spacing w:after="0" w:line="240" w:lineRule="auto"/>
      </w:pPr>
      <w:r>
        <w:t xml:space="preserve"> Focus Groups of customers, potential customers, delivery partners, or other stakeholders</w:t>
      </w:r>
    </w:p>
    <w:p w:rsidR="00EC4B39" w:rsidRDefault="00EC4B39" w:rsidP="002C3CFF">
      <w:pPr>
        <w:pStyle w:val="ListParagraph"/>
        <w:numPr>
          <w:ilvl w:val="0"/>
          <w:numId w:val="15"/>
        </w:numPr>
        <w:spacing w:after="0" w:line="240" w:lineRule="auto"/>
      </w:pPr>
      <w:r>
        <w:t>Cognitive laboratory studies, such as those used to refine questions or assess usability of a website;</w:t>
      </w:r>
    </w:p>
    <w:p w:rsidR="00EC4B39" w:rsidRDefault="00EC4B39" w:rsidP="002C3CFF">
      <w:pPr>
        <w:pStyle w:val="ListParagraph"/>
        <w:numPr>
          <w:ilvl w:val="0"/>
          <w:numId w:val="15"/>
        </w:numPr>
        <w:spacing w:after="0" w:line="240" w:lineRule="auto"/>
      </w:pPr>
      <w:r>
        <w:lastRenderedPageBreak/>
        <w:t>Qualitative customer satisfaction surveys (e.g., post-transaction surveys; opt-out web surveys)</w:t>
      </w:r>
    </w:p>
    <w:p w:rsidR="00EC4B39" w:rsidRDefault="00EC4B39" w:rsidP="002C3CFF">
      <w:pPr>
        <w:pStyle w:val="ListParagraph"/>
        <w:numPr>
          <w:ilvl w:val="0"/>
          <w:numId w:val="15"/>
        </w:numPr>
        <w:spacing w:after="0" w:line="240" w:lineRule="auto"/>
      </w:pPr>
      <w:r>
        <w:t>In-person observation testing (e.g., website or software usability tests)</w:t>
      </w:r>
    </w:p>
    <w:p w:rsidR="00EC4B39" w:rsidRDefault="00EC4B39" w:rsidP="002C3CFF">
      <w:pPr>
        <w:spacing w:after="0" w:line="240" w:lineRule="auto"/>
      </w:pPr>
    </w:p>
    <w:p w:rsidR="00EC4B39" w:rsidRDefault="00EC4B39" w:rsidP="002C3CFF">
      <w:pPr>
        <w:spacing w:after="0" w:line="240" w:lineRule="auto"/>
      </w:pPr>
      <w: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EC4B39" w:rsidRDefault="00EC4B39" w:rsidP="002C3CFF">
      <w:pPr>
        <w:spacing w:after="0" w:line="240" w:lineRule="auto"/>
      </w:pPr>
    </w:p>
    <w:p w:rsidR="00EC4B39" w:rsidRDefault="00EC4B39" w:rsidP="002C3CFF">
      <w:pPr>
        <w:pStyle w:val="ListParagraph"/>
        <w:numPr>
          <w:ilvl w:val="0"/>
          <w:numId w:val="2"/>
        </w:numPr>
        <w:spacing w:after="0" w:line="240" w:lineRule="auto"/>
        <w:ind w:left="0"/>
        <w:rPr>
          <w:b/>
        </w:rPr>
      </w:pPr>
      <w:r>
        <w:rPr>
          <w:b/>
        </w:rPr>
        <w:t>Consideration Given to Information Technology</w:t>
      </w:r>
    </w:p>
    <w:p w:rsidR="00EC4B39" w:rsidRDefault="00EC4B39" w:rsidP="002C3CFF">
      <w:pPr>
        <w:spacing w:after="0" w:line="240" w:lineRule="auto"/>
        <w:rPr>
          <w:highlight w:val="yellow"/>
        </w:rPr>
      </w:pPr>
    </w:p>
    <w:p w:rsidR="00EC4B39" w:rsidRDefault="00EC4B39" w:rsidP="002C3CFF">
      <w:pPr>
        <w:spacing w:after="0" w:line="240" w:lineRule="auto"/>
      </w:pPr>
      <w:r>
        <w:t>If appropriate, agencies will collect information electronically and/or use online collaboration tools to reduce burden.</w:t>
      </w:r>
    </w:p>
    <w:p w:rsidR="00EC4B39" w:rsidRDefault="00EC4B39" w:rsidP="002C3CFF">
      <w:pPr>
        <w:spacing w:after="0" w:line="240" w:lineRule="auto"/>
      </w:pPr>
    </w:p>
    <w:p w:rsidR="00EC4B39" w:rsidRDefault="00EC4B39" w:rsidP="002C3CFF">
      <w:pPr>
        <w:spacing w:after="0" w:line="240" w:lineRule="auto"/>
      </w:pPr>
    </w:p>
    <w:p w:rsidR="00EC4B39" w:rsidRDefault="00EC4B39" w:rsidP="002C3CFF">
      <w:pPr>
        <w:pStyle w:val="ListParagraph"/>
        <w:numPr>
          <w:ilvl w:val="0"/>
          <w:numId w:val="2"/>
        </w:numPr>
        <w:spacing w:after="0" w:line="240" w:lineRule="auto"/>
        <w:ind w:left="0"/>
        <w:rPr>
          <w:b/>
        </w:rPr>
      </w:pPr>
      <w:r>
        <w:rPr>
          <w:b/>
        </w:rPr>
        <w:t xml:space="preserve"> Duplication of Information</w:t>
      </w:r>
    </w:p>
    <w:p w:rsidR="00EC4B39" w:rsidRDefault="00EC4B39" w:rsidP="002C3CFF">
      <w:pPr>
        <w:spacing w:after="0" w:line="240" w:lineRule="auto"/>
      </w:pPr>
    </w:p>
    <w:p w:rsidR="00EC4B39" w:rsidRDefault="00EC4B39" w:rsidP="002C3CFF">
      <w:pPr>
        <w:spacing w:after="0" w:line="240" w:lineRule="auto"/>
      </w:pPr>
      <w:r>
        <w:t xml:space="preserve">No similar data are gathered or maintained by the Agency or are available from other sources known to </w:t>
      </w:r>
      <w:r w:rsidRPr="002A35E6">
        <w:t>the Agency.</w:t>
      </w:r>
    </w:p>
    <w:p w:rsidR="00EC4B39" w:rsidRDefault="00EC4B39" w:rsidP="002C3CFF">
      <w:pPr>
        <w:spacing w:after="0" w:line="240" w:lineRule="auto"/>
      </w:pPr>
    </w:p>
    <w:p w:rsidR="00EC4B39" w:rsidRDefault="00EC4B39" w:rsidP="002C3CFF">
      <w:pPr>
        <w:pStyle w:val="ListParagraph"/>
        <w:numPr>
          <w:ilvl w:val="0"/>
          <w:numId w:val="2"/>
        </w:numPr>
        <w:spacing w:after="0" w:line="240" w:lineRule="auto"/>
        <w:ind w:left="0"/>
        <w:rPr>
          <w:b/>
        </w:rPr>
      </w:pPr>
      <w:r>
        <w:rPr>
          <w:b/>
        </w:rPr>
        <w:t xml:space="preserve"> Reducing the Burden on Small Entities</w:t>
      </w:r>
    </w:p>
    <w:p w:rsidR="00EC4B39" w:rsidRDefault="00EC4B39" w:rsidP="002C3CFF">
      <w:pPr>
        <w:pStyle w:val="ListParagraph"/>
        <w:spacing w:after="0" w:line="240" w:lineRule="auto"/>
        <w:ind w:left="0"/>
        <w:rPr>
          <w:b/>
        </w:rPr>
      </w:pPr>
    </w:p>
    <w:p w:rsidR="00EC4B39" w:rsidRDefault="00EC4B39" w:rsidP="002C3CFF">
      <w:pPr>
        <w:spacing w:after="0" w:line="240" w:lineRule="auto"/>
      </w:pPr>
      <w: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EC4B39" w:rsidRDefault="00EC4B39" w:rsidP="002C3CFF">
      <w:pPr>
        <w:spacing w:after="0" w:line="240" w:lineRule="auto"/>
      </w:pPr>
    </w:p>
    <w:p w:rsidR="00EC4B39" w:rsidRDefault="00EC4B39" w:rsidP="002C3CFF">
      <w:pPr>
        <w:pStyle w:val="ListParagraph"/>
        <w:numPr>
          <w:ilvl w:val="0"/>
          <w:numId w:val="2"/>
        </w:numPr>
        <w:spacing w:after="0" w:line="240" w:lineRule="auto"/>
        <w:ind w:left="0"/>
        <w:rPr>
          <w:b/>
        </w:rPr>
      </w:pPr>
      <w:r>
        <w:rPr>
          <w:b/>
        </w:rPr>
        <w:t xml:space="preserve">Consequences of Not Conducting Collection </w:t>
      </w:r>
    </w:p>
    <w:p w:rsidR="00EC4B39" w:rsidRDefault="00EC4B39" w:rsidP="002C3CFF">
      <w:pPr>
        <w:pStyle w:val="ListParagraph"/>
        <w:spacing w:after="0" w:line="240" w:lineRule="auto"/>
        <w:ind w:left="0"/>
        <w:rPr>
          <w:b/>
        </w:rPr>
      </w:pPr>
    </w:p>
    <w:p w:rsidR="00EC4B39" w:rsidRDefault="00EC4B39" w:rsidP="002C3CFF">
      <w:pPr>
        <w:spacing w:after="0" w:line="240" w:lineRule="auto"/>
      </w:pPr>
      <w:r>
        <w:t>Without these types of feedback, the Agency will not have timely information to adjust its services to meet customer needs.</w:t>
      </w:r>
    </w:p>
    <w:p w:rsidR="00EC4B39" w:rsidRDefault="00EC4B39" w:rsidP="002C3CFF">
      <w:pPr>
        <w:spacing w:after="0" w:line="240" w:lineRule="auto"/>
      </w:pPr>
    </w:p>
    <w:p w:rsidR="00EC4B39" w:rsidRDefault="00EC4B39" w:rsidP="002C3CFF">
      <w:pPr>
        <w:pStyle w:val="ListParagraph"/>
        <w:numPr>
          <w:ilvl w:val="0"/>
          <w:numId w:val="2"/>
        </w:numPr>
        <w:spacing w:after="0" w:line="240" w:lineRule="auto"/>
        <w:ind w:left="0"/>
        <w:rPr>
          <w:b/>
        </w:rPr>
      </w:pPr>
      <w:r>
        <w:rPr>
          <w:b/>
        </w:rPr>
        <w:t>Special Circumstances</w:t>
      </w:r>
    </w:p>
    <w:p w:rsidR="00EC4B39" w:rsidRDefault="00EC4B39" w:rsidP="002C3CFF">
      <w:pPr>
        <w:pStyle w:val="ListParagraph"/>
        <w:spacing w:after="0" w:line="240" w:lineRule="auto"/>
        <w:ind w:left="0"/>
        <w:rPr>
          <w:b/>
        </w:rPr>
      </w:pPr>
    </w:p>
    <w:p w:rsidR="00EC4B39" w:rsidRDefault="00EC4B39" w:rsidP="002C3CFF">
      <w:pPr>
        <w:spacing w:after="0" w:line="240" w:lineRule="auto"/>
      </w:pPr>
      <w:r>
        <w:t>There are no special circumstances.  The information collected will be voluntary and will not be used for statistical purposes.</w:t>
      </w:r>
    </w:p>
    <w:p w:rsidR="00EC4B39" w:rsidRDefault="00EC4B39" w:rsidP="002C3CFF">
      <w:pPr>
        <w:spacing w:after="0" w:line="240" w:lineRule="auto"/>
      </w:pPr>
    </w:p>
    <w:p w:rsidR="00EC4B39" w:rsidRDefault="00EC4B39" w:rsidP="002C3CFF">
      <w:pPr>
        <w:pStyle w:val="ListParagraph"/>
        <w:numPr>
          <w:ilvl w:val="0"/>
          <w:numId w:val="2"/>
        </w:numPr>
        <w:spacing w:after="0" w:line="240" w:lineRule="auto"/>
        <w:ind w:left="0"/>
        <w:rPr>
          <w:b/>
        </w:rPr>
      </w:pPr>
      <w:r>
        <w:rPr>
          <w:b/>
        </w:rPr>
        <w:t>Consultations with Persons Outside the Agency</w:t>
      </w:r>
    </w:p>
    <w:p w:rsidR="00EC4B39" w:rsidRDefault="00EC4B39" w:rsidP="002C3CFF">
      <w:pPr>
        <w:pStyle w:val="ListParagraph"/>
        <w:spacing w:after="0" w:line="240" w:lineRule="auto"/>
        <w:ind w:left="0"/>
        <w:rPr>
          <w:b/>
        </w:rPr>
      </w:pPr>
    </w:p>
    <w:p w:rsidR="00EC4B39" w:rsidRDefault="00EC4B39" w:rsidP="002C3CFF">
      <w:pPr>
        <w:spacing w:after="0" w:line="240" w:lineRule="auto"/>
      </w:pPr>
      <w:r>
        <w:t>In accordance with 5 CFR 1320.8(d</w:t>
      </w:r>
      <w:r w:rsidRPr="001E44AB">
        <w:t xml:space="preserve">), </w:t>
      </w:r>
      <w:r w:rsidR="0021440C">
        <w:t xml:space="preserve">on March 28, 2014, the DOL published a notice in the Federal Register to announce </w:t>
      </w:r>
      <w:r w:rsidRPr="001E44AB">
        <w:t xml:space="preserve">a 60-day public comment </w:t>
      </w:r>
      <w:r w:rsidR="0026358E">
        <w:t>period</w:t>
      </w:r>
      <w:r w:rsidRPr="001E44AB">
        <w:t xml:space="preserve">.  </w:t>
      </w:r>
      <w:r w:rsidR="0026358E" w:rsidRPr="006557FA">
        <w:rPr>
          <w:i/>
        </w:rPr>
        <w:t>See</w:t>
      </w:r>
      <w:r w:rsidR="0026358E">
        <w:t xml:space="preserve"> </w:t>
      </w:r>
      <w:r w:rsidR="006557FA">
        <w:t xml:space="preserve">79 FR 17578.  </w:t>
      </w:r>
      <w:r>
        <w:t>No comments were received.</w:t>
      </w:r>
    </w:p>
    <w:p w:rsidR="00EC4B39" w:rsidRDefault="00EC4B39" w:rsidP="002C3CFF">
      <w:pPr>
        <w:spacing w:after="0" w:line="240" w:lineRule="auto"/>
      </w:pPr>
    </w:p>
    <w:p w:rsidR="00EC4B39" w:rsidRDefault="00EC4B39" w:rsidP="002C3CFF">
      <w:pPr>
        <w:pStyle w:val="ListParagraph"/>
        <w:numPr>
          <w:ilvl w:val="0"/>
          <w:numId w:val="2"/>
        </w:numPr>
        <w:spacing w:after="0" w:line="240" w:lineRule="auto"/>
        <w:ind w:left="0"/>
        <w:rPr>
          <w:b/>
        </w:rPr>
      </w:pPr>
      <w:r>
        <w:rPr>
          <w:b/>
        </w:rPr>
        <w:t>Payment or Gift</w:t>
      </w:r>
    </w:p>
    <w:p w:rsidR="00EC4B39" w:rsidRDefault="00EC4B39" w:rsidP="002C3CFF">
      <w:pPr>
        <w:spacing w:after="0" w:line="240" w:lineRule="auto"/>
      </w:pPr>
    </w:p>
    <w:p w:rsidR="00EC4B39" w:rsidRDefault="00EC4B39" w:rsidP="002C3CFF">
      <w:pPr>
        <w:spacing w:after="0" w:line="240" w:lineRule="auto"/>
      </w:pPr>
      <w:r w:rsidRPr="00AC2497">
        <w:t xml:space="preserve">The Agency </w:t>
      </w:r>
      <w:r>
        <w:t>will not provide payment or other forms of remuneration to respondents of its various forms of collecting feedback.  Focus groups and cognitive laboratory studies are the exceptions.</w:t>
      </w:r>
    </w:p>
    <w:p w:rsidR="00EC4B39" w:rsidRDefault="00EC4B39" w:rsidP="002C3CFF">
      <w:pPr>
        <w:spacing w:after="0" w:line="240" w:lineRule="auto"/>
      </w:pPr>
      <w:r>
        <w:t xml:space="preserve"> </w:t>
      </w:r>
    </w:p>
    <w:p w:rsidR="00EC4B39" w:rsidRDefault="00EC4B39" w:rsidP="002C3CFF">
      <w:pPr>
        <w:spacing w:after="0" w:line="240" w:lineRule="auto"/>
      </w:pPr>
      <w:r>
        <w:t>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EC4B39" w:rsidRDefault="00EC4B39" w:rsidP="002C3CFF">
      <w:pPr>
        <w:spacing w:after="0" w:line="240" w:lineRule="auto"/>
      </w:pPr>
    </w:p>
    <w:p w:rsidR="00EC4B39" w:rsidRDefault="00EC4B39" w:rsidP="002C3CFF">
      <w:pPr>
        <w:pStyle w:val="ListParagraph"/>
        <w:numPr>
          <w:ilvl w:val="0"/>
          <w:numId w:val="2"/>
        </w:numPr>
        <w:spacing w:after="0" w:line="240" w:lineRule="auto"/>
        <w:ind w:left="0"/>
        <w:rPr>
          <w:b/>
        </w:rPr>
      </w:pPr>
      <w:r>
        <w:rPr>
          <w:b/>
        </w:rPr>
        <w:t xml:space="preserve"> Confidentiality </w:t>
      </w:r>
    </w:p>
    <w:p w:rsidR="00EC4B39" w:rsidRDefault="00EC4B39" w:rsidP="002C3CFF">
      <w:pPr>
        <w:spacing w:after="0" w:line="240" w:lineRule="auto"/>
      </w:pPr>
    </w:p>
    <w:p w:rsidR="00EC4B39" w:rsidRDefault="00EC4B39" w:rsidP="002C3CFF">
      <w:pPr>
        <w:spacing w:after="0" w:line="240" w:lineRule="auto"/>
      </w:pPr>
      <w:r>
        <w:t xml:space="preserve"> </w:t>
      </w: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EC4B39" w:rsidRDefault="00EC4B39" w:rsidP="002C3CFF">
      <w:pPr>
        <w:spacing w:after="0" w:line="240" w:lineRule="auto"/>
      </w:pPr>
    </w:p>
    <w:p w:rsidR="00EC4B39" w:rsidRDefault="00EC4B39" w:rsidP="002C3CFF">
      <w:pPr>
        <w:pStyle w:val="ListParagraph"/>
        <w:numPr>
          <w:ilvl w:val="0"/>
          <w:numId w:val="2"/>
        </w:numPr>
        <w:spacing w:after="0" w:line="240" w:lineRule="auto"/>
        <w:ind w:left="0"/>
        <w:rPr>
          <w:b/>
        </w:rPr>
      </w:pPr>
      <w:r>
        <w:rPr>
          <w:b/>
        </w:rPr>
        <w:t>Sensitive Nature</w:t>
      </w:r>
    </w:p>
    <w:p w:rsidR="00EC4B39" w:rsidRDefault="00EC4B39" w:rsidP="002C3CFF">
      <w:pPr>
        <w:pStyle w:val="ListParagraph"/>
        <w:spacing w:after="0" w:line="240" w:lineRule="auto"/>
        <w:ind w:left="0"/>
        <w:rPr>
          <w:b/>
        </w:rPr>
      </w:pPr>
    </w:p>
    <w:p w:rsidR="00EC4B39" w:rsidRDefault="00EC4B39" w:rsidP="002C3CFF">
      <w:pPr>
        <w:spacing w:after="0" w:line="240" w:lineRule="auto"/>
      </w:pPr>
      <w:r>
        <w:t>No questions will be asked that are of a personal or sensitive nature.</w:t>
      </w:r>
    </w:p>
    <w:p w:rsidR="00EC4B39" w:rsidRDefault="00EC4B39" w:rsidP="002C3CFF">
      <w:pPr>
        <w:spacing w:after="0" w:line="240" w:lineRule="auto"/>
      </w:pPr>
    </w:p>
    <w:p w:rsidR="00EC4B39" w:rsidRDefault="00EC4B39" w:rsidP="002C3CFF">
      <w:pPr>
        <w:pStyle w:val="ListParagraph"/>
        <w:numPr>
          <w:ilvl w:val="0"/>
          <w:numId w:val="2"/>
        </w:numPr>
        <w:spacing w:after="0" w:line="240" w:lineRule="auto"/>
        <w:ind w:left="0"/>
        <w:rPr>
          <w:b/>
        </w:rPr>
      </w:pPr>
      <w:r>
        <w:rPr>
          <w:b/>
        </w:rPr>
        <w:t>Burden of Information Collection</w:t>
      </w:r>
    </w:p>
    <w:p w:rsidR="00EC4B39" w:rsidRDefault="00EC4B39" w:rsidP="002C3CFF">
      <w:pPr>
        <w:spacing w:after="0" w:line="240" w:lineRule="auto"/>
      </w:pPr>
    </w:p>
    <w:p w:rsidR="00EC4B39" w:rsidRDefault="00EC4B39" w:rsidP="002C3CFF">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w:t>
      </w:r>
      <w:r w:rsidR="000523E3">
        <w:t>annual time</w:t>
      </w:r>
      <w:r w:rsidR="003814D2">
        <w:t xml:space="preserve"> </w:t>
      </w:r>
      <w:r>
        <w:t>burden requested (</w:t>
      </w:r>
      <w:r w:rsidR="00D07197">
        <w:t>41,461 hours</w:t>
      </w:r>
      <w:r>
        <w:t xml:space="preserve">) </w:t>
      </w:r>
      <w:r w:rsidR="003814D2">
        <w:t>is</w:t>
      </w:r>
      <w:r>
        <w:t xml:space="preserve"> based on the number of collections </w:t>
      </w:r>
      <w:r w:rsidR="00D0579C">
        <w:t>the DOL</w:t>
      </w:r>
      <w:r>
        <w:t xml:space="preserve"> expect</w:t>
      </w:r>
      <w:r w:rsidR="00D0579C">
        <w:t>s</w:t>
      </w:r>
      <w:r>
        <w:t xml:space="preserve"> to conduct over the requested period for this clearance</w:t>
      </w:r>
      <w:r w:rsidR="000C6BFA">
        <w:t>, including ongoing and collections submitted as part of this ICR</w:t>
      </w:r>
      <w:r w:rsidR="00A4550A">
        <w:t>.</w:t>
      </w:r>
    </w:p>
    <w:p w:rsidR="00EC4B39" w:rsidRDefault="00EC4B39" w:rsidP="002C3CFF">
      <w:pPr>
        <w:spacing w:after="0" w:line="240" w:lineRule="auto"/>
      </w:pPr>
    </w:p>
    <w:p w:rsidR="00EC4B39" w:rsidRPr="00314133" w:rsidRDefault="002F2446" w:rsidP="002C3CFF">
      <w:pPr>
        <w:spacing w:after="0" w:line="240" w:lineRule="auto"/>
        <w:rPr>
          <w:b/>
          <w:i/>
          <w:sz w:val="24"/>
        </w:rPr>
      </w:pPr>
      <w:r>
        <w:rPr>
          <w:b/>
          <w:i/>
          <w:sz w:val="24"/>
        </w:rPr>
        <w:t>Table 1—</w:t>
      </w:r>
      <w:r w:rsidR="00C608A0" w:rsidRPr="00314133">
        <w:rPr>
          <w:b/>
          <w:i/>
          <w:sz w:val="24"/>
        </w:rPr>
        <w:t>Estimated Annual Reporting Burden for Upcoming Collections</w:t>
      </w:r>
    </w:p>
    <w:tbl>
      <w:tblPr>
        <w:tblW w:w="0" w:type="auto"/>
        <w:tblLayout w:type="fixed"/>
        <w:tblCellMar>
          <w:left w:w="102" w:type="dxa"/>
          <w:right w:w="102" w:type="dxa"/>
        </w:tblCellMar>
        <w:tblLook w:val="0000" w:firstRow="0" w:lastRow="0" w:firstColumn="0" w:lastColumn="0" w:noHBand="0" w:noVBand="0"/>
      </w:tblPr>
      <w:tblGrid>
        <w:gridCol w:w="2712"/>
        <w:gridCol w:w="2160"/>
        <w:gridCol w:w="1428"/>
        <w:gridCol w:w="1542"/>
        <w:gridCol w:w="1518"/>
      </w:tblGrid>
      <w:tr w:rsidR="00EC4B39" w:rsidRPr="00E12CAC" w:rsidTr="00765585">
        <w:tc>
          <w:tcPr>
            <w:tcW w:w="2712" w:type="dxa"/>
            <w:tcBorders>
              <w:top w:val="single" w:sz="6" w:space="0" w:color="000000"/>
              <w:left w:val="single" w:sz="6" w:space="0" w:color="000000"/>
              <w:bottom w:val="single" w:sz="6" w:space="0" w:color="FFFFFF"/>
              <w:right w:val="single" w:sz="6" w:space="0" w:color="FFFFFF"/>
            </w:tcBorders>
          </w:tcPr>
          <w:p w:rsidR="00EC4B39" w:rsidRPr="0059004B" w:rsidRDefault="00EC4B39" w:rsidP="002C3CFF">
            <w:pPr>
              <w:spacing w:after="0" w:line="240" w:lineRule="auto"/>
              <w:rPr>
                <w:b/>
              </w:rPr>
            </w:pPr>
          </w:p>
          <w:p w:rsidR="00EC4B39" w:rsidRPr="0059004B" w:rsidRDefault="00EC4B39" w:rsidP="002C3CFF">
            <w:pPr>
              <w:tabs>
                <w:tab w:val="left" w:pos="-1080"/>
                <w:tab w:val="left" w:pos="-720"/>
                <w:tab w:val="left" w:pos="0"/>
                <w:tab w:val="left" w:pos="450"/>
                <w:tab w:val="left" w:pos="720"/>
                <w:tab w:val="left" w:pos="2160"/>
              </w:tabs>
              <w:spacing w:after="0" w:line="240" w:lineRule="auto"/>
              <w:jc w:val="center"/>
              <w:rPr>
                <w:b/>
              </w:rPr>
            </w:pPr>
            <w:r w:rsidRPr="0059004B">
              <w:rPr>
                <w:b/>
              </w:rPr>
              <w:t>Type of Collection</w:t>
            </w:r>
          </w:p>
        </w:tc>
        <w:tc>
          <w:tcPr>
            <w:tcW w:w="2160" w:type="dxa"/>
            <w:tcBorders>
              <w:top w:val="single" w:sz="6" w:space="0" w:color="000000"/>
              <w:left w:val="single" w:sz="6" w:space="0" w:color="000000"/>
              <w:bottom w:val="single" w:sz="6" w:space="0" w:color="FFFFFF"/>
              <w:right w:val="single" w:sz="6" w:space="0" w:color="FFFFFF"/>
            </w:tcBorders>
          </w:tcPr>
          <w:p w:rsidR="00EC4B39" w:rsidRPr="0059004B" w:rsidRDefault="00EC4B39" w:rsidP="002C3CFF">
            <w:pPr>
              <w:spacing w:after="0" w:line="240" w:lineRule="auto"/>
              <w:rPr>
                <w:b/>
              </w:rPr>
            </w:pPr>
          </w:p>
          <w:p w:rsidR="00EC4B39" w:rsidRPr="0059004B" w:rsidRDefault="00EC4B39" w:rsidP="002C3CFF">
            <w:pPr>
              <w:tabs>
                <w:tab w:val="left" w:pos="-1080"/>
                <w:tab w:val="left" w:pos="-720"/>
                <w:tab w:val="left" w:pos="0"/>
                <w:tab w:val="left" w:pos="450"/>
                <w:tab w:val="left" w:pos="720"/>
                <w:tab w:val="left" w:pos="2160"/>
              </w:tabs>
              <w:spacing w:after="0" w:line="240" w:lineRule="auto"/>
              <w:jc w:val="center"/>
              <w:rPr>
                <w:b/>
              </w:rPr>
            </w:pPr>
            <w:r w:rsidRPr="0059004B">
              <w:rPr>
                <w:b/>
              </w:rPr>
              <w:t>No. of Respondents</w:t>
            </w:r>
          </w:p>
        </w:tc>
        <w:tc>
          <w:tcPr>
            <w:tcW w:w="1428" w:type="dxa"/>
            <w:tcBorders>
              <w:top w:val="single" w:sz="6" w:space="0" w:color="000000"/>
              <w:left w:val="single" w:sz="6" w:space="0" w:color="000000"/>
              <w:bottom w:val="single" w:sz="6" w:space="0" w:color="FFFFFF"/>
              <w:right w:val="single" w:sz="6" w:space="0" w:color="FFFFFF"/>
            </w:tcBorders>
          </w:tcPr>
          <w:p w:rsidR="00EC4B39" w:rsidRPr="0059004B" w:rsidRDefault="00EC4B39" w:rsidP="002C3CFF">
            <w:pPr>
              <w:spacing w:after="0" w:line="240" w:lineRule="auto"/>
              <w:rPr>
                <w:b/>
              </w:rPr>
            </w:pPr>
          </w:p>
          <w:p w:rsidR="00EC4B39" w:rsidRPr="0059004B" w:rsidRDefault="00EC4B39" w:rsidP="002C3CFF">
            <w:pPr>
              <w:tabs>
                <w:tab w:val="left" w:pos="-1080"/>
                <w:tab w:val="left" w:pos="-720"/>
                <w:tab w:val="left" w:pos="0"/>
                <w:tab w:val="left" w:pos="450"/>
                <w:tab w:val="left" w:pos="720"/>
                <w:tab w:val="left" w:pos="2160"/>
              </w:tabs>
              <w:spacing w:after="0" w:line="240" w:lineRule="auto"/>
              <w:jc w:val="center"/>
              <w:rPr>
                <w:b/>
              </w:rPr>
            </w:pPr>
            <w:r w:rsidRPr="0059004B">
              <w:rPr>
                <w:b/>
              </w:rPr>
              <w:t>Annual Frequency per Response</w:t>
            </w:r>
          </w:p>
        </w:tc>
        <w:tc>
          <w:tcPr>
            <w:tcW w:w="1542" w:type="dxa"/>
            <w:tcBorders>
              <w:top w:val="single" w:sz="6" w:space="0" w:color="000000"/>
              <w:left w:val="single" w:sz="6" w:space="0" w:color="000000"/>
              <w:bottom w:val="single" w:sz="6" w:space="0" w:color="FFFFFF"/>
              <w:right w:val="single" w:sz="6" w:space="0" w:color="FFFFFF"/>
            </w:tcBorders>
          </w:tcPr>
          <w:p w:rsidR="00EC4B39" w:rsidRPr="0059004B" w:rsidRDefault="00EC4B39" w:rsidP="002C3CFF">
            <w:pPr>
              <w:spacing w:after="0" w:line="240" w:lineRule="auto"/>
              <w:rPr>
                <w:b/>
              </w:rPr>
            </w:pPr>
          </w:p>
          <w:p w:rsidR="00EC4B39" w:rsidRPr="0059004B" w:rsidRDefault="00EC4B39" w:rsidP="002C3CFF">
            <w:pPr>
              <w:tabs>
                <w:tab w:val="left" w:pos="-1080"/>
                <w:tab w:val="left" w:pos="-720"/>
                <w:tab w:val="left" w:pos="0"/>
                <w:tab w:val="left" w:pos="450"/>
                <w:tab w:val="left" w:pos="720"/>
                <w:tab w:val="left" w:pos="2160"/>
              </w:tabs>
              <w:spacing w:after="0" w:line="240" w:lineRule="auto"/>
              <w:jc w:val="center"/>
              <w:rPr>
                <w:b/>
              </w:rPr>
            </w:pPr>
            <w:r w:rsidRPr="0059004B">
              <w:rPr>
                <w:b/>
              </w:rPr>
              <w:t>Hours per Response</w:t>
            </w:r>
          </w:p>
        </w:tc>
        <w:tc>
          <w:tcPr>
            <w:tcW w:w="1518" w:type="dxa"/>
            <w:tcBorders>
              <w:top w:val="single" w:sz="6" w:space="0" w:color="000000"/>
              <w:left w:val="single" w:sz="6" w:space="0" w:color="000000"/>
              <w:bottom w:val="single" w:sz="6" w:space="0" w:color="FFFFFF"/>
              <w:right w:val="single" w:sz="6" w:space="0" w:color="000000"/>
            </w:tcBorders>
          </w:tcPr>
          <w:p w:rsidR="00EC4B39" w:rsidRPr="0059004B" w:rsidRDefault="00EC4B39" w:rsidP="002C3CFF">
            <w:pPr>
              <w:spacing w:after="0" w:line="240" w:lineRule="auto"/>
              <w:rPr>
                <w:b/>
              </w:rPr>
            </w:pPr>
          </w:p>
          <w:p w:rsidR="00EC4B39" w:rsidRPr="0059004B" w:rsidRDefault="00EC4B39" w:rsidP="002C3CFF">
            <w:pPr>
              <w:tabs>
                <w:tab w:val="left" w:pos="-1080"/>
                <w:tab w:val="left" w:pos="-720"/>
                <w:tab w:val="left" w:pos="0"/>
                <w:tab w:val="left" w:pos="450"/>
                <w:tab w:val="left" w:pos="720"/>
                <w:tab w:val="left" w:pos="2160"/>
              </w:tabs>
              <w:spacing w:after="0" w:line="240" w:lineRule="auto"/>
              <w:jc w:val="center"/>
              <w:rPr>
                <w:b/>
              </w:rPr>
            </w:pPr>
            <w:r w:rsidRPr="0059004B">
              <w:rPr>
                <w:b/>
              </w:rPr>
              <w:t>Total Hours</w:t>
            </w:r>
          </w:p>
        </w:tc>
      </w:tr>
      <w:tr w:rsidR="00EC4B39" w:rsidRPr="00E12CAC" w:rsidTr="00765585">
        <w:tc>
          <w:tcPr>
            <w:tcW w:w="2712" w:type="dxa"/>
            <w:tcBorders>
              <w:top w:val="single" w:sz="6" w:space="0" w:color="000000"/>
              <w:left w:val="single" w:sz="6" w:space="0" w:color="000000"/>
              <w:bottom w:val="single" w:sz="6" w:space="0" w:color="000000"/>
              <w:right w:val="single" w:sz="6" w:space="0" w:color="FFFFFF"/>
            </w:tcBorders>
          </w:tcPr>
          <w:p w:rsidR="00EC4B39" w:rsidRPr="0059004B" w:rsidRDefault="00EC4B39" w:rsidP="002C3CFF">
            <w:pPr>
              <w:spacing w:after="0" w:line="240" w:lineRule="auto"/>
            </w:pPr>
            <w:r w:rsidRPr="0059004B">
              <w:t xml:space="preserve">The DOL estimates </w:t>
            </w:r>
            <w:r w:rsidR="004E3FCD" w:rsidRPr="0059004B">
              <w:t>20</w:t>
            </w:r>
            <w:r w:rsidRPr="0059004B">
              <w:t xml:space="preserve"> </w:t>
            </w:r>
            <w:r w:rsidR="004E3FCD" w:rsidRPr="0059004B">
              <w:t xml:space="preserve">new </w:t>
            </w:r>
            <w:r w:rsidRPr="0059004B">
              <w:t xml:space="preserve">surveys/evaluations will be </w:t>
            </w:r>
            <w:r w:rsidR="004E3FCD" w:rsidRPr="0059004B">
              <w:t xml:space="preserve">submitted over the </w:t>
            </w:r>
            <w:r w:rsidR="00DD1596" w:rsidRPr="0059004B">
              <w:t xml:space="preserve">course of the </w:t>
            </w:r>
            <w:r w:rsidR="004E3FCD" w:rsidRPr="0059004B">
              <w:t>ne</w:t>
            </w:r>
            <w:r w:rsidR="00DD1596" w:rsidRPr="0059004B">
              <w:t>xt three years</w:t>
            </w:r>
            <w:r w:rsidRPr="0059004B">
              <w:t xml:space="preserve">.  </w:t>
            </w:r>
            <w:r w:rsidR="00DD1596" w:rsidRPr="0059004B">
              <w:t xml:space="preserve">(DOL cleared 21 ICRs during the last clearance cycle)  </w:t>
            </w:r>
            <w:r w:rsidRPr="0059004B">
              <w:t>To account for a three-year clearance and how the ROCIS system accounts for burden, the DOL has tripled that estimate for purposes of this submission.</w:t>
            </w:r>
          </w:p>
          <w:p w:rsidR="00EC4B39" w:rsidRPr="0059004B" w:rsidRDefault="00EC4B39" w:rsidP="002C3CFF">
            <w:pPr>
              <w:tabs>
                <w:tab w:val="left" w:pos="-1080"/>
                <w:tab w:val="left" w:pos="-720"/>
                <w:tab w:val="left" w:pos="0"/>
                <w:tab w:val="left" w:pos="450"/>
                <w:tab w:val="left" w:pos="720"/>
                <w:tab w:val="left" w:pos="2160"/>
              </w:tabs>
              <w:spacing w:after="0" w:line="240" w:lineRule="auto"/>
            </w:pPr>
          </w:p>
          <w:p w:rsidR="00EC4B39" w:rsidRPr="0059004B" w:rsidRDefault="00EC4B39" w:rsidP="002C3CFF">
            <w:pPr>
              <w:tabs>
                <w:tab w:val="left" w:pos="-1080"/>
                <w:tab w:val="left" w:pos="-720"/>
                <w:tab w:val="left" w:pos="0"/>
                <w:tab w:val="left" w:pos="450"/>
                <w:tab w:val="left" w:pos="720"/>
                <w:tab w:val="left" w:pos="2160"/>
              </w:tabs>
              <w:spacing w:after="0" w:line="240" w:lineRule="auto"/>
            </w:pPr>
          </w:p>
          <w:p w:rsidR="00EC4B39" w:rsidRPr="0059004B" w:rsidRDefault="00EC4B39" w:rsidP="002C3CFF">
            <w:pPr>
              <w:tabs>
                <w:tab w:val="left" w:pos="-1080"/>
                <w:tab w:val="left" w:pos="-720"/>
                <w:tab w:val="left" w:pos="0"/>
                <w:tab w:val="left" w:pos="450"/>
                <w:tab w:val="left" w:pos="720"/>
                <w:tab w:val="left" w:pos="2160"/>
              </w:tabs>
              <w:spacing w:after="0" w:line="240" w:lineRule="auto"/>
            </w:pPr>
          </w:p>
          <w:p w:rsidR="00497E1F" w:rsidRPr="0059004B" w:rsidRDefault="00497E1F" w:rsidP="002C3CFF">
            <w:pPr>
              <w:tabs>
                <w:tab w:val="left" w:pos="-1080"/>
                <w:tab w:val="left" w:pos="-720"/>
                <w:tab w:val="left" w:pos="0"/>
                <w:tab w:val="left" w:pos="450"/>
                <w:tab w:val="left" w:pos="720"/>
                <w:tab w:val="left" w:pos="2160"/>
              </w:tabs>
              <w:spacing w:after="0" w:line="240" w:lineRule="auto"/>
            </w:pPr>
          </w:p>
          <w:p w:rsidR="00EC4B39" w:rsidRPr="0059004B" w:rsidRDefault="00BE3DE5" w:rsidP="00BE3DE5">
            <w:pPr>
              <w:tabs>
                <w:tab w:val="right" w:pos="2508"/>
              </w:tabs>
              <w:spacing w:after="0" w:line="240" w:lineRule="auto"/>
            </w:pPr>
            <w:r>
              <w:t xml:space="preserve">                         </w:t>
            </w:r>
            <w:r w:rsidR="00DD1596" w:rsidRPr="0059004B">
              <w:t>20</w:t>
            </w:r>
            <w:r>
              <w:t xml:space="preserve"> Collections</w:t>
            </w:r>
          </w:p>
        </w:tc>
        <w:tc>
          <w:tcPr>
            <w:tcW w:w="2160" w:type="dxa"/>
            <w:tcBorders>
              <w:top w:val="single" w:sz="6" w:space="0" w:color="000000"/>
              <w:left w:val="single" w:sz="6" w:space="0" w:color="000000"/>
              <w:bottom w:val="single" w:sz="6" w:space="0" w:color="000000"/>
              <w:right w:val="single" w:sz="6" w:space="0" w:color="FFFFFF"/>
            </w:tcBorders>
          </w:tcPr>
          <w:p w:rsidR="00EC4B39" w:rsidRPr="0059004B" w:rsidRDefault="00EC4B39" w:rsidP="002C3CFF">
            <w:pPr>
              <w:tabs>
                <w:tab w:val="left" w:pos="-1080"/>
                <w:tab w:val="left" w:pos="-720"/>
                <w:tab w:val="left" w:pos="0"/>
                <w:tab w:val="left" w:pos="450"/>
                <w:tab w:val="left" w:pos="720"/>
                <w:tab w:val="left" w:pos="2160"/>
              </w:tabs>
              <w:spacing w:after="0" w:line="240" w:lineRule="auto"/>
            </w:pPr>
            <w:r w:rsidRPr="0059004B">
              <w:t xml:space="preserve">To ensure an appropriate level of responses and hours is available for collections approved under this package, the DOL estimates each </w:t>
            </w:r>
            <w:r w:rsidR="00497E1F" w:rsidRPr="0059004B">
              <w:t xml:space="preserve">upcoming </w:t>
            </w:r>
            <w:r w:rsidRPr="0059004B">
              <w:t>survey will have 5000 respondents.</w:t>
            </w:r>
            <w:r w:rsidR="00672F7E" w:rsidRPr="0059004B">
              <w:t xml:space="preserve"> </w:t>
            </w:r>
          </w:p>
          <w:p w:rsidR="00DD1596" w:rsidRPr="0059004B" w:rsidRDefault="00BA08B1" w:rsidP="002C3CFF">
            <w:pPr>
              <w:tabs>
                <w:tab w:val="left" w:pos="-1080"/>
                <w:tab w:val="left" w:pos="-720"/>
                <w:tab w:val="left" w:pos="0"/>
                <w:tab w:val="left" w:pos="450"/>
                <w:tab w:val="left" w:pos="720"/>
                <w:tab w:val="left" w:pos="2160"/>
              </w:tabs>
              <w:spacing w:after="0" w:line="240" w:lineRule="auto"/>
            </w:pPr>
            <w:r w:rsidRPr="0059004B">
              <w:t xml:space="preserve">(DOL submitted ICRs for </w:t>
            </w:r>
            <w:r w:rsidR="00353B57" w:rsidRPr="0059004B">
              <w:t>301,376 responses during the past 3-year approval cycle.)</w:t>
            </w:r>
          </w:p>
          <w:p w:rsidR="00DD1596" w:rsidRPr="0059004B" w:rsidRDefault="00DD1596" w:rsidP="002C3CFF">
            <w:pPr>
              <w:tabs>
                <w:tab w:val="left" w:pos="-1080"/>
                <w:tab w:val="left" w:pos="-720"/>
                <w:tab w:val="left" w:pos="0"/>
                <w:tab w:val="left" w:pos="450"/>
                <w:tab w:val="left" w:pos="720"/>
                <w:tab w:val="left" w:pos="2160"/>
              </w:tabs>
              <w:spacing w:after="0" w:line="240" w:lineRule="auto"/>
            </w:pPr>
          </w:p>
          <w:p w:rsidR="00EC4B39" w:rsidRPr="0059004B" w:rsidRDefault="007A1F17" w:rsidP="002C3CFF">
            <w:pPr>
              <w:tabs>
                <w:tab w:val="left" w:pos="-1080"/>
                <w:tab w:val="left" w:pos="-720"/>
                <w:tab w:val="left" w:pos="0"/>
                <w:tab w:val="left" w:pos="450"/>
                <w:tab w:val="left" w:pos="720"/>
                <w:tab w:val="left" w:pos="2160"/>
              </w:tabs>
              <w:spacing w:after="0" w:line="240" w:lineRule="auto"/>
            </w:pPr>
            <w:r>
              <w:t xml:space="preserve">  </w:t>
            </w:r>
            <w:r w:rsidR="00DD1596" w:rsidRPr="0059004B">
              <w:t>1</w:t>
            </w:r>
            <w:r w:rsidR="00EC4B39" w:rsidRPr="0059004B">
              <w:t>5</w:t>
            </w:r>
            <w:r w:rsidR="006C78C7" w:rsidRPr="0059004B">
              <w:t>,</w:t>
            </w:r>
            <w:r w:rsidR="00EC4B39" w:rsidRPr="0059004B">
              <w:t>000</w:t>
            </w:r>
            <w:r w:rsidR="00BE3DE5">
              <w:t xml:space="preserve"> Respondents</w:t>
            </w:r>
          </w:p>
        </w:tc>
        <w:tc>
          <w:tcPr>
            <w:tcW w:w="1428" w:type="dxa"/>
            <w:tcBorders>
              <w:top w:val="single" w:sz="6" w:space="0" w:color="000000"/>
              <w:left w:val="single" w:sz="6" w:space="0" w:color="000000"/>
              <w:bottom w:val="single" w:sz="6" w:space="0" w:color="000000"/>
              <w:right w:val="single" w:sz="6" w:space="0" w:color="FFFFFF"/>
            </w:tcBorders>
          </w:tcPr>
          <w:p w:rsidR="00EC4B39" w:rsidRPr="0059004B" w:rsidRDefault="00EC4B39" w:rsidP="002C3CFF">
            <w:pPr>
              <w:spacing w:after="0" w:line="240" w:lineRule="auto"/>
            </w:pPr>
            <w:r w:rsidRPr="0059004B">
              <w:t>Respondents will typically be asked for no more than one response.</w:t>
            </w:r>
          </w:p>
          <w:p w:rsidR="00EC4B39" w:rsidRDefault="00EC4B39" w:rsidP="002C3CFF">
            <w:pPr>
              <w:spacing w:after="0" w:line="240" w:lineRule="auto"/>
            </w:pPr>
          </w:p>
          <w:p w:rsidR="003814D2" w:rsidRPr="0059004B" w:rsidRDefault="003814D2" w:rsidP="002C3CFF">
            <w:pPr>
              <w:spacing w:after="0" w:line="240" w:lineRule="auto"/>
            </w:pPr>
          </w:p>
          <w:p w:rsidR="00EC4B39" w:rsidRPr="0059004B" w:rsidRDefault="00EC4B39" w:rsidP="002C3CFF">
            <w:pPr>
              <w:spacing w:after="0" w:line="240" w:lineRule="auto"/>
            </w:pPr>
          </w:p>
          <w:p w:rsidR="00EC4B39" w:rsidRPr="0059004B" w:rsidRDefault="00EC4B39" w:rsidP="002C3CFF">
            <w:pPr>
              <w:spacing w:after="0" w:line="240" w:lineRule="auto"/>
            </w:pPr>
          </w:p>
          <w:p w:rsidR="00EC4B39" w:rsidRPr="0059004B" w:rsidRDefault="00EC4B39" w:rsidP="002C3CFF">
            <w:pPr>
              <w:spacing w:after="0" w:line="240" w:lineRule="auto"/>
            </w:pPr>
          </w:p>
          <w:p w:rsidR="00EC4B39" w:rsidRPr="0059004B" w:rsidRDefault="00EC4B39" w:rsidP="002C3CFF">
            <w:pPr>
              <w:spacing w:after="0" w:line="240" w:lineRule="auto"/>
            </w:pPr>
          </w:p>
          <w:p w:rsidR="00DD1596" w:rsidRPr="0059004B" w:rsidRDefault="00DD1596" w:rsidP="002C3CFF">
            <w:pPr>
              <w:spacing w:after="0" w:line="240" w:lineRule="auto"/>
            </w:pPr>
          </w:p>
          <w:p w:rsidR="00DD1596" w:rsidRPr="0059004B" w:rsidRDefault="00DD1596" w:rsidP="002C3CFF">
            <w:pPr>
              <w:spacing w:after="0" w:line="240" w:lineRule="auto"/>
            </w:pPr>
          </w:p>
          <w:p w:rsidR="00EC4B39" w:rsidRPr="0059004B" w:rsidRDefault="00EC4B39" w:rsidP="002C3CFF">
            <w:pPr>
              <w:tabs>
                <w:tab w:val="left" w:pos="-1080"/>
                <w:tab w:val="left" w:pos="-720"/>
                <w:tab w:val="left" w:pos="0"/>
                <w:tab w:val="left" w:pos="450"/>
                <w:tab w:val="left" w:pos="720"/>
                <w:tab w:val="left" w:pos="2160"/>
              </w:tabs>
              <w:spacing w:after="0" w:line="240" w:lineRule="auto"/>
            </w:pPr>
            <w:r w:rsidRPr="0059004B">
              <w:t>1</w:t>
            </w:r>
            <w:r w:rsidR="00BE3DE5">
              <w:t xml:space="preserve"> </w:t>
            </w:r>
            <w:r w:rsidR="007A1F17">
              <w:t>Response per Respondent</w:t>
            </w:r>
          </w:p>
        </w:tc>
        <w:tc>
          <w:tcPr>
            <w:tcW w:w="1542" w:type="dxa"/>
            <w:tcBorders>
              <w:top w:val="single" w:sz="6" w:space="0" w:color="000000"/>
              <w:left w:val="single" w:sz="6" w:space="0" w:color="000000"/>
              <w:bottom w:val="single" w:sz="6" w:space="0" w:color="000000"/>
              <w:right w:val="single" w:sz="6" w:space="0" w:color="FFFFFF"/>
            </w:tcBorders>
          </w:tcPr>
          <w:p w:rsidR="00EC4B39" w:rsidRPr="0059004B" w:rsidRDefault="00EC4B39" w:rsidP="002C3CFF">
            <w:pPr>
              <w:tabs>
                <w:tab w:val="left" w:pos="-1080"/>
                <w:tab w:val="left" w:pos="-720"/>
                <w:tab w:val="left" w:pos="0"/>
                <w:tab w:val="left" w:pos="450"/>
                <w:tab w:val="left" w:pos="720"/>
                <w:tab w:val="left" w:pos="2160"/>
              </w:tabs>
              <w:spacing w:after="0" w:line="240" w:lineRule="auto"/>
            </w:pPr>
            <w:r w:rsidRPr="0059004B">
              <w:t>Based on a similar clearance (1225-0059), the DOL anticipates individual response times will vary from 3 to 15 minutes with an average of about 6 minutes per response.</w:t>
            </w:r>
          </w:p>
          <w:p w:rsidR="00497E1F" w:rsidRPr="0059004B" w:rsidRDefault="00497E1F" w:rsidP="002C3CFF">
            <w:pPr>
              <w:tabs>
                <w:tab w:val="left" w:pos="-1080"/>
                <w:tab w:val="left" w:pos="-720"/>
                <w:tab w:val="left" w:pos="0"/>
                <w:tab w:val="left" w:pos="450"/>
                <w:tab w:val="left" w:pos="720"/>
                <w:tab w:val="left" w:pos="2160"/>
              </w:tabs>
              <w:spacing w:after="0" w:line="240" w:lineRule="auto"/>
            </w:pPr>
          </w:p>
          <w:p w:rsidR="00EC4B39" w:rsidRPr="0059004B" w:rsidRDefault="007A1F17" w:rsidP="00765585">
            <w:pPr>
              <w:tabs>
                <w:tab w:val="left" w:pos="-1080"/>
                <w:tab w:val="left" w:pos="-720"/>
                <w:tab w:val="left" w:pos="0"/>
                <w:tab w:val="left" w:pos="450"/>
                <w:tab w:val="left" w:pos="720"/>
                <w:tab w:val="left" w:pos="2160"/>
              </w:tabs>
              <w:spacing w:after="0" w:line="240" w:lineRule="auto"/>
            </w:pPr>
            <w:r>
              <w:t xml:space="preserve">     </w:t>
            </w:r>
            <w:r w:rsidR="00EC4B39" w:rsidRPr="0059004B">
              <w:t>0.1</w:t>
            </w:r>
            <w:r w:rsidR="00497E1F" w:rsidRPr="0059004B">
              <w:t>00</w:t>
            </w:r>
            <w:r w:rsidR="00EC4B39" w:rsidRPr="0059004B">
              <w:t xml:space="preserve"> hours</w:t>
            </w:r>
          </w:p>
        </w:tc>
        <w:tc>
          <w:tcPr>
            <w:tcW w:w="1518" w:type="dxa"/>
            <w:tcBorders>
              <w:top w:val="single" w:sz="6" w:space="0" w:color="000000"/>
              <w:left w:val="single" w:sz="6" w:space="0" w:color="000000"/>
              <w:bottom w:val="single" w:sz="6" w:space="0" w:color="000000"/>
              <w:right w:val="single" w:sz="6" w:space="0" w:color="000000"/>
            </w:tcBorders>
            <w:vAlign w:val="bottom"/>
          </w:tcPr>
          <w:p w:rsidR="00EC4B39" w:rsidRPr="0059004B" w:rsidRDefault="00EC4B39" w:rsidP="00765585">
            <w:pPr>
              <w:tabs>
                <w:tab w:val="left" w:pos="-1080"/>
                <w:tab w:val="left" w:pos="-720"/>
                <w:tab w:val="left" w:pos="2160"/>
              </w:tabs>
              <w:spacing w:after="0" w:line="240" w:lineRule="auto"/>
              <w:jc w:val="right"/>
            </w:pPr>
            <w:r w:rsidRPr="0059004B">
              <w:t>30,000</w:t>
            </w:r>
            <w:r w:rsidR="007A1F17">
              <w:t xml:space="preserve"> hours</w:t>
            </w:r>
          </w:p>
        </w:tc>
      </w:tr>
    </w:tbl>
    <w:p w:rsidR="00EC4B39" w:rsidRDefault="00EC4B39" w:rsidP="002C3CFF">
      <w:pPr>
        <w:spacing w:after="0" w:line="240" w:lineRule="auto"/>
        <w:rPr>
          <w:sz w:val="24"/>
        </w:rPr>
      </w:pPr>
      <w:r>
        <w:rPr>
          <w:sz w:val="24"/>
        </w:rPr>
        <w:t>The DOL will submit a non-substantive change to adjust the burden accordingly should activity under this clearance increase beyond current projections.  With each individual survey instrument/evaluation form submitted to OMB, specific burden estimates will be provided.  These estimates will include the total number of respondents, frequency of collection, average minutes/hours per response, and total burden hours and burden hour costs.</w:t>
      </w:r>
    </w:p>
    <w:p w:rsidR="000B20BF" w:rsidRDefault="000B20BF" w:rsidP="002C3CFF">
      <w:pPr>
        <w:spacing w:after="0" w:line="240" w:lineRule="auto"/>
        <w:rPr>
          <w:sz w:val="24"/>
        </w:rPr>
      </w:pPr>
    </w:p>
    <w:p w:rsidR="00FE7987" w:rsidRDefault="009538A2" w:rsidP="002C3CFF">
      <w:pPr>
        <w:spacing w:after="0" w:line="240" w:lineRule="auto"/>
        <w:rPr>
          <w:sz w:val="24"/>
        </w:rPr>
      </w:pPr>
      <w:r>
        <w:rPr>
          <w:sz w:val="24"/>
        </w:rPr>
        <w:t>As previously noted, t</w:t>
      </w:r>
      <w:r w:rsidR="00FE7987">
        <w:rPr>
          <w:sz w:val="24"/>
        </w:rPr>
        <w:t xml:space="preserve">he DOL is using this extension request formally to obtain OMB approval </w:t>
      </w:r>
      <w:r w:rsidR="00D96D41">
        <w:rPr>
          <w:sz w:val="24"/>
        </w:rPr>
        <w:t>to exten</w:t>
      </w:r>
      <w:r w:rsidR="003D0648">
        <w:rPr>
          <w:sz w:val="24"/>
        </w:rPr>
        <w:t>d</w:t>
      </w:r>
      <w:r w:rsidR="00D96D41">
        <w:rPr>
          <w:sz w:val="24"/>
        </w:rPr>
        <w:t xml:space="preserve"> </w:t>
      </w:r>
      <w:r w:rsidR="008A78D2">
        <w:rPr>
          <w:sz w:val="24"/>
        </w:rPr>
        <w:t>twelve</w:t>
      </w:r>
      <w:r w:rsidR="00D96D41">
        <w:rPr>
          <w:sz w:val="24"/>
        </w:rPr>
        <w:t xml:space="preserve"> </w:t>
      </w:r>
      <w:r w:rsidR="008A78D2">
        <w:rPr>
          <w:sz w:val="24"/>
        </w:rPr>
        <w:t xml:space="preserve">(12) </w:t>
      </w:r>
      <w:r w:rsidR="00D96D41">
        <w:rPr>
          <w:sz w:val="24"/>
        </w:rPr>
        <w:t xml:space="preserve">previously cleared information collections and </w:t>
      </w:r>
      <w:r w:rsidR="000A5546">
        <w:rPr>
          <w:sz w:val="24"/>
        </w:rPr>
        <w:t xml:space="preserve">obtain approval for changes to </w:t>
      </w:r>
      <w:r w:rsidR="00EE234D">
        <w:rPr>
          <w:sz w:val="24"/>
        </w:rPr>
        <w:t>one</w:t>
      </w:r>
      <w:r w:rsidR="000A5546">
        <w:rPr>
          <w:sz w:val="24"/>
        </w:rPr>
        <w:t xml:space="preserve"> previously cleared </w:t>
      </w:r>
      <w:r w:rsidR="003A208E">
        <w:rPr>
          <w:sz w:val="24"/>
        </w:rPr>
        <w:t>collection sets</w:t>
      </w:r>
      <w:r w:rsidR="000A5546">
        <w:rPr>
          <w:sz w:val="24"/>
        </w:rPr>
        <w:t xml:space="preserve"> </w:t>
      </w:r>
      <w:r w:rsidR="003A208E">
        <w:rPr>
          <w:sz w:val="24"/>
        </w:rPr>
        <w:t xml:space="preserve">and for </w:t>
      </w:r>
      <w:r w:rsidR="000B20BF">
        <w:rPr>
          <w:sz w:val="24"/>
        </w:rPr>
        <w:t>one</w:t>
      </w:r>
      <w:r w:rsidR="00FE7987">
        <w:rPr>
          <w:sz w:val="24"/>
        </w:rPr>
        <w:t xml:space="preserve"> new information collection under this gener</w:t>
      </w:r>
      <w:r w:rsidR="00D96D41">
        <w:rPr>
          <w:sz w:val="24"/>
        </w:rPr>
        <w:t>ic ICR</w:t>
      </w:r>
      <w:r w:rsidR="00BB2783">
        <w:rPr>
          <w:sz w:val="24"/>
        </w:rPr>
        <w:t>.</w:t>
      </w:r>
      <w:r w:rsidR="003A208E">
        <w:rPr>
          <w:sz w:val="24"/>
        </w:rPr>
        <w:t xml:space="preserve">  (Note that the reginfo.gov database indicates all instruments are new</w:t>
      </w:r>
      <w:r w:rsidR="006136AC">
        <w:rPr>
          <w:sz w:val="24"/>
        </w:rPr>
        <w:t xml:space="preserve">.  This was caused by the system overwriting a previously </w:t>
      </w:r>
      <w:r w:rsidR="000F0BAA">
        <w:rPr>
          <w:sz w:val="24"/>
        </w:rPr>
        <w:t xml:space="preserve">developed ICR </w:t>
      </w:r>
      <w:r w:rsidR="00840C3D">
        <w:rPr>
          <w:sz w:val="24"/>
        </w:rPr>
        <w:t xml:space="preserve">(that had the previously cleared collections) </w:t>
      </w:r>
      <w:r w:rsidR="000F0BAA">
        <w:rPr>
          <w:sz w:val="24"/>
        </w:rPr>
        <w:t>when new collections were subsequently approved by the OMB.</w:t>
      </w:r>
      <w:r w:rsidR="00840C3D">
        <w:rPr>
          <w:sz w:val="24"/>
        </w:rPr>
        <w:t xml:space="preserve">  Creation of a subsequent ICR did not prepopulate the previously cleared collections.</w:t>
      </w:r>
    </w:p>
    <w:p w:rsidR="00D64332" w:rsidRDefault="00D64332" w:rsidP="002C3CFF">
      <w:pPr>
        <w:spacing w:after="0" w:line="240" w:lineRule="auto"/>
        <w:rPr>
          <w:sz w:val="24"/>
        </w:rPr>
      </w:pPr>
    </w:p>
    <w:p w:rsidR="002C3CFF" w:rsidRDefault="002C3CFF" w:rsidP="002C3CFF">
      <w:pPr>
        <w:spacing w:after="0" w:line="240" w:lineRule="auto"/>
        <w:rPr>
          <w:sz w:val="24"/>
        </w:rPr>
      </w:pPr>
    </w:p>
    <w:p w:rsidR="002C3CFF" w:rsidRDefault="002C3CFF" w:rsidP="002C3CFF">
      <w:pPr>
        <w:spacing w:after="0" w:line="240" w:lineRule="auto"/>
        <w:rPr>
          <w:sz w:val="24"/>
        </w:rPr>
      </w:pPr>
    </w:p>
    <w:p w:rsidR="002C3CFF" w:rsidRDefault="002C3CFF" w:rsidP="002C3CFF">
      <w:pPr>
        <w:spacing w:after="0" w:line="240" w:lineRule="auto"/>
        <w:rPr>
          <w:sz w:val="24"/>
        </w:rPr>
      </w:pPr>
    </w:p>
    <w:p w:rsidR="002C3CFF" w:rsidRDefault="002C3CFF" w:rsidP="002C3CFF">
      <w:pPr>
        <w:spacing w:after="0" w:line="240" w:lineRule="auto"/>
        <w:rPr>
          <w:sz w:val="24"/>
        </w:rPr>
      </w:pPr>
    </w:p>
    <w:p w:rsidR="002C3CFF" w:rsidRDefault="002C3CFF" w:rsidP="002C3CFF">
      <w:pPr>
        <w:spacing w:after="0" w:line="240" w:lineRule="auto"/>
        <w:rPr>
          <w:sz w:val="24"/>
        </w:rPr>
      </w:pPr>
    </w:p>
    <w:p w:rsidR="002C3CFF" w:rsidRDefault="002C3CFF" w:rsidP="002C3CFF">
      <w:pPr>
        <w:spacing w:after="0" w:line="240" w:lineRule="auto"/>
        <w:rPr>
          <w:sz w:val="24"/>
        </w:rPr>
      </w:pPr>
    </w:p>
    <w:p w:rsidR="002C3CFF" w:rsidRDefault="002C3CFF" w:rsidP="002C3CFF">
      <w:pPr>
        <w:spacing w:after="0" w:line="240" w:lineRule="auto"/>
        <w:rPr>
          <w:sz w:val="24"/>
        </w:rPr>
      </w:pPr>
    </w:p>
    <w:p w:rsidR="002C3CFF" w:rsidRDefault="002C3CFF" w:rsidP="002C3CFF">
      <w:pPr>
        <w:spacing w:after="0" w:line="240" w:lineRule="auto"/>
        <w:rPr>
          <w:sz w:val="24"/>
        </w:rPr>
      </w:pPr>
    </w:p>
    <w:p w:rsidR="002C3CFF" w:rsidRDefault="002C3CFF" w:rsidP="002C3CFF">
      <w:pPr>
        <w:spacing w:after="0" w:line="240" w:lineRule="auto"/>
        <w:rPr>
          <w:sz w:val="24"/>
        </w:rPr>
      </w:pPr>
    </w:p>
    <w:p w:rsidR="002C3CFF" w:rsidRDefault="002C3CFF" w:rsidP="002C3CFF">
      <w:pPr>
        <w:spacing w:after="0" w:line="240" w:lineRule="auto"/>
        <w:rPr>
          <w:sz w:val="24"/>
        </w:rPr>
      </w:pPr>
    </w:p>
    <w:p w:rsidR="002C3CFF" w:rsidRDefault="002C3CFF" w:rsidP="002C3CFF">
      <w:pPr>
        <w:spacing w:after="0" w:line="240" w:lineRule="auto"/>
        <w:rPr>
          <w:sz w:val="24"/>
        </w:rPr>
      </w:pPr>
    </w:p>
    <w:p w:rsidR="002C3CFF" w:rsidRDefault="002C3CFF" w:rsidP="002C3CFF">
      <w:pPr>
        <w:spacing w:after="0" w:line="240" w:lineRule="auto"/>
        <w:rPr>
          <w:sz w:val="24"/>
        </w:rPr>
      </w:pPr>
    </w:p>
    <w:p w:rsidR="002C3CFF" w:rsidRDefault="002C3CFF" w:rsidP="002C3CFF">
      <w:pPr>
        <w:spacing w:after="0" w:line="240" w:lineRule="auto"/>
        <w:rPr>
          <w:sz w:val="24"/>
        </w:rPr>
      </w:pPr>
    </w:p>
    <w:p w:rsidR="002C3CFF" w:rsidRDefault="002C3CFF" w:rsidP="002C3CFF">
      <w:pPr>
        <w:spacing w:after="0" w:line="240" w:lineRule="auto"/>
        <w:rPr>
          <w:sz w:val="24"/>
        </w:rPr>
      </w:pPr>
    </w:p>
    <w:p w:rsidR="002C3CFF" w:rsidRDefault="002C3CFF" w:rsidP="002C3CFF">
      <w:pPr>
        <w:spacing w:after="0" w:line="240" w:lineRule="auto"/>
        <w:rPr>
          <w:sz w:val="24"/>
        </w:rPr>
      </w:pPr>
    </w:p>
    <w:p w:rsidR="002C3CFF" w:rsidRDefault="002C3CFF" w:rsidP="002C3CFF">
      <w:pPr>
        <w:spacing w:after="0" w:line="240" w:lineRule="auto"/>
        <w:rPr>
          <w:sz w:val="24"/>
        </w:rPr>
      </w:pPr>
    </w:p>
    <w:p w:rsidR="002C3CFF" w:rsidRDefault="002C3CFF" w:rsidP="002C3CFF">
      <w:pPr>
        <w:spacing w:after="0" w:line="240" w:lineRule="auto"/>
        <w:rPr>
          <w:sz w:val="24"/>
        </w:rPr>
      </w:pPr>
    </w:p>
    <w:p w:rsidR="002C3CFF" w:rsidRDefault="002C3CFF" w:rsidP="002C3CFF">
      <w:pPr>
        <w:spacing w:after="0" w:line="240" w:lineRule="auto"/>
        <w:rPr>
          <w:sz w:val="24"/>
        </w:rPr>
      </w:pPr>
    </w:p>
    <w:p w:rsidR="002C3CFF" w:rsidRDefault="002C3CFF" w:rsidP="002C3CFF">
      <w:pPr>
        <w:spacing w:after="0" w:line="240" w:lineRule="auto"/>
        <w:rPr>
          <w:sz w:val="24"/>
        </w:rPr>
      </w:pPr>
    </w:p>
    <w:p w:rsidR="002C3CFF" w:rsidRDefault="002C3CFF" w:rsidP="002C3CFF">
      <w:pPr>
        <w:spacing w:after="0" w:line="240" w:lineRule="auto"/>
        <w:rPr>
          <w:sz w:val="24"/>
        </w:rPr>
      </w:pPr>
    </w:p>
    <w:p w:rsidR="002C3CFF" w:rsidRDefault="002C3CFF" w:rsidP="002C3CFF">
      <w:pPr>
        <w:spacing w:after="0" w:line="240" w:lineRule="auto"/>
        <w:rPr>
          <w:sz w:val="24"/>
        </w:rPr>
      </w:pPr>
    </w:p>
    <w:p w:rsidR="002C3CFF" w:rsidRDefault="002C3CFF" w:rsidP="002C3CFF">
      <w:pPr>
        <w:spacing w:after="0" w:line="240" w:lineRule="auto"/>
        <w:rPr>
          <w:sz w:val="24"/>
        </w:rPr>
      </w:pPr>
    </w:p>
    <w:p w:rsidR="002C3CFF" w:rsidRDefault="002C3CFF" w:rsidP="002C3CFF">
      <w:pPr>
        <w:spacing w:after="0" w:line="240" w:lineRule="auto"/>
        <w:rPr>
          <w:sz w:val="24"/>
        </w:rPr>
      </w:pPr>
    </w:p>
    <w:p w:rsidR="002C3CFF" w:rsidRDefault="002C3CFF" w:rsidP="002C3CFF">
      <w:pPr>
        <w:spacing w:after="0" w:line="240" w:lineRule="auto"/>
        <w:rPr>
          <w:sz w:val="24"/>
        </w:rPr>
      </w:pPr>
    </w:p>
    <w:p w:rsidR="002C3CFF" w:rsidRDefault="002C3CFF" w:rsidP="002C3CFF">
      <w:pPr>
        <w:spacing w:after="0" w:line="240" w:lineRule="auto"/>
        <w:rPr>
          <w:sz w:val="24"/>
        </w:rPr>
      </w:pPr>
    </w:p>
    <w:p w:rsidR="002C3CFF" w:rsidRDefault="002C3CFF" w:rsidP="002C3CFF">
      <w:pPr>
        <w:spacing w:after="0" w:line="240" w:lineRule="auto"/>
        <w:rPr>
          <w:sz w:val="24"/>
        </w:rPr>
      </w:pPr>
    </w:p>
    <w:p w:rsidR="002C3CFF" w:rsidRDefault="002C3CFF" w:rsidP="002C3CFF">
      <w:pPr>
        <w:spacing w:after="0" w:line="240" w:lineRule="auto"/>
        <w:rPr>
          <w:sz w:val="24"/>
        </w:rPr>
      </w:pPr>
    </w:p>
    <w:p w:rsidR="002C3CFF" w:rsidRDefault="002C3CFF" w:rsidP="002C3CFF">
      <w:pPr>
        <w:spacing w:after="0" w:line="240" w:lineRule="auto"/>
        <w:rPr>
          <w:sz w:val="24"/>
        </w:rPr>
      </w:pPr>
    </w:p>
    <w:p w:rsidR="002C3CFF" w:rsidRDefault="002C3CFF" w:rsidP="002C3CFF">
      <w:pPr>
        <w:spacing w:after="0" w:line="240" w:lineRule="auto"/>
        <w:rPr>
          <w:sz w:val="24"/>
        </w:rPr>
      </w:pPr>
    </w:p>
    <w:p w:rsidR="002C3CFF" w:rsidRDefault="002C3CFF" w:rsidP="002C3CFF">
      <w:pPr>
        <w:spacing w:after="0" w:line="240" w:lineRule="auto"/>
        <w:rPr>
          <w:sz w:val="24"/>
        </w:rPr>
      </w:pPr>
    </w:p>
    <w:p w:rsidR="00241190" w:rsidRPr="00C422E9" w:rsidRDefault="00D64332" w:rsidP="002C3CFF">
      <w:pPr>
        <w:spacing w:after="0" w:line="240" w:lineRule="auto"/>
        <w:rPr>
          <w:b/>
          <w:i/>
          <w:sz w:val="24"/>
        </w:rPr>
      </w:pPr>
      <w:r>
        <w:rPr>
          <w:b/>
          <w:i/>
          <w:sz w:val="24"/>
        </w:rPr>
        <w:t xml:space="preserve">Table </w:t>
      </w:r>
      <w:r w:rsidR="002F2446">
        <w:rPr>
          <w:b/>
          <w:i/>
          <w:sz w:val="24"/>
        </w:rPr>
        <w:t>2</w:t>
      </w:r>
      <w:r>
        <w:rPr>
          <w:b/>
          <w:i/>
          <w:sz w:val="24"/>
        </w:rPr>
        <w:t>—</w:t>
      </w:r>
      <w:r w:rsidR="00E806E8" w:rsidRPr="00C422E9">
        <w:rPr>
          <w:b/>
          <w:i/>
          <w:sz w:val="24"/>
        </w:rPr>
        <w:t>Continuing Information Collections</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2620"/>
        <w:gridCol w:w="1288"/>
        <w:gridCol w:w="1292"/>
        <w:gridCol w:w="1259"/>
        <w:gridCol w:w="1532"/>
        <w:gridCol w:w="1509"/>
      </w:tblGrid>
      <w:tr w:rsidR="00434B03" w:rsidTr="00434B03">
        <w:trPr>
          <w:tblCellSpacing w:w="20" w:type="dxa"/>
        </w:trPr>
        <w:tc>
          <w:tcPr>
            <w:tcW w:w="1347" w:type="pct"/>
          </w:tcPr>
          <w:p w:rsidR="00434B03" w:rsidRDefault="00434B03" w:rsidP="002C3CFF">
            <w:pPr>
              <w:spacing w:after="0" w:line="240" w:lineRule="auto"/>
              <w:jc w:val="center"/>
              <w:rPr>
                <w:rFonts w:ascii="Arial" w:hAnsi="Arial" w:cs="Arial"/>
                <w:b/>
                <w:bCs/>
                <w:color w:val="000000"/>
                <w:sz w:val="24"/>
                <w:szCs w:val="24"/>
              </w:rPr>
            </w:pPr>
            <w:r>
              <w:rPr>
                <w:b/>
                <w:bCs/>
                <w:color w:val="000000"/>
              </w:rPr>
              <w:t>IC Title</w:t>
            </w:r>
          </w:p>
        </w:tc>
        <w:tc>
          <w:tcPr>
            <w:tcW w:w="657" w:type="pct"/>
          </w:tcPr>
          <w:p w:rsidR="00434B03" w:rsidRDefault="00434B03" w:rsidP="002C3CFF">
            <w:pPr>
              <w:spacing w:after="0" w:line="240" w:lineRule="auto"/>
              <w:jc w:val="center"/>
              <w:rPr>
                <w:b/>
                <w:bCs/>
                <w:color w:val="000000"/>
              </w:rPr>
            </w:pPr>
            <w:r>
              <w:rPr>
                <w:b/>
                <w:bCs/>
                <w:color w:val="000000"/>
              </w:rPr>
              <w:t>Number of Respondents</w:t>
            </w:r>
          </w:p>
        </w:tc>
        <w:tc>
          <w:tcPr>
            <w:tcW w:w="659" w:type="pct"/>
          </w:tcPr>
          <w:p w:rsidR="00434B03" w:rsidRDefault="00434B03" w:rsidP="002C3CFF">
            <w:pPr>
              <w:spacing w:after="0" w:line="240" w:lineRule="auto"/>
              <w:jc w:val="center"/>
              <w:rPr>
                <w:b/>
                <w:bCs/>
                <w:color w:val="000000"/>
              </w:rPr>
            </w:pPr>
            <w:r>
              <w:rPr>
                <w:b/>
                <w:bCs/>
                <w:color w:val="000000"/>
              </w:rPr>
              <w:t>Annual Frequency of Response</w:t>
            </w:r>
          </w:p>
        </w:tc>
        <w:tc>
          <w:tcPr>
            <w:tcW w:w="642" w:type="pct"/>
          </w:tcPr>
          <w:p w:rsidR="00434B03" w:rsidRDefault="00434B03" w:rsidP="002C3CFF">
            <w:pPr>
              <w:spacing w:after="0" w:line="240" w:lineRule="auto"/>
              <w:jc w:val="center"/>
              <w:rPr>
                <w:rFonts w:ascii="Arial" w:hAnsi="Arial" w:cs="Arial"/>
                <w:b/>
                <w:bCs/>
                <w:color w:val="000000"/>
                <w:sz w:val="24"/>
                <w:szCs w:val="24"/>
              </w:rPr>
            </w:pPr>
            <w:r>
              <w:rPr>
                <w:b/>
                <w:bCs/>
                <w:color w:val="000000"/>
              </w:rPr>
              <w:t>Responses</w:t>
            </w:r>
          </w:p>
        </w:tc>
        <w:tc>
          <w:tcPr>
            <w:tcW w:w="785" w:type="pct"/>
          </w:tcPr>
          <w:p w:rsidR="00434B03" w:rsidRDefault="00434B03" w:rsidP="002C3CFF">
            <w:pPr>
              <w:spacing w:after="0" w:line="240" w:lineRule="auto"/>
              <w:jc w:val="center"/>
              <w:rPr>
                <w:b/>
                <w:bCs/>
                <w:color w:val="000000"/>
              </w:rPr>
            </w:pPr>
            <w:r>
              <w:rPr>
                <w:b/>
                <w:bCs/>
                <w:color w:val="000000"/>
              </w:rPr>
              <w:t>Hours per Response</w:t>
            </w:r>
          </w:p>
        </w:tc>
        <w:tc>
          <w:tcPr>
            <w:tcW w:w="763" w:type="pct"/>
            <w:hideMark/>
          </w:tcPr>
          <w:p w:rsidR="00434B03" w:rsidRDefault="00434B03" w:rsidP="002C3CFF">
            <w:pPr>
              <w:spacing w:after="0" w:line="240" w:lineRule="auto"/>
              <w:jc w:val="center"/>
              <w:rPr>
                <w:rFonts w:ascii="Arial" w:hAnsi="Arial" w:cs="Arial"/>
                <w:b/>
                <w:bCs/>
                <w:color w:val="000000"/>
                <w:sz w:val="24"/>
                <w:szCs w:val="24"/>
              </w:rPr>
            </w:pPr>
            <w:r>
              <w:rPr>
                <w:b/>
                <w:bCs/>
                <w:color w:val="000000"/>
              </w:rPr>
              <w:t>Hours</w:t>
            </w:r>
          </w:p>
        </w:tc>
      </w:tr>
      <w:tr w:rsidR="00434B03" w:rsidTr="00434B03">
        <w:trPr>
          <w:tblCellSpacing w:w="20" w:type="dxa"/>
        </w:trPr>
        <w:tc>
          <w:tcPr>
            <w:tcW w:w="1347" w:type="pct"/>
          </w:tcPr>
          <w:p w:rsidR="00434B03" w:rsidRDefault="00434B03" w:rsidP="002C3CFF">
            <w:pPr>
              <w:spacing w:after="0" w:line="240" w:lineRule="auto"/>
              <w:rPr>
                <w:rFonts w:ascii="Arial" w:hAnsi="Arial" w:cs="Arial"/>
                <w:color w:val="000000"/>
                <w:sz w:val="24"/>
                <w:szCs w:val="24"/>
              </w:rPr>
            </w:pPr>
            <w:r w:rsidRPr="00627D54">
              <w:rPr>
                <w:color w:val="000000"/>
              </w:rPr>
              <w:t>National Contact Center Email Customer Satisfaction Survey</w:t>
            </w:r>
            <w:r>
              <w:rPr>
                <w:color w:val="000000"/>
              </w:rPr>
              <w:t xml:space="preserve"> </w:t>
            </w:r>
          </w:p>
        </w:tc>
        <w:tc>
          <w:tcPr>
            <w:tcW w:w="657" w:type="pct"/>
            <w:vAlign w:val="bottom"/>
          </w:tcPr>
          <w:p w:rsidR="00434B03" w:rsidRDefault="00434B03" w:rsidP="002C3CFF">
            <w:pPr>
              <w:spacing w:after="0" w:line="240" w:lineRule="auto"/>
              <w:jc w:val="right"/>
              <w:rPr>
                <w:rFonts w:ascii="Arial" w:hAnsi="Arial" w:cs="Arial"/>
                <w:color w:val="000000"/>
                <w:sz w:val="24"/>
                <w:szCs w:val="24"/>
              </w:rPr>
            </w:pPr>
            <w:r>
              <w:rPr>
                <w:color w:val="000000"/>
              </w:rPr>
              <w:t>85,000</w:t>
            </w:r>
          </w:p>
        </w:tc>
        <w:tc>
          <w:tcPr>
            <w:tcW w:w="659" w:type="pct"/>
            <w:vAlign w:val="bottom"/>
          </w:tcPr>
          <w:p w:rsidR="00434B03" w:rsidRDefault="00434B03" w:rsidP="002C3CFF">
            <w:pPr>
              <w:spacing w:after="0" w:line="240" w:lineRule="auto"/>
              <w:jc w:val="right"/>
              <w:rPr>
                <w:color w:val="000000"/>
              </w:rPr>
            </w:pPr>
            <w:r>
              <w:rPr>
                <w:color w:val="000000"/>
              </w:rPr>
              <w:t>1</w:t>
            </w:r>
          </w:p>
        </w:tc>
        <w:tc>
          <w:tcPr>
            <w:tcW w:w="642" w:type="pct"/>
            <w:vAlign w:val="bottom"/>
          </w:tcPr>
          <w:p w:rsidR="00434B03" w:rsidRDefault="00434B03" w:rsidP="002C3CFF">
            <w:pPr>
              <w:spacing w:after="0" w:line="240" w:lineRule="auto"/>
              <w:jc w:val="right"/>
              <w:rPr>
                <w:rFonts w:ascii="Arial" w:hAnsi="Arial" w:cs="Arial"/>
                <w:color w:val="000000"/>
                <w:sz w:val="24"/>
                <w:szCs w:val="24"/>
              </w:rPr>
            </w:pPr>
            <w:r>
              <w:rPr>
                <w:color w:val="000000"/>
              </w:rPr>
              <w:t>85,000</w:t>
            </w:r>
          </w:p>
        </w:tc>
        <w:tc>
          <w:tcPr>
            <w:tcW w:w="785" w:type="pct"/>
            <w:vAlign w:val="bottom"/>
          </w:tcPr>
          <w:p w:rsidR="00434B03" w:rsidRDefault="00434B03" w:rsidP="002C3CFF">
            <w:pPr>
              <w:spacing w:after="0" w:line="240" w:lineRule="auto"/>
              <w:jc w:val="right"/>
              <w:rPr>
                <w:color w:val="000000"/>
              </w:rPr>
            </w:pPr>
            <w:r>
              <w:rPr>
                <w:color w:val="000000"/>
              </w:rPr>
              <w:t>0.050</w:t>
            </w:r>
            <w:r w:rsidR="005360FC">
              <w:rPr>
                <w:color w:val="000000"/>
              </w:rPr>
              <w:t>0</w:t>
            </w:r>
            <w:r w:rsidR="00AA02AA">
              <w:rPr>
                <w:color w:val="000000"/>
              </w:rPr>
              <w:t>0</w:t>
            </w:r>
          </w:p>
        </w:tc>
        <w:tc>
          <w:tcPr>
            <w:tcW w:w="763" w:type="pct"/>
            <w:vAlign w:val="bottom"/>
            <w:hideMark/>
          </w:tcPr>
          <w:p w:rsidR="00434B03" w:rsidRDefault="00434B03" w:rsidP="002C3CFF">
            <w:pPr>
              <w:spacing w:after="0" w:line="240" w:lineRule="auto"/>
              <w:jc w:val="right"/>
              <w:rPr>
                <w:rFonts w:ascii="Arial" w:hAnsi="Arial" w:cs="Arial"/>
                <w:color w:val="000000"/>
                <w:sz w:val="24"/>
                <w:szCs w:val="24"/>
              </w:rPr>
            </w:pPr>
            <w:r>
              <w:rPr>
                <w:color w:val="000000"/>
              </w:rPr>
              <w:t>4,250</w:t>
            </w:r>
          </w:p>
        </w:tc>
      </w:tr>
      <w:tr w:rsidR="00434B03" w:rsidTr="00434B03">
        <w:trPr>
          <w:trHeight w:val="927"/>
          <w:tblCellSpacing w:w="20" w:type="dxa"/>
        </w:trPr>
        <w:tc>
          <w:tcPr>
            <w:tcW w:w="1347" w:type="pct"/>
          </w:tcPr>
          <w:p w:rsidR="00434B03" w:rsidRDefault="00F9275B" w:rsidP="002C3CFF">
            <w:pPr>
              <w:spacing w:after="0" w:line="240" w:lineRule="auto"/>
              <w:rPr>
                <w:rFonts w:ascii="Arial" w:hAnsi="Arial" w:cs="Arial"/>
                <w:color w:val="000000"/>
                <w:sz w:val="24"/>
                <w:szCs w:val="24"/>
              </w:rPr>
            </w:pPr>
            <w:r>
              <w:rPr>
                <w:color w:val="000000"/>
              </w:rPr>
              <w:t>ETA</w:t>
            </w:r>
            <w:r w:rsidR="00434B03" w:rsidRPr="00627D54">
              <w:rPr>
                <w:color w:val="000000"/>
              </w:rPr>
              <w:t xml:space="preserve"> Webinar Technical Assistance Customer Feedback Survey</w:t>
            </w:r>
            <w:r w:rsidR="00434B03">
              <w:rPr>
                <w:color w:val="000000"/>
              </w:rPr>
              <w:t xml:space="preserve"> </w:t>
            </w:r>
          </w:p>
        </w:tc>
        <w:tc>
          <w:tcPr>
            <w:tcW w:w="657" w:type="pct"/>
            <w:vAlign w:val="bottom"/>
          </w:tcPr>
          <w:p w:rsidR="00434B03" w:rsidRDefault="00434B03" w:rsidP="002C3CFF">
            <w:pPr>
              <w:spacing w:after="0" w:line="240" w:lineRule="auto"/>
              <w:jc w:val="right"/>
              <w:rPr>
                <w:rFonts w:ascii="Arial" w:hAnsi="Arial" w:cs="Arial"/>
                <w:color w:val="000000"/>
                <w:sz w:val="24"/>
                <w:szCs w:val="24"/>
              </w:rPr>
            </w:pPr>
            <w:r>
              <w:rPr>
                <w:color w:val="000000"/>
              </w:rPr>
              <w:t>5,250</w:t>
            </w:r>
          </w:p>
        </w:tc>
        <w:tc>
          <w:tcPr>
            <w:tcW w:w="659" w:type="pct"/>
            <w:vAlign w:val="bottom"/>
          </w:tcPr>
          <w:p w:rsidR="00434B03" w:rsidRDefault="00434B03" w:rsidP="002C3CFF">
            <w:pPr>
              <w:spacing w:after="0" w:line="240" w:lineRule="auto"/>
              <w:jc w:val="right"/>
              <w:rPr>
                <w:color w:val="000000"/>
              </w:rPr>
            </w:pPr>
            <w:r>
              <w:rPr>
                <w:color w:val="000000"/>
              </w:rPr>
              <w:t>1</w:t>
            </w:r>
          </w:p>
        </w:tc>
        <w:tc>
          <w:tcPr>
            <w:tcW w:w="642" w:type="pct"/>
            <w:vAlign w:val="bottom"/>
          </w:tcPr>
          <w:p w:rsidR="00434B03" w:rsidRDefault="00434B03" w:rsidP="002C3CFF">
            <w:pPr>
              <w:spacing w:after="0" w:line="240" w:lineRule="auto"/>
              <w:jc w:val="right"/>
              <w:rPr>
                <w:rFonts w:ascii="Arial" w:hAnsi="Arial" w:cs="Arial"/>
                <w:color w:val="000000"/>
                <w:sz w:val="24"/>
                <w:szCs w:val="24"/>
              </w:rPr>
            </w:pPr>
            <w:r>
              <w:rPr>
                <w:color w:val="000000"/>
              </w:rPr>
              <w:t>5,250</w:t>
            </w:r>
          </w:p>
        </w:tc>
        <w:tc>
          <w:tcPr>
            <w:tcW w:w="785" w:type="pct"/>
            <w:vAlign w:val="bottom"/>
          </w:tcPr>
          <w:p w:rsidR="00434B03" w:rsidRDefault="00434B03" w:rsidP="002C3CFF">
            <w:pPr>
              <w:spacing w:after="0" w:line="240" w:lineRule="auto"/>
              <w:jc w:val="right"/>
              <w:rPr>
                <w:color w:val="000000"/>
              </w:rPr>
            </w:pPr>
            <w:r>
              <w:rPr>
                <w:color w:val="000000"/>
              </w:rPr>
              <w:t>0.039</w:t>
            </w:r>
            <w:r w:rsidR="005360FC">
              <w:rPr>
                <w:color w:val="000000"/>
              </w:rPr>
              <w:t>0</w:t>
            </w:r>
            <w:r w:rsidR="00AA02AA">
              <w:rPr>
                <w:color w:val="000000"/>
              </w:rPr>
              <w:t>0</w:t>
            </w:r>
            <w:r>
              <w:rPr>
                <w:color w:val="000000"/>
              </w:rPr>
              <w:t xml:space="preserve"> </w:t>
            </w:r>
          </w:p>
        </w:tc>
        <w:tc>
          <w:tcPr>
            <w:tcW w:w="763" w:type="pct"/>
            <w:vAlign w:val="bottom"/>
            <w:hideMark/>
          </w:tcPr>
          <w:p w:rsidR="00434B03" w:rsidRDefault="00434B03" w:rsidP="002C3CFF">
            <w:pPr>
              <w:spacing w:after="0" w:line="240" w:lineRule="auto"/>
              <w:jc w:val="right"/>
              <w:rPr>
                <w:rFonts w:ascii="Arial" w:hAnsi="Arial" w:cs="Arial"/>
                <w:color w:val="000000"/>
                <w:sz w:val="24"/>
                <w:szCs w:val="24"/>
              </w:rPr>
            </w:pPr>
            <w:r>
              <w:rPr>
                <w:color w:val="000000"/>
              </w:rPr>
              <w:t>205</w:t>
            </w:r>
          </w:p>
        </w:tc>
      </w:tr>
      <w:tr w:rsidR="00434B03" w:rsidTr="00434B03">
        <w:trPr>
          <w:tblCellSpacing w:w="20" w:type="dxa"/>
        </w:trPr>
        <w:tc>
          <w:tcPr>
            <w:tcW w:w="1347" w:type="pct"/>
          </w:tcPr>
          <w:p w:rsidR="00434B03" w:rsidRDefault="00012700" w:rsidP="002C3CFF">
            <w:pPr>
              <w:spacing w:after="0" w:line="240" w:lineRule="auto"/>
              <w:rPr>
                <w:rFonts w:ascii="Arial" w:hAnsi="Arial" w:cs="Arial"/>
                <w:color w:val="000000"/>
                <w:sz w:val="24"/>
                <w:szCs w:val="24"/>
              </w:rPr>
            </w:pPr>
            <w:r>
              <w:rPr>
                <w:color w:val="000000"/>
              </w:rPr>
              <w:t>W</w:t>
            </w:r>
            <w:r w:rsidR="00F9275B">
              <w:rPr>
                <w:color w:val="000000"/>
              </w:rPr>
              <w:t>HD</w:t>
            </w:r>
            <w:r>
              <w:rPr>
                <w:color w:val="000000"/>
              </w:rPr>
              <w:t xml:space="preserve"> </w:t>
            </w:r>
            <w:r w:rsidR="00434B03" w:rsidRPr="00627D54">
              <w:rPr>
                <w:color w:val="000000"/>
              </w:rPr>
              <w:t>Family and Medical Leave Act Customer Experience Survey</w:t>
            </w:r>
            <w:r w:rsidR="00434B03">
              <w:rPr>
                <w:color w:val="000000"/>
              </w:rPr>
              <w:t xml:space="preserve"> </w:t>
            </w:r>
          </w:p>
        </w:tc>
        <w:tc>
          <w:tcPr>
            <w:tcW w:w="657" w:type="pct"/>
            <w:vAlign w:val="bottom"/>
          </w:tcPr>
          <w:p w:rsidR="00434B03" w:rsidRDefault="00434B03" w:rsidP="002C3CFF">
            <w:pPr>
              <w:spacing w:after="0" w:line="240" w:lineRule="auto"/>
              <w:jc w:val="right"/>
              <w:rPr>
                <w:rFonts w:ascii="Arial" w:hAnsi="Arial" w:cs="Arial"/>
                <w:color w:val="000000"/>
                <w:sz w:val="24"/>
                <w:szCs w:val="24"/>
              </w:rPr>
            </w:pPr>
            <w:r>
              <w:rPr>
                <w:color w:val="000000"/>
              </w:rPr>
              <w:t>1,713</w:t>
            </w:r>
          </w:p>
        </w:tc>
        <w:tc>
          <w:tcPr>
            <w:tcW w:w="659" w:type="pct"/>
            <w:vAlign w:val="bottom"/>
          </w:tcPr>
          <w:p w:rsidR="00434B03" w:rsidRDefault="00434B03" w:rsidP="002C3CFF">
            <w:pPr>
              <w:spacing w:after="0" w:line="240" w:lineRule="auto"/>
              <w:jc w:val="right"/>
              <w:rPr>
                <w:color w:val="000000"/>
              </w:rPr>
            </w:pPr>
            <w:r>
              <w:rPr>
                <w:color w:val="000000"/>
              </w:rPr>
              <w:t>1</w:t>
            </w:r>
          </w:p>
        </w:tc>
        <w:tc>
          <w:tcPr>
            <w:tcW w:w="642" w:type="pct"/>
            <w:vAlign w:val="bottom"/>
          </w:tcPr>
          <w:p w:rsidR="00434B03" w:rsidRDefault="00434B03" w:rsidP="002C3CFF">
            <w:pPr>
              <w:spacing w:after="0" w:line="240" w:lineRule="auto"/>
              <w:jc w:val="right"/>
              <w:rPr>
                <w:rFonts w:ascii="Arial" w:hAnsi="Arial" w:cs="Arial"/>
                <w:color w:val="000000"/>
                <w:sz w:val="24"/>
                <w:szCs w:val="24"/>
              </w:rPr>
            </w:pPr>
            <w:r>
              <w:rPr>
                <w:color w:val="000000"/>
              </w:rPr>
              <w:t>1,713</w:t>
            </w:r>
          </w:p>
        </w:tc>
        <w:tc>
          <w:tcPr>
            <w:tcW w:w="785" w:type="pct"/>
            <w:vAlign w:val="bottom"/>
          </w:tcPr>
          <w:p w:rsidR="00434B03" w:rsidRDefault="00434B03" w:rsidP="002C3CFF">
            <w:pPr>
              <w:spacing w:after="0" w:line="240" w:lineRule="auto"/>
              <w:jc w:val="right"/>
              <w:rPr>
                <w:color w:val="000000"/>
              </w:rPr>
            </w:pPr>
            <w:r>
              <w:rPr>
                <w:color w:val="000000"/>
              </w:rPr>
              <w:t>0.16</w:t>
            </w:r>
            <w:r w:rsidR="001164A8">
              <w:rPr>
                <w:color w:val="000000"/>
              </w:rPr>
              <w:t>6</w:t>
            </w:r>
            <w:r w:rsidR="00AA02AA">
              <w:rPr>
                <w:color w:val="000000"/>
              </w:rPr>
              <w:t>6</w:t>
            </w:r>
            <w:r>
              <w:rPr>
                <w:color w:val="000000"/>
              </w:rPr>
              <w:t>7</w:t>
            </w:r>
          </w:p>
        </w:tc>
        <w:tc>
          <w:tcPr>
            <w:tcW w:w="763" w:type="pct"/>
            <w:vAlign w:val="bottom"/>
            <w:hideMark/>
          </w:tcPr>
          <w:p w:rsidR="00434B03" w:rsidRDefault="00434B03" w:rsidP="002C3CFF">
            <w:pPr>
              <w:spacing w:after="0" w:line="240" w:lineRule="auto"/>
              <w:jc w:val="right"/>
              <w:rPr>
                <w:rFonts w:ascii="Arial" w:hAnsi="Arial" w:cs="Arial"/>
                <w:color w:val="000000"/>
                <w:sz w:val="24"/>
                <w:szCs w:val="24"/>
              </w:rPr>
            </w:pPr>
            <w:r>
              <w:rPr>
                <w:color w:val="000000"/>
              </w:rPr>
              <w:t>286</w:t>
            </w:r>
          </w:p>
        </w:tc>
      </w:tr>
      <w:tr w:rsidR="00434B03" w:rsidTr="00434B03">
        <w:trPr>
          <w:tblCellSpacing w:w="20" w:type="dxa"/>
        </w:trPr>
        <w:tc>
          <w:tcPr>
            <w:tcW w:w="1347" w:type="pct"/>
          </w:tcPr>
          <w:p w:rsidR="00434B03" w:rsidRDefault="00434B03" w:rsidP="002C3CFF">
            <w:pPr>
              <w:spacing w:after="0" w:line="240" w:lineRule="auto"/>
              <w:rPr>
                <w:rFonts w:ascii="Arial" w:hAnsi="Arial" w:cs="Arial"/>
                <w:color w:val="000000"/>
                <w:sz w:val="24"/>
                <w:szCs w:val="24"/>
              </w:rPr>
            </w:pPr>
            <w:r w:rsidRPr="00627D54">
              <w:rPr>
                <w:color w:val="000000"/>
              </w:rPr>
              <w:t>D</w:t>
            </w:r>
            <w:r w:rsidR="00F9275B">
              <w:rPr>
                <w:color w:val="000000"/>
              </w:rPr>
              <w:t>OL</w:t>
            </w:r>
            <w:r w:rsidRPr="00627D54">
              <w:rPr>
                <w:color w:val="000000"/>
              </w:rPr>
              <w:t xml:space="preserve"> Paperwork Reduction Act Web Page Comments Link</w:t>
            </w:r>
            <w:r>
              <w:rPr>
                <w:color w:val="000000"/>
              </w:rPr>
              <w:t xml:space="preserve"> </w:t>
            </w:r>
          </w:p>
        </w:tc>
        <w:tc>
          <w:tcPr>
            <w:tcW w:w="657" w:type="pct"/>
            <w:vAlign w:val="bottom"/>
          </w:tcPr>
          <w:p w:rsidR="00434B03" w:rsidRDefault="00434B03" w:rsidP="002C3CFF">
            <w:pPr>
              <w:spacing w:after="0" w:line="240" w:lineRule="auto"/>
              <w:jc w:val="right"/>
              <w:rPr>
                <w:rFonts w:ascii="Arial" w:hAnsi="Arial" w:cs="Arial"/>
                <w:color w:val="000000"/>
                <w:sz w:val="24"/>
                <w:szCs w:val="24"/>
              </w:rPr>
            </w:pPr>
            <w:r>
              <w:rPr>
                <w:color w:val="000000"/>
              </w:rPr>
              <w:t>88</w:t>
            </w:r>
          </w:p>
        </w:tc>
        <w:tc>
          <w:tcPr>
            <w:tcW w:w="659" w:type="pct"/>
            <w:vAlign w:val="bottom"/>
          </w:tcPr>
          <w:p w:rsidR="00434B03" w:rsidRDefault="00434B03" w:rsidP="002C3CFF">
            <w:pPr>
              <w:spacing w:after="0" w:line="240" w:lineRule="auto"/>
              <w:jc w:val="right"/>
              <w:rPr>
                <w:color w:val="000000"/>
              </w:rPr>
            </w:pPr>
            <w:r>
              <w:rPr>
                <w:color w:val="000000"/>
              </w:rPr>
              <w:t>1</w:t>
            </w:r>
          </w:p>
        </w:tc>
        <w:tc>
          <w:tcPr>
            <w:tcW w:w="642" w:type="pct"/>
            <w:vAlign w:val="bottom"/>
          </w:tcPr>
          <w:p w:rsidR="00434B03" w:rsidRDefault="00434B03" w:rsidP="002C3CFF">
            <w:pPr>
              <w:spacing w:after="0" w:line="240" w:lineRule="auto"/>
              <w:jc w:val="right"/>
              <w:rPr>
                <w:rFonts w:ascii="Arial" w:hAnsi="Arial" w:cs="Arial"/>
                <w:color w:val="000000"/>
                <w:sz w:val="24"/>
                <w:szCs w:val="24"/>
              </w:rPr>
            </w:pPr>
            <w:r>
              <w:rPr>
                <w:color w:val="000000"/>
              </w:rPr>
              <w:t>88</w:t>
            </w:r>
          </w:p>
        </w:tc>
        <w:tc>
          <w:tcPr>
            <w:tcW w:w="785" w:type="pct"/>
            <w:vAlign w:val="bottom"/>
          </w:tcPr>
          <w:p w:rsidR="00434B03" w:rsidRDefault="00434B03" w:rsidP="002C3CFF">
            <w:pPr>
              <w:spacing w:after="0" w:line="240" w:lineRule="auto"/>
              <w:jc w:val="right"/>
              <w:rPr>
                <w:color w:val="000000"/>
              </w:rPr>
            </w:pPr>
            <w:r>
              <w:rPr>
                <w:color w:val="000000"/>
              </w:rPr>
              <w:t>0.16</w:t>
            </w:r>
            <w:r w:rsidR="001164A8">
              <w:rPr>
                <w:color w:val="000000"/>
              </w:rPr>
              <w:t>6</w:t>
            </w:r>
            <w:r w:rsidR="00AA02AA">
              <w:rPr>
                <w:color w:val="000000"/>
              </w:rPr>
              <w:t>6</w:t>
            </w:r>
            <w:r>
              <w:rPr>
                <w:color w:val="000000"/>
              </w:rPr>
              <w:t>7</w:t>
            </w:r>
          </w:p>
        </w:tc>
        <w:tc>
          <w:tcPr>
            <w:tcW w:w="763" w:type="pct"/>
            <w:vAlign w:val="bottom"/>
            <w:hideMark/>
          </w:tcPr>
          <w:p w:rsidR="00434B03" w:rsidRDefault="00434B03" w:rsidP="002C3CFF">
            <w:pPr>
              <w:spacing w:after="0" w:line="240" w:lineRule="auto"/>
              <w:jc w:val="right"/>
              <w:rPr>
                <w:rFonts w:ascii="Arial" w:hAnsi="Arial" w:cs="Arial"/>
                <w:color w:val="000000"/>
                <w:sz w:val="24"/>
                <w:szCs w:val="24"/>
              </w:rPr>
            </w:pPr>
            <w:r>
              <w:rPr>
                <w:color w:val="000000"/>
              </w:rPr>
              <w:t>15</w:t>
            </w:r>
          </w:p>
        </w:tc>
      </w:tr>
      <w:tr w:rsidR="00434B03" w:rsidTr="00434B03">
        <w:trPr>
          <w:tblCellSpacing w:w="20" w:type="dxa"/>
        </w:trPr>
        <w:tc>
          <w:tcPr>
            <w:tcW w:w="1347" w:type="pct"/>
          </w:tcPr>
          <w:p w:rsidR="00434B03" w:rsidRDefault="00F9275B" w:rsidP="002C3CFF">
            <w:pPr>
              <w:spacing w:after="0" w:line="240" w:lineRule="auto"/>
              <w:rPr>
                <w:rFonts w:ascii="Arial" w:hAnsi="Arial" w:cs="Arial"/>
                <w:color w:val="000000"/>
                <w:sz w:val="24"/>
                <w:szCs w:val="24"/>
              </w:rPr>
            </w:pPr>
            <w:r>
              <w:rPr>
                <w:color w:val="000000"/>
              </w:rPr>
              <w:t>ODEP</w:t>
            </w:r>
            <w:r w:rsidR="00F00F69">
              <w:rPr>
                <w:color w:val="000000"/>
              </w:rPr>
              <w:t xml:space="preserve"> </w:t>
            </w:r>
            <w:r w:rsidR="00434B03" w:rsidRPr="00627D54">
              <w:rPr>
                <w:color w:val="000000"/>
              </w:rPr>
              <w:t>Customer Service Follow-up: Workforce Recruitment Program</w:t>
            </w:r>
            <w:r w:rsidR="00434B03">
              <w:rPr>
                <w:color w:val="000000"/>
              </w:rPr>
              <w:t xml:space="preserve"> </w:t>
            </w:r>
          </w:p>
        </w:tc>
        <w:tc>
          <w:tcPr>
            <w:tcW w:w="657" w:type="pct"/>
            <w:vAlign w:val="bottom"/>
          </w:tcPr>
          <w:p w:rsidR="00434B03" w:rsidRDefault="00434B03" w:rsidP="002C3CFF">
            <w:pPr>
              <w:spacing w:after="0" w:line="240" w:lineRule="auto"/>
              <w:jc w:val="right"/>
              <w:rPr>
                <w:rFonts w:ascii="Arial" w:hAnsi="Arial" w:cs="Arial"/>
                <w:color w:val="000000"/>
                <w:sz w:val="24"/>
                <w:szCs w:val="24"/>
              </w:rPr>
            </w:pPr>
            <w:r>
              <w:rPr>
                <w:color w:val="000000"/>
              </w:rPr>
              <w:t>100</w:t>
            </w:r>
          </w:p>
        </w:tc>
        <w:tc>
          <w:tcPr>
            <w:tcW w:w="659" w:type="pct"/>
            <w:vAlign w:val="bottom"/>
          </w:tcPr>
          <w:p w:rsidR="00434B03" w:rsidRDefault="00434B03" w:rsidP="002C3CFF">
            <w:pPr>
              <w:spacing w:after="0" w:line="240" w:lineRule="auto"/>
              <w:jc w:val="right"/>
              <w:rPr>
                <w:color w:val="000000"/>
              </w:rPr>
            </w:pPr>
            <w:r>
              <w:rPr>
                <w:color w:val="000000"/>
              </w:rPr>
              <w:t>1</w:t>
            </w:r>
          </w:p>
        </w:tc>
        <w:tc>
          <w:tcPr>
            <w:tcW w:w="642" w:type="pct"/>
            <w:vAlign w:val="bottom"/>
          </w:tcPr>
          <w:p w:rsidR="00434B03" w:rsidRDefault="00434B03" w:rsidP="002C3CFF">
            <w:pPr>
              <w:spacing w:after="0" w:line="240" w:lineRule="auto"/>
              <w:jc w:val="right"/>
              <w:rPr>
                <w:rFonts w:ascii="Arial" w:hAnsi="Arial" w:cs="Arial"/>
                <w:color w:val="000000"/>
                <w:sz w:val="24"/>
                <w:szCs w:val="24"/>
              </w:rPr>
            </w:pPr>
            <w:r>
              <w:rPr>
                <w:color w:val="000000"/>
              </w:rPr>
              <w:t>100</w:t>
            </w:r>
          </w:p>
        </w:tc>
        <w:tc>
          <w:tcPr>
            <w:tcW w:w="785" w:type="pct"/>
            <w:vAlign w:val="bottom"/>
          </w:tcPr>
          <w:p w:rsidR="00434B03" w:rsidRDefault="00434B03" w:rsidP="002C3CFF">
            <w:pPr>
              <w:spacing w:after="0" w:line="240" w:lineRule="auto"/>
              <w:jc w:val="right"/>
              <w:rPr>
                <w:color w:val="000000"/>
              </w:rPr>
            </w:pPr>
            <w:r>
              <w:rPr>
                <w:color w:val="000000"/>
              </w:rPr>
              <w:t>.083</w:t>
            </w:r>
            <w:r w:rsidR="00AA02AA">
              <w:rPr>
                <w:color w:val="000000"/>
              </w:rPr>
              <w:t>3</w:t>
            </w:r>
            <w:r w:rsidR="001164A8">
              <w:rPr>
                <w:color w:val="000000"/>
              </w:rPr>
              <w:t>3</w:t>
            </w:r>
          </w:p>
        </w:tc>
        <w:tc>
          <w:tcPr>
            <w:tcW w:w="763" w:type="pct"/>
            <w:vAlign w:val="bottom"/>
            <w:hideMark/>
          </w:tcPr>
          <w:p w:rsidR="00434B03" w:rsidRDefault="00434B03" w:rsidP="002C3CFF">
            <w:pPr>
              <w:spacing w:after="0" w:line="240" w:lineRule="auto"/>
              <w:jc w:val="right"/>
              <w:rPr>
                <w:rFonts w:ascii="Arial" w:hAnsi="Arial" w:cs="Arial"/>
                <w:color w:val="000000"/>
                <w:sz w:val="24"/>
                <w:szCs w:val="24"/>
              </w:rPr>
            </w:pPr>
            <w:r>
              <w:rPr>
                <w:color w:val="000000"/>
              </w:rPr>
              <w:t>8</w:t>
            </w:r>
          </w:p>
        </w:tc>
      </w:tr>
      <w:tr w:rsidR="00D64332" w:rsidRPr="008659FD" w:rsidTr="00A6320C">
        <w:trPr>
          <w:tblCellSpacing w:w="20" w:type="dxa"/>
        </w:trPr>
        <w:tc>
          <w:tcPr>
            <w:tcW w:w="1347" w:type="pct"/>
          </w:tcPr>
          <w:p w:rsidR="00D64332" w:rsidRPr="008659FD" w:rsidRDefault="00F9275B" w:rsidP="002C3CFF">
            <w:pPr>
              <w:autoSpaceDE w:val="0"/>
              <w:autoSpaceDN w:val="0"/>
              <w:adjustRightInd w:val="0"/>
              <w:spacing w:after="0" w:line="240" w:lineRule="auto"/>
              <w:rPr>
                <w:color w:val="000000"/>
              </w:rPr>
            </w:pPr>
            <w:r>
              <w:rPr>
                <w:rFonts w:ascii="ArialMT" w:hAnsi="ArialMT" w:cs="ArialMT"/>
                <w:sz w:val="20"/>
                <w:szCs w:val="20"/>
              </w:rPr>
              <w:t>OFCCP</w:t>
            </w:r>
            <w:r w:rsidR="00EE234D">
              <w:rPr>
                <w:rFonts w:ascii="ArialMT" w:hAnsi="ArialMT" w:cs="ArialMT"/>
                <w:sz w:val="20"/>
                <w:szCs w:val="20"/>
              </w:rPr>
              <w:t xml:space="preserve"> Customer Experience Survey</w:t>
            </w:r>
          </w:p>
        </w:tc>
        <w:tc>
          <w:tcPr>
            <w:tcW w:w="657" w:type="pct"/>
            <w:vAlign w:val="bottom"/>
          </w:tcPr>
          <w:p w:rsidR="00D64332" w:rsidRPr="008659FD" w:rsidRDefault="00BC7A04" w:rsidP="002C3CFF">
            <w:pPr>
              <w:spacing w:after="0" w:line="240" w:lineRule="auto"/>
              <w:jc w:val="right"/>
              <w:rPr>
                <w:color w:val="000000"/>
              </w:rPr>
            </w:pPr>
            <w:r>
              <w:rPr>
                <w:color w:val="000000"/>
              </w:rPr>
              <w:t>13,200</w:t>
            </w:r>
          </w:p>
        </w:tc>
        <w:tc>
          <w:tcPr>
            <w:tcW w:w="659" w:type="pct"/>
            <w:vAlign w:val="bottom"/>
          </w:tcPr>
          <w:p w:rsidR="00D64332" w:rsidRPr="008659FD" w:rsidRDefault="009051F0" w:rsidP="002C3CFF">
            <w:pPr>
              <w:spacing w:after="0" w:line="240" w:lineRule="auto"/>
              <w:jc w:val="right"/>
              <w:rPr>
                <w:color w:val="000000"/>
              </w:rPr>
            </w:pPr>
            <w:r>
              <w:rPr>
                <w:color w:val="000000"/>
              </w:rPr>
              <w:t>1</w:t>
            </w:r>
          </w:p>
        </w:tc>
        <w:tc>
          <w:tcPr>
            <w:tcW w:w="642" w:type="pct"/>
            <w:vAlign w:val="bottom"/>
          </w:tcPr>
          <w:p w:rsidR="00D64332" w:rsidRPr="008659FD" w:rsidRDefault="00BC7A04" w:rsidP="002C3CFF">
            <w:pPr>
              <w:spacing w:after="0" w:line="240" w:lineRule="auto"/>
              <w:jc w:val="right"/>
              <w:rPr>
                <w:color w:val="000000"/>
              </w:rPr>
            </w:pPr>
            <w:r>
              <w:rPr>
                <w:color w:val="000000"/>
              </w:rPr>
              <w:t>13,200</w:t>
            </w:r>
          </w:p>
        </w:tc>
        <w:tc>
          <w:tcPr>
            <w:tcW w:w="785" w:type="pct"/>
            <w:vAlign w:val="bottom"/>
          </w:tcPr>
          <w:p w:rsidR="00D64332" w:rsidRPr="008659FD" w:rsidRDefault="00BC7A04" w:rsidP="002C3CFF">
            <w:pPr>
              <w:spacing w:after="0" w:line="240" w:lineRule="auto"/>
              <w:jc w:val="right"/>
              <w:rPr>
                <w:color w:val="000000"/>
              </w:rPr>
            </w:pPr>
            <w:r>
              <w:rPr>
                <w:color w:val="000000"/>
              </w:rPr>
              <w:t>0.083</w:t>
            </w:r>
            <w:r w:rsidR="00AA02AA">
              <w:rPr>
                <w:color w:val="000000"/>
              </w:rPr>
              <w:t>3</w:t>
            </w:r>
            <w:r>
              <w:rPr>
                <w:color w:val="000000"/>
              </w:rPr>
              <w:t>3</w:t>
            </w:r>
          </w:p>
        </w:tc>
        <w:tc>
          <w:tcPr>
            <w:tcW w:w="763" w:type="pct"/>
            <w:vAlign w:val="bottom"/>
          </w:tcPr>
          <w:p w:rsidR="00D64332" w:rsidRPr="008659FD" w:rsidRDefault="00BC7A04" w:rsidP="002C3CFF">
            <w:pPr>
              <w:spacing w:after="0" w:line="240" w:lineRule="auto"/>
              <w:jc w:val="right"/>
              <w:rPr>
                <w:color w:val="000000"/>
              </w:rPr>
            </w:pPr>
            <w:r>
              <w:rPr>
                <w:color w:val="000000"/>
              </w:rPr>
              <w:t>1,100</w:t>
            </w:r>
          </w:p>
        </w:tc>
      </w:tr>
      <w:tr w:rsidR="00D64332" w:rsidRPr="008659FD" w:rsidTr="00A6320C">
        <w:trPr>
          <w:tblCellSpacing w:w="20" w:type="dxa"/>
        </w:trPr>
        <w:tc>
          <w:tcPr>
            <w:tcW w:w="1347" w:type="pct"/>
          </w:tcPr>
          <w:p w:rsidR="00D64332" w:rsidRPr="008659FD" w:rsidRDefault="00F9275B" w:rsidP="002C3CFF">
            <w:pPr>
              <w:autoSpaceDE w:val="0"/>
              <w:autoSpaceDN w:val="0"/>
              <w:adjustRightInd w:val="0"/>
              <w:spacing w:after="0" w:line="240" w:lineRule="auto"/>
              <w:rPr>
                <w:color w:val="000000"/>
              </w:rPr>
            </w:pPr>
            <w:r>
              <w:rPr>
                <w:rFonts w:ascii="ArialMT" w:hAnsi="ArialMT" w:cs="ArialMT"/>
                <w:sz w:val="20"/>
                <w:szCs w:val="20"/>
              </w:rPr>
              <w:t>ETA-OFLC</w:t>
            </w:r>
            <w:r w:rsidR="00CA1046">
              <w:rPr>
                <w:rFonts w:ascii="ArialMT" w:hAnsi="ArialMT" w:cs="ArialMT"/>
                <w:sz w:val="20"/>
                <w:szCs w:val="20"/>
              </w:rPr>
              <w:t xml:space="preserve"> Certification Ombudsman Program Stakeholder Feedback</w:t>
            </w:r>
          </w:p>
        </w:tc>
        <w:tc>
          <w:tcPr>
            <w:tcW w:w="657" w:type="pct"/>
            <w:vAlign w:val="bottom"/>
          </w:tcPr>
          <w:p w:rsidR="00D64332" w:rsidRPr="008659FD" w:rsidRDefault="00CA1046" w:rsidP="002C3CFF">
            <w:pPr>
              <w:spacing w:after="0" w:line="240" w:lineRule="auto"/>
              <w:jc w:val="right"/>
              <w:rPr>
                <w:color w:val="000000"/>
              </w:rPr>
            </w:pPr>
            <w:r>
              <w:rPr>
                <w:color w:val="000000"/>
              </w:rPr>
              <w:t>50</w:t>
            </w:r>
          </w:p>
        </w:tc>
        <w:tc>
          <w:tcPr>
            <w:tcW w:w="659" w:type="pct"/>
            <w:vAlign w:val="bottom"/>
          </w:tcPr>
          <w:p w:rsidR="00D64332" w:rsidRPr="008659FD" w:rsidRDefault="009051F0" w:rsidP="002C3CFF">
            <w:pPr>
              <w:spacing w:after="0" w:line="240" w:lineRule="auto"/>
              <w:jc w:val="right"/>
              <w:rPr>
                <w:color w:val="000000"/>
              </w:rPr>
            </w:pPr>
            <w:r>
              <w:rPr>
                <w:color w:val="000000"/>
              </w:rPr>
              <w:t>1</w:t>
            </w:r>
          </w:p>
        </w:tc>
        <w:tc>
          <w:tcPr>
            <w:tcW w:w="642" w:type="pct"/>
            <w:vAlign w:val="bottom"/>
          </w:tcPr>
          <w:p w:rsidR="00D64332" w:rsidRPr="008659FD" w:rsidRDefault="009051F0" w:rsidP="002C3CFF">
            <w:pPr>
              <w:spacing w:after="0" w:line="240" w:lineRule="auto"/>
              <w:jc w:val="right"/>
              <w:rPr>
                <w:color w:val="000000"/>
              </w:rPr>
            </w:pPr>
            <w:r>
              <w:rPr>
                <w:color w:val="000000"/>
              </w:rPr>
              <w:t>50</w:t>
            </w:r>
          </w:p>
        </w:tc>
        <w:tc>
          <w:tcPr>
            <w:tcW w:w="785" w:type="pct"/>
            <w:vAlign w:val="bottom"/>
          </w:tcPr>
          <w:p w:rsidR="00D64332" w:rsidRPr="008659FD" w:rsidRDefault="009051F0" w:rsidP="002C3CFF">
            <w:pPr>
              <w:spacing w:after="0" w:line="240" w:lineRule="auto"/>
              <w:jc w:val="right"/>
              <w:rPr>
                <w:color w:val="000000"/>
              </w:rPr>
            </w:pPr>
            <w:r>
              <w:rPr>
                <w:color w:val="000000"/>
              </w:rPr>
              <w:t>0.1</w:t>
            </w:r>
            <w:r w:rsidR="006547E9">
              <w:rPr>
                <w:color w:val="000000"/>
              </w:rPr>
              <w:t>00</w:t>
            </w:r>
            <w:r w:rsidR="00AA02AA">
              <w:rPr>
                <w:color w:val="000000"/>
              </w:rPr>
              <w:t>0</w:t>
            </w:r>
            <w:r w:rsidR="006547E9">
              <w:rPr>
                <w:color w:val="000000"/>
              </w:rPr>
              <w:t>0</w:t>
            </w:r>
          </w:p>
        </w:tc>
        <w:tc>
          <w:tcPr>
            <w:tcW w:w="763" w:type="pct"/>
            <w:vAlign w:val="bottom"/>
          </w:tcPr>
          <w:p w:rsidR="00D64332" w:rsidRPr="008659FD" w:rsidRDefault="006547E9" w:rsidP="002C3CFF">
            <w:pPr>
              <w:spacing w:after="0" w:line="240" w:lineRule="auto"/>
              <w:jc w:val="right"/>
              <w:rPr>
                <w:color w:val="000000"/>
              </w:rPr>
            </w:pPr>
            <w:r>
              <w:rPr>
                <w:color w:val="000000"/>
              </w:rPr>
              <w:t>5</w:t>
            </w:r>
          </w:p>
        </w:tc>
      </w:tr>
      <w:tr w:rsidR="00D64332" w:rsidRPr="008659FD" w:rsidTr="00A6320C">
        <w:trPr>
          <w:tblCellSpacing w:w="20" w:type="dxa"/>
        </w:trPr>
        <w:tc>
          <w:tcPr>
            <w:tcW w:w="1347" w:type="pct"/>
          </w:tcPr>
          <w:p w:rsidR="00D64332" w:rsidRPr="008659FD" w:rsidRDefault="00F9275B" w:rsidP="002C3CFF">
            <w:pPr>
              <w:autoSpaceDE w:val="0"/>
              <w:autoSpaceDN w:val="0"/>
              <w:adjustRightInd w:val="0"/>
              <w:spacing w:after="0" w:line="240" w:lineRule="auto"/>
              <w:rPr>
                <w:color w:val="000000"/>
              </w:rPr>
            </w:pPr>
            <w:r>
              <w:rPr>
                <w:rFonts w:ascii="ArialMT" w:hAnsi="ArialMT" w:cs="ArialMT"/>
                <w:sz w:val="20"/>
                <w:szCs w:val="20"/>
              </w:rPr>
              <w:t>OSHA</w:t>
            </w:r>
            <w:r w:rsidR="006547E9">
              <w:rPr>
                <w:rFonts w:ascii="ArialMT" w:hAnsi="ArialMT" w:cs="ArialMT"/>
                <w:sz w:val="20"/>
                <w:szCs w:val="20"/>
              </w:rPr>
              <w:t xml:space="preserve"> Heat Stress Outreach Feedback Survey</w:t>
            </w:r>
            <w:r w:rsidR="008E00C0">
              <w:rPr>
                <w:rFonts w:ascii="ArialMT" w:hAnsi="ArialMT" w:cs="ArialMT"/>
                <w:sz w:val="20"/>
                <w:szCs w:val="20"/>
              </w:rPr>
              <w:t xml:space="preserve"> (2 instruments)</w:t>
            </w:r>
          </w:p>
        </w:tc>
        <w:tc>
          <w:tcPr>
            <w:tcW w:w="657" w:type="pct"/>
            <w:vAlign w:val="bottom"/>
          </w:tcPr>
          <w:p w:rsidR="00D64332" w:rsidRPr="008659FD" w:rsidRDefault="006547E9" w:rsidP="002C3CFF">
            <w:pPr>
              <w:spacing w:after="0" w:line="240" w:lineRule="auto"/>
              <w:jc w:val="right"/>
              <w:rPr>
                <w:color w:val="000000"/>
              </w:rPr>
            </w:pPr>
            <w:r>
              <w:rPr>
                <w:color w:val="000000"/>
              </w:rPr>
              <w:t>1,000</w:t>
            </w:r>
          </w:p>
        </w:tc>
        <w:tc>
          <w:tcPr>
            <w:tcW w:w="659" w:type="pct"/>
            <w:vAlign w:val="bottom"/>
          </w:tcPr>
          <w:p w:rsidR="00D64332" w:rsidRPr="008659FD" w:rsidRDefault="006547E9" w:rsidP="002C3CFF">
            <w:pPr>
              <w:spacing w:after="0" w:line="240" w:lineRule="auto"/>
              <w:jc w:val="right"/>
              <w:rPr>
                <w:color w:val="000000"/>
              </w:rPr>
            </w:pPr>
            <w:r>
              <w:rPr>
                <w:color w:val="000000"/>
              </w:rPr>
              <w:t>1</w:t>
            </w:r>
          </w:p>
        </w:tc>
        <w:tc>
          <w:tcPr>
            <w:tcW w:w="642" w:type="pct"/>
            <w:vAlign w:val="bottom"/>
          </w:tcPr>
          <w:p w:rsidR="00D64332" w:rsidRPr="008659FD" w:rsidRDefault="008E00C0" w:rsidP="002C3CFF">
            <w:pPr>
              <w:spacing w:after="0" w:line="240" w:lineRule="auto"/>
              <w:jc w:val="right"/>
              <w:rPr>
                <w:color w:val="000000"/>
              </w:rPr>
            </w:pPr>
            <w:r>
              <w:rPr>
                <w:color w:val="000000"/>
              </w:rPr>
              <w:t>1,000</w:t>
            </w:r>
          </w:p>
        </w:tc>
        <w:tc>
          <w:tcPr>
            <w:tcW w:w="785" w:type="pct"/>
            <w:vAlign w:val="bottom"/>
          </w:tcPr>
          <w:p w:rsidR="00D64332" w:rsidRPr="008659FD" w:rsidRDefault="008E00C0" w:rsidP="002C3CFF">
            <w:pPr>
              <w:spacing w:after="0" w:line="240" w:lineRule="auto"/>
              <w:jc w:val="right"/>
              <w:rPr>
                <w:color w:val="000000"/>
              </w:rPr>
            </w:pPr>
            <w:r>
              <w:rPr>
                <w:color w:val="000000"/>
              </w:rPr>
              <w:t>0.250</w:t>
            </w:r>
            <w:r w:rsidR="00AA02AA">
              <w:rPr>
                <w:color w:val="000000"/>
              </w:rPr>
              <w:t>0</w:t>
            </w:r>
            <w:r>
              <w:rPr>
                <w:color w:val="000000"/>
              </w:rPr>
              <w:t>0</w:t>
            </w:r>
          </w:p>
        </w:tc>
        <w:tc>
          <w:tcPr>
            <w:tcW w:w="763" w:type="pct"/>
            <w:vAlign w:val="bottom"/>
          </w:tcPr>
          <w:p w:rsidR="00D64332" w:rsidRPr="008659FD" w:rsidRDefault="008E00C0" w:rsidP="002C3CFF">
            <w:pPr>
              <w:spacing w:after="0" w:line="240" w:lineRule="auto"/>
              <w:jc w:val="right"/>
              <w:rPr>
                <w:color w:val="000000"/>
              </w:rPr>
            </w:pPr>
            <w:r>
              <w:rPr>
                <w:color w:val="000000"/>
              </w:rPr>
              <w:t>250</w:t>
            </w:r>
          </w:p>
        </w:tc>
      </w:tr>
      <w:tr w:rsidR="00D64332" w:rsidRPr="008659FD" w:rsidTr="00A6320C">
        <w:trPr>
          <w:tblCellSpacing w:w="20" w:type="dxa"/>
        </w:trPr>
        <w:tc>
          <w:tcPr>
            <w:tcW w:w="1347" w:type="pct"/>
          </w:tcPr>
          <w:p w:rsidR="00C2740A" w:rsidRDefault="00F9275B" w:rsidP="002C3CFF">
            <w:pPr>
              <w:autoSpaceDE w:val="0"/>
              <w:autoSpaceDN w:val="0"/>
              <w:adjustRightInd w:val="0"/>
              <w:spacing w:after="0" w:line="240" w:lineRule="auto"/>
              <w:rPr>
                <w:rFonts w:ascii="ArialMT" w:hAnsi="ArialMT" w:cs="ArialMT"/>
                <w:sz w:val="20"/>
                <w:szCs w:val="20"/>
              </w:rPr>
            </w:pPr>
            <w:r>
              <w:rPr>
                <w:rFonts w:ascii="ArialMT" w:hAnsi="ArialMT" w:cs="ArialMT"/>
                <w:sz w:val="20"/>
                <w:szCs w:val="20"/>
              </w:rPr>
              <w:t>EBSA</w:t>
            </w:r>
            <w:r w:rsidR="00C2740A">
              <w:rPr>
                <w:rFonts w:ascii="ArialMT" w:hAnsi="ArialMT" w:cs="ArialMT"/>
                <w:sz w:val="20"/>
                <w:szCs w:val="20"/>
              </w:rPr>
              <w:t xml:space="preserve"> Getting it Right-Know Your Fiduciary</w:t>
            </w:r>
          </w:p>
          <w:p w:rsidR="00D64332" w:rsidRPr="008659FD" w:rsidRDefault="00C2740A" w:rsidP="002C3CFF">
            <w:pPr>
              <w:spacing w:after="0" w:line="240" w:lineRule="auto"/>
              <w:rPr>
                <w:color w:val="000000"/>
              </w:rPr>
            </w:pPr>
            <w:r>
              <w:rPr>
                <w:rFonts w:ascii="ArialMT" w:hAnsi="ArialMT" w:cs="ArialMT"/>
                <w:sz w:val="20"/>
                <w:szCs w:val="20"/>
              </w:rPr>
              <w:t>Responsibilities Survey</w:t>
            </w:r>
          </w:p>
        </w:tc>
        <w:tc>
          <w:tcPr>
            <w:tcW w:w="657" w:type="pct"/>
            <w:vAlign w:val="bottom"/>
          </w:tcPr>
          <w:p w:rsidR="00D64332" w:rsidRPr="008659FD" w:rsidRDefault="00C2740A" w:rsidP="002C3CFF">
            <w:pPr>
              <w:spacing w:after="0" w:line="240" w:lineRule="auto"/>
              <w:jc w:val="right"/>
              <w:rPr>
                <w:color w:val="000000"/>
              </w:rPr>
            </w:pPr>
            <w:r>
              <w:rPr>
                <w:color w:val="000000"/>
              </w:rPr>
              <w:t>50</w:t>
            </w:r>
          </w:p>
        </w:tc>
        <w:tc>
          <w:tcPr>
            <w:tcW w:w="659" w:type="pct"/>
            <w:vAlign w:val="bottom"/>
          </w:tcPr>
          <w:p w:rsidR="00D64332" w:rsidRPr="008659FD" w:rsidRDefault="00C2740A" w:rsidP="002C3CFF">
            <w:pPr>
              <w:spacing w:after="0" w:line="240" w:lineRule="auto"/>
              <w:jc w:val="right"/>
              <w:rPr>
                <w:color w:val="000000"/>
              </w:rPr>
            </w:pPr>
            <w:r>
              <w:rPr>
                <w:color w:val="000000"/>
              </w:rPr>
              <w:t>1</w:t>
            </w:r>
          </w:p>
        </w:tc>
        <w:tc>
          <w:tcPr>
            <w:tcW w:w="642" w:type="pct"/>
            <w:vAlign w:val="bottom"/>
          </w:tcPr>
          <w:p w:rsidR="00D64332" w:rsidRPr="008659FD" w:rsidRDefault="00C2740A" w:rsidP="002C3CFF">
            <w:pPr>
              <w:spacing w:after="0" w:line="240" w:lineRule="auto"/>
              <w:jc w:val="right"/>
              <w:rPr>
                <w:color w:val="000000"/>
              </w:rPr>
            </w:pPr>
            <w:r>
              <w:rPr>
                <w:color w:val="000000"/>
              </w:rPr>
              <w:t>50</w:t>
            </w:r>
          </w:p>
        </w:tc>
        <w:tc>
          <w:tcPr>
            <w:tcW w:w="785" w:type="pct"/>
            <w:vAlign w:val="bottom"/>
          </w:tcPr>
          <w:p w:rsidR="00D64332" w:rsidRPr="008659FD" w:rsidRDefault="00C2740A" w:rsidP="002C3CFF">
            <w:pPr>
              <w:spacing w:after="0" w:line="240" w:lineRule="auto"/>
              <w:jc w:val="right"/>
              <w:rPr>
                <w:color w:val="000000"/>
              </w:rPr>
            </w:pPr>
            <w:r>
              <w:rPr>
                <w:color w:val="000000"/>
              </w:rPr>
              <w:t>0.041</w:t>
            </w:r>
            <w:r w:rsidR="00C77CD2">
              <w:rPr>
                <w:color w:val="000000"/>
              </w:rPr>
              <w:t>6</w:t>
            </w:r>
            <w:r>
              <w:rPr>
                <w:color w:val="000000"/>
              </w:rPr>
              <w:t>7</w:t>
            </w:r>
          </w:p>
        </w:tc>
        <w:tc>
          <w:tcPr>
            <w:tcW w:w="763" w:type="pct"/>
            <w:vAlign w:val="bottom"/>
          </w:tcPr>
          <w:p w:rsidR="00D64332" w:rsidRPr="008659FD" w:rsidRDefault="00C2740A" w:rsidP="002C3CFF">
            <w:pPr>
              <w:spacing w:after="0" w:line="240" w:lineRule="auto"/>
              <w:jc w:val="right"/>
              <w:rPr>
                <w:color w:val="000000"/>
              </w:rPr>
            </w:pPr>
            <w:r>
              <w:rPr>
                <w:color w:val="000000"/>
              </w:rPr>
              <w:t>2</w:t>
            </w:r>
          </w:p>
        </w:tc>
      </w:tr>
      <w:tr w:rsidR="00D64332" w:rsidRPr="008659FD" w:rsidTr="00A6320C">
        <w:trPr>
          <w:tblCellSpacing w:w="20" w:type="dxa"/>
        </w:trPr>
        <w:tc>
          <w:tcPr>
            <w:tcW w:w="1347" w:type="pct"/>
          </w:tcPr>
          <w:p w:rsidR="00D64332" w:rsidRPr="008659FD" w:rsidRDefault="00F9275B" w:rsidP="002C3CFF">
            <w:pPr>
              <w:autoSpaceDE w:val="0"/>
              <w:autoSpaceDN w:val="0"/>
              <w:adjustRightInd w:val="0"/>
              <w:spacing w:after="0" w:line="240" w:lineRule="auto"/>
              <w:rPr>
                <w:color w:val="000000"/>
              </w:rPr>
            </w:pPr>
            <w:r>
              <w:rPr>
                <w:rFonts w:ascii="ArialMT" w:hAnsi="ArialMT" w:cs="ArialMT"/>
                <w:sz w:val="20"/>
                <w:szCs w:val="20"/>
              </w:rPr>
              <w:t>EBSA</w:t>
            </w:r>
            <w:r w:rsidR="00C074A5">
              <w:rPr>
                <w:rFonts w:ascii="ArialMT" w:hAnsi="ArialMT" w:cs="ArialMT"/>
                <w:sz w:val="20"/>
                <w:szCs w:val="20"/>
              </w:rPr>
              <w:t xml:space="preserve"> Health Benefits</w:t>
            </w:r>
            <w:r w:rsidR="00AA0411">
              <w:rPr>
                <w:rFonts w:ascii="ArialMT" w:hAnsi="ArialMT" w:cs="ArialMT"/>
                <w:sz w:val="20"/>
                <w:szCs w:val="20"/>
              </w:rPr>
              <w:t xml:space="preserve"> </w:t>
            </w:r>
            <w:r w:rsidR="00C074A5">
              <w:rPr>
                <w:rFonts w:ascii="ArialMT" w:hAnsi="ArialMT" w:cs="ArialMT"/>
                <w:sz w:val="20"/>
                <w:szCs w:val="20"/>
              </w:rPr>
              <w:t>Education Outreach Survey</w:t>
            </w:r>
          </w:p>
        </w:tc>
        <w:tc>
          <w:tcPr>
            <w:tcW w:w="657" w:type="pct"/>
            <w:vAlign w:val="bottom"/>
          </w:tcPr>
          <w:p w:rsidR="00D64332" w:rsidRPr="008659FD" w:rsidRDefault="00C074A5" w:rsidP="002C3CFF">
            <w:pPr>
              <w:spacing w:after="0" w:line="240" w:lineRule="auto"/>
              <w:jc w:val="right"/>
              <w:rPr>
                <w:color w:val="000000"/>
              </w:rPr>
            </w:pPr>
            <w:r>
              <w:rPr>
                <w:color w:val="000000"/>
              </w:rPr>
              <w:t>50</w:t>
            </w:r>
          </w:p>
        </w:tc>
        <w:tc>
          <w:tcPr>
            <w:tcW w:w="659" w:type="pct"/>
            <w:vAlign w:val="bottom"/>
          </w:tcPr>
          <w:p w:rsidR="00D64332" w:rsidRPr="008659FD" w:rsidRDefault="00C074A5" w:rsidP="002C3CFF">
            <w:pPr>
              <w:spacing w:after="0" w:line="240" w:lineRule="auto"/>
              <w:jc w:val="right"/>
              <w:rPr>
                <w:color w:val="000000"/>
              </w:rPr>
            </w:pPr>
            <w:r>
              <w:rPr>
                <w:color w:val="000000"/>
              </w:rPr>
              <w:t>1</w:t>
            </w:r>
          </w:p>
        </w:tc>
        <w:tc>
          <w:tcPr>
            <w:tcW w:w="642" w:type="pct"/>
            <w:vAlign w:val="bottom"/>
          </w:tcPr>
          <w:p w:rsidR="00D64332" w:rsidRPr="008659FD" w:rsidRDefault="00C074A5" w:rsidP="002C3CFF">
            <w:pPr>
              <w:spacing w:after="0" w:line="240" w:lineRule="auto"/>
              <w:jc w:val="right"/>
              <w:rPr>
                <w:color w:val="000000"/>
              </w:rPr>
            </w:pPr>
            <w:r>
              <w:rPr>
                <w:color w:val="000000"/>
              </w:rPr>
              <w:t>50</w:t>
            </w:r>
          </w:p>
        </w:tc>
        <w:tc>
          <w:tcPr>
            <w:tcW w:w="785" w:type="pct"/>
            <w:vAlign w:val="bottom"/>
          </w:tcPr>
          <w:p w:rsidR="00D64332" w:rsidRPr="008659FD" w:rsidRDefault="00F9275B" w:rsidP="002C3CFF">
            <w:pPr>
              <w:spacing w:after="0" w:line="240" w:lineRule="auto"/>
              <w:jc w:val="right"/>
              <w:rPr>
                <w:color w:val="000000"/>
              </w:rPr>
            </w:pPr>
            <w:r>
              <w:rPr>
                <w:color w:val="000000"/>
              </w:rPr>
              <w:t>0</w:t>
            </w:r>
            <w:r w:rsidR="00C074A5">
              <w:rPr>
                <w:color w:val="000000"/>
              </w:rPr>
              <w:t>.041</w:t>
            </w:r>
            <w:r w:rsidR="00C77CD2">
              <w:rPr>
                <w:color w:val="000000"/>
              </w:rPr>
              <w:t>6</w:t>
            </w:r>
            <w:r w:rsidR="00C074A5">
              <w:rPr>
                <w:color w:val="000000"/>
              </w:rPr>
              <w:t>7</w:t>
            </w:r>
          </w:p>
        </w:tc>
        <w:tc>
          <w:tcPr>
            <w:tcW w:w="763" w:type="pct"/>
            <w:vAlign w:val="bottom"/>
          </w:tcPr>
          <w:p w:rsidR="00D64332" w:rsidRPr="008659FD" w:rsidRDefault="00C074A5" w:rsidP="002C3CFF">
            <w:pPr>
              <w:spacing w:after="0" w:line="240" w:lineRule="auto"/>
              <w:jc w:val="right"/>
              <w:rPr>
                <w:color w:val="000000"/>
              </w:rPr>
            </w:pPr>
            <w:r>
              <w:rPr>
                <w:color w:val="000000"/>
              </w:rPr>
              <w:t>2</w:t>
            </w:r>
          </w:p>
        </w:tc>
      </w:tr>
      <w:tr w:rsidR="00D64332" w:rsidRPr="008659FD" w:rsidTr="00434B03">
        <w:trPr>
          <w:tblCellSpacing w:w="20" w:type="dxa"/>
        </w:trPr>
        <w:tc>
          <w:tcPr>
            <w:tcW w:w="1347" w:type="pct"/>
          </w:tcPr>
          <w:p w:rsidR="00D64332" w:rsidRPr="008659FD" w:rsidRDefault="00F9275B" w:rsidP="002C3CFF">
            <w:pPr>
              <w:autoSpaceDE w:val="0"/>
              <w:autoSpaceDN w:val="0"/>
              <w:adjustRightInd w:val="0"/>
              <w:spacing w:after="0" w:line="240" w:lineRule="auto"/>
              <w:rPr>
                <w:color w:val="000000"/>
              </w:rPr>
            </w:pPr>
            <w:r>
              <w:rPr>
                <w:rFonts w:ascii="ArialMT" w:hAnsi="ArialMT" w:cs="ArialMT"/>
                <w:sz w:val="20"/>
                <w:szCs w:val="20"/>
              </w:rPr>
              <w:t>VETS</w:t>
            </w:r>
            <w:r w:rsidR="00AA0411">
              <w:rPr>
                <w:rFonts w:ascii="ArialMT" w:hAnsi="ArialMT" w:cs="ArialMT"/>
                <w:sz w:val="20"/>
                <w:szCs w:val="20"/>
              </w:rPr>
              <w:t xml:space="preserve"> Off Base Transition Training Participant Survey</w:t>
            </w:r>
          </w:p>
        </w:tc>
        <w:tc>
          <w:tcPr>
            <w:tcW w:w="657" w:type="pct"/>
            <w:vAlign w:val="bottom"/>
          </w:tcPr>
          <w:p w:rsidR="00D64332" w:rsidRPr="008659FD" w:rsidRDefault="00AA0411" w:rsidP="002C3CFF">
            <w:pPr>
              <w:spacing w:after="0" w:line="240" w:lineRule="auto"/>
              <w:jc w:val="right"/>
              <w:rPr>
                <w:color w:val="000000"/>
              </w:rPr>
            </w:pPr>
            <w:r>
              <w:rPr>
                <w:color w:val="000000"/>
              </w:rPr>
              <w:t>250</w:t>
            </w:r>
          </w:p>
        </w:tc>
        <w:tc>
          <w:tcPr>
            <w:tcW w:w="659" w:type="pct"/>
            <w:vAlign w:val="bottom"/>
          </w:tcPr>
          <w:p w:rsidR="00D64332" w:rsidRPr="008659FD" w:rsidRDefault="00AA0411" w:rsidP="002C3CFF">
            <w:pPr>
              <w:spacing w:after="0" w:line="240" w:lineRule="auto"/>
              <w:jc w:val="right"/>
              <w:rPr>
                <w:color w:val="000000"/>
              </w:rPr>
            </w:pPr>
            <w:r>
              <w:rPr>
                <w:color w:val="000000"/>
              </w:rPr>
              <w:t>1</w:t>
            </w:r>
          </w:p>
        </w:tc>
        <w:tc>
          <w:tcPr>
            <w:tcW w:w="642" w:type="pct"/>
            <w:vAlign w:val="bottom"/>
          </w:tcPr>
          <w:p w:rsidR="00D64332" w:rsidRPr="008659FD" w:rsidRDefault="00AA0411" w:rsidP="002C3CFF">
            <w:pPr>
              <w:spacing w:after="0" w:line="240" w:lineRule="auto"/>
              <w:jc w:val="right"/>
              <w:rPr>
                <w:color w:val="000000"/>
              </w:rPr>
            </w:pPr>
            <w:r>
              <w:rPr>
                <w:color w:val="000000"/>
              </w:rPr>
              <w:t>250</w:t>
            </w:r>
          </w:p>
        </w:tc>
        <w:tc>
          <w:tcPr>
            <w:tcW w:w="785" w:type="pct"/>
            <w:vAlign w:val="bottom"/>
          </w:tcPr>
          <w:p w:rsidR="00D64332" w:rsidRPr="008659FD" w:rsidRDefault="00F9275B" w:rsidP="002C3CFF">
            <w:pPr>
              <w:spacing w:after="0" w:line="240" w:lineRule="auto"/>
              <w:jc w:val="right"/>
              <w:rPr>
                <w:color w:val="000000"/>
              </w:rPr>
            </w:pPr>
            <w:r>
              <w:rPr>
                <w:color w:val="000000"/>
              </w:rPr>
              <w:t>0.250</w:t>
            </w:r>
            <w:r w:rsidR="00C77CD2">
              <w:rPr>
                <w:color w:val="000000"/>
              </w:rPr>
              <w:t>0</w:t>
            </w:r>
            <w:r>
              <w:rPr>
                <w:color w:val="000000"/>
              </w:rPr>
              <w:t>0</w:t>
            </w:r>
          </w:p>
        </w:tc>
        <w:tc>
          <w:tcPr>
            <w:tcW w:w="763" w:type="pct"/>
            <w:vAlign w:val="bottom"/>
          </w:tcPr>
          <w:p w:rsidR="00D64332" w:rsidRPr="008659FD" w:rsidRDefault="00F9275B" w:rsidP="002C3CFF">
            <w:pPr>
              <w:spacing w:after="0" w:line="240" w:lineRule="auto"/>
              <w:jc w:val="right"/>
              <w:rPr>
                <w:color w:val="000000"/>
              </w:rPr>
            </w:pPr>
            <w:r>
              <w:rPr>
                <w:color w:val="000000"/>
              </w:rPr>
              <w:t>63</w:t>
            </w:r>
          </w:p>
        </w:tc>
      </w:tr>
      <w:tr w:rsidR="00AA02AA" w:rsidRPr="008659FD" w:rsidTr="00434B03">
        <w:trPr>
          <w:tblCellSpacing w:w="20" w:type="dxa"/>
        </w:trPr>
        <w:tc>
          <w:tcPr>
            <w:tcW w:w="1347" w:type="pct"/>
          </w:tcPr>
          <w:p w:rsidR="00AA02AA" w:rsidRDefault="00AA02AA" w:rsidP="002C3CFF">
            <w:pPr>
              <w:autoSpaceDE w:val="0"/>
              <w:autoSpaceDN w:val="0"/>
              <w:adjustRightInd w:val="0"/>
              <w:spacing w:after="0" w:line="240" w:lineRule="auto"/>
              <w:rPr>
                <w:rFonts w:ascii="ArialMT" w:hAnsi="ArialMT" w:cs="ArialMT"/>
                <w:sz w:val="20"/>
                <w:szCs w:val="20"/>
              </w:rPr>
            </w:pPr>
            <w:r>
              <w:rPr>
                <w:rFonts w:ascii="ArialMT" w:hAnsi="ArialMT" w:cs="ArialMT"/>
                <w:sz w:val="20"/>
                <w:szCs w:val="20"/>
              </w:rPr>
              <w:t xml:space="preserve">OSHA </w:t>
            </w:r>
            <w:r w:rsidRPr="00AA02AA">
              <w:rPr>
                <w:rFonts w:ascii="ArialMT" w:hAnsi="ArialMT" w:cs="ArialMT"/>
                <w:sz w:val="20"/>
                <w:szCs w:val="20"/>
              </w:rPr>
              <w:t>Participation in National Fall Prevention Safety Stand Down</w:t>
            </w:r>
          </w:p>
        </w:tc>
        <w:tc>
          <w:tcPr>
            <w:tcW w:w="657" w:type="pct"/>
            <w:vAlign w:val="bottom"/>
          </w:tcPr>
          <w:p w:rsidR="00AA02AA" w:rsidRDefault="00AA02AA" w:rsidP="002C3CFF">
            <w:pPr>
              <w:spacing w:after="0" w:line="240" w:lineRule="auto"/>
              <w:jc w:val="right"/>
              <w:rPr>
                <w:color w:val="000000"/>
              </w:rPr>
            </w:pPr>
            <w:r>
              <w:rPr>
                <w:color w:val="000000"/>
              </w:rPr>
              <w:t>25,000</w:t>
            </w:r>
          </w:p>
        </w:tc>
        <w:tc>
          <w:tcPr>
            <w:tcW w:w="659" w:type="pct"/>
            <w:vAlign w:val="bottom"/>
          </w:tcPr>
          <w:p w:rsidR="00AA02AA" w:rsidRDefault="00AA02AA" w:rsidP="002C3CFF">
            <w:pPr>
              <w:spacing w:after="0" w:line="240" w:lineRule="auto"/>
              <w:jc w:val="right"/>
              <w:rPr>
                <w:color w:val="000000"/>
              </w:rPr>
            </w:pPr>
            <w:r>
              <w:rPr>
                <w:color w:val="000000"/>
              </w:rPr>
              <w:t>1</w:t>
            </w:r>
          </w:p>
        </w:tc>
        <w:tc>
          <w:tcPr>
            <w:tcW w:w="642" w:type="pct"/>
            <w:vAlign w:val="bottom"/>
          </w:tcPr>
          <w:p w:rsidR="00AA02AA" w:rsidRDefault="00AA02AA" w:rsidP="002C3CFF">
            <w:pPr>
              <w:spacing w:after="0" w:line="240" w:lineRule="auto"/>
              <w:jc w:val="right"/>
              <w:rPr>
                <w:color w:val="000000"/>
              </w:rPr>
            </w:pPr>
            <w:r>
              <w:rPr>
                <w:color w:val="000000"/>
              </w:rPr>
              <w:t>25,000</w:t>
            </w:r>
          </w:p>
        </w:tc>
        <w:tc>
          <w:tcPr>
            <w:tcW w:w="785" w:type="pct"/>
            <w:vAlign w:val="bottom"/>
          </w:tcPr>
          <w:p w:rsidR="00AA02AA" w:rsidRDefault="00AA02AA" w:rsidP="002C3CFF">
            <w:pPr>
              <w:spacing w:after="0" w:line="240" w:lineRule="auto"/>
              <w:jc w:val="right"/>
              <w:rPr>
                <w:color w:val="000000"/>
              </w:rPr>
            </w:pPr>
            <w:r>
              <w:rPr>
                <w:color w:val="000000"/>
              </w:rPr>
              <w:t>0.166</w:t>
            </w:r>
            <w:r w:rsidR="00C77CD2">
              <w:rPr>
                <w:color w:val="000000"/>
              </w:rPr>
              <w:t>6</w:t>
            </w:r>
            <w:r>
              <w:rPr>
                <w:color w:val="000000"/>
              </w:rPr>
              <w:t>7</w:t>
            </w:r>
          </w:p>
        </w:tc>
        <w:tc>
          <w:tcPr>
            <w:tcW w:w="763" w:type="pct"/>
            <w:vAlign w:val="bottom"/>
          </w:tcPr>
          <w:p w:rsidR="00AA02AA" w:rsidRDefault="00AA02AA" w:rsidP="002C3CFF">
            <w:pPr>
              <w:spacing w:after="0" w:line="240" w:lineRule="auto"/>
              <w:jc w:val="right"/>
              <w:rPr>
                <w:color w:val="000000"/>
              </w:rPr>
            </w:pPr>
            <w:r>
              <w:rPr>
                <w:color w:val="000000"/>
              </w:rPr>
              <w:t>4,167</w:t>
            </w:r>
          </w:p>
        </w:tc>
      </w:tr>
      <w:tr w:rsidR="00434B03" w:rsidTr="00434B03">
        <w:trPr>
          <w:tblCellSpacing w:w="20" w:type="dxa"/>
        </w:trPr>
        <w:tc>
          <w:tcPr>
            <w:tcW w:w="1347" w:type="pct"/>
            <w:hideMark/>
          </w:tcPr>
          <w:p w:rsidR="00434B03" w:rsidRPr="00627D54" w:rsidRDefault="00434B03" w:rsidP="002C3CFF">
            <w:pPr>
              <w:spacing w:after="0" w:line="240" w:lineRule="auto"/>
              <w:rPr>
                <w:rFonts w:ascii="Arial" w:hAnsi="Arial" w:cs="Arial"/>
                <w:i/>
                <w:color w:val="000000"/>
                <w:sz w:val="24"/>
                <w:szCs w:val="24"/>
              </w:rPr>
            </w:pPr>
            <w:r w:rsidRPr="00627D54">
              <w:rPr>
                <w:i/>
                <w:color w:val="000000"/>
              </w:rPr>
              <w:t>Total Burden Requested for Generic ICs Submitted with This ICR:</w:t>
            </w:r>
          </w:p>
        </w:tc>
        <w:tc>
          <w:tcPr>
            <w:tcW w:w="657" w:type="pct"/>
            <w:vAlign w:val="bottom"/>
          </w:tcPr>
          <w:p w:rsidR="00434B03" w:rsidRPr="00627D54" w:rsidRDefault="002E62EA" w:rsidP="008D1154">
            <w:pPr>
              <w:spacing w:after="0" w:line="240" w:lineRule="auto"/>
              <w:jc w:val="right"/>
              <w:rPr>
                <w:rFonts w:ascii="Arial" w:hAnsi="Arial" w:cs="Arial"/>
                <w:i/>
                <w:color w:val="000000"/>
                <w:sz w:val="24"/>
                <w:szCs w:val="24"/>
              </w:rPr>
            </w:pPr>
            <w:r>
              <w:rPr>
                <w:i/>
                <w:color w:val="000000"/>
              </w:rPr>
              <w:t>1</w:t>
            </w:r>
            <w:r w:rsidR="008D1154">
              <w:rPr>
                <w:i/>
                <w:color w:val="000000"/>
              </w:rPr>
              <w:t>31,751</w:t>
            </w:r>
          </w:p>
        </w:tc>
        <w:tc>
          <w:tcPr>
            <w:tcW w:w="659" w:type="pct"/>
            <w:vAlign w:val="bottom"/>
          </w:tcPr>
          <w:p w:rsidR="00434B03" w:rsidRPr="00627D54" w:rsidRDefault="00434B03" w:rsidP="002C3CFF">
            <w:pPr>
              <w:spacing w:after="0" w:line="240" w:lineRule="auto"/>
              <w:jc w:val="right"/>
              <w:rPr>
                <w:i/>
                <w:color w:val="000000"/>
              </w:rPr>
            </w:pPr>
            <w:r>
              <w:rPr>
                <w:i/>
                <w:color w:val="000000"/>
              </w:rPr>
              <w:t>NA</w:t>
            </w:r>
          </w:p>
        </w:tc>
        <w:tc>
          <w:tcPr>
            <w:tcW w:w="642" w:type="pct"/>
            <w:vAlign w:val="bottom"/>
            <w:hideMark/>
          </w:tcPr>
          <w:p w:rsidR="00434B03" w:rsidRPr="00627D54" w:rsidRDefault="002E62EA" w:rsidP="008D1154">
            <w:pPr>
              <w:spacing w:after="0" w:line="240" w:lineRule="auto"/>
              <w:jc w:val="right"/>
              <w:rPr>
                <w:rFonts w:ascii="Arial" w:hAnsi="Arial" w:cs="Arial"/>
                <w:i/>
                <w:color w:val="000000"/>
                <w:sz w:val="24"/>
                <w:szCs w:val="24"/>
              </w:rPr>
            </w:pPr>
            <w:r>
              <w:rPr>
                <w:i/>
                <w:color w:val="000000"/>
              </w:rPr>
              <w:t>1</w:t>
            </w:r>
            <w:r w:rsidR="008D1154">
              <w:rPr>
                <w:i/>
                <w:color w:val="000000"/>
              </w:rPr>
              <w:t>31,75</w:t>
            </w:r>
            <w:r>
              <w:rPr>
                <w:i/>
                <w:color w:val="000000"/>
              </w:rPr>
              <w:t>1</w:t>
            </w:r>
          </w:p>
        </w:tc>
        <w:tc>
          <w:tcPr>
            <w:tcW w:w="785" w:type="pct"/>
            <w:vAlign w:val="bottom"/>
          </w:tcPr>
          <w:p w:rsidR="00434B03" w:rsidRPr="00627D54" w:rsidRDefault="00434B03" w:rsidP="002C3CFF">
            <w:pPr>
              <w:spacing w:after="0" w:line="240" w:lineRule="auto"/>
              <w:jc w:val="right"/>
              <w:rPr>
                <w:i/>
                <w:color w:val="000000"/>
              </w:rPr>
            </w:pPr>
            <w:r>
              <w:rPr>
                <w:i/>
                <w:color w:val="000000"/>
              </w:rPr>
              <w:t>NA</w:t>
            </w:r>
          </w:p>
        </w:tc>
        <w:tc>
          <w:tcPr>
            <w:tcW w:w="763" w:type="pct"/>
            <w:vAlign w:val="bottom"/>
            <w:hideMark/>
          </w:tcPr>
          <w:p w:rsidR="00434B03" w:rsidRPr="00627D54" w:rsidRDefault="00AE2326" w:rsidP="00E00B50">
            <w:pPr>
              <w:spacing w:after="0" w:line="240" w:lineRule="auto"/>
              <w:jc w:val="right"/>
              <w:rPr>
                <w:rFonts w:ascii="Arial" w:hAnsi="Arial" w:cs="Arial"/>
                <w:i/>
                <w:color w:val="000000"/>
                <w:sz w:val="24"/>
                <w:szCs w:val="24"/>
              </w:rPr>
            </w:pPr>
            <w:r>
              <w:rPr>
                <w:i/>
                <w:color w:val="000000"/>
              </w:rPr>
              <w:t>10,35</w:t>
            </w:r>
            <w:r w:rsidR="00E00B50">
              <w:rPr>
                <w:i/>
                <w:color w:val="000000"/>
              </w:rPr>
              <w:t>3</w:t>
            </w:r>
          </w:p>
        </w:tc>
      </w:tr>
    </w:tbl>
    <w:p w:rsidR="0083761E" w:rsidRPr="002C3CFF" w:rsidRDefault="0083761E" w:rsidP="002C3CFF">
      <w:pPr>
        <w:spacing w:after="0" w:line="240" w:lineRule="auto"/>
        <w:rPr>
          <w:b/>
          <w:sz w:val="24"/>
        </w:rPr>
      </w:pPr>
    </w:p>
    <w:p w:rsidR="0083761E" w:rsidRPr="002C3CFF" w:rsidRDefault="00B032C5" w:rsidP="002C3CFF">
      <w:pPr>
        <w:spacing w:after="0" w:line="240" w:lineRule="auto"/>
        <w:rPr>
          <w:b/>
          <w:sz w:val="24"/>
        </w:rPr>
      </w:pPr>
      <w:r>
        <w:rPr>
          <w:sz w:val="24"/>
        </w:rPr>
        <w:t xml:space="preserve">As previously noted, this ICR seeks to change two (2) instruments cleared under this control number and to add an information collection.  </w:t>
      </w:r>
      <w:r w:rsidR="009B5B5C">
        <w:rPr>
          <w:sz w:val="24"/>
        </w:rPr>
        <w:t xml:space="preserve">Detailed information on the requests is included in the supplemental justification supporting statement </w:t>
      </w:r>
      <w:r w:rsidR="0090003D">
        <w:rPr>
          <w:sz w:val="24"/>
        </w:rPr>
        <w:t xml:space="preserve">for the information collection </w:t>
      </w:r>
      <w:r w:rsidR="009B5B5C">
        <w:rPr>
          <w:sz w:val="24"/>
        </w:rPr>
        <w:t>in the regingo.gov dataset.</w:t>
      </w:r>
    </w:p>
    <w:p w:rsidR="0083761E" w:rsidRPr="002C3CFF" w:rsidRDefault="0083761E" w:rsidP="002C3CFF">
      <w:pPr>
        <w:spacing w:after="0" w:line="240" w:lineRule="auto"/>
        <w:rPr>
          <w:b/>
          <w:sz w:val="24"/>
        </w:rPr>
      </w:pPr>
    </w:p>
    <w:p w:rsidR="00C422E9" w:rsidRPr="00C422E9" w:rsidRDefault="002F2446" w:rsidP="002C3CFF">
      <w:pPr>
        <w:spacing w:after="0" w:line="240" w:lineRule="auto"/>
        <w:rPr>
          <w:b/>
          <w:i/>
          <w:sz w:val="24"/>
        </w:rPr>
      </w:pPr>
      <w:r>
        <w:rPr>
          <w:b/>
          <w:i/>
          <w:sz w:val="24"/>
        </w:rPr>
        <w:t>Table 3—</w:t>
      </w:r>
      <w:r w:rsidR="00C422E9" w:rsidRPr="00C422E9">
        <w:rPr>
          <w:b/>
          <w:i/>
          <w:sz w:val="24"/>
        </w:rPr>
        <w:t xml:space="preserve">New </w:t>
      </w:r>
      <w:r w:rsidR="00916518">
        <w:rPr>
          <w:b/>
          <w:i/>
          <w:sz w:val="24"/>
        </w:rPr>
        <w:t xml:space="preserve">or Revised </w:t>
      </w:r>
      <w:r w:rsidR="00D60504">
        <w:rPr>
          <w:b/>
          <w:i/>
          <w:sz w:val="24"/>
        </w:rPr>
        <w:t xml:space="preserve">Defined </w:t>
      </w:r>
      <w:r w:rsidR="00C422E9" w:rsidRPr="00C422E9">
        <w:rPr>
          <w:b/>
          <w:i/>
          <w:sz w:val="24"/>
        </w:rPr>
        <w:t>Information Collections</w:t>
      </w:r>
    </w:p>
    <w:tbl>
      <w:tblPr>
        <w:tblW w:w="5000" w:type="pct"/>
        <w:tblCellSpacing w:w="20" w:type="dxa"/>
        <w:tblBorders>
          <w:top w:val="outset" w:sz="6" w:space="0" w:color="auto"/>
          <w:left w:val="outset" w:sz="6" w:space="0" w:color="auto"/>
          <w:bottom w:val="inset" w:sz="6" w:space="0" w:color="auto"/>
          <w:right w:val="inset"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529"/>
        <w:gridCol w:w="1303"/>
        <w:gridCol w:w="1322"/>
        <w:gridCol w:w="1277"/>
        <w:gridCol w:w="1585"/>
        <w:gridCol w:w="1484"/>
      </w:tblGrid>
      <w:tr w:rsidR="00E75E9D" w:rsidTr="00E75E9D">
        <w:trPr>
          <w:tblCellSpacing w:w="20" w:type="dxa"/>
        </w:trPr>
        <w:tc>
          <w:tcPr>
            <w:tcW w:w="1300" w:type="pct"/>
          </w:tcPr>
          <w:p w:rsidR="00434B03" w:rsidRDefault="00434B03" w:rsidP="002C3CFF">
            <w:pPr>
              <w:spacing w:after="0" w:line="240" w:lineRule="auto"/>
              <w:jc w:val="center"/>
              <w:rPr>
                <w:rFonts w:ascii="Arial" w:hAnsi="Arial" w:cs="Arial"/>
                <w:b/>
                <w:bCs/>
                <w:color w:val="000000"/>
                <w:sz w:val="24"/>
                <w:szCs w:val="24"/>
              </w:rPr>
            </w:pPr>
            <w:r>
              <w:rPr>
                <w:b/>
                <w:bCs/>
                <w:color w:val="000000"/>
              </w:rPr>
              <w:t>IC Title</w:t>
            </w:r>
          </w:p>
        </w:tc>
        <w:tc>
          <w:tcPr>
            <w:tcW w:w="665" w:type="pct"/>
          </w:tcPr>
          <w:p w:rsidR="00434B03" w:rsidRDefault="00434B03" w:rsidP="002C3CFF">
            <w:pPr>
              <w:spacing w:after="0" w:line="240" w:lineRule="auto"/>
              <w:jc w:val="center"/>
              <w:rPr>
                <w:b/>
                <w:bCs/>
                <w:color w:val="000000"/>
              </w:rPr>
            </w:pPr>
            <w:r>
              <w:rPr>
                <w:b/>
                <w:bCs/>
                <w:color w:val="000000"/>
              </w:rPr>
              <w:t>Number of Respondents</w:t>
            </w:r>
          </w:p>
        </w:tc>
        <w:tc>
          <w:tcPr>
            <w:tcW w:w="675" w:type="pct"/>
          </w:tcPr>
          <w:p w:rsidR="00434B03" w:rsidRDefault="00434B03" w:rsidP="002C3CFF">
            <w:pPr>
              <w:spacing w:after="0" w:line="240" w:lineRule="auto"/>
              <w:jc w:val="center"/>
              <w:rPr>
                <w:b/>
                <w:bCs/>
                <w:color w:val="000000"/>
              </w:rPr>
            </w:pPr>
            <w:r>
              <w:rPr>
                <w:b/>
                <w:bCs/>
                <w:color w:val="000000"/>
              </w:rPr>
              <w:t>Annual Frequency of Response</w:t>
            </w:r>
          </w:p>
        </w:tc>
        <w:tc>
          <w:tcPr>
            <w:tcW w:w="651" w:type="pct"/>
          </w:tcPr>
          <w:p w:rsidR="00434B03" w:rsidRDefault="00434B03" w:rsidP="002C3CFF">
            <w:pPr>
              <w:spacing w:after="0" w:line="240" w:lineRule="auto"/>
              <w:jc w:val="center"/>
              <w:rPr>
                <w:rFonts w:ascii="Arial" w:hAnsi="Arial" w:cs="Arial"/>
                <w:b/>
                <w:bCs/>
                <w:color w:val="000000"/>
                <w:sz w:val="24"/>
                <w:szCs w:val="24"/>
              </w:rPr>
            </w:pPr>
            <w:r>
              <w:rPr>
                <w:b/>
                <w:bCs/>
                <w:color w:val="000000"/>
              </w:rPr>
              <w:t>Responses</w:t>
            </w:r>
          </w:p>
        </w:tc>
        <w:tc>
          <w:tcPr>
            <w:tcW w:w="813" w:type="pct"/>
          </w:tcPr>
          <w:p w:rsidR="00434B03" w:rsidRDefault="00434B03" w:rsidP="002C3CFF">
            <w:pPr>
              <w:spacing w:after="0" w:line="240" w:lineRule="auto"/>
              <w:jc w:val="center"/>
              <w:rPr>
                <w:b/>
                <w:bCs/>
                <w:color w:val="000000"/>
              </w:rPr>
            </w:pPr>
            <w:r>
              <w:rPr>
                <w:b/>
                <w:bCs/>
                <w:color w:val="000000"/>
              </w:rPr>
              <w:t>Hours per Response</w:t>
            </w:r>
          </w:p>
        </w:tc>
        <w:tc>
          <w:tcPr>
            <w:tcW w:w="749" w:type="pct"/>
            <w:hideMark/>
          </w:tcPr>
          <w:p w:rsidR="00434B03" w:rsidRDefault="00434B03" w:rsidP="002C3CFF">
            <w:pPr>
              <w:spacing w:after="0" w:line="240" w:lineRule="auto"/>
              <w:jc w:val="center"/>
              <w:rPr>
                <w:rFonts w:ascii="Arial" w:hAnsi="Arial" w:cs="Arial"/>
                <w:b/>
                <w:bCs/>
                <w:color w:val="000000"/>
                <w:sz w:val="24"/>
                <w:szCs w:val="24"/>
              </w:rPr>
            </w:pPr>
            <w:r>
              <w:rPr>
                <w:b/>
                <w:bCs/>
                <w:color w:val="000000"/>
              </w:rPr>
              <w:t>Hours</w:t>
            </w:r>
          </w:p>
        </w:tc>
      </w:tr>
      <w:tr w:rsidR="00E75E9D" w:rsidRPr="008659FD" w:rsidTr="00E75E9D">
        <w:tblPrEx>
          <w:tblBorders>
            <w:bottom w:val="outset" w:sz="6" w:space="0" w:color="auto"/>
            <w:right w:val="outset" w:sz="6" w:space="0" w:color="auto"/>
            <w:insideH w:val="outset" w:sz="6" w:space="0" w:color="auto"/>
            <w:insideV w:val="outset" w:sz="6" w:space="0" w:color="auto"/>
          </w:tblBorders>
        </w:tblPrEx>
        <w:trPr>
          <w:tblCellSpacing w:w="20" w:type="dxa"/>
        </w:trPr>
        <w:tc>
          <w:tcPr>
            <w:tcW w:w="1300" w:type="pct"/>
          </w:tcPr>
          <w:p w:rsidR="002B5896" w:rsidRPr="008659FD" w:rsidRDefault="002B5896" w:rsidP="002C3CFF">
            <w:pPr>
              <w:autoSpaceDE w:val="0"/>
              <w:autoSpaceDN w:val="0"/>
              <w:adjustRightInd w:val="0"/>
              <w:spacing w:after="0" w:line="240" w:lineRule="auto"/>
              <w:rPr>
                <w:color w:val="000000"/>
              </w:rPr>
            </w:pPr>
            <w:r w:rsidRPr="008659FD">
              <w:rPr>
                <w:rFonts w:ascii="ArialMT" w:hAnsi="ArialMT" w:cs="ArialMT"/>
                <w:sz w:val="20"/>
                <w:szCs w:val="20"/>
              </w:rPr>
              <w:t>Office of Federal Contract Compliance Programs Event Evaluation Form and Comment Cards</w:t>
            </w:r>
            <w:r>
              <w:rPr>
                <w:rFonts w:ascii="ArialMT" w:hAnsi="ArialMT" w:cs="ArialMT"/>
                <w:sz w:val="20"/>
                <w:szCs w:val="20"/>
              </w:rPr>
              <w:t xml:space="preserve"> (Changed</w:t>
            </w:r>
            <w:r w:rsidR="00A76CFA">
              <w:rPr>
                <w:rFonts w:ascii="ArialMT" w:hAnsi="ArialMT" w:cs="ArialMT"/>
                <w:sz w:val="20"/>
                <w:szCs w:val="20"/>
              </w:rPr>
              <w:t xml:space="preserve"> Questions</w:t>
            </w:r>
            <w:r>
              <w:rPr>
                <w:rFonts w:ascii="ArialMT" w:hAnsi="ArialMT" w:cs="ArialMT"/>
                <w:sz w:val="20"/>
                <w:szCs w:val="20"/>
              </w:rPr>
              <w:t>)</w:t>
            </w:r>
          </w:p>
        </w:tc>
        <w:tc>
          <w:tcPr>
            <w:tcW w:w="665" w:type="pct"/>
            <w:vAlign w:val="bottom"/>
          </w:tcPr>
          <w:p w:rsidR="002B5896" w:rsidRPr="008659FD" w:rsidRDefault="002B5896" w:rsidP="002C3CFF">
            <w:pPr>
              <w:spacing w:after="0" w:line="240" w:lineRule="auto"/>
              <w:jc w:val="right"/>
              <w:rPr>
                <w:color w:val="000000"/>
              </w:rPr>
            </w:pPr>
            <w:r>
              <w:rPr>
                <w:color w:val="000000"/>
              </w:rPr>
              <w:t>7,500</w:t>
            </w:r>
          </w:p>
        </w:tc>
        <w:tc>
          <w:tcPr>
            <w:tcW w:w="675" w:type="pct"/>
            <w:vAlign w:val="bottom"/>
          </w:tcPr>
          <w:p w:rsidR="002B5896" w:rsidRPr="008659FD" w:rsidRDefault="002B5896" w:rsidP="002C3CFF">
            <w:pPr>
              <w:spacing w:after="0" w:line="240" w:lineRule="auto"/>
              <w:jc w:val="right"/>
              <w:rPr>
                <w:color w:val="000000"/>
              </w:rPr>
            </w:pPr>
            <w:r>
              <w:rPr>
                <w:color w:val="000000"/>
              </w:rPr>
              <w:t>1</w:t>
            </w:r>
          </w:p>
        </w:tc>
        <w:tc>
          <w:tcPr>
            <w:tcW w:w="651" w:type="pct"/>
            <w:vAlign w:val="bottom"/>
          </w:tcPr>
          <w:p w:rsidR="002B5896" w:rsidRPr="008659FD" w:rsidRDefault="002B5896" w:rsidP="002C3CFF">
            <w:pPr>
              <w:spacing w:after="0" w:line="240" w:lineRule="auto"/>
              <w:jc w:val="right"/>
              <w:rPr>
                <w:color w:val="000000"/>
              </w:rPr>
            </w:pPr>
            <w:r>
              <w:rPr>
                <w:color w:val="000000"/>
              </w:rPr>
              <w:t>7,500</w:t>
            </w:r>
          </w:p>
        </w:tc>
        <w:tc>
          <w:tcPr>
            <w:tcW w:w="813" w:type="pct"/>
            <w:vAlign w:val="bottom"/>
          </w:tcPr>
          <w:p w:rsidR="002B5896" w:rsidRPr="008659FD" w:rsidRDefault="002B5896" w:rsidP="002C3CFF">
            <w:pPr>
              <w:spacing w:after="0" w:line="240" w:lineRule="auto"/>
              <w:jc w:val="right"/>
              <w:rPr>
                <w:color w:val="000000"/>
              </w:rPr>
            </w:pPr>
            <w:r>
              <w:rPr>
                <w:color w:val="000000"/>
              </w:rPr>
              <w:t>0.100</w:t>
            </w:r>
            <w:r w:rsidR="00C77CD2">
              <w:rPr>
                <w:color w:val="000000"/>
              </w:rPr>
              <w:t>0</w:t>
            </w:r>
            <w:r>
              <w:rPr>
                <w:color w:val="000000"/>
              </w:rPr>
              <w:t>0</w:t>
            </w:r>
          </w:p>
        </w:tc>
        <w:tc>
          <w:tcPr>
            <w:tcW w:w="749" w:type="pct"/>
            <w:vAlign w:val="bottom"/>
          </w:tcPr>
          <w:p w:rsidR="002B5896" w:rsidRPr="008659FD" w:rsidRDefault="002B5896" w:rsidP="002C3CFF">
            <w:pPr>
              <w:spacing w:after="0" w:line="240" w:lineRule="auto"/>
              <w:jc w:val="right"/>
              <w:rPr>
                <w:color w:val="000000"/>
              </w:rPr>
            </w:pPr>
            <w:r>
              <w:rPr>
                <w:color w:val="000000"/>
              </w:rPr>
              <w:t>750</w:t>
            </w:r>
          </w:p>
        </w:tc>
      </w:tr>
      <w:tr w:rsidR="00C267A5" w:rsidRPr="008659FD" w:rsidTr="00E75E9D">
        <w:tblPrEx>
          <w:tblBorders>
            <w:bottom w:val="outset" w:sz="6" w:space="0" w:color="auto"/>
            <w:right w:val="outset" w:sz="6" w:space="0" w:color="auto"/>
            <w:insideH w:val="outset" w:sz="6" w:space="0" w:color="auto"/>
            <w:insideV w:val="outset" w:sz="6" w:space="0" w:color="auto"/>
          </w:tblBorders>
        </w:tblPrEx>
        <w:trPr>
          <w:tblCellSpacing w:w="20" w:type="dxa"/>
        </w:trPr>
        <w:tc>
          <w:tcPr>
            <w:tcW w:w="1300" w:type="pct"/>
          </w:tcPr>
          <w:p w:rsidR="007C0071" w:rsidRPr="008659FD" w:rsidRDefault="007C0071" w:rsidP="002C3CFF">
            <w:pPr>
              <w:autoSpaceDE w:val="0"/>
              <w:autoSpaceDN w:val="0"/>
              <w:adjustRightInd w:val="0"/>
              <w:spacing w:after="0" w:line="240" w:lineRule="auto"/>
              <w:rPr>
                <w:color w:val="000000"/>
              </w:rPr>
            </w:pPr>
            <w:r>
              <w:rPr>
                <w:rFonts w:ascii="ArialMT" w:hAnsi="ArialMT" w:cs="ArialMT"/>
                <w:sz w:val="20"/>
                <w:szCs w:val="20"/>
              </w:rPr>
              <w:t>Occupational Safety and Health Administration QuickTakes Survey</w:t>
            </w:r>
            <w:r w:rsidR="00E75E9D">
              <w:rPr>
                <w:rFonts w:ascii="ArialMT" w:hAnsi="ArialMT" w:cs="ArialMT"/>
                <w:sz w:val="20"/>
                <w:szCs w:val="20"/>
              </w:rPr>
              <w:t xml:space="preserve"> (New)</w:t>
            </w:r>
          </w:p>
        </w:tc>
        <w:tc>
          <w:tcPr>
            <w:tcW w:w="665" w:type="pct"/>
            <w:vAlign w:val="bottom"/>
          </w:tcPr>
          <w:p w:rsidR="007C0071" w:rsidRPr="008659FD" w:rsidRDefault="007C0071" w:rsidP="002C3CFF">
            <w:pPr>
              <w:spacing w:after="0" w:line="240" w:lineRule="auto"/>
              <w:jc w:val="right"/>
              <w:rPr>
                <w:color w:val="000000"/>
              </w:rPr>
            </w:pPr>
            <w:r>
              <w:rPr>
                <w:color w:val="000000"/>
              </w:rPr>
              <w:t>7,000</w:t>
            </w:r>
          </w:p>
        </w:tc>
        <w:tc>
          <w:tcPr>
            <w:tcW w:w="675" w:type="pct"/>
            <w:vAlign w:val="bottom"/>
          </w:tcPr>
          <w:p w:rsidR="007C0071" w:rsidRPr="008659FD" w:rsidRDefault="007C0071" w:rsidP="002C3CFF">
            <w:pPr>
              <w:spacing w:after="0" w:line="240" w:lineRule="auto"/>
              <w:jc w:val="right"/>
              <w:rPr>
                <w:color w:val="000000"/>
              </w:rPr>
            </w:pPr>
            <w:r>
              <w:rPr>
                <w:color w:val="000000"/>
              </w:rPr>
              <w:t>1</w:t>
            </w:r>
          </w:p>
        </w:tc>
        <w:tc>
          <w:tcPr>
            <w:tcW w:w="651" w:type="pct"/>
            <w:vAlign w:val="bottom"/>
          </w:tcPr>
          <w:p w:rsidR="007C0071" w:rsidRPr="008659FD" w:rsidRDefault="007C0071" w:rsidP="002C3CFF">
            <w:pPr>
              <w:spacing w:after="0" w:line="240" w:lineRule="auto"/>
              <w:jc w:val="right"/>
              <w:rPr>
                <w:color w:val="000000"/>
              </w:rPr>
            </w:pPr>
            <w:r>
              <w:rPr>
                <w:color w:val="000000"/>
              </w:rPr>
              <w:t>7,000</w:t>
            </w:r>
          </w:p>
        </w:tc>
        <w:tc>
          <w:tcPr>
            <w:tcW w:w="813" w:type="pct"/>
            <w:vAlign w:val="bottom"/>
          </w:tcPr>
          <w:p w:rsidR="007C0071" w:rsidRPr="008659FD" w:rsidRDefault="007C0071" w:rsidP="002C3CFF">
            <w:pPr>
              <w:spacing w:after="0" w:line="240" w:lineRule="auto"/>
              <w:jc w:val="right"/>
              <w:rPr>
                <w:color w:val="000000"/>
              </w:rPr>
            </w:pPr>
            <w:r>
              <w:rPr>
                <w:color w:val="000000"/>
              </w:rPr>
              <w:t>0.033</w:t>
            </w:r>
            <w:r w:rsidR="00C77CD2">
              <w:rPr>
                <w:color w:val="000000"/>
              </w:rPr>
              <w:t>3</w:t>
            </w:r>
            <w:r>
              <w:rPr>
                <w:color w:val="000000"/>
              </w:rPr>
              <w:t>3</w:t>
            </w:r>
          </w:p>
        </w:tc>
        <w:tc>
          <w:tcPr>
            <w:tcW w:w="749" w:type="pct"/>
            <w:vAlign w:val="bottom"/>
          </w:tcPr>
          <w:p w:rsidR="007C0071" w:rsidRPr="008659FD" w:rsidRDefault="007C0071" w:rsidP="002C3CFF">
            <w:pPr>
              <w:spacing w:after="0" w:line="240" w:lineRule="auto"/>
              <w:jc w:val="right"/>
              <w:rPr>
                <w:color w:val="000000"/>
              </w:rPr>
            </w:pPr>
            <w:r>
              <w:rPr>
                <w:color w:val="000000"/>
              </w:rPr>
              <w:t>233</w:t>
            </w:r>
          </w:p>
        </w:tc>
      </w:tr>
      <w:tr w:rsidR="00A76CFA" w:rsidRPr="008659FD" w:rsidTr="00E75E9D">
        <w:tblPrEx>
          <w:tblBorders>
            <w:bottom w:val="outset" w:sz="6" w:space="0" w:color="auto"/>
            <w:right w:val="outset" w:sz="6" w:space="0" w:color="auto"/>
            <w:insideH w:val="outset" w:sz="6" w:space="0" w:color="auto"/>
            <w:insideV w:val="outset" w:sz="6" w:space="0" w:color="auto"/>
          </w:tblBorders>
        </w:tblPrEx>
        <w:trPr>
          <w:tblCellSpacing w:w="20" w:type="dxa"/>
        </w:trPr>
        <w:tc>
          <w:tcPr>
            <w:tcW w:w="1300" w:type="pct"/>
          </w:tcPr>
          <w:p w:rsidR="00A76CFA" w:rsidRDefault="00A76CFA" w:rsidP="002C3CFF">
            <w:pPr>
              <w:autoSpaceDE w:val="0"/>
              <w:autoSpaceDN w:val="0"/>
              <w:adjustRightInd w:val="0"/>
              <w:spacing w:after="0" w:line="240" w:lineRule="auto"/>
              <w:rPr>
                <w:rFonts w:ascii="ArialMT" w:hAnsi="ArialMT" w:cs="ArialMT"/>
                <w:sz w:val="20"/>
                <w:szCs w:val="20"/>
              </w:rPr>
            </w:pPr>
            <w:r w:rsidRPr="00A76CFA">
              <w:rPr>
                <w:rFonts w:ascii="ArialMT" w:hAnsi="ArialMT" w:cs="ArialMT"/>
                <w:sz w:val="20"/>
                <w:szCs w:val="20"/>
              </w:rPr>
              <w:t>Office of Workers' Compensation Programs Services Stakeholder Surveys</w:t>
            </w:r>
            <w:r>
              <w:rPr>
                <w:rFonts w:ascii="ArialMT" w:hAnsi="ArialMT" w:cs="ArialMT"/>
                <w:sz w:val="20"/>
                <w:szCs w:val="20"/>
              </w:rPr>
              <w:t xml:space="preserve"> (Changed Questions)</w:t>
            </w:r>
          </w:p>
        </w:tc>
        <w:tc>
          <w:tcPr>
            <w:tcW w:w="665" w:type="pct"/>
            <w:vAlign w:val="bottom"/>
          </w:tcPr>
          <w:p w:rsidR="00A76CFA" w:rsidRDefault="00692C3E" w:rsidP="002C3CFF">
            <w:pPr>
              <w:spacing w:after="0" w:line="240" w:lineRule="auto"/>
              <w:jc w:val="right"/>
              <w:rPr>
                <w:color w:val="000000"/>
              </w:rPr>
            </w:pPr>
            <w:r>
              <w:rPr>
                <w:color w:val="000000"/>
              </w:rPr>
              <w:t>1,500</w:t>
            </w:r>
          </w:p>
        </w:tc>
        <w:tc>
          <w:tcPr>
            <w:tcW w:w="675" w:type="pct"/>
            <w:vAlign w:val="bottom"/>
          </w:tcPr>
          <w:p w:rsidR="00A76CFA" w:rsidRDefault="00692C3E" w:rsidP="002C3CFF">
            <w:pPr>
              <w:spacing w:after="0" w:line="240" w:lineRule="auto"/>
              <w:jc w:val="right"/>
              <w:rPr>
                <w:color w:val="000000"/>
              </w:rPr>
            </w:pPr>
            <w:r>
              <w:rPr>
                <w:color w:val="000000"/>
              </w:rPr>
              <w:t>1</w:t>
            </w:r>
          </w:p>
        </w:tc>
        <w:tc>
          <w:tcPr>
            <w:tcW w:w="651" w:type="pct"/>
            <w:vAlign w:val="bottom"/>
          </w:tcPr>
          <w:p w:rsidR="00A76CFA" w:rsidRDefault="00692C3E" w:rsidP="002C3CFF">
            <w:pPr>
              <w:spacing w:after="0" w:line="240" w:lineRule="auto"/>
              <w:jc w:val="right"/>
              <w:rPr>
                <w:color w:val="000000"/>
              </w:rPr>
            </w:pPr>
            <w:r>
              <w:rPr>
                <w:color w:val="000000"/>
              </w:rPr>
              <w:t>1,500</w:t>
            </w:r>
          </w:p>
        </w:tc>
        <w:tc>
          <w:tcPr>
            <w:tcW w:w="813" w:type="pct"/>
            <w:vAlign w:val="bottom"/>
          </w:tcPr>
          <w:p w:rsidR="00A76CFA" w:rsidRDefault="00692C3E" w:rsidP="002C3CFF">
            <w:pPr>
              <w:spacing w:after="0" w:line="240" w:lineRule="auto"/>
              <w:jc w:val="right"/>
              <w:rPr>
                <w:color w:val="000000"/>
              </w:rPr>
            </w:pPr>
            <w:r>
              <w:rPr>
                <w:color w:val="000000"/>
              </w:rPr>
              <w:t>0.083</w:t>
            </w:r>
            <w:r w:rsidR="00C77CD2">
              <w:rPr>
                <w:color w:val="000000"/>
              </w:rPr>
              <w:t>3</w:t>
            </w:r>
            <w:r>
              <w:rPr>
                <w:color w:val="000000"/>
              </w:rPr>
              <w:t>3</w:t>
            </w:r>
          </w:p>
        </w:tc>
        <w:tc>
          <w:tcPr>
            <w:tcW w:w="749" w:type="pct"/>
            <w:vAlign w:val="bottom"/>
          </w:tcPr>
          <w:p w:rsidR="00A76CFA" w:rsidRDefault="00692C3E" w:rsidP="002C3CFF">
            <w:pPr>
              <w:spacing w:after="0" w:line="240" w:lineRule="auto"/>
              <w:jc w:val="right"/>
              <w:rPr>
                <w:color w:val="000000"/>
              </w:rPr>
            </w:pPr>
            <w:r>
              <w:rPr>
                <w:color w:val="000000"/>
              </w:rPr>
              <w:t>125</w:t>
            </w:r>
          </w:p>
        </w:tc>
      </w:tr>
      <w:tr w:rsidR="00E75E9D" w:rsidRPr="0033268E" w:rsidTr="00E75E9D">
        <w:trPr>
          <w:trHeight w:val="625"/>
          <w:tblCellSpacing w:w="20" w:type="dxa"/>
        </w:trPr>
        <w:tc>
          <w:tcPr>
            <w:tcW w:w="1300" w:type="pct"/>
          </w:tcPr>
          <w:p w:rsidR="00434B03" w:rsidRPr="0033268E" w:rsidRDefault="00434B03" w:rsidP="002C3CFF">
            <w:pPr>
              <w:spacing w:after="0" w:line="240" w:lineRule="auto"/>
              <w:rPr>
                <w:i/>
                <w:color w:val="000000"/>
              </w:rPr>
            </w:pPr>
            <w:r w:rsidRPr="0033268E">
              <w:rPr>
                <w:i/>
                <w:color w:val="000000"/>
              </w:rPr>
              <w:t>Total Burden Requested for Generic ICs Submitted with This ICR:</w:t>
            </w:r>
          </w:p>
        </w:tc>
        <w:tc>
          <w:tcPr>
            <w:tcW w:w="665" w:type="pct"/>
            <w:vAlign w:val="bottom"/>
          </w:tcPr>
          <w:p w:rsidR="00434B03" w:rsidRPr="0033268E" w:rsidRDefault="00692C3E" w:rsidP="002C3CFF">
            <w:pPr>
              <w:spacing w:after="0" w:line="240" w:lineRule="auto"/>
              <w:jc w:val="right"/>
              <w:rPr>
                <w:i/>
                <w:color w:val="000000"/>
              </w:rPr>
            </w:pPr>
            <w:r>
              <w:rPr>
                <w:i/>
                <w:color w:val="000000"/>
              </w:rPr>
              <w:t>16,0</w:t>
            </w:r>
            <w:r w:rsidR="007615A2">
              <w:rPr>
                <w:i/>
                <w:color w:val="000000"/>
              </w:rPr>
              <w:t>00</w:t>
            </w:r>
          </w:p>
        </w:tc>
        <w:tc>
          <w:tcPr>
            <w:tcW w:w="675" w:type="pct"/>
            <w:vAlign w:val="bottom"/>
          </w:tcPr>
          <w:p w:rsidR="00434B03" w:rsidRPr="0033268E" w:rsidRDefault="00434B03" w:rsidP="002C3CFF">
            <w:pPr>
              <w:spacing w:after="0" w:line="240" w:lineRule="auto"/>
              <w:jc w:val="right"/>
              <w:rPr>
                <w:i/>
                <w:color w:val="000000"/>
              </w:rPr>
            </w:pPr>
            <w:r w:rsidRPr="0033268E">
              <w:rPr>
                <w:i/>
                <w:color w:val="000000"/>
              </w:rPr>
              <w:t>NA</w:t>
            </w:r>
          </w:p>
        </w:tc>
        <w:tc>
          <w:tcPr>
            <w:tcW w:w="651" w:type="pct"/>
            <w:vAlign w:val="bottom"/>
          </w:tcPr>
          <w:p w:rsidR="00434B03" w:rsidRPr="0033268E" w:rsidRDefault="00692C3E" w:rsidP="002C3CFF">
            <w:pPr>
              <w:spacing w:after="0" w:line="240" w:lineRule="auto"/>
              <w:jc w:val="right"/>
              <w:rPr>
                <w:i/>
                <w:color w:val="000000"/>
              </w:rPr>
            </w:pPr>
            <w:r>
              <w:rPr>
                <w:i/>
                <w:color w:val="000000"/>
              </w:rPr>
              <w:t>16,0</w:t>
            </w:r>
            <w:r w:rsidR="00CB20B8">
              <w:rPr>
                <w:i/>
                <w:color w:val="000000"/>
              </w:rPr>
              <w:t>00</w:t>
            </w:r>
          </w:p>
        </w:tc>
        <w:tc>
          <w:tcPr>
            <w:tcW w:w="813" w:type="pct"/>
            <w:vAlign w:val="bottom"/>
          </w:tcPr>
          <w:p w:rsidR="00434B03" w:rsidRPr="0033268E" w:rsidRDefault="00434B03" w:rsidP="002C3CFF">
            <w:pPr>
              <w:spacing w:after="0" w:line="240" w:lineRule="auto"/>
              <w:jc w:val="right"/>
              <w:rPr>
                <w:i/>
                <w:color w:val="000000"/>
              </w:rPr>
            </w:pPr>
            <w:r w:rsidRPr="0033268E">
              <w:rPr>
                <w:i/>
                <w:color w:val="000000"/>
              </w:rPr>
              <w:t>NA</w:t>
            </w:r>
          </w:p>
        </w:tc>
        <w:tc>
          <w:tcPr>
            <w:tcW w:w="749" w:type="pct"/>
            <w:vAlign w:val="bottom"/>
            <w:hideMark/>
          </w:tcPr>
          <w:p w:rsidR="00434B03" w:rsidRPr="0033268E" w:rsidRDefault="00692C3E" w:rsidP="002C3CFF">
            <w:pPr>
              <w:spacing w:after="0" w:line="240" w:lineRule="auto"/>
              <w:jc w:val="right"/>
              <w:rPr>
                <w:i/>
                <w:color w:val="000000"/>
              </w:rPr>
            </w:pPr>
            <w:r>
              <w:rPr>
                <w:i/>
                <w:color w:val="000000"/>
              </w:rPr>
              <w:t>1,108</w:t>
            </w:r>
          </w:p>
        </w:tc>
      </w:tr>
    </w:tbl>
    <w:p w:rsidR="00872409" w:rsidRDefault="00872409" w:rsidP="002C3CFF">
      <w:pPr>
        <w:spacing w:after="0" w:line="240" w:lineRule="auto"/>
        <w:rPr>
          <w:sz w:val="24"/>
        </w:rPr>
      </w:pPr>
    </w:p>
    <w:p w:rsidR="007856F2" w:rsidRPr="0059004B" w:rsidRDefault="002F2446" w:rsidP="002C3CFF">
      <w:pPr>
        <w:spacing w:after="0" w:line="240" w:lineRule="auto"/>
        <w:rPr>
          <w:b/>
          <w:i/>
          <w:sz w:val="24"/>
        </w:rPr>
      </w:pPr>
      <w:r w:rsidRPr="0059004B">
        <w:rPr>
          <w:b/>
          <w:i/>
          <w:sz w:val="24"/>
        </w:rPr>
        <w:t>Table 4—</w:t>
      </w:r>
      <w:r w:rsidR="007856F2" w:rsidRPr="0059004B">
        <w:rPr>
          <w:b/>
          <w:i/>
          <w:sz w:val="24"/>
        </w:rPr>
        <w:t>Burden</w:t>
      </w:r>
      <w:r w:rsidR="00F9312F" w:rsidRPr="0059004B">
        <w:rPr>
          <w:b/>
          <w:i/>
          <w:sz w:val="24"/>
        </w:rPr>
        <w:t xml:space="preserve"> Summary</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0C436A" w:rsidTr="00302773">
        <w:tc>
          <w:tcPr>
            <w:tcW w:w="1596" w:type="dxa"/>
          </w:tcPr>
          <w:p w:rsidR="000C436A" w:rsidRPr="000C436A" w:rsidRDefault="000C436A" w:rsidP="002C3CFF">
            <w:pPr>
              <w:spacing w:after="0" w:line="240" w:lineRule="auto"/>
              <w:jc w:val="center"/>
              <w:rPr>
                <w:b/>
                <w:sz w:val="24"/>
              </w:rPr>
            </w:pPr>
            <w:r w:rsidRPr="000C436A">
              <w:rPr>
                <w:b/>
                <w:sz w:val="24"/>
              </w:rPr>
              <w:t>Category</w:t>
            </w:r>
          </w:p>
        </w:tc>
        <w:tc>
          <w:tcPr>
            <w:tcW w:w="1596" w:type="dxa"/>
          </w:tcPr>
          <w:p w:rsidR="000C436A" w:rsidRDefault="000C436A" w:rsidP="002C3CFF">
            <w:pPr>
              <w:spacing w:after="0" w:line="240" w:lineRule="auto"/>
              <w:jc w:val="center"/>
              <w:rPr>
                <w:b/>
                <w:bCs/>
                <w:color w:val="000000"/>
              </w:rPr>
            </w:pPr>
            <w:r>
              <w:rPr>
                <w:b/>
                <w:bCs/>
                <w:color w:val="000000"/>
              </w:rPr>
              <w:t>Number of Respondents</w:t>
            </w:r>
          </w:p>
        </w:tc>
        <w:tc>
          <w:tcPr>
            <w:tcW w:w="1596" w:type="dxa"/>
          </w:tcPr>
          <w:p w:rsidR="000C436A" w:rsidRDefault="000C436A" w:rsidP="002C3CFF">
            <w:pPr>
              <w:spacing w:after="0" w:line="240" w:lineRule="auto"/>
              <w:jc w:val="center"/>
              <w:rPr>
                <w:b/>
                <w:bCs/>
                <w:color w:val="000000"/>
              </w:rPr>
            </w:pPr>
            <w:r>
              <w:rPr>
                <w:b/>
                <w:bCs/>
                <w:color w:val="000000"/>
              </w:rPr>
              <w:t>Annual Frequency of Response</w:t>
            </w:r>
          </w:p>
        </w:tc>
        <w:tc>
          <w:tcPr>
            <w:tcW w:w="1596" w:type="dxa"/>
          </w:tcPr>
          <w:p w:rsidR="000C436A" w:rsidRDefault="000C436A" w:rsidP="002C3CFF">
            <w:pPr>
              <w:spacing w:after="0" w:line="240" w:lineRule="auto"/>
              <w:jc w:val="center"/>
              <w:rPr>
                <w:rFonts w:ascii="Arial" w:hAnsi="Arial" w:cs="Arial"/>
                <w:b/>
                <w:bCs/>
                <w:color w:val="000000"/>
                <w:sz w:val="24"/>
                <w:szCs w:val="24"/>
              </w:rPr>
            </w:pPr>
            <w:r>
              <w:rPr>
                <w:b/>
                <w:bCs/>
                <w:color w:val="000000"/>
              </w:rPr>
              <w:t>Responses</w:t>
            </w:r>
          </w:p>
        </w:tc>
        <w:tc>
          <w:tcPr>
            <w:tcW w:w="1596" w:type="dxa"/>
          </w:tcPr>
          <w:p w:rsidR="000C436A" w:rsidRDefault="000C436A" w:rsidP="002C3CFF">
            <w:pPr>
              <w:spacing w:after="0" w:line="240" w:lineRule="auto"/>
              <w:jc w:val="center"/>
              <w:rPr>
                <w:b/>
                <w:bCs/>
                <w:color w:val="000000"/>
              </w:rPr>
            </w:pPr>
            <w:r>
              <w:rPr>
                <w:b/>
                <w:bCs/>
                <w:color w:val="000000"/>
              </w:rPr>
              <w:t>Hours per Response</w:t>
            </w:r>
          </w:p>
        </w:tc>
        <w:tc>
          <w:tcPr>
            <w:tcW w:w="1596" w:type="dxa"/>
          </w:tcPr>
          <w:p w:rsidR="000C436A" w:rsidRDefault="000C436A" w:rsidP="002C3CFF">
            <w:pPr>
              <w:spacing w:after="0" w:line="240" w:lineRule="auto"/>
              <w:jc w:val="center"/>
              <w:rPr>
                <w:rFonts w:ascii="Arial" w:hAnsi="Arial" w:cs="Arial"/>
                <w:b/>
                <w:bCs/>
                <w:color w:val="000000"/>
                <w:sz w:val="24"/>
                <w:szCs w:val="24"/>
              </w:rPr>
            </w:pPr>
            <w:r>
              <w:rPr>
                <w:b/>
                <w:bCs/>
                <w:color w:val="000000"/>
              </w:rPr>
              <w:t>Hours</w:t>
            </w:r>
          </w:p>
        </w:tc>
      </w:tr>
      <w:tr w:rsidR="000C436A" w:rsidTr="00302773">
        <w:tc>
          <w:tcPr>
            <w:tcW w:w="1596" w:type="dxa"/>
            <w:vAlign w:val="bottom"/>
          </w:tcPr>
          <w:p w:rsidR="000C436A" w:rsidRPr="00C80BF3" w:rsidRDefault="00D60504" w:rsidP="002C3CFF">
            <w:pPr>
              <w:spacing w:after="0" w:line="240" w:lineRule="auto"/>
            </w:pPr>
            <w:r w:rsidRPr="00C80BF3">
              <w:t>Upcoming Collections</w:t>
            </w:r>
          </w:p>
        </w:tc>
        <w:tc>
          <w:tcPr>
            <w:tcW w:w="1596" w:type="dxa"/>
            <w:vAlign w:val="bottom"/>
          </w:tcPr>
          <w:p w:rsidR="000C436A" w:rsidRPr="00C80BF3" w:rsidRDefault="009546F4" w:rsidP="002C3CFF">
            <w:pPr>
              <w:spacing w:after="0" w:line="240" w:lineRule="auto"/>
              <w:jc w:val="right"/>
            </w:pPr>
            <w:r w:rsidRPr="00C80BF3">
              <w:t>30</w:t>
            </w:r>
            <w:r w:rsidR="00913554" w:rsidRPr="00C80BF3">
              <w:t>0</w:t>
            </w:r>
            <w:r w:rsidR="006C78C7" w:rsidRPr="00C80BF3">
              <w:t>,000</w:t>
            </w:r>
          </w:p>
        </w:tc>
        <w:tc>
          <w:tcPr>
            <w:tcW w:w="1596" w:type="dxa"/>
            <w:vAlign w:val="bottom"/>
          </w:tcPr>
          <w:p w:rsidR="000C436A" w:rsidRPr="00C80BF3" w:rsidRDefault="0083761E" w:rsidP="002C3CFF">
            <w:pPr>
              <w:spacing w:after="0" w:line="240" w:lineRule="auto"/>
              <w:jc w:val="right"/>
            </w:pPr>
            <w:r>
              <w:t>NA</w:t>
            </w:r>
          </w:p>
        </w:tc>
        <w:tc>
          <w:tcPr>
            <w:tcW w:w="1596" w:type="dxa"/>
            <w:vAlign w:val="bottom"/>
          </w:tcPr>
          <w:p w:rsidR="000C436A" w:rsidRPr="00C80BF3" w:rsidRDefault="003C7CF2" w:rsidP="002C3CFF">
            <w:pPr>
              <w:spacing w:after="0" w:line="240" w:lineRule="auto"/>
              <w:jc w:val="right"/>
            </w:pPr>
            <w:r>
              <w:t>300,000</w:t>
            </w:r>
          </w:p>
        </w:tc>
        <w:tc>
          <w:tcPr>
            <w:tcW w:w="1596" w:type="dxa"/>
            <w:vAlign w:val="bottom"/>
          </w:tcPr>
          <w:p w:rsidR="000C436A" w:rsidRPr="00C80BF3" w:rsidRDefault="009513C4" w:rsidP="002C3CFF">
            <w:pPr>
              <w:spacing w:after="0" w:line="240" w:lineRule="auto"/>
              <w:jc w:val="right"/>
            </w:pPr>
            <w:r w:rsidRPr="00C80BF3">
              <w:rPr>
                <w:i/>
                <w:color w:val="000000"/>
              </w:rPr>
              <w:t>NA</w:t>
            </w:r>
          </w:p>
        </w:tc>
        <w:tc>
          <w:tcPr>
            <w:tcW w:w="1596" w:type="dxa"/>
            <w:vAlign w:val="bottom"/>
          </w:tcPr>
          <w:p w:rsidR="000C436A" w:rsidRPr="00C80BF3" w:rsidRDefault="00913554" w:rsidP="002C3CFF">
            <w:pPr>
              <w:spacing w:after="0" w:line="240" w:lineRule="auto"/>
              <w:jc w:val="right"/>
            </w:pPr>
            <w:r w:rsidRPr="00C80BF3">
              <w:t>30,000</w:t>
            </w:r>
          </w:p>
        </w:tc>
      </w:tr>
      <w:tr w:rsidR="009513C4" w:rsidTr="00302773">
        <w:tc>
          <w:tcPr>
            <w:tcW w:w="1596" w:type="dxa"/>
            <w:vAlign w:val="bottom"/>
          </w:tcPr>
          <w:p w:rsidR="009513C4" w:rsidRPr="00C80BF3" w:rsidRDefault="009513C4" w:rsidP="002C3CFF">
            <w:pPr>
              <w:spacing w:after="0" w:line="240" w:lineRule="auto"/>
            </w:pPr>
            <w:r w:rsidRPr="00C80BF3">
              <w:t>Continuing Information Collections</w:t>
            </w:r>
          </w:p>
        </w:tc>
        <w:tc>
          <w:tcPr>
            <w:tcW w:w="1596" w:type="dxa"/>
            <w:vAlign w:val="bottom"/>
          </w:tcPr>
          <w:p w:rsidR="009513C4" w:rsidRPr="00627D54" w:rsidRDefault="00064678" w:rsidP="002C3CFF">
            <w:pPr>
              <w:spacing w:after="0" w:line="240" w:lineRule="auto"/>
              <w:jc w:val="right"/>
              <w:rPr>
                <w:rFonts w:ascii="Arial" w:hAnsi="Arial" w:cs="Arial"/>
                <w:i/>
                <w:color w:val="000000"/>
                <w:sz w:val="24"/>
                <w:szCs w:val="24"/>
              </w:rPr>
            </w:pPr>
            <w:r>
              <w:rPr>
                <w:i/>
                <w:color w:val="000000"/>
              </w:rPr>
              <w:t>1</w:t>
            </w:r>
            <w:r w:rsidR="006C5DB9">
              <w:rPr>
                <w:i/>
                <w:color w:val="000000"/>
              </w:rPr>
              <w:t>31,751</w:t>
            </w:r>
          </w:p>
        </w:tc>
        <w:tc>
          <w:tcPr>
            <w:tcW w:w="1596" w:type="dxa"/>
            <w:vAlign w:val="bottom"/>
          </w:tcPr>
          <w:p w:rsidR="009513C4" w:rsidRPr="00627D54" w:rsidRDefault="009513C4" w:rsidP="002C3CFF">
            <w:pPr>
              <w:spacing w:after="0" w:line="240" w:lineRule="auto"/>
              <w:jc w:val="right"/>
              <w:rPr>
                <w:i/>
                <w:color w:val="000000"/>
              </w:rPr>
            </w:pPr>
            <w:r>
              <w:rPr>
                <w:i/>
                <w:color w:val="000000"/>
              </w:rPr>
              <w:t>NA</w:t>
            </w:r>
          </w:p>
        </w:tc>
        <w:tc>
          <w:tcPr>
            <w:tcW w:w="1596" w:type="dxa"/>
            <w:vAlign w:val="bottom"/>
          </w:tcPr>
          <w:p w:rsidR="009513C4" w:rsidRPr="00627D54" w:rsidRDefault="00064678" w:rsidP="002C3CFF">
            <w:pPr>
              <w:spacing w:after="0" w:line="240" w:lineRule="auto"/>
              <w:jc w:val="right"/>
              <w:rPr>
                <w:rFonts w:ascii="Arial" w:hAnsi="Arial" w:cs="Arial"/>
                <w:i/>
                <w:color w:val="000000"/>
                <w:sz w:val="24"/>
                <w:szCs w:val="24"/>
              </w:rPr>
            </w:pPr>
            <w:r>
              <w:rPr>
                <w:i/>
                <w:color w:val="000000"/>
              </w:rPr>
              <w:t>1</w:t>
            </w:r>
            <w:r w:rsidR="006C5DB9">
              <w:rPr>
                <w:i/>
                <w:color w:val="000000"/>
              </w:rPr>
              <w:t>31,751</w:t>
            </w:r>
          </w:p>
        </w:tc>
        <w:tc>
          <w:tcPr>
            <w:tcW w:w="1596" w:type="dxa"/>
            <w:vAlign w:val="bottom"/>
          </w:tcPr>
          <w:p w:rsidR="009513C4" w:rsidRPr="00627D54" w:rsidRDefault="009513C4" w:rsidP="002C3CFF">
            <w:pPr>
              <w:spacing w:after="0" w:line="240" w:lineRule="auto"/>
              <w:jc w:val="right"/>
              <w:rPr>
                <w:i/>
                <w:color w:val="000000"/>
              </w:rPr>
            </w:pPr>
            <w:r>
              <w:rPr>
                <w:i/>
                <w:color w:val="000000"/>
              </w:rPr>
              <w:t>NA</w:t>
            </w:r>
          </w:p>
        </w:tc>
        <w:tc>
          <w:tcPr>
            <w:tcW w:w="1596" w:type="dxa"/>
            <w:vAlign w:val="bottom"/>
          </w:tcPr>
          <w:p w:rsidR="009513C4" w:rsidRDefault="008D1154" w:rsidP="00E00B50">
            <w:pPr>
              <w:spacing w:after="0" w:line="240" w:lineRule="auto"/>
              <w:jc w:val="right"/>
              <w:rPr>
                <w:sz w:val="24"/>
              </w:rPr>
            </w:pPr>
            <w:r>
              <w:t>10,35</w:t>
            </w:r>
            <w:r w:rsidR="00E00B50">
              <w:t>3</w:t>
            </w:r>
          </w:p>
        </w:tc>
      </w:tr>
      <w:tr w:rsidR="009513C4" w:rsidTr="00302773">
        <w:tc>
          <w:tcPr>
            <w:tcW w:w="1596" w:type="dxa"/>
            <w:vAlign w:val="bottom"/>
          </w:tcPr>
          <w:p w:rsidR="009513C4" w:rsidRPr="00C80BF3" w:rsidRDefault="009513C4" w:rsidP="002C3CFF">
            <w:pPr>
              <w:spacing w:after="0" w:line="240" w:lineRule="auto"/>
            </w:pPr>
            <w:r w:rsidRPr="00C80BF3">
              <w:t xml:space="preserve">New </w:t>
            </w:r>
            <w:r w:rsidR="00916518">
              <w:t xml:space="preserve">or Revised </w:t>
            </w:r>
            <w:r w:rsidRPr="00C80BF3">
              <w:t>Defined Information Collections</w:t>
            </w:r>
          </w:p>
        </w:tc>
        <w:tc>
          <w:tcPr>
            <w:tcW w:w="1596" w:type="dxa"/>
            <w:vAlign w:val="bottom"/>
          </w:tcPr>
          <w:p w:rsidR="009513C4" w:rsidRPr="003C7CF2" w:rsidRDefault="000F0135" w:rsidP="002C3CFF">
            <w:pPr>
              <w:spacing w:after="0" w:line="240" w:lineRule="auto"/>
              <w:jc w:val="right"/>
              <w:rPr>
                <w:color w:val="000000"/>
              </w:rPr>
            </w:pPr>
            <w:r>
              <w:rPr>
                <w:color w:val="000000"/>
              </w:rPr>
              <w:t>16,0</w:t>
            </w:r>
            <w:r w:rsidR="00CB20B8">
              <w:rPr>
                <w:color w:val="000000"/>
              </w:rPr>
              <w:t>00</w:t>
            </w:r>
          </w:p>
        </w:tc>
        <w:tc>
          <w:tcPr>
            <w:tcW w:w="1596" w:type="dxa"/>
            <w:vAlign w:val="bottom"/>
          </w:tcPr>
          <w:p w:rsidR="009513C4" w:rsidRPr="003C7CF2" w:rsidRDefault="009513C4" w:rsidP="002C3CFF">
            <w:pPr>
              <w:spacing w:after="0" w:line="240" w:lineRule="auto"/>
              <w:jc w:val="right"/>
              <w:rPr>
                <w:color w:val="000000"/>
              </w:rPr>
            </w:pPr>
            <w:r w:rsidRPr="003C7CF2">
              <w:rPr>
                <w:color w:val="000000"/>
              </w:rPr>
              <w:t>NA</w:t>
            </w:r>
          </w:p>
        </w:tc>
        <w:tc>
          <w:tcPr>
            <w:tcW w:w="1596" w:type="dxa"/>
            <w:vAlign w:val="bottom"/>
          </w:tcPr>
          <w:p w:rsidR="009513C4" w:rsidRPr="003C7CF2" w:rsidRDefault="000F0135" w:rsidP="002C3CFF">
            <w:pPr>
              <w:spacing w:after="0" w:line="240" w:lineRule="auto"/>
              <w:jc w:val="right"/>
              <w:rPr>
                <w:color w:val="000000"/>
              </w:rPr>
            </w:pPr>
            <w:r>
              <w:rPr>
                <w:color w:val="000000"/>
              </w:rPr>
              <w:t>16,0</w:t>
            </w:r>
            <w:r w:rsidR="00CB20B8">
              <w:rPr>
                <w:color w:val="000000"/>
              </w:rPr>
              <w:t>00</w:t>
            </w:r>
          </w:p>
        </w:tc>
        <w:tc>
          <w:tcPr>
            <w:tcW w:w="1596" w:type="dxa"/>
            <w:vAlign w:val="bottom"/>
          </w:tcPr>
          <w:p w:rsidR="009513C4" w:rsidRPr="003C7CF2" w:rsidRDefault="009513C4" w:rsidP="002C3CFF">
            <w:pPr>
              <w:spacing w:after="0" w:line="240" w:lineRule="auto"/>
              <w:jc w:val="right"/>
              <w:rPr>
                <w:color w:val="000000"/>
              </w:rPr>
            </w:pPr>
            <w:r w:rsidRPr="003C7CF2">
              <w:rPr>
                <w:color w:val="000000"/>
              </w:rPr>
              <w:t>NA</w:t>
            </w:r>
          </w:p>
        </w:tc>
        <w:tc>
          <w:tcPr>
            <w:tcW w:w="1596" w:type="dxa"/>
            <w:vAlign w:val="bottom"/>
          </w:tcPr>
          <w:p w:rsidR="009513C4" w:rsidRPr="003C7CF2" w:rsidRDefault="000F0135" w:rsidP="002C3CFF">
            <w:pPr>
              <w:spacing w:after="0" w:line="240" w:lineRule="auto"/>
              <w:jc w:val="right"/>
              <w:rPr>
                <w:color w:val="000000"/>
              </w:rPr>
            </w:pPr>
            <w:r>
              <w:rPr>
                <w:color w:val="000000"/>
              </w:rPr>
              <w:t>1,108</w:t>
            </w:r>
          </w:p>
        </w:tc>
      </w:tr>
      <w:tr w:rsidR="009513C4" w:rsidRPr="00C80BF3" w:rsidTr="00302773">
        <w:tc>
          <w:tcPr>
            <w:tcW w:w="1596" w:type="dxa"/>
            <w:vAlign w:val="bottom"/>
          </w:tcPr>
          <w:p w:rsidR="009513C4" w:rsidRPr="00C80BF3" w:rsidRDefault="005956CF" w:rsidP="002C3CFF">
            <w:pPr>
              <w:spacing w:after="0" w:line="240" w:lineRule="auto"/>
              <w:rPr>
                <w:i/>
              </w:rPr>
            </w:pPr>
            <w:r>
              <w:rPr>
                <w:i/>
              </w:rPr>
              <w:t xml:space="preserve">Grand </w:t>
            </w:r>
            <w:r w:rsidR="009513C4" w:rsidRPr="00C80BF3">
              <w:rPr>
                <w:i/>
              </w:rPr>
              <w:t>Total</w:t>
            </w:r>
          </w:p>
        </w:tc>
        <w:tc>
          <w:tcPr>
            <w:tcW w:w="1596" w:type="dxa"/>
            <w:vAlign w:val="bottom"/>
          </w:tcPr>
          <w:p w:rsidR="009513C4" w:rsidRPr="00C80BF3" w:rsidRDefault="006C5DB9" w:rsidP="002C3CFF">
            <w:pPr>
              <w:spacing w:after="0" w:line="240" w:lineRule="auto"/>
              <w:jc w:val="right"/>
              <w:rPr>
                <w:i/>
              </w:rPr>
            </w:pPr>
            <w:r>
              <w:rPr>
                <w:i/>
              </w:rPr>
              <w:t>447</w:t>
            </w:r>
            <w:r w:rsidR="00BE69D4">
              <w:rPr>
                <w:i/>
              </w:rPr>
              <w:t>,751</w:t>
            </w:r>
          </w:p>
        </w:tc>
        <w:tc>
          <w:tcPr>
            <w:tcW w:w="1596" w:type="dxa"/>
            <w:vAlign w:val="bottom"/>
          </w:tcPr>
          <w:p w:rsidR="009513C4" w:rsidRPr="00C80BF3" w:rsidRDefault="009513C4" w:rsidP="002C3CFF">
            <w:pPr>
              <w:spacing w:after="0" w:line="240" w:lineRule="auto"/>
              <w:jc w:val="right"/>
              <w:rPr>
                <w:i/>
              </w:rPr>
            </w:pPr>
          </w:p>
        </w:tc>
        <w:tc>
          <w:tcPr>
            <w:tcW w:w="1596" w:type="dxa"/>
            <w:vAlign w:val="bottom"/>
          </w:tcPr>
          <w:p w:rsidR="009513C4" w:rsidRPr="00C80BF3" w:rsidRDefault="006C5DB9" w:rsidP="002C3CFF">
            <w:pPr>
              <w:spacing w:after="0" w:line="240" w:lineRule="auto"/>
              <w:jc w:val="right"/>
              <w:rPr>
                <w:i/>
              </w:rPr>
            </w:pPr>
            <w:r>
              <w:rPr>
                <w:i/>
              </w:rPr>
              <w:t>447</w:t>
            </w:r>
            <w:r w:rsidR="00BE69D4">
              <w:rPr>
                <w:i/>
              </w:rPr>
              <w:t>,751</w:t>
            </w:r>
          </w:p>
        </w:tc>
        <w:tc>
          <w:tcPr>
            <w:tcW w:w="1596" w:type="dxa"/>
            <w:vAlign w:val="bottom"/>
          </w:tcPr>
          <w:p w:rsidR="009513C4" w:rsidRPr="00C80BF3" w:rsidRDefault="003B4908" w:rsidP="002C3CFF">
            <w:pPr>
              <w:spacing w:after="0" w:line="240" w:lineRule="auto"/>
              <w:jc w:val="right"/>
              <w:rPr>
                <w:i/>
              </w:rPr>
            </w:pPr>
            <w:r>
              <w:rPr>
                <w:i/>
              </w:rPr>
              <w:t>NA</w:t>
            </w:r>
          </w:p>
        </w:tc>
        <w:tc>
          <w:tcPr>
            <w:tcW w:w="1596" w:type="dxa"/>
            <w:vAlign w:val="bottom"/>
          </w:tcPr>
          <w:p w:rsidR="009513C4" w:rsidRPr="00C80BF3" w:rsidRDefault="00E00B50" w:rsidP="002C3CFF">
            <w:pPr>
              <w:spacing w:after="0" w:line="240" w:lineRule="auto"/>
              <w:jc w:val="right"/>
              <w:rPr>
                <w:i/>
              </w:rPr>
            </w:pPr>
            <w:r>
              <w:rPr>
                <w:i/>
              </w:rPr>
              <w:t>41,461</w:t>
            </w:r>
          </w:p>
        </w:tc>
      </w:tr>
    </w:tbl>
    <w:p w:rsidR="007856F2" w:rsidRDefault="007856F2" w:rsidP="002C3CFF">
      <w:pPr>
        <w:spacing w:after="0" w:line="240" w:lineRule="auto"/>
        <w:rPr>
          <w:sz w:val="24"/>
        </w:rPr>
      </w:pPr>
    </w:p>
    <w:p w:rsidR="0011082E" w:rsidRDefault="0011082E" w:rsidP="002C3CFF">
      <w:pPr>
        <w:spacing w:after="0" w:line="240" w:lineRule="auto"/>
        <w:rPr>
          <w:sz w:val="24"/>
        </w:rPr>
      </w:pPr>
      <w:r>
        <w:rPr>
          <w:sz w:val="24"/>
        </w:rPr>
        <w:t xml:space="preserve">Additional information regarding the burden for each instrument to be extended, changed, or updated may be found in the supplemental justification supporting statement that has been uploaded </w:t>
      </w:r>
      <w:r w:rsidR="009335F2">
        <w:rPr>
          <w:sz w:val="24"/>
        </w:rPr>
        <w:t xml:space="preserve">for each individual collection </w:t>
      </w:r>
      <w:r>
        <w:rPr>
          <w:sz w:val="24"/>
        </w:rPr>
        <w:t>in the reginfo.gov database</w:t>
      </w:r>
      <w:r w:rsidR="009335F2">
        <w:rPr>
          <w:sz w:val="24"/>
        </w:rPr>
        <w:t>.</w:t>
      </w:r>
    </w:p>
    <w:p w:rsidR="0011082E" w:rsidRDefault="0011082E" w:rsidP="002C3CFF">
      <w:pPr>
        <w:spacing w:after="0" w:line="240" w:lineRule="auto"/>
        <w:rPr>
          <w:sz w:val="24"/>
        </w:rPr>
      </w:pPr>
    </w:p>
    <w:p w:rsidR="00EC4B39" w:rsidRPr="00533132" w:rsidRDefault="00E963F6" w:rsidP="002C3CFF">
      <w:pPr>
        <w:spacing w:after="0" w:line="240" w:lineRule="auto"/>
        <w:rPr>
          <w:sz w:val="24"/>
        </w:rPr>
      </w:pPr>
      <w:r>
        <w:t xml:space="preserve">Respondents can come from any number of occupations; therefore, the DOL has increased the average hourly rate for all non-supervisory employees on private nonfarm payrolls for March 2014, of $24.32 by 40 percent (total rate $34.05), to approximate fringe benefits and overhead costs, to estimate the monetized value of respondent time.  </w:t>
      </w:r>
      <w:r>
        <w:rPr>
          <w:i/>
        </w:rPr>
        <w:t>See The Employment Situation, May 2014</w:t>
      </w:r>
      <w:r>
        <w:t xml:space="preserve">, at 32, Table B-3, DOL, Bureau of Labor Statistics, </w:t>
      </w:r>
      <w:hyperlink r:id="rId8" w:history="1">
        <w:r>
          <w:rPr>
            <w:rStyle w:val="Hyperlink"/>
          </w:rPr>
          <w:t>http://www.bls.gov/news.release/archives/empsit_06062014.pdf</w:t>
        </w:r>
      </w:hyperlink>
      <w:r>
        <w:t xml:space="preserve">.  </w:t>
      </w:r>
      <w:r w:rsidR="0090003D">
        <w:rPr>
          <w:sz w:val="24"/>
        </w:rPr>
        <w:t>41,461</w:t>
      </w:r>
      <w:r>
        <w:rPr>
          <w:sz w:val="24"/>
        </w:rPr>
        <w:t xml:space="preserve"> burden hours </w:t>
      </w:r>
      <w:r w:rsidR="004876B9">
        <w:rPr>
          <w:sz w:val="24"/>
        </w:rPr>
        <w:t>x</w:t>
      </w:r>
      <w:r>
        <w:rPr>
          <w:sz w:val="24"/>
        </w:rPr>
        <w:t xml:space="preserve"> </w:t>
      </w:r>
      <w:r w:rsidR="00EC4B39">
        <w:rPr>
          <w:sz w:val="24"/>
        </w:rPr>
        <w:t>$</w:t>
      </w:r>
      <w:r>
        <w:rPr>
          <w:sz w:val="24"/>
        </w:rPr>
        <w:t>34.05</w:t>
      </w:r>
      <w:r w:rsidR="00EC4B39">
        <w:rPr>
          <w:sz w:val="24"/>
        </w:rPr>
        <w:t xml:space="preserve"> hourly rate = $</w:t>
      </w:r>
      <w:r w:rsidR="006E314E">
        <w:rPr>
          <w:sz w:val="24"/>
        </w:rPr>
        <w:t>1,</w:t>
      </w:r>
      <w:r w:rsidR="0090003D">
        <w:rPr>
          <w:sz w:val="24"/>
        </w:rPr>
        <w:t>411</w:t>
      </w:r>
      <w:r w:rsidR="00925B99">
        <w:rPr>
          <w:sz w:val="24"/>
        </w:rPr>
        <w:t>,</w:t>
      </w:r>
      <w:r w:rsidR="0090003D">
        <w:rPr>
          <w:sz w:val="24"/>
        </w:rPr>
        <w:t>747.05</w:t>
      </w:r>
      <w:r w:rsidR="00EC4B39">
        <w:rPr>
          <w:sz w:val="24"/>
        </w:rPr>
        <w:t xml:space="preserve"> value of burden hours.</w:t>
      </w:r>
    </w:p>
    <w:p w:rsidR="00EC4B39" w:rsidRDefault="00EC4B39" w:rsidP="002C3CFF">
      <w:pPr>
        <w:spacing w:after="0" w:line="240" w:lineRule="auto"/>
        <w:rPr>
          <w:sz w:val="24"/>
        </w:rPr>
      </w:pPr>
    </w:p>
    <w:p w:rsidR="00EC4B39" w:rsidRDefault="00EC4B39" w:rsidP="002C3CFF">
      <w:pPr>
        <w:pStyle w:val="ListParagraph"/>
        <w:numPr>
          <w:ilvl w:val="0"/>
          <w:numId w:val="2"/>
        </w:numPr>
        <w:spacing w:after="0" w:line="240" w:lineRule="auto"/>
        <w:ind w:left="0"/>
        <w:rPr>
          <w:b/>
        </w:rPr>
      </w:pPr>
      <w:r>
        <w:rPr>
          <w:b/>
        </w:rPr>
        <w:t>Costs to Respondents</w:t>
      </w:r>
    </w:p>
    <w:p w:rsidR="00EC4B39" w:rsidRDefault="00EC4B39" w:rsidP="002C3CFF">
      <w:pPr>
        <w:pStyle w:val="ListParagraph"/>
        <w:spacing w:after="0" w:line="240" w:lineRule="auto"/>
        <w:ind w:left="0"/>
        <w:rPr>
          <w:b/>
        </w:rPr>
      </w:pPr>
    </w:p>
    <w:p w:rsidR="00EC4B39" w:rsidRDefault="00EC4B39" w:rsidP="002C3CFF">
      <w:pPr>
        <w:spacing w:after="0" w:line="240" w:lineRule="auto"/>
      </w:pPr>
      <w:r>
        <w:t xml:space="preserve">No costs are anticipated.  </w:t>
      </w:r>
    </w:p>
    <w:p w:rsidR="00200CD8" w:rsidRDefault="00200CD8" w:rsidP="002C3CFF">
      <w:pPr>
        <w:spacing w:after="0" w:line="240" w:lineRule="auto"/>
      </w:pPr>
    </w:p>
    <w:p w:rsidR="00EC4B39" w:rsidRDefault="00EC4B39" w:rsidP="002C3CFF">
      <w:pPr>
        <w:pStyle w:val="ListParagraph"/>
        <w:numPr>
          <w:ilvl w:val="0"/>
          <w:numId w:val="2"/>
        </w:numPr>
        <w:spacing w:after="0" w:line="240" w:lineRule="auto"/>
        <w:ind w:left="0"/>
        <w:rPr>
          <w:b/>
        </w:rPr>
      </w:pPr>
      <w:r>
        <w:rPr>
          <w:b/>
        </w:rPr>
        <w:t>Costs to Federal Government</w:t>
      </w:r>
    </w:p>
    <w:p w:rsidR="00EC4B39" w:rsidRDefault="00EC4B39" w:rsidP="002C3CFF">
      <w:pPr>
        <w:pStyle w:val="ListParagraph"/>
        <w:spacing w:after="0" w:line="240" w:lineRule="auto"/>
        <w:ind w:left="0"/>
        <w:rPr>
          <w:b/>
        </w:rPr>
      </w:pPr>
    </w:p>
    <w:p w:rsidR="00EC4B39" w:rsidRPr="00BA268D" w:rsidRDefault="00EC4B39" w:rsidP="002C3CFF">
      <w:pPr>
        <w:pStyle w:val="ListParagraph"/>
        <w:spacing w:after="0" w:line="240" w:lineRule="auto"/>
        <w:ind w:left="0"/>
      </w:pPr>
      <w:r>
        <w:t>The anticipated cost to the Federal Government is approximately $</w:t>
      </w:r>
      <w:r w:rsidR="00A6320C">
        <w:t>700,000</w:t>
      </w:r>
      <w:r w:rsidR="00EF7777">
        <w:t xml:space="preserve"> over the course of this information collection</w:t>
      </w:r>
      <w:r>
        <w:t>.  These costs are comprised of</w:t>
      </w:r>
      <w:r w:rsidRPr="00F653D6">
        <w:t xml:space="preserve"> </w:t>
      </w:r>
      <w:r w:rsidR="00E04BD1">
        <w:t xml:space="preserve">developing and </w:t>
      </w:r>
      <w:r>
        <w:t xml:space="preserve">printing </w:t>
      </w:r>
      <w:r w:rsidR="00E04BD1">
        <w:t xml:space="preserve">paper </w:t>
      </w:r>
      <w:r>
        <w:t xml:space="preserve">or developing Web-based instruments and Federal employee or contractor time to develop and </w:t>
      </w:r>
      <w:r w:rsidR="00F63ECD">
        <w:t xml:space="preserve">to </w:t>
      </w:r>
      <w:r>
        <w:t xml:space="preserve">review instruments </w:t>
      </w:r>
      <w:r w:rsidR="00F63ECD">
        <w:t xml:space="preserve">before they are used </w:t>
      </w:r>
      <w:r>
        <w:t xml:space="preserve">and </w:t>
      </w:r>
      <w:r w:rsidR="00B32208">
        <w:t xml:space="preserve">to </w:t>
      </w:r>
      <w:r>
        <w:t xml:space="preserve">review answers for each submitted collection.  </w:t>
      </w:r>
      <w:r w:rsidR="00F63ECD">
        <w:t>Ongoing and new collections submitted as part of this ICR represent $</w:t>
      </w:r>
      <w:r w:rsidR="009105C0">
        <w:t>233,300</w:t>
      </w:r>
      <w:r w:rsidR="00F63ECD">
        <w:t xml:space="preserve"> in Federal costs.  </w:t>
      </w:r>
      <w:r w:rsidR="007914EF">
        <w:t>(</w:t>
      </w:r>
      <w:r w:rsidR="007914EF">
        <w:rPr>
          <w:sz w:val="24"/>
        </w:rPr>
        <w:t xml:space="preserve">Additional information regarding the </w:t>
      </w:r>
      <w:r w:rsidR="009C2676">
        <w:rPr>
          <w:sz w:val="24"/>
        </w:rPr>
        <w:t>Federal cost</w:t>
      </w:r>
      <w:r w:rsidR="007914EF">
        <w:rPr>
          <w:sz w:val="24"/>
        </w:rPr>
        <w:t xml:space="preserve"> for each </w:t>
      </w:r>
      <w:r w:rsidR="009C2676">
        <w:rPr>
          <w:sz w:val="24"/>
        </w:rPr>
        <w:t>activity</w:t>
      </w:r>
      <w:r w:rsidR="007914EF">
        <w:rPr>
          <w:sz w:val="24"/>
        </w:rPr>
        <w:t xml:space="preserve"> to be extended, changed, or updated may be found in the supplemental justification supporting statement that has been uploaded for each individual collection in the reginfo.gov database.)  </w:t>
      </w:r>
      <w:r w:rsidR="00F63ECD">
        <w:t xml:space="preserve">The DOL has </w:t>
      </w:r>
      <w:r w:rsidR="00AB376B">
        <w:t>tripled</w:t>
      </w:r>
      <w:r w:rsidR="005D4BA8">
        <w:t xml:space="preserve"> </w:t>
      </w:r>
      <w:r w:rsidR="00F63ECD">
        <w:t xml:space="preserve">that amount </w:t>
      </w:r>
      <w:r w:rsidR="00F7271E">
        <w:t xml:space="preserve">and rounded to the nearest $1,000 </w:t>
      </w:r>
      <w:r w:rsidR="00F63ECD">
        <w:t>for purposes of this ICR</w:t>
      </w:r>
      <w:r w:rsidR="005D4BA8">
        <w:t xml:space="preserve">, as the </w:t>
      </w:r>
      <w:r w:rsidR="00FC2A7C">
        <w:t>number of on-going and new collections represents</w:t>
      </w:r>
      <w:r w:rsidR="005D4BA8">
        <w:t xml:space="preserve"> about </w:t>
      </w:r>
      <w:r w:rsidR="00AB376B">
        <w:t>a third</w:t>
      </w:r>
      <w:r w:rsidR="005D4BA8">
        <w:t xml:space="preserve"> percent of the volume of anticipated </w:t>
      </w:r>
      <w:r w:rsidR="00E9048B">
        <w:t xml:space="preserve">annual </w:t>
      </w:r>
      <w:r w:rsidR="005D4BA8">
        <w:t>acti</w:t>
      </w:r>
      <w:r w:rsidR="004E3FCD">
        <w:t>v</w:t>
      </w:r>
      <w:r w:rsidR="005D4BA8">
        <w:t>ity</w:t>
      </w:r>
      <w:r w:rsidR="00F7271E">
        <w:t>.  3 x $233,300</w:t>
      </w:r>
      <w:r w:rsidR="00A6320C">
        <w:t xml:space="preserve"> = 699,900</w:t>
      </w:r>
    </w:p>
    <w:p w:rsidR="00EC4B39" w:rsidRDefault="00EC4B39" w:rsidP="002C3CFF">
      <w:pPr>
        <w:spacing w:after="0" w:line="240" w:lineRule="auto"/>
      </w:pPr>
    </w:p>
    <w:p w:rsidR="00EC4B39" w:rsidRDefault="00EC4B39" w:rsidP="002C3CFF">
      <w:pPr>
        <w:pStyle w:val="ListParagraph"/>
        <w:numPr>
          <w:ilvl w:val="0"/>
          <w:numId w:val="2"/>
        </w:numPr>
        <w:spacing w:after="0" w:line="240" w:lineRule="auto"/>
        <w:ind w:left="0"/>
        <w:rPr>
          <w:b/>
        </w:rPr>
      </w:pPr>
      <w:r>
        <w:rPr>
          <w:b/>
        </w:rPr>
        <w:t>Reason for Change</w:t>
      </w:r>
    </w:p>
    <w:p w:rsidR="00EC4B39" w:rsidRDefault="00EC4B39" w:rsidP="002C3CFF">
      <w:pPr>
        <w:pStyle w:val="ListParagraph"/>
        <w:spacing w:after="0" w:line="240" w:lineRule="auto"/>
        <w:ind w:left="0"/>
        <w:rPr>
          <w:b/>
        </w:rPr>
      </w:pPr>
    </w:p>
    <w:p w:rsidR="00EC4B39" w:rsidRDefault="00716160" w:rsidP="002C3CFF">
      <w:pPr>
        <w:spacing w:after="0" w:line="240" w:lineRule="auto"/>
      </w:pPr>
      <w:r w:rsidRPr="00716160">
        <w:t>Burden changes result from agency experience with the overall information collection since its inception and an anticipated increased use of customer feedback to improve customer service.</w:t>
      </w:r>
    </w:p>
    <w:p w:rsidR="00734E73" w:rsidRDefault="00734E73" w:rsidP="002C3CFF">
      <w:pPr>
        <w:spacing w:after="0" w:line="240" w:lineRule="auto"/>
        <w:rPr>
          <w:b/>
        </w:rPr>
      </w:pPr>
    </w:p>
    <w:p w:rsidR="00EC4B39" w:rsidRDefault="00EC4B39" w:rsidP="002C3CFF">
      <w:pPr>
        <w:pStyle w:val="ListParagraph"/>
        <w:numPr>
          <w:ilvl w:val="0"/>
          <w:numId w:val="2"/>
        </w:numPr>
        <w:spacing w:after="0" w:line="240" w:lineRule="auto"/>
        <w:ind w:left="0"/>
        <w:rPr>
          <w:b/>
        </w:rPr>
      </w:pPr>
      <w:r>
        <w:rPr>
          <w:b/>
        </w:rPr>
        <w:t>Tabulation of Results, Schedule, Analysis Plans</w:t>
      </w:r>
    </w:p>
    <w:p w:rsidR="00EC4B39" w:rsidRDefault="00EC4B39" w:rsidP="002C3CFF">
      <w:pPr>
        <w:spacing w:after="0" w:line="240" w:lineRule="auto"/>
      </w:pPr>
    </w:p>
    <w:p w:rsidR="00EC4B39" w:rsidRDefault="00EC4B39" w:rsidP="002C3CFF">
      <w:pPr>
        <w:spacing w:after="0" w:line="240" w:lineRule="auto"/>
      </w:pPr>
      <w:r>
        <w:t>Feedback collected under this generic clearance provides useful information, but it does not yield data that can be generalized to the overall population.  Findings will be used for general service improvement, but are not for publication or other public release.</w:t>
      </w:r>
      <w:r w:rsidRPr="003E339C">
        <w:t xml:space="preserve"> </w:t>
      </w:r>
      <w:r>
        <w:t xml:space="preserve"> </w:t>
      </w:r>
    </w:p>
    <w:p w:rsidR="00EC4B39" w:rsidRDefault="00EC4B39" w:rsidP="002C3CFF">
      <w:pPr>
        <w:spacing w:after="0" w:line="240" w:lineRule="auto"/>
      </w:pPr>
    </w:p>
    <w:p w:rsidR="00EC4B39" w:rsidRDefault="00EC4B39" w:rsidP="002C3CFF">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w:t>
      </w:r>
      <w:r w:rsidR="00FC2A7C">
        <w:t xml:space="preserve">The Agency </w:t>
      </w:r>
      <w:r w:rsidR="00FC2A7C" w:rsidRPr="00BA1806">
        <w:t xml:space="preserve">will disseminate the findings when appropriate, strictly following </w:t>
      </w:r>
      <w:r w:rsidR="00FC2A7C">
        <w:t>the Agency</w:t>
      </w:r>
      <w:r w:rsidR="00FC2A7C" w:rsidRPr="00BA1806">
        <w:t>'s "Guidelines for Ensuring the Quality of Information Disseminated to the Public</w:t>
      </w:r>
      <w:r w:rsidR="00FC2A7C">
        <w:t>,</w:t>
      </w:r>
      <w:r w:rsidR="00FC2A7C" w:rsidRPr="00BA1806">
        <w:t xml:space="preserve">" and will include specific discussion of the limitation of the </w:t>
      </w:r>
      <w:r w:rsidR="00FC2A7C">
        <w:t>qualitative</w:t>
      </w:r>
      <w:r w:rsidR="00FC2A7C" w:rsidRPr="00BA1806">
        <w:t xml:space="preserve"> results discussed above. </w:t>
      </w:r>
    </w:p>
    <w:p w:rsidR="00EC4B39" w:rsidRDefault="00EC4B39" w:rsidP="002C3CFF">
      <w:pPr>
        <w:spacing w:after="0" w:line="240" w:lineRule="auto"/>
      </w:pPr>
    </w:p>
    <w:p w:rsidR="00EC4B39" w:rsidRDefault="00EC4B39" w:rsidP="002C3CFF">
      <w:pPr>
        <w:pStyle w:val="ListParagraph"/>
        <w:numPr>
          <w:ilvl w:val="0"/>
          <w:numId w:val="2"/>
        </w:numPr>
        <w:spacing w:after="0" w:line="240" w:lineRule="auto"/>
        <w:ind w:left="0"/>
        <w:rPr>
          <w:b/>
        </w:rPr>
      </w:pPr>
      <w:r>
        <w:rPr>
          <w:b/>
        </w:rPr>
        <w:t>Display of OMB Approval Date</w:t>
      </w:r>
    </w:p>
    <w:p w:rsidR="00EC4B39" w:rsidRDefault="00EC4B39" w:rsidP="002C3CFF">
      <w:pPr>
        <w:pStyle w:val="ListParagraph"/>
        <w:spacing w:after="0" w:line="240" w:lineRule="auto"/>
        <w:ind w:left="0"/>
        <w:rPr>
          <w:b/>
        </w:rPr>
      </w:pPr>
    </w:p>
    <w:p w:rsidR="00EC4B39" w:rsidRDefault="00EC4B39" w:rsidP="002C3CFF">
      <w:pPr>
        <w:spacing w:after="0" w:line="240" w:lineRule="auto"/>
      </w:pPr>
      <w:r>
        <w:t>We are requesting no exemption.</w:t>
      </w:r>
    </w:p>
    <w:p w:rsidR="00EC4B39" w:rsidRDefault="00EC4B39" w:rsidP="002C3CFF">
      <w:pPr>
        <w:spacing w:after="0" w:line="240" w:lineRule="auto"/>
      </w:pPr>
    </w:p>
    <w:p w:rsidR="00EC4B39" w:rsidRDefault="00EC4B39" w:rsidP="002C3CFF">
      <w:pPr>
        <w:pStyle w:val="ListParagraph"/>
        <w:numPr>
          <w:ilvl w:val="0"/>
          <w:numId w:val="2"/>
        </w:numPr>
        <w:spacing w:after="0" w:line="240" w:lineRule="auto"/>
        <w:ind w:left="0"/>
        <w:rPr>
          <w:b/>
        </w:rPr>
      </w:pPr>
      <w:r>
        <w:rPr>
          <w:b/>
        </w:rPr>
        <w:t>Exceptions to Certification for Paperwork Reduction Act Submissions</w:t>
      </w:r>
    </w:p>
    <w:p w:rsidR="00EC4B39" w:rsidRDefault="00EC4B39" w:rsidP="002C3CFF">
      <w:pPr>
        <w:pStyle w:val="ListParagraph"/>
        <w:spacing w:after="0" w:line="240" w:lineRule="auto"/>
        <w:ind w:left="0"/>
        <w:rPr>
          <w:b/>
        </w:rPr>
      </w:pPr>
    </w:p>
    <w:p w:rsidR="00EC4B39" w:rsidRDefault="00EC4B39" w:rsidP="002C3CFF">
      <w:pPr>
        <w:spacing w:after="0" w:line="240" w:lineRule="auto"/>
      </w:pPr>
      <w:r>
        <w:t>These activities comply with the requirements in 5 CFR 1320.9.</w:t>
      </w:r>
    </w:p>
    <w:sectPr w:rsidR="00EC4B39" w:rsidSect="0098209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B5C" w:rsidRDefault="009B5B5C">
      <w:pPr>
        <w:spacing w:after="0" w:line="240" w:lineRule="auto"/>
      </w:pPr>
      <w:r>
        <w:separator/>
      </w:r>
    </w:p>
  </w:endnote>
  <w:endnote w:type="continuationSeparator" w:id="0">
    <w:p w:rsidR="009B5B5C" w:rsidRDefault="009B5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PS MT">
    <w:altName w:val="Courier"/>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441" w:rsidRDefault="00CA24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B5C" w:rsidRDefault="009B5B5C">
    <w:pPr>
      <w:pStyle w:val="Footer"/>
      <w:jc w:val="center"/>
    </w:pPr>
    <w:r>
      <w:fldChar w:fldCharType="begin"/>
    </w:r>
    <w:r>
      <w:instrText xml:space="preserve"> PAGE   \* MERGEFORMAT </w:instrText>
    </w:r>
    <w:r>
      <w:fldChar w:fldCharType="separate"/>
    </w:r>
    <w:r w:rsidR="00CA2441">
      <w:rPr>
        <w:noProof/>
      </w:rPr>
      <w:t>1</w:t>
    </w:r>
    <w:r>
      <w:rPr>
        <w:noProof/>
      </w:rPr>
      <w:fldChar w:fldCharType="end"/>
    </w:r>
  </w:p>
  <w:p w:rsidR="009B5B5C" w:rsidRDefault="009B5B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441" w:rsidRDefault="00CA24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B5C" w:rsidRDefault="009B5B5C">
      <w:pPr>
        <w:spacing w:after="0" w:line="240" w:lineRule="auto"/>
      </w:pPr>
      <w:r>
        <w:separator/>
      </w:r>
    </w:p>
  </w:footnote>
  <w:footnote w:type="continuationSeparator" w:id="0">
    <w:p w:rsidR="009B5B5C" w:rsidRDefault="009B5B5C">
      <w:pPr>
        <w:spacing w:after="0" w:line="240" w:lineRule="auto"/>
      </w:pPr>
      <w:r>
        <w:continuationSeparator/>
      </w:r>
    </w:p>
  </w:footnote>
  <w:footnote w:id="1">
    <w:p w:rsidR="009B5B5C" w:rsidRDefault="009B5B5C"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441" w:rsidRDefault="00CA24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441" w:rsidRDefault="00CA24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441" w:rsidRDefault="00CA24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051AB"/>
    <w:rsid w:val="00012700"/>
    <w:rsid w:val="00043B2E"/>
    <w:rsid w:val="000523E3"/>
    <w:rsid w:val="000540A1"/>
    <w:rsid w:val="000555FF"/>
    <w:rsid w:val="00064678"/>
    <w:rsid w:val="00066515"/>
    <w:rsid w:val="00091673"/>
    <w:rsid w:val="000A410F"/>
    <w:rsid w:val="000A5546"/>
    <w:rsid w:val="000A6062"/>
    <w:rsid w:val="000B20BF"/>
    <w:rsid w:val="000B4026"/>
    <w:rsid w:val="000C0A7E"/>
    <w:rsid w:val="000C436A"/>
    <w:rsid w:val="000C6BFA"/>
    <w:rsid w:val="000D0E39"/>
    <w:rsid w:val="000F0135"/>
    <w:rsid w:val="000F0BAA"/>
    <w:rsid w:val="00103555"/>
    <w:rsid w:val="0011082E"/>
    <w:rsid w:val="001164A8"/>
    <w:rsid w:val="00120A60"/>
    <w:rsid w:val="001354A3"/>
    <w:rsid w:val="0014082A"/>
    <w:rsid w:val="00153E20"/>
    <w:rsid w:val="001628A1"/>
    <w:rsid w:val="00172EEC"/>
    <w:rsid w:val="001826DF"/>
    <w:rsid w:val="001A1E1C"/>
    <w:rsid w:val="001B2A53"/>
    <w:rsid w:val="001B43EE"/>
    <w:rsid w:val="001B5644"/>
    <w:rsid w:val="001E44AB"/>
    <w:rsid w:val="001E4DA4"/>
    <w:rsid w:val="001E531E"/>
    <w:rsid w:val="001E6196"/>
    <w:rsid w:val="001E6ED7"/>
    <w:rsid w:val="001E7A97"/>
    <w:rsid w:val="001F7BC9"/>
    <w:rsid w:val="00200CD8"/>
    <w:rsid w:val="0021112D"/>
    <w:rsid w:val="00212F3C"/>
    <w:rsid w:val="0021440C"/>
    <w:rsid w:val="0022343F"/>
    <w:rsid w:val="0023733A"/>
    <w:rsid w:val="00241190"/>
    <w:rsid w:val="00256D0E"/>
    <w:rsid w:val="0026358E"/>
    <w:rsid w:val="002849F5"/>
    <w:rsid w:val="00293B5F"/>
    <w:rsid w:val="0029408A"/>
    <w:rsid w:val="00297E65"/>
    <w:rsid w:val="002A19DF"/>
    <w:rsid w:val="002A35E6"/>
    <w:rsid w:val="002B0B32"/>
    <w:rsid w:val="002B5896"/>
    <w:rsid w:val="002C3CFF"/>
    <w:rsid w:val="002D6E28"/>
    <w:rsid w:val="002E45B4"/>
    <w:rsid w:val="002E62EA"/>
    <w:rsid w:val="002F2446"/>
    <w:rsid w:val="00302773"/>
    <w:rsid w:val="0031005F"/>
    <w:rsid w:val="00311262"/>
    <w:rsid w:val="003132B8"/>
    <w:rsid w:val="00314133"/>
    <w:rsid w:val="00324AF8"/>
    <w:rsid w:val="0033268E"/>
    <w:rsid w:val="00336169"/>
    <w:rsid w:val="00353B57"/>
    <w:rsid w:val="00357185"/>
    <w:rsid w:val="0036101C"/>
    <w:rsid w:val="003633EB"/>
    <w:rsid w:val="00367177"/>
    <w:rsid w:val="00370A44"/>
    <w:rsid w:val="00377B51"/>
    <w:rsid w:val="0038130E"/>
    <w:rsid w:val="003814D2"/>
    <w:rsid w:val="0039719F"/>
    <w:rsid w:val="003A208E"/>
    <w:rsid w:val="003A2F20"/>
    <w:rsid w:val="003A7A16"/>
    <w:rsid w:val="003B4908"/>
    <w:rsid w:val="003C7CF2"/>
    <w:rsid w:val="003D0648"/>
    <w:rsid w:val="003E339C"/>
    <w:rsid w:val="003F5F2D"/>
    <w:rsid w:val="00404071"/>
    <w:rsid w:val="00405487"/>
    <w:rsid w:val="00411152"/>
    <w:rsid w:val="0041261C"/>
    <w:rsid w:val="00431DB7"/>
    <w:rsid w:val="00434B03"/>
    <w:rsid w:val="0044553C"/>
    <w:rsid w:val="00452FDA"/>
    <w:rsid w:val="00460EB1"/>
    <w:rsid w:val="00474C83"/>
    <w:rsid w:val="00484EDD"/>
    <w:rsid w:val="004876B9"/>
    <w:rsid w:val="004970C8"/>
    <w:rsid w:val="00497E1F"/>
    <w:rsid w:val="004A1CF9"/>
    <w:rsid w:val="004B56C4"/>
    <w:rsid w:val="004E32E2"/>
    <w:rsid w:val="004E3FCD"/>
    <w:rsid w:val="00513A34"/>
    <w:rsid w:val="00533132"/>
    <w:rsid w:val="005360FC"/>
    <w:rsid w:val="005362FC"/>
    <w:rsid w:val="005372DF"/>
    <w:rsid w:val="00562B18"/>
    <w:rsid w:val="00571BDB"/>
    <w:rsid w:val="00572831"/>
    <w:rsid w:val="0059004B"/>
    <w:rsid w:val="005956CF"/>
    <w:rsid w:val="005A10E3"/>
    <w:rsid w:val="005A2294"/>
    <w:rsid w:val="005D13CA"/>
    <w:rsid w:val="005D244D"/>
    <w:rsid w:val="005D4796"/>
    <w:rsid w:val="005D4BA8"/>
    <w:rsid w:val="005E5A3B"/>
    <w:rsid w:val="00607287"/>
    <w:rsid w:val="00607748"/>
    <w:rsid w:val="006136AC"/>
    <w:rsid w:val="00627D54"/>
    <w:rsid w:val="006547E9"/>
    <w:rsid w:val="006557FA"/>
    <w:rsid w:val="006656C5"/>
    <w:rsid w:val="0067270D"/>
    <w:rsid w:val="00672F7E"/>
    <w:rsid w:val="00687A7C"/>
    <w:rsid w:val="00692C3E"/>
    <w:rsid w:val="006B2FF7"/>
    <w:rsid w:val="006C068A"/>
    <w:rsid w:val="006C5DB9"/>
    <w:rsid w:val="006C78C7"/>
    <w:rsid w:val="006E314E"/>
    <w:rsid w:val="006F4128"/>
    <w:rsid w:val="006F73AC"/>
    <w:rsid w:val="00701CF7"/>
    <w:rsid w:val="00704B9B"/>
    <w:rsid w:val="00705BE9"/>
    <w:rsid w:val="00710108"/>
    <w:rsid w:val="00716160"/>
    <w:rsid w:val="00717B88"/>
    <w:rsid w:val="0072650C"/>
    <w:rsid w:val="007275F2"/>
    <w:rsid w:val="00731D48"/>
    <w:rsid w:val="00734E73"/>
    <w:rsid w:val="0074733F"/>
    <w:rsid w:val="00751546"/>
    <w:rsid w:val="00754ECF"/>
    <w:rsid w:val="007615A2"/>
    <w:rsid w:val="00765585"/>
    <w:rsid w:val="007679A5"/>
    <w:rsid w:val="00783842"/>
    <w:rsid w:val="00785623"/>
    <w:rsid w:val="007856F2"/>
    <w:rsid w:val="007903D0"/>
    <w:rsid w:val="007914EF"/>
    <w:rsid w:val="00791A64"/>
    <w:rsid w:val="00797C42"/>
    <w:rsid w:val="007A1F17"/>
    <w:rsid w:val="007A268D"/>
    <w:rsid w:val="007B7CDD"/>
    <w:rsid w:val="007C0071"/>
    <w:rsid w:val="007D34FB"/>
    <w:rsid w:val="007D4C19"/>
    <w:rsid w:val="007E102D"/>
    <w:rsid w:val="0082110C"/>
    <w:rsid w:val="00833384"/>
    <w:rsid w:val="00837137"/>
    <w:rsid w:val="0083761E"/>
    <w:rsid w:val="00840A03"/>
    <w:rsid w:val="00840C3D"/>
    <w:rsid w:val="008537B3"/>
    <w:rsid w:val="00856A5B"/>
    <w:rsid w:val="008659FD"/>
    <w:rsid w:val="00871F7C"/>
    <w:rsid w:val="00872409"/>
    <w:rsid w:val="00894356"/>
    <w:rsid w:val="008A6FC5"/>
    <w:rsid w:val="008A78D2"/>
    <w:rsid w:val="008B0F74"/>
    <w:rsid w:val="008D1154"/>
    <w:rsid w:val="008E00C0"/>
    <w:rsid w:val="008F21DF"/>
    <w:rsid w:val="0090003D"/>
    <w:rsid w:val="009051F0"/>
    <w:rsid w:val="00905E24"/>
    <w:rsid w:val="009105C0"/>
    <w:rsid w:val="00913554"/>
    <w:rsid w:val="00914716"/>
    <w:rsid w:val="00915BDA"/>
    <w:rsid w:val="00916518"/>
    <w:rsid w:val="00925B99"/>
    <w:rsid w:val="009275D9"/>
    <w:rsid w:val="00930AE6"/>
    <w:rsid w:val="009335F2"/>
    <w:rsid w:val="0094733D"/>
    <w:rsid w:val="009513C4"/>
    <w:rsid w:val="00953059"/>
    <w:rsid w:val="009538A2"/>
    <w:rsid w:val="009546F4"/>
    <w:rsid w:val="00982095"/>
    <w:rsid w:val="00983ED7"/>
    <w:rsid w:val="009968DE"/>
    <w:rsid w:val="009A037C"/>
    <w:rsid w:val="009B3E62"/>
    <w:rsid w:val="009B5946"/>
    <w:rsid w:val="009B5B5C"/>
    <w:rsid w:val="009C2676"/>
    <w:rsid w:val="009C4FE6"/>
    <w:rsid w:val="009E3384"/>
    <w:rsid w:val="009E75C8"/>
    <w:rsid w:val="009F2F74"/>
    <w:rsid w:val="00A03E03"/>
    <w:rsid w:val="00A12AC9"/>
    <w:rsid w:val="00A2194F"/>
    <w:rsid w:val="00A34349"/>
    <w:rsid w:val="00A4550A"/>
    <w:rsid w:val="00A52F7E"/>
    <w:rsid w:val="00A6320C"/>
    <w:rsid w:val="00A666FD"/>
    <w:rsid w:val="00A76CFA"/>
    <w:rsid w:val="00A96367"/>
    <w:rsid w:val="00AA02AA"/>
    <w:rsid w:val="00AA0411"/>
    <w:rsid w:val="00AA3F96"/>
    <w:rsid w:val="00AB376B"/>
    <w:rsid w:val="00AC207F"/>
    <w:rsid w:val="00AC2497"/>
    <w:rsid w:val="00AE2326"/>
    <w:rsid w:val="00AE62DF"/>
    <w:rsid w:val="00AF06D2"/>
    <w:rsid w:val="00AF55E9"/>
    <w:rsid w:val="00B01FB0"/>
    <w:rsid w:val="00B032C5"/>
    <w:rsid w:val="00B11799"/>
    <w:rsid w:val="00B126C4"/>
    <w:rsid w:val="00B32208"/>
    <w:rsid w:val="00B43838"/>
    <w:rsid w:val="00B503AC"/>
    <w:rsid w:val="00B57F46"/>
    <w:rsid w:val="00B60722"/>
    <w:rsid w:val="00BA08B1"/>
    <w:rsid w:val="00BA1806"/>
    <w:rsid w:val="00BA268D"/>
    <w:rsid w:val="00BB2783"/>
    <w:rsid w:val="00BC63CD"/>
    <w:rsid w:val="00BC7A04"/>
    <w:rsid w:val="00BD13BB"/>
    <w:rsid w:val="00BE0599"/>
    <w:rsid w:val="00BE3DE5"/>
    <w:rsid w:val="00BE69D4"/>
    <w:rsid w:val="00BF1AF0"/>
    <w:rsid w:val="00BF2E89"/>
    <w:rsid w:val="00BF7558"/>
    <w:rsid w:val="00C074A5"/>
    <w:rsid w:val="00C200D1"/>
    <w:rsid w:val="00C267A5"/>
    <w:rsid w:val="00C2740A"/>
    <w:rsid w:val="00C422E9"/>
    <w:rsid w:val="00C524C5"/>
    <w:rsid w:val="00C52B7A"/>
    <w:rsid w:val="00C5720E"/>
    <w:rsid w:val="00C608A0"/>
    <w:rsid w:val="00C61970"/>
    <w:rsid w:val="00C61F72"/>
    <w:rsid w:val="00C62FA2"/>
    <w:rsid w:val="00C74885"/>
    <w:rsid w:val="00C77CD2"/>
    <w:rsid w:val="00C80BF3"/>
    <w:rsid w:val="00CA1046"/>
    <w:rsid w:val="00CA2441"/>
    <w:rsid w:val="00CB20B8"/>
    <w:rsid w:val="00CB7277"/>
    <w:rsid w:val="00CC2FDD"/>
    <w:rsid w:val="00CF33F8"/>
    <w:rsid w:val="00D0579C"/>
    <w:rsid w:val="00D07197"/>
    <w:rsid w:val="00D30F06"/>
    <w:rsid w:val="00D364B8"/>
    <w:rsid w:val="00D60504"/>
    <w:rsid w:val="00D64332"/>
    <w:rsid w:val="00D64405"/>
    <w:rsid w:val="00D64AAF"/>
    <w:rsid w:val="00D82197"/>
    <w:rsid w:val="00D8423A"/>
    <w:rsid w:val="00D93FE0"/>
    <w:rsid w:val="00D96D41"/>
    <w:rsid w:val="00DA3AFF"/>
    <w:rsid w:val="00DD1596"/>
    <w:rsid w:val="00DE07E7"/>
    <w:rsid w:val="00DF4A52"/>
    <w:rsid w:val="00E00B50"/>
    <w:rsid w:val="00E02A39"/>
    <w:rsid w:val="00E04BD1"/>
    <w:rsid w:val="00E12CAC"/>
    <w:rsid w:val="00E2172F"/>
    <w:rsid w:val="00E31D8F"/>
    <w:rsid w:val="00E44608"/>
    <w:rsid w:val="00E60228"/>
    <w:rsid w:val="00E75E9D"/>
    <w:rsid w:val="00E806E8"/>
    <w:rsid w:val="00E9048B"/>
    <w:rsid w:val="00E9194C"/>
    <w:rsid w:val="00E963F6"/>
    <w:rsid w:val="00EB2D61"/>
    <w:rsid w:val="00EC2B8B"/>
    <w:rsid w:val="00EC394F"/>
    <w:rsid w:val="00EC4B39"/>
    <w:rsid w:val="00EC7498"/>
    <w:rsid w:val="00EE234D"/>
    <w:rsid w:val="00EE5F53"/>
    <w:rsid w:val="00EF7777"/>
    <w:rsid w:val="00F00F69"/>
    <w:rsid w:val="00F04B08"/>
    <w:rsid w:val="00F04C94"/>
    <w:rsid w:val="00F07095"/>
    <w:rsid w:val="00F15BAA"/>
    <w:rsid w:val="00F25E1E"/>
    <w:rsid w:val="00F31E34"/>
    <w:rsid w:val="00F35F7B"/>
    <w:rsid w:val="00F51CF1"/>
    <w:rsid w:val="00F63BBB"/>
    <w:rsid w:val="00F63ECD"/>
    <w:rsid w:val="00F653D6"/>
    <w:rsid w:val="00F7271E"/>
    <w:rsid w:val="00F7589F"/>
    <w:rsid w:val="00F80EDE"/>
    <w:rsid w:val="00F9275B"/>
    <w:rsid w:val="00F9312F"/>
    <w:rsid w:val="00FA09DA"/>
    <w:rsid w:val="00FA1D10"/>
    <w:rsid w:val="00FA56E4"/>
    <w:rsid w:val="00FA623C"/>
    <w:rsid w:val="00FB1178"/>
    <w:rsid w:val="00FB502A"/>
    <w:rsid w:val="00FB7408"/>
    <w:rsid w:val="00FC2A7C"/>
    <w:rsid w:val="00FC384D"/>
    <w:rsid w:val="00FE7987"/>
    <w:rsid w:val="00FF555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82095"/>
    <w:rPr>
      <w:rFonts w:ascii="Tahoma" w:hAnsi="Tahoma" w:cs="Tahoma"/>
      <w:sz w:val="16"/>
      <w:szCs w:val="16"/>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link w:val="Header"/>
    <w:uiPriority w:val="99"/>
    <w:semiHidden/>
    <w:locked/>
    <w:rsid w:val="00982095"/>
    <w:rPr>
      <w:rFonts w:cs="Times New Roman"/>
    </w:rPr>
  </w:style>
  <w:style w:type="paragraph" w:styleId="Footer">
    <w:name w:val="footer"/>
    <w:basedOn w:val="Normal"/>
    <w:link w:val="FooterChar"/>
    <w:uiPriority w:val="99"/>
    <w:rsid w:val="00982095"/>
    <w:pPr>
      <w:tabs>
        <w:tab w:val="center" w:pos="4680"/>
        <w:tab w:val="right" w:pos="9360"/>
      </w:tabs>
      <w:spacing w:after="0" w:line="240" w:lineRule="auto"/>
    </w:pPr>
  </w:style>
  <w:style w:type="character" w:customStyle="1" w:styleId="FooterChar">
    <w:name w:val="Footer Char"/>
    <w:link w:val="Footer"/>
    <w:uiPriority w:val="99"/>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link w:val="BodyTextIndent3"/>
    <w:uiPriority w:val="99"/>
    <w:semiHidden/>
    <w:locked/>
    <w:rsid w:val="00982095"/>
    <w:rPr>
      <w:rFonts w:ascii="Tahoma" w:hAnsi="Tahoma" w:cs="Times New Roman"/>
      <w:sz w:val="20"/>
      <w:szCs w:val="20"/>
    </w:rPr>
  </w:style>
  <w:style w:type="character" w:styleId="CommentReference">
    <w:name w:val="annotation reference"/>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link w:val="FootnoteText"/>
    <w:uiPriority w:val="99"/>
    <w:semiHidden/>
    <w:locked/>
    <w:rsid w:val="00982095"/>
    <w:rPr>
      <w:rFonts w:cs="Times New Roman"/>
      <w:sz w:val="20"/>
      <w:szCs w:val="20"/>
    </w:rPr>
  </w:style>
  <w:style w:type="character" w:styleId="FootnoteReference">
    <w:name w:val="footnote reference"/>
    <w:uiPriority w:val="99"/>
    <w:semiHidden/>
    <w:rsid w:val="00982095"/>
    <w:rPr>
      <w:rFonts w:cs="Times New Roman"/>
      <w:vertAlign w:val="superscript"/>
    </w:rPr>
  </w:style>
  <w:style w:type="paragraph" w:styleId="Revision">
    <w:name w:val="Revision"/>
    <w:hidden/>
    <w:uiPriority w:val="99"/>
    <w:semiHidden/>
    <w:rsid w:val="00982095"/>
    <w:rPr>
      <w:sz w:val="22"/>
      <w:szCs w:val="22"/>
    </w:rPr>
  </w:style>
  <w:style w:type="character" w:styleId="Hyperlink">
    <w:name w:val="Hyperlink"/>
    <w:uiPriority w:val="99"/>
    <w:semiHidden/>
    <w:rsid w:val="00404071"/>
    <w:rPr>
      <w:rFonts w:cs="Times New Roman"/>
      <w:color w:val="0000FF"/>
      <w:u w:val="single"/>
    </w:rPr>
  </w:style>
  <w:style w:type="table" w:styleId="TableGrid">
    <w:name w:val="Table Grid"/>
    <w:basedOn w:val="TableNormal"/>
    <w:locked/>
    <w:rsid w:val="00F93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01FB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82095"/>
    <w:rPr>
      <w:rFonts w:ascii="Tahoma" w:hAnsi="Tahoma" w:cs="Tahoma"/>
      <w:sz w:val="16"/>
      <w:szCs w:val="16"/>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link w:val="Header"/>
    <w:uiPriority w:val="99"/>
    <w:semiHidden/>
    <w:locked/>
    <w:rsid w:val="00982095"/>
    <w:rPr>
      <w:rFonts w:cs="Times New Roman"/>
    </w:rPr>
  </w:style>
  <w:style w:type="paragraph" w:styleId="Footer">
    <w:name w:val="footer"/>
    <w:basedOn w:val="Normal"/>
    <w:link w:val="FooterChar"/>
    <w:uiPriority w:val="99"/>
    <w:rsid w:val="00982095"/>
    <w:pPr>
      <w:tabs>
        <w:tab w:val="center" w:pos="4680"/>
        <w:tab w:val="right" w:pos="9360"/>
      </w:tabs>
      <w:spacing w:after="0" w:line="240" w:lineRule="auto"/>
    </w:pPr>
  </w:style>
  <w:style w:type="character" w:customStyle="1" w:styleId="FooterChar">
    <w:name w:val="Footer Char"/>
    <w:link w:val="Footer"/>
    <w:uiPriority w:val="99"/>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link w:val="BodyTextIndent3"/>
    <w:uiPriority w:val="99"/>
    <w:semiHidden/>
    <w:locked/>
    <w:rsid w:val="00982095"/>
    <w:rPr>
      <w:rFonts w:ascii="Tahoma" w:hAnsi="Tahoma" w:cs="Times New Roman"/>
      <w:sz w:val="20"/>
      <w:szCs w:val="20"/>
    </w:rPr>
  </w:style>
  <w:style w:type="character" w:styleId="CommentReference">
    <w:name w:val="annotation reference"/>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link w:val="FootnoteText"/>
    <w:uiPriority w:val="99"/>
    <w:semiHidden/>
    <w:locked/>
    <w:rsid w:val="00982095"/>
    <w:rPr>
      <w:rFonts w:cs="Times New Roman"/>
      <w:sz w:val="20"/>
      <w:szCs w:val="20"/>
    </w:rPr>
  </w:style>
  <w:style w:type="character" w:styleId="FootnoteReference">
    <w:name w:val="footnote reference"/>
    <w:uiPriority w:val="99"/>
    <w:semiHidden/>
    <w:rsid w:val="00982095"/>
    <w:rPr>
      <w:rFonts w:cs="Times New Roman"/>
      <w:vertAlign w:val="superscript"/>
    </w:rPr>
  </w:style>
  <w:style w:type="paragraph" w:styleId="Revision">
    <w:name w:val="Revision"/>
    <w:hidden/>
    <w:uiPriority w:val="99"/>
    <w:semiHidden/>
    <w:rsid w:val="00982095"/>
    <w:rPr>
      <w:sz w:val="22"/>
      <w:szCs w:val="22"/>
    </w:rPr>
  </w:style>
  <w:style w:type="character" w:styleId="Hyperlink">
    <w:name w:val="Hyperlink"/>
    <w:uiPriority w:val="99"/>
    <w:semiHidden/>
    <w:rsid w:val="00404071"/>
    <w:rPr>
      <w:rFonts w:cs="Times New Roman"/>
      <w:color w:val="0000FF"/>
      <w:u w:val="single"/>
    </w:rPr>
  </w:style>
  <w:style w:type="table" w:styleId="TableGrid">
    <w:name w:val="Table Grid"/>
    <w:basedOn w:val="TableNormal"/>
    <w:locked/>
    <w:rsid w:val="00F93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01F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923838">
      <w:bodyDiv w:val="1"/>
      <w:marLeft w:val="0"/>
      <w:marRight w:val="0"/>
      <w:marTop w:val="0"/>
      <w:marBottom w:val="0"/>
      <w:divBdr>
        <w:top w:val="none" w:sz="0" w:space="0" w:color="auto"/>
        <w:left w:val="none" w:sz="0" w:space="0" w:color="auto"/>
        <w:bottom w:val="none" w:sz="0" w:space="0" w:color="auto"/>
        <w:right w:val="none" w:sz="0" w:space="0" w:color="auto"/>
      </w:divBdr>
      <w:divsChild>
        <w:div w:id="1392121367">
          <w:marLeft w:val="0"/>
          <w:marRight w:val="0"/>
          <w:marTop w:val="0"/>
          <w:marBottom w:val="0"/>
          <w:divBdr>
            <w:top w:val="none" w:sz="0" w:space="0" w:color="auto"/>
            <w:left w:val="none" w:sz="0" w:space="0" w:color="auto"/>
            <w:bottom w:val="none" w:sz="0" w:space="0" w:color="auto"/>
            <w:right w:val="none" w:sz="0" w:space="0" w:color="auto"/>
          </w:divBdr>
          <w:divsChild>
            <w:div w:id="1447382984">
              <w:marLeft w:val="0"/>
              <w:marRight w:val="0"/>
              <w:marTop w:val="0"/>
              <w:marBottom w:val="0"/>
              <w:divBdr>
                <w:top w:val="single" w:sz="6" w:space="11" w:color="FCFCFC"/>
                <w:left w:val="single" w:sz="6" w:space="11" w:color="ECECEC"/>
                <w:bottom w:val="single" w:sz="6" w:space="4" w:color="ECECEC"/>
                <w:right w:val="single" w:sz="6" w:space="11" w:color="ECECEC"/>
              </w:divBdr>
            </w:div>
          </w:divsChild>
        </w:div>
      </w:divsChild>
    </w:div>
    <w:div w:id="1569731036">
      <w:marLeft w:val="0"/>
      <w:marRight w:val="0"/>
      <w:marTop w:val="0"/>
      <w:marBottom w:val="0"/>
      <w:divBdr>
        <w:top w:val="none" w:sz="0" w:space="0" w:color="auto"/>
        <w:left w:val="none" w:sz="0" w:space="0" w:color="auto"/>
        <w:bottom w:val="none" w:sz="0" w:space="0" w:color="auto"/>
        <w:right w:val="none" w:sz="0" w:space="0" w:color="auto"/>
      </w:divBdr>
    </w:div>
    <w:div w:id="15697310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archives/empsit_06062014.pdf"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2534</Words>
  <Characters>14815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2014-06-30T19:03:00Z</dcterms:created>
  <dcterms:modified xsi:type="dcterms:W3CDTF">2014-06-30T19:03:00Z</dcterms:modified>
</cp:coreProperties>
</file>