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88C5B" w14:textId="77777777" w:rsidR="00966E29" w:rsidRPr="00173157" w:rsidRDefault="00173157" w:rsidP="00173157">
      <w:pPr>
        <w:jc w:val="center"/>
        <w:rPr>
          <w:b/>
        </w:rPr>
      </w:pPr>
      <w:r w:rsidRPr="00173157">
        <w:rPr>
          <w:b/>
        </w:rPr>
        <w:t>SAMHSA Customer Satisfaction Survey</w:t>
      </w:r>
    </w:p>
    <w:p w14:paraId="3EAD55AD" w14:textId="77777777" w:rsidR="00173157" w:rsidRPr="00173157" w:rsidRDefault="00173157" w:rsidP="00173157">
      <w:pPr>
        <w:jc w:val="center"/>
        <w:rPr>
          <w:b/>
        </w:rPr>
      </w:pPr>
    </w:p>
    <w:p w14:paraId="1ABCA6CA" w14:textId="77777777" w:rsidR="00173157" w:rsidRPr="00173157" w:rsidRDefault="00173157" w:rsidP="00173157">
      <w:pPr>
        <w:jc w:val="center"/>
        <w:rPr>
          <w:b/>
        </w:rPr>
      </w:pPr>
      <w:r w:rsidRPr="00173157">
        <w:rPr>
          <w:b/>
        </w:rPr>
        <w:t>Center for Behavioral Health Statistics and Quality</w:t>
      </w:r>
    </w:p>
    <w:p w14:paraId="52575E29" w14:textId="77777777" w:rsidR="00173157" w:rsidRPr="00173157" w:rsidRDefault="00173157" w:rsidP="00173157">
      <w:pPr>
        <w:jc w:val="center"/>
        <w:rPr>
          <w:b/>
        </w:rPr>
      </w:pPr>
      <w:r w:rsidRPr="00173157">
        <w:rPr>
          <w:b/>
        </w:rPr>
        <w:t xml:space="preserve">Grantee Data Technical Assistance (GDTA) </w:t>
      </w:r>
      <w:r w:rsidR="00D236C8">
        <w:rPr>
          <w:b/>
        </w:rPr>
        <w:t xml:space="preserve">Learning Community </w:t>
      </w:r>
      <w:r w:rsidRPr="00173157">
        <w:rPr>
          <w:b/>
        </w:rPr>
        <w:t>Satisfaction Survey</w:t>
      </w:r>
    </w:p>
    <w:p w14:paraId="7CC42F5F" w14:textId="77777777" w:rsidR="00173157" w:rsidRDefault="00173157"/>
    <w:p w14:paraId="0D5A3F9C" w14:textId="77777777" w:rsidR="00173157" w:rsidRPr="00173157" w:rsidRDefault="00173157">
      <w:pPr>
        <w:rPr>
          <w:b/>
        </w:rPr>
      </w:pPr>
      <w:r w:rsidRPr="00173157">
        <w:rPr>
          <w:b/>
        </w:rPr>
        <w:t xml:space="preserve">A.  Product/Activity to be </w:t>
      </w:r>
      <w:proofErr w:type="gramStart"/>
      <w:r w:rsidRPr="00173157">
        <w:rPr>
          <w:b/>
        </w:rPr>
        <w:t>Assessed</w:t>
      </w:r>
      <w:proofErr w:type="gramEnd"/>
    </w:p>
    <w:p w14:paraId="5A46ECF5" w14:textId="77777777" w:rsidR="00173157" w:rsidRDefault="00D55063">
      <w:r w:rsidRPr="00D55063">
        <w:t xml:space="preserve">The Substance Abuse and Mental Health Services Administration’s (SAMHSA’s) Grantee Data Technical Assistance (GDTA) contract provides technical assistance (TA) for SAMHSA discretionary services grantees and project officers on data collection, management, and utilization.  Designed to improve the accuracy, completeness, and timeliness of grantee data, GDTA promotes the use of data to improve practice, program design, and policy development.  SAMHSA is requesting approval from the Office of Management and Budget (OMB) to implement a satisfaction survey for participants in </w:t>
      </w:r>
      <w:r>
        <w:t>Learning Community (LC)</w:t>
      </w:r>
      <w:r w:rsidRPr="00D55063">
        <w:t xml:space="preserve"> events supported by the GDTA contract.  GDTA considers it important to assess participants’ perception of the value of services provided in these </w:t>
      </w:r>
      <w:r>
        <w:t xml:space="preserve">LC </w:t>
      </w:r>
      <w:r w:rsidRPr="00D55063">
        <w:t>events.</w:t>
      </w:r>
    </w:p>
    <w:p w14:paraId="390B009C" w14:textId="77777777" w:rsidR="00A66FA7" w:rsidRDefault="00A66FA7"/>
    <w:p w14:paraId="6DFD5010" w14:textId="77777777" w:rsidR="00173157" w:rsidRPr="00173157" w:rsidRDefault="00173157">
      <w:pPr>
        <w:rPr>
          <w:b/>
        </w:rPr>
      </w:pPr>
      <w:r w:rsidRPr="00173157">
        <w:rPr>
          <w:b/>
        </w:rPr>
        <w:t>B.  Brief Statement of Objectives</w:t>
      </w:r>
    </w:p>
    <w:p w14:paraId="29F56695" w14:textId="71E4580C" w:rsidR="00D55063" w:rsidRPr="00DA50E7" w:rsidRDefault="00D55063" w:rsidP="00D55063">
      <w:pPr>
        <w:tabs>
          <w:tab w:val="left" w:pos="-539"/>
        </w:tabs>
      </w:pPr>
      <w:r w:rsidRPr="00DA50E7">
        <w:t xml:space="preserve">In 2014, </w:t>
      </w:r>
      <w:r w:rsidR="005851A6">
        <w:t>the Center for Behavioral Health Statistics and Quality (</w:t>
      </w:r>
      <w:r w:rsidRPr="00DA50E7">
        <w:t>CBHSQ</w:t>
      </w:r>
      <w:r w:rsidR="005851A6">
        <w:t>)</w:t>
      </w:r>
      <w:r w:rsidRPr="00DA50E7">
        <w:t xml:space="preserve"> funded the GDTA contract to provide training and </w:t>
      </w:r>
      <w:r w:rsidR="00EA1348">
        <w:t>TA</w:t>
      </w:r>
      <w:r w:rsidRPr="00DA50E7">
        <w:t xml:space="preserve"> to all grantees receiving funding from the Center for Substance Abuse Treatment (CSAT), the Center for Mental Health Services (CMHS), and some grantees receiving funding from the Center for Substance Abuse Prevention (CSAP).  GDTA Learning Communities will focus on helping grantees use their GPRA data for performance management and monitoring, as well as services improvement.  The information being collected in this survey will inform CHBSQ regarding whether the Learning Communities are meeting their objectives and if participants are finding the Learning Communities useful.</w:t>
      </w:r>
    </w:p>
    <w:p w14:paraId="466D23D7" w14:textId="1E88B3FF" w:rsidR="00173157" w:rsidRDefault="08D86D12" w:rsidP="00D55063">
      <w:pPr>
        <w:tabs>
          <w:tab w:val="left" w:pos="-539"/>
        </w:tabs>
      </w:pPr>
      <w:r>
        <w:t>Approval of this survey and associated data collection activities will allow SAMHSA to continue to support its GPRA reporting requirements that quantify the effects and accomplishments of its grant programs.  As the GDTA contract supports grantees in using their GPRA data, this data collection will ultimately assist SAMHSA’s legislative mandate to increase access to high quality prevention and treatment services and to improve outcomes.  All of SAMHSA’s programs and activities are geared toward the achievement of goals related to reducing the impact of mental illness and addiction.  GPRA performance monitoring, and training on that monitoring, are collaborative and cooperative aspects of this process.</w:t>
      </w:r>
    </w:p>
    <w:p w14:paraId="762338EF" w14:textId="77777777" w:rsidR="00A66FA7" w:rsidRDefault="00A66FA7" w:rsidP="00D55063">
      <w:pPr>
        <w:tabs>
          <w:tab w:val="left" w:pos="-539"/>
        </w:tabs>
      </w:pPr>
    </w:p>
    <w:p w14:paraId="6404D468" w14:textId="6DA99071" w:rsidR="00173157" w:rsidRPr="00173157" w:rsidRDefault="08D86D12">
      <w:pPr>
        <w:rPr>
          <w:b/>
        </w:rPr>
      </w:pPr>
      <w:r w:rsidRPr="08D86D12">
        <w:rPr>
          <w:b/>
          <w:bCs/>
        </w:rPr>
        <w:t>C.  Overview of Methods to Collect Information</w:t>
      </w:r>
    </w:p>
    <w:p w14:paraId="285589CD" w14:textId="3C55A428" w:rsidR="00173157" w:rsidRPr="00B615E0" w:rsidRDefault="08D86D12">
      <w:pPr>
        <w:rPr>
          <w:b/>
        </w:rPr>
      </w:pPr>
      <w:r w:rsidRPr="08D86D12">
        <w:rPr>
          <w:b/>
          <w:bCs/>
        </w:rPr>
        <w:t>1.</w:t>
      </w:r>
      <w:r w:rsidR="004E3527">
        <w:rPr>
          <w:b/>
          <w:bCs/>
        </w:rPr>
        <w:t xml:space="preserve">  </w:t>
      </w:r>
      <w:r w:rsidRPr="08D86D12">
        <w:rPr>
          <w:b/>
          <w:bCs/>
        </w:rPr>
        <w:t>Data Collection Method</w:t>
      </w:r>
    </w:p>
    <w:p w14:paraId="74944626" w14:textId="46D88A6D" w:rsidR="00D55063" w:rsidRPr="00DA50E7" w:rsidRDefault="00D55063" w:rsidP="00D55063">
      <w:pPr>
        <w:numPr>
          <w:ilvl w:val="12"/>
          <w:numId w:val="0"/>
        </w:numPr>
        <w:tabs>
          <w:tab w:val="left" w:pos="-539"/>
        </w:tabs>
      </w:pPr>
      <w:r w:rsidRPr="00DA50E7">
        <w:t xml:space="preserve">CBHSQ’s mission, through the GDTA contract, is to provide SAMHSA grantees with the most informative and useful training and </w:t>
      </w:r>
      <w:r w:rsidR="00EA1348">
        <w:t>TA</w:t>
      </w:r>
      <w:r w:rsidRPr="00DA50E7">
        <w:t xml:space="preserve"> possible, in order for grantees to use their GPRA data to improve their performance.  To determine what is informative and useful, CBHSQ will conduct an eight-question Learning Community Survey of SAMHSA-funded grantees who are </w:t>
      </w:r>
      <w:r w:rsidRPr="00DA50E7">
        <w:lastRenderedPageBreak/>
        <w:t xml:space="preserve">participating in GDTA Learning Communities.  Data collected from this Learning Community Survey will be used by CBHSQ and the GDTA contract to continually improve and tailor the Learning Communities.  </w:t>
      </w:r>
    </w:p>
    <w:p w14:paraId="77542759" w14:textId="788022BA" w:rsidR="00C2738D" w:rsidRDefault="08D86D12" w:rsidP="00D55063">
      <w:pPr>
        <w:tabs>
          <w:tab w:val="left" w:pos="-539"/>
        </w:tabs>
      </w:pPr>
      <w:r>
        <w:t xml:space="preserve">Surveys will include eight questions.  The first question asks respondents to identify the areas in which they increased their understanding.  The second question asks which Learning Community focus areas the respondent participated in:  building a culture of evidence; institutionalizing performance improvement with data; data collection and data quality standards; data integration and data reporting; and data use and data visualization.  Questions 3-7 ask about the objectives of the Learning Communities; participants will only complete the questions for the Learning Communities that they indicated in Question 2.  Questions 3-7 read:  “As a result of </w:t>
      </w:r>
      <w:r w:rsidRPr="08D86D12">
        <w:rPr>
          <w:b/>
          <w:bCs/>
          <w:u w:val="single"/>
        </w:rPr>
        <w:t>participating in GDTA activities</w:t>
      </w:r>
      <w:r>
        <w:t xml:space="preserve"> over the </w:t>
      </w:r>
      <w:r w:rsidRPr="08D86D12">
        <w:rPr>
          <w:b/>
          <w:bCs/>
          <w:u w:val="single"/>
        </w:rPr>
        <w:t>past six months</w:t>
      </w:r>
      <w:r w:rsidRPr="08D86D12">
        <w:rPr>
          <w:u w:val="single"/>
        </w:rPr>
        <w:t>,</w:t>
      </w:r>
      <w:r>
        <w:t xml:space="preserve"> has your organization…” followed by the specific learning objectives for that topic area (e.g., “Increased its capacity to measure the relative impact of agency/program services?”).  The response options are “yes,” “no,” and “don’t know/not sure.”  The final question asks respondents to indicate their agreement or disagreement with three statements regarding the Learning Communities (e.g., “The Learning Community presented ideas that are useful to me in my current job.”).  Response options consist of five scoring elements with a Likert scale from “strongly agree” to “strongly disagree.”</w:t>
      </w:r>
    </w:p>
    <w:p w14:paraId="404C27FA" w14:textId="77777777" w:rsidR="00A66FA7" w:rsidRPr="00D55063" w:rsidRDefault="00A66FA7" w:rsidP="00D55063">
      <w:pPr>
        <w:tabs>
          <w:tab w:val="left" w:pos="-539"/>
        </w:tabs>
        <w:rPr>
          <w:i/>
          <w:u w:val="single"/>
        </w:rPr>
      </w:pPr>
    </w:p>
    <w:p w14:paraId="727671CC" w14:textId="3C8763FB" w:rsidR="00C2738D" w:rsidRPr="00B615E0" w:rsidRDefault="08D86D12">
      <w:pPr>
        <w:rPr>
          <w:b/>
        </w:rPr>
      </w:pPr>
      <w:r w:rsidRPr="08D86D12">
        <w:rPr>
          <w:b/>
          <w:bCs/>
        </w:rPr>
        <w:t>2.</w:t>
      </w:r>
      <w:r w:rsidR="004E3527">
        <w:rPr>
          <w:b/>
          <w:bCs/>
        </w:rPr>
        <w:t xml:space="preserve">  </w:t>
      </w:r>
      <w:r w:rsidRPr="08D86D12">
        <w:rPr>
          <w:b/>
          <w:bCs/>
        </w:rPr>
        <w:t>Method for Identifying Respondents</w:t>
      </w:r>
    </w:p>
    <w:p w14:paraId="44F891AD" w14:textId="77777777" w:rsidR="00C2738D" w:rsidRDefault="001E3DDE">
      <w:r>
        <w:t xml:space="preserve">Respondents are limited to </w:t>
      </w:r>
      <w:r w:rsidRPr="00DA50E7">
        <w:t>SAMHSA-funded grantees who are participating in GDTA Learning Communities</w:t>
      </w:r>
      <w:r>
        <w:t xml:space="preserve"> for at least six months.  The organization of the Learning Communities permits identification of members and therefore the distribution of survey materials via their contact information.</w:t>
      </w:r>
    </w:p>
    <w:p w14:paraId="0EF9695A" w14:textId="7079E657" w:rsidR="00B615E0" w:rsidRDefault="00B615E0" w:rsidP="00B615E0">
      <w:pPr>
        <w:numPr>
          <w:ilvl w:val="12"/>
          <w:numId w:val="0"/>
        </w:numPr>
        <w:tabs>
          <w:tab w:val="left" w:pos="-539"/>
        </w:tabs>
      </w:pPr>
      <w:r w:rsidRPr="00DA50E7">
        <w:t xml:space="preserve">Respondents will receive an email from the GDTA contractor that invites them to participate and includes a link to the survey [Attachment B].  When respondents have completed the survey, they will electronically submit their answers in </w:t>
      </w:r>
      <w:proofErr w:type="spellStart"/>
      <w:r w:rsidRPr="00DA50E7">
        <w:t>SurveyMonkey</w:t>
      </w:r>
      <w:proofErr w:type="spellEnd"/>
      <w:r w:rsidR="008D5D1A">
        <w:t xml:space="preserve"> (http://www.surveymonkey.com)</w:t>
      </w:r>
      <w:r w:rsidRPr="00DA50E7">
        <w:t>.  SAMHSA expects almost all responses to be submitted electronically.  There will be no requirements for respondents to maintain or save any data onto their local computers.</w:t>
      </w:r>
    </w:p>
    <w:p w14:paraId="7C9687C9" w14:textId="77777777" w:rsidR="00A66FA7" w:rsidRDefault="00A66FA7" w:rsidP="00B615E0">
      <w:pPr>
        <w:numPr>
          <w:ilvl w:val="12"/>
          <w:numId w:val="0"/>
        </w:numPr>
        <w:tabs>
          <w:tab w:val="left" w:pos="-539"/>
        </w:tabs>
      </w:pPr>
    </w:p>
    <w:p w14:paraId="114B4A76" w14:textId="311358AB" w:rsidR="00C2738D" w:rsidRPr="00B615E0" w:rsidRDefault="08D86D12">
      <w:pPr>
        <w:rPr>
          <w:b/>
        </w:rPr>
      </w:pPr>
      <w:r w:rsidRPr="08D86D12">
        <w:rPr>
          <w:b/>
          <w:bCs/>
        </w:rPr>
        <w:t>3.</w:t>
      </w:r>
      <w:r w:rsidR="004E3527">
        <w:rPr>
          <w:b/>
          <w:bCs/>
        </w:rPr>
        <w:t xml:space="preserve">  </w:t>
      </w:r>
      <w:r w:rsidRPr="08D86D12">
        <w:rPr>
          <w:b/>
          <w:bCs/>
        </w:rPr>
        <w:t>Proposed Sample Size and Rationale</w:t>
      </w:r>
    </w:p>
    <w:p w14:paraId="10743D27" w14:textId="2CB9E375" w:rsidR="00C2738D" w:rsidRDefault="005C3894">
      <w:r>
        <w:t xml:space="preserve">The GDTA </w:t>
      </w:r>
      <w:r w:rsidR="00B721BA">
        <w:t>propose</w:t>
      </w:r>
      <w:r>
        <w:t>s</w:t>
      </w:r>
      <w:r w:rsidR="00B721BA">
        <w:t xml:space="preserve"> to collect data from up to 250 Learning Community participants at six-month intervals.  This is based on the anticipated number of participants and the need to collect periodic follow-up information.</w:t>
      </w:r>
    </w:p>
    <w:p w14:paraId="46853A6A" w14:textId="77777777" w:rsidR="00A66FA7" w:rsidRDefault="00A66FA7"/>
    <w:p w14:paraId="565AC20E" w14:textId="4E3D72B5" w:rsidR="00C2738D" w:rsidRPr="00B615E0" w:rsidRDefault="08D86D12">
      <w:pPr>
        <w:rPr>
          <w:b/>
        </w:rPr>
      </w:pPr>
      <w:r w:rsidRPr="08D86D12">
        <w:rPr>
          <w:b/>
          <w:bCs/>
        </w:rPr>
        <w:t>4.</w:t>
      </w:r>
      <w:r w:rsidR="004E3527">
        <w:rPr>
          <w:b/>
          <w:bCs/>
        </w:rPr>
        <w:t xml:space="preserve">  </w:t>
      </w:r>
      <w:r w:rsidRPr="08D86D12">
        <w:rPr>
          <w:b/>
          <w:bCs/>
        </w:rPr>
        <w:t>Planned Frequency of Information Collection</w:t>
      </w:r>
    </w:p>
    <w:p w14:paraId="72D37876" w14:textId="712B9846" w:rsidR="00C2738D" w:rsidRDefault="08D86D12" w:rsidP="08D86D12">
      <w:pPr>
        <w:tabs>
          <w:tab w:val="left" w:pos="-539"/>
        </w:tabs>
      </w:pPr>
      <w:r>
        <w:t xml:space="preserve">The Learning Community Survey is voluntary, and each respondent is asked to respond to the survey only after a minimum of six months of participation in Learning Community events.  Individual respondents should expect to be contacted no more than twice per year for each Learning Community.  If these data are not collected, the GDTA contract will not be able to create targeted training and TA that is the most useful and informative to grantees.  If these data are not collected continually as members receive training and TA by joining and participating in </w:t>
      </w:r>
      <w:r>
        <w:lastRenderedPageBreak/>
        <w:t>Learning Communities, the GDTA contract may produce training and TA products that are not on-target with the grantees’ current needs.</w:t>
      </w:r>
    </w:p>
    <w:p w14:paraId="12D0EAFA" w14:textId="77777777" w:rsidR="00A66FA7" w:rsidRDefault="00A66FA7" w:rsidP="08D86D12">
      <w:pPr>
        <w:tabs>
          <w:tab w:val="left" w:pos="-539"/>
        </w:tabs>
      </w:pPr>
    </w:p>
    <w:p w14:paraId="025FE134" w14:textId="26667ABF" w:rsidR="08D86D12" w:rsidRDefault="08D86D12">
      <w:r w:rsidRPr="08D86D12">
        <w:rPr>
          <w:b/>
          <w:bCs/>
        </w:rPr>
        <w:t>5.</w:t>
      </w:r>
      <w:r w:rsidR="004E3527">
        <w:rPr>
          <w:b/>
          <w:bCs/>
        </w:rPr>
        <w:t xml:space="preserve">  </w:t>
      </w:r>
      <w:r w:rsidRPr="08D86D12">
        <w:rPr>
          <w:b/>
          <w:bCs/>
        </w:rPr>
        <w:t>Methods for Identifying Duplications</w:t>
      </w:r>
    </w:p>
    <w:p w14:paraId="24D40488" w14:textId="2A82A722" w:rsidR="08D86D12" w:rsidRDefault="007862E0" w:rsidP="08D86D12">
      <w:r>
        <w:t>The information collected through this survey is unique to this program and not available elsewhere.</w:t>
      </w:r>
    </w:p>
    <w:p w14:paraId="71528C54" w14:textId="77777777" w:rsidR="007862E0" w:rsidRDefault="007862E0" w:rsidP="08D86D12"/>
    <w:p w14:paraId="35C13DDB" w14:textId="447FC7EE" w:rsidR="00C2738D" w:rsidRPr="00B615E0" w:rsidRDefault="00C2738D">
      <w:pPr>
        <w:rPr>
          <w:b/>
        </w:rPr>
      </w:pPr>
      <w:r w:rsidRPr="08D86D12">
        <w:rPr>
          <w:b/>
          <w:bCs/>
        </w:rPr>
        <w:t>6.</w:t>
      </w:r>
      <w:r w:rsidR="004E3527">
        <w:rPr>
          <w:b/>
          <w:bCs/>
        </w:rPr>
        <w:t xml:space="preserve">  </w:t>
      </w:r>
      <w:r w:rsidRPr="08D86D12">
        <w:rPr>
          <w:b/>
          <w:bCs/>
        </w:rPr>
        <w:t xml:space="preserve">Time Period </w:t>
      </w:r>
      <w:proofErr w:type="gramStart"/>
      <w:r w:rsidR="008D5D1A" w:rsidRPr="08D86D12">
        <w:rPr>
          <w:b/>
          <w:bCs/>
        </w:rPr>
        <w:t>O</w:t>
      </w:r>
      <w:r w:rsidRPr="08D86D12">
        <w:rPr>
          <w:b/>
          <w:bCs/>
        </w:rPr>
        <w:t>ver</w:t>
      </w:r>
      <w:proofErr w:type="gramEnd"/>
      <w:r w:rsidRPr="08D86D12">
        <w:rPr>
          <w:b/>
          <w:bCs/>
        </w:rPr>
        <w:t xml:space="preserve"> </w:t>
      </w:r>
      <w:r w:rsidR="008D5D1A" w:rsidRPr="08D86D12">
        <w:rPr>
          <w:b/>
          <w:bCs/>
        </w:rPr>
        <w:t>W</w:t>
      </w:r>
      <w:r w:rsidRPr="08D86D12">
        <w:rPr>
          <w:b/>
          <w:bCs/>
        </w:rPr>
        <w:t>hich Information Will Be Collected</w:t>
      </w:r>
    </w:p>
    <w:p w14:paraId="516EBF1E" w14:textId="1CBAC9A2" w:rsidR="00C2738D" w:rsidRDefault="00710D4F">
      <w:r>
        <w:t>Data will be collected</w:t>
      </w:r>
      <w:r w:rsidR="003775FE">
        <w:t xml:space="preserve"> following the clearance of the instrument,</w:t>
      </w:r>
      <w:r>
        <w:t xml:space="preserve"> starting no sooner than six months following the establishment of the first Learning Communit</w:t>
      </w:r>
      <w:r w:rsidR="008316EF">
        <w:t>y</w:t>
      </w:r>
      <w:r>
        <w:t xml:space="preserve"> and continue throughout </w:t>
      </w:r>
      <w:r w:rsidR="00101B80">
        <w:t>2016</w:t>
      </w:r>
      <w:r>
        <w:t>.</w:t>
      </w:r>
    </w:p>
    <w:p w14:paraId="307BF8AF" w14:textId="77777777" w:rsidR="00A66FA7" w:rsidRDefault="00A66FA7"/>
    <w:p w14:paraId="20A6C375" w14:textId="7525C76E" w:rsidR="00C2738D" w:rsidRPr="00B615E0" w:rsidRDefault="00C2738D">
      <w:pPr>
        <w:rPr>
          <w:b/>
        </w:rPr>
      </w:pPr>
      <w:r w:rsidRPr="08D86D12">
        <w:rPr>
          <w:b/>
          <w:bCs/>
        </w:rPr>
        <w:t>7.</w:t>
      </w:r>
      <w:r w:rsidR="004E3527">
        <w:rPr>
          <w:b/>
          <w:bCs/>
        </w:rPr>
        <w:t xml:space="preserve">  </w:t>
      </w:r>
      <w:r w:rsidRPr="08D86D12">
        <w:rPr>
          <w:b/>
          <w:bCs/>
        </w:rPr>
        <w:t xml:space="preserve">Expected Response Rate and Plan for Follow-up of </w:t>
      </w:r>
      <w:proofErr w:type="spellStart"/>
      <w:r w:rsidR="008D5D1A" w:rsidRPr="08D86D12">
        <w:rPr>
          <w:b/>
          <w:bCs/>
        </w:rPr>
        <w:t>Nonr</w:t>
      </w:r>
      <w:r w:rsidRPr="08D86D12">
        <w:rPr>
          <w:b/>
          <w:bCs/>
        </w:rPr>
        <w:t>espondents</w:t>
      </w:r>
      <w:proofErr w:type="spellEnd"/>
    </w:p>
    <w:p w14:paraId="38A52603" w14:textId="4AEAB032" w:rsidR="00C2738D" w:rsidRDefault="08D86D12">
      <w:r>
        <w:t xml:space="preserve">A response rate of 40 to 60 percent is expected.  GDTA’s approach to maximizing response rates is to provide two reminders to respondents throughout the time allotted for answering the survey (anticipated to be one month).  SAMHSA is employing the Learning Community member roster as an outreach database with contact information for each participant, as well as event information, in order to email and partially pre-populate the surveys.  SAMHSA will use the same database (cross-referenced against data on returned surveys in research.net) to email reminders one week and four weeks after initial distribution for any outstanding surveys.  </w:t>
      </w:r>
    </w:p>
    <w:p w14:paraId="39F4C81A" w14:textId="77777777" w:rsidR="00A66FA7" w:rsidRDefault="00A66FA7"/>
    <w:p w14:paraId="32B01802" w14:textId="4560BC39" w:rsidR="00C2738D" w:rsidRPr="00B615E0" w:rsidRDefault="08D86D12">
      <w:pPr>
        <w:rPr>
          <w:b/>
        </w:rPr>
      </w:pPr>
      <w:r w:rsidRPr="08D86D12">
        <w:rPr>
          <w:b/>
          <w:bCs/>
        </w:rPr>
        <w:t>8.</w:t>
      </w:r>
      <w:r w:rsidR="004E3527">
        <w:rPr>
          <w:b/>
          <w:bCs/>
        </w:rPr>
        <w:t xml:space="preserve">  </w:t>
      </w:r>
      <w:r w:rsidRPr="08D86D12">
        <w:rPr>
          <w:b/>
          <w:bCs/>
        </w:rPr>
        <w:t>Expected Ability to Assess Non-Response Bias Using Existing Information</w:t>
      </w:r>
    </w:p>
    <w:p w14:paraId="2895D32E" w14:textId="6C7526A5" w:rsidR="002422B7" w:rsidRDefault="002422B7" w:rsidP="002422B7">
      <w:r>
        <w:t xml:space="preserve">It is </w:t>
      </w:r>
      <w:r w:rsidR="007862E0">
        <w:t>the GDTA’s</w:t>
      </w:r>
      <w:r w:rsidR="005C3894">
        <w:t xml:space="preserve"> </w:t>
      </w:r>
      <w:r>
        <w:t xml:space="preserve">current expectation that applications of the Learning Community Survey will not be amenable to an analysis of potential nonresponse bias unless Learning Community membership is large, defined as containing 100 or more members in an individual group.  </w:t>
      </w:r>
    </w:p>
    <w:p w14:paraId="16D34602" w14:textId="77777777" w:rsidR="00C2738D" w:rsidRDefault="002422B7" w:rsidP="002422B7">
      <w:r>
        <w:t>The primary analysis of nonresponse bias would take the form of either chi-squared analyses or logistic regressions to determine whether nonresponse is statistically independent of the characteristics of grantees or SAMHSA staff that are observable at the sampling stage.  In the regression specifications, an indicator variable for nonresponse would serve as the dependent variable.</w:t>
      </w:r>
    </w:p>
    <w:p w14:paraId="0EA5FC3A" w14:textId="77777777" w:rsidR="00A66FA7" w:rsidRDefault="00A66FA7" w:rsidP="002422B7"/>
    <w:p w14:paraId="42317A57" w14:textId="2B21BAE3" w:rsidR="00C2738D" w:rsidRPr="00B615E0" w:rsidRDefault="08D86D12">
      <w:pPr>
        <w:rPr>
          <w:b/>
        </w:rPr>
      </w:pPr>
      <w:r w:rsidRPr="08D86D12">
        <w:rPr>
          <w:b/>
          <w:bCs/>
        </w:rPr>
        <w:t>9.</w:t>
      </w:r>
      <w:r w:rsidR="004E3527">
        <w:rPr>
          <w:b/>
          <w:bCs/>
        </w:rPr>
        <w:t xml:space="preserve">  </w:t>
      </w:r>
      <w:r w:rsidRPr="08D86D12">
        <w:rPr>
          <w:b/>
          <w:bCs/>
        </w:rPr>
        <w:t>Methods Used to Maintain Customer Privacy</w:t>
      </w:r>
    </w:p>
    <w:p w14:paraId="7F2F3D9C" w14:textId="77777777" w:rsidR="00C2738D" w:rsidRDefault="00710D4F" w:rsidP="00710D4F">
      <w:pPr>
        <w:numPr>
          <w:ilvl w:val="12"/>
          <w:numId w:val="0"/>
        </w:numPr>
        <w:tabs>
          <w:tab w:val="left" w:pos="-539"/>
        </w:tabs>
      </w:pPr>
      <w:r w:rsidRPr="00DA50E7">
        <w:t>This data collection will not include personal identifiers.  As previously mentioned, SAMHSA will use the email addresses of grantees to distribute the surveys and pre-populate answers such as event title and type, but this information will not be included in the resulting analytical data set.</w:t>
      </w:r>
      <w:r>
        <w:t xml:space="preserve">  Other information in the database, such as Center and program, will be used for analysis but will not be used to identify individual respondents.</w:t>
      </w:r>
    </w:p>
    <w:p w14:paraId="4F8CE3E7" w14:textId="77777777" w:rsidR="00A66FA7" w:rsidRDefault="00A66FA7" w:rsidP="00710D4F">
      <w:pPr>
        <w:numPr>
          <w:ilvl w:val="12"/>
          <w:numId w:val="0"/>
        </w:numPr>
        <w:tabs>
          <w:tab w:val="left" w:pos="-539"/>
        </w:tabs>
      </w:pPr>
    </w:p>
    <w:p w14:paraId="5E2779D8" w14:textId="77777777" w:rsidR="00A66FA7" w:rsidRDefault="00A66FA7" w:rsidP="00710D4F">
      <w:pPr>
        <w:numPr>
          <w:ilvl w:val="12"/>
          <w:numId w:val="0"/>
        </w:numPr>
        <w:tabs>
          <w:tab w:val="left" w:pos="-539"/>
        </w:tabs>
      </w:pPr>
    </w:p>
    <w:p w14:paraId="2B7A3B9F" w14:textId="77777777" w:rsidR="00A66FA7" w:rsidRDefault="00A66FA7" w:rsidP="00710D4F">
      <w:pPr>
        <w:numPr>
          <w:ilvl w:val="12"/>
          <w:numId w:val="0"/>
        </w:numPr>
        <w:tabs>
          <w:tab w:val="left" w:pos="-539"/>
        </w:tabs>
      </w:pPr>
    </w:p>
    <w:p w14:paraId="0B4E08AC" w14:textId="77777777" w:rsidR="00A66FA7" w:rsidRDefault="00A66FA7" w:rsidP="00710D4F">
      <w:pPr>
        <w:numPr>
          <w:ilvl w:val="12"/>
          <w:numId w:val="0"/>
        </w:numPr>
        <w:tabs>
          <w:tab w:val="left" w:pos="-539"/>
        </w:tabs>
      </w:pPr>
    </w:p>
    <w:p w14:paraId="525B79FD" w14:textId="77777777" w:rsidR="00173157" w:rsidRPr="00173157" w:rsidRDefault="00173157">
      <w:pPr>
        <w:rPr>
          <w:b/>
        </w:rPr>
      </w:pPr>
      <w:r w:rsidRPr="00173157">
        <w:rPr>
          <w:b/>
        </w:rPr>
        <w:t>D.  Annual Response Burden Estimate</w:t>
      </w:r>
    </w:p>
    <w:p w14:paraId="1A63C38B" w14:textId="0DE63176" w:rsidR="00710D4F" w:rsidRPr="00DA50E7" w:rsidRDefault="00710D4F" w:rsidP="00710D4F">
      <w:pPr>
        <w:numPr>
          <w:ilvl w:val="12"/>
          <w:numId w:val="0"/>
        </w:numPr>
        <w:tabs>
          <w:tab w:val="left" w:pos="-471"/>
        </w:tabs>
      </w:pPr>
      <w:r w:rsidRPr="00DA50E7">
        <w:t xml:space="preserve">CBHSQ expects the universe of respondents to be Learning Community event attendees from every SAMHSA-funded grant that will be served by the GDTA contract, as well as SAMHSA staff who will also be served by </w:t>
      </w:r>
      <w:r w:rsidR="00EA1348">
        <w:t>TA</w:t>
      </w:r>
      <w:r w:rsidRPr="00DA50E7">
        <w:t xml:space="preserve"> and training.  </w:t>
      </w:r>
      <w:r w:rsidR="00101B80">
        <w:t>GDTA</w:t>
      </w:r>
      <w:r w:rsidR="00101B80" w:rsidRPr="00DA50E7">
        <w:t xml:space="preserve"> </w:t>
      </w:r>
      <w:r w:rsidRPr="00DA50E7">
        <w:t>ha</w:t>
      </w:r>
      <w:r w:rsidR="00101B80">
        <w:t>s</w:t>
      </w:r>
      <w:r w:rsidRPr="00DA50E7">
        <w:t xml:space="preserve"> estimated </w:t>
      </w:r>
      <w:r w:rsidR="007D2885">
        <w:t>250 participants responding twice at six-month intervals, resulting in a total of 500 responses</w:t>
      </w:r>
      <w:r w:rsidRPr="00DA50E7">
        <w:t xml:space="preserve">.  </w:t>
      </w:r>
      <w:r>
        <w:t>T</w:t>
      </w:r>
      <w:r w:rsidRPr="00DA50E7">
        <w:t>he average</w:t>
      </w:r>
      <w:r>
        <w:t xml:space="preserve"> estimated</w:t>
      </w:r>
      <w:r w:rsidRPr="00DA50E7">
        <w:t xml:space="preserve"> response time per participant </w:t>
      </w:r>
      <w:r>
        <w:t>is</w:t>
      </w:r>
      <w:r w:rsidRPr="00DA50E7">
        <w:t xml:space="preserve"> </w:t>
      </w:r>
      <w:r w:rsidR="007D2885">
        <w:t>10</w:t>
      </w:r>
      <w:r w:rsidR="007D2885" w:rsidRPr="00DA50E7">
        <w:t xml:space="preserve"> </w:t>
      </w:r>
      <w:r w:rsidRPr="00DA50E7">
        <w:t>minutes, which is 0.</w:t>
      </w:r>
      <w:r w:rsidR="007D2885">
        <w:t>17</w:t>
      </w:r>
      <w:r w:rsidR="007D2885" w:rsidRPr="00DA50E7">
        <w:t xml:space="preserve"> </w:t>
      </w:r>
      <w:r w:rsidRPr="00DA50E7">
        <w:t xml:space="preserve">hours. </w:t>
      </w:r>
    </w:p>
    <w:p w14:paraId="00515CCE" w14:textId="77777777" w:rsidR="00710D4F" w:rsidRPr="00DA50E7" w:rsidRDefault="00710D4F" w:rsidP="00710D4F">
      <w:pPr>
        <w:numPr>
          <w:ilvl w:val="12"/>
          <w:numId w:val="0"/>
        </w:numPr>
        <w:tabs>
          <w:tab w:val="left" w:pos="-471"/>
        </w:tabs>
      </w:pPr>
    </w:p>
    <w:tbl>
      <w:tblPr>
        <w:tblW w:w="9870" w:type="dxa"/>
        <w:tblInd w:w="100" w:type="dxa"/>
        <w:tblLayout w:type="fixed"/>
        <w:tblCellMar>
          <w:left w:w="100" w:type="dxa"/>
          <w:right w:w="100" w:type="dxa"/>
        </w:tblCellMar>
        <w:tblLook w:val="0000" w:firstRow="0" w:lastRow="0" w:firstColumn="0" w:lastColumn="0" w:noHBand="0" w:noVBand="0"/>
      </w:tblPr>
      <w:tblGrid>
        <w:gridCol w:w="1560"/>
        <w:gridCol w:w="1530"/>
        <w:gridCol w:w="1350"/>
        <w:gridCol w:w="1245"/>
        <w:gridCol w:w="1125"/>
        <w:gridCol w:w="975"/>
        <w:gridCol w:w="900"/>
        <w:gridCol w:w="1185"/>
      </w:tblGrid>
      <w:tr w:rsidR="00710D4F" w:rsidRPr="00DA50E7" w14:paraId="339C2EDE" w14:textId="77777777" w:rsidTr="08D86D12">
        <w:trPr>
          <w:cantSplit/>
        </w:trPr>
        <w:tc>
          <w:tcPr>
            <w:tcW w:w="1560" w:type="dxa"/>
            <w:tcBorders>
              <w:top w:val="single" w:sz="6" w:space="0" w:color="000000" w:themeColor="text1"/>
              <w:left w:val="single" w:sz="6" w:space="0" w:color="000000" w:themeColor="text1"/>
              <w:bottom w:val="single" w:sz="4" w:space="0" w:color="auto"/>
            </w:tcBorders>
          </w:tcPr>
          <w:p w14:paraId="4C61EBE1" w14:textId="6D2FF38C" w:rsidR="00710D4F" w:rsidRPr="00DA50E7" w:rsidRDefault="08D86D12" w:rsidP="08D86D12">
            <w:pPr>
              <w:tabs>
                <w:tab w:val="left" w:pos="-471"/>
              </w:tabs>
              <w:spacing w:before="100" w:after="52"/>
            </w:pPr>
            <w:r>
              <w:t>Survey Name</w:t>
            </w:r>
          </w:p>
        </w:tc>
        <w:tc>
          <w:tcPr>
            <w:tcW w:w="1530" w:type="dxa"/>
            <w:tcBorders>
              <w:top w:val="single" w:sz="6" w:space="0" w:color="000000" w:themeColor="text1"/>
              <w:left w:val="single" w:sz="6" w:space="0" w:color="000000" w:themeColor="text1"/>
              <w:bottom w:val="single" w:sz="4" w:space="0" w:color="auto"/>
            </w:tcBorders>
          </w:tcPr>
          <w:p w14:paraId="63A2F48C" w14:textId="77777777" w:rsidR="00710D4F" w:rsidRPr="00DA50E7" w:rsidRDefault="00710D4F" w:rsidP="008D5D1A">
            <w:pPr>
              <w:numPr>
                <w:ilvl w:val="12"/>
                <w:numId w:val="0"/>
              </w:numPr>
              <w:tabs>
                <w:tab w:val="left" w:pos="-471"/>
              </w:tabs>
              <w:spacing w:before="100" w:after="52"/>
            </w:pPr>
            <w:r w:rsidRPr="00DA50E7">
              <w:t>Number of Respondents</w:t>
            </w:r>
          </w:p>
        </w:tc>
        <w:tc>
          <w:tcPr>
            <w:tcW w:w="1350" w:type="dxa"/>
            <w:tcBorders>
              <w:top w:val="single" w:sz="6" w:space="0" w:color="000000" w:themeColor="text1"/>
              <w:left w:val="single" w:sz="6" w:space="0" w:color="000000" w:themeColor="text1"/>
              <w:bottom w:val="single" w:sz="4" w:space="0" w:color="auto"/>
            </w:tcBorders>
          </w:tcPr>
          <w:p w14:paraId="7D8C96F7" w14:textId="77777777" w:rsidR="00710D4F" w:rsidRPr="00DA50E7" w:rsidRDefault="00710D4F" w:rsidP="008D5D1A">
            <w:pPr>
              <w:numPr>
                <w:ilvl w:val="12"/>
                <w:numId w:val="0"/>
              </w:numPr>
              <w:tabs>
                <w:tab w:val="left" w:pos="-471"/>
              </w:tabs>
              <w:spacing w:before="100" w:after="52"/>
            </w:pPr>
            <w:r w:rsidRPr="00DA50E7">
              <w:t>Responses per Respondent</w:t>
            </w:r>
          </w:p>
        </w:tc>
        <w:tc>
          <w:tcPr>
            <w:tcW w:w="1245" w:type="dxa"/>
            <w:tcBorders>
              <w:top w:val="single" w:sz="6" w:space="0" w:color="000000" w:themeColor="text1"/>
              <w:left w:val="single" w:sz="6" w:space="0" w:color="000000" w:themeColor="text1"/>
              <w:bottom w:val="single" w:sz="4" w:space="0" w:color="auto"/>
            </w:tcBorders>
          </w:tcPr>
          <w:p w14:paraId="15888874" w14:textId="77777777" w:rsidR="00710D4F" w:rsidRPr="00DA50E7" w:rsidRDefault="00710D4F" w:rsidP="008D5D1A">
            <w:pPr>
              <w:numPr>
                <w:ilvl w:val="12"/>
                <w:numId w:val="0"/>
              </w:numPr>
              <w:tabs>
                <w:tab w:val="left" w:pos="-471"/>
              </w:tabs>
              <w:spacing w:before="100" w:after="52"/>
            </w:pPr>
            <w:r w:rsidRPr="00DA50E7">
              <w:t>Total Number of Responses</w:t>
            </w:r>
          </w:p>
        </w:tc>
        <w:tc>
          <w:tcPr>
            <w:tcW w:w="1125" w:type="dxa"/>
            <w:tcBorders>
              <w:top w:val="single" w:sz="6" w:space="0" w:color="000000" w:themeColor="text1"/>
              <w:left w:val="single" w:sz="6" w:space="0" w:color="000000" w:themeColor="text1"/>
              <w:bottom w:val="single" w:sz="4" w:space="0" w:color="auto"/>
            </w:tcBorders>
          </w:tcPr>
          <w:p w14:paraId="31E79465" w14:textId="77777777" w:rsidR="00710D4F" w:rsidRPr="00DA50E7" w:rsidRDefault="00710D4F" w:rsidP="008D5D1A">
            <w:pPr>
              <w:numPr>
                <w:ilvl w:val="12"/>
                <w:numId w:val="0"/>
              </w:numPr>
              <w:tabs>
                <w:tab w:val="left" w:pos="-471"/>
              </w:tabs>
              <w:spacing w:before="100" w:after="52"/>
            </w:pPr>
            <w:r w:rsidRPr="00DA50E7">
              <w:t>Hours per Response</w:t>
            </w:r>
          </w:p>
        </w:tc>
        <w:tc>
          <w:tcPr>
            <w:tcW w:w="975" w:type="dxa"/>
            <w:tcBorders>
              <w:top w:val="single" w:sz="6" w:space="0" w:color="000000" w:themeColor="text1"/>
              <w:left w:val="single" w:sz="6" w:space="0" w:color="000000" w:themeColor="text1"/>
              <w:bottom w:val="single" w:sz="4" w:space="0" w:color="auto"/>
            </w:tcBorders>
          </w:tcPr>
          <w:p w14:paraId="1C34C0C2" w14:textId="77777777" w:rsidR="00710D4F" w:rsidRPr="00DA50E7" w:rsidRDefault="00710D4F" w:rsidP="008D5D1A">
            <w:pPr>
              <w:numPr>
                <w:ilvl w:val="12"/>
                <w:numId w:val="0"/>
              </w:numPr>
              <w:tabs>
                <w:tab w:val="left" w:pos="-471"/>
              </w:tabs>
              <w:spacing w:before="100" w:after="52"/>
            </w:pPr>
            <w:r w:rsidRPr="00DA50E7">
              <w:t>Total Annual Hour Burden</w:t>
            </w:r>
          </w:p>
        </w:tc>
        <w:tc>
          <w:tcPr>
            <w:tcW w:w="900" w:type="dxa"/>
            <w:tcBorders>
              <w:top w:val="single" w:sz="6" w:space="0" w:color="000000" w:themeColor="text1"/>
              <w:left w:val="single" w:sz="6" w:space="0" w:color="000000" w:themeColor="text1"/>
              <w:bottom w:val="single" w:sz="4" w:space="0" w:color="auto"/>
            </w:tcBorders>
          </w:tcPr>
          <w:p w14:paraId="2ED392B1" w14:textId="77777777" w:rsidR="00710D4F" w:rsidRPr="00DA50E7" w:rsidRDefault="00710D4F" w:rsidP="008D5D1A">
            <w:pPr>
              <w:numPr>
                <w:ilvl w:val="12"/>
                <w:numId w:val="0"/>
              </w:numPr>
              <w:tabs>
                <w:tab w:val="left" w:pos="-471"/>
              </w:tabs>
              <w:spacing w:before="100" w:after="52"/>
            </w:pPr>
            <w:r w:rsidRPr="00DA50E7">
              <w:t>Hourly Wage Cost</w:t>
            </w:r>
          </w:p>
        </w:tc>
        <w:tc>
          <w:tcPr>
            <w:tcW w:w="1185" w:type="dxa"/>
            <w:tcBorders>
              <w:top w:val="single" w:sz="6" w:space="0" w:color="000000" w:themeColor="text1"/>
              <w:left w:val="single" w:sz="6" w:space="0" w:color="000000" w:themeColor="text1"/>
              <w:bottom w:val="single" w:sz="4" w:space="0" w:color="auto"/>
              <w:right w:val="single" w:sz="6" w:space="0" w:color="000000" w:themeColor="text1"/>
            </w:tcBorders>
          </w:tcPr>
          <w:p w14:paraId="05AF5D55" w14:textId="77777777" w:rsidR="00710D4F" w:rsidRPr="00DA50E7" w:rsidRDefault="00710D4F" w:rsidP="008D5D1A">
            <w:pPr>
              <w:numPr>
                <w:ilvl w:val="12"/>
                <w:numId w:val="0"/>
              </w:numPr>
              <w:tabs>
                <w:tab w:val="left" w:pos="-471"/>
              </w:tabs>
              <w:spacing w:before="100" w:after="52"/>
            </w:pPr>
            <w:r w:rsidRPr="00DA50E7">
              <w:t>Total Annual Hour Cost ($)</w:t>
            </w:r>
          </w:p>
        </w:tc>
      </w:tr>
      <w:tr w:rsidR="00710D4F" w:rsidRPr="00DA50E7" w14:paraId="45698BA0" w14:textId="77777777" w:rsidTr="08D86D12">
        <w:trPr>
          <w:cantSplit/>
        </w:trPr>
        <w:tc>
          <w:tcPr>
            <w:tcW w:w="1560" w:type="dxa"/>
            <w:tcBorders>
              <w:top w:val="single" w:sz="4" w:space="0" w:color="auto"/>
              <w:left w:val="single" w:sz="4" w:space="0" w:color="auto"/>
              <w:bottom w:val="single" w:sz="4" w:space="0" w:color="auto"/>
              <w:right w:val="single" w:sz="4" w:space="0" w:color="auto"/>
            </w:tcBorders>
          </w:tcPr>
          <w:p w14:paraId="09BEBBD7" w14:textId="77777777" w:rsidR="00710D4F" w:rsidRPr="00DA50E7" w:rsidRDefault="00710D4F" w:rsidP="008D5D1A">
            <w:pPr>
              <w:numPr>
                <w:ilvl w:val="12"/>
                <w:numId w:val="0"/>
              </w:numPr>
              <w:tabs>
                <w:tab w:val="left" w:pos="-471"/>
              </w:tabs>
              <w:spacing w:before="100" w:after="52"/>
            </w:pPr>
            <w:r w:rsidRPr="00DA50E7">
              <w:t>Grantee Learning Community Survey</w:t>
            </w:r>
          </w:p>
        </w:tc>
        <w:tc>
          <w:tcPr>
            <w:tcW w:w="1530" w:type="dxa"/>
            <w:tcBorders>
              <w:top w:val="single" w:sz="4" w:space="0" w:color="auto"/>
              <w:left w:val="single" w:sz="4" w:space="0" w:color="auto"/>
              <w:bottom w:val="single" w:sz="4" w:space="0" w:color="auto"/>
              <w:right w:val="single" w:sz="4" w:space="0" w:color="auto"/>
            </w:tcBorders>
          </w:tcPr>
          <w:p w14:paraId="7538DBA1" w14:textId="77777777" w:rsidR="00710D4F" w:rsidRPr="00DA50E7" w:rsidRDefault="00710D4F" w:rsidP="008D5D1A">
            <w:pPr>
              <w:numPr>
                <w:ilvl w:val="12"/>
                <w:numId w:val="0"/>
              </w:numPr>
              <w:tabs>
                <w:tab w:val="left" w:pos="-471"/>
              </w:tabs>
              <w:spacing w:before="100" w:after="52"/>
              <w:jc w:val="right"/>
            </w:pPr>
            <w:r w:rsidRPr="00DA50E7">
              <w:t>250</w:t>
            </w:r>
          </w:p>
        </w:tc>
        <w:tc>
          <w:tcPr>
            <w:tcW w:w="1350" w:type="dxa"/>
            <w:tcBorders>
              <w:top w:val="single" w:sz="4" w:space="0" w:color="auto"/>
              <w:left w:val="single" w:sz="4" w:space="0" w:color="auto"/>
              <w:bottom w:val="single" w:sz="4" w:space="0" w:color="auto"/>
              <w:right w:val="single" w:sz="4" w:space="0" w:color="auto"/>
            </w:tcBorders>
          </w:tcPr>
          <w:p w14:paraId="214E95FE" w14:textId="655878A2" w:rsidR="00710D4F" w:rsidRPr="00DA50E7" w:rsidRDefault="00710D4F" w:rsidP="005C3894">
            <w:pPr>
              <w:numPr>
                <w:ilvl w:val="12"/>
                <w:numId w:val="0"/>
              </w:numPr>
              <w:tabs>
                <w:tab w:val="left" w:pos="-471"/>
              </w:tabs>
              <w:spacing w:before="100" w:after="52"/>
              <w:jc w:val="right"/>
            </w:pPr>
            <w:r w:rsidRPr="00DA50E7">
              <w:t>2</w:t>
            </w:r>
          </w:p>
        </w:tc>
        <w:tc>
          <w:tcPr>
            <w:tcW w:w="1245" w:type="dxa"/>
            <w:tcBorders>
              <w:top w:val="single" w:sz="4" w:space="0" w:color="auto"/>
              <w:left w:val="single" w:sz="4" w:space="0" w:color="auto"/>
              <w:bottom w:val="single" w:sz="4" w:space="0" w:color="auto"/>
              <w:right w:val="single" w:sz="4" w:space="0" w:color="auto"/>
            </w:tcBorders>
          </w:tcPr>
          <w:p w14:paraId="5EDCF754" w14:textId="77777777" w:rsidR="00710D4F" w:rsidRPr="00DA50E7" w:rsidRDefault="00710D4F" w:rsidP="008D5D1A">
            <w:pPr>
              <w:numPr>
                <w:ilvl w:val="12"/>
                <w:numId w:val="0"/>
              </w:numPr>
              <w:tabs>
                <w:tab w:val="left" w:pos="-471"/>
              </w:tabs>
              <w:spacing w:before="100" w:after="52"/>
              <w:jc w:val="right"/>
            </w:pPr>
            <w:r w:rsidRPr="00DA50E7">
              <w:t>500</w:t>
            </w:r>
          </w:p>
        </w:tc>
        <w:tc>
          <w:tcPr>
            <w:tcW w:w="1125" w:type="dxa"/>
            <w:tcBorders>
              <w:top w:val="single" w:sz="4" w:space="0" w:color="auto"/>
              <w:left w:val="single" w:sz="4" w:space="0" w:color="auto"/>
              <w:bottom w:val="single" w:sz="4" w:space="0" w:color="auto"/>
              <w:right w:val="single" w:sz="4" w:space="0" w:color="auto"/>
            </w:tcBorders>
          </w:tcPr>
          <w:p w14:paraId="5E094B59" w14:textId="5304229B" w:rsidR="00710D4F" w:rsidRPr="00DA50E7" w:rsidRDefault="00710D4F">
            <w:pPr>
              <w:numPr>
                <w:ilvl w:val="12"/>
                <w:numId w:val="0"/>
              </w:numPr>
              <w:tabs>
                <w:tab w:val="left" w:pos="-471"/>
              </w:tabs>
              <w:spacing w:before="100" w:after="52"/>
              <w:jc w:val="right"/>
            </w:pPr>
            <w:r w:rsidRPr="00DA50E7">
              <w:t>0.</w:t>
            </w:r>
            <w:r w:rsidR="007D2885">
              <w:t>17</w:t>
            </w:r>
          </w:p>
        </w:tc>
        <w:tc>
          <w:tcPr>
            <w:tcW w:w="975" w:type="dxa"/>
            <w:tcBorders>
              <w:top w:val="single" w:sz="4" w:space="0" w:color="auto"/>
              <w:left w:val="single" w:sz="4" w:space="0" w:color="auto"/>
              <w:bottom w:val="single" w:sz="4" w:space="0" w:color="auto"/>
              <w:right w:val="single" w:sz="4" w:space="0" w:color="auto"/>
            </w:tcBorders>
          </w:tcPr>
          <w:p w14:paraId="259C7C83" w14:textId="60B06AA0" w:rsidR="00710D4F" w:rsidRPr="00DA50E7" w:rsidRDefault="00431339" w:rsidP="008D5D1A">
            <w:pPr>
              <w:numPr>
                <w:ilvl w:val="12"/>
                <w:numId w:val="0"/>
              </w:numPr>
              <w:tabs>
                <w:tab w:val="left" w:pos="-471"/>
              </w:tabs>
              <w:spacing w:before="100" w:after="52"/>
              <w:jc w:val="right"/>
            </w:pPr>
            <w:r>
              <w:t>85</w:t>
            </w:r>
          </w:p>
        </w:tc>
        <w:tc>
          <w:tcPr>
            <w:tcW w:w="900" w:type="dxa"/>
            <w:tcBorders>
              <w:top w:val="single" w:sz="4" w:space="0" w:color="auto"/>
              <w:left w:val="single" w:sz="4" w:space="0" w:color="auto"/>
              <w:bottom w:val="single" w:sz="4" w:space="0" w:color="auto"/>
              <w:right w:val="single" w:sz="4" w:space="0" w:color="auto"/>
            </w:tcBorders>
          </w:tcPr>
          <w:p w14:paraId="7F6165A2" w14:textId="77777777" w:rsidR="00710D4F" w:rsidRPr="00DA50E7" w:rsidRDefault="00710D4F" w:rsidP="008D5D1A">
            <w:pPr>
              <w:numPr>
                <w:ilvl w:val="12"/>
                <w:numId w:val="0"/>
              </w:numPr>
              <w:tabs>
                <w:tab w:val="left" w:pos="-471"/>
              </w:tabs>
              <w:spacing w:before="100" w:after="52"/>
              <w:jc w:val="right"/>
            </w:pPr>
            <w:r w:rsidRPr="00DA50E7">
              <w:t>$37.72</w:t>
            </w:r>
          </w:p>
        </w:tc>
        <w:tc>
          <w:tcPr>
            <w:tcW w:w="1185" w:type="dxa"/>
            <w:tcBorders>
              <w:top w:val="single" w:sz="4" w:space="0" w:color="auto"/>
              <w:left w:val="single" w:sz="4" w:space="0" w:color="auto"/>
              <w:bottom w:val="single" w:sz="4" w:space="0" w:color="auto"/>
              <w:right w:val="single" w:sz="4" w:space="0" w:color="auto"/>
            </w:tcBorders>
          </w:tcPr>
          <w:p w14:paraId="5684F2F5" w14:textId="2F19A5DA" w:rsidR="00710D4F" w:rsidRPr="00DA50E7" w:rsidRDefault="00710D4F">
            <w:pPr>
              <w:numPr>
                <w:ilvl w:val="12"/>
                <w:numId w:val="0"/>
              </w:numPr>
              <w:tabs>
                <w:tab w:val="left" w:pos="-471"/>
              </w:tabs>
              <w:spacing w:before="100" w:after="52"/>
              <w:jc w:val="right"/>
            </w:pPr>
            <w:r w:rsidRPr="00DA50E7">
              <w:t>$</w:t>
            </w:r>
            <w:r w:rsidR="00431339">
              <w:t>3</w:t>
            </w:r>
            <w:r w:rsidRPr="00DA50E7">
              <w:t>,</w:t>
            </w:r>
            <w:r w:rsidR="00431339">
              <w:t>206</w:t>
            </w:r>
          </w:p>
        </w:tc>
      </w:tr>
    </w:tbl>
    <w:p w14:paraId="7D1E652B" w14:textId="77777777" w:rsidR="00710D4F" w:rsidRPr="00DA50E7" w:rsidRDefault="00710D4F" w:rsidP="00710D4F">
      <w:pPr>
        <w:numPr>
          <w:ilvl w:val="12"/>
          <w:numId w:val="0"/>
        </w:numPr>
        <w:tabs>
          <w:tab w:val="left" w:pos="-471"/>
        </w:tabs>
        <w:rPr>
          <w:b/>
          <w:bCs/>
        </w:rPr>
      </w:pPr>
    </w:p>
    <w:p w14:paraId="121C1FFB" w14:textId="2AB96A73" w:rsidR="00710D4F" w:rsidRPr="00E32B7D" w:rsidRDefault="00710D4F" w:rsidP="00EA1348">
      <w:pPr>
        <w:numPr>
          <w:ilvl w:val="12"/>
          <w:numId w:val="0"/>
        </w:numPr>
        <w:tabs>
          <w:tab w:val="left" w:pos="-471"/>
        </w:tabs>
        <w:ind w:left="270"/>
        <w:rPr>
          <w:sz w:val="20"/>
          <w:szCs w:val="20"/>
        </w:rPr>
      </w:pPr>
      <w:r w:rsidRPr="00E32B7D">
        <w:rPr>
          <w:b/>
          <w:bCs/>
          <w:sz w:val="20"/>
          <w:szCs w:val="20"/>
        </w:rPr>
        <w:t>Notes:</w:t>
      </w:r>
      <w:r w:rsidRPr="00E32B7D">
        <w:rPr>
          <w:sz w:val="20"/>
          <w:szCs w:val="20"/>
        </w:rPr>
        <w:t xml:space="preserve">  Hourly wage cost estimates are based on the Bureau of Labor Statistics “employer costs per hour worked for employee compensation and costs for state and government workers” for June 2014.  Grantee staff from clerical/data entry professionals to project directors, as well as SAMHSA professional staff, may be asked to complete the survey; therefore the “management, professional, and related” occupational group was used to produce a conservative burden estimate.  These wages are fully loaded.  Accessible here: </w:t>
      </w:r>
      <w:hyperlink r:id="rId9" w:history="1">
        <w:r w:rsidRPr="00E32B7D">
          <w:rPr>
            <w:rStyle w:val="Hyperlink"/>
            <w:sz w:val="20"/>
            <w:szCs w:val="20"/>
          </w:rPr>
          <w:t>http://www.bls.gov/news.release/ecec.t03.htm</w:t>
        </w:r>
      </w:hyperlink>
    </w:p>
    <w:p w14:paraId="297EA35F" w14:textId="77777777" w:rsidR="00A66FA7" w:rsidRDefault="00A66FA7" w:rsidP="00710D4F">
      <w:pPr>
        <w:numPr>
          <w:ilvl w:val="12"/>
          <w:numId w:val="0"/>
        </w:numPr>
        <w:tabs>
          <w:tab w:val="left" w:pos="-471"/>
        </w:tabs>
      </w:pPr>
    </w:p>
    <w:p w14:paraId="5C038F50" w14:textId="77777777" w:rsidR="00173157" w:rsidRDefault="00710D4F" w:rsidP="00710D4F">
      <w:pPr>
        <w:numPr>
          <w:ilvl w:val="12"/>
          <w:numId w:val="0"/>
        </w:numPr>
        <w:tabs>
          <w:tab w:val="left" w:pos="-471"/>
        </w:tabs>
      </w:pPr>
      <w:r w:rsidRPr="00DA50E7">
        <w:t>Although the grantees and staff being surveyed vary greatly in their program focus and organizational structure, it is not anticipated that the hour burden on respondents will vary by respondent.  There are no direct costs to respondents other than their time to participate.  There is no recordkeeping burden to respondents f</w:t>
      </w:r>
      <w:r>
        <w:t>or this data collection effort.</w:t>
      </w:r>
    </w:p>
    <w:p w14:paraId="0218028A" w14:textId="77777777" w:rsidR="00A66FA7" w:rsidRDefault="00A66FA7" w:rsidP="00710D4F">
      <w:pPr>
        <w:numPr>
          <w:ilvl w:val="12"/>
          <w:numId w:val="0"/>
        </w:numPr>
        <w:tabs>
          <w:tab w:val="left" w:pos="-471"/>
        </w:tabs>
      </w:pPr>
    </w:p>
    <w:p w14:paraId="0F9DD392" w14:textId="77777777" w:rsidR="00173157" w:rsidRPr="00173157" w:rsidRDefault="00173157">
      <w:pPr>
        <w:rPr>
          <w:b/>
        </w:rPr>
      </w:pPr>
      <w:r w:rsidRPr="00173157">
        <w:rPr>
          <w:b/>
        </w:rPr>
        <w:t>E.  Methods Used to Develop and Test the Questions</w:t>
      </w:r>
    </w:p>
    <w:p w14:paraId="34CA43E8" w14:textId="77777777" w:rsidR="00173157" w:rsidRDefault="000955CA" w:rsidP="000955CA">
      <w:pPr>
        <w:numPr>
          <w:ilvl w:val="12"/>
          <w:numId w:val="0"/>
        </w:numPr>
        <w:tabs>
          <w:tab w:val="left" w:pos="-471"/>
        </w:tabs>
        <w:rPr>
          <w:szCs w:val="24"/>
        </w:rPr>
      </w:pPr>
      <w:r>
        <w:rPr>
          <w:szCs w:val="24"/>
        </w:rPr>
        <w:t>GDTA developed the survey questions based on standard instructional design and assessment practices in accordance with Kirkpatrick’s four-level evaluation model.</w:t>
      </w:r>
    </w:p>
    <w:p w14:paraId="4E9BFA24" w14:textId="77777777" w:rsidR="002422B7" w:rsidRDefault="002422B7" w:rsidP="002422B7">
      <w:r>
        <w:t>The common measures submitted here for OMB approval are the result of lengthy consultation and discussion among SAMHSA/GDTA personnel and training staff.  SAMHSA/GDTA senior officials made the final selection of these measures.</w:t>
      </w:r>
    </w:p>
    <w:p w14:paraId="3697E15D" w14:textId="026D5D8B" w:rsidR="00A66FA7" w:rsidRDefault="00A66FA7" w:rsidP="08D86D12">
      <w:pPr>
        <w:tabs>
          <w:tab w:val="left" w:pos="1410"/>
        </w:tabs>
      </w:pPr>
    </w:p>
    <w:p w14:paraId="0F56E3C8" w14:textId="44601198" w:rsidR="08D86D12" w:rsidRDefault="08D86D12" w:rsidP="08D86D12"/>
    <w:p w14:paraId="103F3ACB" w14:textId="5A464C57" w:rsidR="00173157" w:rsidRDefault="08D86D12" w:rsidP="000955CA">
      <w:pPr>
        <w:rPr>
          <w:b/>
        </w:rPr>
      </w:pPr>
      <w:r w:rsidRPr="08D86D12">
        <w:rPr>
          <w:b/>
          <w:bCs/>
        </w:rPr>
        <w:t>F.  Consultants within SAMHSA/GDTA and Outside the Agency</w:t>
      </w:r>
    </w:p>
    <w:p w14:paraId="4872546E" w14:textId="1D4F2223" w:rsidR="007D2885" w:rsidRDefault="007D2885" w:rsidP="00CB7E08">
      <w:r>
        <w:lastRenderedPageBreak/>
        <w:t xml:space="preserve">The consultant within SAMHSA for the survey is Dr. Darren Fulmore, who also serves as the Alternate Contracting Reporting Officer (ACOR) for the GDTA contract.  Dr. </w:t>
      </w:r>
      <w:proofErr w:type="spellStart"/>
      <w:r>
        <w:t>Fulmore’s</w:t>
      </w:r>
      <w:proofErr w:type="spellEnd"/>
      <w:r>
        <w:t xml:space="preserve"> contact information is</w:t>
      </w:r>
    </w:p>
    <w:p w14:paraId="7FDD515B" w14:textId="77777777" w:rsidR="007D2885" w:rsidRPr="00CB7E08" w:rsidRDefault="007D2885" w:rsidP="00CB7E08">
      <w:pPr>
        <w:spacing w:after="0"/>
        <w:rPr>
          <w:sz w:val="18"/>
          <w:szCs w:val="18"/>
        </w:rPr>
      </w:pPr>
    </w:p>
    <w:p w14:paraId="651DDCB8" w14:textId="77777777" w:rsidR="007D2885" w:rsidRDefault="007D2885" w:rsidP="00CB7E08">
      <w:pPr>
        <w:spacing w:after="0"/>
        <w:ind w:left="720"/>
      </w:pPr>
      <w:r>
        <w:t>Darren Fulmore, Ph.D.</w:t>
      </w:r>
    </w:p>
    <w:p w14:paraId="45A97A1A" w14:textId="77777777" w:rsidR="007D2885" w:rsidRDefault="007D2885" w:rsidP="00CB7E08">
      <w:pPr>
        <w:spacing w:after="0"/>
        <w:ind w:left="720"/>
      </w:pPr>
      <w:r>
        <w:t>Grantee Data Technical Assistance</w:t>
      </w:r>
    </w:p>
    <w:p w14:paraId="11BE0992" w14:textId="77777777" w:rsidR="007D2885" w:rsidRDefault="007D2885" w:rsidP="00CB7E08">
      <w:pPr>
        <w:spacing w:after="0"/>
        <w:ind w:left="720"/>
      </w:pPr>
      <w:r>
        <w:t>Alternate Contracting Reporting Officer and CSAT Liaison</w:t>
      </w:r>
    </w:p>
    <w:p w14:paraId="4281DC83" w14:textId="77777777" w:rsidR="007D2885" w:rsidRDefault="007D2885" w:rsidP="00CB7E08">
      <w:pPr>
        <w:spacing w:after="0"/>
        <w:ind w:left="720"/>
      </w:pPr>
      <w:r>
        <w:t>SAMHSA</w:t>
      </w:r>
    </w:p>
    <w:p w14:paraId="0AF56975" w14:textId="77777777" w:rsidR="007D2885" w:rsidRPr="00653B9C" w:rsidRDefault="007D2885" w:rsidP="00CB7E08">
      <w:pPr>
        <w:spacing w:after="0"/>
        <w:ind w:left="720"/>
      </w:pPr>
      <w:r w:rsidRPr="00653B9C">
        <w:t>1 Choke Cherry Road</w:t>
      </w:r>
    </w:p>
    <w:p w14:paraId="03DB5525" w14:textId="77777777" w:rsidR="007D2885" w:rsidRPr="00653B9C" w:rsidRDefault="007D2885" w:rsidP="00CB7E08">
      <w:pPr>
        <w:spacing w:after="0"/>
        <w:ind w:left="720"/>
      </w:pPr>
      <w:r w:rsidRPr="00653B9C">
        <w:t>Rockville, MD 20850</w:t>
      </w:r>
    </w:p>
    <w:p w14:paraId="105E234B" w14:textId="77777777" w:rsidR="007D2885" w:rsidRDefault="007D2885" w:rsidP="00CB7E08">
      <w:pPr>
        <w:spacing w:after="0"/>
        <w:ind w:left="720"/>
      </w:pPr>
      <w:r>
        <w:t>(240) 276-2824</w:t>
      </w:r>
    </w:p>
    <w:p w14:paraId="067CA63A" w14:textId="77777777" w:rsidR="007D2885" w:rsidRDefault="007D2885" w:rsidP="00CB7E08">
      <w:pPr>
        <w:spacing w:after="0"/>
        <w:ind w:left="720"/>
      </w:pPr>
      <w:r>
        <w:t>Darren.fulmore@samhsa.hhs.gov</w:t>
      </w:r>
    </w:p>
    <w:p w14:paraId="3225633C" w14:textId="77777777" w:rsidR="007D2885" w:rsidRDefault="007D2885" w:rsidP="000955CA"/>
    <w:p w14:paraId="64BF43BA" w14:textId="0DA148D2" w:rsidR="000955CA" w:rsidRDefault="007862E0" w:rsidP="000955CA">
      <w:bookmarkStart w:id="0" w:name="_GoBack"/>
      <w:r>
        <w:t>The</w:t>
      </w:r>
      <w:r>
        <w:t xml:space="preserve"> </w:t>
      </w:r>
      <w:r w:rsidR="000955CA">
        <w:t xml:space="preserve">statistical </w:t>
      </w:r>
      <w:bookmarkEnd w:id="0"/>
      <w:r w:rsidR="000955CA">
        <w:t xml:space="preserve">consultant for the design is Dr. Steven Sullivan of </w:t>
      </w:r>
      <w:r w:rsidR="00E8414C">
        <w:t xml:space="preserve">The </w:t>
      </w:r>
      <w:r w:rsidR="000955CA">
        <w:t xml:space="preserve">Cloudburst Group.  Dr. Sullivan is an econometrician with a history of successful study design and implementation for SAMHSA, including the data collection and evaluation planning for the Co-occurring Disorders Integration and Innovation (CODI) contract.  He is also the lead for the data collection efforts (using </w:t>
      </w:r>
      <w:proofErr w:type="spellStart"/>
      <w:r w:rsidR="000955CA">
        <w:t>SurveyMonkey’s</w:t>
      </w:r>
      <w:proofErr w:type="spellEnd"/>
      <w:r w:rsidR="000955CA">
        <w:t xml:space="preserve"> research.net service) and the analysis of satisfaction data from the survey.  Dr. Sullivan’s contact information is</w:t>
      </w:r>
    </w:p>
    <w:p w14:paraId="276580E3" w14:textId="77777777" w:rsidR="00A66FA7" w:rsidRPr="00EA1348" w:rsidRDefault="00A66FA7" w:rsidP="00023F51">
      <w:pPr>
        <w:spacing w:after="60"/>
        <w:rPr>
          <w:sz w:val="18"/>
          <w:szCs w:val="18"/>
        </w:rPr>
      </w:pPr>
    </w:p>
    <w:p w14:paraId="18962970" w14:textId="77777777" w:rsidR="000955CA" w:rsidRDefault="000955CA" w:rsidP="00EA1348">
      <w:pPr>
        <w:spacing w:after="0"/>
        <w:ind w:left="720"/>
      </w:pPr>
      <w:r>
        <w:t>Steven T. Sullivan, Ph.D.</w:t>
      </w:r>
    </w:p>
    <w:p w14:paraId="53C0729F" w14:textId="77777777" w:rsidR="000955CA" w:rsidRDefault="000955CA" w:rsidP="00EA1348">
      <w:pPr>
        <w:spacing w:after="0"/>
        <w:ind w:left="720"/>
      </w:pPr>
      <w:r>
        <w:t>Senior Director and Subject Matter Expert</w:t>
      </w:r>
    </w:p>
    <w:p w14:paraId="18FA1BCD" w14:textId="77777777" w:rsidR="000955CA" w:rsidRDefault="000955CA" w:rsidP="00EA1348">
      <w:pPr>
        <w:spacing w:after="0"/>
        <w:ind w:left="720"/>
      </w:pPr>
      <w:r>
        <w:t>Cloudburst Consulting Group, Inc.</w:t>
      </w:r>
    </w:p>
    <w:p w14:paraId="4E093960" w14:textId="77777777" w:rsidR="000955CA" w:rsidRDefault="000955CA" w:rsidP="00EA1348">
      <w:pPr>
        <w:spacing w:after="0"/>
        <w:ind w:left="720"/>
      </w:pPr>
      <w:r>
        <w:t>8400 Corporate Drive, Suite 550</w:t>
      </w:r>
    </w:p>
    <w:p w14:paraId="52EAF0AA" w14:textId="77777777" w:rsidR="000955CA" w:rsidRDefault="000955CA" w:rsidP="00EA1348">
      <w:pPr>
        <w:spacing w:after="0"/>
        <w:ind w:left="720"/>
      </w:pPr>
      <w:r>
        <w:t>Landover, MD  20785</w:t>
      </w:r>
    </w:p>
    <w:p w14:paraId="1A1F8CF7" w14:textId="77777777" w:rsidR="000955CA" w:rsidRDefault="000955CA" w:rsidP="00EA1348">
      <w:pPr>
        <w:spacing w:after="0"/>
        <w:ind w:left="720"/>
      </w:pPr>
      <w:r>
        <w:t>(301) 385-6693</w:t>
      </w:r>
    </w:p>
    <w:p w14:paraId="476FA617" w14:textId="2B494212" w:rsidR="000955CA" w:rsidRDefault="00062CE3" w:rsidP="00CB7E08">
      <w:pPr>
        <w:spacing w:after="0"/>
        <w:ind w:left="720"/>
      </w:pPr>
      <w:hyperlink r:id="rId10" w:history="1">
        <w:r w:rsidR="00A66FA7" w:rsidRPr="00CB7E08">
          <w:t>steven.sullivan@cloudburstgroup.com</w:t>
        </w:r>
      </w:hyperlink>
    </w:p>
    <w:p w14:paraId="3E64E06E" w14:textId="77777777" w:rsidR="00A66FA7" w:rsidRPr="000955CA" w:rsidRDefault="00A66FA7" w:rsidP="000955CA"/>
    <w:p w14:paraId="21438956" w14:textId="480B6AAF" w:rsidR="00173157" w:rsidRDefault="08D86D12">
      <w:pPr>
        <w:rPr>
          <w:b/>
        </w:rPr>
      </w:pPr>
      <w:r w:rsidRPr="08D86D12">
        <w:rPr>
          <w:b/>
          <w:bCs/>
        </w:rPr>
        <w:t>G.</w:t>
      </w:r>
      <w:r w:rsidR="004E3527">
        <w:rPr>
          <w:b/>
          <w:bCs/>
        </w:rPr>
        <w:t xml:space="preserve">  </w:t>
      </w:r>
      <w:r w:rsidRPr="08D86D12">
        <w:rPr>
          <w:b/>
          <w:bCs/>
        </w:rPr>
        <w:t>List of Attachments</w:t>
      </w:r>
    </w:p>
    <w:p w14:paraId="08127B34" w14:textId="054DB18A" w:rsidR="001D6F3D" w:rsidRPr="001D6F3D" w:rsidRDefault="001D6F3D" w:rsidP="001D6F3D">
      <w:pPr>
        <w:rPr>
          <w:b/>
        </w:rPr>
      </w:pPr>
      <w:r w:rsidRPr="001D6F3D">
        <w:rPr>
          <w:b/>
        </w:rPr>
        <w:tab/>
        <w:t xml:space="preserve">Attachment A: GDTA </w:t>
      </w:r>
      <w:r>
        <w:rPr>
          <w:b/>
        </w:rPr>
        <w:t>Learning Community Survey</w:t>
      </w:r>
    </w:p>
    <w:p w14:paraId="480D4079" w14:textId="77777777" w:rsidR="001D6F3D" w:rsidRPr="001D6F3D" w:rsidRDefault="001D6F3D" w:rsidP="001D6F3D">
      <w:pPr>
        <w:rPr>
          <w:b/>
        </w:rPr>
      </w:pPr>
      <w:r w:rsidRPr="001D6F3D">
        <w:rPr>
          <w:b/>
        </w:rPr>
        <w:tab/>
        <w:t>Attachment B:  Email to respondents</w:t>
      </w:r>
    </w:p>
    <w:p w14:paraId="36F87EEF" w14:textId="3F6F3FD8" w:rsidR="000955CA" w:rsidRPr="00173157" w:rsidRDefault="001D6F3D" w:rsidP="001D6F3D">
      <w:pPr>
        <w:rPr>
          <w:b/>
        </w:rPr>
      </w:pPr>
      <w:r w:rsidRPr="001D6F3D">
        <w:rPr>
          <w:b/>
        </w:rPr>
        <w:tab/>
        <w:t>Attachment C: Screenshots of Survey</w:t>
      </w:r>
    </w:p>
    <w:sectPr w:rsidR="000955CA" w:rsidRPr="0017315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B6BAE" w14:textId="77777777" w:rsidR="00062CE3" w:rsidRDefault="00062CE3" w:rsidP="00101B80">
      <w:pPr>
        <w:spacing w:after="0"/>
      </w:pPr>
      <w:r>
        <w:separator/>
      </w:r>
    </w:p>
  </w:endnote>
  <w:endnote w:type="continuationSeparator" w:id="0">
    <w:p w14:paraId="4C0FAB84" w14:textId="77777777" w:rsidR="00062CE3" w:rsidRDefault="00062CE3" w:rsidP="00101B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670018"/>
      <w:docPartObj>
        <w:docPartGallery w:val="Page Numbers (Bottom of Page)"/>
        <w:docPartUnique/>
      </w:docPartObj>
    </w:sdtPr>
    <w:sdtEndPr>
      <w:rPr>
        <w:rFonts w:ascii="Arial" w:hAnsi="Arial" w:cs="Arial"/>
        <w:noProof/>
        <w:sz w:val="18"/>
        <w:szCs w:val="18"/>
      </w:rPr>
    </w:sdtEndPr>
    <w:sdtContent>
      <w:p w14:paraId="52C08204" w14:textId="062F9C48" w:rsidR="00101B80" w:rsidRPr="00CB7E08" w:rsidRDefault="00101B80">
        <w:pPr>
          <w:pStyle w:val="Footer"/>
          <w:jc w:val="right"/>
          <w:rPr>
            <w:rFonts w:ascii="Arial" w:hAnsi="Arial" w:cs="Arial"/>
            <w:sz w:val="18"/>
            <w:szCs w:val="18"/>
          </w:rPr>
        </w:pPr>
        <w:r w:rsidRPr="00CB7E08">
          <w:rPr>
            <w:rFonts w:ascii="Arial" w:hAnsi="Arial" w:cs="Arial"/>
            <w:sz w:val="18"/>
            <w:szCs w:val="18"/>
          </w:rPr>
          <w:fldChar w:fldCharType="begin"/>
        </w:r>
        <w:r w:rsidRPr="00CB7E08">
          <w:rPr>
            <w:rFonts w:ascii="Arial" w:hAnsi="Arial" w:cs="Arial"/>
            <w:sz w:val="18"/>
            <w:szCs w:val="18"/>
          </w:rPr>
          <w:instrText xml:space="preserve"> PAGE   \* MERGEFORMAT </w:instrText>
        </w:r>
        <w:r w:rsidRPr="00CB7E08">
          <w:rPr>
            <w:rFonts w:ascii="Arial" w:hAnsi="Arial" w:cs="Arial"/>
            <w:sz w:val="18"/>
            <w:szCs w:val="18"/>
          </w:rPr>
          <w:fldChar w:fldCharType="separate"/>
        </w:r>
        <w:r w:rsidR="007862E0">
          <w:rPr>
            <w:rFonts w:ascii="Arial" w:hAnsi="Arial" w:cs="Arial"/>
            <w:noProof/>
            <w:sz w:val="18"/>
            <w:szCs w:val="18"/>
          </w:rPr>
          <w:t>1</w:t>
        </w:r>
        <w:r w:rsidRPr="00CB7E08">
          <w:rPr>
            <w:rFonts w:ascii="Arial" w:hAnsi="Arial" w:cs="Arial"/>
            <w:noProof/>
            <w:sz w:val="18"/>
            <w:szCs w:val="18"/>
          </w:rPr>
          <w:fldChar w:fldCharType="end"/>
        </w:r>
      </w:p>
    </w:sdtContent>
  </w:sdt>
  <w:p w14:paraId="1FD4E000" w14:textId="77777777" w:rsidR="00101B80" w:rsidRDefault="00101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B1B3E" w14:textId="77777777" w:rsidR="00062CE3" w:rsidRDefault="00062CE3" w:rsidP="00101B80">
      <w:pPr>
        <w:spacing w:after="0"/>
      </w:pPr>
      <w:r>
        <w:separator/>
      </w:r>
    </w:p>
  </w:footnote>
  <w:footnote w:type="continuationSeparator" w:id="0">
    <w:p w14:paraId="21C6583D" w14:textId="77777777" w:rsidR="00062CE3" w:rsidRDefault="00062CE3" w:rsidP="00101B8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157"/>
    <w:rsid w:val="0000281A"/>
    <w:rsid w:val="000030D5"/>
    <w:rsid w:val="000052B8"/>
    <w:rsid w:val="000053DF"/>
    <w:rsid w:val="0001006E"/>
    <w:rsid w:val="00011F37"/>
    <w:rsid w:val="000138FF"/>
    <w:rsid w:val="00014870"/>
    <w:rsid w:val="00015DE9"/>
    <w:rsid w:val="00017F97"/>
    <w:rsid w:val="00021F75"/>
    <w:rsid w:val="00023F51"/>
    <w:rsid w:val="00027D3E"/>
    <w:rsid w:val="00031424"/>
    <w:rsid w:val="00031C4C"/>
    <w:rsid w:val="00035C63"/>
    <w:rsid w:val="000365C7"/>
    <w:rsid w:val="000412A7"/>
    <w:rsid w:val="00046B7B"/>
    <w:rsid w:val="00047750"/>
    <w:rsid w:val="0005207F"/>
    <w:rsid w:val="00052ACA"/>
    <w:rsid w:val="00055D3F"/>
    <w:rsid w:val="0005622E"/>
    <w:rsid w:val="00060089"/>
    <w:rsid w:val="000620B3"/>
    <w:rsid w:val="00062CE3"/>
    <w:rsid w:val="00064EF1"/>
    <w:rsid w:val="0006501E"/>
    <w:rsid w:val="00066904"/>
    <w:rsid w:val="00066DB1"/>
    <w:rsid w:val="000703AB"/>
    <w:rsid w:val="00071FC7"/>
    <w:rsid w:val="00072FE7"/>
    <w:rsid w:val="000730B7"/>
    <w:rsid w:val="00073126"/>
    <w:rsid w:val="0007798B"/>
    <w:rsid w:val="000779DF"/>
    <w:rsid w:val="00085946"/>
    <w:rsid w:val="0008665F"/>
    <w:rsid w:val="00087BB3"/>
    <w:rsid w:val="00090025"/>
    <w:rsid w:val="00090F51"/>
    <w:rsid w:val="000955CA"/>
    <w:rsid w:val="000959D6"/>
    <w:rsid w:val="00096B59"/>
    <w:rsid w:val="00097593"/>
    <w:rsid w:val="00097BB3"/>
    <w:rsid w:val="000A1C9D"/>
    <w:rsid w:val="000A4A05"/>
    <w:rsid w:val="000A5CCF"/>
    <w:rsid w:val="000B0881"/>
    <w:rsid w:val="000B1C64"/>
    <w:rsid w:val="000B27C1"/>
    <w:rsid w:val="000B2ED0"/>
    <w:rsid w:val="000B45E5"/>
    <w:rsid w:val="000C0A3B"/>
    <w:rsid w:val="000C0B45"/>
    <w:rsid w:val="000C35EF"/>
    <w:rsid w:val="000C70DA"/>
    <w:rsid w:val="000D0971"/>
    <w:rsid w:val="000D1DD3"/>
    <w:rsid w:val="000D1F92"/>
    <w:rsid w:val="000D358D"/>
    <w:rsid w:val="000D6135"/>
    <w:rsid w:val="000D7A98"/>
    <w:rsid w:val="000E0C68"/>
    <w:rsid w:val="000E325E"/>
    <w:rsid w:val="000F213F"/>
    <w:rsid w:val="000F37E9"/>
    <w:rsid w:val="000F3E9C"/>
    <w:rsid w:val="000F40CB"/>
    <w:rsid w:val="001017FB"/>
    <w:rsid w:val="00101B80"/>
    <w:rsid w:val="00106709"/>
    <w:rsid w:val="0011068D"/>
    <w:rsid w:val="001234F1"/>
    <w:rsid w:val="001317A6"/>
    <w:rsid w:val="001339F2"/>
    <w:rsid w:val="00144701"/>
    <w:rsid w:val="00150DF7"/>
    <w:rsid w:val="00152B28"/>
    <w:rsid w:val="00155472"/>
    <w:rsid w:val="001569EE"/>
    <w:rsid w:val="00161368"/>
    <w:rsid w:val="00161484"/>
    <w:rsid w:val="00161BAB"/>
    <w:rsid w:val="00164702"/>
    <w:rsid w:val="001657B7"/>
    <w:rsid w:val="00166071"/>
    <w:rsid w:val="0017071F"/>
    <w:rsid w:val="00170905"/>
    <w:rsid w:val="00170EB6"/>
    <w:rsid w:val="00173157"/>
    <w:rsid w:val="00173AE9"/>
    <w:rsid w:val="001754CD"/>
    <w:rsid w:val="0017668D"/>
    <w:rsid w:val="0017765C"/>
    <w:rsid w:val="001807DC"/>
    <w:rsid w:val="0018092E"/>
    <w:rsid w:val="00180E2F"/>
    <w:rsid w:val="00182EA0"/>
    <w:rsid w:val="001840DE"/>
    <w:rsid w:val="00186294"/>
    <w:rsid w:val="001865BA"/>
    <w:rsid w:val="00186AEA"/>
    <w:rsid w:val="00187645"/>
    <w:rsid w:val="001909DA"/>
    <w:rsid w:val="00191483"/>
    <w:rsid w:val="00193DDF"/>
    <w:rsid w:val="00196953"/>
    <w:rsid w:val="0019725D"/>
    <w:rsid w:val="00197CC1"/>
    <w:rsid w:val="001A10F7"/>
    <w:rsid w:val="001A434E"/>
    <w:rsid w:val="001B4C47"/>
    <w:rsid w:val="001B55D3"/>
    <w:rsid w:val="001B6182"/>
    <w:rsid w:val="001B6232"/>
    <w:rsid w:val="001C3898"/>
    <w:rsid w:val="001C3C02"/>
    <w:rsid w:val="001C5255"/>
    <w:rsid w:val="001C7719"/>
    <w:rsid w:val="001C783A"/>
    <w:rsid w:val="001D021F"/>
    <w:rsid w:val="001D1219"/>
    <w:rsid w:val="001D1948"/>
    <w:rsid w:val="001D6D44"/>
    <w:rsid w:val="001D6F3D"/>
    <w:rsid w:val="001E179D"/>
    <w:rsid w:val="001E2910"/>
    <w:rsid w:val="001E3DDE"/>
    <w:rsid w:val="001E69E4"/>
    <w:rsid w:val="001E6A78"/>
    <w:rsid w:val="001F1F27"/>
    <w:rsid w:val="001F6F6E"/>
    <w:rsid w:val="001F7645"/>
    <w:rsid w:val="00202BB9"/>
    <w:rsid w:val="00204AAA"/>
    <w:rsid w:val="00207444"/>
    <w:rsid w:val="00207F1D"/>
    <w:rsid w:val="002106A2"/>
    <w:rsid w:val="0021123E"/>
    <w:rsid w:val="002166CC"/>
    <w:rsid w:val="00222AFE"/>
    <w:rsid w:val="00227135"/>
    <w:rsid w:val="002312B5"/>
    <w:rsid w:val="0023697B"/>
    <w:rsid w:val="00237677"/>
    <w:rsid w:val="00240AB2"/>
    <w:rsid w:val="00240EB7"/>
    <w:rsid w:val="002422B7"/>
    <w:rsid w:val="002422D1"/>
    <w:rsid w:val="00242739"/>
    <w:rsid w:val="002478E2"/>
    <w:rsid w:val="002502A3"/>
    <w:rsid w:val="00250361"/>
    <w:rsid w:val="00252341"/>
    <w:rsid w:val="002554AD"/>
    <w:rsid w:val="002620A6"/>
    <w:rsid w:val="002627A1"/>
    <w:rsid w:val="00263CEA"/>
    <w:rsid w:val="0026410D"/>
    <w:rsid w:val="002669EE"/>
    <w:rsid w:val="0027206F"/>
    <w:rsid w:val="00274B9D"/>
    <w:rsid w:val="00276182"/>
    <w:rsid w:val="00280427"/>
    <w:rsid w:val="00280504"/>
    <w:rsid w:val="00280CFB"/>
    <w:rsid w:val="0028137B"/>
    <w:rsid w:val="00284B52"/>
    <w:rsid w:val="00285E5F"/>
    <w:rsid w:val="00286641"/>
    <w:rsid w:val="00291101"/>
    <w:rsid w:val="00292DB8"/>
    <w:rsid w:val="00296164"/>
    <w:rsid w:val="0029634D"/>
    <w:rsid w:val="002A0B7C"/>
    <w:rsid w:val="002A100D"/>
    <w:rsid w:val="002A1509"/>
    <w:rsid w:val="002A160C"/>
    <w:rsid w:val="002A1FFC"/>
    <w:rsid w:val="002A60B7"/>
    <w:rsid w:val="002B223A"/>
    <w:rsid w:val="002B3CD7"/>
    <w:rsid w:val="002B41A0"/>
    <w:rsid w:val="002B4213"/>
    <w:rsid w:val="002B4452"/>
    <w:rsid w:val="002B6B66"/>
    <w:rsid w:val="002C2595"/>
    <w:rsid w:val="002C2F5F"/>
    <w:rsid w:val="002C6F08"/>
    <w:rsid w:val="002C7033"/>
    <w:rsid w:val="002C7D19"/>
    <w:rsid w:val="002D2353"/>
    <w:rsid w:val="002E2481"/>
    <w:rsid w:val="002E30D6"/>
    <w:rsid w:val="002E4CFB"/>
    <w:rsid w:val="002E7892"/>
    <w:rsid w:val="002F15B0"/>
    <w:rsid w:val="002F1C4E"/>
    <w:rsid w:val="002F2A71"/>
    <w:rsid w:val="002F2DD1"/>
    <w:rsid w:val="002F4649"/>
    <w:rsid w:val="002F69C8"/>
    <w:rsid w:val="002F758D"/>
    <w:rsid w:val="003007A5"/>
    <w:rsid w:val="003014EB"/>
    <w:rsid w:val="003034D9"/>
    <w:rsid w:val="00310023"/>
    <w:rsid w:val="003127DD"/>
    <w:rsid w:val="003149BF"/>
    <w:rsid w:val="00314F91"/>
    <w:rsid w:val="00315CFB"/>
    <w:rsid w:val="00321AE7"/>
    <w:rsid w:val="00321AF3"/>
    <w:rsid w:val="00323F1B"/>
    <w:rsid w:val="003313FE"/>
    <w:rsid w:val="00332F6E"/>
    <w:rsid w:val="00334B93"/>
    <w:rsid w:val="00334F47"/>
    <w:rsid w:val="00337878"/>
    <w:rsid w:val="00345B1D"/>
    <w:rsid w:val="00345EA1"/>
    <w:rsid w:val="00346469"/>
    <w:rsid w:val="0034703A"/>
    <w:rsid w:val="0035187A"/>
    <w:rsid w:val="00351CCE"/>
    <w:rsid w:val="0035557B"/>
    <w:rsid w:val="0036077C"/>
    <w:rsid w:val="00360CA2"/>
    <w:rsid w:val="00370B2D"/>
    <w:rsid w:val="00372DDC"/>
    <w:rsid w:val="003775FE"/>
    <w:rsid w:val="00380E81"/>
    <w:rsid w:val="0038165E"/>
    <w:rsid w:val="00382DBA"/>
    <w:rsid w:val="003841EB"/>
    <w:rsid w:val="0038498F"/>
    <w:rsid w:val="00385786"/>
    <w:rsid w:val="0038639A"/>
    <w:rsid w:val="00391001"/>
    <w:rsid w:val="00391D18"/>
    <w:rsid w:val="00395D8B"/>
    <w:rsid w:val="003A2898"/>
    <w:rsid w:val="003A3012"/>
    <w:rsid w:val="003A3C31"/>
    <w:rsid w:val="003A4B54"/>
    <w:rsid w:val="003A657A"/>
    <w:rsid w:val="003A711E"/>
    <w:rsid w:val="003B0EC5"/>
    <w:rsid w:val="003B2930"/>
    <w:rsid w:val="003B3B2E"/>
    <w:rsid w:val="003B4F24"/>
    <w:rsid w:val="003B57BA"/>
    <w:rsid w:val="003B7017"/>
    <w:rsid w:val="003B7D31"/>
    <w:rsid w:val="003C075B"/>
    <w:rsid w:val="003C0AC6"/>
    <w:rsid w:val="003C4D14"/>
    <w:rsid w:val="003D0F02"/>
    <w:rsid w:val="003D27B7"/>
    <w:rsid w:val="003D4B0A"/>
    <w:rsid w:val="003D60D7"/>
    <w:rsid w:val="003D7B64"/>
    <w:rsid w:val="003E0439"/>
    <w:rsid w:val="003E1228"/>
    <w:rsid w:val="003E14DC"/>
    <w:rsid w:val="003E2404"/>
    <w:rsid w:val="003E251E"/>
    <w:rsid w:val="003E59EC"/>
    <w:rsid w:val="003F08FE"/>
    <w:rsid w:val="003F1D23"/>
    <w:rsid w:val="003F31E2"/>
    <w:rsid w:val="003F4135"/>
    <w:rsid w:val="00411ABF"/>
    <w:rsid w:val="0041277F"/>
    <w:rsid w:val="004158A0"/>
    <w:rsid w:val="00420164"/>
    <w:rsid w:val="00422211"/>
    <w:rsid w:val="00422D47"/>
    <w:rsid w:val="00423E76"/>
    <w:rsid w:val="004262B0"/>
    <w:rsid w:val="0042661D"/>
    <w:rsid w:val="00427993"/>
    <w:rsid w:val="00430AB5"/>
    <w:rsid w:val="004312F6"/>
    <w:rsid w:val="00431339"/>
    <w:rsid w:val="004313F8"/>
    <w:rsid w:val="00433598"/>
    <w:rsid w:val="00433EDF"/>
    <w:rsid w:val="004372D3"/>
    <w:rsid w:val="004449DE"/>
    <w:rsid w:val="00447B6C"/>
    <w:rsid w:val="00450D27"/>
    <w:rsid w:val="00450EBD"/>
    <w:rsid w:val="004530BC"/>
    <w:rsid w:val="004617A3"/>
    <w:rsid w:val="00462112"/>
    <w:rsid w:val="00463A38"/>
    <w:rsid w:val="004642EF"/>
    <w:rsid w:val="004645D2"/>
    <w:rsid w:val="004663C2"/>
    <w:rsid w:val="00467663"/>
    <w:rsid w:val="004707A9"/>
    <w:rsid w:val="00474FA9"/>
    <w:rsid w:val="004768C0"/>
    <w:rsid w:val="00476947"/>
    <w:rsid w:val="00480E49"/>
    <w:rsid w:val="00481FF9"/>
    <w:rsid w:val="004828A4"/>
    <w:rsid w:val="0048464D"/>
    <w:rsid w:val="00486E76"/>
    <w:rsid w:val="00492252"/>
    <w:rsid w:val="004942A4"/>
    <w:rsid w:val="00494DCE"/>
    <w:rsid w:val="00496B1C"/>
    <w:rsid w:val="00496C7A"/>
    <w:rsid w:val="004A1350"/>
    <w:rsid w:val="004A1868"/>
    <w:rsid w:val="004A3FC7"/>
    <w:rsid w:val="004A441E"/>
    <w:rsid w:val="004B097C"/>
    <w:rsid w:val="004B1A9F"/>
    <w:rsid w:val="004B58FA"/>
    <w:rsid w:val="004C1AF2"/>
    <w:rsid w:val="004C3471"/>
    <w:rsid w:val="004C4F84"/>
    <w:rsid w:val="004D0677"/>
    <w:rsid w:val="004D0AF0"/>
    <w:rsid w:val="004D1C19"/>
    <w:rsid w:val="004D1C59"/>
    <w:rsid w:val="004D3FF7"/>
    <w:rsid w:val="004D6F6D"/>
    <w:rsid w:val="004E0AAA"/>
    <w:rsid w:val="004E2330"/>
    <w:rsid w:val="004E3527"/>
    <w:rsid w:val="004F1AC4"/>
    <w:rsid w:val="004F3789"/>
    <w:rsid w:val="004F5472"/>
    <w:rsid w:val="004F795C"/>
    <w:rsid w:val="004F7DEF"/>
    <w:rsid w:val="005005C7"/>
    <w:rsid w:val="00501220"/>
    <w:rsid w:val="00501694"/>
    <w:rsid w:val="00502B5F"/>
    <w:rsid w:val="00506D39"/>
    <w:rsid w:val="00513530"/>
    <w:rsid w:val="0051670D"/>
    <w:rsid w:val="00523181"/>
    <w:rsid w:val="00531EE9"/>
    <w:rsid w:val="00533957"/>
    <w:rsid w:val="00533D46"/>
    <w:rsid w:val="0053530E"/>
    <w:rsid w:val="005356C8"/>
    <w:rsid w:val="00535C4D"/>
    <w:rsid w:val="005473B2"/>
    <w:rsid w:val="00556636"/>
    <w:rsid w:val="00556753"/>
    <w:rsid w:val="00557A57"/>
    <w:rsid w:val="00560B2F"/>
    <w:rsid w:val="00561A41"/>
    <w:rsid w:val="00561B05"/>
    <w:rsid w:val="005636B4"/>
    <w:rsid w:val="005711D6"/>
    <w:rsid w:val="00573683"/>
    <w:rsid w:val="0057471A"/>
    <w:rsid w:val="00575783"/>
    <w:rsid w:val="005776DE"/>
    <w:rsid w:val="00580685"/>
    <w:rsid w:val="00582334"/>
    <w:rsid w:val="00584CD7"/>
    <w:rsid w:val="005851A6"/>
    <w:rsid w:val="0059139B"/>
    <w:rsid w:val="00591835"/>
    <w:rsid w:val="0059304E"/>
    <w:rsid w:val="00594372"/>
    <w:rsid w:val="00594937"/>
    <w:rsid w:val="00595423"/>
    <w:rsid w:val="005A1589"/>
    <w:rsid w:val="005A2ACE"/>
    <w:rsid w:val="005A50A8"/>
    <w:rsid w:val="005A558C"/>
    <w:rsid w:val="005A5C2E"/>
    <w:rsid w:val="005B02B1"/>
    <w:rsid w:val="005B139E"/>
    <w:rsid w:val="005B43C0"/>
    <w:rsid w:val="005B56A4"/>
    <w:rsid w:val="005C33C7"/>
    <w:rsid w:val="005C3894"/>
    <w:rsid w:val="005C4585"/>
    <w:rsid w:val="005C55F6"/>
    <w:rsid w:val="005C5F46"/>
    <w:rsid w:val="005C60AC"/>
    <w:rsid w:val="005E128A"/>
    <w:rsid w:val="005E2035"/>
    <w:rsid w:val="005E32A0"/>
    <w:rsid w:val="005F0501"/>
    <w:rsid w:val="005F11FA"/>
    <w:rsid w:val="005F216F"/>
    <w:rsid w:val="005F490A"/>
    <w:rsid w:val="005F5BFB"/>
    <w:rsid w:val="005F6C68"/>
    <w:rsid w:val="005F6CD2"/>
    <w:rsid w:val="006012A4"/>
    <w:rsid w:val="0060182D"/>
    <w:rsid w:val="00602051"/>
    <w:rsid w:val="00606F3D"/>
    <w:rsid w:val="0060759A"/>
    <w:rsid w:val="006134B7"/>
    <w:rsid w:val="00614B99"/>
    <w:rsid w:val="00617CC0"/>
    <w:rsid w:val="00620A0B"/>
    <w:rsid w:val="00621016"/>
    <w:rsid w:val="00621680"/>
    <w:rsid w:val="00621D4E"/>
    <w:rsid w:val="006237F7"/>
    <w:rsid w:val="00624685"/>
    <w:rsid w:val="0062708C"/>
    <w:rsid w:val="0063092E"/>
    <w:rsid w:val="00634149"/>
    <w:rsid w:val="0063456F"/>
    <w:rsid w:val="00634E85"/>
    <w:rsid w:val="00635FD3"/>
    <w:rsid w:val="0063714F"/>
    <w:rsid w:val="006410C1"/>
    <w:rsid w:val="0064162F"/>
    <w:rsid w:val="00642856"/>
    <w:rsid w:val="0064399B"/>
    <w:rsid w:val="00647947"/>
    <w:rsid w:val="00651810"/>
    <w:rsid w:val="00652BFF"/>
    <w:rsid w:val="00654B0E"/>
    <w:rsid w:val="00656A13"/>
    <w:rsid w:val="00656B6D"/>
    <w:rsid w:val="00665022"/>
    <w:rsid w:val="006650FF"/>
    <w:rsid w:val="00665484"/>
    <w:rsid w:val="006657D6"/>
    <w:rsid w:val="00666EEA"/>
    <w:rsid w:val="00667D03"/>
    <w:rsid w:val="00670A46"/>
    <w:rsid w:val="00670FDE"/>
    <w:rsid w:val="00671262"/>
    <w:rsid w:val="00671FBD"/>
    <w:rsid w:val="00672500"/>
    <w:rsid w:val="00676393"/>
    <w:rsid w:val="00676F5F"/>
    <w:rsid w:val="0067796C"/>
    <w:rsid w:val="00680C61"/>
    <w:rsid w:val="00680E42"/>
    <w:rsid w:val="0068539E"/>
    <w:rsid w:val="0069264B"/>
    <w:rsid w:val="00694F49"/>
    <w:rsid w:val="00697587"/>
    <w:rsid w:val="006976F8"/>
    <w:rsid w:val="00697AFB"/>
    <w:rsid w:val="006A0CF9"/>
    <w:rsid w:val="006A4DBB"/>
    <w:rsid w:val="006A643F"/>
    <w:rsid w:val="006B1894"/>
    <w:rsid w:val="006B408A"/>
    <w:rsid w:val="006B5D12"/>
    <w:rsid w:val="006B7891"/>
    <w:rsid w:val="006C1160"/>
    <w:rsid w:val="006C5628"/>
    <w:rsid w:val="006D30ED"/>
    <w:rsid w:val="006D35E3"/>
    <w:rsid w:val="006D3BBD"/>
    <w:rsid w:val="006D6830"/>
    <w:rsid w:val="006D76A1"/>
    <w:rsid w:val="006E02C7"/>
    <w:rsid w:val="006E30E3"/>
    <w:rsid w:val="006E32A5"/>
    <w:rsid w:val="006E666C"/>
    <w:rsid w:val="006E66EC"/>
    <w:rsid w:val="006F1747"/>
    <w:rsid w:val="006F7808"/>
    <w:rsid w:val="006F7AAC"/>
    <w:rsid w:val="007029B2"/>
    <w:rsid w:val="0070783D"/>
    <w:rsid w:val="00707EE3"/>
    <w:rsid w:val="00710D4F"/>
    <w:rsid w:val="007115C8"/>
    <w:rsid w:val="00715512"/>
    <w:rsid w:val="007205F7"/>
    <w:rsid w:val="0072133C"/>
    <w:rsid w:val="0072442C"/>
    <w:rsid w:val="00727778"/>
    <w:rsid w:val="00727FC7"/>
    <w:rsid w:val="00731106"/>
    <w:rsid w:val="00741931"/>
    <w:rsid w:val="00741C6B"/>
    <w:rsid w:val="007429CB"/>
    <w:rsid w:val="007434E8"/>
    <w:rsid w:val="007469D4"/>
    <w:rsid w:val="00747FC7"/>
    <w:rsid w:val="00750000"/>
    <w:rsid w:val="00750E94"/>
    <w:rsid w:val="00754C2D"/>
    <w:rsid w:val="007570F2"/>
    <w:rsid w:val="00757349"/>
    <w:rsid w:val="007573ED"/>
    <w:rsid w:val="00760AD1"/>
    <w:rsid w:val="007651B3"/>
    <w:rsid w:val="0076788B"/>
    <w:rsid w:val="00767D76"/>
    <w:rsid w:val="00767D99"/>
    <w:rsid w:val="00785EDE"/>
    <w:rsid w:val="00785F5D"/>
    <w:rsid w:val="007862E0"/>
    <w:rsid w:val="00791772"/>
    <w:rsid w:val="0079243B"/>
    <w:rsid w:val="0079319D"/>
    <w:rsid w:val="007A0D38"/>
    <w:rsid w:val="007A1BEE"/>
    <w:rsid w:val="007A3271"/>
    <w:rsid w:val="007A37BA"/>
    <w:rsid w:val="007A3B9A"/>
    <w:rsid w:val="007B2445"/>
    <w:rsid w:val="007B274D"/>
    <w:rsid w:val="007B290D"/>
    <w:rsid w:val="007B2AB6"/>
    <w:rsid w:val="007B3BAE"/>
    <w:rsid w:val="007B49F0"/>
    <w:rsid w:val="007B4F1B"/>
    <w:rsid w:val="007B7511"/>
    <w:rsid w:val="007C5A23"/>
    <w:rsid w:val="007C71CD"/>
    <w:rsid w:val="007C7D54"/>
    <w:rsid w:val="007D03FC"/>
    <w:rsid w:val="007D2885"/>
    <w:rsid w:val="007D2E88"/>
    <w:rsid w:val="007D30EC"/>
    <w:rsid w:val="007D3B06"/>
    <w:rsid w:val="007D4E19"/>
    <w:rsid w:val="007D5996"/>
    <w:rsid w:val="007E0613"/>
    <w:rsid w:val="007E090F"/>
    <w:rsid w:val="007E7F1E"/>
    <w:rsid w:val="007F229C"/>
    <w:rsid w:val="007F4E6B"/>
    <w:rsid w:val="007F7029"/>
    <w:rsid w:val="00811443"/>
    <w:rsid w:val="00812D5F"/>
    <w:rsid w:val="00815D1D"/>
    <w:rsid w:val="00823A24"/>
    <w:rsid w:val="008279C0"/>
    <w:rsid w:val="0083109D"/>
    <w:rsid w:val="008316EF"/>
    <w:rsid w:val="00832AB9"/>
    <w:rsid w:val="00832ACC"/>
    <w:rsid w:val="0083433E"/>
    <w:rsid w:val="00835E58"/>
    <w:rsid w:val="00841308"/>
    <w:rsid w:val="0084243A"/>
    <w:rsid w:val="0084383F"/>
    <w:rsid w:val="00844AC2"/>
    <w:rsid w:val="008475B0"/>
    <w:rsid w:val="00847A56"/>
    <w:rsid w:val="00850F08"/>
    <w:rsid w:val="00854174"/>
    <w:rsid w:val="008542B3"/>
    <w:rsid w:val="00857CAB"/>
    <w:rsid w:val="008626CE"/>
    <w:rsid w:val="00867851"/>
    <w:rsid w:val="00867B06"/>
    <w:rsid w:val="00867C55"/>
    <w:rsid w:val="00867FB8"/>
    <w:rsid w:val="008703C4"/>
    <w:rsid w:val="0087227C"/>
    <w:rsid w:val="00872379"/>
    <w:rsid w:val="00873801"/>
    <w:rsid w:val="008739A8"/>
    <w:rsid w:val="00875766"/>
    <w:rsid w:val="00876664"/>
    <w:rsid w:val="008776D9"/>
    <w:rsid w:val="00883B4C"/>
    <w:rsid w:val="00885CEE"/>
    <w:rsid w:val="0088749C"/>
    <w:rsid w:val="00890159"/>
    <w:rsid w:val="00893AAA"/>
    <w:rsid w:val="00895362"/>
    <w:rsid w:val="00895547"/>
    <w:rsid w:val="00896670"/>
    <w:rsid w:val="008A2C80"/>
    <w:rsid w:val="008A2D67"/>
    <w:rsid w:val="008A6FE9"/>
    <w:rsid w:val="008A7641"/>
    <w:rsid w:val="008B2102"/>
    <w:rsid w:val="008B2617"/>
    <w:rsid w:val="008B3241"/>
    <w:rsid w:val="008B4A58"/>
    <w:rsid w:val="008B73A8"/>
    <w:rsid w:val="008C0397"/>
    <w:rsid w:val="008C12B2"/>
    <w:rsid w:val="008C1352"/>
    <w:rsid w:val="008C1744"/>
    <w:rsid w:val="008C246E"/>
    <w:rsid w:val="008C47B1"/>
    <w:rsid w:val="008C6216"/>
    <w:rsid w:val="008C7472"/>
    <w:rsid w:val="008D50CD"/>
    <w:rsid w:val="008D54AF"/>
    <w:rsid w:val="008D5820"/>
    <w:rsid w:val="008D5D1A"/>
    <w:rsid w:val="008D5E3B"/>
    <w:rsid w:val="008D6470"/>
    <w:rsid w:val="008D7870"/>
    <w:rsid w:val="008E3A5C"/>
    <w:rsid w:val="008E6EC0"/>
    <w:rsid w:val="008F2516"/>
    <w:rsid w:val="008F4941"/>
    <w:rsid w:val="008F63BB"/>
    <w:rsid w:val="008F7509"/>
    <w:rsid w:val="00901574"/>
    <w:rsid w:val="009020AB"/>
    <w:rsid w:val="0090708C"/>
    <w:rsid w:val="009100B5"/>
    <w:rsid w:val="0091483B"/>
    <w:rsid w:val="00921F76"/>
    <w:rsid w:val="00922C7A"/>
    <w:rsid w:val="00923DDC"/>
    <w:rsid w:val="00931E0A"/>
    <w:rsid w:val="00932720"/>
    <w:rsid w:val="00933947"/>
    <w:rsid w:val="009403D8"/>
    <w:rsid w:val="00942EA9"/>
    <w:rsid w:val="00946419"/>
    <w:rsid w:val="00947474"/>
    <w:rsid w:val="0094790F"/>
    <w:rsid w:val="00951376"/>
    <w:rsid w:val="00952231"/>
    <w:rsid w:val="00955AB8"/>
    <w:rsid w:val="00955C7A"/>
    <w:rsid w:val="00961F81"/>
    <w:rsid w:val="009626A6"/>
    <w:rsid w:val="00965DFC"/>
    <w:rsid w:val="00966E29"/>
    <w:rsid w:val="009721AA"/>
    <w:rsid w:val="00974BF2"/>
    <w:rsid w:val="00976C05"/>
    <w:rsid w:val="009803E2"/>
    <w:rsid w:val="00980930"/>
    <w:rsid w:val="00981349"/>
    <w:rsid w:val="00981495"/>
    <w:rsid w:val="009815EA"/>
    <w:rsid w:val="00981EEA"/>
    <w:rsid w:val="0098261D"/>
    <w:rsid w:val="009848F9"/>
    <w:rsid w:val="00992505"/>
    <w:rsid w:val="00994402"/>
    <w:rsid w:val="009A0FE4"/>
    <w:rsid w:val="009A2593"/>
    <w:rsid w:val="009A2C34"/>
    <w:rsid w:val="009A7B46"/>
    <w:rsid w:val="009B26BA"/>
    <w:rsid w:val="009B3027"/>
    <w:rsid w:val="009B37CF"/>
    <w:rsid w:val="009B6A6A"/>
    <w:rsid w:val="009B778C"/>
    <w:rsid w:val="009B7CF3"/>
    <w:rsid w:val="009C0489"/>
    <w:rsid w:val="009C13A8"/>
    <w:rsid w:val="009C1423"/>
    <w:rsid w:val="009C22B8"/>
    <w:rsid w:val="009C2C91"/>
    <w:rsid w:val="009C2DAB"/>
    <w:rsid w:val="009C5244"/>
    <w:rsid w:val="009C760B"/>
    <w:rsid w:val="009C789A"/>
    <w:rsid w:val="009D19EF"/>
    <w:rsid w:val="009D24BA"/>
    <w:rsid w:val="009D27C4"/>
    <w:rsid w:val="009D360E"/>
    <w:rsid w:val="009D3CAF"/>
    <w:rsid w:val="009D5110"/>
    <w:rsid w:val="009D7259"/>
    <w:rsid w:val="009E3F06"/>
    <w:rsid w:val="009E5EAF"/>
    <w:rsid w:val="009E6106"/>
    <w:rsid w:val="009E6175"/>
    <w:rsid w:val="009E7EC5"/>
    <w:rsid w:val="009F3042"/>
    <w:rsid w:val="009F5467"/>
    <w:rsid w:val="009F5637"/>
    <w:rsid w:val="009F57BA"/>
    <w:rsid w:val="009F6400"/>
    <w:rsid w:val="009F67AA"/>
    <w:rsid w:val="009F6AA9"/>
    <w:rsid w:val="009F7EE3"/>
    <w:rsid w:val="00A011A4"/>
    <w:rsid w:val="00A03698"/>
    <w:rsid w:val="00A0617A"/>
    <w:rsid w:val="00A14C91"/>
    <w:rsid w:val="00A153D0"/>
    <w:rsid w:val="00A15427"/>
    <w:rsid w:val="00A20B98"/>
    <w:rsid w:val="00A20F6B"/>
    <w:rsid w:val="00A22A51"/>
    <w:rsid w:val="00A24C46"/>
    <w:rsid w:val="00A269FD"/>
    <w:rsid w:val="00A301F0"/>
    <w:rsid w:val="00A306FB"/>
    <w:rsid w:val="00A34077"/>
    <w:rsid w:val="00A347EF"/>
    <w:rsid w:val="00A358B9"/>
    <w:rsid w:val="00A37F5A"/>
    <w:rsid w:val="00A42434"/>
    <w:rsid w:val="00A43E65"/>
    <w:rsid w:val="00A46174"/>
    <w:rsid w:val="00A50129"/>
    <w:rsid w:val="00A5229C"/>
    <w:rsid w:val="00A54428"/>
    <w:rsid w:val="00A54A45"/>
    <w:rsid w:val="00A5641A"/>
    <w:rsid w:val="00A57ACE"/>
    <w:rsid w:val="00A6007E"/>
    <w:rsid w:val="00A61341"/>
    <w:rsid w:val="00A61C7C"/>
    <w:rsid w:val="00A647E1"/>
    <w:rsid w:val="00A64F9F"/>
    <w:rsid w:val="00A66FA7"/>
    <w:rsid w:val="00A711E4"/>
    <w:rsid w:val="00A73628"/>
    <w:rsid w:val="00A76722"/>
    <w:rsid w:val="00A864E9"/>
    <w:rsid w:val="00A865B6"/>
    <w:rsid w:val="00A9068C"/>
    <w:rsid w:val="00A90879"/>
    <w:rsid w:val="00A97589"/>
    <w:rsid w:val="00A97D10"/>
    <w:rsid w:val="00AA4693"/>
    <w:rsid w:val="00AA4F4A"/>
    <w:rsid w:val="00AB1ED7"/>
    <w:rsid w:val="00AB4ACC"/>
    <w:rsid w:val="00AB5773"/>
    <w:rsid w:val="00AB795B"/>
    <w:rsid w:val="00AB7E1F"/>
    <w:rsid w:val="00AC1A74"/>
    <w:rsid w:val="00AC252D"/>
    <w:rsid w:val="00AD020B"/>
    <w:rsid w:val="00AD0FEF"/>
    <w:rsid w:val="00AD6DCF"/>
    <w:rsid w:val="00AE1401"/>
    <w:rsid w:val="00AE1D79"/>
    <w:rsid w:val="00AE2F43"/>
    <w:rsid w:val="00AE6468"/>
    <w:rsid w:val="00AF0B83"/>
    <w:rsid w:val="00AF19BD"/>
    <w:rsid w:val="00AF741F"/>
    <w:rsid w:val="00B01352"/>
    <w:rsid w:val="00B02617"/>
    <w:rsid w:val="00B06E3D"/>
    <w:rsid w:val="00B07853"/>
    <w:rsid w:val="00B07BFF"/>
    <w:rsid w:val="00B1356E"/>
    <w:rsid w:val="00B17CA4"/>
    <w:rsid w:val="00B20543"/>
    <w:rsid w:val="00B219B9"/>
    <w:rsid w:val="00B22CF5"/>
    <w:rsid w:val="00B2636C"/>
    <w:rsid w:val="00B31FC4"/>
    <w:rsid w:val="00B35D4C"/>
    <w:rsid w:val="00B3647C"/>
    <w:rsid w:val="00B36DA0"/>
    <w:rsid w:val="00B400BB"/>
    <w:rsid w:val="00B40D0A"/>
    <w:rsid w:val="00B40F89"/>
    <w:rsid w:val="00B47011"/>
    <w:rsid w:val="00B51F0F"/>
    <w:rsid w:val="00B5428F"/>
    <w:rsid w:val="00B60504"/>
    <w:rsid w:val="00B612A3"/>
    <w:rsid w:val="00B615E0"/>
    <w:rsid w:val="00B64358"/>
    <w:rsid w:val="00B7152C"/>
    <w:rsid w:val="00B721BA"/>
    <w:rsid w:val="00B732AA"/>
    <w:rsid w:val="00B736A2"/>
    <w:rsid w:val="00B7598D"/>
    <w:rsid w:val="00B76EDE"/>
    <w:rsid w:val="00B77936"/>
    <w:rsid w:val="00B80561"/>
    <w:rsid w:val="00B8116E"/>
    <w:rsid w:val="00B82F84"/>
    <w:rsid w:val="00B86541"/>
    <w:rsid w:val="00B8708E"/>
    <w:rsid w:val="00B873BF"/>
    <w:rsid w:val="00B87461"/>
    <w:rsid w:val="00B90031"/>
    <w:rsid w:val="00B90F1D"/>
    <w:rsid w:val="00B91528"/>
    <w:rsid w:val="00B91EC8"/>
    <w:rsid w:val="00B96D04"/>
    <w:rsid w:val="00BA38DD"/>
    <w:rsid w:val="00BA3901"/>
    <w:rsid w:val="00BA41D2"/>
    <w:rsid w:val="00BA5DCD"/>
    <w:rsid w:val="00BB6F79"/>
    <w:rsid w:val="00BC0FB5"/>
    <w:rsid w:val="00BC20A0"/>
    <w:rsid w:val="00BC24D5"/>
    <w:rsid w:val="00BC4179"/>
    <w:rsid w:val="00BD2B52"/>
    <w:rsid w:val="00BD42EB"/>
    <w:rsid w:val="00BD5045"/>
    <w:rsid w:val="00BD613E"/>
    <w:rsid w:val="00BE0BB0"/>
    <w:rsid w:val="00BE0E79"/>
    <w:rsid w:val="00BE1CCF"/>
    <w:rsid w:val="00BE4C4C"/>
    <w:rsid w:val="00BE6DA1"/>
    <w:rsid w:val="00BE7811"/>
    <w:rsid w:val="00BF1118"/>
    <w:rsid w:val="00BF16D1"/>
    <w:rsid w:val="00BF1EB2"/>
    <w:rsid w:val="00BF2D7C"/>
    <w:rsid w:val="00BF4095"/>
    <w:rsid w:val="00BF5E8B"/>
    <w:rsid w:val="00BF6284"/>
    <w:rsid w:val="00C02945"/>
    <w:rsid w:val="00C0680E"/>
    <w:rsid w:val="00C070C5"/>
    <w:rsid w:val="00C07A50"/>
    <w:rsid w:val="00C1313C"/>
    <w:rsid w:val="00C15508"/>
    <w:rsid w:val="00C15E96"/>
    <w:rsid w:val="00C20D31"/>
    <w:rsid w:val="00C2311C"/>
    <w:rsid w:val="00C23F0B"/>
    <w:rsid w:val="00C26C6C"/>
    <w:rsid w:val="00C2738D"/>
    <w:rsid w:val="00C311CB"/>
    <w:rsid w:val="00C321CA"/>
    <w:rsid w:val="00C33E10"/>
    <w:rsid w:val="00C34438"/>
    <w:rsid w:val="00C36B5E"/>
    <w:rsid w:val="00C42063"/>
    <w:rsid w:val="00C45979"/>
    <w:rsid w:val="00C47B22"/>
    <w:rsid w:val="00C505FB"/>
    <w:rsid w:val="00C5411B"/>
    <w:rsid w:val="00C5526B"/>
    <w:rsid w:val="00C57317"/>
    <w:rsid w:val="00C660C6"/>
    <w:rsid w:val="00C6668B"/>
    <w:rsid w:val="00C67921"/>
    <w:rsid w:val="00C7074A"/>
    <w:rsid w:val="00C745EF"/>
    <w:rsid w:val="00C75B84"/>
    <w:rsid w:val="00C75EB5"/>
    <w:rsid w:val="00C76BEF"/>
    <w:rsid w:val="00C77E54"/>
    <w:rsid w:val="00C82289"/>
    <w:rsid w:val="00C858EB"/>
    <w:rsid w:val="00C87ADF"/>
    <w:rsid w:val="00C9289B"/>
    <w:rsid w:val="00C94587"/>
    <w:rsid w:val="00C9486B"/>
    <w:rsid w:val="00C94905"/>
    <w:rsid w:val="00C958D9"/>
    <w:rsid w:val="00C962F0"/>
    <w:rsid w:val="00CA0BA7"/>
    <w:rsid w:val="00CA24A8"/>
    <w:rsid w:val="00CA2672"/>
    <w:rsid w:val="00CA5797"/>
    <w:rsid w:val="00CB0359"/>
    <w:rsid w:val="00CB0A72"/>
    <w:rsid w:val="00CB1057"/>
    <w:rsid w:val="00CB1988"/>
    <w:rsid w:val="00CB48DB"/>
    <w:rsid w:val="00CB5C7A"/>
    <w:rsid w:val="00CB5C98"/>
    <w:rsid w:val="00CB7662"/>
    <w:rsid w:val="00CB7E08"/>
    <w:rsid w:val="00CC3979"/>
    <w:rsid w:val="00CC42A4"/>
    <w:rsid w:val="00CC45DD"/>
    <w:rsid w:val="00CC4711"/>
    <w:rsid w:val="00CC5F5D"/>
    <w:rsid w:val="00CC785A"/>
    <w:rsid w:val="00CD4AD0"/>
    <w:rsid w:val="00CD56A5"/>
    <w:rsid w:val="00CE0C6C"/>
    <w:rsid w:val="00CE1952"/>
    <w:rsid w:val="00CE2B47"/>
    <w:rsid w:val="00CE2C06"/>
    <w:rsid w:val="00CF081E"/>
    <w:rsid w:val="00CF2895"/>
    <w:rsid w:val="00CF2AC5"/>
    <w:rsid w:val="00CF2DA7"/>
    <w:rsid w:val="00D00956"/>
    <w:rsid w:val="00D00957"/>
    <w:rsid w:val="00D00EF8"/>
    <w:rsid w:val="00D05288"/>
    <w:rsid w:val="00D05A58"/>
    <w:rsid w:val="00D06905"/>
    <w:rsid w:val="00D06D42"/>
    <w:rsid w:val="00D10BA3"/>
    <w:rsid w:val="00D14D00"/>
    <w:rsid w:val="00D15278"/>
    <w:rsid w:val="00D210D6"/>
    <w:rsid w:val="00D236C8"/>
    <w:rsid w:val="00D24E71"/>
    <w:rsid w:val="00D25283"/>
    <w:rsid w:val="00D3021D"/>
    <w:rsid w:val="00D30EFE"/>
    <w:rsid w:val="00D31922"/>
    <w:rsid w:val="00D332D3"/>
    <w:rsid w:val="00D34420"/>
    <w:rsid w:val="00D34DDD"/>
    <w:rsid w:val="00D37129"/>
    <w:rsid w:val="00D40C0A"/>
    <w:rsid w:val="00D429EF"/>
    <w:rsid w:val="00D4442D"/>
    <w:rsid w:val="00D45268"/>
    <w:rsid w:val="00D470CC"/>
    <w:rsid w:val="00D50C2B"/>
    <w:rsid w:val="00D51053"/>
    <w:rsid w:val="00D55063"/>
    <w:rsid w:val="00D5557A"/>
    <w:rsid w:val="00D60FCB"/>
    <w:rsid w:val="00D6374B"/>
    <w:rsid w:val="00D648C7"/>
    <w:rsid w:val="00D664CA"/>
    <w:rsid w:val="00D6666B"/>
    <w:rsid w:val="00D66B24"/>
    <w:rsid w:val="00D716DB"/>
    <w:rsid w:val="00D76E8D"/>
    <w:rsid w:val="00D773AE"/>
    <w:rsid w:val="00D826CA"/>
    <w:rsid w:val="00D82B52"/>
    <w:rsid w:val="00D83879"/>
    <w:rsid w:val="00D85827"/>
    <w:rsid w:val="00D86A6E"/>
    <w:rsid w:val="00D86AB4"/>
    <w:rsid w:val="00D91638"/>
    <w:rsid w:val="00D928C2"/>
    <w:rsid w:val="00D96B4E"/>
    <w:rsid w:val="00D97A53"/>
    <w:rsid w:val="00DA1399"/>
    <w:rsid w:val="00DA2FA5"/>
    <w:rsid w:val="00DA3306"/>
    <w:rsid w:val="00DA37EA"/>
    <w:rsid w:val="00DA3E74"/>
    <w:rsid w:val="00DA7444"/>
    <w:rsid w:val="00DB2D45"/>
    <w:rsid w:val="00DB2D57"/>
    <w:rsid w:val="00DB3D97"/>
    <w:rsid w:val="00DB71BB"/>
    <w:rsid w:val="00DC0114"/>
    <w:rsid w:val="00DC3082"/>
    <w:rsid w:val="00DC3544"/>
    <w:rsid w:val="00DC6705"/>
    <w:rsid w:val="00DC77CA"/>
    <w:rsid w:val="00DD0D8D"/>
    <w:rsid w:val="00DD4C5B"/>
    <w:rsid w:val="00DD4EE7"/>
    <w:rsid w:val="00DD6AA9"/>
    <w:rsid w:val="00DE07E9"/>
    <w:rsid w:val="00DE2E51"/>
    <w:rsid w:val="00DE3BF1"/>
    <w:rsid w:val="00DE419E"/>
    <w:rsid w:val="00DE6FDD"/>
    <w:rsid w:val="00DF063E"/>
    <w:rsid w:val="00DF1682"/>
    <w:rsid w:val="00DF49D3"/>
    <w:rsid w:val="00E00FED"/>
    <w:rsid w:val="00E01A9B"/>
    <w:rsid w:val="00E04522"/>
    <w:rsid w:val="00E06CC0"/>
    <w:rsid w:val="00E06DC7"/>
    <w:rsid w:val="00E071B9"/>
    <w:rsid w:val="00E07ADA"/>
    <w:rsid w:val="00E10522"/>
    <w:rsid w:val="00E11139"/>
    <w:rsid w:val="00E153EC"/>
    <w:rsid w:val="00E164EE"/>
    <w:rsid w:val="00E17A92"/>
    <w:rsid w:val="00E23ECE"/>
    <w:rsid w:val="00E2572F"/>
    <w:rsid w:val="00E2669F"/>
    <w:rsid w:val="00E27295"/>
    <w:rsid w:val="00E322FF"/>
    <w:rsid w:val="00E32735"/>
    <w:rsid w:val="00E32B7D"/>
    <w:rsid w:val="00E43301"/>
    <w:rsid w:val="00E457DB"/>
    <w:rsid w:val="00E50263"/>
    <w:rsid w:val="00E50C7E"/>
    <w:rsid w:val="00E5339B"/>
    <w:rsid w:val="00E533C5"/>
    <w:rsid w:val="00E54358"/>
    <w:rsid w:val="00E54578"/>
    <w:rsid w:val="00E57AF2"/>
    <w:rsid w:val="00E57EEE"/>
    <w:rsid w:val="00E646B5"/>
    <w:rsid w:val="00E64815"/>
    <w:rsid w:val="00E65486"/>
    <w:rsid w:val="00E655CA"/>
    <w:rsid w:val="00E72D34"/>
    <w:rsid w:val="00E77C1B"/>
    <w:rsid w:val="00E81D49"/>
    <w:rsid w:val="00E8414C"/>
    <w:rsid w:val="00E86E29"/>
    <w:rsid w:val="00EA1348"/>
    <w:rsid w:val="00EB3C71"/>
    <w:rsid w:val="00EB64AA"/>
    <w:rsid w:val="00EB6E92"/>
    <w:rsid w:val="00EC1616"/>
    <w:rsid w:val="00EC2651"/>
    <w:rsid w:val="00EC3F5D"/>
    <w:rsid w:val="00EC4E47"/>
    <w:rsid w:val="00EC4F60"/>
    <w:rsid w:val="00EC69AE"/>
    <w:rsid w:val="00EC731D"/>
    <w:rsid w:val="00ED217F"/>
    <w:rsid w:val="00ED22C2"/>
    <w:rsid w:val="00ED3E7C"/>
    <w:rsid w:val="00ED3F55"/>
    <w:rsid w:val="00ED472E"/>
    <w:rsid w:val="00ED5C99"/>
    <w:rsid w:val="00ED6457"/>
    <w:rsid w:val="00ED6DC5"/>
    <w:rsid w:val="00EE1172"/>
    <w:rsid w:val="00EE19E1"/>
    <w:rsid w:val="00EE21A9"/>
    <w:rsid w:val="00EE2BF8"/>
    <w:rsid w:val="00EE50B9"/>
    <w:rsid w:val="00EE51C1"/>
    <w:rsid w:val="00EF151A"/>
    <w:rsid w:val="00EF18FF"/>
    <w:rsid w:val="00EF2FF9"/>
    <w:rsid w:val="00EF4867"/>
    <w:rsid w:val="00EF4F2E"/>
    <w:rsid w:val="00EF6E34"/>
    <w:rsid w:val="00F01961"/>
    <w:rsid w:val="00F01D6E"/>
    <w:rsid w:val="00F03AA1"/>
    <w:rsid w:val="00F112B8"/>
    <w:rsid w:val="00F121BA"/>
    <w:rsid w:val="00F1317F"/>
    <w:rsid w:val="00F13936"/>
    <w:rsid w:val="00F13CEB"/>
    <w:rsid w:val="00F1484A"/>
    <w:rsid w:val="00F1492D"/>
    <w:rsid w:val="00F1606C"/>
    <w:rsid w:val="00F2088A"/>
    <w:rsid w:val="00F23AE5"/>
    <w:rsid w:val="00F24C0F"/>
    <w:rsid w:val="00F25FF2"/>
    <w:rsid w:val="00F27D55"/>
    <w:rsid w:val="00F27DBD"/>
    <w:rsid w:val="00F27DE8"/>
    <w:rsid w:val="00F3242B"/>
    <w:rsid w:val="00F33C10"/>
    <w:rsid w:val="00F36079"/>
    <w:rsid w:val="00F43ABC"/>
    <w:rsid w:val="00F47BBF"/>
    <w:rsid w:val="00F47D65"/>
    <w:rsid w:val="00F52724"/>
    <w:rsid w:val="00F5513E"/>
    <w:rsid w:val="00F573C6"/>
    <w:rsid w:val="00F62B36"/>
    <w:rsid w:val="00F64014"/>
    <w:rsid w:val="00F65433"/>
    <w:rsid w:val="00F66597"/>
    <w:rsid w:val="00F7438F"/>
    <w:rsid w:val="00F75C11"/>
    <w:rsid w:val="00F7792A"/>
    <w:rsid w:val="00F85077"/>
    <w:rsid w:val="00F855A1"/>
    <w:rsid w:val="00F85DBB"/>
    <w:rsid w:val="00F911E3"/>
    <w:rsid w:val="00F92574"/>
    <w:rsid w:val="00F96684"/>
    <w:rsid w:val="00F978EB"/>
    <w:rsid w:val="00FA5B38"/>
    <w:rsid w:val="00FA7757"/>
    <w:rsid w:val="00FB1847"/>
    <w:rsid w:val="00FB1E0D"/>
    <w:rsid w:val="00FB44F0"/>
    <w:rsid w:val="00FC3A4F"/>
    <w:rsid w:val="00FC40DA"/>
    <w:rsid w:val="00FC7152"/>
    <w:rsid w:val="00FD0BC5"/>
    <w:rsid w:val="00FD36E5"/>
    <w:rsid w:val="00FD656B"/>
    <w:rsid w:val="00FE3524"/>
    <w:rsid w:val="00FE5E60"/>
    <w:rsid w:val="00FF4744"/>
    <w:rsid w:val="00FF63A9"/>
    <w:rsid w:val="00FF7A73"/>
    <w:rsid w:val="08D8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969604"/>
  <w15:docId w15:val="{5562BAED-F316-445A-BDF3-068BF3C5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56E"/>
    <w:rPr>
      <w:rFonts w:ascii="Times New Roman" w:hAnsi="Times New Roman"/>
      <w:sz w:val="24"/>
    </w:rPr>
  </w:style>
  <w:style w:type="paragraph" w:styleId="Heading1">
    <w:name w:val="heading 1"/>
    <w:basedOn w:val="Normal"/>
    <w:next w:val="Normal"/>
    <w:link w:val="Heading1Char"/>
    <w:autoRedefine/>
    <w:uiPriority w:val="9"/>
    <w:qFormat/>
    <w:rsid w:val="00654B0E"/>
    <w:pPr>
      <w:keepNext/>
      <w:keepLines/>
      <w:spacing w:before="240" w:after="0"/>
      <w:outlineLvl w:val="0"/>
    </w:pPr>
    <w:rPr>
      <w:rFonts w:ascii="Cambria" w:eastAsiaTheme="majorEastAsia" w:hAnsi="Cambria" w:cstheme="majorBidi"/>
      <w:color w:val="2E74B5" w:themeColor="accent1" w:themeShade="BF"/>
      <w:sz w:val="32"/>
      <w:szCs w:val="32"/>
    </w:rPr>
  </w:style>
  <w:style w:type="paragraph" w:styleId="Heading2">
    <w:name w:val="heading 2"/>
    <w:basedOn w:val="Normal"/>
    <w:next w:val="Normal"/>
    <w:link w:val="Heading2Char"/>
    <w:autoRedefine/>
    <w:uiPriority w:val="9"/>
    <w:semiHidden/>
    <w:unhideWhenUsed/>
    <w:qFormat/>
    <w:rsid w:val="00654B0E"/>
    <w:pPr>
      <w:keepNext/>
      <w:keepLines/>
      <w:spacing w:before="40" w:after="0"/>
      <w:outlineLvl w:val="1"/>
    </w:pPr>
    <w:rPr>
      <w:rFonts w:ascii="Cambria" w:eastAsiaTheme="majorEastAsia" w:hAnsi="Cambria" w:cstheme="majorBidi"/>
      <w:color w:val="2E74B5" w:themeColor="accent1" w:themeShade="BF"/>
      <w:sz w:val="26"/>
      <w:szCs w:val="26"/>
    </w:rPr>
  </w:style>
  <w:style w:type="paragraph" w:styleId="Heading3">
    <w:name w:val="heading 3"/>
    <w:basedOn w:val="Normal"/>
    <w:next w:val="Normal"/>
    <w:link w:val="Heading3Char"/>
    <w:autoRedefine/>
    <w:uiPriority w:val="9"/>
    <w:semiHidden/>
    <w:unhideWhenUsed/>
    <w:qFormat/>
    <w:rsid w:val="000412A7"/>
    <w:pPr>
      <w:keepNext/>
      <w:keepLines/>
      <w:spacing w:before="40" w:after="0"/>
      <w:outlineLvl w:val="2"/>
    </w:pPr>
    <w:rPr>
      <w:rFonts w:ascii="Cambria" w:eastAsiaTheme="majorEastAsia" w:hAnsi="Cambria"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0E"/>
    <w:rPr>
      <w:rFonts w:ascii="Cambria" w:eastAsiaTheme="majorEastAsia" w:hAnsi="Cambria"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54B0E"/>
    <w:rPr>
      <w:rFonts w:ascii="Cambria" w:eastAsiaTheme="majorEastAsia" w:hAnsi="Cambria"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412A7"/>
    <w:rPr>
      <w:rFonts w:ascii="Cambria" w:eastAsiaTheme="majorEastAsia" w:hAnsi="Cambria" w:cstheme="majorBidi"/>
      <w:color w:val="1F4D78" w:themeColor="accent1" w:themeShade="7F"/>
      <w:sz w:val="24"/>
      <w:szCs w:val="24"/>
    </w:rPr>
  </w:style>
  <w:style w:type="paragraph" w:styleId="Title">
    <w:name w:val="Title"/>
    <w:basedOn w:val="Normal"/>
    <w:next w:val="Normal"/>
    <w:link w:val="TitleChar"/>
    <w:uiPriority w:val="10"/>
    <w:qFormat/>
    <w:rsid w:val="002B41A0"/>
    <w:pPr>
      <w:spacing w:after="0"/>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2B41A0"/>
    <w:rPr>
      <w:rFonts w:ascii="Cambria" w:eastAsiaTheme="majorEastAsia" w:hAnsi="Cambria" w:cstheme="majorBidi"/>
      <w:spacing w:val="-10"/>
      <w:kern w:val="28"/>
      <w:sz w:val="56"/>
      <w:szCs w:val="56"/>
    </w:rPr>
  </w:style>
  <w:style w:type="character" w:styleId="Hyperlink">
    <w:name w:val="Hyperlink"/>
    <w:rsid w:val="00710D4F"/>
    <w:rPr>
      <w:color w:val="0563C1"/>
      <w:u w:val="single"/>
    </w:rPr>
  </w:style>
  <w:style w:type="paragraph" w:customStyle="1" w:styleId="Body">
    <w:name w:val="Body"/>
    <w:basedOn w:val="Normal"/>
    <w:rsid w:val="000955CA"/>
    <w:pPr>
      <w:spacing w:before="120" w:line="360" w:lineRule="auto"/>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E8414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14C"/>
    <w:rPr>
      <w:rFonts w:ascii="Segoe UI" w:hAnsi="Segoe UI" w:cs="Segoe UI"/>
      <w:sz w:val="18"/>
      <w:szCs w:val="18"/>
    </w:rPr>
  </w:style>
  <w:style w:type="character" w:styleId="CommentReference">
    <w:name w:val="annotation reference"/>
    <w:basedOn w:val="DefaultParagraphFont"/>
    <w:uiPriority w:val="99"/>
    <w:semiHidden/>
    <w:unhideWhenUsed/>
    <w:rsid w:val="00144701"/>
    <w:rPr>
      <w:sz w:val="16"/>
      <w:szCs w:val="16"/>
    </w:rPr>
  </w:style>
  <w:style w:type="paragraph" w:styleId="CommentText">
    <w:name w:val="annotation text"/>
    <w:basedOn w:val="Normal"/>
    <w:link w:val="CommentTextChar"/>
    <w:uiPriority w:val="99"/>
    <w:semiHidden/>
    <w:unhideWhenUsed/>
    <w:rsid w:val="00144701"/>
    <w:rPr>
      <w:sz w:val="20"/>
      <w:szCs w:val="20"/>
    </w:rPr>
  </w:style>
  <w:style w:type="character" w:customStyle="1" w:styleId="CommentTextChar">
    <w:name w:val="Comment Text Char"/>
    <w:basedOn w:val="DefaultParagraphFont"/>
    <w:link w:val="CommentText"/>
    <w:uiPriority w:val="99"/>
    <w:semiHidden/>
    <w:rsid w:val="0014470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44701"/>
    <w:rPr>
      <w:b/>
      <w:bCs/>
    </w:rPr>
  </w:style>
  <w:style w:type="character" w:customStyle="1" w:styleId="CommentSubjectChar">
    <w:name w:val="Comment Subject Char"/>
    <w:basedOn w:val="CommentTextChar"/>
    <w:link w:val="CommentSubject"/>
    <w:uiPriority w:val="99"/>
    <w:semiHidden/>
    <w:rsid w:val="00144701"/>
    <w:rPr>
      <w:rFonts w:ascii="Times New Roman" w:hAnsi="Times New Roman"/>
      <w:b/>
      <w:bCs/>
      <w:sz w:val="20"/>
      <w:szCs w:val="20"/>
    </w:rPr>
  </w:style>
  <w:style w:type="paragraph" w:styleId="Revision">
    <w:name w:val="Revision"/>
    <w:hidden/>
    <w:uiPriority w:val="99"/>
    <w:semiHidden/>
    <w:rsid w:val="008D5D1A"/>
    <w:pPr>
      <w:spacing w:after="0"/>
    </w:pPr>
    <w:rPr>
      <w:rFonts w:ascii="Times New Roman" w:hAnsi="Times New Roman"/>
      <w:sz w:val="24"/>
    </w:rPr>
  </w:style>
  <w:style w:type="paragraph" w:styleId="Header">
    <w:name w:val="header"/>
    <w:basedOn w:val="Normal"/>
    <w:link w:val="HeaderChar"/>
    <w:uiPriority w:val="99"/>
    <w:unhideWhenUsed/>
    <w:rsid w:val="00101B80"/>
    <w:pPr>
      <w:tabs>
        <w:tab w:val="center" w:pos="4680"/>
        <w:tab w:val="right" w:pos="9360"/>
      </w:tabs>
      <w:spacing w:after="0"/>
    </w:pPr>
  </w:style>
  <w:style w:type="character" w:customStyle="1" w:styleId="HeaderChar">
    <w:name w:val="Header Char"/>
    <w:basedOn w:val="DefaultParagraphFont"/>
    <w:link w:val="Header"/>
    <w:uiPriority w:val="99"/>
    <w:rsid w:val="00101B80"/>
    <w:rPr>
      <w:rFonts w:ascii="Times New Roman" w:hAnsi="Times New Roman"/>
      <w:sz w:val="24"/>
    </w:rPr>
  </w:style>
  <w:style w:type="paragraph" w:styleId="Footer">
    <w:name w:val="footer"/>
    <w:basedOn w:val="Normal"/>
    <w:link w:val="FooterChar"/>
    <w:uiPriority w:val="99"/>
    <w:unhideWhenUsed/>
    <w:rsid w:val="00101B80"/>
    <w:pPr>
      <w:tabs>
        <w:tab w:val="center" w:pos="4680"/>
        <w:tab w:val="right" w:pos="9360"/>
      </w:tabs>
      <w:spacing w:after="0"/>
    </w:pPr>
  </w:style>
  <w:style w:type="character" w:customStyle="1" w:styleId="FooterChar">
    <w:name w:val="Footer Char"/>
    <w:basedOn w:val="DefaultParagraphFont"/>
    <w:link w:val="Footer"/>
    <w:uiPriority w:val="99"/>
    <w:rsid w:val="00101B8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teven.sullivan@cloudburstgroup.com" TargetMode="External"/><Relationship Id="rId4" Type="http://schemas.openxmlformats.org/officeDocument/2006/relationships/styles" Target="styles.xml"/><Relationship Id="rId9" Type="http://schemas.openxmlformats.org/officeDocument/2006/relationships/hyperlink" Target="http://www.bls.gov/news.release/ecec.t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A973B3D091E41A4080CAF01A9D520" ma:contentTypeVersion="3" ma:contentTypeDescription="Create a new document." ma:contentTypeScope="" ma:versionID="f0f42311c8e65f6dbe226be65a844fa5">
  <xsd:schema xmlns:xsd="http://www.w3.org/2001/XMLSchema" xmlns:xs="http://www.w3.org/2001/XMLSchema" xmlns:p="http://schemas.microsoft.com/office/2006/metadata/properties" xmlns:ns2="4dac2259-948e-4c25-a6ca-eb5c519113cc" targetNamespace="http://schemas.microsoft.com/office/2006/metadata/properties" ma:root="true" ma:fieldsID="6815a825fa39b76007979d5f01c8b33f" ns2:_="">
    <xsd:import namespace="4dac2259-948e-4c25-a6ca-eb5c519113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c2259-948e-4c25-a6ca-eb5c519113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237B6-8FC6-479B-BC60-294D174216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CD11C5-004D-46A4-B1C2-9835FBC3D80E}">
  <ds:schemaRefs>
    <ds:schemaRef ds:uri="http://schemas.microsoft.com/sharepoint/v3/contenttype/forms"/>
  </ds:schemaRefs>
</ds:datastoreItem>
</file>

<file path=customXml/itemProps3.xml><?xml version="1.0" encoding="utf-8"?>
<ds:datastoreItem xmlns:ds="http://schemas.openxmlformats.org/officeDocument/2006/customXml" ds:itemID="{EF50A890-812F-409E-88E8-5B318C0BB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c2259-948e-4c25-a6ca-eb5c51911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Sullivan</dc:creator>
  <cp:keywords/>
  <dc:description/>
  <cp:lastModifiedBy>Bethany Marcogliese</cp:lastModifiedBy>
  <cp:revision>3</cp:revision>
  <dcterms:created xsi:type="dcterms:W3CDTF">2015-11-30T20:08:00Z</dcterms:created>
  <dcterms:modified xsi:type="dcterms:W3CDTF">2015-12-01T14:51:00Z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0x010100420A973B3D091E41A4080CAF01A9D520</vt:lpwstr>
  </property>
</Properties>
</file>