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A1989" w14:textId="0F9C4A59" w:rsidR="332EFD7E" w:rsidRDefault="14E4DE00" w:rsidP="008B17D3">
      <w:pPr>
        <w:pStyle w:val="CoverTitle"/>
        <w:jc w:val="center"/>
      </w:pPr>
      <w:r w:rsidRPr="008B17D3">
        <w:rPr>
          <w:rFonts w:ascii="Times New Roman" w:hAnsi="Times New Roman"/>
          <w:sz w:val="24"/>
          <w:szCs w:val="24"/>
        </w:rPr>
        <w:t>SAMHSA Customer Satisfaction Survey</w:t>
      </w:r>
    </w:p>
    <w:p w14:paraId="4F06CBEE" w14:textId="436610B6" w:rsidR="14E4DE00" w:rsidRDefault="14E4DE00" w:rsidP="008B17D3">
      <w:pPr>
        <w:pStyle w:val="CoverSubtitle"/>
      </w:pPr>
    </w:p>
    <w:p w14:paraId="008A1061" w14:textId="587E31B8" w:rsidR="2E57D3D4" w:rsidRDefault="2E57D3D4" w:rsidP="008B17D3">
      <w:pPr>
        <w:pStyle w:val="CoverTitle"/>
        <w:jc w:val="center"/>
      </w:pPr>
      <w:r w:rsidRPr="008B17D3">
        <w:rPr>
          <w:rFonts w:ascii="Times New Roman" w:hAnsi="Times New Roman"/>
          <w:sz w:val="24"/>
          <w:szCs w:val="24"/>
        </w:rPr>
        <w:t>Center for Behavioral Health Statistics and Quality</w:t>
      </w:r>
    </w:p>
    <w:p w14:paraId="213F13DD" w14:textId="7E1560E4" w:rsidR="008751A7" w:rsidRDefault="009F0064" w:rsidP="00905AE0">
      <w:pPr>
        <w:pStyle w:val="CoverTitle"/>
        <w:jc w:val="center"/>
      </w:pPr>
      <w:r w:rsidRPr="14E4DE00">
        <w:rPr>
          <w:rFonts w:ascii="Times New Roman" w:hAnsi="Times New Roman"/>
          <w:sz w:val="24"/>
          <w:szCs w:val="24"/>
        </w:rPr>
        <w:t xml:space="preserve">Grantee Data Technical Assistance </w:t>
      </w:r>
      <w:r w:rsidR="14E4DE00" w:rsidRPr="14E4DE00">
        <w:rPr>
          <w:rFonts w:ascii="Times New Roman" w:hAnsi="Times New Roman"/>
          <w:sz w:val="24"/>
          <w:szCs w:val="24"/>
        </w:rPr>
        <w:t xml:space="preserve">(GDTA) </w:t>
      </w:r>
    </w:p>
    <w:p w14:paraId="49D24C95" w14:textId="744D0F8A" w:rsidR="008751A7" w:rsidRDefault="14E4DE00" w:rsidP="00905AE0">
      <w:pPr>
        <w:pStyle w:val="CoverTitle"/>
        <w:jc w:val="center"/>
      </w:pPr>
      <w:r w:rsidRPr="008B17D3">
        <w:rPr>
          <w:rFonts w:ascii="Times New Roman" w:hAnsi="Times New Roman"/>
          <w:sz w:val="24"/>
          <w:szCs w:val="24"/>
        </w:rPr>
        <w:t xml:space="preserve">Training and Technical Assistance </w:t>
      </w:r>
      <w:r w:rsidR="2E57D3D4" w:rsidRPr="008B17D3">
        <w:rPr>
          <w:rFonts w:ascii="Times New Roman" w:hAnsi="Times New Roman"/>
          <w:sz w:val="24"/>
          <w:szCs w:val="24"/>
        </w:rPr>
        <w:t xml:space="preserve">(TA) </w:t>
      </w:r>
      <w:r w:rsidRPr="008B17D3">
        <w:rPr>
          <w:rFonts w:ascii="Times New Roman" w:hAnsi="Times New Roman"/>
          <w:sz w:val="24"/>
          <w:szCs w:val="24"/>
        </w:rPr>
        <w:t>Event Satisfaction</w:t>
      </w:r>
    </w:p>
    <w:p w14:paraId="3FBCFBAC" w14:textId="670F114A" w:rsidR="007B079F" w:rsidRPr="007B079F" w:rsidRDefault="007B079F" w:rsidP="007B079F">
      <w:pPr>
        <w:pStyle w:val="CoverSubtitle"/>
      </w:pPr>
    </w:p>
    <w:p w14:paraId="500FC85B" w14:textId="72B6A4F2" w:rsidR="005A35A6" w:rsidRPr="00A447FF" w:rsidRDefault="0005705B" w:rsidP="0005705B">
      <w:pPr>
        <w:pStyle w:val="Heading2"/>
        <w:spacing w:before="120" w:line="360" w:lineRule="auto"/>
        <w:rPr>
          <w:rFonts w:ascii="Times New Roman" w:hAnsi="Times New Roman"/>
          <w:sz w:val="24"/>
          <w:szCs w:val="24"/>
        </w:rPr>
      </w:pPr>
      <w:r w:rsidRPr="00A447FF">
        <w:rPr>
          <w:rFonts w:ascii="Times New Roman" w:hAnsi="Times New Roman"/>
          <w:sz w:val="24"/>
          <w:szCs w:val="24"/>
        </w:rPr>
        <w:t xml:space="preserve">A. </w:t>
      </w:r>
      <w:r w:rsidR="00BD4A74">
        <w:rPr>
          <w:rFonts w:ascii="Times New Roman" w:hAnsi="Times New Roman"/>
          <w:sz w:val="24"/>
          <w:szCs w:val="24"/>
        </w:rPr>
        <w:tab/>
      </w:r>
      <w:r w:rsidRPr="00A447FF">
        <w:rPr>
          <w:rFonts w:ascii="Times New Roman" w:hAnsi="Times New Roman"/>
          <w:sz w:val="24"/>
          <w:szCs w:val="24"/>
        </w:rPr>
        <w:t xml:space="preserve">Product/Activity to </w:t>
      </w:r>
      <w:r w:rsidR="00877525">
        <w:rPr>
          <w:rFonts w:ascii="Times New Roman" w:hAnsi="Times New Roman"/>
          <w:sz w:val="24"/>
          <w:szCs w:val="24"/>
        </w:rPr>
        <w:t>B</w:t>
      </w:r>
      <w:r w:rsidRPr="00A447FF">
        <w:rPr>
          <w:rFonts w:ascii="Times New Roman" w:hAnsi="Times New Roman"/>
          <w:sz w:val="24"/>
          <w:szCs w:val="24"/>
        </w:rPr>
        <w:t xml:space="preserve">e </w:t>
      </w:r>
      <w:r w:rsidR="006364F7">
        <w:rPr>
          <w:rFonts w:ascii="Times New Roman" w:hAnsi="Times New Roman"/>
          <w:sz w:val="24"/>
          <w:szCs w:val="24"/>
        </w:rPr>
        <w:t>A</w:t>
      </w:r>
      <w:r w:rsidR="005124B9" w:rsidRPr="00A447FF">
        <w:rPr>
          <w:rFonts w:ascii="Times New Roman" w:hAnsi="Times New Roman"/>
          <w:sz w:val="24"/>
          <w:szCs w:val="24"/>
        </w:rPr>
        <w:t>ssessed</w:t>
      </w:r>
    </w:p>
    <w:p w14:paraId="088620DB" w14:textId="0D8B2817" w:rsidR="008C2F54" w:rsidRDefault="00B77BFD" w:rsidP="0096560C">
      <w:pPr>
        <w:ind w:left="720"/>
      </w:pPr>
      <w:r w:rsidRPr="00A447FF">
        <w:t>The Substance Abuse and Mental Health Services Administration</w:t>
      </w:r>
      <w:r>
        <w:t>’s</w:t>
      </w:r>
      <w:r w:rsidRPr="00A447FF">
        <w:t xml:space="preserve"> (SAMHSA</w:t>
      </w:r>
      <w:r>
        <w:t>’s</w:t>
      </w:r>
      <w:r w:rsidRPr="00A447FF">
        <w:t>)</w:t>
      </w:r>
      <w:r w:rsidR="00E43654">
        <w:t xml:space="preserve"> </w:t>
      </w:r>
      <w:r>
        <w:t xml:space="preserve">Grantee Data Technical Assistance (GDTA) contract provides technical assistance (TA) for SAMHSA discretionary services grantees and project officers on data collection, management, and utilization. </w:t>
      </w:r>
      <w:r w:rsidR="006559A4">
        <w:t xml:space="preserve"> </w:t>
      </w:r>
      <w:r>
        <w:t>Designed to improve the accuracy, completeness, and timeliness of grantee data, GDTA promotes the use of data to improve practice, program design, and policy development</w:t>
      </w:r>
      <w:r w:rsidR="00E43654">
        <w:t>.</w:t>
      </w:r>
      <w:r w:rsidR="003E062B">
        <w:t xml:space="preserve"> </w:t>
      </w:r>
      <w:r w:rsidR="006559A4">
        <w:t xml:space="preserve"> </w:t>
      </w:r>
      <w:r>
        <w:t xml:space="preserve">SAMHSA </w:t>
      </w:r>
      <w:r w:rsidR="003E062B">
        <w:t>is requesting approval from the Office of Management and Budget (OMB) to implement a sati</w:t>
      </w:r>
      <w:r w:rsidR="007939DD">
        <w:t xml:space="preserve">sfaction survey for </w:t>
      </w:r>
      <w:r w:rsidR="00943EE0">
        <w:t xml:space="preserve">participants in </w:t>
      </w:r>
      <w:r w:rsidR="006559A4">
        <w:t>TA</w:t>
      </w:r>
      <w:r w:rsidR="00943EE0">
        <w:t xml:space="preserve"> and training events supported by the GDTA contract</w:t>
      </w:r>
      <w:r w:rsidR="003E062B">
        <w:t xml:space="preserve">. </w:t>
      </w:r>
      <w:r w:rsidR="006559A4">
        <w:t xml:space="preserve"> </w:t>
      </w:r>
      <w:r w:rsidR="00AA17E0">
        <w:t>GDTA</w:t>
      </w:r>
      <w:r w:rsidR="003E062B">
        <w:t xml:space="preserve"> considers it important to assess </w:t>
      </w:r>
      <w:r w:rsidR="00943EE0">
        <w:t>participants’</w:t>
      </w:r>
      <w:r w:rsidR="003E062B">
        <w:t xml:space="preserve"> perception of the v</w:t>
      </w:r>
      <w:r w:rsidR="00FC0E46">
        <w:t>alue of services provided in these events</w:t>
      </w:r>
      <w:r w:rsidR="003E062B">
        <w:t>.</w:t>
      </w:r>
    </w:p>
    <w:p w14:paraId="1CA72436" w14:textId="77777777" w:rsidR="007939DD" w:rsidRPr="00A447FF" w:rsidRDefault="007939DD"/>
    <w:p w14:paraId="5324FD5D" w14:textId="5C9C3568" w:rsidR="005A35A6" w:rsidRPr="00A447FF" w:rsidRDefault="0005705B" w:rsidP="0096560C">
      <w:pPr>
        <w:pStyle w:val="Heading2"/>
        <w:spacing w:before="120" w:line="360" w:lineRule="auto"/>
        <w:rPr>
          <w:rFonts w:ascii="Times New Roman" w:hAnsi="Times New Roman"/>
          <w:sz w:val="24"/>
          <w:szCs w:val="24"/>
        </w:rPr>
      </w:pPr>
      <w:r w:rsidRPr="0096560C">
        <w:rPr>
          <w:rFonts w:ascii="Times New Roman" w:hAnsi="Times New Roman"/>
          <w:sz w:val="24"/>
          <w:szCs w:val="24"/>
        </w:rPr>
        <w:t xml:space="preserve">B. </w:t>
      </w:r>
      <w:r w:rsidR="00BD4A74">
        <w:rPr>
          <w:rFonts w:ascii="Times New Roman" w:hAnsi="Times New Roman"/>
          <w:sz w:val="24"/>
          <w:szCs w:val="24"/>
        </w:rPr>
        <w:tab/>
      </w:r>
      <w:r w:rsidRPr="0096560C">
        <w:rPr>
          <w:rFonts w:ascii="Times New Roman" w:hAnsi="Times New Roman"/>
          <w:sz w:val="24"/>
          <w:szCs w:val="24"/>
        </w:rPr>
        <w:t>Brief Statement of Objectives</w:t>
      </w:r>
    </w:p>
    <w:p w14:paraId="33443DBB" w14:textId="21D66456" w:rsidR="00974099" w:rsidRPr="0084481C" w:rsidRDefault="004262C0" w:rsidP="0096560C">
      <w:pPr>
        <w:ind w:left="720"/>
      </w:pPr>
      <w:r>
        <w:t xml:space="preserve">GDTA will use the </w:t>
      </w:r>
      <w:r w:rsidR="01260234">
        <w:t>satisfactio</w:t>
      </w:r>
      <w:r w:rsidR="6D2646C8">
        <w:t xml:space="preserve">n survey </w:t>
      </w:r>
      <w:r>
        <w:t xml:space="preserve">responses collected to guide decision making </w:t>
      </w:r>
      <w:r w:rsidR="00BD4A74">
        <w:t xml:space="preserve">about the content and effectiveness of </w:t>
      </w:r>
      <w:r w:rsidR="00BD4A74" w:rsidRPr="0084481C">
        <w:t xml:space="preserve">TA events. </w:t>
      </w:r>
      <w:r w:rsidR="00CA01D1">
        <w:t xml:space="preserve"> </w:t>
      </w:r>
      <w:r w:rsidR="001760C7">
        <w:t>T</w:t>
      </w:r>
      <w:r w:rsidR="00974099" w:rsidRPr="0084481C">
        <w:t xml:space="preserve">he information gathered </w:t>
      </w:r>
      <w:r w:rsidR="001760C7">
        <w:t>will help GDTA</w:t>
      </w:r>
      <w:r w:rsidR="00974099" w:rsidRPr="0084481C">
        <w:t xml:space="preserve"> identify areas </w:t>
      </w:r>
      <w:r w:rsidR="001760C7">
        <w:t>needing</w:t>
      </w:r>
      <w:r w:rsidR="00974099" w:rsidRPr="0084481C">
        <w:t xml:space="preserve"> improvement and implement </w:t>
      </w:r>
      <w:r w:rsidR="001760C7">
        <w:t>changes that are practical</w:t>
      </w:r>
      <w:r w:rsidR="00974099" w:rsidRPr="0084481C">
        <w:t xml:space="preserve"> and meet </w:t>
      </w:r>
      <w:r w:rsidR="001760C7" w:rsidRPr="0084481C">
        <w:t>participants</w:t>
      </w:r>
      <w:r w:rsidR="001760C7" w:rsidRPr="6D2646C8">
        <w:t xml:space="preserve">’ </w:t>
      </w:r>
      <w:r w:rsidR="00974099" w:rsidRPr="0084481C">
        <w:t xml:space="preserve">needs. </w:t>
      </w:r>
      <w:r w:rsidR="00CA01D1">
        <w:t xml:space="preserve"> </w:t>
      </w:r>
      <w:r w:rsidR="00734C1C">
        <w:t>GDTA will use the k</w:t>
      </w:r>
      <w:r w:rsidR="001760C7">
        <w:t xml:space="preserve">nowledge </w:t>
      </w:r>
      <w:r w:rsidR="00734C1C">
        <w:t xml:space="preserve">and insight </w:t>
      </w:r>
      <w:r w:rsidR="001760C7">
        <w:t>gained from</w:t>
      </w:r>
      <w:r w:rsidR="00974099" w:rsidRPr="0084481C">
        <w:t xml:space="preserve"> the responses </w:t>
      </w:r>
      <w:r w:rsidR="00734C1C">
        <w:t>to plan and</w:t>
      </w:r>
      <w:r w:rsidR="009B4A55">
        <w:t xml:space="preserve">, if necessary, to </w:t>
      </w:r>
      <w:r w:rsidR="00974099" w:rsidRPr="0084481C">
        <w:t>redirect resources and efforts</w:t>
      </w:r>
      <w:r w:rsidR="009B4A55" w:rsidRPr="6D2646C8">
        <w:t xml:space="preserve"> </w:t>
      </w:r>
      <w:r w:rsidR="00974099" w:rsidRPr="0084481C">
        <w:t>to improve or maintain a high quality of service to users of discretionary program performance data.</w:t>
      </w:r>
    </w:p>
    <w:p w14:paraId="48838A8C" w14:textId="77777777" w:rsidR="001E5719" w:rsidRDefault="001E5719" w:rsidP="0096560C">
      <w:pPr>
        <w:ind w:left="720"/>
      </w:pPr>
    </w:p>
    <w:p w14:paraId="7966E8FC" w14:textId="2E8DB806" w:rsidR="00401FE0" w:rsidRDefault="007939DD" w:rsidP="0096560C">
      <w:pPr>
        <w:ind w:left="720"/>
      </w:pPr>
      <w:r>
        <w:t xml:space="preserve">If </w:t>
      </w:r>
      <w:r w:rsidR="00D979E0">
        <w:t xml:space="preserve">GDTA does not collect </w:t>
      </w:r>
      <w:r>
        <w:t xml:space="preserve">this information, vital feedback regarding </w:t>
      </w:r>
      <w:r w:rsidR="009F0064">
        <w:t>participants’</w:t>
      </w:r>
      <w:r>
        <w:t xml:space="preserve"> perception of the value of the </w:t>
      </w:r>
      <w:r w:rsidR="00A571DC">
        <w:t>TA</w:t>
      </w:r>
      <w:r>
        <w:t xml:space="preserve"> will be unavailable. </w:t>
      </w:r>
      <w:r w:rsidR="00CA01D1">
        <w:t xml:space="preserve"> </w:t>
      </w:r>
      <w:r>
        <w:t xml:space="preserve">This </w:t>
      </w:r>
      <w:r w:rsidR="00D979E0">
        <w:t xml:space="preserve">missed opportunity will hinder </w:t>
      </w:r>
      <w:r w:rsidR="00AA17E0">
        <w:t>GDTA</w:t>
      </w:r>
      <w:r>
        <w:t xml:space="preserve">’s ability to develop, implement, and refine </w:t>
      </w:r>
      <w:r w:rsidR="00D979E0">
        <w:t xml:space="preserve">TA </w:t>
      </w:r>
      <w:r>
        <w:t xml:space="preserve">materials and content in a manner </w:t>
      </w:r>
      <w:r w:rsidR="00D979E0">
        <w:t>best tailored</w:t>
      </w:r>
      <w:r>
        <w:t xml:space="preserve"> for </w:t>
      </w:r>
      <w:r w:rsidR="009F0064">
        <w:t>discretionary programs’</w:t>
      </w:r>
      <w:r>
        <w:t xml:space="preserve"> needs.</w:t>
      </w:r>
    </w:p>
    <w:p w14:paraId="7C04FA5D" w14:textId="77777777" w:rsidR="007939DD" w:rsidRPr="00A447FF" w:rsidRDefault="007939DD" w:rsidP="00401FE0"/>
    <w:p w14:paraId="6605B480" w14:textId="6FB9BBEF" w:rsidR="005A35A6" w:rsidRPr="0096560C" w:rsidRDefault="0005705B" w:rsidP="0096560C">
      <w:pPr>
        <w:pStyle w:val="Heading2"/>
        <w:spacing w:before="120" w:line="360" w:lineRule="auto"/>
        <w:rPr>
          <w:rFonts w:ascii="Times New Roman" w:hAnsi="Times New Roman"/>
          <w:b w:val="0"/>
          <w:szCs w:val="24"/>
        </w:rPr>
      </w:pPr>
      <w:r w:rsidRPr="0096560C">
        <w:rPr>
          <w:rFonts w:ascii="Times New Roman" w:hAnsi="Times New Roman"/>
          <w:sz w:val="24"/>
          <w:szCs w:val="24"/>
        </w:rPr>
        <w:t xml:space="preserve">C. </w:t>
      </w:r>
      <w:r w:rsidR="00BD4A74">
        <w:rPr>
          <w:rFonts w:ascii="Times New Roman" w:hAnsi="Times New Roman"/>
          <w:sz w:val="24"/>
          <w:szCs w:val="24"/>
        </w:rPr>
        <w:tab/>
      </w:r>
      <w:r w:rsidR="00777A7B" w:rsidRPr="0096560C">
        <w:rPr>
          <w:rFonts w:ascii="Times New Roman" w:hAnsi="Times New Roman"/>
          <w:sz w:val="24"/>
          <w:szCs w:val="24"/>
        </w:rPr>
        <w:t>Overview of Methods to Collect Information</w:t>
      </w:r>
    </w:p>
    <w:p w14:paraId="03EA6FF1" w14:textId="436BA1E8" w:rsidR="00777A7B" w:rsidRPr="00A447FF" w:rsidRDefault="00BD4A74" w:rsidP="0096560C">
      <w:pPr>
        <w:pStyle w:val="Body"/>
        <w:spacing w:line="240" w:lineRule="auto"/>
        <w:ind w:left="720"/>
        <w:rPr>
          <w:rFonts w:ascii="Times New Roman" w:eastAsia="MS Mincho" w:hAnsi="Times New Roman"/>
          <w:b/>
          <w:kern w:val="28"/>
          <w:szCs w:val="24"/>
        </w:rPr>
      </w:pPr>
      <w:r>
        <w:rPr>
          <w:rFonts w:ascii="Times New Roman" w:eastAsia="MS Mincho" w:hAnsi="Times New Roman"/>
          <w:b/>
          <w:kern w:val="28"/>
          <w:szCs w:val="24"/>
        </w:rPr>
        <w:t>1.</w:t>
      </w:r>
      <w:r>
        <w:rPr>
          <w:rFonts w:ascii="Times New Roman" w:eastAsia="MS Mincho" w:hAnsi="Times New Roman"/>
          <w:b/>
          <w:kern w:val="28"/>
          <w:szCs w:val="24"/>
        </w:rPr>
        <w:tab/>
      </w:r>
      <w:r w:rsidR="00777A7B" w:rsidRPr="00A447FF">
        <w:rPr>
          <w:rFonts w:ascii="Times New Roman" w:eastAsia="MS Mincho" w:hAnsi="Times New Roman"/>
          <w:b/>
          <w:kern w:val="28"/>
          <w:szCs w:val="24"/>
        </w:rPr>
        <w:t>Data Collection Method</w:t>
      </w:r>
    </w:p>
    <w:p w14:paraId="53D51112" w14:textId="35CD4412" w:rsidR="007939DD" w:rsidRDefault="00974099" w:rsidP="009F6A06">
      <w:pPr>
        <w:pStyle w:val="Body"/>
        <w:spacing w:line="240" w:lineRule="auto"/>
        <w:ind w:left="1440"/>
        <w:rPr>
          <w:rFonts w:ascii="Times New Roman,MS Mincho" w:eastAsia="Times New Roman,MS Mincho" w:hAnsi="Times New Roman,MS Mincho" w:cs="Times New Roman,MS Mincho"/>
          <w:kern w:val="28"/>
        </w:rPr>
      </w:pPr>
      <w:r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GDTA will collect data </w:t>
      </w:r>
      <w:r w:rsidR="007939DD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at the completion of each </w:t>
      </w:r>
      <w:r w:rsidR="00CA01D1" w:rsidRPr="008B17D3">
        <w:rPr>
          <w:rFonts w:ascii="Times New Roman,MS Mincho" w:eastAsia="Times New Roman,MS Mincho" w:hAnsi="Times New Roman,MS Mincho" w:cs="Times New Roman,MS Mincho"/>
          <w:kern w:val="28"/>
        </w:rPr>
        <w:t>TA</w:t>
      </w:r>
      <w:r w:rsidR="009F0064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 engagement or event</w:t>
      </w:r>
      <w:r w:rsidR="00FA1C95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 using either a paper or a web-based </w:t>
      </w:r>
      <w:r w:rsidR="5DF7D27D" w:rsidRPr="008B17D3">
        <w:rPr>
          <w:rFonts w:ascii="Times New Roman,MS Mincho" w:eastAsia="Times New Roman,MS Mincho" w:hAnsi="Times New Roman,MS Mincho" w:cs="Times New Roman,MS Mincho"/>
          <w:kern w:val="28"/>
        </w:rPr>
        <w:t>survey</w:t>
      </w:r>
      <w:r w:rsidR="007939DD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. </w:t>
      </w:r>
      <w:r w:rsidR="00CA01D1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 </w:t>
      </w:r>
      <w:r w:rsidR="009F0064" w:rsidRPr="008B17D3">
        <w:rPr>
          <w:rFonts w:ascii="Times New Roman,MS Mincho" w:eastAsia="Times New Roman,MS Mincho" w:hAnsi="Times New Roman,MS Mincho" w:cs="Times New Roman,MS Mincho"/>
          <w:kern w:val="28"/>
        </w:rPr>
        <w:t>Participants</w:t>
      </w:r>
      <w:r w:rsidR="007939DD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 will have the option to decline responding to the survey.</w:t>
      </w:r>
      <w:r w:rsidR="7EDC0906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 </w:t>
      </w:r>
      <w:r w:rsidR="66C36A88" w:rsidRPr="008B17D3">
        <w:rPr>
          <w:rFonts w:ascii="Times New Roman,MS Mincho" w:eastAsia="Times New Roman,MS Mincho" w:hAnsi="Times New Roman,MS Mincho" w:cs="Times New Roman,MS Mincho"/>
        </w:rPr>
        <w:t xml:space="preserve">This survey will be used for longer-term TA events, not spot TA, such </w:t>
      </w:r>
      <w:r w:rsidR="008B17D3" w:rsidRPr="008B17D3">
        <w:rPr>
          <w:rFonts w:ascii="Times New Roman,MS Mincho" w:eastAsia="Times New Roman,MS Mincho" w:hAnsi="Times New Roman,MS Mincho" w:cs="Times New Roman,MS Mincho"/>
        </w:rPr>
        <w:t>a</w:t>
      </w:r>
      <w:r w:rsidR="008B17D3">
        <w:rPr>
          <w:rFonts w:ascii="Times New Roman,MS Mincho" w:eastAsia="Times New Roman,MS Mincho" w:hAnsi="Times New Roman,MS Mincho" w:cs="Times New Roman,MS Mincho"/>
        </w:rPr>
        <w:t>s</w:t>
      </w:r>
      <w:r w:rsidR="008B17D3" w:rsidRPr="008B17D3">
        <w:rPr>
          <w:rFonts w:ascii="Times New Roman,MS Mincho" w:eastAsia="Times New Roman,MS Mincho" w:hAnsi="Times New Roman,MS Mincho" w:cs="Times New Roman,MS Mincho"/>
        </w:rPr>
        <w:t xml:space="preserve"> </w:t>
      </w:r>
      <w:r w:rsidR="66C36A88" w:rsidRPr="008B17D3">
        <w:rPr>
          <w:rFonts w:ascii="Times New Roman,MS Mincho" w:eastAsia="Times New Roman,MS Mincho" w:hAnsi="Times New Roman,MS Mincho" w:cs="Times New Roman,MS Mincho"/>
        </w:rPr>
        <w:t>that provided through Quick Answers.</w:t>
      </w:r>
    </w:p>
    <w:p w14:paraId="1B5DDD29" w14:textId="08322614" w:rsidR="00FF1B41" w:rsidRDefault="5DF7D27D" w:rsidP="009F6A06">
      <w:pPr>
        <w:pStyle w:val="Body"/>
        <w:spacing w:line="240" w:lineRule="auto"/>
        <w:ind w:left="1440"/>
        <w:rPr>
          <w:rFonts w:ascii="Times New Roman,MS Mincho" w:eastAsia="Times New Roman,MS Mincho" w:hAnsi="Times New Roman,MS Mincho" w:cs="Times New Roman,MS Mincho"/>
          <w:kern w:val="28"/>
        </w:rPr>
      </w:pPr>
      <w:r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Survey </w:t>
      </w:r>
      <w:r w:rsidR="00FF1B41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will include eleven (11) questions.  The first question asks respondents to identify the </w:t>
      </w:r>
      <w:r w:rsidR="00AA040A" w:rsidRPr="008B17D3">
        <w:rPr>
          <w:rFonts w:ascii="Times New Roman,MS Mincho" w:eastAsia="Times New Roman,MS Mincho" w:hAnsi="Times New Roman,MS Mincho" w:cs="Times New Roman,MS Mincho"/>
          <w:kern w:val="28"/>
        </w:rPr>
        <w:t>TA</w:t>
      </w:r>
      <w:r w:rsidR="00FF1B41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 activity for which they are providing information; wherever feasible this will be pre-populated.  The second question, which will also be pre-populated wherever possible, asks for the type of event to be identified (examples include online training, site visit or other on-site </w:t>
      </w:r>
      <w:r w:rsidR="00AA040A" w:rsidRPr="008B17D3">
        <w:rPr>
          <w:rFonts w:ascii="Times New Roman,MS Mincho" w:eastAsia="Times New Roman,MS Mincho" w:hAnsi="Times New Roman,MS Mincho" w:cs="Times New Roman,MS Mincho"/>
          <w:kern w:val="28"/>
        </w:rPr>
        <w:t>TA</w:t>
      </w:r>
      <w:r w:rsidR="00FF1B41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, long-term telephone/email </w:t>
      </w:r>
      <w:r w:rsidR="00FF1B41" w:rsidRPr="008B17D3">
        <w:rPr>
          <w:rFonts w:ascii="Times New Roman,MS Mincho" w:eastAsia="Times New Roman,MS Mincho" w:hAnsi="Times New Roman,MS Mincho" w:cs="Times New Roman,MS Mincho"/>
          <w:kern w:val="28"/>
        </w:rPr>
        <w:lastRenderedPageBreak/>
        <w:t xml:space="preserve">consultation, in-person conference presentation or workshop, annual or semi-annual grantee meeting presentation or workshop, or other event; in the case of “other,” a type can be specified by the respondent or pre-populated).  The third question consists of a set of seven (7) scoring elements for aspects of the technical assistance event, with Likert-type scales for agreement or disagreement.  The next section of the </w:t>
      </w:r>
      <w:r w:rsidRPr="008B17D3">
        <w:rPr>
          <w:rFonts w:ascii="Times New Roman,MS Mincho" w:eastAsia="Times New Roman,MS Mincho" w:hAnsi="Times New Roman,MS Mincho" w:cs="Times New Roman,MS Mincho"/>
          <w:kern w:val="28"/>
        </w:rPr>
        <w:t>survey</w:t>
      </w:r>
      <w:r w:rsidR="00FF1B41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 is applicable to products distributed as part of the </w:t>
      </w:r>
      <w:r w:rsidR="00AA040A" w:rsidRPr="008B17D3">
        <w:rPr>
          <w:rFonts w:ascii="Times New Roman,MS Mincho" w:eastAsia="Times New Roman,MS Mincho" w:hAnsi="Times New Roman,MS Mincho" w:cs="Times New Roman,MS Mincho"/>
          <w:kern w:val="28"/>
        </w:rPr>
        <w:t>TA</w:t>
      </w:r>
      <w:r w:rsidR="00FF1B41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 activity, with questions asking the respondent to identify products and materials distributed with the activity, rating satisfaction with each product (using a Likert-type scale) and likelihood of distributing the products or materials within their organization.  The next section of the </w:t>
      </w:r>
      <w:r w:rsidR="35407FFB" w:rsidRPr="008B17D3">
        <w:rPr>
          <w:rFonts w:ascii="Times New Roman,MS Mincho" w:eastAsia="Times New Roman,MS Mincho" w:hAnsi="Times New Roman,MS Mincho" w:cs="Times New Roman,MS Mincho"/>
        </w:rPr>
        <w:t>survey</w:t>
      </w:r>
      <w:r w:rsidR="00FF1B41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 asks about satisfaction with quality of instruction and overall satisfaction, using a Likert-type scale, and solicits information on the respondent’s preferences for topical areas of possible future trainings.  The next section of the </w:t>
      </w:r>
      <w:r w:rsidR="35407FFB" w:rsidRPr="008B17D3">
        <w:rPr>
          <w:rFonts w:ascii="Times New Roman,MS Mincho" w:eastAsia="Times New Roman,MS Mincho" w:hAnsi="Times New Roman,MS Mincho" w:cs="Times New Roman,MS Mincho"/>
          <w:kern w:val="28"/>
        </w:rPr>
        <w:t>survey</w:t>
      </w:r>
      <w:r w:rsidR="00FF1B41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 asks for a description of the respondents’ relationship</w:t>
      </w:r>
      <w:r w:rsidR="00204217" w:rsidRPr="008B17D3">
        <w:rPr>
          <w:rFonts w:ascii="Times New Roman,MS Mincho" w:eastAsia="Times New Roman,MS Mincho" w:hAnsi="Times New Roman,MS Mincho" w:cs="Times New Roman,MS Mincho"/>
          <w:kern w:val="28"/>
        </w:rPr>
        <w:t>s</w:t>
      </w:r>
      <w:r w:rsidR="00FF1B41" w:rsidRPr="008B17D3">
        <w:rPr>
          <w:rFonts w:ascii="Times New Roman,MS Mincho" w:eastAsia="Times New Roman,MS Mincho" w:hAnsi="Times New Roman,MS Mincho" w:cs="Times New Roman,MS Mincho"/>
          <w:kern w:val="28"/>
        </w:rPr>
        <w:t xml:space="preserve"> to SAMHSA (grantees or staff, and their Center), and the grant(s) or grant program(s) with which they are associated.</w:t>
      </w:r>
    </w:p>
    <w:p w14:paraId="2FFCB2F0" w14:textId="6CBB8B3D" w:rsidR="007939DD" w:rsidRPr="007939DD" w:rsidRDefault="007939DD" w:rsidP="009F6A06">
      <w:pPr>
        <w:pStyle w:val="Body"/>
        <w:spacing w:line="240" w:lineRule="auto"/>
        <w:ind w:left="1440"/>
        <w:rPr>
          <w:rFonts w:ascii="Times New Roman" w:eastAsia="MS Mincho" w:hAnsi="Times New Roman"/>
          <w:kern w:val="28"/>
          <w:szCs w:val="24"/>
        </w:rPr>
      </w:pPr>
      <w:r>
        <w:rPr>
          <w:rFonts w:ascii="Times New Roman" w:eastAsia="MS Mincho" w:hAnsi="Times New Roman"/>
          <w:kern w:val="28"/>
          <w:szCs w:val="24"/>
        </w:rPr>
        <w:t>Analyses will primarily consist of statistics to better understand the effectiveness</w:t>
      </w:r>
      <w:r w:rsidR="0046757A">
        <w:rPr>
          <w:rFonts w:ascii="Times New Roman" w:eastAsia="MS Mincho" w:hAnsi="Times New Roman"/>
          <w:kern w:val="28"/>
          <w:szCs w:val="24"/>
        </w:rPr>
        <w:t xml:space="preserve"> and perceived value</w:t>
      </w:r>
      <w:r>
        <w:rPr>
          <w:rFonts w:ascii="Times New Roman" w:eastAsia="MS Mincho" w:hAnsi="Times New Roman"/>
          <w:kern w:val="28"/>
          <w:szCs w:val="24"/>
        </w:rPr>
        <w:t xml:space="preserve"> of the </w:t>
      </w:r>
      <w:r w:rsidR="00CA01D1">
        <w:rPr>
          <w:rFonts w:ascii="Times New Roman" w:eastAsia="MS Mincho" w:hAnsi="Times New Roman"/>
          <w:kern w:val="28"/>
          <w:szCs w:val="24"/>
        </w:rPr>
        <w:t>TA</w:t>
      </w:r>
      <w:r w:rsidR="009F0064">
        <w:rPr>
          <w:rFonts w:ascii="Times New Roman" w:eastAsia="MS Mincho" w:hAnsi="Times New Roman"/>
          <w:kern w:val="28"/>
          <w:szCs w:val="24"/>
        </w:rPr>
        <w:t xml:space="preserve"> provided</w:t>
      </w:r>
      <w:r w:rsidR="0046757A">
        <w:rPr>
          <w:rFonts w:ascii="Times New Roman" w:eastAsia="MS Mincho" w:hAnsi="Times New Roman"/>
          <w:kern w:val="28"/>
          <w:szCs w:val="24"/>
        </w:rPr>
        <w:t>.</w:t>
      </w:r>
    </w:p>
    <w:p w14:paraId="0C695B09" w14:textId="72F0D849" w:rsidR="008A5156" w:rsidRPr="00A447FF" w:rsidRDefault="00BD4A74" w:rsidP="0096560C">
      <w:pPr>
        <w:spacing w:before="120" w:after="120"/>
        <w:ind w:left="720"/>
        <w:rPr>
          <w:b/>
        </w:rPr>
      </w:pPr>
      <w:r w:rsidRPr="008B17D3">
        <w:rPr>
          <w:b/>
          <w:bCs/>
        </w:rPr>
        <w:t>2.</w:t>
      </w:r>
      <w:r w:rsidR="005408A7">
        <w:rPr>
          <w:b/>
          <w:bCs/>
        </w:rPr>
        <w:tab/>
      </w:r>
      <w:r w:rsidR="13990FB1" w:rsidRPr="008B17D3">
        <w:rPr>
          <w:b/>
          <w:bCs/>
        </w:rPr>
        <w:t>M</w:t>
      </w:r>
      <w:r w:rsidR="4C80DE6A" w:rsidRPr="008B17D3">
        <w:rPr>
          <w:b/>
          <w:bCs/>
        </w:rPr>
        <w:t>ethod for</w:t>
      </w:r>
      <w:r w:rsidR="005408A7">
        <w:rPr>
          <w:b/>
        </w:rPr>
        <w:t xml:space="preserve"> </w:t>
      </w:r>
      <w:r w:rsidR="00FF335E" w:rsidRPr="008B17D3">
        <w:rPr>
          <w:b/>
          <w:bCs/>
        </w:rPr>
        <w:t xml:space="preserve">Identifying </w:t>
      </w:r>
      <w:r w:rsidR="00523C34" w:rsidRPr="008B17D3">
        <w:rPr>
          <w:b/>
          <w:bCs/>
        </w:rPr>
        <w:t>R</w:t>
      </w:r>
      <w:r w:rsidR="00FF335E" w:rsidRPr="008B17D3">
        <w:rPr>
          <w:b/>
          <w:bCs/>
        </w:rPr>
        <w:t>espondents</w:t>
      </w:r>
    </w:p>
    <w:p w14:paraId="40D62470" w14:textId="71D9A455" w:rsidR="0046757A" w:rsidRDefault="00D979E0" w:rsidP="009F6A06">
      <w:pPr>
        <w:spacing w:before="120" w:after="120"/>
        <w:ind w:left="1440"/>
      </w:pPr>
      <w:r>
        <w:t xml:space="preserve">GDTA asks all </w:t>
      </w:r>
      <w:r w:rsidR="009F0064">
        <w:t xml:space="preserve">participants in </w:t>
      </w:r>
      <w:r w:rsidR="00CA01D1">
        <w:t>TA</w:t>
      </w:r>
      <w:r w:rsidR="009F0064">
        <w:t xml:space="preserve"> events</w:t>
      </w:r>
      <w:r w:rsidR="00C42C22">
        <w:t>, including</w:t>
      </w:r>
      <w:r w:rsidR="00D209ED">
        <w:t xml:space="preserve"> grantee leadership</w:t>
      </w:r>
      <w:r w:rsidR="00C42C22">
        <w:t xml:space="preserve"> and</w:t>
      </w:r>
      <w:r w:rsidR="00D209ED">
        <w:t xml:space="preserve"> SAMHSA </w:t>
      </w:r>
      <w:r w:rsidR="00CA01D1">
        <w:t>Government Project Officers (</w:t>
      </w:r>
      <w:r w:rsidR="00D209ED">
        <w:t>GPOs</w:t>
      </w:r>
      <w:r w:rsidR="00CA01D1">
        <w:t>)</w:t>
      </w:r>
      <w:r w:rsidR="00C42C22">
        <w:t>,</w:t>
      </w:r>
      <w:r w:rsidR="0046757A">
        <w:t xml:space="preserve"> to provide feedback by completing </w:t>
      </w:r>
      <w:r w:rsidR="005400BC">
        <w:t>a</w:t>
      </w:r>
      <w:r w:rsidR="006C5BC7">
        <w:t xml:space="preserve"> </w:t>
      </w:r>
      <w:r w:rsidR="21C00BAC">
        <w:t>customer satisfaction survey</w:t>
      </w:r>
      <w:r w:rsidR="0046757A">
        <w:t>.</w:t>
      </w:r>
    </w:p>
    <w:p w14:paraId="7240B10E" w14:textId="0A2C5624" w:rsidR="0046757A" w:rsidRDefault="0046757A" w:rsidP="009F6A06">
      <w:pPr>
        <w:spacing w:before="120" w:after="120"/>
        <w:ind w:left="1440"/>
      </w:pPr>
      <w:r>
        <w:t>Participation will be voluntary</w:t>
      </w:r>
      <w:r w:rsidR="006C5BC7">
        <w:t>,</w:t>
      </w:r>
      <w:r>
        <w:t xml:space="preserve"> and </w:t>
      </w:r>
      <w:r w:rsidR="009B4A55">
        <w:t>not completing the satisfaction survey</w:t>
      </w:r>
      <w:r w:rsidR="00BE3A8D">
        <w:t xml:space="preserve"> will have no </w:t>
      </w:r>
      <w:r w:rsidR="009B4A55">
        <w:t xml:space="preserve">effect </w:t>
      </w:r>
      <w:r w:rsidR="00BE3A8D">
        <w:t xml:space="preserve">on </w:t>
      </w:r>
      <w:r w:rsidR="00A32C16">
        <w:t>Continuing Education Unit (</w:t>
      </w:r>
      <w:r w:rsidR="00BE3A8D">
        <w:t>CEU</w:t>
      </w:r>
      <w:r w:rsidR="00A32C16">
        <w:t>)</w:t>
      </w:r>
      <w:r w:rsidR="00BE3A8D">
        <w:t xml:space="preserve"> </w:t>
      </w:r>
      <w:r>
        <w:t>credits</w:t>
      </w:r>
      <w:r w:rsidR="009B4A55">
        <w:t>,</w:t>
      </w:r>
      <w:r>
        <w:t xml:space="preserve"> or </w:t>
      </w:r>
      <w:r w:rsidR="00C42C22">
        <w:t>course completion</w:t>
      </w:r>
      <w:r w:rsidR="00C42C22" w:rsidDel="006C5BC7">
        <w:t xml:space="preserve"> </w:t>
      </w:r>
      <w:r>
        <w:t xml:space="preserve">certification. Given the voluntary nature of the data collection efforts, </w:t>
      </w:r>
      <w:r w:rsidR="00D979E0">
        <w:t xml:space="preserve">GDTA will make </w:t>
      </w:r>
      <w:r>
        <w:t>efforts to achieve the highest response rate possible.</w:t>
      </w:r>
    </w:p>
    <w:p w14:paraId="36D55428" w14:textId="61F150EF" w:rsidR="00FA1C95" w:rsidRDefault="00D979E0" w:rsidP="009F6A06">
      <w:pPr>
        <w:spacing w:before="120" w:after="120"/>
        <w:ind w:left="1440"/>
      </w:pPr>
      <w:r>
        <w:t xml:space="preserve">GDTA will </w:t>
      </w:r>
      <w:r w:rsidR="00CA01D1">
        <w:t>en</w:t>
      </w:r>
      <w:r>
        <w:t>sure t</w:t>
      </w:r>
      <w:r w:rsidR="0046757A">
        <w:t>he protection of respondents’ identifying information</w:t>
      </w:r>
      <w:r w:rsidR="009B4A55">
        <w:t>,</w:t>
      </w:r>
      <w:r w:rsidR="0046757A">
        <w:t xml:space="preserve"> and identifying information will not be included in </w:t>
      </w:r>
      <w:r w:rsidR="009B4A55">
        <w:t xml:space="preserve">the </w:t>
      </w:r>
      <w:r w:rsidR="0046757A">
        <w:t xml:space="preserve">analysis </w:t>
      </w:r>
      <w:r w:rsidR="009B4A55">
        <w:t xml:space="preserve">or </w:t>
      </w:r>
      <w:r w:rsidR="0046757A">
        <w:t>reporting of responses.</w:t>
      </w:r>
    </w:p>
    <w:p w14:paraId="471B5543" w14:textId="47649102" w:rsidR="00B848BD" w:rsidRDefault="00B848BD" w:rsidP="009F6A06">
      <w:pPr>
        <w:spacing w:before="120" w:after="120"/>
        <w:ind w:left="1440"/>
      </w:pPr>
      <w:r w:rsidRPr="00DA50E7">
        <w:t>There will be no requirements for respondents to maintain or save any data onto their local computers.</w:t>
      </w:r>
    </w:p>
    <w:p w14:paraId="310A55ED" w14:textId="0AEFA678" w:rsidR="00FA1C95" w:rsidRPr="00D84D50" w:rsidRDefault="00BD4A74" w:rsidP="0096560C">
      <w:pPr>
        <w:spacing w:before="120" w:after="120"/>
        <w:ind w:left="720"/>
        <w:rPr>
          <w:b/>
        </w:rPr>
      </w:pPr>
      <w:r>
        <w:rPr>
          <w:b/>
        </w:rPr>
        <w:t>3.</w:t>
      </w:r>
      <w:r w:rsidR="00824CA8">
        <w:rPr>
          <w:b/>
        </w:rPr>
        <w:tab/>
      </w:r>
      <w:r w:rsidR="00FA1C95" w:rsidRPr="00D84D50">
        <w:rPr>
          <w:b/>
        </w:rPr>
        <w:t xml:space="preserve">Proposed </w:t>
      </w:r>
      <w:r w:rsidR="00523C34">
        <w:rPr>
          <w:b/>
        </w:rPr>
        <w:t>S</w:t>
      </w:r>
      <w:r w:rsidR="00FA1C95" w:rsidRPr="00D84D50">
        <w:rPr>
          <w:b/>
        </w:rPr>
        <w:t xml:space="preserve">ample </w:t>
      </w:r>
      <w:r w:rsidR="00523C34">
        <w:rPr>
          <w:b/>
        </w:rPr>
        <w:t>S</w:t>
      </w:r>
      <w:r w:rsidR="00FA1C95" w:rsidRPr="00D84D50">
        <w:rPr>
          <w:b/>
        </w:rPr>
        <w:t xml:space="preserve">ize and </w:t>
      </w:r>
      <w:r w:rsidR="00523C34">
        <w:rPr>
          <w:b/>
        </w:rPr>
        <w:t>R</w:t>
      </w:r>
      <w:r w:rsidR="00FA1C95" w:rsidRPr="00D84D50">
        <w:rPr>
          <w:b/>
        </w:rPr>
        <w:t>ationale</w:t>
      </w:r>
    </w:p>
    <w:p w14:paraId="748F454D" w14:textId="2A330133" w:rsidR="00FA1C95" w:rsidRDefault="00FA1C95" w:rsidP="009F6A06">
      <w:pPr>
        <w:spacing w:before="120" w:after="120"/>
        <w:ind w:left="1440"/>
      </w:pPr>
      <w:r>
        <w:t xml:space="preserve">Based on the contractor’s experience with similar projects, </w:t>
      </w:r>
      <w:r w:rsidR="00D979E0">
        <w:t xml:space="preserve">GDTA </w:t>
      </w:r>
      <w:r>
        <w:t>estimate</w:t>
      </w:r>
      <w:r w:rsidR="00D979E0">
        <w:t>s</w:t>
      </w:r>
      <w:r>
        <w:t xml:space="preserve"> that approximately </w:t>
      </w:r>
      <w:r w:rsidR="00A07A78">
        <w:t>5</w:t>
      </w:r>
      <w:r>
        <w:t xml:space="preserve">00 individuals </w:t>
      </w:r>
      <w:r w:rsidR="002F16BD">
        <w:t xml:space="preserve">per year </w:t>
      </w:r>
      <w:r>
        <w:t xml:space="preserve">will </w:t>
      </w:r>
      <w:r w:rsidR="00D84D50">
        <w:t xml:space="preserve">have occasion to complete a </w:t>
      </w:r>
      <w:r w:rsidR="35407FFB">
        <w:t>survey</w:t>
      </w:r>
      <w:r w:rsidR="00D84D50">
        <w:t xml:space="preserve"> at the conclusion of a </w:t>
      </w:r>
      <w:r w:rsidR="00CA01D1">
        <w:t>TA</w:t>
      </w:r>
      <w:r w:rsidR="00D84D50">
        <w:t xml:space="preserve"> engagement or event.</w:t>
      </w:r>
    </w:p>
    <w:p w14:paraId="3762A3DE" w14:textId="1CA664D4" w:rsidR="008A5156" w:rsidRPr="00A447FF" w:rsidRDefault="00824CA8" w:rsidP="0017168A">
      <w:pPr>
        <w:spacing w:before="120" w:after="120"/>
        <w:ind w:left="720"/>
        <w:rPr>
          <w:b/>
        </w:rPr>
      </w:pPr>
      <w:r w:rsidRPr="008B17D3">
        <w:rPr>
          <w:b/>
          <w:bCs/>
        </w:rPr>
        <w:t>4.</w:t>
      </w:r>
      <w:r w:rsidR="005408A7">
        <w:rPr>
          <w:b/>
          <w:bCs/>
        </w:rPr>
        <w:tab/>
      </w:r>
      <w:r w:rsidR="2975F0DC" w:rsidRPr="008B17D3">
        <w:rPr>
          <w:b/>
          <w:bCs/>
        </w:rPr>
        <w:t xml:space="preserve">Planned </w:t>
      </w:r>
      <w:r w:rsidR="00FF335E" w:rsidRPr="008B17D3">
        <w:rPr>
          <w:b/>
          <w:bCs/>
        </w:rPr>
        <w:t xml:space="preserve">Frequency of </w:t>
      </w:r>
      <w:r w:rsidR="1B7C03B9" w:rsidRPr="008B17D3">
        <w:rPr>
          <w:b/>
          <w:bCs/>
        </w:rPr>
        <w:t>Information</w:t>
      </w:r>
      <w:r w:rsidR="00FF335E" w:rsidRPr="008B17D3">
        <w:rPr>
          <w:b/>
          <w:bCs/>
        </w:rPr>
        <w:t xml:space="preserve"> </w:t>
      </w:r>
      <w:r w:rsidR="00523C34" w:rsidRPr="008B17D3">
        <w:rPr>
          <w:b/>
          <w:bCs/>
        </w:rPr>
        <w:t>C</w:t>
      </w:r>
      <w:r w:rsidR="00FF335E" w:rsidRPr="008B17D3">
        <w:rPr>
          <w:b/>
          <w:bCs/>
        </w:rPr>
        <w:t>ollection</w:t>
      </w:r>
    </w:p>
    <w:p w14:paraId="3E4E7765" w14:textId="4F4D9B81" w:rsidR="0025024D" w:rsidRPr="00D979E0" w:rsidRDefault="00D979E0" w:rsidP="009F6A06">
      <w:pPr>
        <w:spacing w:before="120" w:after="120"/>
        <w:ind w:left="1440"/>
        <w:rPr>
          <w:rFonts w:eastAsia="MS Mincho"/>
        </w:rPr>
      </w:pPr>
      <w:r>
        <w:t>GDTA will collect i</w:t>
      </w:r>
      <w:r w:rsidR="0046757A">
        <w:t xml:space="preserve">nformation upon completion of each </w:t>
      </w:r>
      <w:r w:rsidR="009A2447">
        <w:t>TA</w:t>
      </w:r>
      <w:r w:rsidR="00D209ED">
        <w:t xml:space="preserve"> engagement or event</w:t>
      </w:r>
      <w:r w:rsidR="00FA7FAE">
        <w:t>, whether telephonic, web-based or in-person</w:t>
      </w:r>
      <w:r w:rsidR="00D209ED">
        <w:t xml:space="preserve">. </w:t>
      </w:r>
      <w:r w:rsidR="009A2447">
        <w:t xml:space="preserve"> </w:t>
      </w:r>
      <w:r>
        <w:t xml:space="preserve">GDTA will not conduct </w:t>
      </w:r>
      <w:r w:rsidR="006A77AB">
        <w:t>longitudinal follow-up</w:t>
      </w:r>
      <w:r w:rsidR="0046757A">
        <w:t xml:space="preserve"> </w:t>
      </w:r>
      <w:r w:rsidR="006A77AB">
        <w:t>(for example, to assess the longer-term impact of training)</w:t>
      </w:r>
      <w:r w:rsidR="0046757A">
        <w:t>.</w:t>
      </w:r>
    </w:p>
    <w:p w14:paraId="63472CE4" w14:textId="4E719BC5" w:rsidR="005A35A6" w:rsidRPr="0017168A" w:rsidRDefault="00824CA8" w:rsidP="0017168A">
      <w:pPr>
        <w:spacing w:before="120" w:after="120"/>
        <w:ind w:left="720"/>
        <w:rPr>
          <w:b/>
        </w:rPr>
      </w:pPr>
      <w:r w:rsidRPr="0017168A">
        <w:rPr>
          <w:b/>
        </w:rPr>
        <w:t>5.</w:t>
      </w:r>
      <w:r w:rsidRPr="0017168A">
        <w:rPr>
          <w:b/>
        </w:rPr>
        <w:tab/>
      </w:r>
      <w:r w:rsidR="00777A7B" w:rsidRPr="0017168A">
        <w:rPr>
          <w:b/>
        </w:rPr>
        <w:t xml:space="preserve">Methods for </w:t>
      </w:r>
      <w:r w:rsidR="00E7401F" w:rsidRPr="0017168A">
        <w:rPr>
          <w:b/>
        </w:rPr>
        <w:t>Identify</w:t>
      </w:r>
      <w:r w:rsidR="00777A7B" w:rsidRPr="0017168A">
        <w:rPr>
          <w:b/>
        </w:rPr>
        <w:t>ing</w:t>
      </w:r>
      <w:r w:rsidR="00E7401F" w:rsidRPr="0017168A">
        <w:rPr>
          <w:b/>
        </w:rPr>
        <w:t xml:space="preserve"> Duplication</w:t>
      </w:r>
      <w:r w:rsidR="00777A7B" w:rsidRPr="0017168A">
        <w:rPr>
          <w:b/>
        </w:rPr>
        <w:t>s</w:t>
      </w:r>
    </w:p>
    <w:p w14:paraId="3C920071" w14:textId="4CB162F7" w:rsidR="00C87774" w:rsidRPr="009F6A06" w:rsidRDefault="0057170A" w:rsidP="009F6A06">
      <w:pPr>
        <w:spacing w:before="120" w:after="120"/>
        <w:ind w:left="1440"/>
      </w:pPr>
      <w:bookmarkStart w:id="0" w:name="_GoBack"/>
      <w:r>
        <w:t>The information collected through this survey is unique to this program and not available elsewhere.</w:t>
      </w:r>
      <w:bookmarkEnd w:id="0"/>
      <w:r>
        <w:t xml:space="preserve">  </w:t>
      </w:r>
    </w:p>
    <w:p w14:paraId="4827D22E" w14:textId="2481213F" w:rsidR="00523C34" w:rsidRPr="00D910BB" w:rsidRDefault="00824CA8" w:rsidP="0017168A">
      <w:pPr>
        <w:spacing w:before="120" w:after="120"/>
        <w:ind w:left="720"/>
        <w:rPr>
          <w:b/>
        </w:rPr>
      </w:pPr>
      <w:r w:rsidRPr="008B17D3">
        <w:rPr>
          <w:b/>
          <w:bCs/>
        </w:rPr>
        <w:lastRenderedPageBreak/>
        <w:t>6.</w:t>
      </w:r>
      <w:r>
        <w:rPr>
          <w:b/>
        </w:rPr>
        <w:tab/>
      </w:r>
      <w:r w:rsidR="00523C34" w:rsidRPr="008B17D3">
        <w:rPr>
          <w:b/>
          <w:bCs/>
        </w:rPr>
        <w:t xml:space="preserve">Time Period </w:t>
      </w:r>
      <w:r w:rsidR="00A571DC" w:rsidRPr="008B17D3">
        <w:rPr>
          <w:b/>
          <w:bCs/>
        </w:rPr>
        <w:t>O</w:t>
      </w:r>
      <w:r w:rsidRPr="008B17D3">
        <w:rPr>
          <w:b/>
          <w:bCs/>
        </w:rPr>
        <w:t xml:space="preserve">ver </w:t>
      </w:r>
      <w:r w:rsidR="00523C34" w:rsidRPr="008B17D3">
        <w:rPr>
          <w:b/>
          <w:bCs/>
        </w:rPr>
        <w:t xml:space="preserve">Which </w:t>
      </w:r>
      <w:r w:rsidR="03D78A16" w:rsidRPr="008B17D3">
        <w:rPr>
          <w:b/>
          <w:bCs/>
        </w:rPr>
        <w:t>Information</w:t>
      </w:r>
      <w:r w:rsidR="00523C34" w:rsidRPr="008B17D3">
        <w:rPr>
          <w:b/>
          <w:bCs/>
        </w:rPr>
        <w:t xml:space="preserve"> Will Be </w:t>
      </w:r>
      <w:r w:rsidR="00D910BB" w:rsidRPr="008B17D3">
        <w:rPr>
          <w:b/>
          <w:bCs/>
        </w:rPr>
        <w:t>C</w:t>
      </w:r>
      <w:r w:rsidR="00523C34" w:rsidRPr="008B17D3">
        <w:rPr>
          <w:b/>
          <w:bCs/>
        </w:rPr>
        <w:t>ollected</w:t>
      </w:r>
    </w:p>
    <w:p w14:paraId="3AB71477" w14:textId="307447E4" w:rsidR="00523C34" w:rsidRDefault="00523C34" w:rsidP="009F6A06">
      <w:pPr>
        <w:spacing w:before="120" w:after="120"/>
        <w:ind w:left="1440"/>
      </w:pPr>
      <w:r w:rsidRPr="00E868A7">
        <w:t xml:space="preserve">Data collection will occur from clearance of the instrument through the end of the contract’s </w:t>
      </w:r>
      <w:r w:rsidR="00C60FBE" w:rsidRPr="00E868A7">
        <w:t xml:space="preserve">performance </w:t>
      </w:r>
      <w:r w:rsidRPr="00E868A7">
        <w:t>period in 2016.</w:t>
      </w:r>
    </w:p>
    <w:p w14:paraId="1C98E656" w14:textId="20905E88" w:rsidR="00523C34" w:rsidRPr="001D7F32" w:rsidRDefault="00824CA8" w:rsidP="0017168A">
      <w:pPr>
        <w:spacing w:before="120" w:after="120"/>
        <w:ind w:left="720"/>
        <w:rPr>
          <w:b/>
        </w:rPr>
      </w:pPr>
      <w:r w:rsidRPr="008B17D3">
        <w:rPr>
          <w:b/>
          <w:bCs/>
        </w:rPr>
        <w:t>7.</w:t>
      </w:r>
      <w:r>
        <w:rPr>
          <w:b/>
        </w:rPr>
        <w:tab/>
      </w:r>
      <w:r w:rsidR="00D910BB" w:rsidRPr="008B17D3">
        <w:rPr>
          <w:b/>
          <w:bCs/>
        </w:rPr>
        <w:t xml:space="preserve">Expected Response Rate and </w:t>
      </w:r>
      <w:r w:rsidR="006239A9" w:rsidRPr="008B17D3">
        <w:rPr>
          <w:b/>
          <w:bCs/>
        </w:rPr>
        <w:t>Plan f</w:t>
      </w:r>
      <w:r w:rsidR="34A37EAB" w:rsidRPr="008B17D3">
        <w:rPr>
          <w:b/>
          <w:bCs/>
        </w:rPr>
        <w:t>or Follow-up f</w:t>
      </w:r>
      <w:r w:rsidR="006239A9" w:rsidRPr="008B17D3">
        <w:rPr>
          <w:b/>
          <w:bCs/>
        </w:rPr>
        <w:t>or</w:t>
      </w:r>
      <w:r w:rsidR="00D910BB" w:rsidRPr="008B17D3">
        <w:rPr>
          <w:b/>
          <w:bCs/>
        </w:rPr>
        <w:t xml:space="preserve"> Nonrespondents</w:t>
      </w:r>
    </w:p>
    <w:p w14:paraId="30C92133" w14:textId="61F7C8E8" w:rsidR="00D910BB" w:rsidRDefault="006A77AB" w:rsidP="009F6A06">
      <w:pPr>
        <w:spacing w:before="120" w:after="120"/>
        <w:ind w:left="1440"/>
      </w:pPr>
      <w:r w:rsidRPr="00E868A7">
        <w:t xml:space="preserve">A response rate of </w:t>
      </w:r>
      <w:r w:rsidR="00C97661" w:rsidRPr="00E868A7">
        <w:t>4</w:t>
      </w:r>
      <w:r w:rsidRPr="00E868A7">
        <w:t>0 to 6</w:t>
      </w:r>
      <w:r w:rsidR="00C97661" w:rsidRPr="00E868A7">
        <w:t>0</w:t>
      </w:r>
      <w:r w:rsidR="00D910BB" w:rsidRPr="00E868A7">
        <w:t xml:space="preserve"> percent is expected</w:t>
      </w:r>
      <w:r w:rsidR="003D7F70" w:rsidRPr="00E868A7">
        <w:t>.</w:t>
      </w:r>
      <w:r w:rsidR="009A2447" w:rsidRPr="00E868A7">
        <w:t xml:space="preserve"> </w:t>
      </w:r>
      <w:r w:rsidR="003D7F70" w:rsidRPr="00E868A7">
        <w:t xml:space="preserve"> </w:t>
      </w:r>
      <w:r w:rsidR="006C5BC7" w:rsidRPr="00A469B6">
        <w:t xml:space="preserve">GDTA </w:t>
      </w:r>
      <w:r w:rsidR="003D7F70" w:rsidRPr="009F6A06">
        <w:t xml:space="preserve">will </w:t>
      </w:r>
      <w:r w:rsidR="00BD0C1C" w:rsidRPr="009F6A06">
        <w:t xml:space="preserve">send </w:t>
      </w:r>
      <w:r w:rsidR="005B3574" w:rsidRPr="009F6A06">
        <w:t>three</w:t>
      </w:r>
      <w:r w:rsidR="003D7F70" w:rsidRPr="009F6A06">
        <w:t xml:space="preserve"> rounds of </w:t>
      </w:r>
      <w:r w:rsidR="001C20DF" w:rsidRPr="009F6A06">
        <w:t>prompts</w:t>
      </w:r>
      <w:r w:rsidR="003D7F70" w:rsidRPr="009F6A06">
        <w:t xml:space="preserve"> to nonrespondents</w:t>
      </w:r>
      <w:r w:rsidR="00A571DC" w:rsidRPr="009F6A06">
        <w:t>;</w:t>
      </w:r>
      <w:r w:rsidR="00BD0C1C" w:rsidRPr="009F6A06">
        <w:t xml:space="preserve"> </w:t>
      </w:r>
      <w:r w:rsidR="00FF1B41" w:rsidRPr="009F6A06">
        <w:t>the original</w:t>
      </w:r>
      <w:r w:rsidR="003D7F70" w:rsidRPr="009F6A06">
        <w:t xml:space="preserve"> round</w:t>
      </w:r>
      <w:r w:rsidR="00C42C22" w:rsidRPr="009F6A06">
        <w:t xml:space="preserve"> will</w:t>
      </w:r>
      <w:r w:rsidR="003D7F70" w:rsidRPr="009F6A06">
        <w:t xml:space="preserve"> immediately follow webinars</w:t>
      </w:r>
      <w:r w:rsidR="001C20DF" w:rsidRPr="009F6A06">
        <w:t>, modules</w:t>
      </w:r>
      <w:r w:rsidR="00BD0C1C" w:rsidRPr="009F6A06">
        <w:t xml:space="preserve"> and </w:t>
      </w:r>
      <w:r w:rsidR="003D7F70" w:rsidRPr="009F6A06">
        <w:t>virtual trainings</w:t>
      </w:r>
      <w:r w:rsidR="005B3574" w:rsidRPr="009F6A06">
        <w:t xml:space="preserve"> (including telephonic TA)</w:t>
      </w:r>
      <w:r w:rsidR="00BD0C1C" w:rsidRPr="009F6A06">
        <w:t>,</w:t>
      </w:r>
      <w:r w:rsidR="003D7F70" w:rsidRPr="009F6A06">
        <w:t xml:space="preserve"> a </w:t>
      </w:r>
      <w:r w:rsidR="00C42C22" w:rsidRPr="009F6A06">
        <w:t xml:space="preserve">reminder will be sent </w:t>
      </w:r>
      <w:r w:rsidR="003D7F70" w:rsidRPr="009F6A06">
        <w:t>the following day</w:t>
      </w:r>
      <w:r w:rsidR="005B3574" w:rsidRPr="009F6A06">
        <w:t xml:space="preserve">, and a </w:t>
      </w:r>
      <w:r w:rsidR="001C20DF" w:rsidRPr="009F6A06">
        <w:t>second reminder</w:t>
      </w:r>
      <w:r w:rsidR="005B3574" w:rsidRPr="009F6A06">
        <w:t xml:space="preserve"> a week later</w:t>
      </w:r>
      <w:r w:rsidR="003D7F70" w:rsidRPr="009F6A06">
        <w:t xml:space="preserve">. </w:t>
      </w:r>
      <w:r w:rsidR="009A2447" w:rsidRPr="009F6A06">
        <w:t xml:space="preserve"> </w:t>
      </w:r>
      <w:r w:rsidR="00B431D4" w:rsidRPr="009F6A06">
        <w:t>Follow</w:t>
      </w:r>
      <w:r w:rsidR="00204217" w:rsidRPr="009F6A06">
        <w:t xml:space="preserve"> </w:t>
      </w:r>
      <w:r w:rsidR="00B431D4" w:rsidRPr="009F6A06">
        <w:t xml:space="preserve">ups for in-person events will occur three and five days following the events.  </w:t>
      </w:r>
      <w:r w:rsidR="003D7F70" w:rsidRPr="009F6A06">
        <w:t xml:space="preserve">Cross-referencing respondents against the universe of </w:t>
      </w:r>
      <w:r w:rsidR="00324FF1" w:rsidRPr="009F6A06">
        <w:t>individuals</w:t>
      </w:r>
      <w:r w:rsidR="006C5BC7" w:rsidRPr="009F6A06">
        <w:t xml:space="preserve"> to whom </w:t>
      </w:r>
      <w:r w:rsidR="00BD0C1C" w:rsidRPr="009F6A06">
        <w:t xml:space="preserve">GDTA emailed </w:t>
      </w:r>
      <w:r w:rsidR="006C5BC7" w:rsidRPr="009F6A06">
        <w:t xml:space="preserve">the survey link </w:t>
      </w:r>
      <w:r w:rsidR="003D7F70" w:rsidRPr="009F6A06">
        <w:t>will identif</w:t>
      </w:r>
      <w:r w:rsidR="006C5BC7" w:rsidRPr="009F6A06">
        <w:t>y these non</w:t>
      </w:r>
      <w:r w:rsidR="003D7F70" w:rsidRPr="009F6A06">
        <w:t>respondents</w:t>
      </w:r>
      <w:r w:rsidR="006549D7" w:rsidRPr="009F6A06">
        <w:t>.</w:t>
      </w:r>
      <w:r w:rsidR="00C97661" w:rsidRPr="009F6A06">
        <w:t xml:space="preserve"> </w:t>
      </w:r>
      <w:r w:rsidR="009A2447" w:rsidRPr="009F6A06">
        <w:t xml:space="preserve"> </w:t>
      </w:r>
      <w:r w:rsidR="00C97661" w:rsidRPr="009F6A06">
        <w:t>There will be no follow</w:t>
      </w:r>
      <w:r w:rsidR="00204217" w:rsidRPr="009F6A06">
        <w:t xml:space="preserve"> </w:t>
      </w:r>
      <w:r w:rsidR="00C97661" w:rsidRPr="009F6A06">
        <w:t>up for paper-based surveys.</w:t>
      </w:r>
    </w:p>
    <w:p w14:paraId="2F0B5E98" w14:textId="63BC5331" w:rsidR="00523C34" w:rsidRPr="001D7F32" w:rsidRDefault="00824CA8" w:rsidP="0017168A">
      <w:pPr>
        <w:spacing w:before="120" w:after="120"/>
        <w:ind w:left="720"/>
        <w:rPr>
          <w:b/>
        </w:rPr>
      </w:pPr>
      <w:r w:rsidRPr="008B17D3">
        <w:rPr>
          <w:b/>
          <w:bCs/>
        </w:rPr>
        <w:t>8.</w:t>
      </w:r>
      <w:r>
        <w:rPr>
          <w:b/>
        </w:rPr>
        <w:tab/>
      </w:r>
      <w:r w:rsidR="00D910BB" w:rsidRPr="008B17D3">
        <w:rPr>
          <w:b/>
          <w:bCs/>
        </w:rPr>
        <w:t>Expected Ability to Assess Non</w:t>
      </w:r>
      <w:r w:rsidR="34A37EAB" w:rsidRPr="008B17D3">
        <w:rPr>
          <w:b/>
          <w:bCs/>
        </w:rPr>
        <w:t>-</w:t>
      </w:r>
      <w:r w:rsidR="3DCD57CC" w:rsidRPr="008B17D3">
        <w:rPr>
          <w:b/>
          <w:bCs/>
        </w:rPr>
        <w:t>R</w:t>
      </w:r>
      <w:r w:rsidR="00D910BB" w:rsidRPr="008B17D3">
        <w:rPr>
          <w:b/>
          <w:bCs/>
        </w:rPr>
        <w:t>esponse Bias Using Existing Information</w:t>
      </w:r>
    </w:p>
    <w:p w14:paraId="02CAB4FC" w14:textId="2F903A9A" w:rsidR="00D910BB" w:rsidRPr="000E3007" w:rsidRDefault="00D910BB" w:rsidP="009F6A06">
      <w:pPr>
        <w:spacing w:before="120" w:after="120"/>
        <w:ind w:left="1440"/>
      </w:pPr>
      <w:r w:rsidRPr="00E868A7">
        <w:t xml:space="preserve">A response </w:t>
      </w:r>
      <w:r w:rsidR="006A77AB" w:rsidRPr="00E868A7">
        <w:t xml:space="preserve">rate of </w:t>
      </w:r>
      <w:r w:rsidR="00C97661" w:rsidRPr="00E868A7">
        <w:t>4</w:t>
      </w:r>
      <w:r w:rsidR="006A77AB" w:rsidRPr="00E868A7">
        <w:t>0</w:t>
      </w:r>
      <w:r w:rsidRPr="00E868A7">
        <w:t xml:space="preserve"> to </w:t>
      </w:r>
      <w:r w:rsidR="006A77AB" w:rsidRPr="00E868A7">
        <w:t>6</w:t>
      </w:r>
      <w:r w:rsidR="00C97661" w:rsidRPr="00E868A7">
        <w:t>0</w:t>
      </w:r>
      <w:r w:rsidRPr="00E868A7">
        <w:t xml:space="preserve"> percent is expected</w:t>
      </w:r>
      <w:r w:rsidR="003D7F70" w:rsidRPr="00A469B6">
        <w:t>.</w:t>
      </w:r>
      <w:r w:rsidR="003D7F70" w:rsidRPr="009F6A06">
        <w:t xml:space="preserve"> </w:t>
      </w:r>
      <w:r w:rsidR="009A2447" w:rsidRPr="009F6A06">
        <w:t xml:space="preserve"> </w:t>
      </w:r>
      <w:r w:rsidR="006C5BC7" w:rsidRPr="009F6A06">
        <w:t xml:space="preserve">GDTA </w:t>
      </w:r>
      <w:r w:rsidR="001D7F32" w:rsidRPr="009F6A06">
        <w:t>do</w:t>
      </w:r>
      <w:r w:rsidR="006C5BC7" w:rsidRPr="009F6A06">
        <w:t>es</w:t>
      </w:r>
      <w:r w:rsidR="001D7F32" w:rsidRPr="009F6A06">
        <w:t xml:space="preserve"> not expect nonresponse bias, but knowledge of some characteristics of nonrespondents based on pre-sample information will allow us to determine whether nonrespondents are distinct with regard to program experience, program type, or </w:t>
      </w:r>
      <w:r w:rsidR="00A571DC" w:rsidRPr="009F6A06">
        <w:t>C</w:t>
      </w:r>
      <w:r w:rsidR="001D7F32" w:rsidRPr="009F6A06">
        <w:t>enter.</w:t>
      </w:r>
    </w:p>
    <w:p w14:paraId="376FF9AA" w14:textId="7B2D4DDE" w:rsidR="00523C34" w:rsidRPr="00E636A6" w:rsidRDefault="00824CA8" w:rsidP="0017168A">
      <w:pPr>
        <w:spacing w:before="120" w:after="120"/>
        <w:ind w:left="720"/>
        <w:rPr>
          <w:b/>
        </w:rPr>
      </w:pPr>
      <w:r w:rsidRPr="008B17D3">
        <w:rPr>
          <w:b/>
          <w:bCs/>
        </w:rPr>
        <w:t>9.</w:t>
      </w:r>
      <w:r>
        <w:rPr>
          <w:b/>
        </w:rPr>
        <w:tab/>
      </w:r>
      <w:r w:rsidR="001D7F32" w:rsidRPr="008B17D3">
        <w:rPr>
          <w:b/>
          <w:bCs/>
        </w:rPr>
        <w:t xml:space="preserve">Methods Used to Maintain </w:t>
      </w:r>
      <w:r w:rsidR="3DCD57CC" w:rsidRPr="008B17D3">
        <w:rPr>
          <w:b/>
          <w:bCs/>
        </w:rPr>
        <w:t xml:space="preserve">Customer </w:t>
      </w:r>
      <w:r w:rsidR="001D7F32" w:rsidRPr="008B17D3">
        <w:rPr>
          <w:b/>
          <w:bCs/>
        </w:rPr>
        <w:t>Priva</w:t>
      </w:r>
      <w:r w:rsidR="00FB12F4" w:rsidRPr="008B17D3">
        <w:rPr>
          <w:b/>
          <w:bCs/>
        </w:rPr>
        <w:t>cy</w:t>
      </w:r>
    </w:p>
    <w:p w14:paraId="5DC9C693" w14:textId="3676D9AE" w:rsidR="00523C34" w:rsidRPr="009F6A06" w:rsidRDefault="00BD0C1C" w:rsidP="009F6A06">
      <w:pPr>
        <w:spacing w:before="120" w:after="120"/>
        <w:ind w:left="1440"/>
      </w:pPr>
      <w:r w:rsidRPr="00E868A7">
        <w:t>GDTA will submit the r</w:t>
      </w:r>
      <w:r w:rsidR="00387EB3" w:rsidRPr="00E868A7">
        <w:t xml:space="preserve">esults of individual TA </w:t>
      </w:r>
      <w:r w:rsidR="26EF8079" w:rsidRPr="00E868A7">
        <w:t>survey</w:t>
      </w:r>
      <w:r w:rsidR="00387EB3" w:rsidRPr="00E868A7">
        <w:t xml:space="preserve">s </w:t>
      </w:r>
      <w:r w:rsidR="00E636A6" w:rsidRPr="00E868A7">
        <w:t xml:space="preserve">to SAMHSA in aggregate, </w:t>
      </w:r>
      <w:r w:rsidR="00387EB3" w:rsidRPr="00E868A7">
        <w:t>for example, via monthly reports</w:t>
      </w:r>
      <w:r w:rsidR="003D7F70" w:rsidRPr="00E868A7">
        <w:t xml:space="preserve">. </w:t>
      </w:r>
      <w:r w:rsidR="009A2447" w:rsidRPr="00A469B6">
        <w:t xml:space="preserve"> </w:t>
      </w:r>
      <w:r w:rsidR="00E636A6" w:rsidRPr="009F6A06">
        <w:t xml:space="preserve">In addition, </w:t>
      </w:r>
      <w:r w:rsidR="008239A3" w:rsidRPr="009F6A06">
        <w:t xml:space="preserve">GDTA will not </w:t>
      </w:r>
      <w:r w:rsidR="0084481C" w:rsidRPr="009F6A06">
        <w:t>report</w:t>
      </w:r>
      <w:r w:rsidR="008239A3" w:rsidRPr="009F6A06">
        <w:t xml:space="preserve"> individual </w:t>
      </w:r>
      <w:r w:rsidR="00387EB3" w:rsidRPr="009F6A06">
        <w:t xml:space="preserve">respondents’ organizational affiliations </w:t>
      </w:r>
      <w:r w:rsidR="0084481C" w:rsidRPr="009F6A06">
        <w:t>to</w:t>
      </w:r>
      <w:r w:rsidR="00387EB3" w:rsidRPr="009F6A06">
        <w:t xml:space="preserve"> SAMHS</w:t>
      </w:r>
      <w:r w:rsidR="00FB12F4" w:rsidRPr="009F6A06">
        <w:t>A.</w:t>
      </w:r>
      <w:r w:rsidR="0033259C" w:rsidRPr="009F6A06">
        <w:t xml:space="preserve">  In order to protect the confidentiality of responses for programs or Centers with only a single respondent, analytical results for programs or Centers with only a single potential respondent will be combined with those for other similar programs within the same Center; those that cannot be aggregated in this manner will have their individual program-specific results suppressed in reporting (with explanatory footnotes included in tables)</w:t>
      </w:r>
      <w:r w:rsidR="00A571DC" w:rsidRPr="009F6A06">
        <w:t>,</w:t>
      </w:r>
      <w:r w:rsidR="0033259C" w:rsidRPr="009F6A06">
        <w:t xml:space="preserve"> but will be combined with other programs in the same Center, and with those with similar activity profile data using </w:t>
      </w:r>
      <w:r w:rsidR="26EF8079" w:rsidRPr="009F6A06">
        <w:t>survey</w:t>
      </w:r>
      <w:r w:rsidR="0033259C" w:rsidRPr="009F6A06">
        <w:t xml:space="preserve"> responses.  In the same vein, </w:t>
      </w:r>
      <w:r w:rsidR="00A469B6">
        <w:t>GDTA</w:t>
      </w:r>
      <w:r w:rsidR="00A469B6" w:rsidRPr="009F6A06">
        <w:t xml:space="preserve"> </w:t>
      </w:r>
      <w:r w:rsidR="0033259C" w:rsidRPr="009F6A06">
        <w:t xml:space="preserve">may either aggregate all Center responses together or suppress the reporting output of </w:t>
      </w:r>
      <w:r w:rsidR="004372E8" w:rsidRPr="009F6A06">
        <w:t xml:space="preserve">results where presentation of data would allow a Center’s sole respondent’s answers to be identified.  </w:t>
      </w:r>
      <w:r w:rsidR="0033259C" w:rsidRPr="009F6A06">
        <w:t>A</w:t>
      </w:r>
      <w:r w:rsidR="004372E8" w:rsidRPr="009F6A06">
        <w:t>ny</w:t>
      </w:r>
      <w:r w:rsidR="0033259C" w:rsidRPr="009F6A06">
        <w:t xml:space="preserve"> subsequent discussion of analysis “by program” should be understood to include such combinations or suppression of small-cell results.</w:t>
      </w:r>
    </w:p>
    <w:p w14:paraId="209BAB56" w14:textId="77777777" w:rsidR="00D5767C" w:rsidRPr="00E636A6" w:rsidRDefault="00D5767C" w:rsidP="0017168A"/>
    <w:p w14:paraId="2ABC24A4" w14:textId="32693323" w:rsidR="000E3007" w:rsidRPr="0017168A" w:rsidRDefault="00E90AF6" w:rsidP="00F76E74">
      <w:pPr>
        <w:pStyle w:val="Heading2"/>
        <w:spacing w:before="120" w:line="360" w:lineRule="auto"/>
        <w:rPr>
          <w:rFonts w:ascii="Times New Roman" w:hAnsi="Times New Roman"/>
          <w:sz w:val="24"/>
          <w:szCs w:val="24"/>
        </w:rPr>
      </w:pPr>
      <w:r w:rsidRPr="38C76DAA">
        <w:rPr>
          <w:rFonts w:ascii="Times New Roman" w:hAnsi="Times New Roman"/>
          <w:sz w:val="24"/>
          <w:szCs w:val="24"/>
        </w:rPr>
        <w:t xml:space="preserve">D.  </w:t>
      </w:r>
      <w:r w:rsidR="00824CA8">
        <w:rPr>
          <w:rFonts w:ascii="Times New Roman" w:hAnsi="Times New Roman"/>
          <w:sz w:val="24"/>
          <w:szCs w:val="24"/>
        </w:rPr>
        <w:tab/>
      </w:r>
      <w:r w:rsidR="003C15FA" w:rsidRPr="38C76DAA">
        <w:rPr>
          <w:rFonts w:ascii="Times New Roman" w:hAnsi="Times New Roman"/>
          <w:sz w:val="24"/>
          <w:szCs w:val="24"/>
        </w:rPr>
        <w:t xml:space="preserve">Annual </w:t>
      </w:r>
      <w:r w:rsidRPr="38C76DAA">
        <w:rPr>
          <w:rFonts w:ascii="Times New Roman" w:hAnsi="Times New Roman"/>
          <w:sz w:val="24"/>
          <w:szCs w:val="24"/>
        </w:rPr>
        <w:t xml:space="preserve">Response </w:t>
      </w:r>
      <w:r w:rsidR="003C15FA" w:rsidRPr="38C76DAA">
        <w:rPr>
          <w:rFonts w:ascii="Times New Roman" w:hAnsi="Times New Roman"/>
          <w:sz w:val="24"/>
          <w:szCs w:val="24"/>
        </w:rPr>
        <w:t>Burden</w:t>
      </w:r>
      <w:r w:rsidRPr="38C76DAA">
        <w:rPr>
          <w:rFonts w:ascii="Times New Roman" w:hAnsi="Times New Roman"/>
          <w:sz w:val="24"/>
          <w:szCs w:val="24"/>
        </w:rPr>
        <w:t xml:space="preserve"> Estimate </w:t>
      </w:r>
    </w:p>
    <w:tbl>
      <w:tblPr>
        <w:tblStyle w:val="LightList1"/>
        <w:tblW w:w="4773" w:type="pct"/>
        <w:tblInd w:w="720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396"/>
        <w:gridCol w:w="1512"/>
        <w:gridCol w:w="1416"/>
        <w:gridCol w:w="1267"/>
        <w:gridCol w:w="1171"/>
        <w:gridCol w:w="805"/>
        <w:gridCol w:w="885"/>
        <w:gridCol w:w="885"/>
      </w:tblGrid>
      <w:tr w:rsidR="009110E9" w:rsidRPr="008B72FD" w14:paraId="55BC77F7" w14:textId="77777777" w:rsidTr="00171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  <w:vAlign w:val="center"/>
          </w:tcPr>
          <w:p w14:paraId="5413DB83" w14:textId="4B24FF1C" w:rsidR="000E3007" w:rsidRPr="008B72FD" w:rsidRDefault="000E3007" w:rsidP="0017168A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iCs/>
                <w:color w:val="FFFFFF"/>
              </w:rPr>
            </w:pPr>
            <w:r w:rsidRPr="008B72FD">
              <w:rPr>
                <w:rFonts w:asciiTheme="majorHAnsi" w:hAnsiTheme="majorHAnsi"/>
                <w:iCs/>
                <w:color w:val="FFFFFF"/>
              </w:rPr>
              <w:t>T</w:t>
            </w:r>
            <w:r w:rsidR="00324FF1">
              <w:rPr>
                <w:rFonts w:asciiTheme="majorHAnsi" w:hAnsiTheme="majorHAnsi"/>
                <w:iCs/>
                <w:color w:val="FFFFFF"/>
              </w:rPr>
              <w:t>raining/</w:t>
            </w:r>
            <w:r w:rsidRPr="008B72FD">
              <w:rPr>
                <w:rFonts w:asciiTheme="majorHAnsi" w:hAnsiTheme="majorHAnsi"/>
                <w:iCs/>
                <w:color w:val="FFFFFF"/>
              </w:rPr>
              <w:t>TA Provider</w:t>
            </w:r>
          </w:p>
        </w:tc>
        <w:tc>
          <w:tcPr>
            <w:tcW w:w="800" w:type="pct"/>
            <w:vAlign w:val="center"/>
          </w:tcPr>
          <w:p w14:paraId="18D908EF" w14:textId="07078AB4" w:rsidR="000E3007" w:rsidRPr="00105C97" w:rsidRDefault="008B72FD" w:rsidP="00171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 w:val="0"/>
                <w:color w:val="FFFFFF"/>
              </w:rPr>
            </w:pPr>
            <w:r w:rsidRPr="000821D8">
              <w:rPr>
                <w:rFonts w:asciiTheme="majorHAnsi" w:hAnsiTheme="majorHAnsi"/>
                <w:color w:val="FFFFFF"/>
              </w:rPr>
              <w:t>Number of R</w:t>
            </w:r>
            <w:r w:rsidR="000E3007" w:rsidRPr="000821D8">
              <w:rPr>
                <w:rFonts w:asciiTheme="majorHAnsi" w:hAnsiTheme="majorHAnsi"/>
                <w:color w:val="FFFFFF"/>
              </w:rPr>
              <w:t>espondents</w:t>
            </w:r>
          </w:p>
        </w:tc>
        <w:tc>
          <w:tcPr>
            <w:tcW w:w="748" w:type="pct"/>
            <w:vAlign w:val="center"/>
          </w:tcPr>
          <w:p w14:paraId="59387238" w14:textId="2143AD81" w:rsidR="000E3007" w:rsidRPr="00105C97" w:rsidRDefault="0039306A" w:rsidP="00171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 w:val="0"/>
                <w:iCs/>
                <w:color w:val="FFFFFF"/>
              </w:rPr>
            </w:pPr>
            <w:r w:rsidRPr="000821D8">
              <w:rPr>
                <w:rFonts w:asciiTheme="majorHAnsi" w:hAnsiTheme="majorHAnsi"/>
                <w:iCs/>
                <w:color w:val="FFFFFF"/>
              </w:rPr>
              <w:t>Responses per R</w:t>
            </w:r>
            <w:r w:rsidR="000E3007" w:rsidRPr="000821D8">
              <w:rPr>
                <w:rFonts w:asciiTheme="majorHAnsi" w:hAnsiTheme="majorHAnsi"/>
                <w:iCs/>
                <w:color w:val="FFFFFF"/>
              </w:rPr>
              <w:t>espondent</w:t>
            </w:r>
          </w:p>
        </w:tc>
        <w:tc>
          <w:tcPr>
            <w:tcW w:w="695" w:type="pct"/>
            <w:vAlign w:val="center"/>
          </w:tcPr>
          <w:p w14:paraId="6582AD6D" w14:textId="77777777" w:rsidR="000E3007" w:rsidRPr="00105C97" w:rsidRDefault="000E3007" w:rsidP="00171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 w:val="0"/>
                <w:color w:val="auto"/>
              </w:rPr>
            </w:pPr>
            <w:r w:rsidRPr="000821D8">
              <w:rPr>
                <w:rFonts w:asciiTheme="majorHAnsi" w:hAnsiTheme="majorHAnsi"/>
              </w:rPr>
              <w:t>Total Number of Responses</w:t>
            </w:r>
          </w:p>
        </w:tc>
        <w:tc>
          <w:tcPr>
            <w:tcW w:w="614" w:type="pct"/>
            <w:vAlign w:val="center"/>
          </w:tcPr>
          <w:p w14:paraId="61441BB1" w14:textId="4D024886" w:rsidR="000E3007" w:rsidRPr="00105C97" w:rsidRDefault="000E3007" w:rsidP="00171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 w:val="0"/>
                <w:iCs/>
                <w:color w:val="FFFFFF"/>
              </w:rPr>
            </w:pPr>
            <w:r w:rsidRPr="000821D8">
              <w:rPr>
                <w:rFonts w:asciiTheme="majorHAnsi" w:hAnsiTheme="majorHAnsi"/>
                <w:iCs/>
                <w:color w:val="FFFFFF"/>
              </w:rPr>
              <w:t xml:space="preserve">Hours/ </w:t>
            </w:r>
            <w:r w:rsidR="0039306A" w:rsidRPr="000821D8">
              <w:rPr>
                <w:rFonts w:asciiTheme="majorHAnsi" w:hAnsiTheme="majorHAnsi"/>
                <w:iCs/>
                <w:color w:val="FFFFFF"/>
              </w:rPr>
              <w:t>R</w:t>
            </w:r>
            <w:r w:rsidRPr="000821D8">
              <w:rPr>
                <w:rFonts w:asciiTheme="majorHAnsi" w:hAnsiTheme="majorHAnsi"/>
                <w:iCs/>
                <w:color w:val="FFFFFF"/>
              </w:rPr>
              <w:t>esponse</w:t>
            </w:r>
          </w:p>
        </w:tc>
        <w:tc>
          <w:tcPr>
            <w:tcW w:w="438" w:type="pct"/>
            <w:vAlign w:val="center"/>
          </w:tcPr>
          <w:p w14:paraId="0CE74120" w14:textId="75C91061" w:rsidR="000E3007" w:rsidRPr="008B72FD" w:rsidRDefault="000E3007" w:rsidP="00171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FFFFFF"/>
              </w:rPr>
            </w:pPr>
            <w:r w:rsidRPr="008B72FD">
              <w:rPr>
                <w:rFonts w:asciiTheme="majorHAnsi" w:hAnsiTheme="majorHAnsi"/>
                <w:color w:val="FFFFFF"/>
              </w:rPr>
              <w:t xml:space="preserve">Total </w:t>
            </w:r>
            <w:r w:rsidR="0039306A">
              <w:rPr>
                <w:rFonts w:asciiTheme="majorHAnsi" w:hAnsiTheme="majorHAnsi" w:cs="Times New Roman"/>
                <w:b w:val="0"/>
                <w:color w:val="FFFFFF"/>
              </w:rPr>
              <w:t>H</w:t>
            </w:r>
            <w:r w:rsidRPr="008B72FD">
              <w:rPr>
                <w:rFonts w:asciiTheme="majorHAnsi" w:hAnsiTheme="majorHAnsi"/>
                <w:color w:val="FFFFFF"/>
              </w:rPr>
              <w:t>ours</w:t>
            </w:r>
          </w:p>
        </w:tc>
        <w:tc>
          <w:tcPr>
            <w:tcW w:w="518" w:type="pct"/>
            <w:vAlign w:val="center"/>
          </w:tcPr>
          <w:p w14:paraId="1EBA2AB7" w14:textId="22614A99" w:rsidR="000E3007" w:rsidRPr="008B72FD" w:rsidRDefault="000E3007" w:rsidP="00C622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FFFFFF"/>
              </w:rPr>
            </w:pPr>
            <w:r w:rsidRPr="008B72FD">
              <w:rPr>
                <w:rFonts w:asciiTheme="majorHAnsi" w:hAnsiTheme="majorHAnsi"/>
                <w:color w:val="FFFFFF"/>
              </w:rPr>
              <w:t>Hourly Wage</w:t>
            </w:r>
            <w:r w:rsidR="00324FF1">
              <w:rPr>
                <w:rFonts w:asciiTheme="majorHAnsi" w:hAnsiTheme="majorHAnsi"/>
                <w:color w:val="FFFFFF"/>
                <w:vertAlign w:val="superscript"/>
              </w:rPr>
              <w:t>1</w:t>
            </w:r>
          </w:p>
        </w:tc>
        <w:tc>
          <w:tcPr>
            <w:tcW w:w="556" w:type="pct"/>
            <w:vAlign w:val="center"/>
          </w:tcPr>
          <w:p w14:paraId="670569E6" w14:textId="77777777" w:rsidR="000E3007" w:rsidRPr="008B72FD" w:rsidRDefault="000E3007" w:rsidP="00171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FFFFFF"/>
              </w:rPr>
            </w:pPr>
            <w:r w:rsidRPr="008B72FD">
              <w:rPr>
                <w:rFonts w:asciiTheme="majorHAnsi" w:hAnsiTheme="majorHAnsi"/>
                <w:color w:val="FFFFFF"/>
              </w:rPr>
              <w:t>Total Hourly Cost</w:t>
            </w:r>
          </w:p>
        </w:tc>
      </w:tr>
      <w:tr w:rsidR="009110E9" w:rsidRPr="00A447FF" w14:paraId="2457C2E1" w14:textId="77777777" w:rsidTr="00171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A6A6A6"/>
            <w:vAlign w:val="center"/>
          </w:tcPr>
          <w:p w14:paraId="3A532FA6" w14:textId="77777777" w:rsidR="000E3007" w:rsidRPr="00CF461D" w:rsidRDefault="000E3007" w:rsidP="0017168A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</w:rPr>
            </w:pPr>
          </w:p>
        </w:tc>
      </w:tr>
      <w:tr w:rsidR="009110E9" w:rsidRPr="00A447FF" w14:paraId="0FE84D85" w14:textId="77777777" w:rsidTr="00171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</w:tcPr>
          <w:p w14:paraId="55DC07D4" w14:textId="77777777" w:rsidR="000E3007" w:rsidRPr="00CF461D" w:rsidRDefault="000E3007" w:rsidP="0017168A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</w:rPr>
            </w:pPr>
            <w:r w:rsidRPr="00CF461D">
              <w:rPr>
                <w:rFonts w:asciiTheme="majorHAnsi" w:hAnsiTheme="majorHAnsi" w:cs="Times New Roman"/>
                <w:b w:val="0"/>
                <w:color w:val="000000"/>
              </w:rPr>
              <w:t>GDTA</w:t>
            </w:r>
          </w:p>
        </w:tc>
        <w:tc>
          <w:tcPr>
            <w:tcW w:w="800" w:type="pct"/>
            <w:vAlign w:val="center"/>
          </w:tcPr>
          <w:p w14:paraId="752544E7" w14:textId="2886C4A9" w:rsidR="000E3007" w:rsidRPr="00CF461D" w:rsidRDefault="000E3007" w:rsidP="00171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0CF461D">
              <w:rPr>
                <w:rFonts w:asciiTheme="majorHAnsi" w:hAnsiTheme="majorHAnsi" w:cs="Times New Roman"/>
                <w:color w:val="000000"/>
              </w:rPr>
              <w:t>500</w:t>
            </w:r>
          </w:p>
        </w:tc>
        <w:tc>
          <w:tcPr>
            <w:tcW w:w="748" w:type="pct"/>
            <w:vAlign w:val="center"/>
          </w:tcPr>
          <w:p w14:paraId="31D1398C" w14:textId="77777777" w:rsidR="000E3007" w:rsidRPr="00CF461D" w:rsidRDefault="000E3007" w:rsidP="00171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0CF461D"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695" w:type="pct"/>
            <w:vAlign w:val="center"/>
          </w:tcPr>
          <w:p w14:paraId="42996B6D" w14:textId="55335DC0" w:rsidR="000E3007" w:rsidRPr="00CF461D" w:rsidRDefault="000E3007" w:rsidP="00171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  <w:r w:rsidRPr="00CF461D">
              <w:rPr>
                <w:rFonts w:asciiTheme="majorHAnsi" w:hAnsiTheme="majorHAnsi" w:cs="Times New Roman"/>
              </w:rPr>
              <w:t>500</w:t>
            </w:r>
          </w:p>
        </w:tc>
        <w:tc>
          <w:tcPr>
            <w:tcW w:w="614" w:type="pct"/>
            <w:vAlign w:val="center"/>
          </w:tcPr>
          <w:p w14:paraId="12BB1DF3" w14:textId="77777777" w:rsidR="000E3007" w:rsidRPr="00CF461D" w:rsidRDefault="000E3007" w:rsidP="00171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0</w:t>
            </w:r>
            <w:r w:rsidRPr="00CF461D">
              <w:rPr>
                <w:rFonts w:asciiTheme="majorHAnsi" w:hAnsiTheme="majorHAnsi" w:cs="Times New Roman"/>
                <w:color w:val="000000"/>
              </w:rPr>
              <w:t>.1</w:t>
            </w:r>
          </w:p>
        </w:tc>
        <w:tc>
          <w:tcPr>
            <w:tcW w:w="438" w:type="pct"/>
            <w:vAlign w:val="center"/>
          </w:tcPr>
          <w:p w14:paraId="2F78B597" w14:textId="2EA0627C" w:rsidR="000E3007" w:rsidRPr="00CF461D" w:rsidRDefault="000E3007" w:rsidP="00171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0CF461D">
              <w:rPr>
                <w:rFonts w:asciiTheme="majorHAnsi" w:hAnsiTheme="majorHAnsi" w:cs="Times New Roman"/>
                <w:color w:val="000000"/>
              </w:rPr>
              <w:t>50</w:t>
            </w:r>
          </w:p>
        </w:tc>
        <w:tc>
          <w:tcPr>
            <w:tcW w:w="518" w:type="pct"/>
            <w:vAlign w:val="center"/>
          </w:tcPr>
          <w:p w14:paraId="44DB322E" w14:textId="77777777" w:rsidR="000E3007" w:rsidRPr="00CF461D" w:rsidRDefault="000E3007" w:rsidP="00171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$</w:t>
            </w:r>
            <w:r w:rsidRPr="00CF461D">
              <w:rPr>
                <w:rFonts w:asciiTheme="majorHAnsi" w:hAnsiTheme="majorHAnsi" w:cs="Times New Roman"/>
                <w:color w:val="000000"/>
              </w:rPr>
              <w:t>37.72</w:t>
            </w:r>
          </w:p>
        </w:tc>
        <w:tc>
          <w:tcPr>
            <w:tcW w:w="556" w:type="pct"/>
            <w:vAlign w:val="center"/>
          </w:tcPr>
          <w:p w14:paraId="2820DDC3" w14:textId="326EF43D" w:rsidR="000E3007" w:rsidRPr="00CF461D" w:rsidRDefault="000E3007" w:rsidP="001C2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0CF461D">
              <w:rPr>
                <w:rFonts w:asciiTheme="majorHAnsi" w:hAnsiTheme="majorHAnsi" w:cs="Times New Roman"/>
                <w:color w:val="000000"/>
              </w:rPr>
              <w:t>$</w:t>
            </w:r>
            <w:r w:rsidR="001C20DF">
              <w:rPr>
                <w:rFonts w:asciiTheme="majorHAnsi" w:hAnsiTheme="majorHAnsi" w:cs="Times New Roman"/>
                <w:color w:val="000000"/>
              </w:rPr>
              <w:t>1</w:t>
            </w:r>
            <w:r w:rsidRPr="00CF461D">
              <w:rPr>
                <w:rFonts w:asciiTheme="majorHAnsi" w:hAnsiTheme="majorHAnsi" w:cs="Times New Roman"/>
                <w:color w:val="000000"/>
              </w:rPr>
              <w:t>,</w:t>
            </w:r>
            <w:r w:rsidR="001C20DF">
              <w:rPr>
                <w:rFonts w:asciiTheme="majorHAnsi" w:hAnsiTheme="majorHAnsi" w:cs="Times New Roman"/>
                <w:color w:val="000000"/>
              </w:rPr>
              <w:t>886</w:t>
            </w:r>
          </w:p>
        </w:tc>
      </w:tr>
    </w:tbl>
    <w:p w14:paraId="3B53629E" w14:textId="65433C6D" w:rsidR="009110E9" w:rsidRDefault="00324FF1" w:rsidP="009110E9">
      <w:pPr>
        <w:pStyle w:val="Body"/>
        <w:spacing w:after="0" w:line="240" w:lineRule="auto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vertAlign w:val="superscript"/>
        </w:rPr>
        <w:lastRenderedPageBreak/>
        <w:t xml:space="preserve">1 </w:t>
      </w:r>
      <w:r w:rsidR="009110E9" w:rsidRPr="009110E9">
        <w:rPr>
          <w:rFonts w:ascii="Times New Roman" w:hAnsi="Times New Roman"/>
        </w:rPr>
        <w:t xml:space="preserve"> </w:t>
      </w:r>
      <w:r w:rsidRPr="00324FF1">
        <w:t xml:space="preserve"> </w:t>
      </w:r>
      <w:r w:rsidRPr="00C622EE">
        <w:rPr>
          <w:rFonts w:ascii="Times New Roman" w:hAnsi="Times New Roman"/>
          <w:sz w:val="20"/>
        </w:rPr>
        <w:t>Hourly Wage:  Given that most T</w:t>
      </w:r>
      <w:r w:rsidR="004C2B61">
        <w:rPr>
          <w:rFonts w:ascii="Times New Roman" w:hAnsi="Times New Roman"/>
          <w:sz w:val="20"/>
        </w:rPr>
        <w:t>/</w:t>
      </w:r>
      <w:r w:rsidRPr="00C622EE">
        <w:rPr>
          <w:rFonts w:ascii="Times New Roman" w:hAnsi="Times New Roman"/>
          <w:sz w:val="20"/>
        </w:rPr>
        <w:t>TA providers serve management-level personnel, the $37.72 rate is used as the mean hourly wage as reported on the Bureau of Labor Statistics website (</w:t>
      </w:r>
      <w:hyperlink r:id="rId11" w:history="1">
        <w:r w:rsidR="00C622EE" w:rsidRPr="00C622EE">
          <w:rPr>
            <w:rStyle w:val="Hyperlink"/>
            <w:rFonts w:ascii="Times New Roman" w:hAnsi="Times New Roman"/>
            <w:sz w:val="20"/>
          </w:rPr>
          <w:t>http://www.bls.gov/</w:t>
        </w:r>
      </w:hyperlink>
      <w:r w:rsidRPr="00C622EE">
        <w:rPr>
          <w:rFonts w:ascii="Times New Roman" w:hAnsi="Times New Roman"/>
          <w:sz w:val="20"/>
        </w:rPr>
        <w:t>).</w:t>
      </w:r>
      <w:r w:rsidR="00C622EE" w:rsidRPr="00C622EE">
        <w:rPr>
          <w:rFonts w:ascii="Times New Roman" w:hAnsi="Times New Roman"/>
          <w:sz w:val="20"/>
        </w:rPr>
        <w:t xml:space="preserve"> </w:t>
      </w:r>
      <w:r w:rsidRPr="00C622EE">
        <w:rPr>
          <w:rFonts w:ascii="Times New Roman" w:hAnsi="Times New Roman"/>
          <w:sz w:val="20"/>
        </w:rPr>
        <w:t>Annual hours are based on a 40-hour workweek for 48 weeks per year.</w:t>
      </w:r>
    </w:p>
    <w:p w14:paraId="3310B0F4" w14:textId="77777777" w:rsidR="00C622EE" w:rsidRPr="000D311B" w:rsidRDefault="00C622EE" w:rsidP="009110E9">
      <w:pPr>
        <w:pStyle w:val="Body"/>
        <w:spacing w:after="0" w:line="240" w:lineRule="auto"/>
        <w:ind w:left="720"/>
        <w:rPr>
          <w:rFonts w:ascii="Times New Roman" w:hAnsi="Times New Roman"/>
        </w:rPr>
      </w:pPr>
    </w:p>
    <w:p w14:paraId="5180C922" w14:textId="178FF468" w:rsidR="00004D4B" w:rsidRPr="00A447FF" w:rsidRDefault="009110E9" w:rsidP="00324FF1">
      <w:pPr>
        <w:pStyle w:val="Body"/>
        <w:spacing w:before="0" w:after="0" w:line="240" w:lineRule="auto"/>
        <w:ind w:left="720"/>
        <w:rPr>
          <w:rFonts w:ascii="Times New Roman" w:hAnsi="Times New Roman"/>
          <w:szCs w:val="24"/>
        </w:rPr>
      </w:pPr>
      <w:r w:rsidRPr="000B6CD1">
        <w:rPr>
          <w:rFonts w:ascii="Times New Roman" w:hAnsi="Times New Roman"/>
        </w:rPr>
        <w:t>The estimated annualized cost to respondents for the proposed data collection activities is $</w:t>
      </w:r>
      <w:r w:rsidR="001C20DF">
        <w:rPr>
          <w:rFonts w:ascii="Times New Roman" w:hAnsi="Times New Roman"/>
        </w:rPr>
        <w:t>1,886</w:t>
      </w:r>
      <w:r w:rsidRPr="000B6CD1">
        <w:rPr>
          <w:rFonts w:ascii="Times New Roman" w:hAnsi="Times New Roman"/>
        </w:rPr>
        <w:t xml:space="preserve">. </w:t>
      </w:r>
      <w:r w:rsidR="009A2447">
        <w:rPr>
          <w:rFonts w:ascii="Times New Roman" w:hAnsi="Times New Roman"/>
        </w:rPr>
        <w:t xml:space="preserve"> </w:t>
      </w:r>
      <w:r w:rsidRPr="000B6CD1">
        <w:rPr>
          <w:rFonts w:ascii="Times New Roman" w:hAnsi="Times New Roman"/>
        </w:rPr>
        <w:t xml:space="preserve">For the purposes of estimating annual cost, GDTA assumes that participants will complete the </w:t>
      </w:r>
      <w:r w:rsidR="01260234" w:rsidRPr="00E35521">
        <w:rPr>
          <w:rFonts w:ascii="Times New Roman" w:hAnsi="Times New Roman"/>
        </w:rPr>
        <w:t xml:space="preserve">satisfaction survey </w:t>
      </w:r>
      <w:r w:rsidRPr="000B6CD1">
        <w:rPr>
          <w:rFonts w:ascii="Times New Roman" w:hAnsi="Times New Roman"/>
        </w:rPr>
        <w:t>once.</w:t>
      </w:r>
    </w:p>
    <w:p w14:paraId="3CBD6A05" w14:textId="77777777" w:rsidR="00AD10B1" w:rsidRDefault="00AD10B1" w:rsidP="00324FF1">
      <w:pPr>
        <w:pStyle w:val="Heading2"/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4B10C52" w14:textId="4208AA89" w:rsidR="00D477DD" w:rsidRPr="00A447FF" w:rsidRDefault="003C15FA" w:rsidP="00324FF1">
      <w:pPr>
        <w:pStyle w:val="Heading2"/>
        <w:spacing w:before="0" w:after="0"/>
        <w:ind w:left="720"/>
        <w:rPr>
          <w:rFonts w:ascii="Times New Roman" w:hAnsi="Times New Roman"/>
          <w:sz w:val="24"/>
          <w:szCs w:val="24"/>
        </w:rPr>
      </w:pPr>
      <w:r w:rsidRPr="11E72E8A">
        <w:rPr>
          <w:rFonts w:ascii="Times New Roman" w:hAnsi="Times New Roman"/>
          <w:sz w:val="24"/>
          <w:szCs w:val="24"/>
        </w:rPr>
        <w:t>Estimates of Annual Cost to the Government</w:t>
      </w:r>
    </w:p>
    <w:p w14:paraId="27328001" w14:textId="7F2AE695" w:rsidR="00282929" w:rsidRDefault="000B58CE" w:rsidP="00324FF1">
      <w:pPr>
        <w:pStyle w:val="Body"/>
        <w:spacing w:before="0" w:after="0" w:line="240" w:lineRule="auto"/>
        <w:ind w:left="720"/>
        <w:rPr>
          <w:rFonts w:ascii="Times New Roman" w:hAnsi="Times New Roman"/>
          <w:szCs w:val="24"/>
        </w:rPr>
      </w:pPr>
      <w:r w:rsidRPr="00A447FF">
        <w:rPr>
          <w:rFonts w:ascii="Times New Roman" w:hAnsi="Times New Roman"/>
          <w:szCs w:val="24"/>
        </w:rPr>
        <w:t>The estimate</w:t>
      </w:r>
      <w:r w:rsidR="006C5BC7">
        <w:rPr>
          <w:rFonts w:ascii="Times New Roman" w:hAnsi="Times New Roman"/>
          <w:szCs w:val="24"/>
        </w:rPr>
        <w:t>d</w:t>
      </w:r>
      <w:r w:rsidRPr="00A447FF">
        <w:rPr>
          <w:rFonts w:ascii="Times New Roman" w:hAnsi="Times New Roman"/>
          <w:szCs w:val="24"/>
        </w:rPr>
        <w:t xml:space="preserve"> annualized cost to the government </w:t>
      </w:r>
      <w:r w:rsidR="00004D4B" w:rsidRPr="00A447FF">
        <w:rPr>
          <w:rFonts w:ascii="Times New Roman" w:hAnsi="Times New Roman"/>
          <w:szCs w:val="24"/>
        </w:rPr>
        <w:t>for the</w:t>
      </w:r>
      <w:r w:rsidR="001A1CC9" w:rsidRPr="00A447FF">
        <w:rPr>
          <w:rFonts w:ascii="Times New Roman" w:hAnsi="Times New Roman"/>
          <w:szCs w:val="24"/>
        </w:rPr>
        <w:t xml:space="preserve"> proposed data collection activities </w:t>
      </w:r>
      <w:r w:rsidR="00BC626F" w:rsidRPr="00A447FF">
        <w:rPr>
          <w:rFonts w:ascii="Times New Roman" w:hAnsi="Times New Roman"/>
          <w:szCs w:val="24"/>
        </w:rPr>
        <w:t xml:space="preserve">is </w:t>
      </w:r>
      <w:r w:rsidR="0020240C" w:rsidRPr="00A447FF">
        <w:rPr>
          <w:rFonts w:ascii="Times New Roman" w:hAnsi="Times New Roman"/>
          <w:szCs w:val="24"/>
        </w:rPr>
        <w:t>$</w:t>
      </w:r>
      <w:r w:rsidR="000A76C0">
        <w:rPr>
          <w:rFonts w:ascii="Times New Roman" w:hAnsi="Times New Roman"/>
          <w:szCs w:val="24"/>
        </w:rPr>
        <w:t>80</w:t>
      </w:r>
      <w:r w:rsidR="00B84C71">
        <w:rPr>
          <w:rFonts w:ascii="Times New Roman" w:hAnsi="Times New Roman"/>
          <w:szCs w:val="24"/>
        </w:rPr>
        <w:t>, which</w:t>
      </w:r>
      <w:r w:rsidR="00FD295C" w:rsidRPr="00A447FF">
        <w:rPr>
          <w:rFonts w:ascii="Times New Roman" w:hAnsi="Times New Roman"/>
          <w:szCs w:val="24"/>
        </w:rPr>
        <w:t xml:space="preserve"> include</w:t>
      </w:r>
      <w:r w:rsidR="00E90AF6" w:rsidRPr="00A447FF">
        <w:rPr>
          <w:rFonts w:ascii="Times New Roman" w:hAnsi="Times New Roman"/>
          <w:szCs w:val="24"/>
        </w:rPr>
        <w:t>s</w:t>
      </w:r>
      <w:r w:rsidR="00467530">
        <w:rPr>
          <w:rFonts w:ascii="Times New Roman" w:hAnsi="Times New Roman"/>
          <w:szCs w:val="24"/>
        </w:rPr>
        <w:t xml:space="preserve"> the expected cost for the </w:t>
      </w:r>
      <w:r w:rsidR="00D5716E">
        <w:rPr>
          <w:rFonts w:ascii="Times New Roman" w:hAnsi="Times New Roman"/>
          <w:szCs w:val="24"/>
        </w:rPr>
        <w:t>Contracting Officer’s Representative (</w:t>
      </w:r>
      <w:r w:rsidR="00467530">
        <w:rPr>
          <w:rFonts w:ascii="Times New Roman" w:hAnsi="Times New Roman"/>
          <w:szCs w:val="24"/>
        </w:rPr>
        <w:t>CO</w:t>
      </w:r>
      <w:r w:rsidR="00FD295C" w:rsidRPr="00A447FF">
        <w:rPr>
          <w:rFonts w:ascii="Times New Roman" w:hAnsi="Times New Roman"/>
          <w:szCs w:val="24"/>
        </w:rPr>
        <w:t>R</w:t>
      </w:r>
      <w:r w:rsidR="00D5716E">
        <w:rPr>
          <w:rFonts w:ascii="Times New Roman" w:hAnsi="Times New Roman"/>
          <w:szCs w:val="24"/>
        </w:rPr>
        <w:t>)</w:t>
      </w:r>
      <w:r w:rsidR="00FD295C" w:rsidRPr="00A447FF">
        <w:rPr>
          <w:rFonts w:ascii="Times New Roman" w:hAnsi="Times New Roman"/>
          <w:szCs w:val="24"/>
        </w:rPr>
        <w:t xml:space="preserve"> oversee</w:t>
      </w:r>
      <w:r w:rsidR="00B84C71">
        <w:rPr>
          <w:rFonts w:ascii="Times New Roman" w:hAnsi="Times New Roman"/>
          <w:szCs w:val="24"/>
        </w:rPr>
        <w:t>ing</w:t>
      </w:r>
      <w:r w:rsidR="00BE3A8D">
        <w:rPr>
          <w:rFonts w:ascii="Times New Roman" w:hAnsi="Times New Roman"/>
          <w:szCs w:val="24"/>
        </w:rPr>
        <w:t xml:space="preserve"> the</w:t>
      </w:r>
      <w:r w:rsidR="00FD295C" w:rsidRPr="00A447FF">
        <w:rPr>
          <w:rFonts w:ascii="Times New Roman" w:hAnsi="Times New Roman"/>
          <w:szCs w:val="24"/>
        </w:rPr>
        <w:t xml:space="preserve"> contract</w:t>
      </w:r>
      <w:r w:rsidR="000A76C0">
        <w:rPr>
          <w:rFonts w:ascii="Times New Roman" w:hAnsi="Times New Roman"/>
          <w:szCs w:val="24"/>
        </w:rPr>
        <w:t>.</w:t>
      </w:r>
    </w:p>
    <w:p w14:paraId="0CA11F14" w14:textId="198584A3" w:rsidR="0039306A" w:rsidRPr="00A447FF" w:rsidRDefault="00AD10B1" w:rsidP="00324FF1">
      <w:pPr>
        <w:pStyle w:val="Body"/>
        <w:tabs>
          <w:tab w:val="left" w:pos="2460"/>
        </w:tabs>
        <w:spacing w:before="0" w:after="0" w:line="240" w:lineRule="auto"/>
        <w:ind w:left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tbl>
      <w:tblPr>
        <w:tblW w:w="7308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407"/>
        <w:gridCol w:w="1383"/>
        <w:gridCol w:w="1260"/>
        <w:gridCol w:w="1620"/>
      </w:tblGrid>
      <w:tr w:rsidR="00875B86" w:rsidRPr="0039306A" w14:paraId="09810FD2" w14:textId="77777777" w:rsidTr="00E35521">
        <w:trPr>
          <w:trHeight w:val="513"/>
          <w:tblHeader/>
        </w:trPr>
        <w:tc>
          <w:tcPr>
            <w:tcW w:w="1638" w:type="dxa"/>
            <w:shd w:val="clear" w:color="auto" w:fill="000000" w:themeFill="text1"/>
            <w:vAlign w:val="center"/>
          </w:tcPr>
          <w:p w14:paraId="57657483" w14:textId="77777777" w:rsidR="008A5156" w:rsidRPr="00105C97" w:rsidRDefault="008A5156" w:rsidP="0017168A">
            <w:pPr>
              <w:jc w:val="center"/>
              <w:rPr>
                <w:rFonts w:asciiTheme="majorHAnsi" w:hAnsiTheme="majorHAnsi"/>
                <w:b/>
                <w:color w:val="FFFFFF"/>
              </w:rPr>
            </w:pPr>
            <w:r w:rsidRPr="00105C97">
              <w:rPr>
                <w:rFonts w:asciiTheme="majorHAnsi" w:hAnsiTheme="majorHAnsi"/>
                <w:b/>
                <w:color w:val="FFFFFF"/>
              </w:rPr>
              <w:t>Position</w:t>
            </w:r>
          </w:p>
        </w:tc>
        <w:tc>
          <w:tcPr>
            <w:tcW w:w="1407" w:type="dxa"/>
            <w:shd w:val="clear" w:color="auto" w:fill="000000" w:themeFill="text1"/>
            <w:vAlign w:val="center"/>
          </w:tcPr>
          <w:p w14:paraId="6A33B0BC" w14:textId="77777777" w:rsidR="008A5156" w:rsidRPr="00105C97" w:rsidRDefault="008A5156" w:rsidP="0017168A">
            <w:pPr>
              <w:jc w:val="center"/>
              <w:rPr>
                <w:rFonts w:asciiTheme="majorHAnsi" w:hAnsiTheme="majorHAnsi"/>
                <w:b/>
                <w:color w:val="FFFFFF"/>
              </w:rPr>
            </w:pPr>
            <w:r w:rsidRPr="00105C97">
              <w:rPr>
                <w:rFonts w:asciiTheme="majorHAnsi" w:hAnsiTheme="majorHAnsi"/>
                <w:b/>
                <w:color w:val="FFFFFF"/>
              </w:rPr>
              <w:t>Percent FTE</w:t>
            </w:r>
          </w:p>
        </w:tc>
        <w:tc>
          <w:tcPr>
            <w:tcW w:w="1383" w:type="dxa"/>
            <w:shd w:val="clear" w:color="auto" w:fill="000000" w:themeFill="text1"/>
            <w:vAlign w:val="center"/>
          </w:tcPr>
          <w:p w14:paraId="5C1012C2" w14:textId="77777777" w:rsidR="008A5156" w:rsidRPr="00105C97" w:rsidRDefault="008A5156" w:rsidP="0017168A">
            <w:pPr>
              <w:jc w:val="center"/>
              <w:rPr>
                <w:rFonts w:asciiTheme="majorHAnsi" w:hAnsiTheme="majorHAnsi"/>
                <w:b/>
                <w:color w:val="FFFFFF"/>
              </w:rPr>
            </w:pPr>
            <w:r w:rsidRPr="00105C97">
              <w:rPr>
                <w:rFonts w:asciiTheme="majorHAnsi" w:hAnsiTheme="majorHAnsi"/>
                <w:b/>
                <w:color w:val="FFFFFF"/>
              </w:rPr>
              <w:t>Annual Hours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6FAC7CFB" w14:textId="77777777" w:rsidR="008A5156" w:rsidRPr="00105C97" w:rsidRDefault="008A5156" w:rsidP="0017168A">
            <w:pPr>
              <w:jc w:val="center"/>
              <w:rPr>
                <w:rFonts w:asciiTheme="majorHAnsi" w:hAnsiTheme="majorHAnsi"/>
                <w:b/>
                <w:color w:val="FFFFFF"/>
              </w:rPr>
            </w:pPr>
            <w:r w:rsidRPr="00105C97">
              <w:rPr>
                <w:rFonts w:asciiTheme="majorHAnsi" w:hAnsiTheme="majorHAnsi"/>
                <w:b/>
                <w:color w:val="FFFFFF"/>
              </w:rPr>
              <w:t>Rate</w:t>
            </w:r>
          </w:p>
        </w:tc>
        <w:tc>
          <w:tcPr>
            <w:tcW w:w="1620" w:type="dxa"/>
            <w:shd w:val="clear" w:color="auto" w:fill="000000" w:themeFill="text1"/>
            <w:vAlign w:val="center"/>
          </w:tcPr>
          <w:p w14:paraId="4743A796" w14:textId="71E1207E" w:rsidR="008A5156" w:rsidRPr="00105C97" w:rsidRDefault="008A5156" w:rsidP="0017168A">
            <w:pPr>
              <w:jc w:val="center"/>
              <w:rPr>
                <w:rFonts w:asciiTheme="majorHAnsi" w:hAnsiTheme="majorHAnsi"/>
                <w:b/>
                <w:color w:val="FFFFFF"/>
              </w:rPr>
            </w:pPr>
            <w:r w:rsidRPr="00105C97">
              <w:rPr>
                <w:rFonts w:asciiTheme="majorHAnsi" w:eastAsiaTheme="majorEastAsia" w:hAnsiTheme="majorHAnsi" w:cstheme="majorBidi"/>
                <w:b/>
                <w:color w:val="FFFFFF"/>
              </w:rPr>
              <w:t>Total Annual Cost</w:t>
            </w:r>
          </w:p>
        </w:tc>
      </w:tr>
      <w:tr w:rsidR="00875B86" w:rsidRPr="00A447FF" w14:paraId="11DF2988" w14:textId="77777777" w:rsidTr="4446152B">
        <w:trPr>
          <w:trHeight w:val="313"/>
        </w:trPr>
        <w:tc>
          <w:tcPr>
            <w:tcW w:w="1638" w:type="dxa"/>
            <w:shd w:val="clear" w:color="auto" w:fill="auto"/>
            <w:vAlign w:val="center"/>
          </w:tcPr>
          <w:p w14:paraId="3748951A" w14:textId="77777777" w:rsidR="008A5156" w:rsidRPr="0017168A" w:rsidRDefault="00AA17E0" w:rsidP="0017168A">
            <w:pPr>
              <w:jc w:val="center"/>
              <w:rPr>
                <w:rFonts w:asciiTheme="majorHAnsi" w:hAnsiTheme="majorHAnsi"/>
                <w:color w:val="000000"/>
              </w:rPr>
            </w:pPr>
            <w:r w:rsidRPr="0017168A">
              <w:rPr>
                <w:rFonts w:asciiTheme="majorHAnsi" w:hAnsiTheme="majorHAnsi"/>
                <w:color w:val="000000"/>
              </w:rPr>
              <w:t>GDTA</w:t>
            </w:r>
            <w:r w:rsidR="001C6A91" w:rsidRPr="0017168A">
              <w:rPr>
                <w:rFonts w:asciiTheme="majorHAnsi" w:hAnsiTheme="majorHAnsi"/>
                <w:color w:val="000000"/>
              </w:rPr>
              <w:t xml:space="preserve"> COR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68CC78E" w14:textId="77777777" w:rsidR="008A5156" w:rsidRPr="0017168A" w:rsidRDefault="00AE48D3" w:rsidP="0039306A">
            <w:pPr>
              <w:jc w:val="center"/>
              <w:rPr>
                <w:rFonts w:asciiTheme="majorHAnsi" w:hAnsiTheme="majorHAnsi"/>
                <w:color w:val="000000"/>
              </w:rPr>
            </w:pPr>
            <w:r w:rsidRPr="0017168A">
              <w:rPr>
                <w:rFonts w:asciiTheme="majorHAnsi" w:hAnsiTheme="majorHAnsi"/>
                <w:color w:val="000000"/>
              </w:rPr>
              <w:t>0.1%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1D08CDF" w14:textId="77777777" w:rsidR="008A5156" w:rsidRPr="0017168A" w:rsidRDefault="00AE48D3" w:rsidP="0039306A">
            <w:pPr>
              <w:jc w:val="center"/>
              <w:rPr>
                <w:rFonts w:asciiTheme="majorHAnsi" w:hAnsiTheme="majorHAnsi"/>
                <w:color w:val="000000"/>
              </w:rPr>
            </w:pPr>
            <w:r w:rsidRPr="0017168A">
              <w:rPr>
                <w:rFonts w:asciiTheme="majorHAnsi" w:hAnsiTheme="majorHAnsi"/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B90B46" w14:textId="1BC695BC" w:rsidR="008A5156" w:rsidRPr="0017168A" w:rsidRDefault="00DF48D3" w:rsidP="003D7495">
            <w:pPr>
              <w:keepNext/>
              <w:keepLines/>
              <w:jc w:val="center"/>
              <w:outlineLvl w:val="6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$</w:t>
            </w:r>
            <w:r w:rsidR="00AE48D3" w:rsidRPr="0017168A">
              <w:rPr>
                <w:rFonts w:asciiTheme="majorHAnsi" w:hAnsiTheme="majorHAnsi"/>
                <w:color w:val="000000"/>
              </w:rPr>
              <w:t>40.0</w:t>
            </w:r>
            <w:r w:rsidR="0039306A">
              <w:rPr>
                <w:rFonts w:asciiTheme="majorHAnsi" w:hAnsiTheme="majorHAnsi"/>
                <w:color w:val="000000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F2421D" w14:textId="0A2C14CA" w:rsidR="008A5156" w:rsidRPr="0017168A" w:rsidRDefault="00DF48D3" w:rsidP="0039306A">
            <w:pPr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$</w:t>
            </w:r>
            <w:r w:rsidR="000A76C0" w:rsidRPr="0017168A">
              <w:rPr>
                <w:rFonts w:asciiTheme="majorHAnsi" w:hAnsiTheme="majorHAnsi"/>
                <w:color w:val="000000"/>
              </w:rPr>
              <w:t>80.00</w:t>
            </w:r>
          </w:p>
        </w:tc>
      </w:tr>
      <w:tr w:rsidR="00875B86" w:rsidRPr="00A447FF" w14:paraId="0777D7C1" w14:textId="77777777" w:rsidTr="4446152B">
        <w:trPr>
          <w:trHeight w:val="345"/>
        </w:trPr>
        <w:tc>
          <w:tcPr>
            <w:tcW w:w="1638" w:type="dxa"/>
            <w:shd w:val="clear" w:color="auto" w:fill="0C0C0C"/>
          </w:tcPr>
          <w:p w14:paraId="3948F576" w14:textId="77777777" w:rsidR="008A5156" w:rsidRPr="0017168A" w:rsidRDefault="008A5156" w:rsidP="0046254B">
            <w:pPr>
              <w:jc w:val="both"/>
              <w:rPr>
                <w:rFonts w:asciiTheme="majorHAnsi" w:hAnsiTheme="majorHAnsi"/>
                <w:color w:val="FFFFFF" w:themeColor="background1"/>
              </w:rPr>
            </w:pPr>
            <w:r w:rsidRPr="0017168A">
              <w:rPr>
                <w:rFonts w:asciiTheme="majorHAnsi" w:hAnsiTheme="majorHAnsi"/>
                <w:color w:val="FFFFFF" w:themeColor="background1"/>
              </w:rPr>
              <w:t> </w:t>
            </w:r>
            <w:r w:rsidRPr="0017168A">
              <w:rPr>
                <w:rFonts w:asciiTheme="majorHAnsi" w:hAnsiTheme="majorHAnsi"/>
                <w:b/>
                <w:bCs/>
                <w:color w:val="FFFFFF" w:themeColor="background1"/>
              </w:rPr>
              <w:t>Totals</w:t>
            </w:r>
          </w:p>
        </w:tc>
        <w:tc>
          <w:tcPr>
            <w:tcW w:w="1407" w:type="dxa"/>
            <w:shd w:val="clear" w:color="auto" w:fill="0C0C0C"/>
          </w:tcPr>
          <w:p w14:paraId="3EFD8C67" w14:textId="77777777" w:rsidR="008A5156" w:rsidRPr="0017168A" w:rsidRDefault="008A5156" w:rsidP="0046254B">
            <w:pPr>
              <w:jc w:val="center"/>
              <w:rPr>
                <w:rFonts w:asciiTheme="majorHAnsi" w:hAnsiTheme="majorHAnsi"/>
                <w:b/>
                <w:bCs/>
                <w:i/>
                <w:color w:val="FFFFFF" w:themeColor="background1"/>
              </w:rPr>
            </w:pPr>
          </w:p>
        </w:tc>
        <w:tc>
          <w:tcPr>
            <w:tcW w:w="1383" w:type="dxa"/>
            <w:shd w:val="clear" w:color="auto" w:fill="0C0C0C"/>
          </w:tcPr>
          <w:p w14:paraId="200031C6" w14:textId="77777777" w:rsidR="008A5156" w:rsidRPr="0017168A" w:rsidRDefault="000A76C0" w:rsidP="004625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17168A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260" w:type="dxa"/>
            <w:shd w:val="clear" w:color="auto" w:fill="0C0C0C"/>
          </w:tcPr>
          <w:p w14:paraId="4282310D" w14:textId="77777777" w:rsidR="008A5156" w:rsidRPr="0017168A" w:rsidRDefault="008A5156" w:rsidP="0046254B">
            <w:pPr>
              <w:jc w:val="center"/>
              <w:rPr>
                <w:rFonts w:asciiTheme="majorHAnsi" w:hAnsiTheme="majorHAnsi"/>
                <w:b/>
                <w:bCs/>
                <w:i/>
                <w:color w:val="FFFFFF" w:themeColor="background1"/>
              </w:rPr>
            </w:pPr>
          </w:p>
        </w:tc>
        <w:tc>
          <w:tcPr>
            <w:tcW w:w="1620" w:type="dxa"/>
            <w:shd w:val="clear" w:color="auto" w:fill="0C0C0C"/>
          </w:tcPr>
          <w:p w14:paraId="17A09B70" w14:textId="77777777" w:rsidR="008A5156" w:rsidRPr="0017168A" w:rsidRDefault="008A5156" w:rsidP="004625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17168A">
              <w:rPr>
                <w:rFonts w:asciiTheme="majorHAnsi" w:hAnsiTheme="majorHAnsi"/>
                <w:b/>
                <w:bCs/>
                <w:color w:val="FFFFFF" w:themeColor="background1"/>
              </w:rPr>
              <w:t>$</w:t>
            </w:r>
            <w:r w:rsidR="000A76C0" w:rsidRPr="0017168A">
              <w:rPr>
                <w:rFonts w:asciiTheme="majorHAnsi" w:hAnsiTheme="majorHAnsi"/>
                <w:b/>
                <w:bCs/>
                <w:color w:val="FFFFFF" w:themeColor="background1"/>
              </w:rPr>
              <w:t>80.00</w:t>
            </w:r>
          </w:p>
        </w:tc>
      </w:tr>
    </w:tbl>
    <w:p w14:paraId="7FBF48EE" w14:textId="77777777" w:rsidR="008A5156" w:rsidRPr="00A447FF" w:rsidRDefault="008A5156" w:rsidP="008A5156">
      <w:pPr>
        <w:rPr>
          <w:b/>
        </w:rPr>
      </w:pPr>
    </w:p>
    <w:p w14:paraId="685DC7DF" w14:textId="40F3E8FE" w:rsidR="000B659C" w:rsidRPr="00A447FF" w:rsidRDefault="008A5156" w:rsidP="00324FF1">
      <w:pPr>
        <w:pStyle w:val="Heading2"/>
        <w:spacing w:before="120" w:line="360" w:lineRule="auto"/>
        <w:rPr>
          <w:rFonts w:ascii="Times New Roman" w:hAnsi="Times New Roman"/>
          <w:sz w:val="24"/>
          <w:szCs w:val="24"/>
        </w:rPr>
      </w:pPr>
      <w:bookmarkStart w:id="1" w:name="_Toc189457721"/>
      <w:r w:rsidRPr="38C76DAA">
        <w:rPr>
          <w:rFonts w:ascii="Times New Roman" w:hAnsi="Times New Roman"/>
          <w:sz w:val="24"/>
          <w:szCs w:val="24"/>
        </w:rPr>
        <w:t>E</w:t>
      </w:r>
      <w:r w:rsidR="000B659C" w:rsidRPr="38C76DAA">
        <w:rPr>
          <w:rFonts w:ascii="Times New Roman" w:hAnsi="Times New Roman"/>
          <w:sz w:val="24"/>
          <w:szCs w:val="24"/>
        </w:rPr>
        <w:t>.</w:t>
      </w:r>
      <w:r w:rsidR="005857AB" w:rsidRPr="38C76DAA">
        <w:rPr>
          <w:rFonts w:ascii="Times New Roman" w:hAnsi="Times New Roman"/>
          <w:sz w:val="24"/>
          <w:szCs w:val="24"/>
        </w:rPr>
        <w:t xml:space="preserve"> </w:t>
      </w:r>
      <w:r w:rsidR="00824CA8">
        <w:rPr>
          <w:rFonts w:ascii="Times New Roman" w:hAnsi="Times New Roman"/>
          <w:sz w:val="24"/>
          <w:szCs w:val="24"/>
        </w:rPr>
        <w:tab/>
      </w:r>
      <w:r w:rsidR="005857AB" w:rsidRPr="38C76DAA">
        <w:rPr>
          <w:rFonts w:ascii="Times New Roman" w:hAnsi="Times New Roman"/>
          <w:sz w:val="24"/>
          <w:szCs w:val="24"/>
        </w:rPr>
        <w:t xml:space="preserve">Methods </w:t>
      </w:r>
      <w:r w:rsidR="006C5BC7" w:rsidRPr="38C76DAA">
        <w:rPr>
          <w:rFonts w:ascii="Times New Roman" w:hAnsi="Times New Roman"/>
          <w:sz w:val="24"/>
          <w:szCs w:val="24"/>
        </w:rPr>
        <w:t xml:space="preserve">Used to Develop </w:t>
      </w:r>
      <w:r w:rsidR="38C76DAA" w:rsidRPr="38C76DAA">
        <w:rPr>
          <w:rFonts w:ascii="Times New Roman" w:hAnsi="Times New Roman"/>
          <w:sz w:val="24"/>
          <w:szCs w:val="24"/>
        </w:rPr>
        <w:t xml:space="preserve">and Test the </w:t>
      </w:r>
      <w:r w:rsidR="006C5BC7" w:rsidRPr="38C76DAA">
        <w:rPr>
          <w:rFonts w:ascii="Times New Roman" w:hAnsi="Times New Roman"/>
          <w:sz w:val="24"/>
          <w:szCs w:val="24"/>
        </w:rPr>
        <w:t>Questions</w:t>
      </w:r>
    </w:p>
    <w:p w14:paraId="587762EB" w14:textId="723442CB" w:rsidR="00D5767C" w:rsidRDefault="0039306A" w:rsidP="00324FF1">
      <w:pPr>
        <w:pStyle w:val="Body"/>
        <w:spacing w:before="0" w:after="0" w:line="24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GDTA developed the survey</w:t>
      </w:r>
      <w:r w:rsidR="006C5BC7">
        <w:rPr>
          <w:rFonts w:ascii="Times New Roman" w:hAnsi="Times New Roman"/>
          <w:szCs w:val="24"/>
        </w:rPr>
        <w:t xml:space="preserve"> </w:t>
      </w:r>
      <w:r w:rsidR="00AE6D02">
        <w:rPr>
          <w:rFonts w:ascii="Times New Roman" w:hAnsi="Times New Roman"/>
          <w:szCs w:val="24"/>
        </w:rPr>
        <w:t>questions based on standard instructional design and assessment practices in accordance with Kirkpatrick’s four-level evaluation model.</w:t>
      </w:r>
    </w:p>
    <w:p w14:paraId="0FC19C88" w14:textId="77777777" w:rsidR="00F72E90" w:rsidRDefault="00F72E90" w:rsidP="00324FF1">
      <w:pPr>
        <w:pStyle w:val="Body"/>
        <w:spacing w:before="0" w:after="0" w:line="240" w:lineRule="auto"/>
        <w:ind w:left="720"/>
        <w:rPr>
          <w:rFonts w:ascii="Times New Roman" w:hAnsi="Times New Roman"/>
          <w:szCs w:val="24"/>
        </w:rPr>
      </w:pPr>
    </w:p>
    <w:p w14:paraId="0343C5F8" w14:textId="1B03E168" w:rsidR="0DE31B8A" w:rsidRDefault="00F72E90" w:rsidP="4E2233D9">
      <w:pPr>
        <w:ind w:left="720"/>
      </w:pPr>
      <w:r>
        <w:t>The common measures submitted here for OMB approval are the result of lengthy consultation and discussion among SAMHSA/GDTA personnel and training staff.  SAMHSA/GDTA senior officials made the final selection of these measures.</w:t>
      </w:r>
    </w:p>
    <w:bookmarkEnd w:id="1"/>
    <w:p w14:paraId="237BD6CC" w14:textId="35177C43" w:rsidR="1BEC8CCC" w:rsidRDefault="1BEC8CCC" w:rsidP="008B17D3">
      <w:pPr>
        <w:ind w:left="720"/>
      </w:pPr>
    </w:p>
    <w:p w14:paraId="5A0E75C3" w14:textId="5D540D90" w:rsidR="005A35A6" w:rsidRPr="00A447FF" w:rsidRDefault="4E2233D9" w:rsidP="00324FF1">
      <w:pPr>
        <w:pStyle w:val="Heading2"/>
        <w:spacing w:before="120" w:line="360" w:lineRule="auto"/>
        <w:rPr>
          <w:rFonts w:ascii="Times New Roman" w:hAnsi="Times New Roman"/>
          <w:b w:val="0"/>
          <w:sz w:val="24"/>
          <w:szCs w:val="24"/>
        </w:rPr>
      </w:pPr>
      <w:r w:rsidRPr="7CE16A53">
        <w:rPr>
          <w:rFonts w:ascii="Times New Roman" w:hAnsi="Times New Roman"/>
          <w:sz w:val="24"/>
          <w:szCs w:val="24"/>
        </w:rPr>
        <w:t>F</w:t>
      </w:r>
      <w:r w:rsidR="003D7F70" w:rsidRPr="7CE16A53">
        <w:rPr>
          <w:rFonts w:ascii="Times New Roman" w:hAnsi="Times New Roman"/>
          <w:sz w:val="24"/>
          <w:szCs w:val="24"/>
        </w:rPr>
        <w:t>.</w:t>
      </w:r>
      <w:r w:rsidR="00C9462D" w:rsidRPr="7CE16A53">
        <w:rPr>
          <w:rFonts w:ascii="Times New Roman" w:hAnsi="Times New Roman"/>
          <w:sz w:val="24"/>
          <w:szCs w:val="24"/>
        </w:rPr>
        <w:t xml:space="preserve"> </w:t>
      </w:r>
      <w:r w:rsidR="00E868A7">
        <w:rPr>
          <w:rFonts w:ascii="Times New Roman" w:hAnsi="Times New Roman"/>
          <w:sz w:val="24"/>
          <w:szCs w:val="24"/>
        </w:rPr>
        <w:tab/>
      </w:r>
      <w:r w:rsidRPr="7CE16A53">
        <w:rPr>
          <w:rFonts w:ascii="Times New Roman" w:hAnsi="Times New Roman"/>
          <w:sz w:val="24"/>
          <w:szCs w:val="24"/>
        </w:rPr>
        <w:t>Consultants within SAMHSA/GDTA and Outside the Agency</w:t>
      </w:r>
      <w:r w:rsidR="00824CA8">
        <w:rPr>
          <w:rFonts w:ascii="Times New Roman" w:hAnsi="Times New Roman"/>
          <w:sz w:val="24"/>
          <w:szCs w:val="24"/>
        </w:rPr>
        <w:tab/>
      </w:r>
    </w:p>
    <w:p w14:paraId="7C992AF8" w14:textId="24B76935" w:rsidR="00E868A7" w:rsidRDefault="00E868A7" w:rsidP="00F76E74">
      <w:pPr>
        <w:ind w:left="720"/>
      </w:pPr>
      <w:r>
        <w:t xml:space="preserve">The consultant within SAMHSA for the survey is Dr. Darren Fulmore, who also serves as the </w:t>
      </w:r>
      <w:r w:rsidR="00096CC0">
        <w:t>Alternate Contracting Reporting Officer (</w:t>
      </w:r>
      <w:r>
        <w:t>ACOR</w:t>
      </w:r>
      <w:r w:rsidR="00096CC0">
        <w:t>)</w:t>
      </w:r>
      <w:r>
        <w:t xml:space="preserve"> for the GDTA contract.</w:t>
      </w:r>
      <w:r w:rsidR="00096CC0">
        <w:t xml:space="preserve">  Dr. Fulmore’s contact information is</w:t>
      </w:r>
    </w:p>
    <w:p w14:paraId="7E483A79" w14:textId="77777777" w:rsidR="00096CC0" w:rsidRDefault="00096CC0" w:rsidP="00F76E74">
      <w:pPr>
        <w:ind w:left="720"/>
      </w:pPr>
    </w:p>
    <w:p w14:paraId="511E9B6F" w14:textId="2B4BDC04" w:rsidR="00096CC0" w:rsidRDefault="00096CC0" w:rsidP="00F76E74">
      <w:pPr>
        <w:ind w:left="720"/>
      </w:pPr>
      <w:r>
        <w:t>Darren Fulmore, Ph.D.</w:t>
      </w:r>
    </w:p>
    <w:p w14:paraId="121FB5BB" w14:textId="343CD04C" w:rsidR="00096CC0" w:rsidRDefault="00096CC0" w:rsidP="00F76E74">
      <w:pPr>
        <w:ind w:left="720"/>
      </w:pPr>
      <w:r>
        <w:t>Grantee Data Technical Assistance</w:t>
      </w:r>
    </w:p>
    <w:p w14:paraId="658B8366" w14:textId="1C0FD133" w:rsidR="00096CC0" w:rsidRDefault="00096CC0" w:rsidP="00F76E74">
      <w:pPr>
        <w:ind w:left="720"/>
      </w:pPr>
      <w:r>
        <w:t>Alternate Contracting Reporting Officer and CSAT Liaison</w:t>
      </w:r>
    </w:p>
    <w:p w14:paraId="469B2130" w14:textId="4854F625" w:rsidR="00A469B6" w:rsidRDefault="00A469B6" w:rsidP="00F76E74">
      <w:pPr>
        <w:ind w:left="720"/>
      </w:pPr>
      <w:r>
        <w:t>SAMHSA</w:t>
      </w:r>
    </w:p>
    <w:p w14:paraId="0801F864" w14:textId="77777777" w:rsidR="00A469B6" w:rsidRPr="009F6A06" w:rsidRDefault="00A469B6" w:rsidP="00A469B6">
      <w:pPr>
        <w:ind w:left="720"/>
      </w:pPr>
      <w:r w:rsidRPr="009F6A06">
        <w:t>1 Choke Cherry Road</w:t>
      </w:r>
    </w:p>
    <w:p w14:paraId="4EA2C15C" w14:textId="77777777" w:rsidR="00A469B6" w:rsidRPr="009F6A06" w:rsidRDefault="00A469B6" w:rsidP="00A469B6">
      <w:pPr>
        <w:ind w:left="720"/>
      </w:pPr>
      <w:r w:rsidRPr="009F6A06">
        <w:t>Rockville, MD 20850</w:t>
      </w:r>
    </w:p>
    <w:p w14:paraId="18443D0D" w14:textId="0CE6ED06" w:rsidR="00096CC0" w:rsidRDefault="00096CC0" w:rsidP="00F76E74">
      <w:pPr>
        <w:ind w:left="720"/>
      </w:pPr>
      <w:r>
        <w:t>(240) 276-2824</w:t>
      </w:r>
    </w:p>
    <w:p w14:paraId="25D93FFC" w14:textId="6E00ADCA" w:rsidR="00096CC0" w:rsidRDefault="00096CC0" w:rsidP="00F76E74">
      <w:pPr>
        <w:ind w:left="720"/>
      </w:pPr>
      <w:r>
        <w:t>Darren.fulmore@samhsa.hhs.gov</w:t>
      </w:r>
    </w:p>
    <w:p w14:paraId="1B126E3F" w14:textId="77777777" w:rsidR="00E868A7" w:rsidRDefault="00E868A7" w:rsidP="00F76E74">
      <w:pPr>
        <w:ind w:left="720"/>
      </w:pPr>
    </w:p>
    <w:p w14:paraId="35F9E58D" w14:textId="2C2C068D" w:rsidR="003D7F70" w:rsidRDefault="0057170A" w:rsidP="00F76E74">
      <w:pPr>
        <w:ind w:left="720"/>
      </w:pPr>
      <w:r>
        <w:t>The</w:t>
      </w:r>
      <w:r>
        <w:t xml:space="preserve"> </w:t>
      </w:r>
      <w:r w:rsidR="00EB0496">
        <w:t xml:space="preserve">statistical consultant for the design is Dr. Steven Sullivan of </w:t>
      </w:r>
      <w:r w:rsidR="00F524C6">
        <w:t xml:space="preserve">The </w:t>
      </w:r>
      <w:r w:rsidR="00EB0496">
        <w:t>Cloudburst Group</w:t>
      </w:r>
      <w:r w:rsidR="003D7F70">
        <w:t xml:space="preserve">. </w:t>
      </w:r>
      <w:r w:rsidR="006C030C">
        <w:t xml:space="preserve"> </w:t>
      </w:r>
      <w:r w:rsidR="00EB0496">
        <w:t xml:space="preserve">Dr. Sullivan is an econometrician with a history of successful study design and implementation for SAMHSA, including the data collection and evaluation planning for </w:t>
      </w:r>
      <w:r w:rsidR="00EB0496">
        <w:lastRenderedPageBreak/>
        <w:t>the Co-</w:t>
      </w:r>
      <w:r w:rsidR="00F76E74">
        <w:t>o</w:t>
      </w:r>
      <w:r w:rsidR="00EB0496">
        <w:t>ccurring Disorders Integration and Innovation (CODI) contract</w:t>
      </w:r>
      <w:r w:rsidR="003D7F70">
        <w:t xml:space="preserve">. </w:t>
      </w:r>
      <w:r w:rsidR="006C030C">
        <w:t xml:space="preserve"> </w:t>
      </w:r>
      <w:r w:rsidR="001A2F50">
        <w:t xml:space="preserve">He </w:t>
      </w:r>
      <w:r w:rsidR="00EB0496">
        <w:t>is also the lead for the data collection efforts (using Survey</w:t>
      </w:r>
      <w:r w:rsidR="006C030C">
        <w:t>M</w:t>
      </w:r>
      <w:r w:rsidR="00EB0496">
        <w:t>onkey’s research.net service) and the analysis of satisfaction data from the survey.</w:t>
      </w:r>
      <w:r w:rsidR="00824CA8">
        <w:t xml:space="preserve"> </w:t>
      </w:r>
      <w:r w:rsidR="00F76E74">
        <w:t xml:space="preserve"> </w:t>
      </w:r>
      <w:r w:rsidR="001A2F50">
        <w:t xml:space="preserve">Dr. Sullivan’s </w:t>
      </w:r>
      <w:r w:rsidR="00EB0496">
        <w:t>contact information is</w:t>
      </w:r>
    </w:p>
    <w:p w14:paraId="193E0038" w14:textId="4C0A53F8" w:rsidR="00EB0496" w:rsidRDefault="00EB0496" w:rsidP="0017168A">
      <w:pPr>
        <w:ind w:left="720"/>
      </w:pPr>
    </w:p>
    <w:p w14:paraId="7A9B11BF" w14:textId="7B478723" w:rsidR="00EB0496" w:rsidRDefault="00EB0496" w:rsidP="00F76E74">
      <w:pPr>
        <w:ind w:left="720"/>
      </w:pPr>
      <w:r>
        <w:t>Steven T. Sullivan, Ph</w:t>
      </w:r>
      <w:r w:rsidR="006C030C">
        <w:t>.</w:t>
      </w:r>
      <w:r>
        <w:t>D</w:t>
      </w:r>
      <w:r w:rsidR="006C030C">
        <w:t>.</w:t>
      </w:r>
    </w:p>
    <w:p w14:paraId="2A04CF70" w14:textId="77777777" w:rsidR="00EB0496" w:rsidRDefault="00EB0496" w:rsidP="0074207C">
      <w:pPr>
        <w:ind w:left="720"/>
      </w:pPr>
      <w:r>
        <w:t>Senior Director and Subject Matter Expert</w:t>
      </w:r>
    </w:p>
    <w:p w14:paraId="1596C9B1" w14:textId="77777777" w:rsidR="00EB0496" w:rsidRDefault="00EB0496" w:rsidP="0074207C">
      <w:pPr>
        <w:ind w:left="720"/>
      </w:pPr>
      <w:r>
        <w:t>Cloudburst Consulting Group, Inc.</w:t>
      </w:r>
    </w:p>
    <w:p w14:paraId="54C44226" w14:textId="77777777" w:rsidR="00EB0496" w:rsidRDefault="00EB0496" w:rsidP="003D3D0F">
      <w:pPr>
        <w:ind w:left="720"/>
      </w:pPr>
      <w:r>
        <w:t>8400 Corporate Drive, Suite 550</w:t>
      </w:r>
    </w:p>
    <w:p w14:paraId="082A8426" w14:textId="0218413B" w:rsidR="00EB0496" w:rsidRDefault="00EB0496" w:rsidP="00B069A7">
      <w:pPr>
        <w:ind w:left="720"/>
      </w:pPr>
      <w:r>
        <w:t xml:space="preserve">Landover, MD </w:t>
      </w:r>
      <w:r w:rsidR="006C030C">
        <w:t xml:space="preserve"> </w:t>
      </w:r>
      <w:r>
        <w:t>20785</w:t>
      </w:r>
    </w:p>
    <w:p w14:paraId="621C5F33" w14:textId="1982C945" w:rsidR="00EB0496" w:rsidRDefault="003D7F70" w:rsidP="00B069A7">
      <w:pPr>
        <w:ind w:left="720"/>
      </w:pPr>
      <w:r>
        <w:t>(</w:t>
      </w:r>
      <w:r w:rsidR="00EB0496">
        <w:t>301</w:t>
      </w:r>
      <w:r>
        <w:t xml:space="preserve">) </w:t>
      </w:r>
      <w:r w:rsidR="00EB0496">
        <w:t>385-6693</w:t>
      </w:r>
    </w:p>
    <w:p w14:paraId="757D069C" w14:textId="77777777" w:rsidR="00EB0496" w:rsidRPr="00A447FF" w:rsidRDefault="00EB0496">
      <w:pPr>
        <w:ind w:left="720"/>
      </w:pPr>
      <w:r>
        <w:t>steven.sullivan@cloudburstgroup.com</w:t>
      </w:r>
    </w:p>
    <w:p w14:paraId="212D3DF2" w14:textId="77777777" w:rsidR="00F76E74" w:rsidRDefault="00F76E74" w:rsidP="00C622EE">
      <w:pPr>
        <w:pStyle w:val="Heading2"/>
        <w:spacing w:before="120" w:line="360" w:lineRule="auto"/>
        <w:rPr>
          <w:rFonts w:ascii="Times New Roman" w:hAnsi="Times New Roman"/>
          <w:noProof/>
          <w:sz w:val="24"/>
          <w:szCs w:val="24"/>
        </w:rPr>
      </w:pPr>
    </w:p>
    <w:p w14:paraId="58737BC4" w14:textId="03600BCE" w:rsidR="00426E74" w:rsidRPr="00A447FF" w:rsidRDefault="1BEC8CCC" w:rsidP="00C622EE">
      <w:pPr>
        <w:pStyle w:val="Heading2"/>
        <w:spacing w:before="120" w:line="360" w:lineRule="auto"/>
        <w:rPr>
          <w:rFonts w:ascii="Times New Roman" w:hAnsi="Times New Roman"/>
          <w:noProof/>
          <w:sz w:val="24"/>
          <w:szCs w:val="24"/>
        </w:rPr>
      </w:pPr>
      <w:r w:rsidRPr="7205EB59">
        <w:rPr>
          <w:rFonts w:ascii="Times New Roman" w:hAnsi="Times New Roman"/>
          <w:noProof/>
          <w:sz w:val="24"/>
          <w:szCs w:val="24"/>
        </w:rPr>
        <w:t>G</w:t>
      </w:r>
      <w:r w:rsidR="00824CA8" w:rsidRPr="7205EB59">
        <w:rPr>
          <w:rFonts w:ascii="Times New Roman" w:hAnsi="Times New Roman"/>
          <w:noProof/>
          <w:sz w:val="24"/>
          <w:szCs w:val="24"/>
        </w:rPr>
        <w:t>.</w:t>
      </w:r>
      <w:r w:rsidR="00824CA8">
        <w:rPr>
          <w:rFonts w:ascii="Times New Roman" w:hAnsi="Times New Roman"/>
          <w:noProof/>
          <w:sz w:val="24"/>
          <w:szCs w:val="24"/>
        </w:rPr>
        <w:tab/>
      </w:r>
      <w:r w:rsidR="00426E74" w:rsidRPr="7205EB59">
        <w:rPr>
          <w:rFonts w:ascii="Times New Roman" w:hAnsi="Times New Roman"/>
          <w:noProof/>
          <w:sz w:val="24"/>
          <w:szCs w:val="24"/>
        </w:rPr>
        <w:t>List of Attachments</w:t>
      </w:r>
    </w:p>
    <w:p w14:paraId="615FFA06" w14:textId="416696E7" w:rsidR="00E24C62" w:rsidRDefault="00824CA8" w:rsidP="00F76E74">
      <w:r>
        <w:tab/>
      </w:r>
      <w:r w:rsidR="00905AE0" w:rsidRPr="008B17D3">
        <w:rPr>
          <w:b/>
          <w:bCs/>
        </w:rPr>
        <w:t>Attachment A</w:t>
      </w:r>
      <w:r w:rsidR="007042D2" w:rsidRPr="008B17D3">
        <w:rPr>
          <w:b/>
          <w:bCs/>
        </w:rPr>
        <w:t>:</w:t>
      </w:r>
      <w:r w:rsidR="006C030C" w:rsidRPr="008B17D3">
        <w:rPr>
          <w:b/>
          <w:bCs/>
        </w:rPr>
        <w:t xml:space="preserve"> </w:t>
      </w:r>
      <w:r w:rsidR="003E0CAA" w:rsidRPr="008B17D3">
        <w:rPr>
          <w:b/>
          <w:bCs/>
        </w:rPr>
        <w:t>GDTA Satisfaction Survey v3.0</w:t>
      </w:r>
    </w:p>
    <w:p w14:paraId="6A69A638" w14:textId="211CC643" w:rsidR="007042D2" w:rsidRDefault="007042D2" w:rsidP="00F76E74">
      <w:r>
        <w:tab/>
      </w:r>
      <w:r w:rsidRPr="008B17D3">
        <w:rPr>
          <w:b/>
          <w:bCs/>
        </w:rPr>
        <w:t>Attachment B:  Email to respondents</w:t>
      </w:r>
    </w:p>
    <w:p w14:paraId="1AB80822" w14:textId="395A6B41" w:rsidR="007042D2" w:rsidRPr="00A447FF" w:rsidRDefault="007042D2" w:rsidP="00F76E74">
      <w:r>
        <w:tab/>
      </w:r>
      <w:r w:rsidRPr="008B17D3">
        <w:rPr>
          <w:b/>
          <w:bCs/>
        </w:rPr>
        <w:t>Attachment C: Screenshots of Survey</w:t>
      </w:r>
    </w:p>
    <w:sectPr w:rsidR="007042D2" w:rsidRPr="00A447FF" w:rsidSect="008B17D3">
      <w:footerReference w:type="default" r:id="rId12"/>
      <w:headerReference w:type="first" r:id="rId13"/>
      <w:footnotePr>
        <w:numRestart w:val="eachSect"/>
      </w:footnotePr>
      <w:pgSz w:w="12240" w:h="15840"/>
      <w:pgMar w:top="1440" w:right="1440" w:bottom="1440" w:left="1440" w:header="54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A7C2B" w14:textId="77777777" w:rsidR="00382C0E" w:rsidRDefault="00382C0E">
      <w:r>
        <w:separator/>
      </w:r>
    </w:p>
  </w:endnote>
  <w:endnote w:type="continuationSeparator" w:id="0">
    <w:p w14:paraId="0192CBB5" w14:textId="77777777" w:rsidR="00382C0E" w:rsidRDefault="0038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raversGothic BT"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,MS Minch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0BBE5" w14:textId="77777777" w:rsidR="004C2B61" w:rsidRDefault="004C2B61" w:rsidP="008A021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170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80F7C" w14:textId="77777777" w:rsidR="00382C0E" w:rsidRDefault="00382C0E">
      <w:r>
        <w:separator/>
      </w:r>
    </w:p>
  </w:footnote>
  <w:footnote w:type="continuationSeparator" w:id="0">
    <w:p w14:paraId="0A4FD24F" w14:textId="77777777" w:rsidR="00382C0E" w:rsidRDefault="00382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FA972" w14:textId="77777777" w:rsidR="004C2B61" w:rsidRDefault="004C2B61" w:rsidP="00A1310E">
    <w:pPr>
      <w:tabs>
        <w:tab w:val="center" w:pos="4680"/>
        <w:tab w:val="left" w:pos="6785"/>
      </w:tabs>
      <w:spacing w:line="287" w:lineRule="atLeast"/>
      <w:outlineLvl w:val="0"/>
      <w:rPr>
        <w:b/>
      </w:rPr>
    </w:pPr>
    <w:r>
      <w:rPr>
        <w:b/>
      </w:rPr>
      <w:tab/>
    </w:r>
  </w:p>
  <w:p w14:paraId="403440FF" w14:textId="77777777" w:rsidR="004C2B61" w:rsidRDefault="004C2B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6A700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3EEA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0825E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B"/>
    <w:multiLevelType w:val="multilevel"/>
    <w:tmpl w:val="695EA29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C045D2"/>
    <w:multiLevelType w:val="hybridMultilevel"/>
    <w:tmpl w:val="83C47F92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435990"/>
    <w:multiLevelType w:val="hybridMultilevel"/>
    <w:tmpl w:val="79427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31BC5"/>
    <w:multiLevelType w:val="hybridMultilevel"/>
    <w:tmpl w:val="D45C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5551F"/>
    <w:multiLevelType w:val="singleLevel"/>
    <w:tmpl w:val="8CD2F778"/>
    <w:lvl w:ilvl="0">
      <w:numFmt w:val="bullet"/>
      <w:pStyle w:val="Table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8" w15:restartNumberingAfterBreak="0">
    <w:nsid w:val="23703A07"/>
    <w:multiLevelType w:val="hybridMultilevel"/>
    <w:tmpl w:val="C99C145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0D38C5"/>
    <w:multiLevelType w:val="hybridMultilevel"/>
    <w:tmpl w:val="EF344654"/>
    <w:lvl w:ilvl="0" w:tplc="93AA66E4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E1843"/>
    <w:multiLevelType w:val="hybridMultilevel"/>
    <w:tmpl w:val="98E4D1A0"/>
    <w:lvl w:ilvl="0" w:tplc="984E651A">
      <w:start w:val="1"/>
      <w:numFmt w:val="bullet"/>
      <w:pStyle w:val="AResume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C4305"/>
    <w:multiLevelType w:val="hybridMultilevel"/>
    <w:tmpl w:val="A14C4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B4008"/>
    <w:multiLevelType w:val="multilevel"/>
    <w:tmpl w:val="7CEE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B2D5C5F"/>
    <w:multiLevelType w:val="hybridMultilevel"/>
    <w:tmpl w:val="06FEA232"/>
    <w:lvl w:ilvl="0" w:tplc="74A41AC6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3C2DB8"/>
    <w:multiLevelType w:val="hybridMultilevel"/>
    <w:tmpl w:val="73EC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17166"/>
    <w:multiLevelType w:val="singleLevel"/>
    <w:tmpl w:val="D05016B2"/>
    <w:lvl w:ilvl="0">
      <w:start w:val="1"/>
      <w:numFmt w:val="bullet"/>
      <w:pStyle w:val="BulletCorpCape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</w:abstractNum>
  <w:abstractNum w:abstractNumId="16" w15:restartNumberingAfterBreak="0">
    <w:nsid w:val="3C1B0B3C"/>
    <w:multiLevelType w:val="hybridMultilevel"/>
    <w:tmpl w:val="61A08C34"/>
    <w:lvl w:ilvl="0" w:tplc="EC5C3ED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93BAE"/>
    <w:multiLevelType w:val="hybridMultilevel"/>
    <w:tmpl w:val="66183516"/>
    <w:lvl w:ilvl="0" w:tplc="F50EE2EA">
      <w:start w:val="1"/>
      <w:numFmt w:val="bullet"/>
      <w:pStyle w:val="Style1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9106D"/>
    <w:multiLevelType w:val="hybridMultilevel"/>
    <w:tmpl w:val="BB38F5DA"/>
    <w:lvl w:ilvl="0" w:tplc="0F5CAC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9" w15:restartNumberingAfterBreak="0">
    <w:nsid w:val="67A874B9"/>
    <w:multiLevelType w:val="singleLevel"/>
    <w:tmpl w:val="67A0D5FE"/>
    <w:lvl w:ilvl="0">
      <w:start w:val="1"/>
      <w:numFmt w:val="decimal"/>
      <w:pStyle w:val="TableNumbered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0" w15:restartNumberingAfterBreak="0">
    <w:nsid w:val="68B52B16"/>
    <w:multiLevelType w:val="hybridMultilevel"/>
    <w:tmpl w:val="BE0A2026"/>
    <w:lvl w:ilvl="0" w:tplc="B8D67F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F842E1"/>
    <w:multiLevelType w:val="hybridMultilevel"/>
    <w:tmpl w:val="F886B748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FFFFFFFF">
      <w:start w:val="1"/>
      <w:numFmt w:val="bullet"/>
      <w:pStyle w:val="Bullet1"/>
      <w:lvlText w:val="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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16"/>
      </w:rPr>
    </w:lvl>
    <w:lvl w:ilvl="6" w:tplc="FFFFFFFF">
      <w:start w:val="2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5735AD"/>
    <w:multiLevelType w:val="hybridMultilevel"/>
    <w:tmpl w:val="87BE1A8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13"/>
  </w:num>
  <w:num w:numId="5">
    <w:abstractNumId w:val="15"/>
  </w:num>
  <w:num w:numId="6">
    <w:abstractNumId w:val="21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  <w:num w:numId="13">
    <w:abstractNumId w:val="17"/>
  </w:num>
  <w:num w:numId="14">
    <w:abstractNumId w:val="18"/>
  </w:num>
  <w:num w:numId="15">
    <w:abstractNumId w:val="6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2"/>
  </w:num>
  <w:num w:numId="22">
    <w:abstractNumId w:val="20"/>
  </w:num>
  <w:num w:numId="23">
    <w:abstractNumId w:val="8"/>
  </w:num>
  <w:num w:numId="2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1"/>
  <w:activeWritingStyle w:appName="MSWord" w:lang="en-US" w:vendorID="2" w:dllVersion="6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49"/>
    <w:rsid w:val="00002383"/>
    <w:rsid w:val="00003AA8"/>
    <w:rsid w:val="0000419F"/>
    <w:rsid w:val="00004D4B"/>
    <w:rsid w:val="000058D3"/>
    <w:rsid w:val="00005CB7"/>
    <w:rsid w:val="000109B5"/>
    <w:rsid w:val="000112E9"/>
    <w:rsid w:val="000117F0"/>
    <w:rsid w:val="000154EF"/>
    <w:rsid w:val="000170E9"/>
    <w:rsid w:val="000172FF"/>
    <w:rsid w:val="00023805"/>
    <w:rsid w:val="00025D14"/>
    <w:rsid w:val="000263AE"/>
    <w:rsid w:val="00030206"/>
    <w:rsid w:val="00033273"/>
    <w:rsid w:val="00033FEB"/>
    <w:rsid w:val="0003418E"/>
    <w:rsid w:val="00034FF5"/>
    <w:rsid w:val="00037347"/>
    <w:rsid w:val="00037D9C"/>
    <w:rsid w:val="000400D2"/>
    <w:rsid w:val="00040C8B"/>
    <w:rsid w:val="00043134"/>
    <w:rsid w:val="000456C5"/>
    <w:rsid w:val="00050F96"/>
    <w:rsid w:val="000513F9"/>
    <w:rsid w:val="00051933"/>
    <w:rsid w:val="00051D7D"/>
    <w:rsid w:val="000524F2"/>
    <w:rsid w:val="00053723"/>
    <w:rsid w:val="00053F4E"/>
    <w:rsid w:val="0005705B"/>
    <w:rsid w:val="0005759B"/>
    <w:rsid w:val="00057DE6"/>
    <w:rsid w:val="00057F00"/>
    <w:rsid w:val="000631B3"/>
    <w:rsid w:val="0006382B"/>
    <w:rsid w:val="000648C5"/>
    <w:rsid w:val="00065413"/>
    <w:rsid w:val="000675BF"/>
    <w:rsid w:val="000703EC"/>
    <w:rsid w:val="0007148E"/>
    <w:rsid w:val="00071A69"/>
    <w:rsid w:val="00073E55"/>
    <w:rsid w:val="00073FC9"/>
    <w:rsid w:val="00076567"/>
    <w:rsid w:val="00076667"/>
    <w:rsid w:val="00080B98"/>
    <w:rsid w:val="000821D8"/>
    <w:rsid w:val="0008261F"/>
    <w:rsid w:val="00083924"/>
    <w:rsid w:val="00084C3F"/>
    <w:rsid w:val="00085FF2"/>
    <w:rsid w:val="00086D01"/>
    <w:rsid w:val="00087BB9"/>
    <w:rsid w:val="00090C7F"/>
    <w:rsid w:val="00091239"/>
    <w:rsid w:val="00092877"/>
    <w:rsid w:val="00093DF7"/>
    <w:rsid w:val="0009415C"/>
    <w:rsid w:val="0009467E"/>
    <w:rsid w:val="00094BB7"/>
    <w:rsid w:val="00095D8D"/>
    <w:rsid w:val="0009605E"/>
    <w:rsid w:val="000963E4"/>
    <w:rsid w:val="00096CC0"/>
    <w:rsid w:val="000A0A6C"/>
    <w:rsid w:val="000A0EF2"/>
    <w:rsid w:val="000A1D1F"/>
    <w:rsid w:val="000A38B2"/>
    <w:rsid w:val="000A3B5F"/>
    <w:rsid w:val="000A3C50"/>
    <w:rsid w:val="000A5053"/>
    <w:rsid w:val="000A63AB"/>
    <w:rsid w:val="000A76C0"/>
    <w:rsid w:val="000B21A1"/>
    <w:rsid w:val="000B4F59"/>
    <w:rsid w:val="000B58CE"/>
    <w:rsid w:val="000B6397"/>
    <w:rsid w:val="000B659C"/>
    <w:rsid w:val="000B6CD1"/>
    <w:rsid w:val="000B78E2"/>
    <w:rsid w:val="000C0684"/>
    <w:rsid w:val="000C167F"/>
    <w:rsid w:val="000C3363"/>
    <w:rsid w:val="000C4B5E"/>
    <w:rsid w:val="000C51E2"/>
    <w:rsid w:val="000C56E7"/>
    <w:rsid w:val="000C67CF"/>
    <w:rsid w:val="000C7993"/>
    <w:rsid w:val="000D114D"/>
    <w:rsid w:val="000D505A"/>
    <w:rsid w:val="000D62B2"/>
    <w:rsid w:val="000E3007"/>
    <w:rsid w:val="000E3447"/>
    <w:rsid w:val="000E45C4"/>
    <w:rsid w:val="000E542D"/>
    <w:rsid w:val="000F4D37"/>
    <w:rsid w:val="000F5845"/>
    <w:rsid w:val="000F58BE"/>
    <w:rsid w:val="000F6D31"/>
    <w:rsid w:val="001023B5"/>
    <w:rsid w:val="0010254F"/>
    <w:rsid w:val="0010314B"/>
    <w:rsid w:val="00103366"/>
    <w:rsid w:val="00103B2E"/>
    <w:rsid w:val="00104B44"/>
    <w:rsid w:val="00105BAB"/>
    <w:rsid w:val="00105C97"/>
    <w:rsid w:val="00106BCA"/>
    <w:rsid w:val="00110103"/>
    <w:rsid w:val="00112EE8"/>
    <w:rsid w:val="00114D4D"/>
    <w:rsid w:val="00122BF6"/>
    <w:rsid w:val="00124111"/>
    <w:rsid w:val="001269E2"/>
    <w:rsid w:val="0013087F"/>
    <w:rsid w:val="001312C2"/>
    <w:rsid w:val="00131724"/>
    <w:rsid w:val="00131EB2"/>
    <w:rsid w:val="001342A4"/>
    <w:rsid w:val="00134C85"/>
    <w:rsid w:val="00136121"/>
    <w:rsid w:val="001432D6"/>
    <w:rsid w:val="00144288"/>
    <w:rsid w:val="00144F83"/>
    <w:rsid w:val="00145FBF"/>
    <w:rsid w:val="001511B2"/>
    <w:rsid w:val="00152BEA"/>
    <w:rsid w:val="001531A3"/>
    <w:rsid w:val="00153EF5"/>
    <w:rsid w:val="00153F59"/>
    <w:rsid w:val="001543F5"/>
    <w:rsid w:val="00154C6C"/>
    <w:rsid w:val="00154F0D"/>
    <w:rsid w:val="0015572D"/>
    <w:rsid w:val="001561E7"/>
    <w:rsid w:val="001604E8"/>
    <w:rsid w:val="00161D66"/>
    <w:rsid w:val="0016259E"/>
    <w:rsid w:val="00166605"/>
    <w:rsid w:val="00166FF8"/>
    <w:rsid w:val="001706F4"/>
    <w:rsid w:val="00171441"/>
    <w:rsid w:val="0017168A"/>
    <w:rsid w:val="0017305A"/>
    <w:rsid w:val="00173FB2"/>
    <w:rsid w:val="001760C7"/>
    <w:rsid w:val="00177253"/>
    <w:rsid w:val="0017764F"/>
    <w:rsid w:val="001776D3"/>
    <w:rsid w:val="00180B38"/>
    <w:rsid w:val="00181291"/>
    <w:rsid w:val="00181B75"/>
    <w:rsid w:val="00184E57"/>
    <w:rsid w:val="00185D88"/>
    <w:rsid w:val="001903AC"/>
    <w:rsid w:val="00190BDA"/>
    <w:rsid w:val="001918A6"/>
    <w:rsid w:val="00191F11"/>
    <w:rsid w:val="001931EB"/>
    <w:rsid w:val="00193C33"/>
    <w:rsid w:val="0019485C"/>
    <w:rsid w:val="00194AE6"/>
    <w:rsid w:val="00195041"/>
    <w:rsid w:val="00195AB9"/>
    <w:rsid w:val="00196408"/>
    <w:rsid w:val="00197025"/>
    <w:rsid w:val="00197FEE"/>
    <w:rsid w:val="001A025F"/>
    <w:rsid w:val="001A0721"/>
    <w:rsid w:val="001A0D2F"/>
    <w:rsid w:val="001A1CC9"/>
    <w:rsid w:val="001A26A7"/>
    <w:rsid w:val="001A26FE"/>
    <w:rsid w:val="001A2804"/>
    <w:rsid w:val="001A2F50"/>
    <w:rsid w:val="001A39D1"/>
    <w:rsid w:val="001A412D"/>
    <w:rsid w:val="001A4155"/>
    <w:rsid w:val="001A52CE"/>
    <w:rsid w:val="001A6BBA"/>
    <w:rsid w:val="001B08B7"/>
    <w:rsid w:val="001B3D2A"/>
    <w:rsid w:val="001B4D9D"/>
    <w:rsid w:val="001B617E"/>
    <w:rsid w:val="001B67E9"/>
    <w:rsid w:val="001B7123"/>
    <w:rsid w:val="001B7AFA"/>
    <w:rsid w:val="001C20DF"/>
    <w:rsid w:val="001C24E2"/>
    <w:rsid w:val="001C2745"/>
    <w:rsid w:val="001C3FD3"/>
    <w:rsid w:val="001C4CFF"/>
    <w:rsid w:val="001C6A91"/>
    <w:rsid w:val="001D00E3"/>
    <w:rsid w:val="001D1A7C"/>
    <w:rsid w:val="001D20B3"/>
    <w:rsid w:val="001D388F"/>
    <w:rsid w:val="001D458F"/>
    <w:rsid w:val="001D70BD"/>
    <w:rsid w:val="001D732E"/>
    <w:rsid w:val="001D7D9B"/>
    <w:rsid w:val="001D7E30"/>
    <w:rsid w:val="001D7F32"/>
    <w:rsid w:val="001E1826"/>
    <w:rsid w:val="001E433E"/>
    <w:rsid w:val="001E5719"/>
    <w:rsid w:val="001E7508"/>
    <w:rsid w:val="001E7958"/>
    <w:rsid w:val="001F014C"/>
    <w:rsid w:val="001F1002"/>
    <w:rsid w:val="001F5FE6"/>
    <w:rsid w:val="001F6565"/>
    <w:rsid w:val="001F698C"/>
    <w:rsid w:val="001F7A20"/>
    <w:rsid w:val="0020191B"/>
    <w:rsid w:val="00201E9C"/>
    <w:rsid w:val="00202025"/>
    <w:rsid w:val="0020240C"/>
    <w:rsid w:val="002030A3"/>
    <w:rsid w:val="00204217"/>
    <w:rsid w:val="00204BF9"/>
    <w:rsid w:val="00205565"/>
    <w:rsid w:val="00206036"/>
    <w:rsid w:val="00206379"/>
    <w:rsid w:val="00206E67"/>
    <w:rsid w:val="00210B54"/>
    <w:rsid w:val="0021107F"/>
    <w:rsid w:val="00211570"/>
    <w:rsid w:val="00211AAD"/>
    <w:rsid w:val="00214B5E"/>
    <w:rsid w:val="002157CA"/>
    <w:rsid w:val="00217CB3"/>
    <w:rsid w:val="002201F9"/>
    <w:rsid w:val="00221611"/>
    <w:rsid w:val="00221A57"/>
    <w:rsid w:val="0022225F"/>
    <w:rsid w:val="002223C4"/>
    <w:rsid w:val="00223E05"/>
    <w:rsid w:val="00225750"/>
    <w:rsid w:val="00230AF2"/>
    <w:rsid w:val="002327FF"/>
    <w:rsid w:val="00232EFD"/>
    <w:rsid w:val="00234D4A"/>
    <w:rsid w:val="0023575D"/>
    <w:rsid w:val="00236EA6"/>
    <w:rsid w:val="0023718D"/>
    <w:rsid w:val="002378B7"/>
    <w:rsid w:val="002414BD"/>
    <w:rsid w:val="00242809"/>
    <w:rsid w:val="00243123"/>
    <w:rsid w:val="00243C3B"/>
    <w:rsid w:val="00244663"/>
    <w:rsid w:val="00245D39"/>
    <w:rsid w:val="00247AAD"/>
    <w:rsid w:val="00247B33"/>
    <w:rsid w:val="00247B8A"/>
    <w:rsid w:val="0025024D"/>
    <w:rsid w:val="00250483"/>
    <w:rsid w:val="00251959"/>
    <w:rsid w:val="00251E9B"/>
    <w:rsid w:val="002520B4"/>
    <w:rsid w:val="00252809"/>
    <w:rsid w:val="0025453B"/>
    <w:rsid w:val="002547F1"/>
    <w:rsid w:val="00254DB7"/>
    <w:rsid w:val="002554AD"/>
    <w:rsid w:val="00255926"/>
    <w:rsid w:val="002564C8"/>
    <w:rsid w:val="002572A1"/>
    <w:rsid w:val="00262101"/>
    <w:rsid w:val="00262A4A"/>
    <w:rsid w:val="00263DE7"/>
    <w:rsid w:val="002670D5"/>
    <w:rsid w:val="0027076B"/>
    <w:rsid w:val="00270927"/>
    <w:rsid w:val="00272599"/>
    <w:rsid w:val="00273329"/>
    <w:rsid w:val="00276C3A"/>
    <w:rsid w:val="00277DD0"/>
    <w:rsid w:val="002816AF"/>
    <w:rsid w:val="002818B2"/>
    <w:rsid w:val="00281AA5"/>
    <w:rsid w:val="00282929"/>
    <w:rsid w:val="00283B4E"/>
    <w:rsid w:val="00283CD5"/>
    <w:rsid w:val="002841CA"/>
    <w:rsid w:val="00285343"/>
    <w:rsid w:val="00287E29"/>
    <w:rsid w:val="00291743"/>
    <w:rsid w:val="002920E7"/>
    <w:rsid w:val="00294339"/>
    <w:rsid w:val="00294A52"/>
    <w:rsid w:val="00294B4D"/>
    <w:rsid w:val="00295D2A"/>
    <w:rsid w:val="002963E1"/>
    <w:rsid w:val="002969F7"/>
    <w:rsid w:val="002971D7"/>
    <w:rsid w:val="0029782A"/>
    <w:rsid w:val="002A0ECE"/>
    <w:rsid w:val="002A20E2"/>
    <w:rsid w:val="002A3E18"/>
    <w:rsid w:val="002A6923"/>
    <w:rsid w:val="002A782F"/>
    <w:rsid w:val="002B027E"/>
    <w:rsid w:val="002B152B"/>
    <w:rsid w:val="002B2967"/>
    <w:rsid w:val="002B2A11"/>
    <w:rsid w:val="002B5CC8"/>
    <w:rsid w:val="002B6CC5"/>
    <w:rsid w:val="002C04CF"/>
    <w:rsid w:val="002C10DE"/>
    <w:rsid w:val="002C11C0"/>
    <w:rsid w:val="002C11D3"/>
    <w:rsid w:val="002C1CF5"/>
    <w:rsid w:val="002C20A5"/>
    <w:rsid w:val="002C28B9"/>
    <w:rsid w:val="002C3896"/>
    <w:rsid w:val="002C4F64"/>
    <w:rsid w:val="002C63C1"/>
    <w:rsid w:val="002D2148"/>
    <w:rsid w:val="002D231A"/>
    <w:rsid w:val="002D2375"/>
    <w:rsid w:val="002D3696"/>
    <w:rsid w:val="002D458C"/>
    <w:rsid w:val="002E0566"/>
    <w:rsid w:val="002E0F47"/>
    <w:rsid w:val="002E14B9"/>
    <w:rsid w:val="002E1C9D"/>
    <w:rsid w:val="002E20B2"/>
    <w:rsid w:val="002E26B9"/>
    <w:rsid w:val="002E2ABA"/>
    <w:rsid w:val="002E5FE2"/>
    <w:rsid w:val="002F00A2"/>
    <w:rsid w:val="002F0E26"/>
    <w:rsid w:val="002F16BD"/>
    <w:rsid w:val="002F5C41"/>
    <w:rsid w:val="002F629B"/>
    <w:rsid w:val="002F7A29"/>
    <w:rsid w:val="002F7D6E"/>
    <w:rsid w:val="003001BE"/>
    <w:rsid w:val="003012EE"/>
    <w:rsid w:val="00302C8F"/>
    <w:rsid w:val="00303378"/>
    <w:rsid w:val="00305051"/>
    <w:rsid w:val="00305712"/>
    <w:rsid w:val="00305E7F"/>
    <w:rsid w:val="00305FB3"/>
    <w:rsid w:val="00310CAD"/>
    <w:rsid w:val="0031129E"/>
    <w:rsid w:val="003133D0"/>
    <w:rsid w:val="00313E13"/>
    <w:rsid w:val="0031496E"/>
    <w:rsid w:val="00314E7A"/>
    <w:rsid w:val="00315685"/>
    <w:rsid w:val="00315963"/>
    <w:rsid w:val="00317944"/>
    <w:rsid w:val="00323E9B"/>
    <w:rsid w:val="0032448A"/>
    <w:rsid w:val="00324A07"/>
    <w:rsid w:val="00324AC1"/>
    <w:rsid w:val="00324FF1"/>
    <w:rsid w:val="003268F5"/>
    <w:rsid w:val="0033240B"/>
    <w:rsid w:val="0033259C"/>
    <w:rsid w:val="0033438A"/>
    <w:rsid w:val="0033491E"/>
    <w:rsid w:val="00341CA4"/>
    <w:rsid w:val="00343061"/>
    <w:rsid w:val="0034430D"/>
    <w:rsid w:val="00344D72"/>
    <w:rsid w:val="00344F56"/>
    <w:rsid w:val="00345487"/>
    <w:rsid w:val="00346273"/>
    <w:rsid w:val="00351459"/>
    <w:rsid w:val="003532A6"/>
    <w:rsid w:val="00355C24"/>
    <w:rsid w:val="00356D70"/>
    <w:rsid w:val="00357103"/>
    <w:rsid w:val="003576A1"/>
    <w:rsid w:val="00360AC8"/>
    <w:rsid w:val="00360D6B"/>
    <w:rsid w:val="00361EA2"/>
    <w:rsid w:val="00361F98"/>
    <w:rsid w:val="00363EEF"/>
    <w:rsid w:val="00364623"/>
    <w:rsid w:val="0036536C"/>
    <w:rsid w:val="003659C4"/>
    <w:rsid w:val="003673D0"/>
    <w:rsid w:val="00370ACB"/>
    <w:rsid w:val="00371BBF"/>
    <w:rsid w:val="00372DFE"/>
    <w:rsid w:val="003732A8"/>
    <w:rsid w:val="00373E4A"/>
    <w:rsid w:val="00374993"/>
    <w:rsid w:val="00381175"/>
    <w:rsid w:val="00381644"/>
    <w:rsid w:val="00382C0E"/>
    <w:rsid w:val="00383259"/>
    <w:rsid w:val="003852E9"/>
    <w:rsid w:val="00385CC2"/>
    <w:rsid w:val="00387EB3"/>
    <w:rsid w:val="003900DA"/>
    <w:rsid w:val="00391BEC"/>
    <w:rsid w:val="00391F57"/>
    <w:rsid w:val="0039306A"/>
    <w:rsid w:val="00394F7F"/>
    <w:rsid w:val="00396407"/>
    <w:rsid w:val="003A17C0"/>
    <w:rsid w:val="003A3572"/>
    <w:rsid w:val="003A6D19"/>
    <w:rsid w:val="003B111F"/>
    <w:rsid w:val="003B17ED"/>
    <w:rsid w:val="003B2116"/>
    <w:rsid w:val="003B27B0"/>
    <w:rsid w:val="003B3B07"/>
    <w:rsid w:val="003B3BB3"/>
    <w:rsid w:val="003B3CA7"/>
    <w:rsid w:val="003B3CEF"/>
    <w:rsid w:val="003B5785"/>
    <w:rsid w:val="003B678E"/>
    <w:rsid w:val="003B7425"/>
    <w:rsid w:val="003B790C"/>
    <w:rsid w:val="003C0EE0"/>
    <w:rsid w:val="003C15FA"/>
    <w:rsid w:val="003C2098"/>
    <w:rsid w:val="003C4042"/>
    <w:rsid w:val="003C4B3D"/>
    <w:rsid w:val="003C6383"/>
    <w:rsid w:val="003C74B5"/>
    <w:rsid w:val="003C7513"/>
    <w:rsid w:val="003D1AA0"/>
    <w:rsid w:val="003D289F"/>
    <w:rsid w:val="003D2EB0"/>
    <w:rsid w:val="003D30B5"/>
    <w:rsid w:val="003D330C"/>
    <w:rsid w:val="003D3761"/>
    <w:rsid w:val="003D3D0F"/>
    <w:rsid w:val="003D4697"/>
    <w:rsid w:val="003D48BF"/>
    <w:rsid w:val="003D5175"/>
    <w:rsid w:val="003D51DD"/>
    <w:rsid w:val="003D610F"/>
    <w:rsid w:val="003D73A2"/>
    <w:rsid w:val="003D7495"/>
    <w:rsid w:val="003D7F70"/>
    <w:rsid w:val="003E04CE"/>
    <w:rsid w:val="003E062B"/>
    <w:rsid w:val="003E0CAA"/>
    <w:rsid w:val="003E29F7"/>
    <w:rsid w:val="003E409A"/>
    <w:rsid w:val="003E603B"/>
    <w:rsid w:val="003E6A92"/>
    <w:rsid w:val="003F2F79"/>
    <w:rsid w:val="003F4D17"/>
    <w:rsid w:val="003F5D05"/>
    <w:rsid w:val="003F6C4B"/>
    <w:rsid w:val="003F75D3"/>
    <w:rsid w:val="003F788F"/>
    <w:rsid w:val="00400D9A"/>
    <w:rsid w:val="00401EB2"/>
    <w:rsid w:val="00401FE0"/>
    <w:rsid w:val="0040337F"/>
    <w:rsid w:val="00404E98"/>
    <w:rsid w:val="00404EC8"/>
    <w:rsid w:val="00406E0A"/>
    <w:rsid w:val="004074FF"/>
    <w:rsid w:val="004125CE"/>
    <w:rsid w:val="004133F4"/>
    <w:rsid w:val="00415109"/>
    <w:rsid w:val="00415AEA"/>
    <w:rsid w:val="004160CE"/>
    <w:rsid w:val="004170C9"/>
    <w:rsid w:val="00420AC0"/>
    <w:rsid w:val="00421C9C"/>
    <w:rsid w:val="004223E9"/>
    <w:rsid w:val="004235D4"/>
    <w:rsid w:val="004242DC"/>
    <w:rsid w:val="00425F63"/>
    <w:rsid w:val="00425FE4"/>
    <w:rsid w:val="004262C0"/>
    <w:rsid w:val="00426E74"/>
    <w:rsid w:val="004323E5"/>
    <w:rsid w:val="004332C7"/>
    <w:rsid w:val="00433C61"/>
    <w:rsid w:val="004359C5"/>
    <w:rsid w:val="00435B42"/>
    <w:rsid w:val="004360E9"/>
    <w:rsid w:val="004372E8"/>
    <w:rsid w:val="00437480"/>
    <w:rsid w:val="004406D0"/>
    <w:rsid w:val="0044200C"/>
    <w:rsid w:val="00444502"/>
    <w:rsid w:val="00445E4F"/>
    <w:rsid w:val="0044635A"/>
    <w:rsid w:val="00446626"/>
    <w:rsid w:val="00450D88"/>
    <w:rsid w:val="00452467"/>
    <w:rsid w:val="00454A58"/>
    <w:rsid w:val="0045653E"/>
    <w:rsid w:val="004570FF"/>
    <w:rsid w:val="00457FCD"/>
    <w:rsid w:val="0046254B"/>
    <w:rsid w:val="0046425C"/>
    <w:rsid w:val="00464734"/>
    <w:rsid w:val="004674BB"/>
    <w:rsid w:val="00467530"/>
    <w:rsid w:val="0046757A"/>
    <w:rsid w:val="00470BEE"/>
    <w:rsid w:val="00470C88"/>
    <w:rsid w:val="00471AF2"/>
    <w:rsid w:val="004721F1"/>
    <w:rsid w:val="004739B1"/>
    <w:rsid w:val="00473DB2"/>
    <w:rsid w:val="00475553"/>
    <w:rsid w:val="00475DFA"/>
    <w:rsid w:val="0047605D"/>
    <w:rsid w:val="0047637C"/>
    <w:rsid w:val="0047657A"/>
    <w:rsid w:val="004765D6"/>
    <w:rsid w:val="0047788E"/>
    <w:rsid w:val="00477C8A"/>
    <w:rsid w:val="00480331"/>
    <w:rsid w:val="004804F2"/>
    <w:rsid w:val="00481DB3"/>
    <w:rsid w:val="004820AE"/>
    <w:rsid w:val="004820CB"/>
    <w:rsid w:val="0048450D"/>
    <w:rsid w:val="00486000"/>
    <w:rsid w:val="00486606"/>
    <w:rsid w:val="00491925"/>
    <w:rsid w:val="004927BB"/>
    <w:rsid w:val="004930B2"/>
    <w:rsid w:val="00493CAC"/>
    <w:rsid w:val="00493F93"/>
    <w:rsid w:val="004949C4"/>
    <w:rsid w:val="00495DFE"/>
    <w:rsid w:val="004A243A"/>
    <w:rsid w:val="004A297D"/>
    <w:rsid w:val="004A2D99"/>
    <w:rsid w:val="004A45C3"/>
    <w:rsid w:val="004A6317"/>
    <w:rsid w:val="004B0A92"/>
    <w:rsid w:val="004B1A56"/>
    <w:rsid w:val="004B3857"/>
    <w:rsid w:val="004B42B9"/>
    <w:rsid w:val="004B6C52"/>
    <w:rsid w:val="004C2387"/>
    <w:rsid w:val="004C2979"/>
    <w:rsid w:val="004C2B61"/>
    <w:rsid w:val="004C3726"/>
    <w:rsid w:val="004C373F"/>
    <w:rsid w:val="004C528C"/>
    <w:rsid w:val="004C710A"/>
    <w:rsid w:val="004D0895"/>
    <w:rsid w:val="004D0B9E"/>
    <w:rsid w:val="004D24A8"/>
    <w:rsid w:val="004D4BF8"/>
    <w:rsid w:val="004D54F3"/>
    <w:rsid w:val="004D6485"/>
    <w:rsid w:val="004D71F2"/>
    <w:rsid w:val="004E0374"/>
    <w:rsid w:val="004E0D98"/>
    <w:rsid w:val="004E1C07"/>
    <w:rsid w:val="004E2239"/>
    <w:rsid w:val="004E5888"/>
    <w:rsid w:val="004E75F4"/>
    <w:rsid w:val="004F1BF7"/>
    <w:rsid w:val="004F2ECB"/>
    <w:rsid w:val="004F7FEB"/>
    <w:rsid w:val="00500DD6"/>
    <w:rsid w:val="005041CD"/>
    <w:rsid w:val="00504572"/>
    <w:rsid w:val="00507CE6"/>
    <w:rsid w:val="00507FBD"/>
    <w:rsid w:val="005124B9"/>
    <w:rsid w:val="0051292F"/>
    <w:rsid w:val="005140B9"/>
    <w:rsid w:val="00514B35"/>
    <w:rsid w:val="00514F49"/>
    <w:rsid w:val="0051532C"/>
    <w:rsid w:val="0051643F"/>
    <w:rsid w:val="0051681E"/>
    <w:rsid w:val="00517777"/>
    <w:rsid w:val="005223ED"/>
    <w:rsid w:val="00523049"/>
    <w:rsid w:val="00523C34"/>
    <w:rsid w:val="005260F2"/>
    <w:rsid w:val="005269B2"/>
    <w:rsid w:val="00527019"/>
    <w:rsid w:val="005272B8"/>
    <w:rsid w:val="0052769C"/>
    <w:rsid w:val="00530E51"/>
    <w:rsid w:val="005332A8"/>
    <w:rsid w:val="00533734"/>
    <w:rsid w:val="005343D4"/>
    <w:rsid w:val="00534E54"/>
    <w:rsid w:val="005400BC"/>
    <w:rsid w:val="005407E7"/>
    <w:rsid w:val="005408A7"/>
    <w:rsid w:val="0054098B"/>
    <w:rsid w:val="005441AE"/>
    <w:rsid w:val="005448AD"/>
    <w:rsid w:val="0054506E"/>
    <w:rsid w:val="005459DD"/>
    <w:rsid w:val="0054700A"/>
    <w:rsid w:val="00547196"/>
    <w:rsid w:val="005504EA"/>
    <w:rsid w:val="00551EC1"/>
    <w:rsid w:val="00552873"/>
    <w:rsid w:val="00552BC1"/>
    <w:rsid w:val="00552F1B"/>
    <w:rsid w:val="005545EE"/>
    <w:rsid w:val="00556347"/>
    <w:rsid w:val="005563F1"/>
    <w:rsid w:val="0055732C"/>
    <w:rsid w:val="00560498"/>
    <w:rsid w:val="00560B82"/>
    <w:rsid w:val="00563276"/>
    <w:rsid w:val="005634B3"/>
    <w:rsid w:val="00565508"/>
    <w:rsid w:val="00565DDD"/>
    <w:rsid w:val="0056609A"/>
    <w:rsid w:val="00567DA2"/>
    <w:rsid w:val="00567ED1"/>
    <w:rsid w:val="0057170A"/>
    <w:rsid w:val="00572BB6"/>
    <w:rsid w:val="005762D6"/>
    <w:rsid w:val="00576A13"/>
    <w:rsid w:val="00583B5B"/>
    <w:rsid w:val="005857AB"/>
    <w:rsid w:val="005871A0"/>
    <w:rsid w:val="00590F4D"/>
    <w:rsid w:val="0059140A"/>
    <w:rsid w:val="005929AB"/>
    <w:rsid w:val="005A298B"/>
    <w:rsid w:val="005A3087"/>
    <w:rsid w:val="005A35A6"/>
    <w:rsid w:val="005A6215"/>
    <w:rsid w:val="005A6BD5"/>
    <w:rsid w:val="005A6BE1"/>
    <w:rsid w:val="005B01FC"/>
    <w:rsid w:val="005B0224"/>
    <w:rsid w:val="005B12DF"/>
    <w:rsid w:val="005B30FA"/>
    <w:rsid w:val="005B3574"/>
    <w:rsid w:val="005B6C22"/>
    <w:rsid w:val="005B6F86"/>
    <w:rsid w:val="005B7AEE"/>
    <w:rsid w:val="005C1955"/>
    <w:rsid w:val="005C57FA"/>
    <w:rsid w:val="005C6EDD"/>
    <w:rsid w:val="005D0D96"/>
    <w:rsid w:val="005D1146"/>
    <w:rsid w:val="005D20EF"/>
    <w:rsid w:val="005D42E6"/>
    <w:rsid w:val="005D565C"/>
    <w:rsid w:val="005D5C0A"/>
    <w:rsid w:val="005D6487"/>
    <w:rsid w:val="005D7117"/>
    <w:rsid w:val="005D76C7"/>
    <w:rsid w:val="005E025D"/>
    <w:rsid w:val="005E0428"/>
    <w:rsid w:val="005E1192"/>
    <w:rsid w:val="005E2001"/>
    <w:rsid w:val="005E23E8"/>
    <w:rsid w:val="005E2CC3"/>
    <w:rsid w:val="005E2F81"/>
    <w:rsid w:val="005E40F0"/>
    <w:rsid w:val="005E6BD6"/>
    <w:rsid w:val="005E6C23"/>
    <w:rsid w:val="005E73B5"/>
    <w:rsid w:val="005F2572"/>
    <w:rsid w:val="005F5482"/>
    <w:rsid w:val="005F61E4"/>
    <w:rsid w:val="005F78EF"/>
    <w:rsid w:val="005F7AAF"/>
    <w:rsid w:val="00601542"/>
    <w:rsid w:val="00601941"/>
    <w:rsid w:val="00602148"/>
    <w:rsid w:val="00610680"/>
    <w:rsid w:val="0061399C"/>
    <w:rsid w:val="00613AE5"/>
    <w:rsid w:val="00620684"/>
    <w:rsid w:val="0062276E"/>
    <w:rsid w:val="006239A9"/>
    <w:rsid w:val="006242B8"/>
    <w:rsid w:val="0062586D"/>
    <w:rsid w:val="00634538"/>
    <w:rsid w:val="00634651"/>
    <w:rsid w:val="00635D46"/>
    <w:rsid w:val="006364F7"/>
    <w:rsid w:val="0063782A"/>
    <w:rsid w:val="00640682"/>
    <w:rsid w:val="00642D75"/>
    <w:rsid w:val="00642D7E"/>
    <w:rsid w:val="00644A6C"/>
    <w:rsid w:val="006451AC"/>
    <w:rsid w:val="006479EE"/>
    <w:rsid w:val="00650BB8"/>
    <w:rsid w:val="00651355"/>
    <w:rsid w:val="0065371E"/>
    <w:rsid w:val="00653FFB"/>
    <w:rsid w:val="0065445E"/>
    <w:rsid w:val="006549D7"/>
    <w:rsid w:val="00654B5B"/>
    <w:rsid w:val="00654DAA"/>
    <w:rsid w:val="006559A4"/>
    <w:rsid w:val="006575F1"/>
    <w:rsid w:val="006619CA"/>
    <w:rsid w:val="00663374"/>
    <w:rsid w:val="006651CF"/>
    <w:rsid w:val="0066541E"/>
    <w:rsid w:val="00671BE8"/>
    <w:rsid w:val="00672532"/>
    <w:rsid w:val="00672A2A"/>
    <w:rsid w:val="0067387C"/>
    <w:rsid w:val="0067567E"/>
    <w:rsid w:val="00677429"/>
    <w:rsid w:val="006818C1"/>
    <w:rsid w:val="00687582"/>
    <w:rsid w:val="00690DCD"/>
    <w:rsid w:val="00692BD3"/>
    <w:rsid w:val="00693788"/>
    <w:rsid w:val="00694705"/>
    <w:rsid w:val="006951F8"/>
    <w:rsid w:val="00696728"/>
    <w:rsid w:val="0069798C"/>
    <w:rsid w:val="006A0AEC"/>
    <w:rsid w:val="006A2D34"/>
    <w:rsid w:val="006A329E"/>
    <w:rsid w:val="006A44AC"/>
    <w:rsid w:val="006A4515"/>
    <w:rsid w:val="006A4A99"/>
    <w:rsid w:val="006A51A7"/>
    <w:rsid w:val="006A62ED"/>
    <w:rsid w:val="006A77AB"/>
    <w:rsid w:val="006B3BDB"/>
    <w:rsid w:val="006B5FDE"/>
    <w:rsid w:val="006B717B"/>
    <w:rsid w:val="006B7575"/>
    <w:rsid w:val="006C030C"/>
    <w:rsid w:val="006C203E"/>
    <w:rsid w:val="006C5BC7"/>
    <w:rsid w:val="006C75FC"/>
    <w:rsid w:val="006D00A5"/>
    <w:rsid w:val="006D111C"/>
    <w:rsid w:val="006D1C16"/>
    <w:rsid w:val="006D1DC7"/>
    <w:rsid w:val="006D23CB"/>
    <w:rsid w:val="006D2C25"/>
    <w:rsid w:val="006D3FBD"/>
    <w:rsid w:val="006D44BF"/>
    <w:rsid w:val="006D4CC6"/>
    <w:rsid w:val="006D4E1D"/>
    <w:rsid w:val="006D55C9"/>
    <w:rsid w:val="006D5F1B"/>
    <w:rsid w:val="006D6F8D"/>
    <w:rsid w:val="006D70B7"/>
    <w:rsid w:val="006D784C"/>
    <w:rsid w:val="006D7D89"/>
    <w:rsid w:val="006E056D"/>
    <w:rsid w:val="006E0D5A"/>
    <w:rsid w:val="006E117C"/>
    <w:rsid w:val="006E1466"/>
    <w:rsid w:val="006E2614"/>
    <w:rsid w:val="006E3187"/>
    <w:rsid w:val="006E38F3"/>
    <w:rsid w:val="006E58D6"/>
    <w:rsid w:val="006E5974"/>
    <w:rsid w:val="006E7D5C"/>
    <w:rsid w:val="006F3FC8"/>
    <w:rsid w:val="006F6858"/>
    <w:rsid w:val="007008F8"/>
    <w:rsid w:val="00700E31"/>
    <w:rsid w:val="00701044"/>
    <w:rsid w:val="00701709"/>
    <w:rsid w:val="0070183F"/>
    <w:rsid w:val="007033F4"/>
    <w:rsid w:val="00703DE0"/>
    <w:rsid w:val="007042D2"/>
    <w:rsid w:val="007076FF"/>
    <w:rsid w:val="00711C7C"/>
    <w:rsid w:val="00713362"/>
    <w:rsid w:val="007135DA"/>
    <w:rsid w:val="00716C6E"/>
    <w:rsid w:val="007203C0"/>
    <w:rsid w:val="00723A01"/>
    <w:rsid w:val="007243D5"/>
    <w:rsid w:val="00724D3C"/>
    <w:rsid w:val="0072658B"/>
    <w:rsid w:val="00730ED4"/>
    <w:rsid w:val="00731E95"/>
    <w:rsid w:val="00734C1C"/>
    <w:rsid w:val="00735C09"/>
    <w:rsid w:val="00735D9D"/>
    <w:rsid w:val="00741DB2"/>
    <w:rsid w:val="0074207C"/>
    <w:rsid w:val="0074268A"/>
    <w:rsid w:val="0074547E"/>
    <w:rsid w:val="007456DA"/>
    <w:rsid w:val="00746412"/>
    <w:rsid w:val="00746696"/>
    <w:rsid w:val="0074718E"/>
    <w:rsid w:val="00752337"/>
    <w:rsid w:val="007524DA"/>
    <w:rsid w:val="00753A9F"/>
    <w:rsid w:val="0075474F"/>
    <w:rsid w:val="00755E97"/>
    <w:rsid w:val="00756E60"/>
    <w:rsid w:val="0076043D"/>
    <w:rsid w:val="0076055D"/>
    <w:rsid w:val="00761425"/>
    <w:rsid w:val="007628C9"/>
    <w:rsid w:val="00764617"/>
    <w:rsid w:val="007675FE"/>
    <w:rsid w:val="007702EA"/>
    <w:rsid w:val="007719B1"/>
    <w:rsid w:val="007728A3"/>
    <w:rsid w:val="007729D9"/>
    <w:rsid w:val="007740AA"/>
    <w:rsid w:val="00777A7B"/>
    <w:rsid w:val="007805DC"/>
    <w:rsid w:val="00781163"/>
    <w:rsid w:val="00783AFB"/>
    <w:rsid w:val="00784605"/>
    <w:rsid w:val="007906A4"/>
    <w:rsid w:val="0079355F"/>
    <w:rsid w:val="007939DD"/>
    <w:rsid w:val="0079497E"/>
    <w:rsid w:val="00795489"/>
    <w:rsid w:val="00795611"/>
    <w:rsid w:val="007A0FCD"/>
    <w:rsid w:val="007A1D88"/>
    <w:rsid w:val="007A1E65"/>
    <w:rsid w:val="007A2175"/>
    <w:rsid w:val="007A2B3E"/>
    <w:rsid w:val="007A698C"/>
    <w:rsid w:val="007B011C"/>
    <w:rsid w:val="007B079F"/>
    <w:rsid w:val="007B1941"/>
    <w:rsid w:val="007B1C9B"/>
    <w:rsid w:val="007B1CBB"/>
    <w:rsid w:val="007B2994"/>
    <w:rsid w:val="007B32D1"/>
    <w:rsid w:val="007B44EE"/>
    <w:rsid w:val="007B482D"/>
    <w:rsid w:val="007B4E6E"/>
    <w:rsid w:val="007B5968"/>
    <w:rsid w:val="007B6D80"/>
    <w:rsid w:val="007B6ECE"/>
    <w:rsid w:val="007B7020"/>
    <w:rsid w:val="007B7477"/>
    <w:rsid w:val="007C0488"/>
    <w:rsid w:val="007C1B48"/>
    <w:rsid w:val="007C2FC0"/>
    <w:rsid w:val="007C4E01"/>
    <w:rsid w:val="007C5929"/>
    <w:rsid w:val="007D0417"/>
    <w:rsid w:val="007D0EE5"/>
    <w:rsid w:val="007D3899"/>
    <w:rsid w:val="007D3933"/>
    <w:rsid w:val="007D5686"/>
    <w:rsid w:val="007D59B0"/>
    <w:rsid w:val="007D761D"/>
    <w:rsid w:val="007E4AF3"/>
    <w:rsid w:val="007E5C43"/>
    <w:rsid w:val="007E73E8"/>
    <w:rsid w:val="007E782D"/>
    <w:rsid w:val="007F2433"/>
    <w:rsid w:val="007F32F2"/>
    <w:rsid w:val="007F5770"/>
    <w:rsid w:val="007F6DE6"/>
    <w:rsid w:val="00800486"/>
    <w:rsid w:val="00801058"/>
    <w:rsid w:val="0080175B"/>
    <w:rsid w:val="00802A36"/>
    <w:rsid w:val="0080435B"/>
    <w:rsid w:val="00804394"/>
    <w:rsid w:val="00804630"/>
    <w:rsid w:val="00810902"/>
    <w:rsid w:val="00811AF4"/>
    <w:rsid w:val="008121DE"/>
    <w:rsid w:val="0081295E"/>
    <w:rsid w:val="00813CAC"/>
    <w:rsid w:val="00814A7F"/>
    <w:rsid w:val="00814B41"/>
    <w:rsid w:val="00817740"/>
    <w:rsid w:val="00820513"/>
    <w:rsid w:val="0082051C"/>
    <w:rsid w:val="00821841"/>
    <w:rsid w:val="0082243E"/>
    <w:rsid w:val="00822AC6"/>
    <w:rsid w:val="008230F8"/>
    <w:rsid w:val="008232B0"/>
    <w:rsid w:val="008239A3"/>
    <w:rsid w:val="00824CA8"/>
    <w:rsid w:val="008315DB"/>
    <w:rsid w:val="008319B6"/>
    <w:rsid w:val="0083320F"/>
    <w:rsid w:val="008348D6"/>
    <w:rsid w:val="00836FD1"/>
    <w:rsid w:val="00837471"/>
    <w:rsid w:val="00837D5A"/>
    <w:rsid w:val="00837F67"/>
    <w:rsid w:val="0084031E"/>
    <w:rsid w:val="00842667"/>
    <w:rsid w:val="008434A9"/>
    <w:rsid w:val="0084453E"/>
    <w:rsid w:val="0084481C"/>
    <w:rsid w:val="008507F4"/>
    <w:rsid w:val="00850A44"/>
    <w:rsid w:val="008518A3"/>
    <w:rsid w:val="00851E95"/>
    <w:rsid w:val="008546CD"/>
    <w:rsid w:val="00856393"/>
    <w:rsid w:val="008607CD"/>
    <w:rsid w:val="00860C6C"/>
    <w:rsid w:val="00861469"/>
    <w:rsid w:val="00861E87"/>
    <w:rsid w:val="00863097"/>
    <w:rsid w:val="008637EC"/>
    <w:rsid w:val="00866D62"/>
    <w:rsid w:val="00867466"/>
    <w:rsid w:val="0087033B"/>
    <w:rsid w:val="00873C8C"/>
    <w:rsid w:val="00874DD0"/>
    <w:rsid w:val="008751A7"/>
    <w:rsid w:val="00875B86"/>
    <w:rsid w:val="008760B8"/>
    <w:rsid w:val="00876ADD"/>
    <w:rsid w:val="00877525"/>
    <w:rsid w:val="008777E0"/>
    <w:rsid w:val="00880E84"/>
    <w:rsid w:val="0088124A"/>
    <w:rsid w:val="008818B9"/>
    <w:rsid w:val="00883584"/>
    <w:rsid w:val="0088358B"/>
    <w:rsid w:val="00884398"/>
    <w:rsid w:val="008847D1"/>
    <w:rsid w:val="008861AD"/>
    <w:rsid w:val="00886600"/>
    <w:rsid w:val="00891160"/>
    <w:rsid w:val="00895032"/>
    <w:rsid w:val="008966FF"/>
    <w:rsid w:val="008974B1"/>
    <w:rsid w:val="008A0219"/>
    <w:rsid w:val="008A0270"/>
    <w:rsid w:val="008A0C07"/>
    <w:rsid w:val="008A1417"/>
    <w:rsid w:val="008A2562"/>
    <w:rsid w:val="008A2D85"/>
    <w:rsid w:val="008A369A"/>
    <w:rsid w:val="008A3DBE"/>
    <w:rsid w:val="008A3E39"/>
    <w:rsid w:val="008A4903"/>
    <w:rsid w:val="008A5156"/>
    <w:rsid w:val="008A5E1C"/>
    <w:rsid w:val="008B17D3"/>
    <w:rsid w:val="008B2ABD"/>
    <w:rsid w:val="008B33F8"/>
    <w:rsid w:val="008B4956"/>
    <w:rsid w:val="008B72FD"/>
    <w:rsid w:val="008C0654"/>
    <w:rsid w:val="008C2F54"/>
    <w:rsid w:val="008C3630"/>
    <w:rsid w:val="008C7917"/>
    <w:rsid w:val="008C7F26"/>
    <w:rsid w:val="008D0DAA"/>
    <w:rsid w:val="008D1BA9"/>
    <w:rsid w:val="008D27DC"/>
    <w:rsid w:val="008D3BC9"/>
    <w:rsid w:val="008D60D9"/>
    <w:rsid w:val="008D79B0"/>
    <w:rsid w:val="008E0662"/>
    <w:rsid w:val="008E0749"/>
    <w:rsid w:val="008E1690"/>
    <w:rsid w:val="008E33F7"/>
    <w:rsid w:val="008E38F3"/>
    <w:rsid w:val="008E3AC6"/>
    <w:rsid w:val="008E526F"/>
    <w:rsid w:val="008E634C"/>
    <w:rsid w:val="008F1AAF"/>
    <w:rsid w:val="008F3347"/>
    <w:rsid w:val="008F36D3"/>
    <w:rsid w:val="008F39A5"/>
    <w:rsid w:val="008F3F83"/>
    <w:rsid w:val="008F7575"/>
    <w:rsid w:val="00900161"/>
    <w:rsid w:val="009006FF"/>
    <w:rsid w:val="00902DE6"/>
    <w:rsid w:val="00903CAF"/>
    <w:rsid w:val="00905AE0"/>
    <w:rsid w:val="00907C22"/>
    <w:rsid w:val="009110E9"/>
    <w:rsid w:val="0091119A"/>
    <w:rsid w:val="009118A5"/>
    <w:rsid w:val="00911C78"/>
    <w:rsid w:val="00911CBA"/>
    <w:rsid w:val="009121AB"/>
    <w:rsid w:val="00914712"/>
    <w:rsid w:val="009161E0"/>
    <w:rsid w:val="0091787F"/>
    <w:rsid w:val="009209E1"/>
    <w:rsid w:val="00920D3E"/>
    <w:rsid w:val="00921567"/>
    <w:rsid w:val="00922208"/>
    <w:rsid w:val="0092334A"/>
    <w:rsid w:val="00927777"/>
    <w:rsid w:val="0093232A"/>
    <w:rsid w:val="009324E7"/>
    <w:rsid w:val="0093278B"/>
    <w:rsid w:val="0093521C"/>
    <w:rsid w:val="00942A7A"/>
    <w:rsid w:val="00942F90"/>
    <w:rsid w:val="009437DF"/>
    <w:rsid w:val="00943EE0"/>
    <w:rsid w:val="0094434A"/>
    <w:rsid w:val="00944811"/>
    <w:rsid w:val="0094511D"/>
    <w:rsid w:val="00947223"/>
    <w:rsid w:val="00947C77"/>
    <w:rsid w:val="00950B52"/>
    <w:rsid w:val="00950FD6"/>
    <w:rsid w:val="00951A95"/>
    <w:rsid w:val="0095223D"/>
    <w:rsid w:val="009537FD"/>
    <w:rsid w:val="00954389"/>
    <w:rsid w:val="0095628A"/>
    <w:rsid w:val="009562CC"/>
    <w:rsid w:val="00956836"/>
    <w:rsid w:val="009570A8"/>
    <w:rsid w:val="009611DA"/>
    <w:rsid w:val="009620AF"/>
    <w:rsid w:val="009625B0"/>
    <w:rsid w:val="00963AE0"/>
    <w:rsid w:val="00964E3C"/>
    <w:rsid w:val="0096544E"/>
    <w:rsid w:val="0096560C"/>
    <w:rsid w:val="00965779"/>
    <w:rsid w:val="00966EB5"/>
    <w:rsid w:val="00967C90"/>
    <w:rsid w:val="00973EE6"/>
    <w:rsid w:val="00974099"/>
    <w:rsid w:val="009740DC"/>
    <w:rsid w:val="009746E8"/>
    <w:rsid w:val="00976452"/>
    <w:rsid w:val="00980710"/>
    <w:rsid w:val="00980D87"/>
    <w:rsid w:val="0098455C"/>
    <w:rsid w:val="00986BE0"/>
    <w:rsid w:val="00986FE3"/>
    <w:rsid w:val="009875EF"/>
    <w:rsid w:val="009901CD"/>
    <w:rsid w:val="00990635"/>
    <w:rsid w:val="009932AD"/>
    <w:rsid w:val="009942B5"/>
    <w:rsid w:val="00995156"/>
    <w:rsid w:val="0099671E"/>
    <w:rsid w:val="00996CDD"/>
    <w:rsid w:val="00997720"/>
    <w:rsid w:val="009A0415"/>
    <w:rsid w:val="009A060B"/>
    <w:rsid w:val="009A187F"/>
    <w:rsid w:val="009A1FF4"/>
    <w:rsid w:val="009A2447"/>
    <w:rsid w:val="009A31FE"/>
    <w:rsid w:val="009A68EE"/>
    <w:rsid w:val="009A7C75"/>
    <w:rsid w:val="009B0505"/>
    <w:rsid w:val="009B1058"/>
    <w:rsid w:val="009B10DE"/>
    <w:rsid w:val="009B4076"/>
    <w:rsid w:val="009B4A55"/>
    <w:rsid w:val="009B5A0C"/>
    <w:rsid w:val="009B76E1"/>
    <w:rsid w:val="009C0AFF"/>
    <w:rsid w:val="009C3A2F"/>
    <w:rsid w:val="009C7284"/>
    <w:rsid w:val="009C7E5D"/>
    <w:rsid w:val="009D21A9"/>
    <w:rsid w:val="009D3265"/>
    <w:rsid w:val="009D61CD"/>
    <w:rsid w:val="009D6244"/>
    <w:rsid w:val="009D65CF"/>
    <w:rsid w:val="009D7417"/>
    <w:rsid w:val="009D7595"/>
    <w:rsid w:val="009E0172"/>
    <w:rsid w:val="009E1C59"/>
    <w:rsid w:val="009E1D0C"/>
    <w:rsid w:val="009E2858"/>
    <w:rsid w:val="009E3222"/>
    <w:rsid w:val="009E4ACD"/>
    <w:rsid w:val="009E677E"/>
    <w:rsid w:val="009E6ECE"/>
    <w:rsid w:val="009E75D0"/>
    <w:rsid w:val="009E7CE3"/>
    <w:rsid w:val="009F0064"/>
    <w:rsid w:val="009F0D95"/>
    <w:rsid w:val="009F181E"/>
    <w:rsid w:val="009F2564"/>
    <w:rsid w:val="009F41F1"/>
    <w:rsid w:val="009F426D"/>
    <w:rsid w:val="009F58C9"/>
    <w:rsid w:val="009F5AA9"/>
    <w:rsid w:val="009F6A06"/>
    <w:rsid w:val="009F6F98"/>
    <w:rsid w:val="00A01785"/>
    <w:rsid w:val="00A0185D"/>
    <w:rsid w:val="00A0199B"/>
    <w:rsid w:val="00A02049"/>
    <w:rsid w:val="00A022CF"/>
    <w:rsid w:val="00A02CCD"/>
    <w:rsid w:val="00A06151"/>
    <w:rsid w:val="00A061DB"/>
    <w:rsid w:val="00A0679A"/>
    <w:rsid w:val="00A069CE"/>
    <w:rsid w:val="00A07A78"/>
    <w:rsid w:val="00A10CDD"/>
    <w:rsid w:val="00A121D8"/>
    <w:rsid w:val="00A1310E"/>
    <w:rsid w:val="00A13A47"/>
    <w:rsid w:val="00A14F6F"/>
    <w:rsid w:val="00A1523B"/>
    <w:rsid w:val="00A176A1"/>
    <w:rsid w:val="00A21A5D"/>
    <w:rsid w:val="00A22567"/>
    <w:rsid w:val="00A2443D"/>
    <w:rsid w:val="00A24F29"/>
    <w:rsid w:val="00A25655"/>
    <w:rsid w:val="00A25983"/>
    <w:rsid w:val="00A25EE7"/>
    <w:rsid w:val="00A27EE4"/>
    <w:rsid w:val="00A31AAD"/>
    <w:rsid w:val="00A32745"/>
    <w:rsid w:val="00A32791"/>
    <w:rsid w:val="00A3285B"/>
    <w:rsid w:val="00A32C16"/>
    <w:rsid w:val="00A33850"/>
    <w:rsid w:val="00A33F21"/>
    <w:rsid w:val="00A34B9A"/>
    <w:rsid w:val="00A35B01"/>
    <w:rsid w:val="00A376B7"/>
    <w:rsid w:val="00A37771"/>
    <w:rsid w:val="00A37A26"/>
    <w:rsid w:val="00A40496"/>
    <w:rsid w:val="00A40C85"/>
    <w:rsid w:val="00A40F69"/>
    <w:rsid w:val="00A41104"/>
    <w:rsid w:val="00A42A94"/>
    <w:rsid w:val="00A43949"/>
    <w:rsid w:val="00A44407"/>
    <w:rsid w:val="00A447FF"/>
    <w:rsid w:val="00A449DE"/>
    <w:rsid w:val="00A44AD7"/>
    <w:rsid w:val="00A4537B"/>
    <w:rsid w:val="00A46630"/>
    <w:rsid w:val="00A469B6"/>
    <w:rsid w:val="00A47F76"/>
    <w:rsid w:val="00A53452"/>
    <w:rsid w:val="00A5364F"/>
    <w:rsid w:val="00A53A15"/>
    <w:rsid w:val="00A554AC"/>
    <w:rsid w:val="00A55B28"/>
    <w:rsid w:val="00A56979"/>
    <w:rsid w:val="00A56C54"/>
    <w:rsid w:val="00A571DC"/>
    <w:rsid w:val="00A60FB9"/>
    <w:rsid w:val="00A62C57"/>
    <w:rsid w:val="00A641C3"/>
    <w:rsid w:val="00A6603D"/>
    <w:rsid w:val="00A670B1"/>
    <w:rsid w:val="00A73082"/>
    <w:rsid w:val="00A74260"/>
    <w:rsid w:val="00A74CFE"/>
    <w:rsid w:val="00A74E9E"/>
    <w:rsid w:val="00A8077A"/>
    <w:rsid w:val="00A82DB2"/>
    <w:rsid w:val="00A8332D"/>
    <w:rsid w:val="00A838DE"/>
    <w:rsid w:val="00A84F44"/>
    <w:rsid w:val="00A851C5"/>
    <w:rsid w:val="00A85B7C"/>
    <w:rsid w:val="00A90B3B"/>
    <w:rsid w:val="00A914DD"/>
    <w:rsid w:val="00A927B7"/>
    <w:rsid w:val="00A93891"/>
    <w:rsid w:val="00A97DB6"/>
    <w:rsid w:val="00AA040A"/>
    <w:rsid w:val="00AA17E0"/>
    <w:rsid w:val="00AA258C"/>
    <w:rsid w:val="00AA2C8E"/>
    <w:rsid w:val="00AA3A91"/>
    <w:rsid w:val="00AA4237"/>
    <w:rsid w:val="00AA6C35"/>
    <w:rsid w:val="00AA776F"/>
    <w:rsid w:val="00AA778E"/>
    <w:rsid w:val="00AB0E08"/>
    <w:rsid w:val="00AB1943"/>
    <w:rsid w:val="00AB2280"/>
    <w:rsid w:val="00AB2946"/>
    <w:rsid w:val="00AB46F4"/>
    <w:rsid w:val="00AB6292"/>
    <w:rsid w:val="00AB69DF"/>
    <w:rsid w:val="00AC04D9"/>
    <w:rsid w:val="00AC1EB0"/>
    <w:rsid w:val="00AC4CAE"/>
    <w:rsid w:val="00AC52BA"/>
    <w:rsid w:val="00AC6A2A"/>
    <w:rsid w:val="00AC7301"/>
    <w:rsid w:val="00AC79D8"/>
    <w:rsid w:val="00AD10B1"/>
    <w:rsid w:val="00AD13B1"/>
    <w:rsid w:val="00AD5A3B"/>
    <w:rsid w:val="00AD5BBB"/>
    <w:rsid w:val="00AD7865"/>
    <w:rsid w:val="00AD7E63"/>
    <w:rsid w:val="00AE334D"/>
    <w:rsid w:val="00AE48D3"/>
    <w:rsid w:val="00AE6D02"/>
    <w:rsid w:val="00AF4B01"/>
    <w:rsid w:val="00AF4E76"/>
    <w:rsid w:val="00AF596A"/>
    <w:rsid w:val="00AF5EC5"/>
    <w:rsid w:val="00AF637C"/>
    <w:rsid w:val="00AF7F10"/>
    <w:rsid w:val="00B005C0"/>
    <w:rsid w:val="00B02249"/>
    <w:rsid w:val="00B04A71"/>
    <w:rsid w:val="00B05D1F"/>
    <w:rsid w:val="00B069A7"/>
    <w:rsid w:val="00B06BB4"/>
    <w:rsid w:val="00B06D46"/>
    <w:rsid w:val="00B073D7"/>
    <w:rsid w:val="00B07866"/>
    <w:rsid w:val="00B102B3"/>
    <w:rsid w:val="00B11D4D"/>
    <w:rsid w:val="00B11E13"/>
    <w:rsid w:val="00B1585D"/>
    <w:rsid w:val="00B1610D"/>
    <w:rsid w:val="00B1625D"/>
    <w:rsid w:val="00B17E48"/>
    <w:rsid w:val="00B20F1A"/>
    <w:rsid w:val="00B21D81"/>
    <w:rsid w:val="00B22A9E"/>
    <w:rsid w:val="00B24B17"/>
    <w:rsid w:val="00B24FE9"/>
    <w:rsid w:val="00B2590D"/>
    <w:rsid w:val="00B269AE"/>
    <w:rsid w:val="00B31A0E"/>
    <w:rsid w:val="00B31E9F"/>
    <w:rsid w:val="00B33072"/>
    <w:rsid w:val="00B33191"/>
    <w:rsid w:val="00B3360D"/>
    <w:rsid w:val="00B34F3D"/>
    <w:rsid w:val="00B357F6"/>
    <w:rsid w:val="00B363C2"/>
    <w:rsid w:val="00B376EB"/>
    <w:rsid w:val="00B37864"/>
    <w:rsid w:val="00B37F24"/>
    <w:rsid w:val="00B40828"/>
    <w:rsid w:val="00B40A35"/>
    <w:rsid w:val="00B42CDA"/>
    <w:rsid w:val="00B431D4"/>
    <w:rsid w:val="00B46280"/>
    <w:rsid w:val="00B46CB2"/>
    <w:rsid w:val="00B51F10"/>
    <w:rsid w:val="00B5291E"/>
    <w:rsid w:val="00B539DD"/>
    <w:rsid w:val="00B55D36"/>
    <w:rsid w:val="00B56E3C"/>
    <w:rsid w:val="00B61F15"/>
    <w:rsid w:val="00B673AA"/>
    <w:rsid w:val="00B6782B"/>
    <w:rsid w:val="00B71F81"/>
    <w:rsid w:val="00B72236"/>
    <w:rsid w:val="00B74D74"/>
    <w:rsid w:val="00B755CB"/>
    <w:rsid w:val="00B77BFD"/>
    <w:rsid w:val="00B824C7"/>
    <w:rsid w:val="00B83939"/>
    <w:rsid w:val="00B841E8"/>
    <w:rsid w:val="00B848BD"/>
    <w:rsid w:val="00B84C71"/>
    <w:rsid w:val="00B868D3"/>
    <w:rsid w:val="00B90FD2"/>
    <w:rsid w:val="00B9258F"/>
    <w:rsid w:val="00B927EC"/>
    <w:rsid w:val="00B947A4"/>
    <w:rsid w:val="00B9529C"/>
    <w:rsid w:val="00B96668"/>
    <w:rsid w:val="00B96E99"/>
    <w:rsid w:val="00B97CB2"/>
    <w:rsid w:val="00BA2C47"/>
    <w:rsid w:val="00BA3B62"/>
    <w:rsid w:val="00BA46A6"/>
    <w:rsid w:val="00BA6EE4"/>
    <w:rsid w:val="00BB1375"/>
    <w:rsid w:val="00BB27D1"/>
    <w:rsid w:val="00BB6406"/>
    <w:rsid w:val="00BB68E4"/>
    <w:rsid w:val="00BB6FE0"/>
    <w:rsid w:val="00BB773B"/>
    <w:rsid w:val="00BC0758"/>
    <w:rsid w:val="00BC6022"/>
    <w:rsid w:val="00BC605D"/>
    <w:rsid w:val="00BC60C8"/>
    <w:rsid w:val="00BC626F"/>
    <w:rsid w:val="00BC6EAE"/>
    <w:rsid w:val="00BC727C"/>
    <w:rsid w:val="00BC7818"/>
    <w:rsid w:val="00BD0C1C"/>
    <w:rsid w:val="00BD3878"/>
    <w:rsid w:val="00BD4A74"/>
    <w:rsid w:val="00BD5AED"/>
    <w:rsid w:val="00BD680F"/>
    <w:rsid w:val="00BD730F"/>
    <w:rsid w:val="00BD7C8D"/>
    <w:rsid w:val="00BD7F0C"/>
    <w:rsid w:val="00BE0336"/>
    <w:rsid w:val="00BE12FA"/>
    <w:rsid w:val="00BE3A8D"/>
    <w:rsid w:val="00BE3F38"/>
    <w:rsid w:val="00BE6DBF"/>
    <w:rsid w:val="00BE7A33"/>
    <w:rsid w:val="00BE7DD1"/>
    <w:rsid w:val="00BF0ABA"/>
    <w:rsid w:val="00BF376F"/>
    <w:rsid w:val="00BF627D"/>
    <w:rsid w:val="00BF673B"/>
    <w:rsid w:val="00C0107C"/>
    <w:rsid w:val="00C0109B"/>
    <w:rsid w:val="00C0266D"/>
    <w:rsid w:val="00C0271B"/>
    <w:rsid w:val="00C05B3E"/>
    <w:rsid w:val="00C10DD8"/>
    <w:rsid w:val="00C115DE"/>
    <w:rsid w:val="00C11B05"/>
    <w:rsid w:val="00C137F1"/>
    <w:rsid w:val="00C161D1"/>
    <w:rsid w:val="00C17045"/>
    <w:rsid w:val="00C203D5"/>
    <w:rsid w:val="00C2042F"/>
    <w:rsid w:val="00C20E0F"/>
    <w:rsid w:val="00C2203A"/>
    <w:rsid w:val="00C25311"/>
    <w:rsid w:val="00C25A29"/>
    <w:rsid w:val="00C267C6"/>
    <w:rsid w:val="00C30E52"/>
    <w:rsid w:val="00C32197"/>
    <w:rsid w:val="00C35668"/>
    <w:rsid w:val="00C3593A"/>
    <w:rsid w:val="00C37A6C"/>
    <w:rsid w:val="00C40C4F"/>
    <w:rsid w:val="00C41AE9"/>
    <w:rsid w:val="00C42C22"/>
    <w:rsid w:val="00C42F18"/>
    <w:rsid w:val="00C42FD0"/>
    <w:rsid w:val="00C44773"/>
    <w:rsid w:val="00C45F6F"/>
    <w:rsid w:val="00C5129D"/>
    <w:rsid w:val="00C5152B"/>
    <w:rsid w:val="00C51B09"/>
    <w:rsid w:val="00C53A2B"/>
    <w:rsid w:val="00C543B0"/>
    <w:rsid w:val="00C55FAD"/>
    <w:rsid w:val="00C560AE"/>
    <w:rsid w:val="00C60FBE"/>
    <w:rsid w:val="00C614A1"/>
    <w:rsid w:val="00C622EE"/>
    <w:rsid w:val="00C67DE9"/>
    <w:rsid w:val="00C71E78"/>
    <w:rsid w:val="00C74072"/>
    <w:rsid w:val="00C74591"/>
    <w:rsid w:val="00C747DC"/>
    <w:rsid w:val="00C75FB0"/>
    <w:rsid w:val="00C761C2"/>
    <w:rsid w:val="00C76284"/>
    <w:rsid w:val="00C76555"/>
    <w:rsid w:val="00C7785F"/>
    <w:rsid w:val="00C77B7B"/>
    <w:rsid w:val="00C77C09"/>
    <w:rsid w:val="00C80098"/>
    <w:rsid w:val="00C81358"/>
    <w:rsid w:val="00C83312"/>
    <w:rsid w:val="00C83DE5"/>
    <w:rsid w:val="00C8412D"/>
    <w:rsid w:val="00C861C4"/>
    <w:rsid w:val="00C86221"/>
    <w:rsid w:val="00C86652"/>
    <w:rsid w:val="00C87769"/>
    <w:rsid w:val="00C87774"/>
    <w:rsid w:val="00C90B58"/>
    <w:rsid w:val="00C918D1"/>
    <w:rsid w:val="00C91E26"/>
    <w:rsid w:val="00C92E67"/>
    <w:rsid w:val="00C937F3"/>
    <w:rsid w:val="00C9462D"/>
    <w:rsid w:val="00C94D6E"/>
    <w:rsid w:val="00C96315"/>
    <w:rsid w:val="00C97019"/>
    <w:rsid w:val="00C97661"/>
    <w:rsid w:val="00C97F3C"/>
    <w:rsid w:val="00CA01D1"/>
    <w:rsid w:val="00CA0A11"/>
    <w:rsid w:val="00CA2040"/>
    <w:rsid w:val="00CA3D17"/>
    <w:rsid w:val="00CA5126"/>
    <w:rsid w:val="00CA5AAD"/>
    <w:rsid w:val="00CA5B3C"/>
    <w:rsid w:val="00CA6121"/>
    <w:rsid w:val="00CA7191"/>
    <w:rsid w:val="00CB263A"/>
    <w:rsid w:val="00CB33A6"/>
    <w:rsid w:val="00CB3F06"/>
    <w:rsid w:val="00CB4277"/>
    <w:rsid w:val="00CB67FD"/>
    <w:rsid w:val="00CB6A18"/>
    <w:rsid w:val="00CB6A7C"/>
    <w:rsid w:val="00CC1B9D"/>
    <w:rsid w:val="00CC1C99"/>
    <w:rsid w:val="00CC33E6"/>
    <w:rsid w:val="00CC7BB3"/>
    <w:rsid w:val="00CC7C5E"/>
    <w:rsid w:val="00CD02C1"/>
    <w:rsid w:val="00CD0B38"/>
    <w:rsid w:val="00CD34C3"/>
    <w:rsid w:val="00CD57B8"/>
    <w:rsid w:val="00CD73BD"/>
    <w:rsid w:val="00CD77A1"/>
    <w:rsid w:val="00CE434C"/>
    <w:rsid w:val="00CE52A5"/>
    <w:rsid w:val="00CE5851"/>
    <w:rsid w:val="00CE7674"/>
    <w:rsid w:val="00CE7775"/>
    <w:rsid w:val="00CF0364"/>
    <w:rsid w:val="00CF15C0"/>
    <w:rsid w:val="00CF44B1"/>
    <w:rsid w:val="00CF4893"/>
    <w:rsid w:val="00CF4A23"/>
    <w:rsid w:val="00CF7224"/>
    <w:rsid w:val="00D008AF"/>
    <w:rsid w:val="00D01194"/>
    <w:rsid w:val="00D01A5E"/>
    <w:rsid w:val="00D01D08"/>
    <w:rsid w:val="00D0202D"/>
    <w:rsid w:val="00D02C3E"/>
    <w:rsid w:val="00D04D5E"/>
    <w:rsid w:val="00D10DBA"/>
    <w:rsid w:val="00D135C7"/>
    <w:rsid w:val="00D13B7F"/>
    <w:rsid w:val="00D14F23"/>
    <w:rsid w:val="00D15F0E"/>
    <w:rsid w:val="00D163E8"/>
    <w:rsid w:val="00D171B6"/>
    <w:rsid w:val="00D17713"/>
    <w:rsid w:val="00D17FCF"/>
    <w:rsid w:val="00D203DD"/>
    <w:rsid w:val="00D209ED"/>
    <w:rsid w:val="00D2104C"/>
    <w:rsid w:val="00D21DB2"/>
    <w:rsid w:val="00D2274F"/>
    <w:rsid w:val="00D2367F"/>
    <w:rsid w:val="00D271AD"/>
    <w:rsid w:val="00D27330"/>
    <w:rsid w:val="00D30127"/>
    <w:rsid w:val="00D31093"/>
    <w:rsid w:val="00D31AF1"/>
    <w:rsid w:val="00D32722"/>
    <w:rsid w:val="00D332FE"/>
    <w:rsid w:val="00D346BB"/>
    <w:rsid w:val="00D346DD"/>
    <w:rsid w:val="00D355C7"/>
    <w:rsid w:val="00D36D67"/>
    <w:rsid w:val="00D40FE1"/>
    <w:rsid w:val="00D41EBB"/>
    <w:rsid w:val="00D42BC1"/>
    <w:rsid w:val="00D455C9"/>
    <w:rsid w:val="00D46EFA"/>
    <w:rsid w:val="00D477DD"/>
    <w:rsid w:val="00D522B7"/>
    <w:rsid w:val="00D536A2"/>
    <w:rsid w:val="00D5716E"/>
    <w:rsid w:val="00D5757E"/>
    <w:rsid w:val="00D5767C"/>
    <w:rsid w:val="00D60345"/>
    <w:rsid w:val="00D6257A"/>
    <w:rsid w:val="00D6454F"/>
    <w:rsid w:val="00D64568"/>
    <w:rsid w:val="00D6777A"/>
    <w:rsid w:val="00D724A4"/>
    <w:rsid w:val="00D73B45"/>
    <w:rsid w:val="00D74FB6"/>
    <w:rsid w:val="00D7782C"/>
    <w:rsid w:val="00D80724"/>
    <w:rsid w:val="00D80D81"/>
    <w:rsid w:val="00D830EA"/>
    <w:rsid w:val="00D842C4"/>
    <w:rsid w:val="00D84D50"/>
    <w:rsid w:val="00D851A2"/>
    <w:rsid w:val="00D85E6A"/>
    <w:rsid w:val="00D9029F"/>
    <w:rsid w:val="00D90DD8"/>
    <w:rsid w:val="00D910BB"/>
    <w:rsid w:val="00D917BF"/>
    <w:rsid w:val="00D9191E"/>
    <w:rsid w:val="00D92767"/>
    <w:rsid w:val="00D935E5"/>
    <w:rsid w:val="00D94900"/>
    <w:rsid w:val="00D94EAE"/>
    <w:rsid w:val="00D95238"/>
    <w:rsid w:val="00D9603B"/>
    <w:rsid w:val="00D979E0"/>
    <w:rsid w:val="00D97AE5"/>
    <w:rsid w:val="00D97D5E"/>
    <w:rsid w:val="00DA09C2"/>
    <w:rsid w:val="00DA0A85"/>
    <w:rsid w:val="00DA1883"/>
    <w:rsid w:val="00DA1BE9"/>
    <w:rsid w:val="00DA3739"/>
    <w:rsid w:val="00DA3A8F"/>
    <w:rsid w:val="00DA3C64"/>
    <w:rsid w:val="00DA41E4"/>
    <w:rsid w:val="00DA4823"/>
    <w:rsid w:val="00DA5537"/>
    <w:rsid w:val="00DB0709"/>
    <w:rsid w:val="00DB1840"/>
    <w:rsid w:val="00DB1883"/>
    <w:rsid w:val="00DB48F9"/>
    <w:rsid w:val="00DB4F21"/>
    <w:rsid w:val="00DB4FB7"/>
    <w:rsid w:val="00DC439F"/>
    <w:rsid w:val="00DC4D99"/>
    <w:rsid w:val="00DC6B04"/>
    <w:rsid w:val="00DC6B9D"/>
    <w:rsid w:val="00DD0AC3"/>
    <w:rsid w:val="00DD0CCE"/>
    <w:rsid w:val="00DD119A"/>
    <w:rsid w:val="00DD13DA"/>
    <w:rsid w:val="00DD16CF"/>
    <w:rsid w:val="00DD26C7"/>
    <w:rsid w:val="00DD2E2C"/>
    <w:rsid w:val="00DD36FC"/>
    <w:rsid w:val="00DD412D"/>
    <w:rsid w:val="00DD7498"/>
    <w:rsid w:val="00DE15F8"/>
    <w:rsid w:val="00DE3FCC"/>
    <w:rsid w:val="00DE7F0D"/>
    <w:rsid w:val="00DF07BF"/>
    <w:rsid w:val="00DF19E0"/>
    <w:rsid w:val="00DF19FD"/>
    <w:rsid w:val="00DF1A72"/>
    <w:rsid w:val="00DF3602"/>
    <w:rsid w:val="00DF4400"/>
    <w:rsid w:val="00DF48D3"/>
    <w:rsid w:val="00DF63EE"/>
    <w:rsid w:val="00E02438"/>
    <w:rsid w:val="00E0743A"/>
    <w:rsid w:val="00E11EFB"/>
    <w:rsid w:val="00E126F3"/>
    <w:rsid w:val="00E13226"/>
    <w:rsid w:val="00E13878"/>
    <w:rsid w:val="00E14C0D"/>
    <w:rsid w:val="00E17098"/>
    <w:rsid w:val="00E2039C"/>
    <w:rsid w:val="00E21463"/>
    <w:rsid w:val="00E22297"/>
    <w:rsid w:val="00E2271C"/>
    <w:rsid w:val="00E22CAE"/>
    <w:rsid w:val="00E239E8"/>
    <w:rsid w:val="00E24C62"/>
    <w:rsid w:val="00E25A86"/>
    <w:rsid w:val="00E26F52"/>
    <w:rsid w:val="00E35521"/>
    <w:rsid w:val="00E40687"/>
    <w:rsid w:val="00E415D2"/>
    <w:rsid w:val="00E418C1"/>
    <w:rsid w:val="00E42538"/>
    <w:rsid w:val="00E43654"/>
    <w:rsid w:val="00E43AAD"/>
    <w:rsid w:val="00E450D6"/>
    <w:rsid w:val="00E4671F"/>
    <w:rsid w:val="00E469BD"/>
    <w:rsid w:val="00E50C54"/>
    <w:rsid w:val="00E51AF5"/>
    <w:rsid w:val="00E5589B"/>
    <w:rsid w:val="00E55A07"/>
    <w:rsid w:val="00E56AC3"/>
    <w:rsid w:val="00E604ED"/>
    <w:rsid w:val="00E60535"/>
    <w:rsid w:val="00E60B98"/>
    <w:rsid w:val="00E62131"/>
    <w:rsid w:val="00E6246C"/>
    <w:rsid w:val="00E636A6"/>
    <w:rsid w:val="00E645E8"/>
    <w:rsid w:val="00E64DDA"/>
    <w:rsid w:val="00E653E6"/>
    <w:rsid w:val="00E659A3"/>
    <w:rsid w:val="00E66B8A"/>
    <w:rsid w:val="00E67773"/>
    <w:rsid w:val="00E67D64"/>
    <w:rsid w:val="00E70337"/>
    <w:rsid w:val="00E7048F"/>
    <w:rsid w:val="00E72B5F"/>
    <w:rsid w:val="00E73D81"/>
    <w:rsid w:val="00E7401F"/>
    <w:rsid w:val="00E76036"/>
    <w:rsid w:val="00E76759"/>
    <w:rsid w:val="00E80896"/>
    <w:rsid w:val="00E84C89"/>
    <w:rsid w:val="00E85085"/>
    <w:rsid w:val="00E854BD"/>
    <w:rsid w:val="00E858CC"/>
    <w:rsid w:val="00E868A7"/>
    <w:rsid w:val="00E90452"/>
    <w:rsid w:val="00E90AF6"/>
    <w:rsid w:val="00E919FD"/>
    <w:rsid w:val="00E922DA"/>
    <w:rsid w:val="00E9305B"/>
    <w:rsid w:val="00E9376D"/>
    <w:rsid w:val="00E966E5"/>
    <w:rsid w:val="00EA3FD8"/>
    <w:rsid w:val="00EA6180"/>
    <w:rsid w:val="00EA7210"/>
    <w:rsid w:val="00EA7857"/>
    <w:rsid w:val="00EB0496"/>
    <w:rsid w:val="00EB093B"/>
    <w:rsid w:val="00EB228C"/>
    <w:rsid w:val="00EB74C7"/>
    <w:rsid w:val="00EC045D"/>
    <w:rsid w:val="00EC2AB7"/>
    <w:rsid w:val="00EC301F"/>
    <w:rsid w:val="00EC4E9C"/>
    <w:rsid w:val="00ED1681"/>
    <w:rsid w:val="00ED168D"/>
    <w:rsid w:val="00ED2CA1"/>
    <w:rsid w:val="00ED33AD"/>
    <w:rsid w:val="00ED4301"/>
    <w:rsid w:val="00ED4DDD"/>
    <w:rsid w:val="00ED5F3C"/>
    <w:rsid w:val="00ED7266"/>
    <w:rsid w:val="00EE05F9"/>
    <w:rsid w:val="00EE19D6"/>
    <w:rsid w:val="00EE31E7"/>
    <w:rsid w:val="00EF3CE4"/>
    <w:rsid w:val="00EF3F34"/>
    <w:rsid w:val="00EF4616"/>
    <w:rsid w:val="00EF502A"/>
    <w:rsid w:val="00EF5564"/>
    <w:rsid w:val="00EF6670"/>
    <w:rsid w:val="00EF6E84"/>
    <w:rsid w:val="00F01157"/>
    <w:rsid w:val="00F016A2"/>
    <w:rsid w:val="00F037CB"/>
    <w:rsid w:val="00F040C3"/>
    <w:rsid w:val="00F079F5"/>
    <w:rsid w:val="00F128A9"/>
    <w:rsid w:val="00F15D19"/>
    <w:rsid w:val="00F20856"/>
    <w:rsid w:val="00F20D5F"/>
    <w:rsid w:val="00F21C7E"/>
    <w:rsid w:val="00F21FD0"/>
    <w:rsid w:val="00F221C7"/>
    <w:rsid w:val="00F224E3"/>
    <w:rsid w:val="00F22A5B"/>
    <w:rsid w:val="00F24544"/>
    <w:rsid w:val="00F2576E"/>
    <w:rsid w:val="00F26555"/>
    <w:rsid w:val="00F26DB5"/>
    <w:rsid w:val="00F27EE7"/>
    <w:rsid w:val="00F32034"/>
    <w:rsid w:val="00F32E1A"/>
    <w:rsid w:val="00F3309A"/>
    <w:rsid w:val="00F3403B"/>
    <w:rsid w:val="00F343E7"/>
    <w:rsid w:val="00F37B39"/>
    <w:rsid w:val="00F37BFA"/>
    <w:rsid w:val="00F4124E"/>
    <w:rsid w:val="00F43BBB"/>
    <w:rsid w:val="00F443C6"/>
    <w:rsid w:val="00F4588C"/>
    <w:rsid w:val="00F45CAB"/>
    <w:rsid w:val="00F45FD8"/>
    <w:rsid w:val="00F50FF9"/>
    <w:rsid w:val="00F524C6"/>
    <w:rsid w:val="00F52A02"/>
    <w:rsid w:val="00F5360A"/>
    <w:rsid w:val="00F55820"/>
    <w:rsid w:val="00F56170"/>
    <w:rsid w:val="00F57338"/>
    <w:rsid w:val="00F57ACE"/>
    <w:rsid w:val="00F60A4D"/>
    <w:rsid w:val="00F60EE7"/>
    <w:rsid w:val="00F61AE3"/>
    <w:rsid w:val="00F6292A"/>
    <w:rsid w:val="00F64C6E"/>
    <w:rsid w:val="00F64ED5"/>
    <w:rsid w:val="00F704B9"/>
    <w:rsid w:val="00F7082E"/>
    <w:rsid w:val="00F70CED"/>
    <w:rsid w:val="00F72E90"/>
    <w:rsid w:val="00F737F0"/>
    <w:rsid w:val="00F73C85"/>
    <w:rsid w:val="00F73F93"/>
    <w:rsid w:val="00F745D7"/>
    <w:rsid w:val="00F74986"/>
    <w:rsid w:val="00F75068"/>
    <w:rsid w:val="00F76E74"/>
    <w:rsid w:val="00F80404"/>
    <w:rsid w:val="00F808A6"/>
    <w:rsid w:val="00F80A42"/>
    <w:rsid w:val="00F81F6B"/>
    <w:rsid w:val="00F829D1"/>
    <w:rsid w:val="00F83BA3"/>
    <w:rsid w:val="00F874E2"/>
    <w:rsid w:val="00F907BA"/>
    <w:rsid w:val="00F91793"/>
    <w:rsid w:val="00F92854"/>
    <w:rsid w:val="00F92CE9"/>
    <w:rsid w:val="00F94E08"/>
    <w:rsid w:val="00F9777C"/>
    <w:rsid w:val="00FA056C"/>
    <w:rsid w:val="00FA1C95"/>
    <w:rsid w:val="00FA411E"/>
    <w:rsid w:val="00FA43A9"/>
    <w:rsid w:val="00FA67B0"/>
    <w:rsid w:val="00FA71B5"/>
    <w:rsid w:val="00FA7467"/>
    <w:rsid w:val="00FA7962"/>
    <w:rsid w:val="00FA7FAE"/>
    <w:rsid w:val="00FB12F4"/>
    <w:rsid w:val="00FB1430"/>
    <w:rsid w:val="00FB2E0F"/>
    <w:rsid w:val="00FB2EA0"/>
    <w:rsid w:val="00FB3143"/>
    <w:rsid w:val="00FB74E7"/>
    <w:rsid w:val="00FC0E46"/>
    <w:rsid w:val="00FC3F5C"/>
    <w:rsid w:val="00FC4E1A"/>
    <w:rsid w:val="00FD0BB4"/>
    <w:rsid w:val="00FD123E"/>
    <w:rsid w:val="00FD22F9"/>
    <w:rsid w:val="00FD26F9"/>
    <w:rsid w:val="00FD295C"/>
    <w:rsid w:val="00FD534F"/>
    <w:rsid w:val="00FD5BA1"/>
    <w:rsid w:val="00FD5CA4"/>
    <w:rsid w:val="00FD60B1"/>
    <w:rsid w:val="00FE0EEE"/>
    <w:rsid w:val="00FE1E21"/>
    <w:rsid w:val="00FE22DE"/>
    <w:rsid w:val="00FE37E7"/>
    <w:rsid w:val="00FE5116"/>
    <w:rsid w:val="00FE668D"/>
    <w:rsid w:val="00FE6AD0"/>
    <w:rsid w:val="00FE7ED4"/>
    <w:rsid w:val="00FF0A27"/>
    <w:rsid w:val="00FF1B41"/>
    <w:rsid w:val="00FF335E"/>
    <w:rsid w:val="00FF4516"/>
    <w:rsid w:val="00FF5425"/>
    <w:rsid w:val="00FF5D29"/>
    <w:rsid w:val="01260234"/>
    <w:rsid w:val="0302D1BF"/>
    <w:rsid w:val="03D78A16"/>
    <w:rsid w:val="076A3C43"/>
    <w:rsid w:val="0DE31B8A"/>
    <w:rsid w:val="0F06EE7E"/>
    <w:rsid w:val="11194BD6"/>
    <w:rsid w:val="11E72E8A"/>
    <w:rsid w:val="13990FB1"/>
    <w:rsid w:val="14E4DE00"/>
    <w:rsid w:val="1B7C03B9"/>
    <w:rsid w:val="1BEC8CCC"/>
    <w:rsid w:val="21C00BAC"/>
    <w:rsid w:val="2275331B"/>
    <w:rsid w:val="26EF8079"/>
    <w:rsid w:val="2975F0DC"/>
    <w:rsid w:val="2E57D3D4"/>
    <w:rsid w:val="332EFD7E"/>
    <w:rsid w:val="34A37EAB"/>
    <w:rsid w:val="35407FFB"/>
    <w:rsid w:val="38C76DAA"/>
    <w:rsid w:val="3DCD57CC"/>
    <w:rsid w:val="402098F7"/>
    <w:rsid w:val="40CE50AF"/>
    <w:rsid w:val="413B5EA4"/>
    <w:rsid w:val="41769808"/>
    <w:rsid w:val="4446152B"/>
    <w:rsid w:val="451AA82D"/>
    <w:rsid w:val="4C80DE6A"/>
    <w:rsid w:val="4D8CF4D9"/>
    <w:rsid w:val="4E2233D9"/>
    <w:rsid w:val="4E891A11"/>
    <w:rsid w:val="550AC55C"/>
    <w:rsid w:val="5DF7D27D"/>
    <w:rsid w:val="62EE3899"/>
    <w:rsid w:val="664FE99A"/>
    <w:rsid w:val="66C36A88"/>
    <w:rsid w:val="6D2646C8"/>
    <w:rsid w:val="7205EB59"/>
    <w:rsid w:val="7CE16A53"/>
    <w:rsid w:val="7EDC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FE8C7F"/>
  <w15:docId w15:val="{59DFB896-B8DE-49E9-B5BE-682A9904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61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49"/>
    <w:rPr>
      <w:sz w:val="24"/>
      <w:szCs w:val="24"/>
    </w:rPr>
  </w:style>
  <w:style w:type="paragraph" w:styleId="Heading1">
    <w:name w:val="heading 1"/>
    <w:basedOn w:val="HeadingBase"/>
    <w:next w:val="Body"/>
    <w:qFormat/>
    <w:rsid w:val="00A914DD"/>
    <w:pPr>
      <w:pageBreakBefore/>
      <w:pBdr>
        <w:bottom w:val="single" w:sz="48" w:space="12" w:color="auto"/>
      </w:pBdr>
      <w:spacing w:after="240"/>
      <w:jc w:val="right"/>
      <w:outlineLvl w:val="0"/>
    </w:pPr>
    <w:rPr>
      <w:b/>
      <w:sz w:val="36"/>
    </w:rPr>
  </w:style>
  <w:style w:type="paragraph" w:styleId="Heading2">
    <w:name w:val="heading 2"/>
    <w:basedOn w:val="HeadingBase"/>
    <w:next w:val="Body"/>
    <w:link w:val="Heading2Char"/>
    <w:qFormat/>
    <w:rsid w:val="00A914DD"/>
    <w:pPr>
      <w:spacing w:before="240" w:after="120"/>
      <w:outlineLvl w:val="1"/>
    </w:pPr>
    <w:rPr>
      <w:b/>
      <w:sz w:val="28"/>
    </w:rPr>
  </w:style>
  <w:style w:type="paragraph" w:styleId="Heading3">
    <w:name w:val="heading 3"/>
    <w:basedOn w:val="HeadingBase"/>
    <w:next w:val="Body"/>
    <w:qFormat/>
    <w:rsid w:val="00A914DD"/>
    <w:pPr>
      <w:spacing w:before="240" w:after="120"/>
      <w:outlineLvl w:val="2"/>
    </w:pPr>
    <w:rPr>
      <w:b/>
      <w:i/>
      <w:kern w:val="0"/>
    </w:rPr>
  </w:style>
  <w:style w:type="paragraph" w:styleId="Heading4">
    <w:name w:val="heading 4"/>
    <w:basedOn w:val="HeadingBase"/>
    <w:next w:val="Body"/>
    <w:qFormat/>
    <w:rsid w:val="00A914DD"/>
    <w:pPr>
      <w:spacing w:before="240" w:after="120"/>
      <w:ind w:left="360"/>
      <w:outlineLvl w:val="3"/>
    </w:pPr>
    <w:rPr>
      <w:b/>
      <w:kern w:val="0"/>
    </w:rPr>
  </w:style>
  <w:style w:type="paragraph" w:styleId="Heading5">
    <w:name w:val="heading 5"/>
    <w:basedOn w:val="HeadingBase"/>
    <w:next w:val="Body"/>
    <w:qFormat/>
    <w:rsid w:val="00A914DD"/>
    <w:pPr>
      <w:spacing w:before="240" w:after="120"/>
      <w:ind w:left="720"/>
      <w:outlineLvl w:val="4"/>
    </w:pPr>
    <w:rPr>
      <w:b/>
      <w:kern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rsid w:val="00947C77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Body">
    <w:name w:val="Body"/>
    <w:basedOn w:val="BodyBase"/>
    <w:rsid w:val="00A914DD"/>
    <w:pPr>
      <w:spacing w:before="120" w:after="120"/>
    </w:pPr>
  </w:style>
  <w:style w:type="paragraph" w:customStyle="1" w:styleId="BodyBase">
    <w:name w:val="Body Base"/>
    <w:rsid w:val="00947C77"/>
    <w:pPr>
      <w:spacing w:line="360" w:lineRule="auto"/>
    </w:pPr>
    <w:rPr>
      <w:rFonts w:ascii="Arial" w:hAnsi="Arial"/>
      <w:sz w:val="24"/>
    </w:rPr>
  </w:style>
  <w:style w:type="paragraph" w:styleId="Footer">
    <w:name w:val="footer"/>
    <w:basedOn w:val="BodyBase"/>
    <w:link w:val="FooterChar"/>
    <w:uiPriority w:val="99"/>
    <w:rsid w:val="00A914DD"/>
    <w:pPr>
      <w:pBdr>
        <w:top w:val="single" w:sz="4" w:space="2" w:color="auto"/>
      </w:pBdr>
      <w:tabs>
        <w:tab w:val="center" w:pos="4680"/>
        <w:tab w:val="right" w:pos="9360"/>
      </w:tabs>
      <w:spacing w:line="240" w:lineRule="auto"/>
    </w:pPr>
    <w:rPr>
      <w:sz w:val="18"/>
    </w:rPr>
  </w:style>
  <w:style w:type="paragraph" w:styleId="Header">
    <w:name w:val="header"/>
    <w:basedOn w:val="BodyBase"/>
    <w:rsid w:val="00A914DD"/>
    <w:pPr>
      <w:tabs>
        <w:tab w:val="right" w:pos="9360"/>
      </w:tabs>
      <w:spacing w:line="240" w:lineRule="auto"/>
    </w:pPr>
    <w:rPr>
      <w:i/>
      <w:sz w:val="18"/>
    </w:rPr>
  </w:style>
  <w:style w:type="paragraph" w:customStyle="1" w:styleId="Bullet">
    <w:name w:val="Bullet"/>
    <w:basedOn w:val="BodyBase"/>
    <w:rsid w:val="00755E97"/>
    <w:pPr>
      <w:numPr>
        <w:numId w:val="3"/>
      </w:numPr>
      <w:spacing w:before="40" w:after="40"/>
    </w:pPr>
  </w:style>
  <w:style w:type="paragraph" w:customStyle="1" w:styleId="TableHeadCenter">
    <w:name w:val="Table Head Center"/>
    <w:basedOn w:val="TableBase"/>
    <w:next w:val="TableText"/>
    <w:rsid w:val="00A914DD"/>
    <w:pPr>
      <w:spacing w:before="60" w:after="60"/>
      <w:jc w:val="center"/>
    </w:pPr>
    <w:rPr>
      <w:b/>
    </w:rPr>
  </w:style>
  <w:style w:type="paragraph" w:customStyle="1" w:styleId="TableBase">
    <w:name w:val="Table Base"/>
    <w:rsid w:val="00947C77"/>
    <w:rPr>
      <w:rFonts w:ascii="Arial" w:hAnsi="Arial"/>
      <w:sz w:val="19"/>
    </w:rPr>
  </w:style>
  <w:style w:type="paragraph" w:customStyle="1" w:styleId="TableText">
    <w:name w:val="Table Text"/>
    <w:basedOn w:val="TableBase"/>
    <w:rsid w:val="00A914DD"/>
    <w:pPr>
      <w:spacing w:before="60" w:after="60"/>
    </w:pPr>
  </w:style>
  <w:style w:type="paragraph" w:customStyle="1" w:styleId="Exhibit">
    <w:name w:val="Exhibit"/>
    <w:basedOn w:val="HeadingBase"/>
    <w:next w:val="ExtraBlankLine"/>
    <w:rsid w:val="00A914DD"/>
    <w:pPr>
      <w:tabs>
        <w:tab w:val="center" w:pos="4766"/>
      </w:tabs>
      <w:spacing w:before="240" w:after="240"/>
      <w:jc w:val="center"/>
    </w:pPr>
    <w:rPr>
      <w:b/>
    </w:rPr>
  </w:style>
  <w:style w:type="paragraph" w:customStyle="1" w:styleId="ExtraBlankLine">
    <w:name w:val="Extra Blank Line"/>
    <w:basedOn w:val="BodyBase"/>
    <w:rsid w:val="00A914DD"/>
    <w:pPr>
      <w:spacing w:line="240" w:lineRule="auto"/>
    </w:pPr>
  </w:style>
  <w:style w:type="paragraph" w:customStyle="1" w:styleId="BlockQuotation">
    <w:name w:val="Block Quotation"/>
    <w:basedOn w:val="BodyBase"/>
    <w:next w:val="Body"/>
    <w:rsid w:val="00A914DD"/>
    <w:pPr>
      <w:spacing w:before="120" w:after="120"/>
      <w:ind w:left="720" w:right="720"/>
    </w:pPr>
  </w:style>
  <w:style w:type="paragraph" w:customStyle="1" w:styleId="NumberedList">
    <w:name w:val="Numbered List"/>
    <w:basedOn w:val="BodyBase"/>
    <w:rsid w:val="00755E97"/>
    <w:pPr>
      <w:numPr>
        <w:numId w:val="4"/>
      </w:numPr>
      <w:spacing w:before="40" w:after="40"/>
    </w:pPr>
  </w:style>
  <w:style w:type="paragraph" w:styleId="FootnoteText">
    <w:name w:val="footnote text"/>
    <w:aliases w:val="F1"/>
    <w:basedOn w:val="BodyBase"/>
    <w:link w:val="FootnoteTextChar"/>
    <w:semiHidden/>
    <w:rsid w:val="00A914DD"/>
    <w:pPr>
      <w:widowControl w:val="0"/>
      <w:spacing w:line="240" w:lineRule="auto"/>
    </w:pPr>
    <w:rPr>
      <w:snapToGrid w:val="0"/>
      <w:sz w:val="18"/>
    </w:rPr>
  </w:style>
  <w:style w:type="paragraph" w:styleId="TOC1">
    <w:name w:val="toc 1"/>
    <w:basedOn w:val="BodyBase"/>
    <w:next w:val="TOC2"/>
    <w:semiHidden/>
    <w:rsid w:val="00A914DD"/>
    <w:pPr>
      <w:tabs>
        <w:tab w:val="right" w:leader="dot" w:pos="9360"/>
      </w:tabs>
      <w:suppressAutoHyphens/>
      <w:spacing w:before="60" w:after="60" w:line="240" w:lineRule="auto"/>
    </w:pPr>
    <w:rPr>
      <w:snapToGrid w:val="0"/>
    </w:rPr>
  </w:style>
  <w:style w:type="paragraph" w:styleId="TOC2">
    <w:name w:val="toc 2"/>
    <w:basedOn w:val="BodyBase"/>
    <w:next w:val="TOC3"/>
    <w:semiHidden/>
    <w:rsid w:val="00A914DD"/>
    <w:pPr>
      <w:tabs>
        <w:tab w:val="right" w:leader="dot" w:pos="9360"/>
      </w:tabs>
      <w:spacing w:line="240" w:lineRule="auto"/>
      <w:ind w:left="360"/>
    </w:pPr>
  </w:style>
  <w:style w:type="paragraph" w:styleId="TOC3">
    <w:name w:val="toc 3"/>
    <w:basedOn w:val="BodyBase"/>
    <w:next w:val="TOC4"/>
    <w:semiHidden/>
    <w:rsid w:val="00A914DD"/>
    <w:pPr>
      <w:tabs>
        <w:tab w:val="right" w:leader="dot" w:pos="9360"/>
      </w:tabs>
      <w:spacing w:line="240" w:lineRule="auto"/>
      <w:ind w:left="720"/>
    </w:pPr>
  </w:style>
  <w:style w:type="paragraph" w:styleId="TOC4">
    <w:name w:val="toc 4"/>
    <w:basedOn w:val="BodyBase"/>
    <w:next w:val="Body"/>
    <w:semiHidden/>
    <w:rsid w:val="00A914DD"/>
    <w:pPr>
      <w:tabs>
        <w:tab w:val="right" w:leader="dot" w:pos="9360"/>
      </w:tabs>
      <w:spacing w:line="240" w:lineRule="auto"/>
      <w:ind w:left="1080"/>
    </w:pPr>
  </w:style>
  <w:style w:type="paragraph" w:styleId="Index1">
    <w:name w:val="index 1"/>
    <w:basedOn w:val="BodyBase"/>
    <w:next w:val="Body"/>
    <w:autoRedefine/>
    <w:semiHidden/>
    <w:rsid w:val="00A914DD"/>
    <w:pPr>
      <w:tabs>
        <w:tab w:val="right" w:leader="dot" w:pos="9360"/>
      </w:tabs>
      <w:suppressAutoHyphens/>
      <w:spacing w:line="240" w:lineRule="auto"/>
      <w:ind w:left="1440" w:right="720" w:hanging="1440"/>
    </w:pPr>
    <w:rPr>
      <w:snapToGrid w:val="0"/>
    </w:rPr>
  </w:style>
  <w:style w:type="paragraph" w:styleId="Index2">
    <w:name w:val="index 2"/>
    <w:basedOn w:val="BodyBase"/>
    <w:next w:val="Body"/>
    <w:autoRedefine/>
    <w:semiHidden/>
    <w:rsid w:val="00A914DD"/>
    <w:pPr>
      <w:tabs>
        <w:tab w:val="right" w:leader="dot" w:pos="9360"/>
      </w:tabs>
      <w:suppressAutoHyphens/>
      <w:spacing w:line="240" w:lineRule="auto"/>
      <w:ind w:left="1440" w:right="720" w:hanging="720"/>
    </w:pPr>
    <w:rPr>
      <w:snapToGrid w:val="0"/>
    </w:rPr>
  </w:style>
  <w:style w:type="paragraph" w:customStyle="1" w:styleId="Vitabodybase">
    <w:name w:val="Vita body base"/>
    <w:rsid w:val="00947C77"/>
    <w:pPr>
      <w:spacing w:line="360" w:lineRule="auto"/>
    </w:pPr>
    <w:rPr>
      <w:rFonts w:ascii="Arial" w:hAnsi="Arial"/>
      <w:sz w:val="24"/>
    </w:rPr>
  </w:style>
  <w:style w:type="paragraph" w:customStyle="1" w:styleId="ReferenceListText">
    <w:name w:val="Reference List Text"/>
    <w:basedOn w:val="BodyBase"/>
    <w:rsid w:val="00A914DD"/>
    <w:pPr>
      <w:keepLines/>
      <w:widowControl w:val="0"/>
      <w:suppressAutoHyphens/>
      <w:spacing w:before="120" w:after="120"/>
      <w:ind w:left="720" w:hanging="720"/>
    </w:pPr>
  </w:style>
  <w:style w:type="paragraph" w:customStyle="1" w:styleId="CoverText10pt">
    <w:name w:val="Cover Text 10 pt"/>
    <w:basedOn w:val="BodyBase"/>
    <w:rsid w:val="00FB2EA0"/>
    <w:pPr>
      <w:spacing w:line="240" w:lineRule="auto"/>
      <w:jc w:val="right"/>
    </w:pPr>
    <w:rPr>
      <w:sz w:val="20"/>
    </w:rPr>
  </w:style>
  <w:style w:type="paragraph" w:customStyle="1" w:styleId="CoverTitle">
    <w:name w:val="Cover Title"/>
    <w:basedOn w:val="BodyBase"/>
    <w:next w:val="CoverSubtitle"/>
    <w:rsid w:val="00FB2EA0"/>
    <w:pPr>
      <w:spacing w:line="240" w:lineRule="auto"/>
      <w:jc w:val="right"/>
    </w:pPr>
    <w:rPr>
      <w:b/>
      <w:sz w:val="36"/>
    </w:rPr>
  </w:style>
  <w:style w:type="paragraph" w:customStyle="1" w:styleId="CoverSubtitle">
    <w:name w:val="Cover Subtitle"/>
    <w:basedOn w:val="BodyBase"/>
    <w:rsid w:val="00FB2EA0"/>
    <w:pPr>
      <w:spacing w:line="240" w:lineRule="auto"/>
      <w:jc w:val="right"/>
    </w:pPr>
    <w:rPr>
      <w:i/>
      <w:sz w:val="28"/>
    </w:rPr>
  </w:style>
  <w:style w:type="paragraph" w:customStyle="1" w:styleId="TableNote">
    <w:name w:val="Table Note"/>
    <w:basedOn w:val="TableBase"/>
    <w:next w:val="Body"/>
    <w:rsid w:val="00A914DD"/>
    <w:pPr>
      <w:widowControl w:val="0"/>
      <w:spacing w:after="360"/>
    </w:pPr>
    <w:rPr>
      <w:sz w:val="18"/>
    </w:rPr>
  </w:style>
  <w:style w:type="paragraph" w:customStyle="1" w:styleId="InsideTitle">
    <w:name w:val="Inside Title"/>
    <w:basedOn w:val="BodyBase"/>
    <w:next w:val="InsideSubtitle"/>
    <w:rsid w:val="00FB2EA0"/>
    <w:pPr>
      <w:pBdr>
        <w:top w:val="single" w:sz="48" w:space="8" w:color="auto"/>
      </w:pBdr>
      <w:spacing w:before="240" w:after="240" w:line="240" w:lineRule="auto"/>
    </w:pPr>
    <w:rPr>
      <w:b/>
      <w:kern w:val="28"/>
      <w:sz w:val="32"/>
    </w:rPr>
  </w:style>
  <w:style w:type="paragraph" w:customStyle="1" w:styleId="InsideSubtitle">
    <w:name w:val="Inside Subtitle"/>
    <w:basedOn w:val="BodyBase"/>
    <w:next w:val="InsideCoverText"/>
    <w:rsid w:val="00FB2EA0"/>
    <w:pPr>
      <w:spacing w:line="240" w:lineRule="auto"/>
    </w:pPr>
    <w:rPr>
      <w:i/>
      <w:sz w:val="28"/>
    </w:rPr>
  </w:style>
  <w:style w:type="paragraph" w:customStyle="1" w:styleId="InsideCoverText">
    <w:name w:val="Inside Cover Text"/>
    <w:basedOn w:val="BodyBase"/>
    <w:rsid w:val="00FB2EA0"/>
    <w:pPr>
      <w:spacing w:line="240" w:lineRule="auto"/>
      <w:ind w:left="1440"/>
    </w:pPr>
  </w:style>
  <w:style w:type="character" w:customStyle="1" w:styleId="Bold">
    <w:name w:val="Bold"/>
    <w:rsid w:val="00A914DD"/>
    <w:rPr>
      <w:b/>
    </w:rPr>
  </w:style>
  <w:style w:type="paragraph" w:customStyle="1" w:styleId="EmphasisBlock">
    <w:name w:val="Emphasis Block"/>
    <w:basedOn w:val="BodyBase"/>
    <w:next w:val="Body"/>
    <w:rsid w:val="00A914DD"/>
    <w:pPr>
      <w:pBdr>
        <w:left w:val="single" w:sz="48" w:space="4" w:color="auto"/>
      </w:pBdr>
      <w:spacing w:before="120" w:after="120"/>
      <w:ind w:left="720"/>
    </w:pPr>
    <w:rPr>
      <w:i/>
    </w:rPr>
  </w:style>
  <w:style w:type="paragraph" w:customStyle="1" w:styleId="AppendixCover">
    <w:name w:val="Appendix Cover"/>
    <w:basedOn w:val="HeadingBase"/>
    <w:next w:val="Body"/>
    <w:rsid w:val="00A914DD"/>
    <w:pPr>
      <w:pBdr>
        <w:bottom w:val="single" w:sz="48" w:space="12" w:color="auto"/>
      </w:pBdr>
      <w:spacing w:before="960" w:after="240"/>
      <w:jc w:val="right"/>
      <w:outlineLvl w:val="0"/>
    </w:pPr>
    <w:rPr>
      <w:b/>
      <w:sz w:val="36"/>
    </w:rPr>
  </w:style>
  <w:style w:type="character" w:customStyle="1" w:styleId="Italics">
    <w:name w:val="Italics"/>
    <w:rsid w:val="00A914DD"/>
    <w:rPr>
      <w:i/>
    </w:rPr>
  </w:style>
  <w:style w:type="paragraph" w:customStyle="1" w:styleId="ContentsLabel">
    <w:name w:val="Contents Label"/>
    <w:basedOn w:val="HeadingBase"/>
    <w:next w:val="Body"/>
    <w:rsid w:val="00A914DD"/>
    <w:pPr>
      <w:pBdr>
        <w:bottom w:val="single" w:sz="48" w:space="12" w:color="auto"/>
      </w:pBdr>
      <w:spacing w:after="240"/>
      <w:jc w:val="right"/>
    </w:pPr>
    <w:rPr>
      <w:b/>
      <w:sz w:val="36"/>
    </w:rPr>
  </w:style>
  <w:style w:type="paragraph" w:customStyle="1" w:styleId="CoverText">
    <w:name w:val="Cover Text"/>
    <w:basedOn w:val="BodyBase"/>
    <w:rsid w:val="00FB2EA0"/>
    <w:pPr>
      <w:spacing w:before="60" w:line="240" w:lineRule="auto"/>
      <w:jc w:val="right"/>
    </w:pPr>
  </w:style>
  <w:style w:type="paragraph" w:customStyle="1" w:styleId="TableTextCenter">
    <w:name w:val="Table Text Center"/>
    <w:basedOn w:val="TableBase"/>
    <w:rsid w:val="00A914DD"/>
    <w:pPr>
      <w:spacing w:before="60" w:after="60"/>
      <w:jc w:val="center"/>
    </w:pPr>
  </w:style>
  <w:style w:type="paragraph" w:customStyle="1" w:styleId="TableHeadLeft">
    <w:name w:val="Table Head Left"/>
    <w:basedOn w:val="TableBase"/>
    <w:next w:val="TableText"/>
    <w:rsid w:val="00A914DD"/>
    <w:pPr>
      <w:spacing w:before="60" w:after="60"/>
    </w:pPr>
    <w:rPr>
      <w:b/>
    </w:rPr>
  </w:style>
  <w:style w:type="paragraph" w:customStyle="1" w:styleId="AppendixHeading1">
    <w:name w:val="Appendix Heading 1"/>
    <w:basedOn w:val="HeadingBase"/>
    <w:next w:val="Body"/>
    <w:rsid w:val="00A914DD"/>
    <w:pPr>
      <w:pageBreakBefore/>
      <w:pBdr>
        <w:bottom w:val="single" w:sz="48" w:space="12" w:color="auto"/>
      </w:pBdr>
      <w:spacing w:after="240"/>
      <w:jc w:val="right"/>
    </w:pPr>
    <w:rPr>
      <w:b/>
      <w:sz w:val="36"/>
    </w:rPr>
  </w:style>
  <w:style w:type="paragraph" w:styleId="TableofFigures">
    <w:name w:val="table of figures"/>
    <w:basedOn w:val="BodyBase"/>
    <w:semiHidden/>
    <w:rsid w:val="00947223"/>
    <w:pPr>
      <w:tabs>
        <w:tab w:val="left" w:pos="1238"/>
        <w:tab w:val="right" w:leader="dot" w:pos="9360"/>
      </w:tabs>
      <w:spacing w:before="60" w:after="60" w:line="240" w:lineRule="auto"/>
      <w:ind w:left="1310" w:hanging="1310"/>
    </w:pPr>
  </w:style>
  <w:style w:type="paragraph" w:customStyle="1" w:styleId="AppendixHeading2">
    <w:name w:val="Appendix Heading 2"/>
    <w:basedOn w:val="HeadingBase"/>
    <w:next w:val="Body"/>
    <w:rsid w:val="00A914DD"/>
    <w:pPr>
      <w:spacing w:before="240" w:after="120"/>
    </w:pPr>
    <w:rPr>
      <w:b/>
      <w:sz w:val="28"/>
    </w:rPr>
  </w:style>
  <w:style w:type="paragraph" w:customStyle="1" w:styleId="AppendixExhibit">
    <w:name w:val="Appendix Exhibit"/>
    <w:basedOn w:val="HeadingBase"/>
    <w:next w:val="ExtraBlankLine"/>
    <w:rsid w:val="00A914DD"/>
    <w:pPr>
      <w:tabs>
        <w:tab w:val="center" w:pos="4766"/>
      </w:tabs>
      <w:spacing w:before="240" w:after="240"/>
      <w:jc w:val="center"/>
    </w:pPr>
    <w:rPr>
      <w:b/>
    </w:rPr>
  </w:style>
  <w:style w:type="paragraph" w:customStyle="1" w:styleId="TableBullet">
    <w:name w:val="Table Bullet"/>
    <w:basedOn w:val="TableBase"/>
    <w:rsid w:val="00A914DD"/>
    <w:pPr>
      <w:numPr>
        <w:numId w:val="1"/>
      </w:numPr>
      <w:tabs>
        <w:tab w:val="clear" w:pos="360"/>
        <w:tab w:val="left" w:pos="216"/>
      </w:tabs>
      <w:spacing w:before="60" w:after="60"/>
    </w:pPr>
  </w:style>
  <w:style w:type="paragraph" w:customStyle="1" w:styleId="TableNumberedList">
    <w:name w:val="Table Numbered List"/>
    <w:basedOn w:val="TableBase"/>
    <w:rsid w:val="00947C77"/>
    <w:pPr>
      <w:numPr>
        <w:numId w:val="2"/>
      </w:numPr>
      <w:spacing w:before="60" w:after="60"/>
    </w:pPr>
  </w:style>
  <w:style w:type="paragraph" w:customStyle="1" w:styleId="Exhibitcontinued">
    <w:name w:val="Exhibit (continued)"/>
    <w:basedOn w:val="HeadingBase"/>
    <w:next w:val="ExtraBlankLine"/>
    <w:rsid w:val="00A914DD"/>
    <w:pPr>
      <w:spacing w:before="120" w:after="120"/>
    </w:pPr>
    <w:rPr>
      <w:b/>
    </w:rPr>
  </w:style>
  <w:style w:type="paragraph" w:customStyle="1" w:styleId="exhibitcontinues">
    <w:name w:val="exhibit continues"/>
    <w:basedOn w:val="TableBase"/>
    <w:next w:val="Body"/>
    <w:rsid w:val="00A914DD"/>
    <w:pPr>
      <w:jc w:val="right"/>
    </w:pPr>
    <w:rPr>
      <w:i/>
    </w:rPr>
  </w:style>
  <w:style w:type="character" w:customStyle="1" w:styleId="BoldItalics">
    <w:name w:val="Bold/Italics"/>
    <w:rsid w:val="00A914DD"/>
    <w:rPr>
      <w:b/>
      <w:i/>
    </w:rPr>
  </w:style>
  <w:style w:type="table" w:customStyle="1" w:styleId="TableRMC">
    <w:name w:val="Table RMC"/>
    <w:basedOn w:val="TableNormal"/>
    <w:rsid w:val="00D2367F"/>
    <w:rPr>
      <w:rFonts w:ascii="Arial" w:hAnsi="Arial"/>
    </w:rPr>
    <w:tblPr>
      <w:jc w:val="center"/>
      <w:tblBorders>
        <w:top w:val="single" w:sz="12" w:space="0" w:color="000000"/>
        <w:bottom w:val="single" w:sz="12" w:space="0" w:color="000000"/>
      </w:tblBorders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auto"/>
        </w:tcBorders>
        <w:vAlign w:val="bottom"/>
      </w:tcPr>
    </w:tblStylePr>
    <w:tblStylePr w:type="lastRow">
      <w:tblPr/>
      <w:tcPr>
        <w:tcBorders>
          <w:top w:val="nil"/>
          <w:bottom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b w:val="0"/>
        <w:bCs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color w:val="auto"/>
      </w:rPr>
    </w:tblStylePr>
    <w:tblStylePr w:type="swCell">
      <w:rPr>
        <w:color w:val="auto"/>
      </w:rPr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character" w:styleId="PageNumber">
    <w:name w:val="page number"/>
    <w:basedOn w:val="DefaultParagraphFont"/>
    <w:rsid w:val="00AC79D8"/>
  </w:style>
  <w:style w:type="character" w:styleId="Hyperlink">
    <w:name w:val="Hyperlink"/>
    <w:basedOn w:val="DefaultParagraphFont"/>
    <w:uiPriority w:val="99"/>
    <w:rsid w:val="00A33F21"/>
    <w:rPr>
      <w:color w:val="0000FF"/>
      <w:u w:val="single"/>
    </w:rPr>
  </w:style>
  <w:style w:type="paragraph" w:customStyle="1" w:styleId="BulletCorpCape">
    <w:name w:val="Bullet Corp Cape"/>
    <w:basedOn w:val="BodyBase"/>
    <w:rsid w:val="008E0749"/>
    <w:pPr>
      <w:numPr>
        <w:numId w:val="5"/>
      </w:numPr>
      <w:tabs>
        <w:tab w:val="clear" w:pos="810"/>
        <w:tab w:val="num" w:pos="576"/>
      </w:tabs>
      <w:spacing w:before="40" w:after="40" w:line="240" w:lineRule="auto"/>
      <w:ind w:left="360" w:hanging="144"/>
    </w:pPr>
    <w:rPr>
      <w:sz w:val="22"/>
    </w:rPr>
  </w:style>
  <w:style w:type="paragraph" w:customStyle="1" w:styleId="TableTextIndent">
    <w:name w:val="Table Text Indent"/>
    <w:basedOn w:val="TableBase"/>
    <w:rsid w:val="008E1690"/>
    <w:pPr>
      <w:spacing w:before="60" w:after="60"/>
      <w:ind w:left="144"/>
    </w:pPr>
    <w:rPr>
      <w:bCs/>
    </w:rPr>
  </w:style>
  <w:style w:type="paragraph" w:customStyle="1" w:styleId="AppendixBody">
    <w:name w:val="Appendix Body"/>
    <w:basedOn w:val="BodyBase"/>
    <w:rsid w:val="00051D7D"/>
    <w:pPr>
      <w:spacing w:before="120" w:after="120" w:line="240" w:lineRule="auto"/>
    </w:pPr>
  </w:style>
  <w:style w:type="paragraph" w:customStyle="1" w:styleId="P1-StandPara">
    <w:name w:val="P1-Stand Para"/>
    <w:basedOn w:val="Normal"/>
    <w:next w:val="Normal"/>
    <w:rsid w:val="00E42538"/>
    <w:pPr>
      <w:autoSpaceDE w:val="0"/>
      <w:autoSpaceDN w:val="0"/>
      <w:adjustRightInd w:val="0"/>
    </w:pPr>
    <w:rPr>
      <w:rFonts w:ascii="TimesNewRoman,Bold" w:hAnsi="TimesNewRoman,Bold"/>
    </w:rPr>
  </w:style>
  <w:style w:type="paragraph" w:customStyle="1" w:styleId="Bullet1">
    <w:name w:val="Bullet 1"/>
    <w:basedOn w:val="Normal"/>
    <w:rsid w:val="00E42538"/>
    <w:pPr>
      <w:numPr>
        <w:ilvl w:val="2"/>
        <w:numId w:val="6"/>
      </w:numPr>
    </w:pPr>
    <w:rPr>
      <w:szCs w:val="20"/>
    </w:rPr>
  </w:style>
  <w:style w:type="paragraph" w:styleId="PlainText">
    <w:name w:val="Plain Text"/>
    <w:basedOn w:val="Normal"/>
    <w:rsid w:val="00CC1C99"/>
    <w:rPr>
      <w:rFonts w:ascii="Courier New" w:hAnsi="Courier New" w:cs="Courier New"/>
      <w:sz w:val="20"/>
      <w:szCs w:val="20"/>
    </w:rPr>
  </w:style>
  <w:style w:type="paragraph" w:styleId="ListContinue">
    <w:name w:val="List Continue"/>
    <w:basedOn w:val="Normal"/>
    <w:rsid w:val="00CC1C99"/>
    <w:pPr>
      <w:widowControl w:val="0"/>
      <w:overflowPunct w:val="0"/>
      <w:autoSpaceDE w:val="0"/>
      <w:autoSpaceDN w:val="0"/>
      <w:adjustRightInd w:val="0"/>
      <w:spacing w:after="120"/>
      <w:ind w:left="360"/>
    </w:pPr>
    <w:rPr>
      <w:kern w:val="28"/>
      <w:sz w:val="20"/>
      <w:szCs w:val="20"/>
    </w:rPr>
  </w:style>
  <w:style w:type="character" w:styleId="CommentReference">
    <w:name w:val="annotation reference"/>
    <w:basedOn w:val="DefaultParagraphFont"/>
    <w:semiHidden/>
    <w:rsid w:val="001B08B7"/>
    <w:rPr>
      <w:sz w:val="16"/>
      <w:szCs w:val="16"/>
    </w:rPr>
  </w:style>
  <w:style w:type="paragraph" w:styleId="CommentText">
    <w:name w:val="annotation text"/>
    <w:basedOn w:val="Normal"/>
    <w:semiHidden/>
    <w:rsid w:val="001B08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B08B7"/>
    <w:rPr>
      <w:b/>
      <w:bCs/>
    </w:rPr>
  </w:style>
  <w:style w:type="paragraph" w:styleId="BalloonText">
    <w:name w:val="Balloon Text"/>
    <w:basedOn w:val="Normal"/>
    <w:semiHidden/>
    <w:rsid w:val="001B08B7"/>
    <w:rPr>
      <w:rFonts w:ascii="Tahoma" w:hAnsi="Tahoma" w:cs="Tahoma"/>
      <w:sz w:val="16"/>
      <w:szCs w:val="16"/>
    </w:rPr>
  </w:style>
  <w:style w:type="character" w:customStyle="1" w:styleId="boldred1">
    <w:name w:val="boldred1"/>
    <w:basedOn w:val="DefaultParagraphFont"/>
    <w:rsid w:val="00C9462D"/>
    <w:rPr>
      <w:rFonts w:ascii="Trebuchet MS" w:hAnsi="Trebuchet MS" w:hint="default"/>
      <w:b/>
      <w:bCs/>
      <w:color w:val="824100"/>
      <w:sz w:val="21"/>
      <w:szCs w:val="21"/>
    </w:rPr>
  </w:style>
  <w:style w:type="paragraph" w:customStyle="1" w:styleId="TableHeadCenterLarge">
    <w:name w:val="Table Head Center Large"/>
    <w:basedOn w:val="TableBase"/>
    <w:next w:val="TableText"/>
    <w:rsid w:val="007F2433"/>
    <w:pPr>
      <w:spacing w:before="60" w:after="60"/>
      <w:jc w:val="center"/>
    </w:pPr>
    <w:rPr>
      <w:rFonts w:ascii="Arial Narrow" w:hAnsi="Arial Narrow"/>
      <w:b/>
      <w:i/>
    </w:rPr>
  </w:style>
  <w:style w:type="paragraph" w:customStyle="1" w:styleId="TableHeadCenterSmall">
    <w:name w:val="Table Head Center Small"/>
    <w:basedOn w:val="TableHeadCenterLarge"/>
    <w:rsid w:val="007F2433"/>
    <w:rPr>
      <w:i w:val="0"/>
      <w:sz w:val="17"/>
    </w:rPr>
  </w:style>
  <w:style w:type="paragraph" w:customStyle="1" w:styleId="TableHeadLeftSmall">
    <w:name w:val="Table Head Left Small"/>
    <w:basedOn w:val="TableHeadLeft"/>
    <w:rsid w:val="007F2433"/>
    <w:rPr>
      <w:rFonts w:ascii="Arial Narrow" w:hAnsi="Arial Narrow"/>
      <w:bCs/>
      <w:sz w:val="17"/>
    </w:rPr>
  </w:style>
  <w:style w:type="paragraph" w:customStyle="1" w:styleId="TableTextSmall">
    <w:name w:val="Table Text Small"/>
    <w:basedOn w:val="TableText"/>
    <w:rsid w:val="007F2433"/>
    <w:rPr>
      <w:bCs/>
      <w:sz w:val="17"/>
    </w:rPr>
  </w:style>
  <w:style w:type="paragraph" w:customStyle="1" w:styleId="TableHeadLeftLarge">
    <w:name w:val="Table Head Left Large"/>
    <w:basedOn w:val="TableHeadLeft"/>
    <w:rsid w:val="007F2433"/>
    <w:rPr>
      <w:rFonts w:ascii="Arial Narrow" w:hAnsi="Arial Narrow"/>
      <w:bCs/>
      <w:sz w:val="20"/>
    </w:rPr>
  </w:style>
  <w:style w:type="paragraph" w:styleId="NormalWeb">
    <w:name w:val="Normal (Web)"/>
    <w:basedOn w:val="Normal"/>
    <w:uiPriority w:val="99"/>
    <w:rsid w:val="00D346BB"/>
    <w:pPr>
      <w:spacing w:before="100" w:beforeAutospacing="1" w:after="100" w:afterAutospacing="1"/>
    </w:pPr>
  </w:style>
  <w:style w:type="character" w:styleId="FootnoteReference">
    <w:name w:val="footnote reference"/>
    <w:basedOn w:val="DefaultParagraphFont"/>
    <w:semiHidden/>
    <w:rsid w:val="00104B44"/>
    <w:rPr>
      <w:vertAlign w:val="superscript"/>
    </w:rPr>
  </w:style>
  <w:style w:type="paragraph" w:styleId="BodyText">
    <w:name w:val="Body Text"/>
    <w:basedOn w:val="Normal"/>
    <w:rsid w:val="005407E7"/>
    <w:pPr>
      <w:spacing w:after="120"/>
    </w:pPr>
  </w:style>
  <w:style w:type="table" w:styleId="TableGrid">
    <w:name w:val="Table Grid"/>
    <w:basedOn w:val="TableNormal"/>
    <w:uiPriority w:val="59"/>
    <w:rsid w:val="00AD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CharChar">
    <w:name w:val="table head Char Char"/>
    <w:basedOn w:val="Normal"/>
    <w:rsid w:val="003B2116"/>
    <w:pPr>
      <w:autoSpaceDE w:val="0"/>
      <w:autoSpaceDN w:val="0"/>
      <w:adjustRightInd w:val="0"/>
      <w:spacing w:before="80" w:after="80"/>
      <w:jc w:val="center"/>
    </w:pPr>
    <w:rPr>
      <w:rFonts w:ascii="Arial" w:hAnsi="Arial" w:cs="Arial"/>
      <w:b/>
      <w:sz w:val="22"/>
      <w:szCs w:val="22"/>
    </w:rPr>
  </w:style>
  <w:style w:type="paragraph" w:customStyle="1" w:styleId="LogicalModelTest">
    <w:name w:val="Logical Model Test"/>
    <w:basedOn w:val="BodyBase"/>
    <w:rsid w:val="00E0743A"/>
    <w:pPr>
      <w:spacing w:before="60" w:after="120" w:line="240" w:lineRule="auto"/>
      <w:jc w:val="center"/>
    </w:pPr>
    <w:rPr>
      <w:sz w:val="20"/>
    </w:rPr>
  </w:style>
  <w:style w:type="paragraph" w:customStyle="1" w:styleId="hcp1">
    <w:name w:val="hcp1"/>
    <w:basedOn w:val="Normal"/>
    <w:rsid w:val="006951F8"/>
    <w:pPr>
      <w:spacing w:before="100" w:beforeAutospacing="1" w:after="85"/>
    </w:pPr>
  </w:style>
  <w:style w:type="paragraph" w:customStyle="1" w:styleId="Default">
    <w:name w:val="Default"/>
    <w:uiPriority w:val="99"/>
    <w:rsid w:val="006E14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59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223E05"/>
    <w:rPr>
      <w:sz w:val="24"/>
      <w:szCs w:val="24"/>
    </w:rPr>
  </w:style>
  <w:style w:type="paragraph" w:customStyle="1" w:styleId="NormalParagraph">
    <w:name w:val="Normal Paragraph"/>
    <w:link w:val="NormalParagraphChar"/>
    <w:rsid w:val="00716C6E"/>
    <w:pPr>
      <w:spacing w:after="240"/>
      <w:jc w:val="both"/>
    </w:pPr>
    <w:rPr>
      <w:sz w:val="24"/>
    </w:rPr>
  </w:style>
  <w:style w:type="character" w:customStyle="1" w:styleId="NormalParagraphChar">
    <w:name w:val="Normal Paragraph Char"/>
    <w:basedOn w:val="DefaultParagraphFont"/>
    <w:link w:val="NormalParagraph"/>
    <w:rsid w:val="00716C6E"/>
    <w:rPr>
      <w:sz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D17713"/>
    <w:rPr>
      <w:rFonts w:ascii="Arial" w:hAnsi="Arial"/>
      <w:sz w:val="18"/>
    </w:rPr>
  </w:style>
  <w:style w:type="paragraph" w:styleId="EnvelopeReturn">
    <w:name w:val="envelope return"/>
    <w:basedOn w:val="Normal"/>
    <w:semiHidden/>
    <w:rsid w:val="00FE6AD0"/>
    <w:rPr>
      <w:rFonts w:ascii="EngraversGothic BT" w:hAnsi="EngraversGothic BT" w:cs="Arial"/>
      <w:sz w:val="20"/>
      <w:szCs w:val="20"/>
    </w:rPr>
  </w:style>
  <w:style w:type="paragraph" w:styleId="ListNumber2">
    <w:name w:val="List Number 2"/>
    <w:basedOn w:val="Normal"/>
    <w:unhideWhenUsed/>
    <w:rsid w:val="00C8412D"/>
    <w:pPr>
      <w:numPr>
        <w:numId w:val="8"/>
      </w:numPr>
      <w:contextualSpacing/>
    </w:pPr>
  </w:style>
  <w:style w:type="paragraph" w:styleId="ListBullet2">
    <w:name w:val="List Bullet 2"/>
    <w:basedOn w:val="NormalParagraph"/>
    <w:autoRedefine/>
    <w:rsid w:val="00C8412D"/>
    <w:pPr>
      <w:numPr>
        <w:numId w:val="10"/>
      </w:numPr>
    </w:pPr>
  </w:style>
  <w:style w:type="paragraph" w:styleId="ListNumber">
    <w:name w:val="List Number"/>
    <w:basedOn w:val="NormalParagraph"/>
    <w:rsid w:val="00C8412D"/>
    <w:pPr>
      <w:numPr>
        <w:numId w:val="9"/>
      </w:numPr>
    </w:pPr>
  </w:style>
  <w:style w:type="paragraph" w:styleId="ListBullet3">
    <w:name w:val="List Bullet 3"/>
    <w:basedOn w:val="Normal"/>
    <w:uiPriority w:val="99"/>
    <w:semiHidden/>
    <w:unhideWhenUsed/>
    <w:rsid w:val="00D94900"/>
    <w:pPr>
      <w:numPr>
        <w:numId w:val="11"/>
      </w:numPr>
      <w:contextualSpacing/>
    </w:pPr>
  </w:style>
  <w:style w:type="paragraph" w:customStyle="1" w:styleId="AResumeBullet">
    <w:name w:val="A Resume Bullet"/>
    <w:basedOn w:val="Normal"/>
    <w:rsid w:val="00D94900"/>
    <w:pPr>
      <w:numPr>
        <w:numId w:val="12"/>
      </w:numPr>
      <w:spacing w:after="120"/>
      <w:jc w:val="both"/>
    </w:pPr>
    <w:rPr>
      <w:rFonts w:ascii="Arial" w:hAnsi="Arial"/>
      <w:color w:val="000000"/>
      <w:szCs w:val="22"/>
    </w:rPr>
  </w:style>
  <w:style w:type="paragraph" w:styleId="BlockText">
    <w:name w:val="Block Text"/>
    <w:basedOn w:val="Normal"/>
    <w:uiPriority w:val="99"/>
    <w:rsid w:val="00D94900"/>
    <w:pPr>
      <w:ind w:left="720" w:right="-108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30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308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locked/>
    <w:rsid w:val="00A73082"/>
    <w:rPr>
      <w:rFonts w:ascii="Arial" w:hAnsi="Arial"/>
      <w:b/>
      <w:kern w:val="28"/>
      <w:sz w:val="28"/>
    </w:rPr>
  </w:style>
  <w:style w:type="paragraph" w:customStyle="1" w:styleId="Style1">
    <w:name w:val="Style1"/>
    <w:basedOn w:val="Normal"/>
    <w:uiPriority w:val="99"/>
    <w:rsid w:val="00A73082"/>
    <w:pPr>
      <w:numPr>
        <w:numId w:val="13"/>
      </w:numPr>
    </w:p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4360E9"/>
    <w:rPr>
      <w:rFonts w:ascii="Arial" w:hAnsi="Arial"/>
      <w:snapToGrid w:val="0"/>
      <w:sz w:val="18"/>
    </w:rPr>
  </w:style>
  <w:style w:type="table" w:customStyle="1" w:styleId="LightList1">
    <w:name w:val="Light List1"/>
    <w:basedOn w:val="TableNormal"/>
    <w:uiPriority w:val="61"/>
    <w:rsid w:val="004360E9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Level1">
    <w:name w:val="Level 1"/>
    <w:basedOn w:val="Normal"/>
    <w:rsid w:val="00DC6B04"/>
    <w:pPr>
      <w:widowControl w:val="0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10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2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A973B3D091E41A4080CAF01A9D520" ma:contentTypeVersion="3" ma:contentTypeDescription="Create a new document." ma:contentTypeScope="" ma:versionID="f0f42311c8e65f6dbe226be65a844fa5">
  <xsd:schema xmlns:xsd="http://www.w3.org/2001/XMLSchema" xmlns:xs="http://www.w3.org/2001/XMLSchema" xmlns:p="http://schemas.microsoft.com/office/2006/metadata/properties" xmlns:ns2="4dac2259-948e-4c25-a6ca-eb5c519113cc" targetNamespace="http://schemas.microsoft.com/office/2006/metadata/properties" ma:root="true" ma:fieldsID="6815a825fa39b76007979d5f01c8b33f" ns2:_="">
    <xsd:import namespace="4dac2259-948e-4c25-a6ca-eb5c519113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2259-948e-4c25-a6ca-eb5c519113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ac2259-948e-4c25-a6ca-eb5c519113c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A1E4-2D71-414C-B087-E03927A17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D5C8B-BB0F-45A2-B755-5ECF5EFC0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c2259-948e-4c25-a6ca-eb5c51911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B3189-85BC-465B-8CAA-ECACF8E37114}">
  <ds:schemaRefs>
    <ds:schemaRef ds:uri="http://schemas.microsoft.com/office/2006/metadata/properties"/>
    <ds:schemaRef ds:uri="http://schemas.microsoft.com/office/infopath/2007/PartnerControls"/>
    <ds:schemaRef ds:uri="4dac2259-948e-4c25-a6ca-eb5c519113cc"/>
  </ds:schemaRefs>
</ds:datastoreItem>
</file>

<file path=customXml/itemProps4.xml><?xml version="1.0" encoding="utf-8"?>
<ds:datastoreItem xmlns:ds="http://schemas.openxmlformats.org/officeDocument/2006/customXml" ds:itemID="{A5CB80A1-A9BF-4686-8235-D60CAE06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RMC Basic Report &amp; Proposal Template</vt:lpstr>
    </vt:vector>
  </TitlesOfParts>
  <Manager>Lori Sievert</Manager>
  <Company>RMC</Company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RMC Basic Report &amp; Proposal Template</dc:title>
  <dc:creator>RMC Research Corporation</dc:creator>
  <cp:keywords>report, proposal</cp:keywords>
  <cp:lastModifiedBy>Bethany Marcogliese</cp:lastModifiedBy>
  <cp:revision>3</cp:revision>
  <cp:lastPrinted>2012-07-11T13:48:00Z</cp:lastPrinted>
  <dcterms:created xsi:type="dcterms:W3CDTF">2015-11-30T20:08:00Z</dcterms:created>
  <dcterms:modified xsi:type="dcterms:W3CDTF">2015-12-01T14:55:00Z</dcterms:modified>
  <cp:category>RMC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0x010100420A973B3D091E41A4080CAF01A9D520</vt:lpwstr>
  </property>
</Properties>
</file>