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182D6" w14:textId="77777777" w:rsidR="00AE1A37" w:rsidRDefault="00AE1A37">
      <w:pPr>
        <w:spacing w:line="480" w:lineRule="auto"/>
        <w:rPr>
          <w:b/>
        </w:rPr>
      </w:pPr>
      <w:bookmarkStart w:id="0" w:name="_GoBack"/>
      <w:bookmarkEnd w:id="0"/>
    </w:p>
    <w:p w14:paraId="73253623" w14:textId="77777777" w:rsidR="00AE1A37" w:rsidRDefault="00AE1A37">
      <w:pPr>
        <w:spacing w:line="480" w:lineRule="auto"/>
        <w:rPr>
          <w:b/>
        </w:rPr>
      </w:pPr>
    </w:p>
    <w:p w14:paraId="759ADA37" w14:textId="77777777" w:rsidR="009D671E" w:rsidRDefault="009D671E" w:rsidP="009D671E">
      <w:pPr>
        <w:spacing w:line="480" w:lineRule="auto"/>
        <w:jc w:val="center"/>
        <w:rPr>
          <w:b/>
          <w:sz w:val="28"/>
          <w:szCs w:val="28"/>
        </w:rPr>
      </w:pPr>
      <w:r w:rsidRPr="009D671E">
        <w:rPr>
          <w:b/>
          <w:sz w:val="28"/>
          <w:szCs w:val="28"/>
          <w:lang w:val="en-CA"/>
        </w:rPr>
        <w:fldChar w:fldCharType="begin"/>
      </w:r>
      <w:r w:rsidRPr="009D671E">
        <w:rPr>
          <w:b/>
          <w:sz w:val="28"/>
          <w:szCs w:val="28"/>
          <w:lang w:val="en-CA"/>
        </w:rPr>
        <w:instrText xml:space="preserve"> SEQ CHAPTER \h \r 1</w:instrText>
      </w:r>
      <w:r w:rsidRPr="009D671E">
        <w:rPr>
          <w:b/>
          <w:sz w:val="28"/>
          <w:szCs w:val="28"/>
          <w:lang w:val="en-CA"/>
        </w:rPr>
        <w:fldChar w:fldCharType="end"/>
      </w:r>
      <w:r w:rsidRPr="009D671E">
        <w:rPr>
          <w:b/>
          <w:sz w:val="28"/>
          <w:szCs w:val="28"/>
        </w:rPr>
        <w:t xml:space="preserve">The </w:t>
      </w:r>
      <w:r w:rsidR="00E064C1" w:rsidRPr="00E064C1">
        <w:rPr>
          <w:b/>
          <w:sz w:val="28"/>
          <w:szCs w:val="28"/>
        </w:rPr>
        <w:t>Hispanic Community Health Study/ Study of Latinos (</w:t>
      </w:r>
      <w:r w:rsidR="006B185B">
        <w:rPr>
          <w:b/>
          <w:sz w:val="28"/>
          <w:szCs w:val="28"/>
        </w:rPr>
        <w:t>HCHS/</w:t>
      </w:r>
      <w:r w:rsidR="00E064C1" w:rsidRPr="00E064C1">
        <w:rPr>
          <w:b/>
          <w:sz w:val="28"/>
          <w:szCs w:val="28"/>
        </w:rPr>
        <w:t>SOL)</w:t>
      </w:r>
    </w:p>
    <w:p w14:paraId="50B279C6" w14:textId="77777777" w:rsidR="00FC4543" w:rsidRPr="00FC4543" w:rsidRDefault="006D27F7" w:rsidP="009D671E">
      <w:pPr>
        <w:spacing w:line="480" w:lineRule="auto"/>
        <w:jc w:val="center"/>
        <w:rPr>
          <w:b/>
          <w:sz w:val="28"/>
          <w:szCs w:val="28"/>
        </w:rPr>
      </w:pPr>
      <w:r w:rsidRPr="00FC4543">
        <w:rPr>
          <w:b/>
          <w:sz w:val="28"/>
          <w:szCs w:val="28"/>
        </w:rPr>
        <w:t xml:space="preserve">Supporting Statement Part B </w:t>
      </w:r>
    </w:p>
    <w:p w14:paraId="69F67C44" w14:textId="77777777" w:rsidR="00CE7925" w:rsidRPr="00C22A4F" w:rsidRDefault="00125E2F" w:rsidP="009D671E">
      <w:pPr>
        <w:spacing w:line="480" w:lineRule="auto"/>
        <w:jc w:val="center"/>
        <w:rPr>
          <w:b/>
          <w:szCs w:val="24"/>
        </w:rPr>
      </w:pPr>
      <w:r w:rsidRPr="00C22A4F">
        <w:rPr>
          <w:b/>
          <w:szCs w:val="24"/>
        </w:rPr>
        <w:t>January 2014</w:t>
      </w:r>
    </w:p>
    <w:p w14:paraId="300A26A7" w14:textId="77777777" w:rsidR="00DB163F" w:rsidRPr="00903010" w:rsidRDefault="00DB163F" w:rsidP="009D671E">
      <w:pPr>
        <w:spacing w:line="480" w:lineRule="auto"/>
        <w:jc w:val="center"/>
        <w:rPr>
          <w:szCs w:val="24"/>
          <w:lang w:val="fr-CA"/>
        </w:rPr>
      </w:pPr>
      <w:r w:rsidRPr="00903010">
        <w:rPr>
          <w:szCs w:val="24"/>
          <w:lang w:val="fr-CA"/>
        </w:rPr>
        <w:t>OMB#: 0925-0584</w:t>
      </w:r>
    </w:p>
    <w:p w14:paraId="1079A85E" w14:textId="4DB3002A" w:rsidR="00AE1A37" w:rsidRDefault="00AE1A37" w:rsidP="00AE1A37">
      <w:pPr>
        <w:spacing w:line="480" w:lineRule="auto"/>
        <w:jc w:val="center"/>
        <w:rPr>
          <w:b/>
          <w:sz w:val="28"/>
          <w:szCs w:val="28"/>
          <w:lang w:val="fr-FR"/>
        </w:rPr>
      </w:pPr>
      <w:r w:rsidRPr="00757C60">
        <w:rPr>
          <w:b/>
          <w:sz w:val="28"/>
          <w:szCs w:val="28"/>
          <w:lang w:val="fr-FR"/>
        </w:rPr>
        <w:t xml:space="preserve">Contact: </w:t>
      </w:r>
      <w:r w:rsidR="00125E2F">
        <w:rPr>
          <w:b/>
          <w:sz w:val="28"/>
          <w:szCs w:val="28"/>
          <w:lang w:val="fr-FR"/>
        </w:rPr>
        <w:t>Larissa Avilés-Santa, MD, MPH</w:t>
      </w:r>
      <w:r w:rsidR="00966797">
        <w:rPr>
          <w:b/>
          <w:sz w:val="28"/>
          <w:szCs w:val="28"/>
          <w:lang w:val="fr-FR"/>
        </w:rPr>
        <w:t xml:space="preserve"> </w:t>
      </w:r>
    </w:p>
    <w:p w14:paraId="147DA4A3" w14:textId="2EC602C4" w:rsidR="003F256E" w:rsidRPr="005A15C3" w:rsidRDefault="00DB163F" w:rsidP="00AE1A37">
      <w:pPr>
        <w:spacing w:line="480" w:lineRule="auto"/>
        <w:jc w:val="center"/>
        <w:rPr>
          <w:b/>
          <w:sz w:val="28"/>
          <w:szCs w:val="28"/>
        </w:rPr>
      </w:pPr>
      <w:r w:rsidRPr="005A15C3">
        <w:rPr>
          <w:b/>
          <w:sz w:val="28"/>
          <w:szCs w:val="28"/>
        </w:rPr>
        <w:t xml:space="preserve">National Institutes of Health </w:t>
      </w:r>
    </w:p>
    <w:p w14:paraId="263CCD81" w14:textId="3321AC86" w:rsidR="00DB163F" w:rsidRPr="005A15C3" w:rsidRDefault="00DB163F" w:rsidP="00AE1A37">
      <w:pPr>
        <w:spacing w:line="480" w:lineRule="auto"/>
        <w:jc w:val="center"/>
        <w:rPr>
          <w:b/>
          <w:sz w:val="28"/>
          <w:szCs w:val="28"/>
        </w:rPr>
      </w:pPr>
      <w:r w:rsidRPr="005A15C3">
        <w:rPr>
          <w:b/>
          <w:sz w:val="28"/>
          <w:szCs w:val="28"/>
        </w:rPr>
        <w:t>National Heart, Lung and Blood Institute</w:t>
      </w:r>
    </w:p>
    <w:p w14:paraId="05A49FEA" w14:textId="77777777" w:rsidR="00DB163F" w:rsidRPr="005A15C3" w:rsidRDefault="00DB163F" w:rsidP="00AE1A37">
      <w:pPr>
        <w:spacing w:line="480" w:lineRule="auto"/>
        <w:jc w:val="center"/>
        <w:rPr>
          <w:b/>
          <w:sz w:val="28"/>
          <w:szCs w:val="28"/>
        </w:rPr>
      </w:pPr>
      <w:r w:rsidRPr="005A15C3">
        <w:rPr>
          <w:b/>
          <w:sz w:val="28"/>
          <w:szCs w:val="28"/>
        </w:rPr>
        <w:t>(NIH/NHLBI)</w:t>
      </w:r>
    </w:p>
    <w:p w14:paraId="17978384" w14:textId="77777777" w:rsidR="00AE1A37" w:rsidRPr="00AE1A37" w:rsidRDefault="00AE1A37" w:rsidP="00AE1A37">
      <w:pPr>
        <w:spacing w:line="480" w:lineRule="auto"/>
        <w:jc w:val="center"/>
        <w:rPr>
          <w:b/>
          <w:sz w:val="28"/>
          <w:szCs w:val="28"/>
        </w:rPr>
      </w:pPr>
      <w:r w:rsidRPr="00AE1A37">
        <w:rPr>
          <w:b/>
          <w:sz w:val="28"/>
          <w:szCs w:val="28"/>
        </w:rPr>
        <w:t>6701 Rockledge Drive MSC 793</w:t>
      </w:r>
      <w:r w:rsidR="00E064C1">
        <w:rPr>
          <w:b/>
          <w:sz w:val="28"/>
          <w:szCs w:val="28"/>
        </w:rPr>
        <w:t>6</w:t>
      </w:r>
    </w:p>
    <w:p w14:paraId="2A9D1893" w14:textId="77777777" w:rsidR="00AE1A37" w:rsidRPr="00AE1A37" w:rsidRDefault="00AE1A37" w:rsidP="00AE1A37">
      <w:pPr>
        <w:spacing w:line="480" w:lineRule="auto"/>
        <w:jc w:val="center"/>
        <w:rPr>
          <w:b/>
          <w:sz w:val="28"/>
          <w:szCs w:val="28"/>
        </w:rPr>
      </w:pPr>
      <w:r w:rsidRPr="00AE1A37">
        <w:rPr>
          <w:b/>
          <w:sz w:val="28"/>
          <w:szCs w:val="28"/>
        </w:rPr>
        <w:t>Bethesda, MD 20892</w:t>
      </w:r>
    </w:p>
    <w:p w14:paraId="67C48D07" w14:textId="53605270" w:rsidR="00AE1A37" w:rsidRPr="009D5090" w:rsidRDefault="00AE1A37" w:rsidP="00AE1A37">
      <w:pPr>
        <w:spacing w:line="480" w:lineRule="auto"/>
        <w:jc w:val="center"/>
        <w:rPr>
          <w:b/>
          <w:sz w:val="28"/>
          <w:szCs w:val="28"/>
        </w:rPr>
      </w:pPr>
      <w:r w:rsidRPr="009D5090">
        <w:rPr>
          <w:b/>
          <w:sz w:val="28"/>
          <w:szCs w:val="28"/>
        </w:rPr>
        <w:t>Phone</w:t>
      </w:r>
      <w:r w:rsidR="00E73558" w:rsidRPr="009D5090">
        <w:rPr>
          <w:b/>
          <w:sz w:val="28"/>
          <w:szCs w:val="28"/>
        </w:rPr>
        <w:t>:</w:t>
      </w:r>
      <w:r w:rsidRPr="009D5090">
        <w:rPr>
          <w:b/>
          <w:sz w:val="28"/>
          <w:szCs w:val="28"/>
        </w:rPr>
        <w:t xml:space="preserve"> 301-435-</w:t>
      </w:r>
      <w:r w:rsidR="00125E2F" w:rsidRPr="009D5090">
        <w:rPr>
          <w:b/>
          <w:sz w:val="28"/>
          <w:szCs w:val="28"/>
        </w:rPr>
        <w:t>0450</w:t>
      </w:r>
    </w:p>
    <w:p w14:paraId="7A632646" w14:textId="77777777" w:rsidR="00AE1A37" w:rsidRPr="009D5090" w:rsidRDefault="00AE1A37" w:rsidP="00AE1A37">
      <w:pPr>
        <w:spacing w:line="480" w:lineRule="auto"/>
        <w:jc w:val="center"/>
        <w:rPr>
          <w:b/>
          <w:sz w:val="28"/>
          <w:szCs w:val="28"/>
        </w:rPr>
      </w:pPr>
      <w:r w:rsidRPr="009D5090">
        <w:rPr>
          <w:b/>
          <w:sz w:val="28"/>
          <w:szCs w:val="28"/>
        </w:rPr>
        <w:t>FAX: 301-480-</w:t>
      </w:r>
      <w:r w:rsidR="00E73558" w:rsidRPr="009D5090">
        <w:rPr>
          <w:b/>
          <w:sz w:val="28"/>
          <w:szCs w:val="28"/>
        </w:rPr>
        <w:t>1455</w:t>
      </w:r>
    </w:p>
    <w:p w14:paraId="48C03860" w14:textId="77777777" w:rsidR="00FE3635" w:rsidRPr="009D5090" w:rsidRDefault="00FE3635" w:rsidP="00AE1A37">
      <w:pPr>
        <w:spacing w:line="480" w:lineRule="auto"/>
        <w:jc w:val="center"/>
        <w:rPr>
          <w:b/>
          <w:sz w:val="28"/>
          <w:szCs w:val="28"/>
        </w:rPr>
      </w:pPr>
      <w:r w:rsidRPr="009D5090">
        <w:rPr>
          <w:b/>
          <w:sz w:val="28"/>
          <w:szCs w:val="28"/>
        </w:rPr>
        <w:t>E-</w:t>
      </w:r>
      <w:r w:rsidR="00E73558" w:rsidRPr="009D5090">
        <w:rPr>
          <w:b/>
          <w:sz w:val="28"/>
          <w:szCs w:val="28"/>
        </w:rPr>
        <w:t>m</w:t>
      </w:r>
      <w:r w:rsidRPr="009D5090">
        <w:rPr>
          <w:b/>
          <w:sz w:val="28"/>
          <w:szCs w:val="28"/>
        </w:rPr>
        <w:t>ail:</w:t>
      </w:r>
      <w:r w:rsidR="00E064C1" w:rsidRPr="009D5090">
        <w:rPr>
          <w:b/>
          <w:sz w:val="28"/>
          <w:szCs w:val="28"/>
        </w:rPr>
        <w:t xml:space="preserve"> </w:t>
      </w:r>
      <w:r w:rsidR="00125E2F" w:rsidRPr="009D5090">
        <w:rPr>
          <w:b/>
          <w:sz w:val="28"/>
          <w:szCs w:val="28"/>
        </w:rPr>
        <w:t>avilessantal@nhlbi.nih.gov</w:t>
      </w:r>
    </w:p>
    <w:p w14:paraId="113F98EA" w14:textId="77777777" w:rsidR="00AE1A37" w:rsidRPr="009D5090" w:rsidRDefault="00AE1A37">
      <w:pPr>
        <w:spacing w:line="480" w:lineRule="auto"/>
        <w:rPr>
          <w:b/>
        </w:rPr>
      </w:pPr>
    </w:p>
    <w:p w14:paraId="4FD9FAE9" w14:textId="77777777" w:rsidR="00AE1A37" w:rsidRPr="009D5090" w:rsidRDefault="00AE1A37">
      <w:pPr>
        <w:spacing w:line="480" w:lineRule="auto"/>
        <w:rPr>
          <w:b/>
        </w:rPr>
      </w:pPr>
    </w:p>
    <w:p w14:paraId="787B956E" w14:textId="77777777" w:rsidR="00AE1A37" w:rsidRPr="009D5090" w:rsidRDefault="00AE1A37">
      <w:pPr>
        <w:spacing w:line="480" w:lineRule="auto"/>
        <w:rPr>
          <w:b/>
        </w:rPr>
      </w:pPr>
    </w:p>
    <w:p w14:paraId="3820A688" w14:textId="77777777" w:rsidR="00AE1A37" w:rsidRPr="009D5090" w:rsidRDefault="00AE1A37">
      <w:pPr>
        <w:spacing w:line="480" w:lineRule="auto"/>
        <w:rPr>
          <w:b/>
        </w:rPr>
      </w:pPr>
    </w:p>
    <w:p w14:paraId="57A175C3" w14:textId="77777777" w:rsidR="00AE1A37" w:rsidRPr="009D5090" w:rsidRDefault="00AE1A37">
      <w:pPr>
        <w:spacing w:line="480" w:lineRule="auto"/>
        <w:rPr>
          <w:b/>
        </w:rPr>
      </w:pPr>
    </w:p>
    <w:p w14:paraId="682FA92E" w14:textId="77777777" w:rsidR="00AE1A37" w:rsidRPr="009D5090" w:rsidRDefault="00AE1A37">
      <w:pPr>
        <w:spacing w:line="480" w:lineRule="auto"/>
        <w:rPr>
          <w:b/>
        </w:rPr>
      </w:pPr>
    </w:p>
    <w:p w14:paraId="077A46C5" w14:textId="77777777" w:rsidR="00E064C1" w:rsidRPr="009D5090" w:rsidRDefault="00E064C1">
      <w:pPr>
        <w:spacing w:line="480" w:lineRule="auto"/>
        <w:rPr>
          <w:b/>
        </w:rPr>
      </w:pPr>
    </w:p>
    <w:p w14:paraId="78F9AD1C" w14:textId="77777777" w:rsidR="003C43CF" w:rsidRPr="009D5090" w:rsidRDefault="003C43CF">
      <w:pPr>
        <w:spacing w:line="480" w:lineRule="auto"/>
        <w:rPr>
          <w:b/>
        </w:rPr>
      </w:pPr>
    </w:p>
    <w:p w14:paraId="1D72F832" w14:textId="77777777" w:rsidR="001E7A06" w:rsidRPr="00A52CA3" w:rsidRDefault="001E7A06" w:rsidP="00A52CA3">
      <w:pPr>
        <w:spacing w:line="480" w:lineRule="auto"/>
        <w:jc w:val="center"/>
        <w:rPr>
          <w:b/>
        </w:rPr>
      </w:pPr>
      <w:r w:rsidRPr="00A52CA3">
        <w:rPr>
          <w:b/>
        </w:rPr>
        <w:t>B.  Collections of Information Employing Statistical Methods</w:t>
      </w:r>
    </w:p>
    <w:p w14:paraId="5EA854BA" w14:textId="77777777" w:rsidR="001E7A06" w:rsidRPr="00A52CA3" w:rsidRDefault="001E7A06" w:rsidP="00A52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r w:rsidRPr="00A52CA3">
        <w:rPr>
          <w:b/>
        </w:rPr>
        <w:t>B.1.   Respondent Universe and Sampling Methods</w:t>
      </w:r>
    </w:p>
    <w:p w14:paraId="7AC7571B" w14:textId="77777777" w:rsidR="001E7A06" w:rsidRPr="00A52CA3" w:rsidRDefault="001E7A06" w:rsidP="00A52CA3">
      <w:pPr>
        <w:pStyle w:val="Heading1"/>
        <w:jc w:val="center"/>
        <w:rPr>
          <w:b/>
          <w:u w:val="none"/>
        </w:rPr>
      </w:pPr>
      <w:r w:rsidRPr="00A52CA3">
        <w:rPr>
          <w:b/>
          <w:u w:val="none"/>
        </w:rPr>
        <w:t>B.1.a. Design Summary</w:t>
      </w:r>
    </w:p>
    <w:p w14:paraId="4C65AA75" w14:textId="769A0583" w:rsidR="00A16DC1" w:rsidRDefault="00A16DC1" w:rsidP="00A52CA3">
      <w:pPr>
        <w:spacing w:line="276" w:lineRule="auto"/>
        <w:ind w:firstLine="720"/>
        <w:rPr>
          <w:rFonts w:cs="Arial"/>
          <w:szCs w:val="24"/>
        </w:rPr>
      </w:pPr>
      <w:r w:rsidRPr="00C22A4F">
        <w:rPr>
          <w:rFonts w:cs="Arial"/>
          <w:szCs w:val="24"/>
          <w:highlight w:val="yellow"/>
        </w:rPr>
        <w:t xml:space="preserve">The sampling and recruitment plan for the </w:t>
      </w:r>
      <w:r w:rsidR="009D5090" w:rsidRPr="00C22A4F">
        <w:rPr>
          <w:rFonts w:cs="Arial"/>
          <w:szCs w:val="24"/>
          <w:highlight w:val="yellow"/>
        </w:rPr>
        <w:t>HCHS/SOL</w:t>
      </w:r>
      <w:r w:rsidRPr="00C22A4F">
        <w:rPr>
          <w:rFonts w:cs="Arial"/>
          <w:szCs w:val="24"/>
          <w:highlight w:val="yellow"/>
        </w:rPr>
        <w:t xml:space="preserve"> </w:t>
      </w:r>
      <w:r w:rsidR="006F0753" w:rsidRPr="00C22A4F">
        <w:rPr>
          <w:rFonts w:cs="Arial"/>
          <w:szCs w:val="24"/>
          <w:highlight w:val="yellow"/>
        </w:rPr>
        <w:t xml:space="preserve">was </w:t>
      </w:r>
      <w:r w:rsidRPr="00C22A4F">
        <w:rPr>
          <w:rFonts w:cs="Arial"/>
          <w:szCs w:val="24"/>
          <w:highlight w:val="yellow"/>
        </w:rPr>
        <w:t xml:space="preserve">designed to support </w:t>
      </w:r>
      <w:r w:rsidR="00CE7925" w:rsidRPr="00C22A4F">
        <w:rPr>
          <w:rFonts w:cs="Arial"/>
          <w:szCs w:val="24"/>
          <w:highlight w:val="yellow"/>
        </w:rPr>
        <w:t xml:space="preserve">four </w:t>
      </w:r>
      <w:r w:rsidRPr="00C22A4F">
        <w:rPr>
          <w:rFonts w:cs="Arial"/>
          <w:szCs w:val="24"/>
          <w:highlight w:val="yellow"/>
        </w:rPr>
        <w:t xml:space="preserve">analysis objectives.  To accomplish </w:t>
      </w:r>
      <w:r w:rsidR="00CE7925" w:rsidRPr="00C22A4F">
        <w:rPr>
          <w:rFonts w:cs="Arial"/>
          <w:szCs w:val="24"/>
          <w:highlight w:val="yellow"/>
        </w:rPr>
        <w:t xml:space="preserve">these </w:t>
      </w:r>
      <w:r w:rsidRPr="00C22A4F">
        <w:rPr>
          <w:rFonts w:cs="Arial"/>
          <w:szCs w:val="24"/>
          <w:highlight w:val="yellow"/>
        </w:rPr>
        <w:t xml:space="preserve">objectives, a representative sample of participants in the target areas at each field center </w:t>
      </w:r>
      <w:r w:rsidR="006F0753" w:rsidRPr="00C22A4F">
        <w:rPr>
          <w:rFonts w:cs="Arial"/>
          <w:szCs w:val="24"/>
          <w:highlight w:val="yellow"/>
        </w:rPr>
        <w:t xml:space="preserve">was </w:t>
      </w:r>
      <w:r w:rsidRPr="00C22A4F">
        <w:rPr>
          <w:rFonts w:cs="Arial"/>
          <w:szCs w:val="24"/>
          <w:highlight w:val="yellow"/>
        </w:rPr>
        <w:t xml:space="preserve">selected.  Methods of sample selection, recruitment, and retention </w:t>
      </w:r>
      <w:r w:rsidR="006F0753" w:rsidRPr="00C22A4F">
        <w:rPr>
          <w:rFonts w:cs="Arial"/>
          <w:szCs w:val="24"/>
          <w:highlight w:val="yellow"/>
        </w:rPr>
        <w:t xml:space="preserve">were </w:t>
      </w:r>
      <w:r w:rsidRPr="00C22A4F">
        <w:rPr>
          <w:rFonts w:cs="Arial"/>
          <w:szCs w:val="24"/>
          <w:highlight w:val="yellow"/>
        </w:rPr>
        <w:t xml:space="preserve">designed to maximize participation rates, minimize non-response, and minimize attrition during the follow-up period.  </w:t>
      </w:r>
      <w:r w:rsidR="006F0753" w:rsidRPr="00C22A4F">
        <w:rPr>
          <w:rFonts w:cs="Arial"/>
          <w:szCs w:val="24"/>
          <w:highlight w:val="yellow"/>
        </w:rPr>
        <w:t>These methods were explained in the original application, and have been published [</w:t>
      </w:r>
      <w:r w:rsidR="001E3E8C" w:rsidRPr="00C22A4F">
        <w:rPr>
          <w:rFonts w:cs="Arial"/>
          <w:szCs w:val="24"/>
          <w:highlight w:val="yellow"/>
        </w:rPr>
        <w:t>Sorlie et al, and LaVange et al in Appendix 1</w:t>
      </w:r>
      <w:r w:rsidR="006F0753" w:rsidRPr="00C22A4F">
        <w:rPr>
          <w:rFonts w:cs="Arial"/>
          <w:szCs w:val="24"/>
          <w:highlight w:val="yellow"/>
        </w:rPr>
        <w:t>].</w:t>
      </w:r>
    </w:p>
    <w:p w14:paraId="6405F406" w14:textId="77777777" w:rsidR="00A52CA3" w:rsidRPr="00A52CA3" w:rsidRDefault="00A52CA3" w:rsidP="00A52CA3">
      <w:pPr>
        <w:spacing w:line="276" w:lineRule="auto"/>
        <w:ind w:firstLine="720"/>
        <w:rPr>
          <w:rFonts w:cs="Arial"/>
          <w:szCs w:val="24"/>
        </w:rPr>
      </w:pPr>
    </w:p>
    <w:p w14:paraId="734929E3" w14:textId="686E1709" w:rsidR="006F0753" w:rsidRDefault="00182CC3" w:rsidP="00A52CA3">
      <w:pPr>
        <w:spacing w:line="276" w:lineRule="auto"/>
        <w:ind w:firstLine="720"/>
        <w:rPr>
          <w:szCs w:val="24"/>
        </w:rPr>
      </w:pPr>
      <w:r w:rsidRPr="00C22A4F">
        <w:rPr>
          <w:szCs w:val="24"/>
          <w:highlight w:val="yellow"/>
        </w:rPr>
        <w:t xml:space="preserve">First, the </w:t>
      </w:r>
      <w:r w:rsidR="009D5090" w:rsidRPr="00C22A4F">
        <w:rPr>
          <w:szCs w:val="24"/>
          <w:highlight w:val="yellow"/>
        </w:rPr>
        <w:t>HCHS/SOL</w:t>
      </w:r>
      <w:r w:rsidRPr="00C22A4F">
        <w:rPr>
          <w:szCs w:val="24"/>
          <w:highlight w:val="yellow"/>
        </w:rPr>
        <w:t xml:space="preserve"> sample supports estimates of the prevalence (or mean values) of baseline risk factors for 1) all Hispanics combined in this study; 2) all study Hispanics by community of residence; 3) all study Hispanics by country of origin; 4) to a limited extent all study Hispanics by community of residence controlling for country of origin; and 5) to a limited extent all study Hispanics by country of origin controlling for community of residence.  Secondly, the study sample supports evaluation of the relationships between the various risk factors, demographic factors, and cultural factors collected at baseline.  Thirdly, the study sample supports evaluation of factors collected at baseline in relation to the incidence of disease and death that will occur during the follow-up period.  </w:t>
      </w:r>
      <w:r w:rsidR="006F0753" w:rsidRPr="00C22A4F">
        <w:rPr>
          <w:szCs w:val="24"/>
          <w:highlight w:val="yellow"/>
        </w:rPr>
        <w:t>During the previous follow-up period, the number of disease events was small</w:t>
      </w:r>
      <w:r w:rsidR="005A3273" w:rsidRPr="00C22A4F">
        <w:rPr>
          <w:szCs w:val="24"/>
          <w:highlight w:val="yellow"/>
        </w:rPr>
        <w:t xml:space="preserve"> </w:t>
      </w:r>
      <w:r w:rsidR="00952054" w:rsidRPr="00C22A4F">
        <w:rPr>
          <w:szCs w:val="24"/>
          <w:highlight w:val="yellow"/>
        </w:rPr>
        <w:t xml:space="preserve">(under 100) </w:t>
      </w:r>
      <w:r w:rsidR="005A3273" w:rsidRPr="00C22A4F">
        <w:rPr>
          <w:szCs w:val="24"/>
          <w:highlight w:val="yellow"/>
        </w:rPr>
        <w:t>due to the relatively young age structure of th</w:t>
      </w:r>
      <w:r w:rsidR="00651E0E" w:rsidRPr="00C22A4F">
        <w:rPr>
          <w:szCs w:val="24"/>
          <w:highlight w:val="yellow"/>
        </w:rPr>
        <w:t>is Hispanic</w:t>
      </w:r>
      <w:r w:rsidR="005A3273" w:rsidRPr="00C22A4F">
        <w:rPr>
          <w:szCs w:val="24"/>
          <w:highlight w:val="yellow"/>
        </w:rPr>
        <w:t xml:space="preserve"> cohort and length of follow-up</w:t>
      </w:r>
      <w:r w:rsidR="006F0753" w:rsidRPr="00C22A4F">
        <w:rPr>
          <w:szCs w:val="24"/>
          <w:highlight w:val="yellow"/>
        </w:rPr>
        <w:t>.</w:t>
      </w:r>
      <w:r w:rsidR="00952054" w:rsidRPr="00C22A4F">
        <w:rPr>
          <w:szCs w:val="24"/>
          <w:highlight w:val="yellow"/>
        </w:rPr>
        <w:t xml:space="preserve"> </w:t>
      </w:r>
      <w:r w:rsidR="006F0753" w:rsidRPr="00C22A4F">
        <w:rPr>
          <w:szCs w:val="24"/>
          <w:highlight w:val="yellow"/>
        </w:rPr>
        <w:t xml:space="preserve"> However, w</w:t>
      </w:r>
      <w:r w:rsidRPr="00C22A4F">
        <w:rPr>
          <w:szCs w:val="24"/>
          <w:highlight w:val="yellow"/>
        </w:rPr>
        <w:t xml:space="preserve">ithin the </w:t>
      </w:r>
      <w:r w:rsidR="006F0753" w:rsidRPr="00C22A4F">
        <w:rPr>
          <w:szCs w:val="24"/>
          <w:highlight w:val="yellow"/>
        </w:rPr>
        <w:t>proposed</w:t>
      </w:r>
      <w:r w:rsidR="005A3273" w:rsidRPr="00C22A4F">
        <w:rPr>
          <w:szCs w:val="24"/>
          <w:highlight w:val="yellow"/>
        </w:rPr>
        <w:t xml:space="preserve"> next</w:t>
      </w:r>
      <w:r w:rsidR="006F0753" w:rsidRPr="00C22A4F">
        <w:rPr>
          <w:szCs w:val="24"/>
          <w:highlight w:val="yellow"/>
        </w:rPr>
        <w:t xml:space="preserve"> </w:t>
      </w:r>
      <w:r w:rsidRPr="00C22A4F">
        <w:rPr>
          <w:szCs w:val="24"/>
          <w:highlight w:val="yellow"/>
        </w:rPr>
        <w:t xml:space="preserve">follow-up period, there will be a </w:t>
      </w:r>
      <w:r w:rsidR="006F0753" w:rsidRPr="00C22A4F">
        <w:rPr>
          <w:szCs w:val="24"/>
          <w:highlight w:val="yellow"/>
        </w:rPr>
        <w:t xml:space="preserve">larger </w:t>
      </w:r>
      <w:r w:rsidRPr="00C22A4F">
        <w:rPr>
          <w:szCs w:val="24"/>
          <w:highlight w:val="yellow"/>
        </w:rPr>
        <w:t xml:space="preserve">number of events </w:t>
      </w:r>
      <w:r w:rsidR="005A3273" w:rsidRPr="00C22A4F">
        <w:rPr>
          <w:szCs w:val="24"/>
          <w:highlight w:val="yellow"/>
        </w:rPr>
        <w:t xml:space="preserve">that accrue </w:t>
      </w:r>
      <w:r w:rsidR="00651E0E" w:rsidRPr="00C22A4F">
        <w:rPr>
          <w:szCs w:val="24"/>
          <w:highlight w:val="yellow"/>
        </w:rPr>
        <w:t xml:space="preserve">overall </w:t>
      </w:r>
      <w:r w:rsidRPr="00C22A4F">
        <w:rPr>
          <w:szCs w:val="24"/>
          <w:highlight w:val="yellow"/>
        </w:rPr>
        <w:t>(</w:t>
      </w:r>
      <w:r w:rsidR="00952054" w:rsidRPr="00C22A4F">
        <w:rPr>
          <w:szCs w:val="24"/>
          <w:highlight w:val="yellow"/>
        </w:rPr>
        <w:t xml:space="preserve">approximately </w:t>
      </w:r>
      <w:r w:rsidR="00651E0E" w:rsidRPr="00C22A4F">
        <w:rPr>
          <w:szCs w:val="24"/>
          <w:highlight w:val="yellow"/>
        </w:rPr>
        <w:t>266</w:t>
      </w:r>
      <w:r w:rsidR="00952054" w:rsidRPr="00C22A4F">
        <w:rPr>
          <w:szCs w:val="24"/>
          <w:highlight w:val="yellow"/>
        </w:rPr>
        <w:t xml:space="preserve"> CVD events and </w:t>
      </w:r>
      <w:r w:rsidRPr="00C22A4F">
        <w:rPr>
          <w:szCs w:val="24"/>
          <w:highlight w:val="yellow"/>
        </w:rPr>
        <w:t xml:space="preserve">about </w:t>
      </w:r>
      <w:r w:rsidR="00651E0E" w:rsidRPr="00C22A4F">
        <w:rPr>
          <w:szCs w:val="24"/>
          <w:highlight w:val="yellow"/>
        </w:rPr>
        <w:t>230</w:t>
      </w:r>
      <w:r w:rsidR="00952054" w:rsidRPr="00C22A4F">
        <w:rPr>
          <w:szCs w:val="24"/>
          <w:highlight w:val="yellow"/>
        </w:rPr>
        <w:t xml:space="preserve"> asthma/COPD hospitalizations</w:t>
      </w:r>
      <w:r w:rsidR="00D82373" w:rsidRPr="00C22A4F">
        <w:rPr>
          <w:szCs w:val="24"/>
          <w:highlight w:val="yellow"/>
        </w:rPr>
        <w:t xml:space="preserve"> and over </w:t>
      </w:r>
      <w:r w:rsidR="00651E0E" w:rsidRPr="00C22A4F">
        <w:rPr>
          <w:szCs w:val="24"/>
          <w:highlight w:val="yellow"/>
        </w:rPr>
        <w:t>500</w:t>
      </w:r>
      <w:r w:rsidR="00D82373" w:rsidRPr="00C22A4F">
        <w:rPr>
          <w:szCs w:val="24"/>
          <w:highlight w:val="yellow"/>
        </w:rPr>
        <w:t xml:space="preserve"> pregnancy related admissions</w:t>
      </w:r>
      <w:r w:rsidRPr="00C22A4F">
        <w:rPr>
          <w:szCs w:val="24"/>
          <w:highlight w:val="yellow"/>
        </w:rPr>
        <w:t xml:space="preserve">) for </w:t>
      </w:r>
      <w:r w:rsidR="00651E0E" w:rsidRPr="00C22A4F">
        <w:rPr>
          <w:szCs w:val="24"/>
          <w:highlight w:val="yellow"/>
        </w:rPr>
        <w:t xml:space="preserve">a </w:t>
      </w:r>
      <w:r w:rsidRPr="00C22A4F">
        <w:rPr>
          <w:szCs w:val="24"/>
          <w:highlight w:val="yellow"/>
        </w:rPr>
        <w:t>broad analysis of risk factors and</w:t>
      </w:r>
      <w:r w:rsidR="00B35A07" w:rsidRPr="00C22A4F">
        <w:rPr>
          <w:szCs w:val="24"/>
          <w:highlight w:val="yellow"/>
        </w:rPr>
        <w:t xml:space="preserve"> </w:t>
      </w:r>
      <w:r w:rsidRPr="00C22A4F">
        <w:rPr>
          <w:szCs w:val="24"/>
          <w:highlight w:val="yellow"/>
        </w:rPr>
        <w:t>incidence</w:t>
      </w:r>
      <w:r w:rsidR="005A3273" w:rsidRPr="00C22A4F">
        <w:rPr>
          <w:szCs w:val="24"/>
          <w:highlight w:val="yellow"/>
        </w:rPr>
        <w:t xml:space="preserve"> of cardiovascular and pulmonary disease outcomes</w:t>
      </w:r>
      <w:r w:rsidRPr="00A52CA3">
        <w:rPr>
          <w:szCs w:val="24"/>
        </w:rPr>
        <w:t xml:space="preserve">.   </w:t>
      </w:r>
    </w:p>
    <w:p w14:paraId="536F70AE" w14:textId="77777777" w:rsidR="00A52CA3" w:rsidRPr="00A52CA3" w:rsidRDefault="00A52CA3" w:rsidP="00A52CA3">
      <w:pPr>
        <w:spacing w:line="276" w:lineRule="auto"/>
        <w:ind w:firstLine="720"/>
        <w:rPr>
          <w:szCs w:val="24"/>
        </w:rPr>
      </w:pPr>
    </w:p>
    <w:p w14:paraId="5721EBF6" w14:textId="0786095D" w:rsidR="00651E0E" w:rsidRPr="00C22A4F" w:rsidRDefault="00651E0E" w:rsidP="00A52CA3">
      <w:pPr>
        <w:spacing w:line="276" w:lineRule="auto"/>
        <w:ind w:firstLine="720"/>
        <w:rPr>
          <w:szCs w:val="24"/>
          <w:highlight w:val="yellow"/>
        </w:rPr>
      </w:pPr>
      <w:r w:rsidRPr="00C22A4F">
        <w:rPr>
          <w:szCs w:val="24"/>
          <w:highlight w:val="yellow"/>
        </w:rPr>
        <w:t xml:space="preserve">The table below presents the actual counts for the first occurrence of an event reported from 2008 to 2011 and an estimated rate per 1,000 person years of follow-up. Cohort participants with the prevalent disease at baseline are excluded from the projections.  For these preliminary estimates events are classified according to ICD-9 coded discharge diagnoses abstracted from the medical records by HCHS-SOL field center personnel. Classification of events per the HCHS-SOL protocol and event adjudication has not yet been applied to the events accrued through 2011. Projected numbers and rates for 2012 to 2019 are presented assuming and average 6 additional years of follow-up on all AFU eligible cohort members. Projected number of CVD deaths would be approximately 156 based on rates for Hispanics recently published in </w:t>
      </w:r>
      <w:r w:rsidRPr="00C22A4F">
        <w:rPr>
          <w:i/>
          <w:szCs w:val="24"/>
          <w:highlight w:val="yellow"/>
        </w:rPr>
        <w:t>Circulation</w:t>
      </w:r>
      <w:r w:rsidRPr="00C22A4F">
        <w:rPr>
          <w:szCs w:val="24"/>
          <w:highlight w:val="yellow"/>
        </w:rPr>
        <w:t xml:space="preserve"> (Note: projections of events and rate counts are not adjusted for the aging of the cohort.  The actual validated number of events accruing over time may be different as the presented counts are based on ICD codes only).</w:t>
      </w:r>
    </w:p>
    <w:p w14:paraId="4B661E86" w14:textId="77777777" w:rsidR="00651E0E" w:rsidRPr="00C22A4F" w:rsidRDefault="00651E0E" w:rsidP="00651E0E">
      <w:pPr>
        <w:ind w:firstLine="720"/>
        <w:rPr>
          <w:rFonts w:ascii="Arial" w:hAnsi="Arial" w:cs="Arial"/>
          <w:highlight w:val="yellow"/>
        </w:rPr>
      </w:pPr>
    </w:p>
    <w:p w14:paraId="27ADD293" w14:textId="77777777" w:rsidR="00651E0E" w:rsidRPr="00C22A4F" w:rsidRDefault="00651E0E" w:rsidP="00651E0E">
      <w:pPr>
        <w:rPr>
          <w:rFonts w:ascii="Arial" w:hAnsi="Arial" w:cs="Arial"/>
          <w:b/>
          <w:highlight w:val="yellow"/>
        </w:rPr>
      </w:pPr>
    </w:p>
    <w:p w14:paraId="484AD924" w14:textId="4F93D6D0" w:rsidR="00651E0E" w:rsidRPr="00C22A4F" w:rsidRDefault="00651E0E" w:rsidP="00651E0E">
      <w:pPr>
        <w:rPr>
          <w:b/>
          <w:color w:val="000000"/>
          <w:highlight w:val="yellow"/>
        </w:rPr>
      </w:pPr>
      <w:r w:rsidRPr="00C22A4F">
        <w:rPr>
          <w:b/>
          <w:color w:val="000000"/>
          <w:highlight w:val="yellow"/>
        </w:rPr>
        <w:t>Project</w:t>
      </w:r>
      <w:r w:rsidR="00A52CA3" w:rsidRPr="00C22A4F">
        <w:rPr>
          <w:b/>
          <w:color w:val="000000"/>
          <w:highlight w:val="yellow"/>
        </w:rPr>
        <w:t xml:space="preserve">ed First Events in </w:t>
      </w:r>
      <w:proofErr w:type="gramStart"/>
      <w:r w:rsidR="00A52CA3" w:rsidRPr="00C22A4F">
        <w:rPr>
          <w:b/>
          <w:color w:val="000000"/>
          <w:highlight w:val="yellow"/>
        </w:rPr>
        <w:t>HCHS/</w:t>
      </w:r>
      <w:r w:rsidRPr="00C22A4F">
        <w:rPr>
          <w:b/>
          <w:color w:val="000000"/>
          <w:highlight w:val="yellow"/>
        </w:rPr>
        <w:t>SOL</w:t>
      </w:r>
      <w:r w:rsidR="00A52CA3" w:rsidRPr="00C22A4F">
        <w:rPr>
          <w:b/>
          <w:color w:val="000000"/>
          <w:highlight w:val="yellow"/>
        </w:rPr>
        <w:t>,</w:t>
      </w:r>
      <w:proofErr w:type="gramEnd"/>
      <w:r w:rsidRPr="00C22A4F">
        <w:rPr>
          <w:b/>
          <w:color w:val="000000"/>
          <w:highlight w:val="yellow"/>
        </w:rPr>
        <w:t xml:space="preserve"> and 2012 to 2019 </w:t>
      </w:r>
      <w:r w:rsidR="009B331F" w:rsidRPr="00C22A4F">
        <w:rPr>
          <w:b/>
          <w:color w:val="000000"/>
          <w:highlight w:val="yellow"/>
        </w:rPr>
        <w:t xml:space="preserve">Projections </w:t>
      </w:r>
      <w:r w:rsidR="00A52CA3" w:rsidRPr="00C22A4F">
        <w:rPr>
          <w:b/>
          <w:color w:val="000000"/>
          <w:highlight w:val="yellow"/>
        </w:rPr>
        <w:t>in the HCHS/</w:t>
      </w:r>
      <w:r w:rsidRPr="00C22A4F">
        <w:rPr>
          <w:b/>
          <w:color w:val="000000"/>
          <w:highlight w:val="yellow"/>
        </w:rPr>
        <w:t>SOL Cohort.  Based on ICD Coded Hospital Discharge Diagnoses</w:t>
      </w:r>
    </w:p>
    <w:tbl>
      <w:tblPr>
        <w:tblW w:w="8747" w:type="dxa"/>
        <w:tblInd w:w="-72" w:type="dxa"/>
        <w:tblLook w:val="04A0" w:firstRow="1" w:lastRow="0" w:firstColumn="1" w:lastColumn="0" w:noHBand="0" w:noVBand="1"/>
      </w:tblPr>
      <w:tblGrid>
        <w:gridCol w:w="2149"/>
        <w:gridCol w:w="461"/>
        <w:gridCol w:w="1139"/>
        <w:gridCol w:w="1172"/>
        <w:gridCol w:w="236"/>
        <w:gridCol w:w="1233"/>
        <w:gridCol w:w="180"/>
        <w:gridCol w:w="1440"/>
        <w:gridCol w:w="737"/>
      </w:tblGrid>
      <w:tr w:rsidR="00651E0E" w:rsidRPr="00C22A4F" w14:paraId="1426177B" w14:textId="77777777" w:rsidTr="00651E0E">
        <w:trPr>
          <w:trHeight w:val="558"/>
        </w:trPr>
        <w:tc>
          <w:tcPr>
            <w:tcW w:w="2149" w:type="dxa"/>
            <w:tcBorders>
              <w:top w:val="nil"/>
              <w:left w:val="nil"/>
              <w:bottom w:val="nil"/>
              <w:right w:val="nil"/>
            </w:tcBorders>
            <w:shd w:val="clear" w:color="auto" w:fill="auto"/>
            <w:noWrap/>
            <w:vAlign w:val="bottom"/>
            <w:hideMark/>
          </w:tcPr>
          <w:p w14:paraId="7A7924EC" w14:textId="77777777" w:rsidR="00651E0E" w:rsidRPr="00C22A4F" w:rsidRDefault="00651E0E" w:rsidP="00651E0E">
            <w:pPr>
              <w:rPr>
                <w:b/>
                <w:bCs/>
                <w:color w:val="000000"/>
                <w:sz w:val="20"/>
                <w:highlight w:val="yellow"/>
              </w:rPr>
            </w:pPr>
            <w:bookmarkStart w:id="1" w:name="RANGE!A1"/>
            <w:r w:rsidRPr="00C22A4F">
              <w:rPr>
                <w:b/>
                <w:bCs/>
                <w:color w:val="000000"/>
                <w:sz w:val="20"/>
                <w:highlight w:val="yellow"/>
              </w:rPr>
              <w:t xml:space="preserve">                                   ICD-9 Event Code</w:t>
            </w:r>
            <w:bookmarkEnd w:id="1"/>
            <w:r w:rsidRPr="00C22A4F">
              <w:rPr>
                <w:b/>
                <w:bCs/>
                <w:color w:val="000000"/>
                <w:sz w:val="20"/>
                <w:highlight w:val="yellow"/>
              </w:rPr>
              <w:t xml:space="preserve"> Categories</w:t>
            </w:r>
          </w:p>
        </w:tc>
        <w:tc>
          <w:tcPr>
            <w:tcW w:w="461" w:type="dxa"/>
            <w:tcBorders>
              <w:top w:val="nil"/>
              <w:left w:val="nil"/>
              <w:bottom w:val="nil"/>
              <w:right w:val="nil"/>
            </w:tcBorders>
            <w:shd w:val="clear" w:color="auto" w:fill="auto"/>
            <w:noWrap/>
            <w:vAlign w:val="bottom"/>
            <w:hideMark/>
          </w:tcPr>
          <w:p w14:paraId="148A72B0" w14:textId="77777777" w:rsidR="00651E0E" w:rsidRPr="00C22A4F" w:rsidRDefault="00651E0E" w:rsidP="00651E0E">
            <w:pPr>
              <w:rPr>
                <w:sz w:val="20"/>
                <w:highlight w:val="yellow"/>
              </w:rPr>
            </w:pPr>
          </w:p>
        </w:tc>
        <w:tc>
          <w:tcPr>
            <w:tcW w:w="2311" w:type="dxa"/>
            <w:gridSpan w:val="2"/>
            <w:tcBorders>
              <w:top w:val="nil"/>
              <w:left w:val="nil"/>
              <w:bottom w:val="nil"/>
              <w:right w:val="nil"/>
            </w:tcBorders>
            <w:shd w:val="clear" w:color="auto" w:fill="auto"/>
            <w:noWrap/>
            <w:vAlign w:val="bottom"/>
            <w:hideMark/>
          </w:tcPr>
          <w:p w14:paraId="1E5E94A5" w14:textId="77777777" w:rsidR="00651E0E" w:rsidRPr="00C22A4F" w:rsidRDefault="00651E0E" w:rsidP="00651E0E">
            <w:pPr>
              <w:jc w:val="center"/>
              <w:rPr>
                <w:b/>
                <w:bCs/>
                <w:sz w:val="20"/>
                <w:highlight w:val="yellow"/>
                <w:u w:val="single"/>
              </w:rPr>
            </w:pPr>
            <w:r w:rsidRPr="00C22A4F">
              <w:rPr>
                <w:b/>
                <w:bCs/>
                <w:sz w:val="20"/>
                <w:highlight w:val="yellow"/>
              </w:rPr>
              <w:t xml:space="preserve"> </w:t>
            </w:r>
            <w:r w:rsidRPr="00C22A4F">
              <w:rPr>
                <w:b/>
                <w:bCs/>
                <w:sz w:val="20"/>
                <w:highlight w:val="yellow"/>
                <w:u w:val="single"/>
              </w:rPr>
              <w:t xml:space="preserve">2008 to 2011                       </w:t>
            </w:r>
          </w:p>
        </w:tc>
        <w:tc>
          <w:tcPr>
            <w:tcW w:w="236" w:type="dxa"/>
            <w:tcBorders>
              <w:top w:val="nil"/>
              <w:left w:val="nil"/>
              <w:bottom w:val="nil"/>
              <w:right w:val="nil"/>
            </w:tcBorders>
          </w:tcPr>
          <w:p w14:paraId="2D793517" w14:textId="77777777" w:rsidR="00651E0E" w:rsidRPr="00C22A4F" w:rsidRDefault="00651E0E" w:rsidP="00651E0E">
            <w:pPr>
              <w:rPr>
                <w:sz w:val="20"/>
                <w:highlight w:val="yellow"/>
              </w:rPr>
            </w:pPr>
          </w:p>
        </w:tc>
        <w:tc>
          <w:tcPr>
            <w:tcW w:w="1413" w:type="dxa"/>
            <w:gridSpan w:val="2"/>
            <w:tcBorders>
              <w:top w:val="nil"/>
              <w:left w:val="nil"/>
              <w:bottom w:val="nil"/>
              <w:right w:val="nil"/>
            </w:tcBorders>
            <w:shd w:val="clear" w:color="auto" w:fill="auto"/>
            <w:noWrap/>
            <w:vAlign w:val="bottom"/>
            <w:hideMark/>
          </w:tcPr>
          <w:p w14:paraId="1DF68135" w14:textId="77777777" w:rsidR="00651E0E" w:rsidRPr="00C22A4F" w:rsidRDefault="00651E0E" w:rsidP="00651E0E">
            <w:pPr>
              <w:rPr>
                <w:b/>
                <w:sz w:val="20"/>
                <w:highlight w:val="yellow"/>
                <w:u w:val="single"/>
              </w:rPr>
            </w:pPr>
            <w:r w:rsidRPr="00C22A4F">
              <w:rPr>
                <w:b/>
                <w:sz w:val="20"/>
                <w:highlight w:val="yellow"/>
                <w:u w:val="single"/>
              </w:rPr>
              <w:t>2012 to 2019</w:t>
            </w:r>
          </w:p>
        </w:tc>
        <w:tc>
          <w:tcPr>
            <w:tcW w:w="2177" w:type="dxa"/>
            <w:gridSpan w:val="2"/>
            <w:tcBorders>
              <w:top w:val="nil"/>
              <w:left w:val="nil"/>
              <w:bottom w:val="nil"/>
              <w:right w:val="nil"/>
            </w:tcBorders>
            <w:vAlign w:val="center"/>
          </w:tcPr>
          <w:p w14:paraId="14C79D88" w14:textId="77777777" w:rsidR="00651E0E" w:rsidRPr="00C22A4F" w:rsidRDefault="00651E0E" w:rsidP="00651E0E">
            <w:pPr>
              <w:rPr>
                <w:b/>
                <w:sz w:val="20"/>
                <w:highlight w:val="yellow"/>
                <w:u w:val="single"/>
              </w:rPr>
            </w:pPr>
          </w:p>
          <w:p w14:paraId="48F324A0" w14:textId="77777777" w:rsidR="00651E0E" w:rsidRPr="00C22A4F" w:rsidRDefault="00651E0E" w:rsidP="00651E0E">
            <w:pPr>
              <w:rPr>
                <w:b/>
                <w:sz w:val="20"/>
                <w:highlight w:val="yellow"/>
                <w:u w:val="single"/>
              </w:rPr>
            </w:pPr>
          </w:p>
          <w:p w14:paraId="32D0ED23" w14:textId="77777777" w:rsidR="00651E0E" w:rsidRPr="00C22A4F" w:rsidRDefault="00651E0E" w:rsidP="00651E0E">
            <w:pPr>
              <w:rPr>
                <w:b/>
                <w:sz w:val="20"/>
                <w:highlight w:val="yellow"/>
                <w:u w:val="single"/>
              </w:rPr>
            </w:pPr>
            <w:r w:rsidRPr="00C22A4F">
              <w:rPr>
                <w:b/>
                <w:sz w:val="20"/>
                <w:highlight w:val="yellow"/>
                <w:u w:val="single"/>
              </w:rPr>
              <w:t>Total by 2019</w:t>
            </w:r>
          </w:p>
        </w:tc>
      </w:tr>
      <w:tr w:rsidR="00651E0E" w:rsidRPr="00C22A4F" w14:paraId="01AF39C3"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145F9344" w14:textId="77777777" w:rsidR="00651E0E" w:rsidRPr="00C22A4F" w:rsidRDefault="00651E0E" w:rsidP="00651E0E">
            <w:pPr>
              <w:rPr>
                <w:b/>
                <w:bCs/>
                <w:color w:val="000000"/>
                <w:sz w:val="20"/>
                <w:highlight w:val="yellow"/>
              </w:rPr>
            </w:pPr>
          </w:p>
        </w:tc>
        <w:tc>
          <w:tcPr>
            <w:tcW w:w="461" w:type="dxa"/>
            <w:tcBorders>
              <w:top w:val="nil"/>
              <w:left w:val="nil"/>
              <w:bottom w:val="nil"/>
              <w:right w:val="nil"/>
            </w:tcBorders>
            <w:shd w:val="clear" w:color="auto" w:fill="auto"/>
            <w:noWrap/>
            <w:vAlign w:val="bottom"/>
            <w:hideMark/>
          </w:tcPr>
          <w:p w14:paraId="31A1596B"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15F01CD0" w14:textId="77777777" w:rsidR="00651E0E" w:rsidRPr="00C22A4F" w:rsidRDefault="00651E0E" w:rsidP="00651E0E">
            <w:pPr>
              <w:jc w:val="center"/>
              <w:rPr>
                <w:b/>
                <w:bCs/>
                <w:sz w:val="20"/>
                <w:highlight w:val="yellow"/>
              </w:rPr>
            </w:pPr>
            <w:r w:rsidRPr="00C22A4F">
              <w:rPr>
                <w:b/>
                <w:bCs/>
                <w:sz w:val="20"/>
                <w:highlight w:val="yellow"/>
              </w:rPr>
              <w:t>Observed</w:t>
            </w:r>
          </w:p>
          <w:p w14:paraId="378E2138" w14:textId="77777777" w:rsidR="00651E0E" w:rsidRPr="00C22A4F" w:rsidRDefault="00651E0E" w:rsidP="00651E0E">
            <w:pPr>
              <w:jc w:val="center"/>
              <w:rPr>
                <w:b/>
                <w:bCs/>
                <w:sz w:val="20"/>
                <w:highlight w:val="yellow"/>
              </w:rPr>
            </w:pPr>
            <w:r w:rsidRPr="00C22A4F">
              <w:rPr>
                <w:b/>
                <w:bCs/>
                <w:sz w:val="20"/>
                <w:highlight w:val="yellow"/>
              </w:rPr>
              <w:t>First</w:t>
            </w:r>
          </w:p>
          <w:p w14:paraId="629D2A06" w14:textId="77777777" w:rsidR="00651E0E" w:rsidRPr="00C22A4F" w:rsidRDefault="00651E0E" w:rsidP="00651E0E">
            <w:pPr>
              <w:jc w:val="center"/>
              <w:rPr>
                <w:b/>
                <w:bCs/>
                <w:sz w:val="20"/>
                <w:highlight w:val="yellow"/>
              </w:rPr>
            </w:pPr>
            <w:r w:rsidRPr="00C22A4F">
              <w:rPr>
                <w:b/>
                <w:bCs/>
                <w:sz w:val="20"/>
                <w:highlight w:val="yellow"/>
              </w:rPr>
              <w:t>events</w:t>
            </w:r>
          </w:p>
        </w:tc>
        <w:tc>
          <w:tcPr>
            <w:tcW w:w="1172" w:type="dxa"/>
            <w:tcBorders>
              <w:top w:val="nil"/>
              <w:left w:val="nil"/>
              <w:bottom w:val="nil"/>
              <w:right w:val="nil"/>
            </w:tcBorders>
            <w:shd w:val="clear" w:color="auto" w:fill="auto"/>
            <w:noWrap/>
            <w:vAlign w:val="bottom"/>
            <w:hideMark/>
          </w:tcPr>
          <w:p w14:paraId="4262095D" w14:textId="77777777" w:rsidR="00651E0E" w:rsidRPr="00C22A4F" w:rsidRDefault="00651E0E" w:rsidP="00651E0E">
            <w:pPr>
              <w:jc w:val="center"/>
              <w:rPr>
                <w:b/>
                <w:bCs/>
                <w:sz w:val="20"/>
                <w:highlight w:val="yellow"/>
              </w:rPr>
            </w:pPr>
            <w:r w:rsidRPr="00C22A4F">
              <w:rPr>
                <w:b/>
                <w:bCs/>
                <w:sz w:val="20"/>
                <w:highlight w:val="yellow"/>
              </w:rPr>
              <w:t>Estimated</w:t>
            </w:r>
          </w:p>
          <w:p w14:paraId="460DFED0" w14:textId="77777777" w:rsidR="00651E0E" w:rsidRPr="00C22A4F" w:rsidRDefault="00651E0E" w:rsidP="00651E0E">
            <w:pPr>
              <w:jc w:val="center"/>
              <w:rPr>
                <w:b/>
                <w:bCs/>
                <w:sz w:val="20"/>
                <w:highlight w:val="yellow"/>
              </w:rPr>
            </w:pPr>
            <w:r w:rsidRPr="00C22A4F">
              <w:rPr>
                <w:b/>
                <w:bCs/>
                <w:sz w:val="20"/>
                <w:highlight w:val="yellow"/>
              </w:rPr>
              <w:t>Rate/1000 person-years</w:t>
            </w:r>
          </w:p>
        </w:tc>
        <w:tc>
          <w:tcPr>
            <w:tcW w:w="236" w:type="dxa"/>
            <w:tcBorders>
              <w:top w:val="nil"/>
              <w:left w:val="nil"/>
              <w:bottom w:val="nil"/>
              <w:right w:val="nil"/>
            </w:tcBorders>
            <w:shd w:val="clear" w:color="auto" w:fill="auto"/>
            <w:noWrap/>
            <w:vAlign w:val="bottom"/>
            <w:hideMark/>
          </w:tcPr>
          <w:p w14:paraId="21F55D16"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bottom"/>
            <w:hideMark/>
          </w:tcPr>
          <w:p w14:paraId="5D00E191" w14:textId="77777777" w:rsidR="00651E0E" w:rsidRPr="00C22A4F" w:rsidRDefault="00651E0E" w:rsidP="00651E0E">
            <w:pPr>
              <w:jc w:val="center"/>
              <w:rPr>
                <w:b/>
                <w:bCs/>
                <w:sz w:val="20"/>
                <w:highlight w:val="yellow"/>
              </w:rPr>
            </w:pPr>
            <w:r w:rsidRPr="00C22A4F">
              <w:rPr>
                <w:b/>
                <w:bCs/>
                <w:sz w:val="20"/>
                <w:highlight w:val="yellow"/>
              </w:rPr>
              <w:t>Projected Number   First      events</w:t>
            </w:r>
          </w:p>
        </w:tc>
        <w:tc>
          <w:tcPr>
            <w:tcW w:w="1620" w:type="dxa"/>
            <w:gridSpan w:val="2"/>
            <w:tcBorders>
              <w:top w:val="nil"/>
              <w:left w:val="nil"/>
              <w:bottom w:val="nil"/>
              <w:right w:val="nil"/>
            </w:tcBorders>
          </w:tcPr>
          <w:p w14:paraId="05DA69F2" w14:textId="77777777" w:rsidR="00651E0E" w:rsidRPr="00C22A4F" w:rsidRDefault="00651E0E" w:rsidP="00651E0E">
            <w:pPr>
              <w:jc w:val="center"/>
              <w:rPr>
                <w:b/>
                <w:bCs/>
                <w:sz w:val="20"/>
                <w:highlight w:val="yellow"/>
              </w:rPr>
            </w:pPr>
            <w:r w:rsidRPr="00C22A4F">
              <w:rPr>
                <w:b/>
                <w:bCs/>
                <w:sz w:val="20"/>
                <w:highlight w:val="yellow"/>
              </w:rPr>
              <w:t>All Events</w:t>
            </w:r>
          </w:p>
          <w:p w14:paraId="271F1C77" w14:textId="77777777" w:rsidR="00651E0E" w:rsidRPr="00C22A4F" w:rsidRDefault="00651E0E" w:rsidP="00651E0E">
            <w:pPr>
              <w:jc w:val="center"/>
              <w:rPr>
                <w:b/>
                <w:bCs/>
                <w:sz w:val="20"/>
                <w:highlight w:val="yellow"/>
              </w:rPr>
            </w:pPr>
            <w:r w:rsidRPr="00C22A4F">
              <w:rPr>
                <w:b/>
                <w:bCs/>
                <w:sz w:val="20"/>
                <w:highlight w:val="yellow"/>
              </w:rPr>
              <w:t>Observed</w:t>
            </w:r>
          </w:p>
          <w:p w14:paraId="6F93D9DE" w14:textId="77777777" w:rsidR="00651E0E" w:rsidRPr="00C22A4F" w:rsidRDefault="00651E0E" w:rsidP="00651E0E">
            <w:pPr>
              <w:jc w:val="center"/>
              <w:rPr>
                <w:b/>
                <w:bCs/>
                <w:sz w:val="20"/>
                <w:highlight w:val="yellow"/>
              </w:rPr>
            </w:pPr>
            <w:r w:rsidRPr="00C22A4F">
              <w:rPr>
                <w:b/>
                <w:bCs/>
                <w:sz w:val="20"/>
                <w:highlight w:val="yellow"/>
              </w:rPr>
              <w:t xml:space="preserve">And </w:t>
            </w:r>
          </w:p>
          <w:p w14:paraId="161A1548" w14:textId="77777777" w:rsidR="00651E0E" w:rsidRPr="00C22A4F" w:rsidRDefault="00651E0E" w:rsidP="00651E0E">
            <w:pPr>
              <w:jc w:val="center"/>
              <w:rPr>
                <w:b/>
                <w:bCs/>
                <w:sz w:val="20"/>
                <w:highlight w:val="yellow"/>
              </w:rPr>
            </w:pPr>
            <w:r w:rsidRPr="00C22A4F">
              <w:rPr>
                <w:b/>
                <w:bCs/>
                <w:sz w:val="20"/>
                <w:highlight w:val="yellow"/>
              </w:rPr>
              <w:t>Projected</w:t>
            </w:r>
          </w:p>
        </w:tc>
      </w:tr>
      <w:tr w:rsidR="00651E0E" w:rsidRPr="00C22A4F" w14:paraId="4956E766"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3A478FB5" w14:textId="77777777" w:rsidR="00651E0E" w:rsidRPr="00C22A4F" w:rsidRDefault="00651E0E" w:rsidP="00651E0E">
            <w:pPr>
              <w:rPr>
                <w:b/>
                <w:bCs/>
                <w:color w:val="000000"/>
                <w:sz w:val="20"/>
                <w:highlight w:val="yellow"/>
              </w:rPr>
            </w:pPr>
            <w:r w:rsidRPr="00C22A4F">
              <w:rPr>
                <w:b/>
                <w:bCs/>
                <w:color w:val="000000"/>
                <w:sz w:val="20"/>
                <w:highlight w:val="yellow"/>
              </w:rPr>
              <w:t>Asthma/COPD</w:t>
            </w:r>
          </w:p>
        </w:tc>
        <w:tc>
          <w:tcPr>
            <w:tcW w:w="461" w:type="dxa"/>
            <w:tcBorders>
              <w:top w:val="nil"/>
              <w:left w:val="nil"/>
              <w:bottom w:val="nil"/>
              <w:right w:val="nil"/>
            </w:tcBorders>
            <w:shd w:val="clear" w:color="auto" w:fill="auto"/>
            <w:noWrap/>
            <w:vAlign w:val="bottom"/>
            <w:hideMark/>
          </w:tcPr>
          <w:p w14:paraId="6660F07D"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2FF6E52C" w14:textId="77777777" w:rsidR="00651E0E" w:rsidRPr="00C22A4F" w:rsidRDefault="00651E0E" w:rsidP="00651E0E">
            <w:pPr>
              <w:jc w:val="right"/>
              <w:rPr>
                <w:sz w:val="20"/>
                <w:highlight w:val="yellow"/>
              </w:rPr>
            </w:pPr>
            <w:r w:rsidRPr="00C22A4F">
              <w:rPr>
                <w:sz w:val="20"/>
                <w:highlight w:val="yellow"/>
              </w:rPr>
              <w:t xml:space="preserve"> 51</w:t>
            </w:r>
          </w:p>
        </w:tc>
        <w:tc>
          <w:tcPr>
            <w:tcW w:w="1172" w:type="dxa"/>
            <w:tcBorders>
              <w:top w:val="nil"/>
              <w:left w:val="nil"/>
              <w:bottom w:val="nil"/>
              <w:right w:val="nil"/>
            </w:tcBorders>
            <w:shd w:val="clear" w:color="auto" w:fill="auto"/>
            <w:noWrap/>
            <w:vAlign w:val="center"/>
            <w:hideMark/>
          </w:tcPr>
          <w:p w14:paraId="2DC282D5" w14:textId="77777777" w:rsidR="00651E0E" w:rsidRPr="00C22A4F" w:rsidRDefault="00651E0E" w:rsidP="00651E0E">
            <w:pPr>
              <w:jc w:val="center"/>
              <w:rPr>
                <w:sz w:val="20"/>
                <w:highlight w:val="yellow"/>
              </w:rPr>
            </w:pPr>
            <w:r w:rsidRPr="00C22A4F">
              <w:rPr>
                <w:sz w:val="20"/>
                <w:highlight w:val="yellow"/>
              </w:rPr>
              <w:t>1.78</w:t>
            </w:r>
          </w:p>
        </w:tc>
        <w:tc>
          <w:tcPr>
            <w:tcW w:w="236" w:type="dxa"/>
            <w:tcBorders>
              <w:top w:val="nil"/>
              <w:left w:val="nil"/>
              <w:bottom w:val="nil"/>
              <w:right w:val="nil"/>
            </w:tcBorders>
            <w:shd w:val="clear" w:color="auto" w:fill="auto"/>
            <w:noWrap/>
            <w:vAlign w:val="bottom"/>
            <w:hideMark/>
          </w:tcPr>
          <w:p w14:paraId="1A21E18D"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20D68C3B" w14:textId="77777777" w:rsidR="00651E0E" w:rsidRPr="00C22A4F" w:rsidRDefault="00651E0E" w:rsidP="00651E0E">
            <w:pPr>
              <w:jc w:val="center"/>
              <w:rPr>
                <w:sz w:val="20"/>
                <w:highlight w:val="yellow"/>
              </w:rPr>
            </w:pPr>
            <w:r w:rsidRPr="00C22A4F">
              <w:rPr>
                <w:sz w:val="20"/>
                <w:highlight w:val="yellow"/>
              </w:rPr>
              <w:t>230</w:t>
            </w:r>
          </w:p>
        </w:tc>
        <w:tc>
          <w:tcPr>
            <w:tcW w:w="1620" w:type="dxa"/>
            <w:gridSpan w:val="2"/>
            <w:tcBorders>
              <w:top w:val="nil"/>
              <w:left w:val="nil"/>
              <w:bottom w:val="nil"/>
              <w:right w:val="nil"/>
            </w:tcBorders>
          </w:tcPr>
          <w:p w14:paraId="61CE7B23" w14:textId="77777777" w:rsidR="00651E0E" w:rsidRPr="00C22A4F" w:rsidRDefault="00651E0E" w:rsidP="00651E0E">
            <w:pPr>
              <w:jc w:val="center"/>
              <w:rPr>
                <w:sz w:val="20"/>
                <w:highlight w:val="yellow"/>
              </w:rPr>
            </w:pPr>
            <w:r w:rsidRPr="00C22A4F">
              <w:rPr>
                <w:sz w:val="20"/>
                <w:highlight w:val="yellow"/>
              </w:rPr>
              <w:t>281</w:t>
            </w:r>
          </w:p>
        </w:tc>
      </w:tr>
      <w:tr w:rsidR="00651E0E" w:rsidRPr="00C22A4F" w14:paraId="38DBFEB3"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25F80D4C" w14:textId="77777777" w:rsidR="00651E0E" w:rsidRPr="00C22A4F" w:rsidRDefault="00651E0E" w:rsidP="00651E0E">
            <w:pPr>
              <w:rPr>
                <w:b/>
                <w:bCs/>
                <w:color w:val="000000"/>
                <w:sz w:val="20"/>
                <w:highlight w:val="yellow"/>
              </w:rPr>
            </w:pPr>
            <w:r w:rsidRPr="00C22A4F">
              <w:rPr>
                <w:b/>
                <w:bCs/>
                <w:color w:val="000000"/>
                <w:sz w:val="20"/>
                <w:highlight w:val="yellow"/>
              </w:rPr>
              <w:t>Myocardial Infarct</w:t>
            </w:r>
          </w:p>
        </w:tc>
        <w:tc>
          <w:tcPr>
            <w:tcW w:w="461" w:type="dxa"/>
            <w:tcBorders>
              <w:top w:val="nil"/>
              <w:left w:val="nil"/>
              <w:bottom w:val="nil"/>
              <w:right w:val="nil"/>
            </w:tcBorders>
            <w:shd w:val="clear" w:color="auto" w:fill="auto"/>
            <w:noWrap/>
            <w:vAlign w:val="bottom"/>
            <w:hideMark/>
          </w:tcPr>
          <w:p w14:paraId="3822DCE6"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2C81378D" w14:textId="77777777" w:rsidR="00651E0E" w:rsidRPr="00C22A4F" w:rsidRDefault="00651E0E" w:rsidP="00651E0E">
            <w:pPr>
              <w:jc w:val="right"/>
              <w:rPr>
                <w:sz w:val="20"/>
                <w:highlight w:val="yellow"/>
              </w:rPr>
            </w:pPr>
            <w:r w:rsidRPr="00C22A4F">
              <w:rPr>
                <w:sz w:val="20"/>
                <w:highlight w:val="yellow"/>
              </w:rPr>
              <w:t>20</w:t>
            </w:r>
          </w:p>
        </w:tc>
        <w:tc>
          <w:tcPr>
            <w:tcW w:w="1172" w:type="dxa"/>
            <w:tcBorders>
              <w:top w:val="nil"/>
              <w:left w:val="nil"/>
              <w:bottom w:val="nil"/>
              <w:right w:val="nil"/>
            </w:tcBorders>
            <w:shd w:val="clear" w:color="auto" w:fill="auto"/>
            <w:noWrap/>
            <w:vAlign w:val="center"/>
            <w:hideMark/>
          </w:tcPr>
          <w:p w14:paraId="743CE773" w14:textId="77777777" w:rsidR="00651E0E" w:rsidRPr="00C22A4F" w:rsidRDefault="00651E0E" w:rsidP="00651E0E">
            <w:pPr>
              <w:jc w:val="center"/>
              <w:rPr>
                <w:sz w:val="20"/>
                <w:highlight w:val="yellow"/>
              </w:rPr>
            </w:pPr>
            <w:r w:rsidRPr="00C22A4F">
              <w:rPr>
                <w:sz w:val="20"/>
                <w:highlight w:val="yellow"/>
              </w:rPr>
              <w:t>0.70</w:t>
            </w:r>
          </w:p>
        </w:tc>
        <w:tc>
          <w:tcPr>
            <w:tcW w:w="236" w:type="dxa"/>
            <w:tcBorders>
              <w:top w:val="nil"/>
              <w:left w:val="nil"/>
              <w:bottom w:val="nil"/>
              <w:right w:val="nil"/>
            </w:tcBorders>
            <w:shd w:val="clear" w:color="auto" w:fill="auto"/>
            <w:noWrap/>
            <w:vAlign w:val="bottom"/>
            <w:hideMark/>
          </w:tcPr>
          <w:p w14:paraId="5F880EB4"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01A8E6D6" w14:textId="77777777" w:rsidR="00651E0E" w:rsidRPr="00C22A4F" w:rsidRDefault="00651E0E" w:rsidP="00651E0E">
            <w:pPr>
              <w:jc w:val="center"/>
              <w:rPr>
                <w:sz w:val="20"/>
                <w:highlight w:val="yellow"/>
              </w:rPr>
            </w:pPr>
            <w:r w:rsidRPr="00C22A4F">
              <w:rPr>
                <w:sz w:val="20"/>
                <w:highlight w:val="yellow"/>
              </w:rPr>
              <w:t>90</w:t>
            </w:r>
          </w:p>
        </w:tc>
        <w:tc>
          <w:tcPr>
            <w:tcW w:w="1620" w:type="dxa"/>
            <w:gridSpan w:val="2"/>
            <w:tcBorders>
              <w:top w:val="nil"/>
              <w:left w:val="nil"/>
              <w:bottom w:val="nil"/>
              <w:right w:val="nil"/>
            </w:tcBorders>
          </w:tcPr>
          <w:p w14:paraId="47AC523E" w14:textId="77777777" w:rsidR="00651E0E" w:rsidRPr="00C22A4F" w:rsidRDefault="00651E0E" w:rsidP="00651E0E">
            <w:pPr>
              <w:jc w:val="center"/>
              <w:rPr>
                <w:sz w:val="20"/>
                <w:highlight w:val="yellow"/>
              </w:rPr>
            </w:pPr>
            <w:r w:rsidRPr="00C22A4F">
              <w:rPr>
                <w:sz w:val="20"/>
                <w:highlight w:val="yellow"/>
              </w:rPr>
              <w:t>110</w:t>
            </w:r>
          </w:p>
        </w:tc>
      </w:tr>
      <w:tr w:rsidR="00651E0E" w:rsidRPr="00C22A4F" w14:paraId="04EA0572"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6AC6E6BA" w14:textId="77777777" w:rsidR="00651E0E" w:rsidRPr="00C22A4F" w:rsidRDefault="00651E0E" w:rsidP="00651E0E">
            <w:pPr>
              <w:rPr>
                <w:b/>
                <w:bCs/>
                <w:color w:val="000000"/>
                <w:sz w:val="20"/>
                <w:highlight w:val="yellow"/>
              </w:rPr>
            </w:pPr>
            <w:r w:rsidRPr="00C22A4F">
              <w:rPr>
                <w:b/>
                <w:bCs/>
                <w:color w:val="000000"/>
                <w:sz w:val="20"/>
                <w:highlight w:val="yellow"/>
              </w:rPr>
              <w:t>Heart failure</w:t>
            </w:r>
          </w:p>
        </w:tc>
        <w:tc>
          <w:tcPr>
            <w:tcW w:w="461" w:type="dxa"/>
            <w:tcBorders>
              <w:top w:val="nil"/>
              <w:left w:val="nil"/>
              <w:bottom w:val="nil"/>
              <w:right w:val="nil"/>
            </w:tcBorders>
            <w:shd w:val="clear" w:color="auto" w:fill="auto"/>
            <w:noWrap/>
            <w:vAlign w:val="bottom"/>
            <w:hideMark/>
          </w:tcPr>
          <w:p w14:paraId="6B8E5545"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4E6A20E4" w14:textId="77777777" w:rsidR="00651E0E" w:rsidRPr="00C22A4F" w:rsidRDefault="00651E0E" w:rsidP="00651E0E">
            <w:pPr>
              <w:jc w:val="right"/>
              <w:rPr>
                <w:sz w:val="20"/>
                <w:highlight w:val="yellow"/>
              </w:rPr>
            </w:pPr>
            <w:r w:rsidRPr="00C22A4F">
              <w:rPr>
                <w:sz w:val="20"/>
                <w:highlight w:val="yellow"/>
              </w:rPr>
              <w:t>37</w:t>
            </w:r>
          </w:p>
        </w:tc>
        <w:tc>
          <w:tcPr>
            <w:tcW w:w="1172" w:type="dxa"/>
            <w:tcBorders>
              <w:top w:val="nil"/>
              <w:left w:val="nil"/>
              <w:bottom w:val="nil"/>
              <w:right w:val="nil"/>
            </w:tcBorders>
            <w:shd w:val="clear" w:color="auto" w:fill="auto"/>
            <w:noWrap/>
            <w:vAlign w:val="center"/>
            <w:hideMark/>
          </w:tcPr>
          <w:p w14:paraId="587CA929" w14:textId="77777777" w:rsidR="00651E0E" w:rsidRPr="00C22A4F" w:rsidRDefault="00651E0E" w:rsidP="00651E0E">
            <w:pPr>
              <w:jc w:val="center"/>
              <w:rPr>
                <w:sz w:val="20"/>
                <w:highlight w:val="yellow"/>
              </w:rPr>
            </w:pPr>
            <w:r w:rsidRPr="00C22A4F">
              <w:rPr>
                <w:sz w:val="20"/>
                <w:highlight w:val="yellow"/>
              </w:rPr>
              <w:t>1.29</w:t>
            </w:r>
          </w:p>
        </w:tc>
        <w:tc>
          <w:tcPr>
            <w:tcW w:w="236" w:type="dxa"/>
            <w:tcBorders>
              <w:top w:val="nil"/>
              <w:left w:val="nil"/>
              <w:bottom w:val="nil"/>
              <w:right w:val="nil"/>
            </w:tcBorders>
            <w:shd w:val="clear" w:color="auto" w:fill="auto"/>
            <w:noWrap/>
            <w:vAlign w:val="bottom"/>
            <w:hideMark/>
          </w:tcPr>
          <w:p w14:paraId="41727E09"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6059E793" w14:textId="77777777" w:rsidR="00651E0E" w:rsidRPr="00C22A4F" w:rsidRDefault="00651E0E" w:rsidP="00651E0E">
            <w:pPr>
              <w:jc w:val="center"/>
              <w:rPr>
                <w:sz w:val="20"/>
                <w:highlight w:val="yellow"/>
              </w:rPr>
            </w:pPr>
            <w:r w:rsidRPr="00C22A4F">
              <w:rPr>
                <w:sz w:val="20"/>
                <w:highlight w:val="yellow"/>
              </w:rPr>
              <w:t xml:space="preserve">167 </w:t>
            </w:r>
          </w:p>
        </w:tc>
        <w:tc>
          <w:tcPr>
            <w:tcW w:w="1620" w:type="dxa"/>
            <w:gridSpan w:val="2"/>
            <w:tcBorders>
              <w:top w:val="nil"/>
              <w:left w:val="nil"/>
              <w:bottom w:val="nil"/>
              <w:right w:val="nil"/>
            </w:tcBorders>
          </w:tcPr>
          <w:p w14:paraId="7415D71A" w14:textId="77777777" w:rsidR="00651E0E" w:rsidRPr="00C22A4F" w:rsidRDefault="00651E0E" w:rsidP="00651E0E">
            <w:pPr>
              <w:jc w:val="center"/>
              <w:rPr>
                <w:sz w:val="20"/>
                <w:highlight w:val="yellow"/>
              </w:rPr>
            </w:pPr>
            <w:r w:rsidRPr="00C22A4F">
              <w:rPr>
                <w:sz w:val="20"/>
                <w:highlight w:val="yellow"/>
              </w:rPr>
              <w:t>204</w:t>
            </w:r>
          </w:p>
        </w:tc>
      </w:tr>
      <w:tr w:rsidR="00651E0E" w:rsidRPr="00C22A4F" w14:paraId="1A09A6A5"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20DFA9C7" w14:textId="77777777" w:rsidR="00651E0E" w:rsidRPr="00C22A4F" w:rsidRDefault="00651E0E" w:rsidP="00651E0E">
            <w:pPr>
              <w:rPr>
                <w:b/>
                <w:bCs/>
                <w:color w:val="000000"/>
                <w:sz w:val="20"/>
                <w:highlight w:val="yellow"/>
              </w:rPr>
            </w:pPr>
            <w:r w:rsidRPr="00C22A4F">
              <w:rPr>
                <w:b/>
                <w:bCs/>
                <w:color w:val="000000"/>
                <w:sz w:val="20"/>
                <w:highlight w:val="yellow"/>
              </w:rPr>
              <w:t>Stroke</w:t>
            </w:r>
          </w:p>
        </w:tc>
        <w:tc>
          <w:tcPr>
            <w:tcW w:w="461" w:type="dxa"/>
            <w:tcBorders>
              <w:top w:val="nil"/>
              <w:left w:val="nil"/>
              <w:bottom w:val="nil"/>
              <w:right w:val="nil"/>
            </w:tcBorders>
            <w:shd w:val="clear" w:color="auto" w:fill="auto"/>
            <w:noWrap/>
            <w:vAlign w:val="bottom"/>
            <w:hideMark/>
          </w:tcPr>
          <w:p w14:paraId="3F80F615"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516D65B6" w14:textId="77777777" w:rsidR="00651E0E" w:rsidRPr="00C22A4F" w:rsidRDefault="00651E0E" w:rsidP="00651E0E">
            <w:pPr>
              <w:jc w:val="right"/>
              <w:rPr>
                <w:sz w:val="20"/>
                <w:highlight w:val="yellow"/>
              </w:rPr>
            </w:pPr>
            <w:r w:rsidRPr="00C22A4F">
              <w:rPr>
                <w:sz w:val="20"/>
                <w:highlight w:val="yellow"/>
              </w:rPr>
              <w:t>32</w:t>
            </w:r>
          </w:p>
        </w:tc>
        <w:tc>
          <w:tcPr>
            <w:tcW w:w="1172" w:type="dxa"/>
            <w:tcBorders>
              <w:top w:val="nil"/>
              <w:left w:val="nil"/>
              <w:bottom w:val="nil"/>
              <w:right w:val="nil"/>
            </w:tcBorders>
            <w:shd w:val="clear" w:color="auto" w:fill="auto"/>
            <w:noWrap/>
            <w:vAlign w:val="center"/>
            <w:hideMark/>
          </w:tcPr>
          <w:p w14:paraId="6CE3C80A" w14:textId="77777777" w:rsidR="00651E0E" w:rsidRPr="00C22A4F" w:rsidRDefault="00651E0E" w:rsidP="00651E0E">
            <w:pPr>
              <w:jc w:val="center"/>
              <w:rPr>
                <w:sz w:val="20"/>
                <w:highlight w:val="yellow"/>
              </w:rPr>
            </w:pPr>
            <w:r w:rsidRPr="00C22A4F">
              <w:rPr>
                <w:sz w:val="20"/>
                <w:highlight w:val="yellow"/>
              </w:rPr>
              <w:t>1.16</w:t>
            </w:r>
          </w:p>
        </w:tc>
        <w:tc>
          <w:tcPr>
            <w:tcW w:w="236" w:type="dxa"/>
            <w:tcBorders>
              <w:top w:val="nil"/>
              <w:left w:val="nil"/>
              <w:bottom w:val="nil"/>
              <w:right w:val="nil"/>
            </w:tcBorders>
            <w:shd w:val="clear" w:color="auto" w:fill="auto"/>
            <w:noWrap/>
            <w:vAlign w:val="bottom"/>
            <w:hideMark/>
          </w:tcPr>
          <w:p w14:paraId="797E0810"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73084552" w14:textId="77777777" w:rsidR="00651E0E" w:rsidRPr="00C22A4F" w:rsidRDefault="00651E0E" w:rsidP="00651E0E">
            <w:pPr>
              <w:jc w:val="center"/>
              <w:rPr>
                <w:sz w:val="20"/>
                <w:highlight w:val="yellow"/>
              </w:rPr>
            </w:pPr>
            <w:r w:rsidRPr="00C22A4F">
              <w:rPr>
                <w:sz w:val="20"/>
                <w:highlight w:val="yellow"/>
              </w:rPr>
              <w:t>144</w:t>
            </w:r>
          </w:p>
        </w:tc>
        <w:tc>
          <w:tcPr>
            <w:tcW w:w="1620" w:type="dxa"/>
            <w:gridSpan w:val="2"/>
            <w:tcBorders>
              <w:top w:val="nil"/>
              <w:left w:val="nil"/>
              <w:bottom w:val="nil"/>
              <w:right w:val="nil"/>
            </w:tcBorders>
          </w:tcPr>
          <w:p w14:paraId="1F585034" w14:textId="77777777" w:rsidR="00651E0E" w:rsidRPr="00C22A4F" w:rsidRDefault="00651E0E" w:rsidP="00651E0E">
            <w:pPr>
              <w:jc w:val="center"/>
              <w:rPr>
                <w:sz w:val="20"/>
                <w:highlight w:val="yellow"/>
              </w:rPr>
            </w:pPr>
            <w:r w:rsidRPr="00C22A4F">
              <w:rPr>
                <w:sz w:val="20"/>
                <w:highlight w:val="yellow"/>
              </w:rPr>
              <w:t>176</w:t>
            </w:r>
          </w:p>
        </w:tc>
      </w:tr>
      <w:tr w:rsidR="00651E0E" w:rsidRPr="00C22A4F" w14:paraId="63748E50"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7F4AD3EA" w14:textId="77777777" w:rsidR="00651E0E" w:rsidRPr="00C22A4F" w:rsidRDefault="00651E0E" w:rsidP="00651E0E">
            <w:pPr>
              <w:rPr>
                <w:b/>
                <w:bCs/>
                <w:color w:val="000000"/>
                <w:sz w:val="20"/>
                <w:highlight w:val="yellow"/>
              </w:rPr>
            </w:pPr>
            <w:r w:rsidRPr="00C22A4F">
              <w:rPr>
                <w:b/>
                <w:bCs/>
                <w:color w:val="000000"/>
                <w:sz w:val="20"/>
                <w:highlight w:val="yellow"/>
              </w:rPr>
              <w:t>Pregnancy related</w:t>
            </w:r>
          </w:p>
        </w:tc>
        <w:tc>
          <w:tcPr>
            <w:tcW w:w="461" w:type="dxa"/>
            <w:tcBorders>
              <w:top w:val="nil"/>
              <w:left w:val="nil"/>
              <w:bottom w:val="nil"/>
              <w:right w:val="nil"/>
            </w:tcBorders>
            <w:shd w:val="clear" w:color="auto" w:fill="auto"/>
            <w:noWrap/>
            <w:vAlign w:val="bottom"/>
            <w:hideMark/>
          </w:tcPr>
          <w:p w14:paraId="74B0BF40"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3BA5F535" w14:textId="77777777" w:rsidR="00651E0E" w:rsidRPr="00C22A4F" w:rsidRDefault="00651E0E" w:rsidP="00651E0E">
            <w:pPr>
              <w:jc w:val="right"/>
              <w:rPr>
                <w:sz w:val="20"/>
                <w:highlight w:val="yellow"/>
              </w:rPr>
            </w:pPr>
            <w:r w:rsidRPr="00C22A4F">
              <w:rPr>
                <w:sz w:val="20"/>
                <w:highlight w:val="yellow"/>
              </w:rPr>
              <w:t>116</w:t>
            </w:r>
          </w:p>
        </w:tc>
        <w:tc>
          <w:tcPr>
            <w:tcW w:w="1172" w:type="dxa"/>
            <w:tcBorders>
              <w:top w:val="nil"/>
              <w:left w:val="nil"/>
              <w:bottom w:val="nil"/>
              <w:right w:val="nil"/>
            </w:tcBorders>
            <w:shd w:val="clear" w:color="auto" w:fill="auto"/>
            <w:noWrap/>
            <w:vAlign w:val="center"/>
            <w:hideMark/>
          </w:tcPr>
          <w:p w14:paraId="68BCCEF0" w14:textId="77777777" w:rsidR="00651E0E" w:rsidRPr="00C22A4F" w:rsidRDefault="00651E0E" w:rsidP="00651E0E">
            <w:pPr>
              <w:jc w:val="center"/>
              <w:rPr>
                <w:sz w:val="20"/>
                <w:highlight w:val="yellow"/>
              </w:rPr>
            </w:pPr>
            <w:r w:rsidRPr="00C22A4F">
              <w:rPr>
                <w:sz w:val="20"/>
                <w:highlight w:val="yellow"/>
              </w:rPr>
              <w:t>6.73</w:t>
            </w:r>
          </w:p>
        </w:tc>
        <w:tc>
          <w:tcPr>
            <w:tcW w:w="236" w:type="dxa"/>
            <w:tcBorders>
              <w:top w:val="nil"/>
              <w:left w:val="nil"/>
              <w:bottom w:val="nil"/>
              <w:right w:val="nil"/>
            </w:tcBorders>
            <w:shd w:val="clear" w:color="auto" w:fill="auto"/>
            <w:noWrap/>
            <w:vAlign w:val="bottom"/>
            <w:hideMark/>
          </w:tcPr>
          <w:p w14:paraId="2E5BC17A"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111A3B91" w14:textId="77777777" w:rsidR="00651E0E" w:rsidRPr="00C22A4F" w:rsidRDefault="00651E0E" w:rsidP="00651E0E">
            <w:pPr>
              <w:jc w:val="center"/>
              <w:rPr>
                <w:sz w:val="20"/>
                <w:highlight w:val="yellow"/>
              </w:rPr>
            </w:pPr>
            <w:r w:rsidRPr="00C22A4F">
              <w:rPr>
                <w:sz w:val="20"/>
                <w:highlight w:val="yellow"/>
              </w:rPr>
              <w:t>519</w:t>
            </w:r>
          </w:p>
        </w:tc>
        <w:tc>
          <w:tcPr>
            <w:tcW w:w="1620" w:type="dxa"/>
            <w:gridSpan w:val="2"/>
            <w:tcBorders>
              <w:top w:val="nil"/>
              <w:left w:val="nil"/>
              <w:bottom w:val="nil"/>
              <w:right w:val="nil"/>
            </w:tcBorders>
          </w:tcPr>
          <w:p w14:paraId="366BDFC6" w14:textId="77777777" w:rsidR="00651E0E" w:rsidRPr="00C22A4F" w:rsidRDefault="00651E0E" w:rsidP="00651E0E">
            <w:pPr>
              <w:jc w:val="center"/>
              <w:rPr>
                <w:sz w:val="20"/>
                <w:highlight w:val="yellow"/>
              </w:rPr>
            </w:pPr>
            <w:r w:rsidRPr="00C22A4F">
              <w:rPr>
                <w:sz w:val="20"/>
                <w:highlight w:val="yellow"/>
              </w:rPr>
              <w:t>635</w:t>
            </w:r>
          </w:p>
        </w:tc>
      </w:tr>
      <w:tr w:rsidR="00651E0E" w:rsidRPr="00C22A4F" w14:paraId="40154D3B"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tcPr>
          <w:p w14:paraId="098475AC" w14:textId="77777777" w:rsidR="00651E0E" w:rsidRPr="00C22A4F" w:rsidRDefault="00651E0E" w:rsidP="00651E0E">
            <w:pPr>
              <w:rPr>
                <w:b/>
                <w:bCs/>
                <w:color w:val="000000"/>
                <w:sz w:val="20"/>
                <w:highlight w:val="yellow"/>
              </w:rPr>
            </w:pPr>
          </w:p>
        </w:tc>
        <w:tc>
          <w:tcPr>
            <w:tcW w:w="461" w:type="dxa"/>
            <w:tcBorders>
              <w:top w:val="nil"/>
              <w:left w:val="nil"/>
              <w:bottom w:val="nil"/>
              <w:right w:val="nil"/>
            </w:tcBorders>
            <w:shd w:val="clear" w:color="auto" w:fill="auto"/>
            <w:noWrap/>
            <w:vAlign w:val="bottom"/>
          </w:tcPr>
          <w:p w14:paraId="39A2FC76"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tcPr>
          <w:p w14:paraId="3CBBFE74" w14:textId="77777777" w:rsidR="00651E0E" w:rsidRPr="00C22A4F" w:rsidRDefault="00651E0E" w:rsidP="00651E0E">
            <w:pPr>
              <w:jc w:val="right"/>
              <w:rPr>
                <w:sz w:val="20"/>
                <w:highlight w:val="yellow"/>
              </w:rPr>
            </w:pPr>
          </w:p>
        </w:tc>
        <w:tc>
          <w:tcPr>
            <w:tcW w:w="1172" w:type="dxa"/>
            <w:tcBorders>
              <w:top w:val="nil"/>
              <w:left w:val="nil"/>
              <w:bottom w:val="nil"/>
              <w:right w:val="nil"/>
            </w:tcBorders>
            <w:shd w:val="clear" w:color="auto" w:fill="auto"/>
            <w:noWrap/>
            <w:vAlign w:val="center"/>
          </w:tcPr>
          <w:p w14:paraId="131D7BD7" w14:textId="77777777" w:rsidR="00651E0E" w:rsidRPr="00C22A4F" w:rsidRDefault="00651E0E" w:rsidP="00651E0E">
            <w:pPr>
              <w:jc w:val="center"/>
              <w:rPr>
                <w:sz w:val="20"/>
                <w:highlight w:val="yellow"/>
              </w:rPr>
            </w:pPr>
          </w:p>
        </w:tc>
        <w:tc>
          <w:tcPr>
            <w:tcW w:w="236" w:type="dxa"/>
            <w:tcBorders>
              <w:top w:val="nil"/>
              <w:left w:val="nil"/>
              <w:bottom w:val="nil"/>
              <w:right w:val="nil"/>
            </w:tcBorders>
            <w:shd w:val="clear" w:color="auto" w:fill="auto"/>
            <w:noWrap/>
            <w:vAlign w:val="bottom"/>
          </w:tcPr>
          <w:p w14:paraId="6D249675"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tcPr>
          <w:p w14:paraId="2FACFEEA" w14:textId="77777777" w:rsidR="00651E0E" w:rsidRPr="00C22A4F" w:rsidRDefault="00651E0E" w:rsidP="00651E0E">
            <w:pPr>
              <w:jc w:val="center"/>
              <w:rPr>
                <w:sz w:val="20"/>
                <w:highlight w:val="yellow"/>
              </w:rPr>
            </w:pPr>
          </w:p>
        </w:tc>
        <w:tc>
          <w:tcPr>
            <w:tcW w:w="1620" w:type="dxa"/>
            <w:gridSpan w:val="2"/>
            <w:tcBorders>
              <w:top w:val="nil"/>
              <w:left w:val="nil"/>
              <w:bottom w:val="nil"/>
              <w:right w:val="nil"/>
            </w:tcBorders>
          </w:tcPr>
          <w:p w14:paraId="1ABC2CF4" w14:textId="77777777" w:rsidR="00651E0E" w:rsidRPr="00C22A4F" w:rsidRDefault="00651E0E" w:rsidP="00651E0E">
            <w:pPr>
              <w:jc w:val="center"/>
              <w:rPr>
                <w:sz w:val="20"/>
                <w:highlight w:val="yellow"/>
              </w:rPr>
            </w:pPr>
          </w:p>
        </w:tc>
      </w:tr>
      <w:tr w:rsidR="00651E0E" w:rsidRPr="00A52CA3" w14:paraId="3D707DE9" w14:textId="77777777" w:rsidTr="00651E0E">
        <w:trPr>
          <w:gridAfter w:val="1"/>
          <w:wAfter w:w="737" w:type="dxa"/>
          <w:trHeight w:val="255"/>
        </w:trPr>
        <w:tc>
          <w:tcPr>
            <w:tcW w:w="2149" w:type="dxa"/>
            <w:tcBorders>
              <w:top w:val="nil"/>
              <w:left w:val="nil"/>
              <w:bottom w:val="nil"/>
              <w:right w:val="nil"/>
            </w:tcBorders>
            <w:shd w:val="clear" w:color="auto" w:fill="auto"/>
            <w:noWrap/>
            <w:vAlign w:val="bottom"/>
            <w:hideMark/>
          </w:tcPr>
          <w:p w14:paraId="0C4099F1" w14:textId="77777777" w:rsidR="00651E0E" w:rsidRPr="00C22A4F" w:rsidRDefault="00651E0E" w:rsidP="00651E0E">
            <w:pPr>
              <w:rPr>
                <w:b/>
                <w:bCs/>
                <w:color w:val="000000"/>
                <w:sz w:val="20"/>
                <w:highlight w:val="yellow"/>
              </w:rPr>
            </w:pPr>
            <w:r w:rsidRPr="00C22A4F">
              <w:rPr>
                <w:b/>
                <w:bCs/>
                <w:color w:val="000000"/>
                <w:sz w:val="20"/>
                <w:highlight w:val="yellow"/>
              </w:rPr>
              <w:t>Deaths - All Causes</w:t>
            </w:r>
          </w:p>
        </w:tc>
        <w:tc>
          <w:tcPr>
            <w:tcW w:w="461" w:type="dxa"/>
            <w:tcBorders>
              <w:top w:val="nil"/>
              <w:left w:val="nil"/>
              <w:bottom w:val="nil"/>
              <w:right w:val="nil"/>
            </w:tcBorders>
            <w:shd w:val="clear" w:color="auto" w:fill="auto"/>
            <w:noWrap/>
            <w:vAlign w:val="bottom"/>
            <w:hideMark/>
          </w:tcPr>
          <w:p w14:paraId="255E6D4C" w14:textId="77777777" w:rsidR="00651E0E" w:rsidRPr="00C22A4F" w:rsidRDefault="00651E0E" w:rsidP="00651E0E">
            <w:pPr>
              <w:rPr>
                <w:sz w:val="20"/>
                <w:highlight w:val="yellow"/>
              </w:rPr>
            </w:pPr>
          </w:p>
        </w:tc>
        <w:tc>
          <w:tcPr>
            <w:tcW w:w="1139" w:type="dxa"/>
            <w:tcBorders>
              <w:top w:val="nil"/>
              <w:left w:val="nil"/>
              <w:bottom w:val="nil"/>
              <w:right w:val="nil"/>
            </w:tcBorders>
            <w:shd w:val="clear" w:color="auto" w:fill="auto"/>
            <w:noWrap/>
            <w:vAlign w:val="bottom"/>
            <w:hideMark/>
          </w:tcPr>
          <w:p w14:paraId="3293BFAC" w14:textId="77777777" w:rsidR="00651E0E" w:rsidRPr="00C22A4F" w:rsidRDefault="00651E0E" w:rsidP="00651E0E">
            <w:pPr>
              <w:jc w:val="right"/>
              <w:rPr>
                <w:sz w:val="20"/>
                <w:highlight w:val="yellow"/>
              </w:rPr>
            </w:pPr>
            <w:r w:rsidRPr="00C22A4F">
              <w:rPr>
                <w:sz w:val="20"/>
                <w:highlight w:val="yellow"/>
              </w:rPr>
              <w:t>98</w:t>
            </w:r>
          </w:p>
        </w:tc>
        <w:tc>
          <w:tcPr>
            <w:tcW w:w="1172" w:type="dxa"/>
            <w:tcBorders>
              <w:top w:val="nil"/>
              <w:left w:val="nil"/>
              <w:bottom w:val="nil"/>
              <w:right w:val="nil"/>
            </w:tcBorders>
            <w:shd w:val="clear" w:color="auto" w:fill="auto"/>
            <w:noWrap/>
            <w:vAlign w:val="center"/>
            <w:hideMark/>
          </w:tcPr>
          <w:p w14:paraId="692CF2C3" w14:textId="77777777" w:rsidR="00651E0E" w:rsidRPr="00C22A4F" w:rsidRDefault="00651E0E" w:rsidP="00651E0E">
            <w:pPr>
              <w:jc w:val="center"/>
              <w:rPr>
                <w:sz w:val="20"/>
                <w:highlight w:val="yellow"/>
              </w:rPr>
            </w:pPr>
            <w:r w:rsidRPr="00C22A4F">
              <w:rPr>
                <w:sz w:val="20"/>
                <w:highlight w:val="yellow"/>
              </w:rPr>
              <w:t>3.42</w:t>
            </w:r>
          </w:p>
        </w:tc>
        <w:tc>
          <w:tcPr>
            <w:tcW w:w="236" w:type="dxa"/>
            <w:tcBorders>
              <w:top w:val="nil"/>
              <w:left w:val="nil"/>
              <w:bottom w:val="nil"/>
              <w:right w:val="nil"/>
            </w:tcBorders>
            <w:shd w:val="clear" w:color="auto" w:fill="auto"/>
            <w:noWrap/>
            <w:vAlign w:val="bottom"/>
            <w:hideMark/>
          </w:tcPr>
          <w:p w14:paraId="7C6A1567" w14:textId="77777777" w:rsidR="00651E0E" w:rsidRPr="00C22A4F" w:rsidRDefault="00651E0E" w:rsidP="00651E0E">
            <w:pPr>
              <w:rPr>
                <w:sz w:val="20"/>
                <w:highlight w:val="yellow"/>
              </w:rPr>
            </w:pPr>
          </w:p>
        </w:tc>
        <w:tc>
          <w:tcPr>
            <w:tcW w:w="1233" w:type="dxa"/>
            <w:tcBorders>
              <w:top w:val="nil"/>
              <w:left w:val="nil"/>
              <w:bottom w:val="nil"/>
              <w:right w:val="nil"/>
            </w:tcBorders>
            <w:shd w:val="clear" w:color="auto" w:fill="auto"/>
            <w:noWrap/>
            <w:vAlign w:val="center"/>
            <w:hideMark/>
          </w:tcPr>
          <w:p w14:paraId="0CC40635" w14:textId="77777777" w:rsidR="00651E0E" w:rsidRPr="00C22A4F" w:rsidRDefault="00651E0E" w:rsidP="00651E0E">
            <w:pPr>
              <w:jc w:val="center"/>
              <w:rPr>
                <w:sz w:val="20"/>
                <w:highlight w:val="yellow"/>
              </w:rPr>
            </w:pPr>
            <w:r w:rsidRPr="00C22A4F">
              <w:rPr>
                <w:sz w:val="20"/>
                <w:highlight w:val="yellow"/>
              </w:rPr>
              <w:t>441</w:t>
            </w:r>
          </w:p>
        </w:tc>
        <w:tc>
          <w:tcPr>
            <w:tcW w:w="1620" w:type="dxa"/>
            <w:gridSpan w:val="2"/>
            <w:tcBorders>
              <w:top w:val="nil"/>
              <w:left w:val="nil"/>
              <w:bottom w:val="nil"/>
              <w:right w:val="nil"/>
            </w:tcBorders>
          </w:tcPr>
          <w:p w14:paraId="572EE769" w14:textId="77777777" w:rsidR="00651E0E" w:rsidRPr="00A52CA3" w:rsidRDefault="00651E0E" w:rsidP="00651E0E">
            <w:pPr>
              <w:jc w:val="center"/>
              <w:rPr>
                <w:sz w:val="20"/>
              </w:rPr>
            </w:pPr>
            <w:r w:rsidRPr="00C22A4F">
              <w:rPr>
                <w:sz w:val="20"/>
                <w:highlight w:val="yellow"/>
              </w:rPr>
              <w:t>539</w:t>
            </w:r>
          </w:p>
        </w:tc>
      </w:tr>
    </w:tbl>
    <w:p w14:paraId="1F9B3A86" w14:textId="77777777" w:rsidR="00651E0E" w:rsidRPr="00A52CA3" w:rsidRDefault="00651E0E" w:rsidP="00651E0E">
      <w:pPr>
        <w:rPr>
          <w:b/>
        </w:rPr>
      </w:pPr>
    </w:p>
    <w:p w14:paraId="2120E938" w14:textId="77777777" w:rsidR="00651E0E" w:rsidRPr="00A52CA3" w:rsidRDefault="00651E0E" w:rsidP="00651E0E"/>
    <w:p w14:paraId="069FC836" w14:textId="77777777" w:rsidR="00651E0E" w:rsidRPr="00A52CA3" w:rsidRDefault="00651E0E" w:rsidP="00651E0E">
      <w:pPr>
        <w:rPr>
          <w:sz w:val="18"/>
          <w:szCs w:val="18"/>
        </w:rPr>
      </w:pPr>
      <w:r w:rsidRPr="00A52CA3">
        <w:rPr>
          <w:szCs w:val="24"/>
        </w:rPr>
        <w:t xml:space="preserve"> </w:t>
      </w:r>
      <w:r w:rsidRPr="00A52CA3">
        <w:rPr>
          <w:b/>
          <w:sz w:val="18"/>
          <w:szCs w:val="18"/>
        </w:rPr>
        <w:t>Note</w:t>
      </w:r>
      <w:r w:rsidRPr="00A52CA3">
        <w:rPr>
          <w:sz w:val="18"/>
          <w:szCs w:val="18"/>
        </w:rPr>
        <w:t xml:space="preserve">:  The above event counts are based on from ICD-9 codes in the medical record. </w:t>
      </w:r>
    </w:p>
    <w:p w14:paraId="3AD0824E" w14:textId="77777777" w:rsidR="00651E0E" w:rsidRPr="00A52CA3" w:rsidRDefault="00651E0E" w:rsidP="00651E0E">
      <w:pPr>
        <w:ind w:firstLine="720"/>
        <w:rPr>
          <w:bCs/>
          <w:color w:val="000000"/>
          <w:sz w:val="18"/>
          <w:szCs w:val="18"/>
        </w:rPr>
      </w:pPr>
      <w:r w:rsidRPr="00A52CA3">
        <w:rPr>
          <w:bCs/>
          <w:color w:val="000000"/>
          <w:sz w:val="18"/>
          <w:szCs w:val="18"/>
        </w:rPr>
        <w:t xml:space="preserve">Asthma/COPD: </w:t>
      </w:r>
      <w:r w:rsidRPr="00A52CA3">
        <w:rPr>
          <w:bCs/>
          <w:color w:val="000000"/>
          <w:sz w:val="18"/>
          <w:szCs w:val="18"/>
        </w:rPr>
        <w:tab/>
      </w:r>
      <w:r w:rsidRPr="00A52CA3">
        <w:rPr>
          <w:bCs/>
          <w:color w:val="000000"/>
          <w:sz w:val="18"/>
          <w:szCs w:val="18"/>
        </w:rPr>
        <w:tab/>
        <w:t>Pulmonary Codes 491, 492, 493, 496</w:t>
      </w:r>
    </w:p>
    <w:p w14:paraId="6C23B723" w14:textId="77777777" w:rsidR="00651E0E" w:rsidRPr="00A52CA3" w:rsidRDefault="00651E0E" w:rsidP="00651E0E">
      <w:pPr>
        <w:ind w:firstLine="720"/>
        <w:rPr>
          <w:b/>
          <w:sz w:val="18"/>
          <w:szCs w:val="18"/>
        </w:rPr>
      </w:pPr>
      <w:r w:rsidRPr="00A52CA3">
        <w:rPr>
          <w:bCs/>
          <w:color w:val="000000"/>
          <w:sz w:val="18"/>
          <w:szCs w:val="18"/>
        </w:rPr>
        <w:t>Myocardial Infarction:</w:t>
      </w:r>
      <w:r w:rsidRPr="00A52CA3">
        <w:rPr>
          <w:bCs/>
          <w:color w:val="000000"/>
          <w:sz w:val="18"/>
          <w:szCs w:val="18"/>
        </w:rPr>
        <w:tab/>
        <w:t>MI code 410</w:t>
      </w:r>
    </w:p>
    <w:p w14:paraId="31359A86" w14:textId="77777777" w:rsidR="00651E0E" w:rsidRPr="00A52CA3" w:rsidRDefault="00651E0E" w:rsidP="00651E0E">
      <w:pPr>
        <w:ind w:firstLine="720"/>
        <w:rPr>
          <w:bCs/>
          <w:color w:val="000000"/>
          <w:sz w:val="18"/>
          <w:szCs w:val="18"/>
        </w:rPr>
      </w:pPr>
      <w:r w:rsidRPr="00A52CA3">
        <w:rPr>
          <w:bCs/>
          <w:color w:val="000000"/>
          <w:sz w:val="18"/>
          <w:szCs w:val="18"/>
        </w:rPr>
        <w:t xml:space="preserve">Heart Failure:  </w:t>
      </w:r>
      <w:r w:rsidRPr="00A52CA3">
        <w:rPr>
          <w:bCs/>
          <w:color w:val="000000"/>
          <w:sz w:val="18"/>
          <w:szCs w:val="18"/>
        </w:rPr>
        <w:tab/>
      </w:r>
      <w:r w:rsidRPr="00A52CA3">
        <w:rPr>
          <w:bCs/>
          <w:color w:val="000000"/>
          <w:sz w:val="18"/>
          <w:szCs w:val="18"/>
        </w:rPr>
        <w:tab/>
        <w:t>HF Code 428</w:t>
      </w:r>
    </w:p>
    <w:p w14:paraId="7075D43A" w14:textId="77777777" w:rsidR="00651E0E" w:rsidRPr="00A52CA3" w:rsidRDefault="00651E0E" w:rsidP="00651E0E">
      <w:pPr>
        <w:ind w:firstLine="720"/>
        <w:rPr>
          <w:bCs/>
          <w:color w:val="000000"/>
          <w:sz w:val="18"/>
          <w:szCs w:val="18"/>
        </w:rPr>
      </w:pPr>
      <w:r w:rsidRPr="00A52CA3">
        <w:rPr>
          <w:bCs/>
          <w:color w:val="000000"/>
          <w:sz w:val="18"/>
          <w:szCs w:val="18"/>
        </w:rPr>
        <w:t xml:space="preserve">Stroke: </w:t>
      </w:r>
      <w:r w:rsidRPr="00A52CA3">
        <w:rPr>
          <w:bCs/>
          <w:color w:val="000000"/>
          <w:sz w:val="18"/>
          <w:szCs w:val="18"/>
        </w:rPr>
        <w:tab/>
      </w:r>
      <w:r w:rsidRPr="00A52CA3">
        <w:rPr>
          <w:bCs/>
          <w:color w:val="000000"/>
          <w:sz w:val="18"/>
          <w:szCs w:val="18"/>
        </w:rPr>
        <w:tab/>
      </w:r>
      <w:r w:rsidRPr="00A52CA3">
        <w:rPr>
          <w:bCs/>
          <w:color w:val="000000"/>
          <w:sz w:val="18"/>
          <w:szCs w:val="18"/>
        </w:rPr>
        <w:tab/>
        <w:t>Stroke Codes 430 to 434</w:t>
      </w:r>
    </w:p>
    <w:p w14:paraId="735BB532" w14:textId="77777777" w:rsidR="00651E0E" w:rsidRPr="00A52CA3" w:rsidRDefault="00651E0E" w:rsidP="00651E0E">
      <w:pPr>
        <w:ind w:firstLine="720"/>
        <w:rPr>
          <w:bCs/>
          <w:color w:val="000000"/>
          <w:sz w:val="18"/>
          <w:szCs w:val="18"/>
        </w:rPr>
      </w:pPr>
      <w:r w:rsidRPr="00A52CA3">
        <w:rPr>
          <w:bCs/>
          <w:color w:val="000000"/>
          <w:sz w:val="18"/>
          <w:szCs w:val="18"/>
        </w:rPr>
        <w:t xml:space="preserve">Pregnancy: </w:t>
      </w:r>
      <w:r w:rsidRPr="00A52CA3">
        <w:rPr>
          <w:bCs/>
          <w:color w:val="000000"/>
          <w:sz w:val="18"/>
          <w:szCs w:val="18"/>
        </w:rPr>
        <w:tab/>
      </w:r>
      <w:r w:rsidRPr="00A52CA3">
        <w:rPr>
          <w:bCs/>
          <w:color w:val="000000"/>
          <w:sz w:val="18"/>
          <w:szCs w:val="18"/>
        </w:rPr>
        <w:tab/>
        <w:t>Pregnancy Complication Codes 641 to 679</w:t>
      </w:r>
    </w:p>
    <w:p w14:paraId="2043303C" w14:textId="77777777" w:rsidR="00651E0E" w:rsidRPr="00A52CA3" w:rsidRDefault="00651E0E" w:rsidP="00651E0E">
      <w:pPr>
        <w:rPr>
          <w:b/>
        </w:rPr>
      </w:pPr>
    </w:p>
    <w:p w14:paraId="4C9E2505" w14:textId="77777777" w:rsidR="00651E0E" w:rsidRDefault="00651E0E" w:rsidP="00651E0E">
      <w:pPr>
        <w:rPr>
          <w:rFonts w:ascii="Arial" w:hAnsi="Arial" w:cs="Arial"/>
          <w:b/>
        </w:rPr>
      </w:pPr>
    </w:p>
    <w:p w14:paraId="58D8CC12" w14:textId="1D8D905E" w:rsidR="00182CC3" w:rsidRPr="00FC4543" w:rsidRDefault="006F0753" w:rsidP="00A52CA3">
      <w:pPr>
        <w:spacing w:line="276" w:lineRule="auto"/>
        <w:ind w:firstLine="720"/>
      </w:pPr>
      <w:r w:rsidRPr="00C22A4F">
        <w:rPr>
          <w:highlight w:val="yellow"/>
        </w:rPr>
        <w:t xml:space="preserve">The </w:t>
      </w:r>
      <w:r w:rsidR="00182CC3" w:rsidRPr="00C22A4F">
        <w:rPr>
          <w:highlight w:val="yellow"/>
        </w:rPr>
        <w:t>re-examination</w:t>
      </w:r>
      <w:r w:rsidR="00182CC3" w:rsidRPr="00FC4543">
        <w:t xml:space="preserve"> of these cohorts </w:t>
      </w:r>
      <w:r>
        <w:t>proposed in this application</w:t>
      </w:r>
      <w:r w:rsidR="00182CC3" w:rsidRPr="00FC4543">
        <w:t xml:space="preserve">, </w:t>
      </w:r>
      <w:r>
        <w:t>will</w:t>
      </w:r>
      <w:r w:rsidR="00182CC3" w:rsidRPr="00FC4543">
        <w:t xml:space="preserve"> provide estimates of factors related to change in the measured characteristics, and the ability to estimate the</w:t>
      </w:r>
      <w:r>
        <w:t>ir</w:t>
      </w:r>
      <w:r w:rsidR="00182CC3" w:rsidRPr="00FC4543">
        <w:t xml:space="preserve"> impact on disease and death.</w:t>
      </w:r>
    </w:p>
    <w:p w14:paraId="1019A9E1" w14:textId="5BDD308F" w:rsidR="0030253D" w:rsidRPr="00FC4543" w:rsidRDefault="008D7088" w:rsidP="00A52CA3">
      <w:pPr>
        <w:spacing w:line="276" w:lineRule="auto"/>
        <w:ind w:firstLine="720"/>
      </w:pPr>
      <w:r>
        <w:t xml:space="preserve">   </w:t>
      </w:r>
    </w:p>
    <w:p w14:paraId="4396E053" w14:textId="77777777" w:rsidR="00CE7925" w:rsidRPr="00A52CA3" w:rsidRDefault="00CE7925" w:rsidP="00A52CA3">
      <w:pPr>
        <w:spacing w:line="276" w:lineRule="auto"/>
        <w:jc w:val="center"/>
        <w:rPr>
          <w:b/>
          <w:szCs w:val="24"/>
        </w:rPr>
      </w:pPr>
      <w:proofErr w:type="gramStart"/>
      <w:r w:rsidRPr="00A52CA3">
        <w:rPr>
          <w:b/>
          <w:szCs w:val="24"/>
        </w:rPr>
        <w:t>B.1.b.</w:t>
      </w:r>
      <w:proofErr w:type="gramEnd"/>
      <w:r w:rsidRPr="00A52CA3">
        <w:rPr>
          <w:b/>
          <w:szCs w:val="24"/>
        </w:rPr>
        <w:t xml:space="preserve">  Statistical Considerations and Power</w:t>
      </w:r>
    </w:p>
    <w:p w14:paraId="0E28A3DA" w14:textId="4F9CBC35" w:rsidR="00182CC3" w:rsidRPr="00FC4543" w:rsidRDefault="00182CC3" w:rsidP="00A52CA3">
      <w:pPr>
        <w:spacing w:line="276" w:lineRule="auto"/>
        <w:ind w:firstLine="720"/>
        <w:rPr>
          <w:szCs w:val="24"/>
        </w:rPr>
      </w:pPr>
      <w:r w:rsidRPr="00FC4543">
        <w:rPr>
          <w:szCs w:val="24"/>
        </w:rPr>
        <w:t>The following table describes the a</w:t>
      </w:r>
      <w:r w:rsidR="00C26671">
        <w:rPr>
          <w:szCs w:val="24"/>
        </w:rPr>
        <w:t>ctual</w:t>
      </w:r>
      <w:r w:rsidRPr="00FC4543">
        <w:rPr>
          <w:szCs w:val="24"/>
        </w:rPr>
        <w:t xml:space="preserve"> sample size at the baseline examination by country of origin and community.</w:t>
      </w:r>
    </w:p>
    <w:p w14:paraId="4822918D" w14:textId="77777777" w:rsidR="00182CC3" w:rsidRPr="00FC4543" w:rsidRDefault="00182CC3" w:rsidP="00A52CA3">
      <w:pPr>
        <w:spacing w:line="276" w:lineRule="auto"/>
        <w:rPr>
          <w:szCs w:val="24"/>
        </w:rPr>
      </w:pPr>
    </w:p>
    <w:p w14:paraId="7136A044" w14:textId="1952017F" w:rsidR="00182CC3" w:rsidRPr="00A52CA3" w:rsidRDefault="00D16DBD" w:rsidP="009D5090">
      <w:pPr>
        <w:spacing w:line="276" w:lineRule="auto"/>
        <w:rPr>
          <w:smallCaps/>
          <w:szCs w:val="24"/>
        </w:rPr>
      </w:pPr>
      <w:r w:rsidRPr="00A52CA3">
        <w:rPr>
          <w:smallCaps/>
          <w:szCs w:val="24"/>
        </w:rPr>
        <w:tab/>
        <w:t>Table</w:t>
      </w:r>
      <w:r w:rsidR="00DE1C24" w:rsidRPr="00A52CA3">
        <w:rPr>
          <w:smallCaps/>
          <w:szCs w:val="24"/>
        </w:rPr>
        <w:t xml:space="preserve"> B.1 Number</w:t>
      </w:r>
      <w:r w:rsidRPr="00A52CA3">
        <w:rPr>
          <w:smallCaps/>
          <w:szCs w:val="24"/>
        </w:rPr>
        <w:t xml:space="preserve"> of HCHS/SOL Baseline Examination Participants</w:t>
      </w:r>
    </w:p>
    <w:tbl>
      <w:tblPr>
        <w:tblW w:w="0" w:type="auto"/>
        <w:jc w:val="center"/>
        <w:tblLayout w:type="fixed"/>
        <w:tblCellMar>
          <w:left w:w="67" w:type="dxa"/>
          <w:right w:w="67" w:type="dxa"/>
        </w:tblCellMar>
        <w:tblLook w:val="0000" w:firstRow="0" w:lastRow="0" w:firstColumn="0" w:lastColumn="0" w:noHBand="0" w:noVBand="0"/>
      </w:tblPr>
      <w:tblGrid>
        <w:gridCol w:w="1651"/>
        <w:gridCol w:w="1057"/>
        <w:gridCol w:w="960"/>
        <w:gridCol w:w="715"/>
        <w:gridCol w:w="865"/>
        <w:gridCol w:w="715"/>
        <w:gridCol w:w="960"/>
        <w:gridCol w:w="1200"/>
        <w:gridCol w:w="693"/>
      </w:tblGrid>
      <w:tr w:rsidR="008D7088" w:rsidRPr="00C22A4F" w14:paraId="12153AEA" w14:textId="77777777" w:rsidTr="008D7088">
        <w:trPr>
          <w:cantSplit/>
          <w:tblHeader/>
          <w:jc w:val="center"/>
        </w:trPr>
        <w:tc>
          <w:tcPr>
            <w:tcW w:w="1651" w:type="dxa"/>
            <w:vMerge w:val="restart"/>
            <w:tcBorders>
              <w:top w:val="single" w:sz="4" w:space="0" w:color="auto"/>
              <w:left w:val="single" w:sz="4" w:space="0" w:color="auto"/>
              <w:right w:val="single" w:sz="4" w:space="0" w:color="auto"/>
            </w:tcBorders>
            <w:shd w:val="clear" w:color="auto" w:fill="FFFFFF"/>
            <w:vAlign w:val="center"/>
          </w:tcPr>
          <w:p w14:paraId="6C419A97" w14:textId="43B81EF1" w:rsidR="008D7088" w:rsidRPr="00C22A4F" w:rsidRDefault="00245E05"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Community</w:t>
            </w:r>
          </w:p>
        </w:tc>
        <w:tc>
          <w:tcPr>
            <w:tcW w:w="716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2BD47EE7" w14:textId="791EFE30" w:rsidR="008D7088" w:rsidRPr="00C22A4F" w:rsidRDefault="008D7088" w:rsidP="00A52CA3">
            <w:pPr>
              <w:keepNext/>
              <w:adjustRightInd w:val="0"/>
              <w:spacing w:before="67" w:after="67" w:line="276" w:lineRule="auto"/>
              <w:jc w:val="center"/>
              <w:rPr>
                <w:rFonts w:cs="Arial"/>
                <w:iCs/>
                <w:color w:val="000000"/>
                <w:sz w:val="19"/>
                <w:szCs w:val="19"/>
                <w:highlight w:val="yellow"/>
              </w:rPr>
            </w:pPr>
            <w:r w:rsidRPr="00C22A4F">
              <w:rPr>
                <w:rFonts w:cs="Arial"/>
                <w:iCs/>
                <w:color w:val="000000"/>
                <w:sz w:val="19"/>
                <w:szCs w:val="19"/>
                <w:highlight w:val="yellow"/>
              </w:rPr>
              <w:t>Country of Origin</w:t>
            </w:r>
          </w:p>
        </w:tc>
      </w:tr>
      <w:tr w:rsidR="008D7088" w:rsidRPr="00C22A4F" w14:paraId="78898F2C" w14:textId="77777777" w:rsidTr="008D7088">
        <w:trPr>
          <w:cantSplit/>
          <w:tblHeader/>
          <w:jc w:val="center"/>
        </w:trPr>
        <w:tc>
          <w:tcPr>
            <w:tcW w:w="1651" w:type="dxa"/>
            <w:vMerge/>
            <w:tcBorders>
              <w:left w:val="single" w:sz="4" w:space="0" w:color="auto"/>
              <w:bottom w:val="single" w:sz="4" w:space="0" w:color="auto"/>
              <w:right w:val="single" w:sz="4" w:space="0" w:color="auto"/>
            </w:tcBorders>
            <w:shd w:val="clear" w:color="auto" w:fill="FFFFFF"/>
          </w:tcPr>
          <w:p w14:paraId="5381D210" w14:textId="16641D0A" w:rsidR="008D7088" w:rsidRPr="00C22A4F" w:rsidRDefault="008D7088" w:rsidP="00A52CA3">
            <w:pPr>
              <w:keepNext/>
              <w:adjustRightInd w:val="0"/>
              <w:spacing w:before="67" w:after="67" w:line="276" w:lineRule="auto"/>
              <w:rPr>
                <w:rFonts w:cs="Arial"/>
                <w:iCs/>
                <w:color w:val="000000"/>
                <w:sz w:val="19"/>
                <w:szCs w:val="19"/>
                <w:highlight w:val="yellow"/>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bottom"/>
          </w:tcPr>
          <w:p w14:paraId="36648C5A"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Dominican</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14:paraId="4A6918AF"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Central American</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3CE4D00F"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Cuban</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bottom"/>
          </w:tcPr>
          <w:p w14:paraId="310EAB2A"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Mexican</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1AC92A53"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Puerto Rican</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14:paraId="3269713E"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South American</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bottom"/>
          </w:tcPr>
          <w:p w14:paraId="122A2F1E"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Mixed/Other</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14:paraId="775E5255" w14:textId="77777777" w:rsidR="008D7088" w:rsidRPr="00C22A4F" w:rsidRDefault="008D7088" w:rsidP="00A52CA3">
            <w:pPr>
              <w:keepNext/>
              <w:adjustRightInd w:val="0"/>
              <w:spacing w:before="67" w:after="67" w:line="276" w:lineRule="auto"/>
              <w:jc w:val="right"/>
              <w:rPr>
                <w:rFonts w:cs="Arial"/>
                <w:iCs/>
                <w:color w:val="000000"/>
                <w:sz w:val="19"/>
                <w:szCs w:val="19"/>
                <w:highlight w:val="yellow"/>
              </w:rPr>
            </w:pPr>
            <w:r w:rsidRPr="00C22A4F">
              <w:rPr>
                <w:rFonts w:cs="Arial"/>
                <w:iCs/>
                <w:color w:val="000000"/>
                <w:sz w:val="19"/>
                <w:szCs w:val="19"/>
                <w:highlight w:val="yellow"/>
              </w:rPr>
              <w:t>Total</w:t>
            </w:r>
          </w:p>
        </w:tc>
      </w:tr>
      <w:tr w:rsidR="00A33ACA" w:rsidRPr="00C22A4F" w14:paraId="47042C75"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50467468" w14:textId="77777777" w:rsidR="00A33ACA" w:rsidRPr="00C22A4F" w:rsidRDefault="00A33ACA"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Bronx</w:t>
            </w:r>
          </w:p>
        </w:tc>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14:paraId="39ECA980"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1380</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472F66A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219</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00829FCB"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45</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2E38D0EA"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208</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54B37441"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1837</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037FBF64"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187</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56DE0C0F"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1F818626"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4076</w:t>
            </w:r>
          </w:p>
        </w:tc>
      </w:tr>
      <w:tr w:rsidR="00A33ACA" w:rsidRPr="00C22A4F" w14:paraId="2FE214E4"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062A5761" w14:textId="77777777" w:rsidR="00A33ACA" w:rsidRPr="00C22A4F" w:rsidRDefault="00A33ACA"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Chicago</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2166D3A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27</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00D32024"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418</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3E84B076"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25</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03727F3B"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2409</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5A87A9A3" w14:textId="77777777" w:rsidR="00A33ACA" w:rsidRPr="00C22A4F" w:rsidRDefault="00A33ACA" w:rsidP="00A52CA3">
            <w:pPr>
              <w:spacing w:line="276" w:lineRule="auto"/>
              <w:jc w:val="center"/>
              <w:rPr>
                <w:sz w:val="19"/>
                <w:szCs w:val="19"/>
                <w:highlight w:val="yellow"/>
              </w:rPr>
            </w:pPr>
            <w:r w:rsidRPr="00C22A4F">
              <w:rPr>
                <w:sz w:val="19"/>
                <w:szCs w:val="19"/>
                <w:highlight w:val="yellow"/>
              </w:rPr>
              <w:t>770</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183BCB1" w14:textId="77777777" w:rsidR="00A33ACA" w:rsidRPr="00C22A4F" w:rsidRDefault="00A33ACA" w:rsidP="00A52CA3">
            <w:pPr>
              <w:spacing w:line="276" w:lineRule="auto"/>
              <w:jc w:val="center"/>
              <w:rPr>
                <w:sz w:val="19"/>
                <w:szCs w:val="19"/>
                <w:highlight w:val="yellow"/>
              </w:rPr>
            </w:pPr>
            <w:r w:rsidRPr="00C22A4F">
              <w:rPr>
                <w:sz w:val="19"/>
                <w:szCs w:val="19"/>
                <w:highlight w:val="yellow"/>
              </w:rPr>
              <w:t>374</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55EA8A0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100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21BECD98"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4123</w:t>
            </w:r>
          </w:p>
        </w:tc>
      </w:tr>
      <w:tr w:rsidR="00A33ACA" w:rsidRPr="00C22A4F" w14:paraId="402D3A91"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0F482C0C" w14:textId="77777777" w:rsidR="00A33ACA" w:rsidRPr="00C22A4F" w:rsidRDefault="00A33ACA"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Miami</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5ECE8B32" w14:textId="77777777" w:rsidR="00A33ACA" w:rsidRPr="00C22A4F" w:rsidRDefault="00A33ACA" w:rsidP="00A52CA3">
            <w:pPr>
              <w:spacing w:line="276" w:lineRule="auto"/>
              <w:jc w:val="center"/>
              <w:rPr>
                <w:sz w:val="19"/>
                <w:szCs w:val="19"/>
                <w:highlight w:val="yellow"/>
              </w:rPr>
            </w:pPr>
            <w:r w:rsidRPr="00C22A4F">
              <w:rPr>
                <w:sz w:val="19"/>
                <w:szCs w:val="19"/>
                <w:highlight w:val="yellow"/>
              </w:rPr>
              <w:t>64</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34BED7E7"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1034</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186D917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2269</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3E731059" w14:textId="77777777" w:rsidR="00A33ACA" w:rsidRPr="00C22A4F" w:rsidRDefault="00A33ACA" w:rsidP="00A52CA3">
            <w:pPr>
              <w:spacing w:line="276" w:lineRule="auto"/>
              <w:jc w:val="center"/>
              <w:rPr>
                <w:sz w:val="19"/>
                <w:szCs w:val="19"/>
                <w:highlight w:val="yellow"/>
              </w:rPr>
            </w:pPr>
            <w:r w:rsidRPr="00C22A4F">
              <w:rPr>
                <w:sz w:val="19"/>
                <w:szCs w:val="19"/>
                <w:highlight w:val="yellow"/>
              </w:rPr>
              <w:t>38</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5F46F90D" w14:textId="77777777" w:rsidR="00A33ACA" w:rsidRPr="00C22A4F" w:rsidRDefault="00A33ACA" w:rsidP="00A52CA3">
            <w:pPr>
              <w:spacing w:line="276" w:lineRule="auto"/>
              <w:jc w:val="center"/>
              <w:rPr>
                <w:sz w:val="19"/>
                <w:szCs w:val="19"/>
                <w:highlight w:val="yellow"/>
              </w:rPr>
            </w:pPr>
            <w:r w:rsidRPr="00C22A4F">
              <w:rPr>
                <w:sz w:val="19"/>
                <w:szCs w:val="19"/>
                <w:highlight w:val="yellow"/>
              </w:rPr>
              <w:t>82</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40CD55F1"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468</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2066DFCF"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112</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25A4D933"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4067</w:t>
            </w:r>
          </w:p>
        </w:tc>
      </w:tr>
      <w:tr w:rsidR="00A33ACA" w:rsidRPr="00C22A4F" w14:paraId="37C8A15C"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222C99A1" w14:textId="77777777" w:rsidR="00A33ACA" w:rsidRPr="00C22A4F" w:rsidRDefault="00A33ACA"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San Diego</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240E7DDF"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AFF9952" w14:textId="77777777" w:rsidR="00A33ACA" w:rsidRPr="00C22A4F" w:rsidRDefault="00A33ACA" w:rsidP="00A52CA3">
            <w:pPr>
              <w:spacing w:line="276" w:lineRule="auto"/>
              <w:jc w:val="center"/>
              <w:rPr>
                <w:sz w:val="19"/>
                <w:szCs w:val="19"/>
                <w:highlight w:val="yellow"/>
              </w:rPr>
            </w:pPr>
            <w:r w:rsidRPr="00C22A4F">
              <w:rPr>
                <w:sz w:val="19"/>
                <w:szCs w:val="19"/>
                <w:highlight w:val="yellow"/>
              </w:rPr>
              <w:t>61</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1AA9B94E" w14:textId="77777777" w:rsidR="00A33ACA" w:rsidRPr="00C22A4F" w:rsidRDefault="00A33ACA" w:rsidP="00A52CA3">
            <w:pPr>
              <w:spacing w:line="276" w:lineRule="auto"/>
              <w:jc w:val="center"/>
              <w:rPr>
                <w:sz w:val="19"/>
                <w:szCs w:val="19"/>
                <w:highlight w:val="yellow"/>
              </w:rPr>
            </w:pPr>
            <w:r w:rsidRPr="00C22A4F">
              <w:rPr>
                <w:sz w:val="19"/>
                <w:szCs w:val="19"/>
                <w:highlight w:val="yellow"/>
              </w:rPr>
              <w:t>9</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7C36A8FE" w14:textId="77777777" w:rsidR="00A33ACA" w:rsidRPr="00C22A4F" w:rsidRDefault="00A33ACA" w:rsidP="00A52CA3">
            <w:pPr>
              <w:spacing w:line="276" w:lineRule="auto"/>
              <w:jc w:val="center"/>
              <w:rPr>
                <w:sz w:val="19"/>
                <w:szCs w:val="19"/>
                <w:highlight w:val="yellow"/>
              </w:rPr>
            </w:pPr>
            <w:r w:rsidRPr="00C22A4F">
              <w:rPr>
                <w:sz w:val="19"/>
                <w:szCs w:val="19"/>
                <w:highlight w:val="yellow"/>
              </w:rPr>
              <w:t>3817</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57FE194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39</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A1D7092"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43</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66746375" w14:textId="77777777" w:rsidR="00A33ACA" w:rsidRPr="00C22A4F" w:rsidRDefault="00A33ACA" w:rsidP="00A52CA3">
            <w:pPr>
              <w:spacing w:line="276" w:lineRule="auto"/>
              <w:jc w:val="center"/>
              <w:rPr>
                <w:sz w:val="19"/>
                <w:szCs w:val="19"/>
                <w:highlight w:val="yellow"/>
              </w:rPr>
            </w:pPr>
            <w:r w:rsidRPr="00C22A4F">
              <w:rPr>
                <w:sz w:val="19"/>
                <w:szCs w:val="19"/>
                <w:highlight w:val="yellow"/>
              </w:rPr>
              <w:t>91</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1A187837" w14:textId="77777777" w:rsidR="00A33ACA" w:rsidRPr="00C22A4F" w:rsidRDefault="00A33ACA" w:rsidP="00A52CA3">
            <w:pPr>
              <w:spacing w:line="276" w:lineRule="auto"/>
              <w:jc w:val="center"/>
              <w:rPr>
                <w:sz w:val="19"/>
                <w:szCs w:val="19"/>
                <w:highlight w:val="yellow"/>
              </w:rPr>
            </w:pPr>
            <w:r w:rsidRPr="00C22A4F">
              <w:rPr>
                <w:sz w:val="19"/>
                <w:szCs w:val="19"/>
                <w:highlight w:val="yellow"/>
              </w:rPr>
              <w:t>4062</w:t>
            </w:r>
          </w:p>
        </w:tc>
      </w:tr>
      <w:tr w:rsidR="00A33ACA" w:rsidRPr="00C22A4F" w14:paraId="7DA54A80" w14:textId="77777777" w:rsidTr="00DE1C24">
        <w:trPr>
          <w:cantSplit/>
          <w:trHeight w:val="179"/>
          <w:jc w:val="center"/>
        </w:trPr>
        <w:tc>
          <w:tcPr>
            <w:tcW w:w="1651" w:type="dxa"/>
            <w:tcBorders>
              <w:top w:val="single" w:sz="4" w:space="0" w:color="auto"/>
              <w:left w:val="single" w:sz="4" w:space="0" w:color="auto"/>
              <w:bottom w:val="single" w:sz="4" w:space="0" w:color="000000"/>
              <w:right w:val="single" w:sz="4" w:space="0" w:color="auto"/>
            </w:tcBorders>
            <w:shd w:val="clear" w:color="auto" w:fill="FFFFFF"/>
          </w:tcPr>
          <w:p w14:paraId="26E315EC" w14:textId="77777777" w:rsidR="00A33ACA" w:rsidRPr="00C22A4F" w:rsidRDefault="00A33ACA" w:rsidP="00A52CA3">
            <w:pPr>
              <w:keepNext/>
              <w:adjustRightInd w:val="0"/>
              <w:spacing w:before="67" w:after="67" w:line="276" w:lineRule="auto"/>
              <w:rPr>
                <w:rFonts w:cs="Arial"/>
                <w:iCs/>
                <w:color w:val="000000"/>
                <w:sz w:val="19"/>
                <w:szCs w:val="19"/>
                <w:highlight w:val="yellow"/>
              </w:rPr>
            </w:pPr>
            <w:r w:rsidRPr="00C22A4F">
              <w:rPr>
                <w:rFonts w:cs="Arial"/>
                <w:iCs/>
                <w:color w:val="000000"/>
                <w:sz w:val="19"/>
                <w:szCs w:val="19"/>
                <w:highlight w:val="yellow"/>
              </w:rPr>
              <w:t>Total</w:t>
            </w:r>
          </w:p>
        </w:tc>
        <w:tc>
          <w:tcPr>
            <w:tcW w:w="1057" w:type="dxa"/>
            <w:tcBorders>
              <w:top w:val="single" w:sz="4" w:space="0" w:color="auto"/>
              <w:left w:val="single" w:sz="4" w:space="0" w:color="auto"/>
              <w:bottom w:val="single" w:sz="4" w:space="0" w:color="000000"/>
              <w:right w:val="single" w:sz="4" w:space="0" w:color="auto"/>
            </w:tcBorders>
            <w:shd w:val="clear" w:color="auto" w:fill="FFFFFF"/>
            <w:vAlign w:val="center"/>
          </w:tcPr>
          <w:p w14:paraId="70CCCDDB"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1473</w:t>
            </w:r>
          </w:p>
        </w:tc>
        <w:tc>
          <w:tcPr>
            <w:tcW w:w="960" w:type="dxa"/>
            <w:tcBorders>
              <w:top w:val="single" w:sz="4" w:space="0" w:color="auto"/>
              <w:left w:val="single" w:sz="4" w:space="0" w:color="auto"/>
              <w:bottom w:val="single" w:sz="4" w:space="0" w:color="000000"/>
              <w:right w:val="single" w:sz="4" w:space="0" w:color="auto"/>
            </w:tcBorders>
            <w:shd w:val="clear" w:color="auto" w:fill="FFFFFF"/>
            <w:vAlign w:val="center"/>
          </w:tcPr>
          <w:p w14:paraId="7C024390"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1732</w:t>
            </w:r>
          </w:p>
        </w:tc>
        <w:tc>
          <w:tcPr>
            <w:tcW w:w="715" w:type="dxa"/>
            <w:tcBorders>
              <w:top w:val="single" w:sz="4" w:space="0" w:color="auto"/>
              <w:left w:val="single" w:sz="4" w:space="0" w:color="auto"/>
              <w:bottom w:val="single" w:sz="4" w:space="0" w:color="000000"/>
              <w:right w:val="single" w:sz="4" w:space="0" w:color="auto"/>
            </w:tcBorders>
            <w:shd w:val="clear" w:color="auto" w:fill="FFFFFF"/>
            <w:vAlign w:val="center"/>
          </w:tcPr>
          <w:p w14:paraId="7DE6F900"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2348</w:t>
            </w:r>
          </w:p>
        </w:tc>
        <w:tc>
          <w:tcPr>
            <w:tcW w:w="865" w:type="dxa"/>
            <w:tcBorders>
              <w:top w:val="single" w:sz="4" w:space="0" w:color="auto"/>
              <w:left w:val="single" w:sz="4" w:space="0" w:color="auto"/>
              <w:bottom w:val="single" w:sz="4" w:space="0" w:color="000000"/>
              <w:right w:val="single" w:sz="4" w:space="0" w:color="auto"/>
            </w:tcBorders>
            <w:shd w:val="clear" w:color="auto" w:fill="FFFFFF"/>
            <w:vAlign w:val="center"/>
          </w:tcPr>
          <w:p w14:paraId="20EB616C" w14:textId="77777777" w:rsidR="00A33ACA" w:rsidRPr="00C22A4F" w:rsidRDefault="00A33ACA" w:rsidP="00A52CA3">
            <w:pPr>
              <w:spacing w:line="276" w:lineRule="auto"/>
              <w:jc w:val="center"/>
              <w:rPr>
                <w:sz w:val="19"/>
                <w:szCs w:val="19"/>
                <w:highlight w:val="yellow"/>
              </w:rPr>
            </w:pPr>
            <w:r w:rsidRPr="00C22A4F">
              <w:rPr>
                <w:sz w:val="19"/>
                <w:szCs w:val="19"/>
                <w:highlight w:val="yellow"/>
              </w:rPr>
              <w:t>6472</w:t>
            </w:r>
          </w:p>
        </w:tc>
        <w:tc>
          <w:tcPr>
            <w:tcW w:w="715" w:type="dxa"/>
            <w:tcBorders>
              <w:top w:val="single" w:sz="4" w:space="0" w:color="auto"/>
              <w:left w:val="single" w:sz="4" w:space="0" w:color="auto"/>
              <w:bottom w:val="single" w:sz="4" w:space="0" w:color="000000"/>
              <w:right w:val="single" w:sz="4" w:space="0" w:color="auto"/>
            </w:tcBorders>
            <w:shd w:val="clear" w:color="auto" w:fill="FFFFFF"/>
            <w:vAlign w:val="center"/>
          </w:tcPr>
          <w:p w14:paraId="01053FC9" w14:textId="77777777" w:rsidR="00A33ACA" w:rsidRPr="00C22A4F" w:rsidRDefault="00A33ACA" w:rsidP="00A52CA3">
            <w:pPr>
              <w:spacing w:line="276" w:lineRule="auto"/>
              <w:jc w:val="center"/>
              <w:rPr>
                <w:sz w:val="19"/>
                <w:szCs w:val="19"/>
                <w:highlight w:val="yellow"/>
              </w:rPr>
            </w:pPr>
            <w:r w:rsidRPr="00C22A4F">
              <w:rPr>
                <w:sz w:val="19"/>
                <w:szCs w:val="19"/>
                <w:highlight w:val="yellow"/>
              </w:rPr>
              <w:t>2728</w:t>
            </w:r>
          </w:p>
        </w:tc>
        <w:tc>
          <w:tcPr>
            <w:tcW w:w="960" w:type="dxa"/>
            <w:tcBorders>
              <w:top w:val="single" w:sz="4" w:space="0" w:color="auto"/>
              <w:left w:val="single" w:sz="4" w:space="0" w:color="auto"/>
              <w:bottom w:val="single" w:sz="4" w:space="0" w:color="000000"/>
              <w:right w:val="single" w:sz="4" w:space="0" w:color="auto"/>
            </w:tcBorders>
            <w:shd w:val="clear" w:color="auto" w:fill="FFFFFF"/>
            <w:vAlign w:val="center"/>
          </w:tcPr>
          <w:p w14:paraId="416CA370"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1072</w:t>
            </w:r>
          </w:p>
        </w:tc>
        <w:tc>
          <w:tcPr>
            <w:tcW w:w="1200" w:type="dxa"/>
            <w:tcBorders>
              <w:top w:val="single" w:sz="4" w:space="0" w:color="auto"/>
              <w:left w:val="single" w:sz="4" w:space="0" w:color="auto"/>
              <w:bottom w:val="single" w:sz="4" w:space="0" w:color="000000"/>
              <w:right w:val="single" w:sz="4" w:space="0" w:color="auto"/>
            </w:tcBorders>
            <w:shd w:val="clear" w:color="auto" w:fill="FFFFFF"/>
            <w:vAlign w:val="center"/>
          </w:tcPr>
          <w:p w14:paraId="7FC6D9F9" w14:textId="77777777" w:rsidR="00A33ACA" w:rsidRPr="00C22A4F" w:rsidRDefault="00A33ACA" w:rsidP="00A52CA3">
            <w:pPr>
              <w:spacing w:line="276" w:lineRule="auto"/>
              <w:jc w:val="center"/>
              <w:rPr>
                <w:sz w:val="19"/>
                <w:szCs w:val="19"/>
                <w:highlight w:val="yellow"/>
              </w:rPr>
            </w:pPr>
            <w:r w:rsidRPr="00C22A4F">
              <w:rPr>
                <w:sz w:val="19"/>
                <w:szCs w:val="19"/>
                <w:highlight w:val="yellow"/>
              </w:rPr>
              <w:t>503</w:t>
            </w:r>
          </w:p>
        </w:tc>
        <w:tc>
          <w:tcPr>
            <w:tcW w:w="693" w:type="dxa"/>
            <w:tcBorders>
              <w:top w:val="single" w:sz="4" w:space="0" w:color="auto"/>
              <w:left w:val="single" w:sz="4" w:space="0" w:color="auto"/>
              <w:bottom w:val="single" w:sz="4" w:space="0" w:color="000000"/>
              <w:right w:val="single" w:sz="4" w:space="0" w:color="auto"/>
            </w:tcBorders>
            <w:shd w:val="clear" w:color="auto" w:fill="FFFFFF"/>
            <w:vAlign w:val="center"/>
          </w:tcPr>
          <w:p w14:paraId="0AA52C68" w14:textId="77777777" w:rsidR="00A33ACA" w:rsidRPr="00C22A4F" w:rsidRDefault="00A33ACA" w:rsidP="00A52CA3">
            <w:pPr>
              <w:spacing w:line="276" w:lineRule="auto"/>
              <w:jc w:val="center"/>
              <w:rPr>
                <w:sz w:val="19"/>
                <w:szCs w:val="19"/>
                <w:highlight w:val="yellow"/>
              </w:rPr>
            </w:pPr>
            <w:r w:rsidRPr="00C22A4F">
              <w:rPr>
                <w:sz w:val="19"/>
                <w:szCs w:val="19"/>
                <w:highlight w:val="yellow"/>
              </w:rPr>
              <w:t>16328</w:t>
            </w:r>
          </w:p>
        </w:tc>
      </w:tr>
      <w:tr w:rsidR="00A33ACA" w14:paraId="7CC71414" w14:textId="77777777" w:rsidTr="00DE1C24">
        <w:trPr>
          <w:cantSplit/>
          <w:jc w:val="center"/>
        </w:trPr>
        <w:tc>
          <w:tcPr>
            <w:tcW w:w="8816" w:type="dxa"/>
            <w:gridSpan w:val="9"/>
            <w:tcBorders>
              <w:top w:val="single" w:sz="4" w:space="0" w:color="000000"/>
              <w:left w:val="nil"/>
              <w:right w:val="nil"/>
            </w:tcBorders>
            <w:shd w:val="clear" w:color="auto" w:fill="FFFFFF"/>
          </w:tcPr>
          <w:p w14:paraId="4927FD98" w14:textId="77777777" w:rsidR="00A33ACA" w:rsidRPr="00C22A4F" w:rsidRDefault="00A33ACA" w:rsidP="00A52CA3">
            <w:pPr>
              <w:adjustRightInd w:val="0"/>
              <w:spacing w:before="67" w:after="67" w:line="276" w:lineRule="auto"/>
              <w:rPr>
                <w:rFonts w:cs="Arial"/>
                <w:i/>
                <w:iCs/>
                <w:color w:val="000000"/>
                <w:sz w:val="19"/>
                <w:szCs w:val="19"/>
                <w:highlight w:val="yellow"/>
              </w:rPr>
            </w:pPr>
            <w:r w:rsidRPr="00C22A4F">
              <w:rPr>
                <w:rFonts w:cs="Arial"/>
                <w:i/>
                <w:iCs/>
                <w:color w:val="000000"/>
                <w:sz w:val="19"/>
                <w:szCs w:val="19"/>
                <w:highlight w:val="yellow"/>
              </w:rPr>
              <w:t>Frequency Missing = 87</w:t>
            </w:r>
          </w:p>
          <w:p w14:paraId="1E389C0B" w14:textId="77777777" w:rsidR="00A33ACA" w:rsidRDefault="00A33ACA" w:rsidP="00A52CA3">
            <w:pPr>
              <w:adjustRightInd w:val="0"/>
              <w:spacing w:before="67" w:after="67" w:line="276" w:lineRule="auto"/>
              <w:rPr>
                <w:rFonts w:cs="Arial"/>
                <w:i/>
                <w:iCs/>
                <w:color w:val="000000"/>
                <w:sz w:val="19"/>
                <w:szCs w:val="19"/>
              </w:rPr>
            </w:pPr>
            <w:r w:rsidRPr="00C22A4F">
              <w:rPr>
                <w:rFonts w:cs="Arial"/>
                <w:i/>
                <w:iCs/>
                <w:color w:val="000000"/>
                <w:sz w:val="19"/>
                <w:szCs w:val="19"/>
                <w:highlight w:val="yellow"/>
              </w:rPr>
              <w:t>Shaded boxes indicate adequate sample size for comparisons between background and sites.</w:t>
            </w:r>
          </w:p>
        </w:tc>
      </w:tr>
    </w:tbl>
    <w:p w14:paraId="609B4F85" w14:textId="77777777" w:rsidR="00182CC3" w:rsidRPr="008D7088" w:rsidRDefault="00182CC3" w:rsidP="00A52CA3">
      <w:pPr>
        <w:spacing w:line="276" w:lineRule="auto"/>
        <w:rPr>
          <w:szCs w:val="24"/>
        </w:rPr>
      </w:pPr>
    </w:p>
    <w:p w14:paraId="414696E1" w14:textId="6AAFFFC7" w:rsidR="00182CC3" w:rsidRPr="00FC4543" w:rsidRDefault="00182CC3" w:rsidP="00A52CA3">
      <w:pPr>
        <w:spacing w:line="276" w:lineRule="auto"/>
        <w:ind w:firstLine="720"/>
        <w:rPr>
          <w:szCs w:val="24"/>
        </w:rPr>
      </w:pPr>
      <w:r w:rsidRPr="00C22A4F">
        <w:rPr>
          <w:szCs w:val="24"/>
          <w:highlight w:val="yellow"/>
        </w:rPr>
        <w:t xml:space="preserve">As can be seen from this table, the </w:t>
      </w:r>
      <w:r w:rsidR="00F051FA" w:rsidRPr="00C22A4F">
        <w:rPr>
          <w:szCs w:val="24"/>
          <w:highlight w:val="yellow"/>
        </w:rPr>
        <w:t xml:space="preserve">final number of enrolled participants </w:t>
      </w:r>
      <w:r w:rsidRPr="00C22A4F">
        <w:rPr>
          <w:szCs w:val="24"/>
          <w:highlight w:val="yellow"/>
        </w:rPr>
        <w:t xml:space="preserve">for each community </w:t>
      </w:r>
      <w:r w:rsidR="00D06F87" w:rsidRPr="00C22A4F">
        <w:rPr>
          <w:szCs w:val="24"/>
          <w:highlight w:val="yellow"/>
        </w:rPr>
        <w:t xml:space="preserve">at baseline </w:t>
      </w:r>
      <w:r w:rsidRPr="00C22A4F">
        <w:rPr>
          <w:szCs w:val="24"/>
          <w:highlight w:val="yellow"/>
        </w:rPr>
        <w:t>is large (</w:t>
      </w:r>
      <w:r w:rsidR="00F051FA" w:rsidRPr="00C22A4F">
        <w:rPr>
          <w:szCs w:val="24"/>
          <w:highlight w:val="yellow"/>
        </w:rPr>
        <w:t xml:space="preserve">over </w:t>
      </w:r>
      <w:r w:rsidRPr="00C22A4F">
        <w:rPr>
          <w:szCs w:val="24"/>
          <w:highlight w:val="yellow"/>
        </w:rPr>
        <w:t xml:space="preserve">4000 each), and it also is large for each country of origin group (excess of </w:t>
      </w:r>
      <w:r w:rsidR="00B35A07" w:rsidRPr="00C22A4F">
        <w:rPr>
          <w:szCs w:val="24"/>
          <w:highlight w:val="yellow"/>
        </w:rPr>
        <w:t>1</w:t>
      </w:r>
      <w:r w:rsidRPr="00C22A4F">
        <w:rPr>
          <w:szCs w:val="24"/>
          <w:highlight w:val="yellow"/>
        </w:rPr>
        <w:t xml:space="preserve">000 in each group). </w:t>
      </w:r>
      <w:r w:rsidR="00F051FA" w:rsidRPr="00C22A4F">
        <w:rPr>
          <w:szCs w:val="24"/>
          <w:highlight w:val="yellow"/>
        </w:rPr>
        <w:t>These</w:t>
      </w:r>
      <w:r w:rsidRPr="00C22A4F">
        <w:rPr>
          <w:szCs w:val="24"/>
          <w:highlight w:val="yellow"/>
        </w:rPr>
        <w:t xml:space="preserve"> sample sizes in this table are appropriate for comparisons by community, or comparisons by country of origin (sub-objectives 2 and 3 above).  For sub-objectives 4 and 5 above, however, analyses are more limited.  Because of the geographical clustering by country of origin, there is not complete diversity of origin for all communities.  </w:t>
      </w:r>
      <w:r w:rsidR="00B35A07" w:rsidRPr="00C22A4F">
        <w:rPr>
          <w:szCs w:val="24"/>
          <w:highlight w:val="yellow"/>
        </w:rPr>
        <w:t>G</w:t>
      </w:r>
      <w:r w:rsidRPr="00C22A4F">
        <w:rPr>
          <w:szCs w:val="24"/>
          <w:highlight w:val="yellow"/>
        </w:rPr>
        <w:t xml:space="preserve">roups of </w:t>
      </w:r>
      <w:r w:rsidR="00FB154B" w:rsidRPr="00C22A4F">
        <w:rPr>
          <w:szCs w:val="24"/>
          <w:highlight w:val="yellow"/>
        </w:rPr>
        <w:t>1</w:t>
      </w:r>
      <w:r w:rsidR="008574FD" w:rsidRPr="00C22A4F">
        <w:rPr>
          <w:szCs w:val="24"/>
          <w:highlight w:val="yellow"/>
        </w:rPr>
        <w:t>5</w:t>
      </w:r>
      <w:r w:rsidR="00FB154B" w:rsidRPr="00C22A4F">
        <w:rPr>
          <w:szCs w:val="24"/>
          <w:highlight w:val="yellow"/>
        </w:rPr>
        <w:t>0</w:t>
      </w:r>
      <w:r w:rsidRPr="00C22A4F">
        <w:rPr>
          <w:szCs w:val="24"/>
          <w:highlight w:val="yellow"/>
        </w:rPr>
        <w:t xml:space="preserve"> or more can produce estimates of mean values with sufficiently high statistical power so that comparisons for some of the community and ethnic group combinations can be made.  For example, within the Bronx and Chicago, reasonable compar</w:t>
      </w:r>
      <w:r w:rsidR="00C22A4F">
        <w:rPr>
          <w:szCs w:val="24"/>
          <w:highlight w:val="yellow"/>
        </w:rPr>
        <w:t>isons can be made among all groups, except Cubans</w:t>
      </w:r>
      <w:r w:rsidRPr="00C22A4F">
        <w:rPr>
          <w:szCs w:val="24"/>
          <w:highlight w:val="yellow"/>
        </w:rPr>
        <w:t>. Because San Diego is nearly all Mexican American, it is the only community that will not have within-community comparisons by country of origin.</w:t>
      </w:r>
      <w:r w:rsidRPr="00FC4543">
        <w:rPr>
          <w:szCs w:val="24"/>
        </w:rPr>
        <w:t xml:space="preserve">    </w:t>
      </w:r>
    </w:p>
    <w:p w14:paraId="4C170F5A" w14:textId="77777777" w:rsidR="00182CC3" w:rsidRPr="00FC4543" w:rsidRDefault="00182CC3" w:rsidP="00A52CA3">
      <w:pPr>
        <w:spacing w:line="276" w:lineRule="auto"/>
        <w:rPr>
          <w:szCs w:val="24"/>
        </w:rPr>
      </w:pPr>
    </w:p>
    <w:p w14:paraId="2BB4D2D4" w14:textId="5AF3DE03" w:rsidR="00182CC3" w:rsidRPr="00FC4543" w:rsidRDefault="00182CC3" w:rsidP="00A52CA3">
      <w:pPr>
        <w:spacing w:line="276" w:lineRule="auto"/>
        <w:ind w:firstLine="720"/>
        <w:rPr>
          <w:szCs w:val="24"/>
        </w:rPr>
      </w:pPr>
      <w:r w:rsidRPr="00FC4543">
        <w:rPr>
          <w:szCs w:val="24"/>
        </w:rPr>
        <w:t xml:space="preserve">The second analytical goal </w:t>
      </w:r>
      <w:r w:rsidR="003E7322">
        <w:rPr>
          <w:szCs w:val="24"/>
        </w:rPr>
        <w:t xml:space="preserve">was </w:t>
      </w:r>
      <w:r w:rsidRPr="00FC4543">
        <w:rPr>
          <w:szCs w:val="24"/>
        </w:rPr>
        <w:t xml:space="preserve">to assess the relationships among the variables collected at baseline.  These analyses are nearly unlimited in number, but include comparisons of risk factors and other measured characteristics.  A list of the types of analyses would take many pages, but examples of some analyses would include evaluation of the relationship between body mass index and blood pressure or cholesterol; the relationship between hypertension and length of residence in the U.S.; the relationship between dietary factors of fat and carbohydrates with obesity or lipids; the relationship between perceived Hispanic identity and use of health care services; the relationships between hearing loss and occupations that involve machine noises; the relationships between sleep quality and metabolic syndrome; the relationship between daily physical activity and diabetes or obesity. </w:t>
      </w:r>
      <w:r w:rsidR="00B35A07">
        <w:rPr>
          <w:szCs w:val="24"/>
        </w:rPr>
        <w:t>Sample size/power analysis will be presented for comparative examples in the Sample Size/Power Analysis section below.</w:t>
      </w:r>
      <w:r w:rsidR="00B35A07" w:rsidRPr="00FC4543">
        <w:rPr>
          <w:szCs w:val="24"/>
        </w:rPr>
        <w:t xml:space="preserve"> </w:t>
      </w:r>
      <w:r w:rsidRPr="00FC4543">
        <w:rPr>
          <w:szCs w:val="24"/>
        </w:rPr>
        <w:t xml:space="preserve"> </w:t>
      </w:r>
    </w:p>
    <w:p w14:paraId="5308CE67" w14:textId="77777777" w:rsidR="00182CC3" w:rsidRPr="00FC4543" w:rsidRDefault="00182CC3" w:rsidP="00A52CA3">
      <w:pPr>
        <w:spacing w:line="276" w:lineRule="auto"/>
        <w:rPr>
          <w:szCs w:val="24"/>
        </w:rPr>
      </w:pPr>
    </w:p>
    <w:p w14:paraId="13E338E3" w14:textId="2E0A0036" w:rsidR="00182CC3" w:rsidRPr="00FC4543" w:rsidRDefault="00182CC3" w:rsidP="00A52CA3">
      <w:pPr>
        <w:spacing w:line="276" w:lineRule="auto"/>
        <w:ind w:firstLine="720"/>
        <w:rPr>
          <w:szCs w:val="24"/>
        </w:rPr>
      </w:pPr>
      <w:r w:rsidRPr="00FC4543">
        <w:rPr>
          <w:szCs w:val="24"/>
        </w:rPr>
        <w:t xml:space="preserve">The third analytical goal is to assess the relationship between baseline characteristics and incident disease and death.  As indicated, the </w:t>
      </w:r>
      <w:r w:rsidR="003E7322">
        <w:rPr>
          <w:szCs w:val="24"/>
        </w:rPr>
        <w:t xml:space="preserve">first 3½ years of follow-up that took place during the first funding period yielded a very small number of cardiovascular and pulmonary events to generate a sufficiently powered analysis. The proposed </w:t>
      </w:r>
      <w:r w:rsidR="000673DD">
        <w:rPr>
          <w:szCs w:val="24"/>
        </w:rPr>
        <w:t>extended</w:t>
      </w:r>
      <w:r w:rsidR="003E7322">
        <w:rPr>
          <w:szCs w:val="24"/>
        </w:rPr>
        <w:t xml:space="preserve"> follow-up </w:t>
      </w:r>
      <w:r w:rsidR="000673DD">
        <w:rPr>
          <w:szCs w:val="24"/>
        </w:rPr>
        <w:t xml:space="preserve">(an average of 6 additional years) </w:t>
      </w:r>
      <w:r w:rsidR="003E7322">
        <w:rPr>
          <w:szCs w:val="24"/>
        </w:rPr>
        <w:t xml:space="preserve">will </w:t>
      </w:r>
      <w:r w:rsidR="00D16DBD">
        <w:rPr>
          <w:szCs w:val="24"/>
        </w:rPr>
        <w:t>add to the accrual of events</w:t>
      </w:r>
      <w:r w:rsidRPr="00FC4543">
        <w:rPr>
          <w:szCs w:val="24"/>
        </w:rPr>
        <w:t xml:space="preserve">.  </w:t>
      </w:r>
    </w:p>
    <w:p w14:paraId="0F0A0C6C" w14:textId="77777777" w:rsidR="00182CC3" w:rsidRPr="00FC4543" w:rsidRDefault="00182CC3" w:rsidP="00A52CA3">
      <w:pPr>
        <w:spacing w:line="276" w:lineRule="auto"/>
        <w:rPr>
          <w:szCs w:val="24"/>
        </w:rPr>
      </w:pPr>
    </w:p>
    <w:p w14:paraId="4800C83F" w14:textId="50B6D775" w:rsidR="00B35A07" w:rsidRDefault="00182CC3" w:rsidP="00A52CA3">
      <w:pPr>
        <w:spacing w:line="276" w:lineRule="auto"/>
        <w:ind w:firstLine="720"/>
        <w:rPr>
          <w:szCs w:val="24"/>
        </w:rPr>
      </w:pPr>
      <w:r w:rsidRPr="00FC4543">
        <w:rPr>
          <w:szCs w:val="24"/>
        </w:rPr>
        <w:t xml:space="preserve">The final analytical goal is to assess change in characteristics </w:t>
      </w:r>
      <w:r w:rsidR="000673DD">
        <w:rPr>
          <w:szCs w:val="24"/>
        </w:rPr>
        <w:t>since enrollment</w:t>
      </w:r>
      <w:r w:rsidRPr="00FC4543">
        <w:rPr>
          <w:szCs w:val="24"/>
        </w:rPr>
        <w:t xml:space="preserve">. </w:t>
      </w:r>
      <w:r w:rsidR="009006AA">
        <w:rPr>
          <w:szCs w:val="24"/>
        </w:rPr>
        <w:t>T</w:t>
      </w:r>
      <w:r w:rsidR="000673DD">
        <w:rPr>
          <w:szCs w:val="24"/>
        </w:rPr>
        <w:t xml:space="preserve">he </w:t>
      </w:r>
      <w:r w:rsidR="009006AA">
        <w:rPr>
          <w:szCs w:val="24"/>
        </w:rPr>
        <w:t xml:space="preserve">proposed </w:t>
      </w:r>
      <w:r w:rsidR="000673DD">
        <w:rPr>
          <w:szCs w:val="24"/>
        </w:rPr>
        <w:t>re-examination</w:t>
      </w:r>
      <w:r w:rsidR="009006AA">
        <w:rPr>
          <w:szCs w:val="24"/>
        </w:rPr>
        <w:t xml:space="preserve"> (Visit 2)</w:t>
      </w:r>
      <w:r w:rsidR="000673DD">
        <w:rPr>
          <w:szCs w:val="24"/>
        </w:rPr>
        <w:t xml:space="preserve"> </w:t>
      </w:r>
      <w:r w:rsidR="009006AA">
        <w:rPr>
          <w:szCs w:val="24"/>
        </w:rPr>
        <w:t xml:space="preserve">will provide the opportunity to reassess </w:t>
      </w:r>
      <w:r w:rsidR="000673DD">
        <w:rPr>
          <w:szCs w:val="24"/>
        </w:rPr>
        <w:t>select cardiovascular risk factors and other variables</w:t>
      </w:r>
      <w:r w:rsidR="009006AA">
        <w:rPr>
          <w:szCs w:val="24"/>
        </w:rPr>
        <w:t>, and describe the mediators of change in risk and development of overt disease</w:t>
      </w:r>
      <w:r w:rsidR="000673DD">
        <w:rPr>
          <w:szCs w:val="24"/>
        </w:rPr>
        <w:t>.</w:t>
      </w:r>
      <w:r w:rsidR="009006AA">
        <w:rPr>
          <w:szCs w:val="24"/>
        </w:rPr>
        <w:t xml:space="preserve"> </w:t>
      </w:r>
      <w:r w:rsidR="000673DD">
        <w:rPr>
          <w:szCs w:val="24"/>
        </w:rPr>
        <w:t xml:space="preserve"> </w:t>
      </w:r>
      <w:r w:rsidR="008939A7">
        <w:rPr>
          <w:szCs w:val="24"/>
        </w:rPr>
        <w:t xml:space="preserve">Since the baseline findings demonstrate that the prevalence of cardiovascular risk factors among this cohort of diverse Hispanic groups of origin is widespread and number of risk factors varies according to Hispanic group, the reassessment of risk factors will provide a unique opportunity to objectively measure changes over time, and </w:t>
      </w:r>
      <w:r w:rsidR="005E6A07">
        <w:rPr>
          <w:szCs w:val="24"/>
        </w:rPr>
        <w:t>statistically powered assessment of risk</w:t>
      </w:r>
      <w:r w:rsidRPr="00FC4543">
        <w:rPr>
          <w:szCs w:val="24"/>
        </w:rPr>
        <w:t xml:space="preserve">.  </w:t>
      </w:r>
    </w:p>
    <w:p w14:paraId="55623316" w14:textId="77777777" w:rsidR="00A52CA3" w:rsidRDefault="00A52CA3" w:rsidP="00A52CA3">
      <w:pPr>
        <w:spacing w:line="276" w:lineRule="auto"/>
        <w:rPr>
          <w:szCs w:val="24"/>
        </w:rPr>
      </w:pPr>
    </w:p>
    <w:p w14:paraId="7A1035FB" w14:textId="77777777" w:rsidR="009D5090" w:rsidRDefault="009D5090" w:rsidP="00A52CA3">
      <w:pPr>
        <w:spacing w:line="276" w:lineRule="auto"/>
        <w:jc w:val="center"/>
        <w:rPr>
          <w:i/>
          <w:szCs w:val="24"/>
        </w:rPr>
      </w:pPr>
    </w:p>
    <w:p w14:paraId="36EC8CBC" w14:textId="77777777" w:rsidR="00B35A07" w:rsidRPr="00A52CA3" w:rsidRDefault="00B35A07" w:rsidP="00A52CA3">
      <w:pPr>
        <w:spacing w:line="276" w:lineRule="auto"/>
        <w:jc w:val="center"/>
        <w:rPr>
          <w:i/>
          <w:szCs w:val="24"/>
        </w:rPr>
      </w:pPr>
      <w:r w:rsidRPr="00A52CA3">
        <w:rPr>
          <w:i/>
          <w:szCs w:val="24"/>
        </w:rPr>
        <w:lastRenderedPageBreak/>
        <w:t>Sample Size/Power Analysis</w:t>
      </w:r>
    </w:p>
    <w:p w14:paraId="0F8B484E" w14:textId="01C95A86" w:rsidR="00182CC3" w:rsidRPr="00FC4543" w:rsidRDefault="00D16DBD" w:rsidP="00A52CA3">
      <w:pPr>
        <w:spacing w:line="276" w:lineRule="auto"/>
        <w:ind w:firstLine="720"/>
        <w:rPr>
          <w:szCs w:val="24"/>
        </w:rPr>
      </w:pPr>
      <w:r>
        <w:rPr>
          <w:szCs w:val="24"/>
        </w:rPr>
        <w:t>The following table</w:t>
      </w:r>
      <w:r w:rsidR="009D5090">
        <w:rPr>
          <w:szCs w:val="24"/>
        </w:rPr>
        <w:t xml:space="preserve"> (</w:t>
      </w:r>
      <w:r w:rsidR="009D5090" w:rsidRPr="009D5090">
        <w:rPr>
          <w:b/>
          <w:szCs w:val="24"/>
        </w:rPr>
        <w:t>Table B.2</w:t>
      </w:r>
      <w:r w:rsidR="009D5090">
        <w:rPr>
          <w:szCs w:val="24"/>
        </w:rPr>
        <w:t>.)</w:t>
      </w:r>
      <w:r>
        <w:rPr>
          <w:szCs w:val="24"/>
        </w:rPr>
        <w:t xml:space="preserve"> presents the estimated number of participants projected to attend Visit 2 based on an assumption that a minimum of 8</w:t>
      </w:r>
      <w:r w:rsidR="00FB154B">
        <w:rPr>
          <w:szCs w:val="24"/>
        </w:rPr>
        <w:t>5</w:t>
      </w:r>
      <w:r>
        <w:rPr>
          <w:szCs w:val="24"/>
        </w:rPr>
        <w:t xml:space="preserve">% of the participants </w:t>
      </w:r>
      <w:r w:rsidR="0089549F">
        <w:rPr>
          <w:szCs w:val="24"/>
        </w:rPr>
        <w:t>will return for a re-examination</w:t>
      </w:r>
      <w:r>
        <w:rPr>
          <w:szCs w:val="24"/>
        </w:rPr>
        <w:t>.</w:t>
      </w:r>
    </w:p>
    <w:p w14:paraId="151335ED" w14:textId="77777777" w:rsidR="00D16DBD" w:rsidRPr="00FC4543" w:rsidRDefault="00D16DBD" w:rsidP="00D16DBD">
      <w:pPr>
        <w:rPr>
          <w:szCs w:val="24"/>
        </w:rPr>
      </w:pPr>
    </w:p>
    <w:p w14:paraId="1D087DD2" w14:textId="6E997E23" w:rsidR="00D16DBD" w:rsidRPr="00C22A4F" w:rsidRDefault="00D16DBD" w:rsidP="00D16DBD">
      <w:pPr>
        <w:rPr>
          <w:smallCaps/>
          <w:szCs w:val="24"/>
          <w:highlight w:val="yellow"/>
        </w:rPr>
      </w:pPr>
      <w:r w:rsidRPr="00A52CA3">
        <w:rPr>
          <w:smallCaps/>
          <w:szCs w:val="24"/>
        </w:rPr>
        <w:tab/>
      </w:r>
      <w:r w:rsidRPr="00C22A4F">
        <w:rPr>
          <w:smallCaps/>
          <w:szCs w:val="24"/>
          <w:highlight w:val="yellow"/>
        </w:rPr>
        <w:t xml:space="preserve">Table </w:t>
      </w:r>
      <w:proofErr w:type="gramStart"/>
      <w:r w:rsidR="00DE1C24" w:rsidRPr="00C22A4F">
        <w:rPr>
          <w:smallCaps/>
          <w:szCs w:val="24"/>
          <w:highlight w:val="yellow"/>
        </w:rPr>
        <w:t xml:space="preserve">B.2 </w:t>
      </w:r>
      <w:r w:rsidR="00A52CA3" w:rsidRPr="00C22A4F">
        <w:rPr>
          <w:smallCaps/>
          <w:szCs w:val="24"/>
          <w:highlight w:val="yellow"/>
        </w:rPr>
        <w:t>.</w:t>
      </w:r>
      <w:proofErr w:type="gramEnd"/>
      <w:r w:rsidR="00A52CA3" w:rsidRPr="00C22A4F">
        <w:rPr>
          <w:smallCaps/>
          <w:szCs w:val="24"/>
          <w:highlight w:val="yellow"/>
        </w:rPr>
        <w:t xml:space="preserve"> </w:t>
      </w:r>
      <w:r w:rsidRPr="00C22A4F">
        <w:rPr>
          <w:smallCaps/>
          <w:szCs w:val="24"/>
          <w:highlight w:val="yellow"/>
        </w:rPr>
        <w:t>Estimated</w:t>
      </w:r>
      <w:r w:rsidR="00737828" w:rsidRPr="00C22A4F">
        <w:rPr>
          <w:smallCaps/>
          <w:szCs w:val="24"/>
          <w:highlight w:val="yellow"/>
        </w:rPr>
        <w:t xml:space="preserve"> Number </w:t>
      </w:r>
      <w:proofErr w:type="gramStart"/>
      <w:r w:rsidR="00737828" w:rsidRPr="00C22A4F">
        <w:rPr>
          <w:smallCaps/>
          <w:szCs w:val="24"/>
          <w:highlight w:val="yellow"/>
        </w:rPr>
        <w:t xml:space="preserve">of </w:t>
      </w:r>
      <w:r w:rsidRPr="00C22A4F">
        <w:rPr>
          <w:smallCaps/>
          <w:szCs w:val="24"/>
          <w:highlight w:val="yellow"/>
        </w:rPr>
        <w:t xml:space="preserve"> HCHS</w:t>
      </w:r>
      <w:proofErr w:type="gramEnd"/>
      <w:r w:rsidRPr="00C22A4F">
        <w:rPr>
          <w:smallCaps/>
          <w:szCs w:val="24"/>
          <w:highlight w:val="yellow"/>
        </w:rPr>
        <w:t>/SOL Visit 2 Examination Participants</w:t>
      </w:r>
    </w:p>
    <w:tbl>
      <w:tblPr>
        <w:tblW w:w="0" w:type="auto"/>
        <w:jc w:val="center"/>
        <w:tblLayout w:type="fixed"/>
        <w:tblCellMar>
          <w:left w:w="67" w:type="dxa"/>
          <w:right w:w="67" w:type="dxa"/>
        </w:tblCellMar>
        <w:tblLook w:val="0000" w:firstRow="0" w:lastRow="0" w:firstColumn="0" w:lastColumn="0" w:noHBand="0" w:noVBand="0"/>
      </w:tblPr>
      <w:tblGrid>
        <w:gridCol w:w="1651"/>
        <w:gridCol w:w="1057"/>
        <w:gridCol w:w="960"/>
        <w:gridCol w:w="715"/>
        <w:gridCol w:w="865"/>
        <w:gridCol w:w="715"/>
        <w:gridCol w:w="960"/>
        <w:gridCol w:w="1200"/>
        <w:gridCol w:w="693"/>
      </w:tblGrid>
      <w:tr w:rsidR="009A2231" w:rsidRPr="00C22A4F" w14:paraId="6253CA8A" w14:textId="77777777" w:rsidTr="00DE1C24">
        <w:trPr>
          <w:cantSplit/>
          <w:tblHeader/>
          <w:jc w:val="center"/>
        </w:trPr>
        <w:tc>
          <w:tcPr>
            <w:tcW w:w="1651" w:type="dxa"/>
            <w:vMerge w:val="restart"/>
            <w:tcBorders>
              <w:top w:val="single" w:sz="4" w:space="0" w:color="auto"/>
              <w:left w:val="single" w:sz="4" w:space="0" w:color="auto"/>
              <w:right w:val="single" w:sz="4" w:space="0" w:color="auto"/>
            </w:tcBorders>
            <w:shd w:val="clear" w:color="auto" w:fill="FFFFFF"/>
            <w:vAlign w:val="center"/>
          </w:tcPr>
          <w:p w14:paraId="5A5932DC"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Community</w:t>
            </w:r>
          </w:p>
        </w:tc>
        <w:tc>
          <w:tcPr>
            <w:tcW w:w="7165"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2B010CC6" w14:textId="77777777" w:rsidR="009A2231" w:rsidRPr="00C22A4F" w:rsidRDefault="009A2231" w:rsidP="00DE1C24">
            <w:pPr>
              <w:keepNext/>
              <w:adjustRightInd w:val="0"/>
              <w:spacing w:before="67" w:after="67"/>
              <w:jc w:val="center"/>
              <w:rPr>
                <w:rFonts w:cs="Arial"/>
                <w:iCs/>
                <w:color w:val="000000"/>
                <w:sz w:val="19"/>
                <w:szCs w:val="19"/>
                <w:highlight w:val="yellow"/>
              </w:rPr>
            </w:pPr>
            <w:r w:rsidRPr="00C22A4F">
              <w:rPr>
                <w:rFonts w:cs="Arial"/>
                <w:iCs/>
                <w:color w:val="000000"/>
                <w:sz w:val="19"/>
                <w:szCs w:val="19"/>
                <w:highlight w:val="yellow"/>
              </w:rPr>
              <w:t>Country of Origin</w:t>
            </w:r>
          </w:p>
        </w:tc>
      </w:tr>
      <w:tr w:rsidR="009A2231" w:rsidRPr="00C22A4F" w14:paraId="38231BBC" w14:textId="77777777" w:rsidTr="00DE1C24">
        <w:trPr>
          <w:cantSplit/>
          <w:tblHeader/>
          <w:jc w:val="center"/>
        </w:trPr>
        <w:tc>
          <w:tcPr>
            <w:tcW w:w="1651" w:type="dxa"/>
            <w:vMerge/>
            <w:tcBorders>
              <w:left w:val="single" w:sz="4" w:space="0" w:color="auto"/>
              <w:bottom w:val="single" w:sz="4" w:space="0" w:color="auto"/>
              <w:right w:val="single" w:sz="4" w:space="0" w:color="auto"/>
            </w:tcBorders>
            <w:shd w:val="clear" w:color="auto" w:fill="FFFFFF"/>
          </w:tcPr>
          <w:p w14:paraId="438DFC54" w14:textId="77777777" w:rsidR="009A2231" w:rsidRPr="00C22A4F" w:rsidRDefault="009A2231" w:rsidP="00DE1C24">
            <w:pPr>
              <w:keepNext/>
              <w:adjustRightInd w:val="0"/>
              <w:spacing w:before="67" w:after="67"/>
              <w:rPr>
                <w:rFonts w:cs="Arial"/>
                <w:iCs/>
                <w:color w:val="000000"/>
                <w:sz w:val="19"/>
                <w:szCs w:val="19"/>
                <w:highlight w:val="yellow"/>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bottom"/>
          </w:tcPr>
          <w:p w14:paraId="39160772"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Dominican</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14:paraId="1D286D98"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Central American</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33011724"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Cuban</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bottom"/>
          </w:tcPr>
          <w:p w14:paraId="4BE19F63"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Mexican</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bottom"/>
          </w:tcPr>
          <w:p w14:paraId="29AC749B"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Puerto Rican</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bottom"/>
          </w:tcPr>
          <w:p w14:paraId="58021767"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South American</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bottom"/>
          </w:tcPr>
          <w:p w14:paraId="6348B3FD"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Mixed/Other</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bottom"/>
          </w:tcPr>
          <w:p w14:paraId="772DEE7D" w14:textId="77777777" w:rsidR="009A2231" w:rsidRPr="00C22A4F" w:rsidRDefault="009A2231" w:rsidP="00DE1C24">
            <w:pPr>
              <w:keepNext/>
              <w:adjustRightInd w:val="0"/>
              <w:spacing w:before="67" w:after="67"/>
              <w:jc w:val="right"/>
              <w:rPr>
                <w:rFonts w:cs="Arial"/>
                <w:iCs/>
                <w:color w:val="000000"/>
                <w:sz w:val="19"/>
                <w:szCs w:val="19"/>
                <w:highlight w:val="yellow"/>
              </w:rPr>
            </w:pPr>
            <w:r w:rsidRPr="00C22A4F">
              <w:rPr>
                <w:rFonts w:cs="Arial"/>
                <w:iCs/>
                <w:color w:val="000000"/>
                <w:sz w:val="19"/>
                <w:szCs w:val="19"/>
                <w:highlight w:val="yellow"/>
              </w:rPr>
              <w:t>Total</w:t>
            </w:r>
          </w:p>
        </w:tc>
      </w:tr>
      <w:tr w:rsidR="009A2231" w:rsidRPr="00C22A4F" w14:paraId="68ACF1E9"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35EBCB8C"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Bronx</w:t>
            </w:r>
          </w:p>
        </w:tc>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14:paraId="31EC81F1" w14:textId="791D7EFD" w:rsidR="009A2231" w:rsidRPr="00C22A4F" w:rsidRDefault="009A2231" w:rsidP="003E3A6E">
            <w:pPr>
              <w:jc w:val="center"/>
              <w:rPr>
                <w:sz w:val="19"/>
                <w:szCs w:val="19"/>
                <w:highlight w:val="yellow"/>
              </w:rPr>
            </w:pPr>
            <w:r w:rsidRPr="00C22A4F">
              <w:rPr>
                <w:sz w:val="19"/>
                <w:szCs w:val="19"/>
                <w:highlight w:val="yellow"/>
              </w:rPr>
              <w:t>1</w:t>
            </w:r>
            <w:r w:rsidR="003E3A6E" w:rsidRPr="00C22A4F">
              <w:rPr>
                <w:sz w:val="19"/>
                <w:szCs w:val="19"/>
                <w:highlight w:val="yellow"/>
              </w:rPr>
              <w:t>173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5941CA59" w14:textId="3090421C" w:rsidR="009A2231" w:rsidRPr="00C22A4F" w:rsidRDefault="003E3A6E" w:rsidP="00DE1C24">
            <w:pPr>
              <w:jc w:val="center"/>
              <w:rPr>
                <w:sz w:val="19"/>
                <w:szCs w:val="19"/>
                <w:highlight w:val="yellow"/>
              </w:rPr>
            </w:pPr>
            <w:r w:rsidRPr="00C22A4F">
              <w:rPr>
                <w:sz w:val="19"/>
                <w:szCs w:val="19"/>
                <w:highlight w:val="yellow"/>
              </w:rPr>
              <w:t>186</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4BFCA354" w14:textId="325058E0" w:rsidR="009A2231" w:rsidRPr="00C22A4F" w:rsidRDefault="003E3A6E" w:rsidP="00DE1C24">
            <w:pPr>
              <w:jc w:val="center"/>
              <w:rPr>
                <w:sz w:val="19"/>
                <w:szCs w:val="19"/>
                <w:highlight w:val="yellow"/>
              </w:rPr>
            </w:pPr>
            <w:r w:rsidRPr="00C22A4F">
              <w:rPr>
                <w:sz w:val="19"/>
                <w:szCs w:val="19"/>
                <w:highlight w:val="yellow"/>
              </w:rPr>
              <w:t>38</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3612B60B" w14:textId="201622CC" w:rsidR="009A2231" w:rsidRPr="00C22A4F" w:rsidRDefault="003E3A6E" w:rsidP="00DE1C24">
            <w:pPr>
              <w:jc w:val="center"/>
              <w:rPr>
                <w:sz w:val="19"/>
                <w:szCs w:val="19"/>
                <w:highlight w:val="yellow"/>
              </w:rPr>
            </w:pPr>
            <w:r w:rsidRPr="00C22A4F">
              <w:rPr>
                <w:sz w:val="19"/>
                <w:szCs w:val="19"/>
                <w:highlight w:val="yellow"/>
              </w:rPr>
              <w:t>177</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06DE8663" w14:textId="2E194AC6" w:rsidR="009A2231" w:rsidRPr="00C22A4F" w:rsidRDefault="009A2231" w:rsidP="00DE1C24">
            <w:pPr>
              <w:jc w:val="center"/>
              <w:rPr>
                <w:sz w:val="19"/>
                <w:szCs w:val="19"/>
                <w:highlight w:val="yellow"/>
              </w:rPr>
            </w:pPr>
            <w:r w:rsidRPr="00C22A4F">
              <w:rPr>
                <w:sz w:val="19"/>
                <w:szCs w:val="19"/>
                <w:highlight w:val="yellow"/>
              </w:rPr>
              <w:t>1</w:t>
            </w:r>
            <w:r w:rsidR="003E3A6E" w:rsidRPr="00C22A4F">
              <w:rPr>
                <w:sz w:val="19"/>
                <w:szCs w:val="19"/>
                <w:highlight w:val="yellow"/>
              </w:rPr>
              <w:t>561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21D634E5" w14:textId="668601D2" w:rsidR="009A2231" w:rsidRPr="00C22A4F" w:rsidRDefault="009A2231" w:rsidP="00DE1C24">
            <w:pPr>
              <w:jc w:val="center"/>
              <w:rPr>
                <w:sz w:val="19"/>
                <w:szCs w:val="19"/>
                <w:highlight w:val="yellow"/>
              </w:rPr>
            </w:pPr>
            <w:r w:rsidRPr="00C22A4F">
              <w:rPr>
                <w:sz w:val="19"/>
                <w:szCs w:val="19"/>
                <w:highlight w:val="yellow"/>
              </w:rPr>
              <w:t>1</w:t>
            </w:r>
            <w:r w:rsidR="003E3A6E" w:rsidRPr="00C22A4F">
              <w:rPr>
                <w:sz w:val="19"/>
                <w:szCs w:val="19"/>
                <w:highlight w:val="yellow"/>
              </w:rPr>
              <w:t>59</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31B8001F" w14:textId="24D95FED" w:rsidR="009A2231" w:rsidRPr="00C22A4F" w:rsidRDefault="007C778B" w:rsidP="007C778B">
            <w:pPr>
              <w:jc w:val="center"/>
              <w:rPr>
                <w:sz w:val="19"/>
                <w:szCs w:val="19"/>
                <w:highlight w:val="yellow"/>
              </w:rPr>
            </w:pPr>
            <w:r w:rsidRPr="00C22A4F">
              <w:rPr>
                <w:sz w:val="19"/>
                <w:szCs w:val="19"/>
                <w:highlight w:val="yellow"/>
              </w:rPr>
              <w:t>17</w:t>
            </w:r>
            <w:r w:rsidR="009A2231" w:rsidRPr="00C22A4F">
              <w:rPr>
                <w:sz w:val="19"/>
                <w:szCs w:val="19"/>
                <w:highlight w:val="yellow"/>
              </w:rPr>
              <w:t>0</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7AE97150" w14:textId="43F18D00" w:rsidR="009A2231" w:rsidRPr="00C22A4F" w:rsidRDefault="007C778B" w:rsidP="00DE1C24">
            <w:pPr>
              <w:jc w:val="center"/>
              <w:rPr>
                <w:sz w:val="19"/>
                <w:szCs w:val="19"/>
                <w:highlight w:val="yellow"/>
              </w:rPr>
            </w:pPr>
            <w:r w:rsidRPr="00C22A4F">
              <w:rPr>
                <w:sz w:val="19"/>
                <w:szCs w:val="19"/>
                <w:highlight w:val="yellow"/>
              </w:rPr>
              <w:t>3464</w:t>
            </w:r>
          </w:p>
        </w:tc>
      </w:tr>
      <w:tr w:rsidR="009A2231" w:rsidRPr="00C22A4F" w14:paraId="7C8B0DBA"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4DC96E68"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Chicago</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439D61CD" w14:textId="6AEA60BF" w:rsidR="009A2231" w:rsidRPr="00C22A4F" w:rsidRDefault="009A2231" w:rsidP="003E3A6E">
            <w:pPr>
              <w:jc w:val="center"/>
              <w:rPr>
                <w:sz w:val="19"/>
                <w:szCs w:val="19"/>
                <w:highlight w:val="yellow"/>
              </w:rPr>
            </w:pPr>
            <w:r w:rsidRPr="00C22A4F">
              <w:rPr>
                <w:sz w:val="19"/>
                <w:szCs w:val="19"/>
                <w:highlight w:val="yellow"/>
              </w:rPr>
              <w:t>2</w:t>
            </w:r>
            <w:r w:rsidR="003E3A6E" w:rsidRPr="00C22A4F">
              <w:rPr>
                <w:sz w:val="19"/>
                <w:szCs w:val="19"/>
                <w:highlight w:val="yellow"/>
              </w:rPr>
              <w:t>3</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07BDBD08" w14:textId="68FBDD6B" w:rsidR="009A2231" w:rsidRPr="00C22A4F" w:rsidRDefault="003E3A6E" w:rsidP="003E3A6E">
            <w:pPr>
              <w:jc w:val="center"/>
              <w:rPr>
                <w:sz w:val="19"/>
                <w:szCs w:val="19"/>
                <w:highlight w:val="yellow"/>
              </w:rPr>
            </w:pPr>
            <w:r w:rsidRPr="00C22A4F">
              <w:rPr>
                <w:sz w:val="19"/>
                <w:szCs w:val="19"/>
                <w:highlight w:val="yellow"/>
              </w:rPr>
              <w:t>355</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1509A14B" w14:textId="56ECDD27" w:rsidR="009A2231" w:rsidRPr="00C22A4F" w:rsidRDefault="009A2231" w:rsidP="00DE1C24">
            <w:pPr>
              <w:jc w:val="center"/>
              <w:rPr>
                <w:sz w:val="19"/>
                <w:szCs w:val="19"/>
                <w:highlight w:val="yellow"/>
              </w:rPr>
            </w:pPr>
            <w:r w:rsidRPr="00C22A4F">
              <w:rPr>
                <w:sz w:val="19"/>
                <w:szCs w:val="19"/>
                <w:highlight w:val="yellow"/>
              </w:rPr>
              <w:t>2</w:t>
            </w:r>
            <w:r w:rsidR="003E3A6E" w:rsidRPr="00C22A4F">
              <w:rPr>
                <w:sz w:val="19"/>
                <w:szCs w:val="19"/>
                <w:highlight w:val="yellow"/>
              </w:rPr>
              <w:t>1</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2D7D755E" w14:textId="6160788D" w:rsidR="009A2231" w:rsidRPr="00C22A4F" w:rsidRDefault="009A2231" w:rsidP="003E3A6E">
            <w:pPr>
              <w:jc w:val="center"/>
              <w:rPr>
                <w:sz w:val="19"/>
                <w:szCs w:val="19"/>
                <w:highlight w:val="yellow"/>
              </w:rPr>
            </w:pPr>
            <w:r w:rsidRPr="00C22A4F">
              <w:rPr>
                <w:sz w:val="19"/>
                <w:szCs w:val="19"/>
                <w:highlight w:val="yellow"/>
              </w:rPr>
              <w:t>2</w:t>
            </w:r>
            <w:r w:rsidR="003E3A6E" w:rsidRPr="00C22A4F">
              <w:rPr>
                <w:sz w:val="19"/>
                <w:szCs w:val="19"/>
                <w:highlight w:val="yellow"/>
              </w:rPr>
              <w:t>048</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410C56B0" w14:textId="603F725A" w:rsidR="009A2231" w:rsidRPr="00C22A4F" w:rsidRDefault="003E3A6E" w:rsidP="007C778B">
            <w:pPr>
              <w:jc w:val="center"/>
              <w:rPr>
                <w:sz w:val="19"/>
                <w:szCs w:val="19"/>
                <w:highlight w:val="yellow"/>
              </w:rPr>
            </w:pPr>
            <w:r w:rsidRPr="00C22A4F">
              <w:rPr>
                <w:sz w:val="19"/>
                <w:szCs w:val="19"/>
                <w:highlight w:val="yellow"/>
              </w:rPr>
              <w:t>65</w:t>
            </w:r>
            <w:r w:rsidR="007C778B" w:rsidRPr="00C22A4F">
              <w:rPr>
                <w:sz w:val="19"/>
                <w:szCs w:val="19"/>
                <w:highlight w:val="yellow"/>
              </w:rPr>
              <w:t>4</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116678FB" w14:textId="61D6E171" w:rsidR="009A2231" w:rsidRPr="00C22A4F" w:rsidRDefault="009A2231" w:rsidP="00DE1C24">
            <w:pPr>
              <w:jc w:val="center"/>
              <w:rPr>
                <w:sz w:val="19"/>
                <w:szCs w:val="19"/>
                <w:highlight w:val="yellow"/>
              </w:rPr>
            </w:pPr>
            <w:r w:rsidRPr="00C22A4F">
              <w:rPr>
                <w:sz w:val="19"/>
                <w:szCs w:val="19"/>
                <w:highlight w:val="yellow"/>
              </w:rPr>
              <w:t>3</w:t>
            </w:r>
            <w:r w:rsidR="003E3A6E" w:rsidRPr="00C22A4F">
              <w:rPr>
                <w:sz w:val="19"/>
                <w:szCs w:val="19"/>
                <w:highlight w:val="yellow"/>
              </w:rPr>
              <w:t>18</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233BDCE6" w14:textId="1C4AD058" w:rsidR="009A2231" w:rsidRPr="00C22A4F" w:rsidRDefault="007C778B" w:rsidP="00DE1C24">
            <w:pPr>
              <w:jc w:val="center"/>
              <w:rPr>
                <w:sz w:val="19"/>
                <w:szCs w:val="19"/>
                <w:highlight w:val="yellow"/>
              </w:rPr>
            </w:pPr>
            <w:r w:rsidRPr="00C22A4F">
              <w:rPr>
                <w:sz w:val="19"/>
                <w:szCs w:val="19"/>
                <w:highlight w:val="yellow"/>
              </w:rPr>
              <w:t>85</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4A96215F" w14:textId="68C36118" w:rsidR="009A2231" w:rsidRPr="00C22A4F" w:rsidRDefault="007C778B" w:rsidP="007C778B">
            <w:pPr>
              <w:jc w:val="center"/>
              <w:rPr>
                <w:sz w:val="19"/>
                <w:szCs w:val="19"/>
                <w:highlight w:val="yellow"/>
              </w:rPr>
            </w:pPr>
            <w:r w:rsidRPr="00C22A4F">
              <w:rPr>
                <w:sz w:val="19"/>
                <w:szCs w:val="19"/>
                <w:highlight w:val="yellow"/>
              </w:rPr>
              <w:t>3504</w:t>
            </w:r>
          </w:p>
        </w:tc>
      </w:tr>
      <w:tr w:rsidR="009A2231" w:rsidRPr="00C22A4F" w14:paraId="2FDE2803"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7D9A9F10"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Miami</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2FD52AD0" w14:textId="6E384AE3" w:rsidR="009A2231" w:rsidRPr="00C22A4F" w:rsidRDefault="003E3A6E" w:rsidP="003E3A6E">
            <w:pPr>
              <w:jc w:val="center"/>
              <w:rPr>
                <w:sz w:val="19"/>
                <w:szCs w:val="19"/>
                <w:highlight w:val="yellow"/>
              </w:rPr>
            </w:pPr>
            <w:r w:rsidRPr="00C22A4F">
              <w:rPr>
                <w:sz w:val="19"/>
                <w:szCs w:val="19"/>
                <w:highlight w:val="yellow"/>
              </w:rPr>
              <w:t>54</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1FD84D19" w14:textId="189D3B97" w:rsidR="009A2231" w:rsidRPr="00C22A4F" w:rsidRDefault="003E3A6E" w:rsidP="003E3A6E">
            <w:pPr>
              <w:jc w:val="center"/>
              <w:rPr>
                <w:sz w:val="19"/>
                <w:szCs w:val="19"/>
                <w:highlight w:val="yellow"/>
              </w:rPr>
            </w:pPr>
            <w:r w:rsidRPr="00C22A4F">
              <w:rPr>
                <w:sz w:val="19"/>
                <w:szCs w:val="19"/>
                <w:highlight w:val="yellow"/>
              </w:rPr>
              <w:t>879</w:t>
            </w:r>
          </w:p>
        </w:tc>
        <w:tc>
          <w:tcPr>
            <w:tcW w:w="715" w:type="dxa"/>
            <w:tcBorders>
              <w:top w:val="single" w:sz="4" w:space="0" w:color="auto"/>
              <w:left w:val="single" w:sz="4" w:space="0" w:color="auto"/>
              <w:bottom w:val="single" w:sz="4" w:space="0" w:color="auto"/>
              <w:right w:val="single" w:sz="4" w:space="0" w:color="auto"/>
            </w:tcBorders>
            <w:shd w:val="clear" w:color="auto" w:fill="D9D9D9"/>
            <w:vAlign w:val="center"/>
          </w:tcPr>
          <w:p w14:paraId="48128243" w14:textId="55AFCDBD" w:rsidR="009A2231" w:rsidRPr="00C22A4F" w:rsidRDefault="003E3A6E" w:rsidP="003E3A6E">
            <w:pPr>
              <w:jc w:val="center"/>
              <w:rPr>
                <w:sz w:val="19"/>
                <w:szCs w:val="19"/>
                <w:highlight w:val="yellow"/>
              </w:rPr>
            </w:pPr>
            <w:r w:rsidRPr="00C22A4F">
              <w:rPr>
                <w:sz w:val="19"/>
                <w:szCs w:val="19"/>
                <w:highlight w:val="yellow"/>
              </w:rPr>
              <w:t>1929</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91C1770" w14:textId="3A60D78F" w:rsidR="009A2231" w:rsidRPr="00C22A4F" w:rsidRDefault="009A2231" w:rsidP="00DE1C24">
            <w:pPr>
              <w:jc w:val="center"/>
              <w:rPr>
                <w:sz w:val="19"/>
                <w:szCs w:val="19"/>
                <w:highlight w:val="yellow"/>
              </w:rPr>
            </w:pPr>
            <w:r w:rsidRPr="00C22A4F">
              <w:rPr>
                <w:sz w:val="19"/>
                <w:szCs w:val="19"/>
                <w:highlight w:val="yellow"/>
              </w:rPr>
              <w:t>3</w:t>
            </w:r>
            <w:r w:rsidR="003E3A6E" w:rsidRPr="00C22A4F">
              <w:rPr>
                <w:sz w:val="19"/>
                <w:szCs w:val="19"/>
                <w:highlight w:val="yellow"/>
              </w:rPr>
              <w:t>2</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15BBE806" w14:textId="13086D5C" w:rsidR="009A2231" w:rsidRPr="00C22A4F" w:rsidRDefault="003E3A6E" w:rsidP="003E3A6E">
            <w:pPr>
              <w:jc w:val="center"/>
              <w:rPr>
                <w:sz w:val="19"/>
                <w:szCs w:val="19"/>
                <w:highlight w:val="yellow"/>
              </w:rPr>
            </w:pPr>
            <w:r w:rsidRPr="00C22A4F">
              <w:rPr>
                <w:sz w:val="19"/>
                <w:szCs w:val="19"/>
                <w:highlight w:val="yellow"/>
              </w:rPr>
              <w:t>70</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64C0FAD4" w14:textId="38378550" w:rsidR="009A2231" w:rsidRPr="00C22A4F" w:rsidRDefault="003E3A6E" w:rsidP="00DE1C24">
            <w:pPr>
              <w:jc w:val="center"/>
              <w:rPr>
                <w:sz w:val="19"/>
                <w:szCs w:val="19"/>
                <w:highlight w:val="yellow"/>
              </w:rPr>
            </w:pPr>
            <w:r w:rsidRPr="00C22A4F">
              <w:rPr>
                <w:sz w:val="19"/>
                <w:szCs w:val="19"/>
                <w:highlight w:val="yellow"/>
              </w:rPr>
              <w:t>398</w:t>
            </w:r>
          </w:p>
        </w:tc>
        <w:tc>
          <w:tcPr>
            <w:tcW w:w="1200" w:type="dxa"/>
            <w:tcBorders>
              <w:top w:val="single" w:sz="4" w:space="0" w:color="auto"/>
              <w:left w:val="single" w:sz="4" w:space="0" w:color="auto"/>
              <w:bottom w:val="single" w:sz="4" w:space="0" w:color="auto"/>
              <w:right w:val="single" w:sz="4" w:space="0" w:color="auto"/>
            </w:tcBorders>
            <w:shd w:val="clear" w:color="auto" w:fill="D9D9D9"/>
            <w:vAlign w:val="center"/>
          </w:tcPr>
          <w:p w14:paraId="5A639040" w14:textId="49C6CF5F" w:rsidR="009A2231" w:rsidRPr="00C22A4F" w:rsidRDefault="007C778B" w:rsidP="00DE1C24">
            <w:pPr>
              <w:jc w:val="center"/>
              <w:rPr>
                <w:sz w:val="19"/>
                <w:szCs w:val="19"/>
                <w:highlight w:val="yellow"/>
              </w:rPr>
            </w:pPr>
            <w:r w:rsidRPr="00C22A4F">
              <w:rPr>
                <w:sz w:val="19"/>
                <w:szCs w:val="19"/>
                <w:highlight w:val="yellow"/>
              </w:rPr>
              <w:t>95</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38A1BD0B" w14:textId="10611344" w:rsidR="009A2231" w:rsidRPr="00C22A4F" w:rsidRDefault="007C778B" w:rsidP="00DE1C24">
            <w:pPr>
              <w:jc w:val="center"/>
              <w:rPr>
                <w:sz w:val="19"/>
                <w:szCs w:val="19"/>
                <w:highlight w:val="yellow"/>
              </w:rPr>
            </w:pPr>
            <w:r w:rsidRPr="00C22A4F">
              <w:rPr>
                <w:sz w:val="19"/>
                <w:szCs w:val="19"/>
                <w:highlight w:val="yellow"/>
              </w:rPr>
              <w:t>3457</w:t>
            </w:r>
          </w:p>
        </w:tc>
      </w:tr>
      <w:tr w:rsidR="009A2231" w:rsidRPr="00C22A4F" w14:paraId="6960598A" w14:textId="77777777" w:rsidTr="00DE1C24">
        <w:trPr>
          <w:cantSplit/>
          <w:jc w:val="center"/>
        </w:trPr>
        <w:tc>
          <w:tcPr>
            <w:tcW w:w="1651" w:type="dxa"/>
            <w:tcBorders>
              <w:top w:val="single" w:sz="4" w:space="0" w:color="auto"/>
              <w:left w:val="single" w:sz="4" w:space="0" w:color="auto"/>
              <w:bottom w:val="single" w:sz="4" w:space="0" w:color="auto"/>
              <w:right w:val="single" w:sz="4" w:space="0" w:color="auto"/>
            </w:tcBorders>
            <w:shd w:val="clear" w:color="auto" w:fill="FFFFFF"/>
          </w:tcPr>
          <w:p w14:paraId="78B1CCD5"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San Diego</w:t>
            </w: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580C0E19" w14:textId="77777777" w:rsidR="009A2231" w:rsidRPr="00C22A4F" w:rsidRDefault="009A2231" w:rsidP="00DE1C24">
            <w:pPr>
              <w:jc w:val="center"/>
              <w:rPr>
                <w:sz w:val="19"/>
                <w:szCs w:val="19"/>
                <w:highlight w:val="yellow"/>
              </w:rPr>
            </w:pPr>
            <w:r w:rsidRPr="00C22A4F">
              <w:rPr>
                <w:sz w:val="19"/>
                <w:szCs w:val="19"/>
                <w:highlight w:val="yellow"/>
              </w:rPr>
              <w:t>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185C58C" w14:textId="2453D570" w:rsidR="009A2231" w:rsidRPr="00C22A4F" w:rsidRDefault="003E3A6E" w:rsidP="003E3A6E">
            <w:pPr>
              <w:jc w:val="center"/>
              <w:rPr>
                <w:sz w:val="19"/>
                <w:szCs w:val="19"/>
                <w:highlight w:val="yellow"/>
              </w:rPr>
            </w:pPr>
            <w:r w:rsidRPr="00C22A4F">
              <w:rPr>
                <w:sz w:val="19"/>
                <w:szCs w:val="19"/>
                <w:highlight w:val="yellow"/>
              </w:rPr>
              <w:t>52</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63F87E59" w14:textId="1E286132" w:rsidR="009A2231" w:rsidRPr="00C22A4F" w:rsidRDefault="003E3A6E" w:rsidP="003E3A6E">
            <w:pPr>
              <w:jc w:val="center"/>
              <w:rPr>
                <w:sz w:val="19"/>
                <w:szCs w:val="19"/>
                <w:highlight w:val="yellow"/>
              </w:rPr>
            </w:pPr>
            <w:r w:rsidRPr="00C22A4F">
              <w:rPr>
                <w:sz w:val="19"/>
                <w:szCs w:val="19"/>
                <w:highlight w:val="yellow"/>
              </w:rPr>
              <w:t>8</w:t>
            </w:r>
          </w:p>
        </w:tc>
        <w:tc>
          <w:tcPr>
            <w:tcW w:w="865" w:type="dxa"/>
            <w:tcBorders>
              <w:top w:val="single" w:sz="4" w:space="0" w:color="auto"/>
              <w:left w:val="single" w:sz="4" w:space="0" w:color="auto"/>
              <w:bottom w:val="single" w:sz="4" w:space="0" w:color="auto"/>
              <w:right w:val="single" w:sz="4" w:space="0" w:color="auto"/>
            </w:tcBorders>
            <w:shd w:val="clear" w:color="auto" w:fill="D9D9D9"/>
            <w:vAlign w:val="center"/>
          </w:tcPr>
          <w:p w14:paraId="4F140B26" w14:textId="013985A9" w:rsidR="009A2231" w:rsidRPr="00C22A4F" w:rsidRDefault="009A2231" w:rsidP="00DE1C24">
            <w:pPr>
              <w:jc w:val="center"/>
              <w:rPr>
                <w:sz w:val="19"/>
                <w:szCs w:val="19"/>
                <w:highlight w:val="yellow"/>
              </w:rPr>
            </w:pPr>
            <w:r w:rsidRPr="00C22A4F">
              <w:rPr>
                <w:sz w:val="19"/>
                <w:szCs w:val="19"/>
                <w:highlight w:val="yellow"/>
              </w:rPr>
              <w:t>3</w:t>
            </w:r>
            <w:r w:rsidR="003E3A6E" w:rsidRPr="00C22A4F">
              <w:rPr>
                <w:sz w:val="19"/>
                <w:szCs w:val="19"/>
                <w:highlight w:val="yellow"/>
              </w:rPr>
              <w:t>244</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14:paraId="4EFCA372" w14:textId="5E94F280" w:rsidR="009A2231" w:rsidRPr="00C22A4F" w:rsidRDefault="009A2231" w:rsidP="003E3A6E">
            <w:pPr>
              <w:jc w:val="center"/>
              <w:rPr>
                <w:sz w:val="19"/>
                <w:szCs w:val="19"/>
                <w:highlight w:val="yellow"/>
              </w:rPr>
            </w:pPr>
            <w:r w:rsidRPr="00C22A4F">
              <w:rPr>
                <w:sz w:val="19"/>
                <w:szCs w:val="19"/>
                <w:highlight w:val="yellow"/>
              </w:rPr>
              <w:t>3</w:t>
            </w:r>
            <w:r w:rsidR="003E3A6E" w:rsidRPr="00C22A4F">
              <w:rPr>
                <w:sz w:val="19"/>
                <w:szCs w:val="19"/>
                <w:highlight w:val="yellow"/>
              </w:rPr>
              <w:t>3</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D1722CE" w14:textId="2B59E1CA" w:rsidR="009A2231" w:rsidRPr="00C22A4F" w:rsidRDefault="003E3A6E" w:rsidP="00DE1C24">
            <w:pPr>
              <w:jc w:val="center"/>
              <w:rPr>
                <w:sz w:val="19"/>
                <w:szCs w:val="19"/>
                <w:highlight w:val="yellow"/>
              </w:rPr>
            </w:pPr>
            <w:r w:rsidRPr="00C22A4F">
              <w:rPr>
                <w:sz w:val="19"/>
                <w:szCs w:val="19"/>
                <w:highlight w:val="yellow"/>
              </w:rPr>
              <w:t>37</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14:paraId="0B9F233D" w14:textId="03C7D8EB" w:rsidR="009A2231" w:rsidRPr="00C22A4F" w:rsidRDefault="007C778B" w:rsidP="00DE1C24">
            <w:pPr>
              <w:jc w:val="center"/>
              <w:rPr>
                <w:sz w:val="19"/>
                <w:szCs w:val="19"/>
                <w:highlight w:val="yellow"/>
              </w:rPr>
            </w:pPr>
            <w:r w:rsidRPr="00C22A4F">
              <w:rPr>
                <w:sz w:val="19"/>
                <w:szCs w:val="19"/>
                <w:highlight w:val="yellow"/>
              </w:rPr>
              <w:t>77</w:t>
            </w:r>
          </w:p>
        </w:tc>
        <w:tc>
          <w:tcPr>
            <w:tcW w:w="693" w:type="dxa"/>
            <w:tcBorders>
              <w:top w:val="single" w:sz="4" w:space="0" w:color="auto"/>
              <w:left w:val="single" w:sz="4" w:space="0" w:color="auto"/>
              <w:bottom w:val="single" w:sz="4" w:space="0" w:color="auto"/>
              <w:right w:val="single" w:sz="4" w:space="0" w:color="auto"/>
            </w:tcBorders>
            <w:shd w:val="clear" w:color="auto" w:fill="FFFFFF"/>
            <w:vAlign w:val="center"/>
          </w:tcPr>
          <w:p w14:paraId="73178BF0" w14:textId="018FB1C0" w:rsidR="009A2231" w:rsidRPr="00C22A4F" w:rsidRDefault="007C778B" w:rsidP="00DE1C24">
            <w:pPr>
              <w:jc w:val="center"/>
              <w:rPr>
                <w:sz w:val="19"/>
                <w:szCs w:val="19"/>
                <w:highlight w:val="yellow"/>
              </w:rPr>
            </w:pPr>
            <w:r w:rsidRPr="00C22A4F">
              <w:rPr>
                <w:sz w:val="19"/>
                <w:szCs w:val="19"/>
                <w:highlight w:val="yellow"/>
              </w:rPr>
              <w:t>3453</w:t>
            </w:r>
          </w:p>
        </w:tc>
      </w:tr>
      <w:tr w:rsidR="009A2231" w14:paraId="67025460" w14:textId="77777777" w:rsidTr="00DE1C24">
        <w:trPr>
          <w:cantSplit/>
          <w:trHeight w:val="179"/>
          <w:jc w:val="center"/>
        </w:trPr>
        <w:tc>
          <w:tcPr>
            <w:tcW w:w="1651" w:type="dxa"/>
            <w:tcBorders>
              <w:top w:val="single" w:sz="4" w:space="0" w:color="auto"/>
              <w:left w:val="single" w:sz="4" w:space="0" w:color="auto"/>
              <w:bottom w:val="single" w:sz="4" w:space="0" w:color="000000"/>
              <w:right w:val="single" w:sz="4" w:space="0" w:color="auto"/>
            </w:tcBorders>
            <w:shd w:val="clear" w:color="auto" w:fill="FFFFFF"/>
          </w:tcPr>
          <w:p w14:paraId="3057FDCB" w14:textId="77777777" w:rsidR="009A2231" w:rsidRPr="00C22A4F" w:rsidRDefault="009A2231" w:rsidP="00DE1C24">
            <w:pPr>
              <w:keepNext/>
              <w:adjustRightInd w:val="0"/>
              <w:spacing w:before="67" w:after="67"/>
              <w:rPr>
                <w:rFonts w:cs="Arial"/>
                <w:iCs/>
                <w:color w:val="000000"/>
                <w:sz w:val="19"/>
                <w:szCs w:val="19"/>
                <w:highlight w:val="yellow"/>
              </w:rPr>
            </w:pPr>
            <w:r w:rsidRPr="00C22A4F">
              <w:rPr>
                <w:rFonts w:cs="Arial"/>
                <w:iCs/>
                <w:color w:val="000000"/>
                <w:sz w:val="19"/>
                <w:szCs w:val="19"/>
                <w:highlight w:val="yellow"/>
              </w:rPr>
              <w:t>Total</w:t>
            </w:r>
          </w:p>
        </w:tc>
        <w:tc>
          <w:tcPr>
            <w:tcW w:w="1057" w:type="dxa"/>
            <w:tcBorders>
              <w:top w:val="single" w:sz="4" w:space="0" w:color="auto"/>
              <w:left w:val="single" w:sz="4" w:space="0" w:color="auto"/>
              <w:bottom w:val="single" w:sz="4" w:space="0" w:color="000000"/>
              <w:right w:val="single" w:sz="4" w:space="0" w:color="auto"/>
            </w:tcBorders>
            <w:shd w:val="clear" w:color="auto" w:fill="FFFFFF"/>
            <w:vAlign w:val="center"/>
          </w:tcPr>
          <w:p w14:paraId="3AB0157C" w14:textId="7D193F35" w:rsidR="009A2231" w:rsidRPr="00C22A4F" w:rsidRDefault="009A2231" w:rsidP="00874857">
            <w:pPr>
              <w:jc w:val="center"/>
              <w:rPr>
                <w:sz w:val="19"/>
                <w:szCs w:val="19"/>
                <w:highlight w:val="yellow"/>
              </w:rPr>
            </w:pPr>
            <w:r w:rsidRPr="00C22A4F">
              <w:rPr>
                <w:sz w:val="19"/>
                <w:szCs w:val="19"/>
                <w:highlight w:val="yellow"/>
              </w:rPr>
              <w:t>1</w:t>
            </w:r>
            <w:r w:rsidR="00874857" w:rsidRPr="00C22A4F">
              <w:rPr>
                <w:sz w:val="19"/>
                <w:szCs w:val="19"/>
                <w:highlight w:val="yellow"/>
              </w:rPr>
              <w:t>252</w:t>
            </w:r>
          </w:p>
        </w:tc>
        <w:tc>
          <w:tcPr>
            <w:tcW w:w="960" w:type="dxa"/>
            <w:tcBorders>
              <w:top w:val="single" w:sz="4" w:space="0" w:color="auto"/>
              <w:left w:val="single" w:sz="4" w:space="0" w:color="auto"/>
              <w:bottom w:val="single" w:sz="4" w:space="0" w:color="000000"/>
              <w:right w:val="single" w:sz="4" w:space="0" w:color="auto"/>
            </w:tcBorders>
            <w:shd w:val="clear" w:color="auto" w:fill="FFFFFF"/>
            <w:vAlign w:val="center"/>
          </w:tcPr>
          <w:p w14:paraId="10350D7E" w14:textId="4B4B935F" w:rsidR="009A2231" w:rsidRPr="00C22A4F" w:rsidRDefault="009A2231" w:rsidP="00874857">
            <w:pPr>
              <w:jc w:val="center"/>
              <w:rPr>
                <w:sz w:val="19"/>
                <w:szCs w:val="19"/>
                <w:highlight w:val="yellow"/>
              </w:rPr>
            </w:pPr>
            <w:r w:rsidRPr="00C22A4F">
              <w:rPr>
                <w:sz w:val="19"/>
                <w:szCs w:val="19"/>
                <w:highlight w:val="yellow"/>
              </w:rPr>
              <w:t>1</w:t>
            </w:r>
            <w:r w:rsidR="00874857" w:rsidRPr="00C22A4F">
              <w:rPr>
                <w:sz w:val="19"/>
                <w:szCs w:val="19"/>
                <w:highlight w:val="yellow"/>
              </w:rPr>
              <w:t>472</w:t>
            </w:r>
          </w:p>
        </w:tc>
        <w:tc>
          <w:tcPr>
            <w:tcW w:w="715" w:type="dxa"/>
            <w:tcBorders>
              <w:top w:val="single" w:sz="4" w:space="0" w:color="auto"/>
              <w:left w:val="single" w:sz="4" w:space="0" w:color="auto"/>
              <w:bottom w:val="single" w:sz="4" w:space="0" w:color="000000"/>
              <w:right w:val="single" w:sz="4" w:space="0" w:color="auto"/>
            </w:tcBorders>
            <w:shd w:val="clear" w:color="auto" w:fill="FFFFFF"/>
            <w:vAlign w:val="center"/>
          </w:tcPr>
          <w:p w14:paraId="5E534D46" w14:textId="60AFFB55" w:rsidR="009A2231" w:rsidRPr="00C22A4F" w:rsidRDefault="00874857" w:rsidP="00874857">
            <w:pPr>
              <w:jc w:val="center"/>
              <w:rPr>
                <w:sz w:val="19"/>
                <w:szCs w:val="19"/>
                <w:highlight w:val="yellow"/>
              </w:rPr>
            </w:pPr>
            <w:r w:rsidRPr="00C22A4F">
              <w:rPr>
                <w:sz w:val="19"/>
                <w:szCs w:val="19"/>
                <w:highlight w:val="yellow"/>
              </w:rPr>
              <w:t>1996</w:t>
            </w:r>
          </w:p>
        </w:tc>
        <w:tc>
          <w:tcPr>
            <w:tcW w:w="865" w:type="dxa"/>
            <w:tcBorders>
              <w:top w:val="single" w:sz="4" w:space="0" w:color="auto"/>
              <w:left w:val="single" w:sz="4" w:space="0" w:color="auto"/>
              <w:bottom w:val="single" w:sz="4" w:space="0" w:color="000000"/>
              <w:right w:val="single" w:sz="4" w:space="0" w:color="auto"/>
            </w:tcBorders>
            <w:shd w:val="clear" w:color="auto" w:fill="FFFFFF"/>
            <w:vAlign w:val="center"/>
          </w:tcPr>
          <w:p w14:paraId="3CC8609B" w14:textId="3219E350" w:rsidR="009A2231" w:rsidRPr="00C22A4F" w:rsidRDefault="00874857" w:rsidP="00874857">
            <w:pPr>
              <w:jc w:val="center"/>
              <w:rPr>
                <w:sz w:val="19"/>
                <w:szCs w:val="19"/>
                <w:highlight w:val="yellow"/>
              </w:rPr>
            </w:pPr>
            <w:r w:rsidRPr="00C22A4F">
              <w:rPr>
                <w:sz w:val="19"/>
                <w:szCs w:val="19"/>
                <w:highlight w:val="yellow"/>
              </w:rPr>
              <w:t>5501</w:t>
            </w:r>
          </w:p>
        </w:tc>
        <w:tc>
          <w:tcPr>
            <w:tcW w:w="715" w:type="dxa"/>
            <w:tcBorders>
              <w:top w:val="single" w:sz="4" w:space="0" w:color="auto"/>
              <w:left w:val="single" w:sz="4" w:space="0" w:color="auto"/>
              <w:bottom w:val="single" w:sz="4" w:space="0" w:color="000000"/>
              <w:right w:val="single" w:sz="4" w:space="0" w:color="auto"/>
            </w:tcBorders>
            <w:shd w:val="clear" w:color="auto" w:fill="FFFFFF"/>
            <w:vAlign w:val="center"/>
          </w:tcPr>
          <w:p w14:paraId="6E2EDC8B" w14:textId="51E6F529" w:rsidR="009A2231" w:rsidRPr="00C22A4F" w:rsidRDefault="009A2231" w:rsidP="007C778B">
            <w:pPr>
              <w:jc w:val="center"/>
              <w:rPr>
                <w:sz w:val="19"/>
                <w:szCs w:val="19"/>
                <w:highlight w:val="yellow"/>
              </w:rPr>
            </w:pPr>
            <w:r w:rsidRPr="00C22A4F">
              <w:rPr>
                <w:sz w:val="19"/>
                <w:szCs w:val="19"/>
                <w:highlight w:val="yellow"/>
              </w:rPr>
              <w:t>2</w:t>
            </w:r>
            <w:r w:rsidR="00874857" w:rsidRPr="00C22A4F">
              <w:rPr>
                <w:sz w:val="19"/>
                <w:szCs w:val="19"/>
                <w:highlight w:val="yellow"/>
              </w:rPr>
              <w:t>31</w:t>
            </w:r>
            <w:r w:rsidR="007C778B" w:rsidRPr="00C22A4F">
              <w:rPr>
                <w:sz w:val="19"/>
                <w:szCs w:val="19"/>
                <w:highlight w:val="yellow"/>
              </w:rPr>
              <w:t>8</w:t>
            </w:r>
          </w:p>
        </w:tc>
        <w:tc>
          <w:tcPr>
            <w:tcW w:w="960" w:type="dxa"/>
            <w:tcBorders>
              <w:top w:val="single" w:sz="4" w:space="0" w:color="auto"/>
              <w:left w:val="single" w:sz="4" w:space="0" w:color="auto"/>
              <w:bottom w:val="single" w:sz="4" w:space="0" w:color="000000"/>
              <w:right w:val="single" w:sz="4" w:space="0" w:color="auto"/>
            </w:tcBorders>
            <w:shd w:val="clear" w:color="auto" w:fill="FFFFFF"/>
            <w:vAlign w:val="center"/>
          </w:tcPr>
          <w:p w14:paraId="16CFB038" w14:textId="7B78AE47" w:rsidR="009A2231" w:rsidRPr="00C22A4F" w:rsidRDefault="00874857" w:rsidP="007C778B">
            <w:pPr>
              <w:jc w:val="center"/>
              <w:rPr>
                <w:sz w:val="19"/>
                <w:szCs w:val="19"/>
                <w:highlight w:val="yellow"/>
              </w:rPr>
            </w:pPr>
            <w:r w:rsidRPr="00C22A4F">
              <w:rPr>
                <w:sz w:val="19"/>
                <w:szCs w:val="19"/>
                <w:highlight w:val="yellow"/>
              </w:rPr>
              <w:t>91</w:t>
            </w:r>
            <w:r w:rsidR="007C778B" w:rsidRPr="00C22A4F">
              <w:rPr>
                <w:sz w:val="19"/>
                <w:szCs w:val="19"/>
                <w:highlight w:val="yellow"/>
              </w:rPr>
              <w:t>2</w:t>
            </w:r>
          </w:p>
        </w:tc>
        <w:tc>
          <w:tcPr>
            <w:tcW w:w="1200" w:type="dxa"/>
            <w:tcBorders>
              <w:top w:val="single" w:sz="4" w:space="0" w:color="auto"/>
              <w:left w:val="single" w:sz="4" w:space="0" w:color="auto"/>
              <w:bottom w:val="single" w:sz="4" w:space="0" w:color="000000"/>
              <w:right w:val="single" w:sz="4" w:space="0" w:color="auto"/>
            </w:tcBorders>
            <w:shd w:val="clear" w:color="auto" w:fill="FFFFFF"/>
            <w:vAlign w:val="center"/>
          </w:tcPr>
          <w:p w14:paraId="38A8013A" w14:textId="72AA3C84" w:rsidR="009A2231" w:rsidRPr="00C22A4F" w:rsidRDefault="00042E1D" w:rsidP="007C778B">
            <w:pPr>
              <w:jc w:val="center"/>
              <w:rPr>
                <w:sz w:val="19"/>
                <w:szCs w:val="19"/>
                <w:highlight w:val="yellow"/>
              </w:rPr>
            </w:pPr>
            <w:r w:rsidRPr="00C22A4F">
              <w:rPr>
                <w:sz w:val="19"/>
                <w:szCs w:val="19"/>
                <w:highlight w:val="yellow"/>
              </w:rPr>
              <w:t>42</w:t>
            </w:r>
            <w:r w:rsidR="007C778B" w:rsidRPr="00C22A4F">
              <w:rPr>
                <w:sz w:val="19"/>
                <w:szCs w:val="19"/>
                <w:highlight w:val="yellow"/>
              </w:rPr>
              <w:t>7</w:t>
            </w:r>
          </w:p>
        </w:tc>
        <w:tc>
          <w:tcPr>
            <w:tcW w:w="693" w:type="dxa"/>
            <w:tcBorders>
              <w:top w:val="single" w:sz="4" w:space="0" w:color="auto"/>
              <w:left w:val="single" w:sz="4" w:space="0" w:color="auto"/>
              <w:bottom w:val="single" w:sz="4" w:space="0" w:color="000000"/>
              <w:right w:val="single" w:sz="4" w:space="0" w:color="auto"/>
            </w:tcBorders>
            <w:shd w:val="clear" w:color="auto" w:fill="FFFFFF"/>
            <w:vAlign w:val="center"/>
          </w:tcPr>
          <w:p w14:paraId="2043E058" w14:textId="49B2818B" w:rsidR="009A2231" w:rsidRPr="00D53F92" w:rsidRDefault="009A2231" w:rsidP="007C778B">
            <w:pPr>
              <w:jc w:val="center"/>
              <w:rPr>
                <w:sz w:val="19"/>
                <w:szCs w:val="19"/>
              </w:rPr>
            </w:pPr>
            <w:r w:rsidRPr="00C22A4F">
              <w:rPr>
                <w:sz w:val="19"/>
                <w:szCs w:val="19"/>
                <w:highlight w:val="yellow"/>
              </w:rPr>
              <w:t>1</w:t>
            </w:r>
            <w:r w:rsidR="00874857" w:rsidRPr="00C22A4F">
              <w:rPr>
                <w:sz w:val="19"/>
                <w:szCs w:val="19"/>
                <w:highlight w:val="yellow"/>
              </w:rPr>
              <w:t>387</w:t>
            </w:r>
            <w:r w:rsidR="007C778B" w:rsidRPr="00C22A4F">
              <w:rPr>
                <w:sz w:val="19"/>
                <w:szCs w:val="19"/>
                <w:highlight w:val="yellow"/>
              </w:rPr>
              <w:t>8</w:t>
            </w:r>
          </w:p>
        </w:tc>
      </w:tr>
      <w:tr w:rsidR="009A2231" w14:paraId="763E6AA6" w14:textId="77777777" w:rsidTr="00DE1C24">
        <w:trPr>
          <w:cantSplit/>
          <w:jc w:val="center"/>
        </w:trPr>
        <w:tc>
          <w:tcPr>
            <w:tcW w:w="8816" w:type="dxa"/>
            <w:gridSpan w:val="9"/>
            <w:tcBorders>
              <w:top w:val="single" w:sz="4" w:space="0" w:color="000000"/>
              <w:left w:val="nil"/>
              <w:right w:val="nil"/>
            </w:tcBorders>
            <w:shd w:val="clear" w:color="auto" w:fill="FFFFFF"/>
          </w:tcPr>
          <w:p w14:paraId="5F6BE0DB" w14:textId="6D0CB233" w:rsidR="009A2231" w:rsidRDefault="009A2231" w:rsidP="00DE1C24">
            <w:pPr>
              <w:adjustRightInd w:val="0"/>
              <w:spacing w:before="67" w:after="67"/>
              <w:rPr>
                <w:rFonts w:cs="Arial"/>
                <w:i/>
                <w:iCs/>
                <w:color w:val="000000"/>
                <w:sz w:val="19"/>
                <w:szCs w:val="19"/>
              </w:rPr>
            </w:pPr>
            <w:r>
              <w:rPr>
                <w:rFonts w:cs="Arial"/>
                <w:i/>
                <w:iCs/>
                <w:color w:val="000000"/>
                <w:sz w:val="19"/>
                <w:szCs w:val="19"/>
              </w:rPr>
              <w:t>Assumes 85% of participants are re-examined at visit 2</w:t>
            </w:r>
          </w:p>
          <w:p w14:paraId="489E26AC" w14:textId="77777777" w:rsidR="009A2231" w:rsidRDefault="009A2231" w:rsidP="00DE1C24">
            <w:pPr>
              <w:adjustRightInd w:val="0"/>
              <w:spacing w:before="67" w:after="67"/>
              <w:rPr>
                <w:rFonts w:cs="Arial"/>
                <w:i/>
                <w:iCs/>
                <w:color w:val="000000"/>
                <w:sz w:val="19"/>
                <w:szCs w:val="19"/>
              </w:rPr>
            </w:pPr>
            <w:r w:rsidRPr="000B0FF2">
              <w:rPr>
                <w:rFonts w:cs="Arial"/>
                <w:i/>
                <w:iCs/>
                <w:color w:val="000000"/>
                <w:sz w:val="19"/>
                <w:szCs w:val="19"/>
              </w:rPr>
              <w:t xml:space="preserve">Shaded boxes indicate adequate sample size for </w:t>
            </w:r>
            <w:r w:rsidRPr="000709AC">
              <w:rPr>
                <w:rFonts w:cs="Arial"/>
                <w:i/>
                <w:iCs/>
                <w:color w:val="000000"/>
                <w:sz w:val="19"/>
                <w:szCs w:val="19"/>
              </w:rPr>
              <w:t xml:space="preserve">comparisons </w:t>
            </w:r>
            <w:r>
              <w:rPr>
                <w:rFonts w:cs="Arial"/>
                <w:i/>
                <w:iCs/>
                <w:color w:val="000000"/>
                <w:sz w:val="19"/>
                <w:szCs w:val="19"/>
              </w:rPr>
              <w:t xml:space="preserve">between </w:t>
            </w:r>
            <w:r w:rsidRPr="000B0FF2">
              <w:rPr>
                <w:rFonts w:cs="Arial"/>
                <w:i/>
                <w:iCs/>
                <w:color w:val="000000"/>
                <w:sz w:val="19"/>
                <w:szCs w:val="19"/>
              </w:rPr>
              <w:t>background and sites.</w:t>
            </w:r>
          </w:p>
        </w:tc>
      </w:tr>
    </w:tbl>
    <w:p w14:paraId="715F22C5" w14:textId="77777777" w:rsidR="009A2231" w:rsidRPr="00FC4543" w:rsidRDefault="009A2231" w:rsidP="00D16DBD">
      <w:pPr>
        <w:rPr>
          <w:szCs w:val="24"/>
        </w:rPr>
      </w:pPr>
    </w:p>
    <w:p w14:paraId="66592007" w14:textId="6A41D674" w:rsidR="006B7A5B" w:rsidRPr="006B7A5B" w:rsidRDefault="00182CC3" w:rsidP="009D5090">
      <w:pPr>
        <w:spacing w:line="276" w:lineRule="auto"/>
        <w:ind w:firstLine="720"/>
        <w:rPr>
          <w:rFonts w:eastAsia="Calibri"/>
          <w:szCs w:val="24"/>
        </w:rPr>
      </w:pPr>
      <w:r w:rsidRPr="00FC4543">
        <w:rPr>
          <w:szCs w:val="24"/>
        </w:rPr>
        <w:t>Statistical power calculations are shown below for a variety of examples</w:t>
      </w:r>
      <w:r w:rsidRPr="00C22A4F">
        <w:rPr>
          <w:szCs w:val="24"/>
          <w:highlight w:val="yellow"/>
        </w:rPr>
        <w:t xml:space="preserve">.  </w:t>
      </w:r>
      <w:r w:rsidR="00736778" w:rsidRPr="00C22A4F">
        <w:rPr>
          <w:szCs w:val="24"/>
          <w:highlight w:val="yellow"/>
        </w:rPr>
        <w:t>Because the cohort has been assembled, we take the approach of presenting the minimum detectable odds ratios, mean differences, or hazard ratio at 80% powe</w:t>
      </w:r>
      <w:r w:rsidR="00C22A4F" w:rsidRPr="00C22A4F">
        <w:rPr>
          <w:szCs w:val="24"/>
          <w:highlight w:val="yellow"/>
        </w:rPr>
        <w:t xml:space="preserve">r with estimated sample sizes. </w:t>
      </w:r>
      <w:r w:rsidR="00FB154B" w:rsidRPr="00C22A4F">
        <w:rPr>
          <w:rFonts w:eastAsia="Calibri"/>
          <w:szCs w:val="24"/>
          <w:highlight w:val="yellow"/>
        </w:rPr>
        <w:t>W</w:t>
      </w:r>
      <w:r w:rsidR="006B7A5B" w:rsidRPr="00C22A4F">
        <w:rPr>
          <w:rFonts w:eastAsia="Calibri"/>
          <w:szCs w:val="24"/>
          <w:highlight w:val="yellow"/>
        </w:rPr>
        <w:t xml:space="preserve">e </w:t>
      </w:r>
      <w:r w:rsidR="00736778" w:rsidRPr="00C22A4F">
        <w:rPr>
          <w:rFonts w:eastAsia="Calibri"/>
          <w:szCs w:val="24"/>
          <w:highlight w:val="yellow"/>
        </w:rPr>
        <w:t>conducted</w:t>
      </w:r>
      <w:r w:rsidR="006B7A5B" w:rsidRPr="00C22A4F">
        <w:rPr>
          <w:rFonts w:eastAsia="Calibri"/>
          <w:szCs w:val="24"/>
          <w:highlight w:val="yellow"/>
        </w:rPr>
        <w:t xml:space="preserve"> power </w:t>
      </w:r>
      <w:r w:rsidR="00736778" w:rsidRPr="00C22A4F">
        <w:rPr>
          <w:rFonts w:eastAsia="Calibri"/>
          <w:szCs w:val="24"/>
          <w:highlight w:val="yellow"/>
        </w:rPr>
        <w:t xml:space="preserve">analysis </w:t>
      </w:r>
      <w:r w:rsidR="006B7A5B" w:rsidRPr="00C22A4F">
        <w:rPr>
          <w:rFonts w:eastAsia="Calibri"/>
          <w:szCs w:val="24"/>
          <w:highlight w:val="yellow"/>
        </w:rPr>
        <w:t>for cross-sectional associations, longitudinal analyses, and time-to-event (inci</w:t>
      </w:r>
      <w:r w:rsidR="00AC323A" w:rsidRPr="00C22A4F">
        <w:rPr>
          <w:rFonts w:eastAsia="Calibri"/>
          <w:szCs w:val="24"/>
          <w:highlight w:val="yellow"/>
        </w:rPr>
        <w:t xml:space="preserve">dence) analyses. </w:t>
      </w:r>
      <w:r w:rsidR="006B7A5B" w:rsidRPr="00C22A4F">
        <w:rPr>
          <w:rFonts w:eastAsia="Calibri"/>
          <w:szCs w:val="24"/>
          <w:highlight w:val="yellow"/>
        </w:rPr>
        <w:t xml:space="preserve">For cross-sectional analyses of characteristics associated with binary outcomes (e.g., asthma), </w:t>
      </w:r>
      <w:r w:rsidR="006B7A5B" w:rsidRPr="00C22A4F">
        <w:rPr>
          <w:rFonts w:eastAsia="Calibri"/>
          <w:b/>
          <w:szCs w:val="24"/>
          <w:highlight w:val="yellow"/>
        </w:rPr>
        <w:t xml:space="preserve">Table </w:t>
      </w:r>
      <w:r w:rsidR="00DE1C24" w:rsidRPr="00C22A4F">
        <w:rPr>
          <w:rFonts w:eastAsia="Calibri"/>
          <w:b/>
          <w:szCs w:val="24"/>
          <w:highlight w:val="yellow"/>
        </w:rPr>
        <w:t>B.</w:t>
      </w:r>
      <w:r w:rsidR="006B7A5B" w:rsidRPr="00C22A4F">
        <w:rPr>
          <w:rFonts w:eastAsia="Calibri"/>
          <w:b/>
          <w:szCs w:val="24"/>
          <w:highlight w:val="yellow"/>
        </w:rPr>
        <w:t>3</w:t>
      </w:r>
      <w:r w:rsidR="006B7A5B" w:rsidRPr="00C22A4F">
        <w:rPr>
          <w:rFonts w:eastAsia="Calibri"/>
          <w:szCs w:val="24"/>
          <w:highlight w:val="yellow"/>
        </w:rPr>
        <w:t xml:space="preserve"> shows minimum odds ratios (ORs) that can be detected at 80% power using the entire cohort (n</w:t>
      </w:r>
      <w:r w:rsidR="00736778" w:rsidRPr="00C22A4F">
        <w:rPr>
          <w:rFonts w:eastAsia="Calibri"/>
          <w:szCs w:val="24"/>
          <w:highlight w:val="yellow"/>
        </w:rPr>
        <w:t xml:space="preserve"> is approximately</w:t>
      </w:r>
      <w:r w:rsidR="006B7A5B" w:rsidRPr="00C22A4F">
        <w:rPr>
          <w:rFonts w:eastAsia="Calibri"/>
          <w:szCs w:val="24"/>
          <w:highlight w:val="yellow"/>
        </w:rPr>
        <w:t>= 14,000) or H</w:t>
      </w:r>
      <w:r w:rsidR="00736778" w:rsidRPr="00C22A4F">
        <w:rPr>
          <w:rFonts w:eastAsia="Calibri"/>
          <w:szCs w:val="24"/>
          <w:highlight w:val="yellow"/>
        </w:rPr>
        <w:t>ispanic</w:t>
      </w:r>
      <w:r w:rsidR="006B7A5B" w:rsidRPr="00C22A4F">
        <w:rPr>
          <w:rFonts w:eastAsia="Calibri"/>
          <w:szCs w:val="24"/>
          <w:highlight w:val="yellow"/>
        </w:rPr>
        <w:t>/L</w:t>
      </w:r>
      <w:r w:rsidR="00736778" w:rsidRPr="00C22A4F">
        <w:rPr>
          <w:rFonts w:eastAsia="Calibri"/>
          <w:szCs w:val="24"/>
          <w:highlight w:val="yellow"/>
        </w:rPr>
        <w:t>atino</w:t>
      </w:r>
      <w:r w:rsidR="006B7A5B" w:rsidRPr="00C22A4F">
        <w:rPr>
          <w:rFonts w:eastAsia="Calibri"/>
          <w:szCs w:val="24"/>
          <w:highlight w:val="yellow"/>
        </w:rPr>
        <w:t xml:space="preserve"> groups (n</w:t>
      </w:r>
      <w:r w:rsidR="00736778" w:rsidRPr="00C22A4F">
        <w:rPr>
          <w:rFonts w:eastAsia="Calibri"/>
          <w:szCs w:val="24"/>
          <w:highlight w:val="yellow"/>
        </w:rPr>
        <w:t xml:space="preserve"> is </w:t>
      </w:r>
      <w:r w:rsidR="00A52CA3" w:rsidRPr="00C22A4F">
        <w:rPr>
          <w:rFonts w:eastAsia="Calibri"/>
          <w:szCs w:val="24"/>
          <w:highlight w:val="yellow"/>
        </w:rPr>
        <w:t>a</w:t>
      </w:r>
      <w:r w:rsidR="00736778" w:rsidRPr="00C22A4F">
        <w:rPr>
          <w:rFonts w:eastAsia="Calibri"/>
          <w:szCs w:val="24"/>
          <w:highlight w:val="yellow"/>
        </w:rPr>
        <w:t>pproximately</w:t>
      </w:r>
      <w:r w:rsidR="00A52CA3" w:rsidRPr="00C22A4F">
        <w:rPr>
          <w:rFonts w:eastAsia="Calibri"/>
          <w:szCs w:val="24"/>
          <w:highlight w:val="yellow"/>
        </w:rPr>
        <w:t xml:space="preserve"> </w:t>
      </w:r>
      <w:r w:rsidR="006B7A5B" w:rsidRPr="00C22A4F">
        <w:rPr>
          <w:rFonts w:eastAsia="Calibri"/>
          <w:szCs w:val="24"/>
          <w:highlight w:val="yellow"/>
        </w:rPr>
        <w:t>8,000 or 3,000).  Assuming that the prevalence of the outcome is 10%, we varied the relative number of subjects in the exposed versus unexposed groups. A 1:1 ratio for the low-risk versus high-risk group corresponds to a continuous exposure variable dichotomized at its median; a 3:1 ratio corresponds to a relatively common risk factor (25%) or to comparing the top quartile of a continuous exposure variable to the lower three quartiles; and a 10:1 ratio corresponds to a less frequent risk factor (e.g. pre-</w:t>
      </w:r>
      <w:proofErr w:type="spellStart"/>
      <w:r w:rsidR="006B7A5B" w:rsidRPr="00C22A4F">
        <w:rPr>
          <w:rFonts w:eastAsia="Calibri"/>
          <w:szCs w:val="24"/>
          <w:highlight w:val="yellow"/>
        </w:rPr>
        <w:t>eclampsia</w:t>
      </w:r>
      <w:proofErr w:type="spellEnd"/>
      <w:r w:rsidR="006B7A5B" w:rsidRPr="00C22A4F">
        <w:rPr>
          <w:rFonts w:eastAsia="Calibri"/>
          <w:szCs w:val="24"/>
          <w:highlight w:val="yellow"/>
        </w:rPr>
        <w:t>). The column identified as variance inflation factor (VIF)=1 provides the minimum detectable ORs without considering confounding or a design effect (i.e. no variance inflation from the study design); these are not applicable because of the two-stage sampling design and are displayed as a lower bound for the minimum detectable ORs. Based on our experience with the HCHS/SOL data, the VIF can vary from 1.5 to 5. Hence we provide minimum detectable ORs when VIF=2 or 5.  When the ratio of subjects in the two groups is 1:1, the minimum detectable odds ratios using the entire cohort (n=14000) with 80% power are generally lower than 1.5, and lower than 1.8 for the other situations.  For example, with VIF=2 and assuming the prevalence of CHD is 10%, the minimum detectable OR for comparing the high to low SES groups (divided at the median) is 1.25.</w:t>
      </w:r>
    </w:p>
    <w:tbl>
      <w:tblPr>
        <w:tblpPr w:leftFromText="180" w:rightFromText="180" w:vertAnchor="text" w:horzAnchor="margin" w:tblpXSpec="center" w:tblpY="128"/>
        <w:tblW w:w="4809" w:type="pct"/>
        <w:tblBorders>
          <w:top w:val="single" w:sz="4" w:space="0" w:color="auto"/>
        </w:tblBorders>
        <w:tblCellMar>
          <w:left w:w="58" w:type="dxa"/>
          <w:right w:w="58" w:type="dxa"/>
        </w:tblCellMar>
        <w:tblLook w:val="01E0" w:firstRow="1" w:lastRow="1" w:firstColumn="1" w:lastColumn="1" w:noHBand="0" w:noVBand="0"/>
      </w:tblPr>
      <w:tblGrid>
        <w:gridCol w:w="2133"/>
        <w:gridCol w:w="1486"/>
        <w:gridCol w:w="654"/>
        <w:gridCol w:w="671"/>
        <w:gridCol w:w="468"/>
        <w:gridCol w:w="993"/>
        <w:gridCol w:w="470"/>
        <w:gridCol w:w="478"/>
        <w:gridCol w:w="671"/>
        <w:gridCol w:w="470"/>
        <w:gridCol w:w="620"/>
      </w:tblGrid>
      <w:tr w:rsidR="00A52CA3" w:rsidRPr="00C22A4F" w14:paraId="031223F0" w14:textId="77777777" w:rsidTr="00DD10D0">
        <w:trPr>
          <w:trHeight w:val="56"/>
          <w:tblHeader/>
        </w:trPr>
        <w:tc>
          <w:tcPr>
            <w:tcW w:w="5000" w:type="pct"/>
            <w:gridSpan w:val="11"/>
            <w:tcBorders>
              <w:top w:val="nil"/>
              <w:left w:val="nil"/>
              <w:bottom w:val="single" w:sz="4" w:space="0" w:color="auto"/>
              <w:right w:val="nil"/>
            </w:tcBorders>
            <w:vAlign w:val="center"/>
          </w:tcPr>
          <w:p w14:paraId="54485A15" w14:textId="77777777" w:rsidR="00B914B8" w:rsidRDefault="00B914B8" w:rsidP="00DD10D0">
            <w:pPr>
              <w:tabs>
                <w:tab w:val="left" w:pos="450"/>
              </w:tabs>
              <w:rPr>
                <w:b/>
                <w:sz w:val="22"/>
                <w:szCs w:val="22"/>
                <w:lang w:eastAsia="x-none"/>
              </w:rPr>
            </w:pPr>
          </w:p>
          <w:p w14:paraId="11DDBFC2" w14:textId="77777777" w:rsidR="00A52CA3" w:rsidRPr="00C22A4F" w:rsidRDefault="00A52CA3" w:rsidP="00DD10D0">
            <w:pPr>
              <w:tabs>
                <w:tab w:val="left" w:pos="450"/>
              </w:tabs>
              <w:rPr>
                <w:b/>
                <w:sz w:val="22"/>
                <w:szCs w:val="22"/>
                <w:highlight w:val="yellow"/>
                <w:lang w:val="x-none" w:eastAsia="x-none"/>
              </w:rPr>
            </w:pPr>
            <w:r w:rsidRPr="00C22A4F">
              <w:rPr>
                <w:b/>
                <w:sz w:val="22"/>
                <w:szCs w:val="22"/>
                <w:highlight w:val="yellow"/>
                <w:lang w:val="x-none" w:eastAsia="x-none"/>
              </w:rPr>
              <w:t xml:space="preserve">Table </w:t>
            </w:r>
            <w:r w:rsidRPr="00C22A4F">
              <w:rPr>
                <w:b/>
                <w:sz w:val="22"/>
                <w:szCs w:val="22"/>
                <w:highlight w:val="yellow"/>
                <w:lang w:eastAsia="x-none"/>
              </w:rPr>
              <w:t xml:space="preserve">B.3. </w:t>
            </w:r>
            <w:r w:rsidRPr="00C22A4F">
              <w:rPr>
                <w:b/>
                <w:sz w:val="22"/>
                <w:szCs w:val="22"/>
                <w:highlight w:val="yellow"/>
                <w:lang w:val="x-none" w:eastAsia="x-none"/>
              </w:rPr>
              <w:t xml:space="preserve"> Minimum detectable </w:t>
            </w:r>
            <w:r w:rsidRPr="00C22A4F">
              <w:rPr>
                <w:b/>
                <w:sz w:val="22"/>
                <w:szCs w:val="22"/>
                <w:highlight w:val="yellow"/>
                <w:lang w:eastAsia="x-none"/>
              </w:rPr>
              <w:t xml:space="preserve">prevalence </w:t>
            </w:r>
            <w:r w:rsidRPr="00C22A4F">
              <w:rPr>
                <w:b/>
                <w:sz w:val="22"/>
                <w:szCs w:val="22"/>
                <w:highlight w:val="yellow"/>
                <w:lang w:val="x-none" w:eastAsia="x-none"/>
              </w:rPr>
              <w:t>odds ratios with 80% power</w:t>
            </w:r>
          </w:p>
        </w:tc>
      </w:tr>
      <w:tr w:rsidR="00A52CA3" w:rsidRPr="00C22A4F" w14:paraId="2EB92BFA" w14:textId="77777777" w:rsidTr="00DD10D0">
        <w:trPr>
          <w:trHeight w:val="56"/>
        </w:trPr>
        <w:tc>
          <w:tcPr>
            <w:tcW w:w="1170" w:type="pct"/>
            <w:vMerge w:val="restart"/>
            <w:tcBorders>
              <w:top w:val="single" w:sz="4" w:space="0" w:color="auto"/>
              <w:left w:val="nil"/>
              <w:bottom w:val="nil"/>
              <w:right w:val="nil"/>
            </w:tcBorders>
            <w:vAlign w:val="center"/>
          </w:tcPr>
          <w:p w14:paraId="69F952FA" w14:textId="77777777" w:rsidR="00A52CA3" w:rsidRPr="00C22A4F" w:rsidRDefault="00A52CA3" w:rsidP="00DD10D0">
            <w:pPr>
              <w:tabs>
                <w:tab w:val="left" w:pos="450"/>
              </w:tabs>
              <w:jc w:val="center"/>
              <w:rPr>
                <w:b/>
                <w:sz w:val="18"/>
                <w:szCs w:val="18"/>
                <w:highlight w:val="yellow"/>
                <w:lang w:val="x-none" w:eastAsia="x-none"/>
              </w:rPr>
            </w:pPr>
            <w:r w:rsidRPr="00C22A4F">
              <w:rPr>
                <w:b/>
                <w:sz w:val="18"/>
                <w:szCs w:val="18"/>
                <w:highlight w:val="yellow"/>
                <w:lang w:val="x-none" w:eastAsia="x-none"/>
              </w:rPr>
              <w:t>Outcome prevalence in low-risk group</w:t>
            </w:r>
          </w:p>
        </w:tc>
        <w:tc>
          <w:tcPr>
            <w:tcW w:w="815" w:type="pct"/>
            <w:vMerge w:val="restart"/>
            <w:tcBorders>
              <w:top w:val="single" w:sz="4" w:space="0" w:color="auto"/>
              <w:left w:val="nil"/>
              <w:bottom w:val="nil"/>
              <w:right w:val="nil"/>
            </w:tcBorders>
            <w:vAlign w:val="center"/>
          </w:tcPr>
          <w:p w14:paraId="1CF121C8" w14:textId="77777777" w:rsidR="00A52CA3" w:rsidRPr="00C22A4F" w:rsidRDefault="00A52CA3" w:rsidP="00DD10D0">
            <w:pPr>
              <w:tabs>
                <w:tab w:val="left" w:pos="450"/>
              </w:tabs>
              <w:jc w:val="center"/>
              <w:rPr>
                <w:b/>
                <w:sz w:val="18"/>
                <w:szCs w:val="18"/>
                <w:highlight w:val="yellow"/>
                <w:lang w:val="x-none" w:eastAsia="x-none"/>
              </w:rPr>
            </w:pPr>
            <w:r w:rsidRPr="00C22A4F">
              <w:rPr>
                <w:b/>
                <w:sz w:val="18"/>
                <w:szCs w:val="18"/>
                <w:highlight w:val="yellow"/>
                <w:lang w:val="x-none" w:eastAsia="x-none"/>
              </w:rPr>
              <w:t>Total sample size</w:t>
            </w:r>
          </w:p>
        </w:tc>
        <w:tc>
          <w:tcPr>
            <w:tcW w:w="984" w:type="pct"/>
            <w:gridSpan w:val="3"/>
            <w:tcBorders>
              <w:top w:val="single" w:sz="4" w:space="0" w:color="auto"/>
              <w:left w:val="nil"/>
              <w:bottom w:val="nil"/>
              <w:right w:val="nil"/>
            </w:tcBorders>
            <w:vAlign w:val="center"/>
          </w:tcPr>
          <w:p w14:paraId="69A9C1C8" w14:textId="77777777" w:rsidR="00A52CA3" w:rsidRPr="00C22A4F" w:rsidRDefault="00A52CA3" w:rsidP="00DD10D0">
            <w:pPr>
              <w:tabs>
                <w:tab w:val="left" w:pos="450"/>
              </w:tabs>
              <w:jc w:val="center"/>
              <w:rPr>
                <w:b/>
                <w:sz w:val="18"/>
                <w:szCs w:val="18"/>
                <w:highlight w:val="yellow"/>
                <w:lang w:val="x-none" w:eastAsia="x-none"/>
              </w:rPr>
            </w:pPr>
            <w:r w:rsidRPr="00C22A4F">
              <w:rPr>
                <w:b/>
                <w:sz w:val="18"/>
                <w:szCs w:val="18"/>
                <w:highlight w:val="yellow"/>
                <w:lang w:val="x-none" w:eastAsia="x-none"/>
              </w:rPr>
              <w:t>VIF=1</w:t>
            </w:r>
          </w:p>
        </w:tc>
        <w:tc>
          <w:tcPr>
            <w:tcW w:w="1065" w:type="pct"/>
            <w:gridSpan w:val="3"/>
            <w:tcBorders>
              <w:top w:val="single" w:sz="4" w:space="0" w:color="auto"/>
              <w:left w:val="nil"/>
              <w:bottom w:val="nil"/>
              <w:right w:val="nil"/>
            </w:tcBorders>
            <w:vAlign w:val="center"/>
          </w:tcPr>
          <w:p w14:paraId="307C047A" w14:textId="77777777" w:rsidR="00A52CA3" w:rsidRPr="00C22A4F" w:rsidRDefault="00A52CA3" w:rsidP="00DD10D0">
            <w:pPr>
              <w:tabs>
                <w:tab w:val="left" w:pos="450"/>
              </w:tabs>
              <w:jc w:val="center"/>
              <w:rPr>
                <w:b/>
                <w:sz w:val="18"/>
                <w:szCs w:val="18"/>
                <w:highlight w:val="yellow"/>
                <w:lang w:val="x-none" w:eastAsia="x-none"/>
              </w:rPr>
            </w:pPr>
            <w:r w:rsidRPr="00C22A4F">
              <w:rPr>
                <w:b/>
                <w:sz w:val="18"/>
                <w:szCs w:val="18"/>
                <w:highlight w:val="yellow"/>
                <w:lang w:val="x-none" w:eastAsia="x-none"/>
              </w:rPr>
              <w:t>VIF=2</w:t>
            </w:r>
          </w:p>
        </w:tc>
        <w:tc>
          <w:tcPr>
            <w:tcW w:w="966" w:type="pct"/>
            <w:gridSpan w:val="3"/>
            <w:tcBorders>
              <w:top w:val="single" w:sz="4" w:space="0" w:color="auto"/>
              <w:left w:val="nil"/>
              <w:bottom w:val="nil"/>
              <w:right w:val="nil"/>
            </w:tcBorders>
            <w:vAlign w:val="center"/>
          </w:tcPr>
          <w:p w14:paraId="20C48899" w14:textId="77777777" w:rsidR="00A52CA3" w:rsidRPr="00C22A4F" w:rsidRDefault="00A52CA3" w:rsidP="00DD10D0">
            <w:pPr>
              <w:tabs>
                <w:tab w:val="left" w:pos="450"/>
              </w:tabs>
              <w:jc w:val="center"/>
              <w:rPr>
                <w:b/>
                <w:sz w:val="18"/>
                <w:szCs w:val="18"/>
                <w:highlight w:val="yellow"/>
                <w:lang w:val="x-none" w:eastAsia="x-none"/>
              </w:rPr>
            </w:pPr>
            <w:r w:rsidRPr="00C22A4F">
              <w:rPr>
                <w:b/>
                <w:sz w:val="18"/>
                <w:szCs w:val="18"/>
                <w:highlight w:val="yellow"/>
                <w:lang w:val="x-none" w:eastAsia="x-none"/>
              </w:rPr>
              <w:t>VIF=5</w:t>
            </w:r>
          </w:p>
        </w:tc>
      </w:tr>
      <w:tr w:rsidR="00A52CA3" w:rsidRPr="00C22A4F" w14:paraId="47D4C28F" w14:textId="77777777" w:rsidTr="00DD10D0">
        <w:tc>
          <w:tcPr>
            <w:tcW w:w="1170" w:type="pct"/>
            <w:vMerge/>
            <w:tcBorders>
              <w:top w:val="nil"/>
              <w:left w:val="nil"/>
              <w:bottom w:val="single" w:sz="4" w:space="0" w:color="auto"/>
              <w:right w:val="nil"/>
            </w:tcBorders>
            <w:vAlign w:val="center"/>
          </w:tcPr>
          <w:p w14:paraId="10D8D9DC" w14:textId="77777777" w:rsidR="00A52CA3" w:rsidRPr="00C22A4F" w:rsidRDefault="00A52CA3" w:rsidP="00DD10D0">
            <w:pPr>
              <w:tabs>
                <w:tab w:val="left" w:pos="450"/>
              </w:tabs>
              <w:jc w:val="center"/>
              <w:rPr>
                <w:b/>
                <w:sz w:val="18"/>
                <w:szCs w:val="18"/>
                <w:highlight w:val="yellow"/>
                <w:lang w:val="x-none" w:eastAsia="x-none"/>
              </w:rPr>
            </w:pPr>
          </w:p>
        </w:tc>
        <w:tc>
          <w:tcPr>
            <w:tcW w:w="815" w:type="pct"/>
            <w:vMerge/>
            <w:tcBorders>
              <w:top w:val="nil"/>
              <w:left w:val="nil"/>
              <w:bottom w:val="single" w:sz="4" w:space="0" w:color="auto"/>
              <w:right w:val="nil"/>
            </w:tcBorders>
            <w:vAlign w:val="center"/>
          </w:tcPr>
          <w:p w14:paraId="6A2A7DB3" w14:textId="77777777" w:rsidR="00A52CA3" w:rsidRPr="00C22A4F" w:rsidRDefault="00A52CA3" w:rsidP="00DD10D0">
            <w:pPr>
              <w:tabs>
                <w:tab w:val="left" w:pos="450"/>
              </w:tabs>
              <w:jc w:val="center"/>
              <w:rPr>
                <w:b/>
                <w:sz w:val="18"/>
                <w:szCs w:val="18"/>
                <w:highlight w:val="yellow"/>
                <w:lang w:val="x-none" w:eastAsia="x-none"/>
              </w:rPr>
            </w:pPr>
          </w:p>
        </w:tc>
        <w:tc>
          <w:tcPr>
            <w:tcW w:w="984" w:type="pct"/>
            <w:gridSpan w:val="3"/>
            <w:tcBorders>
              <w:top w:val="nil"/>
              <w:left w:val="nil"/>
              <w:bottom w:val="single" w:sz="4" w:space="0" w:color="auto"/>
              <w:right w:val="nil"/>
            </w:tcBorders>
            <w:vAlign w:val="center"/>
          </w:tcPr>
          <w:p w14:paraId="7B251F61"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1065" w:type="pct"/>
            <w:gridSpan w:val="3"/>
            <w:tcBorders>
              <w:top w:val="nil"/>
              <w:left w:val="nil"/>
              <w:bottom w:val="single" w:sz="4" w:space="0" w:color="auto"/>
              <w:right w:val="nil"/>
            </w:tcBorders>
            <w:vAlign w:val="center"/>
          </w:tcPr>
          <w:p w14:paraId="5A31C6E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966" w:type="pct"/>
            <w:gridSpan w:val="3"/>
            <w:tcBorders>
              <w:top w:val="nil"/>
              <w:left w:val="nil"/>
              <w:bottom w:val="single" w:sz="4" w:space="0" w:color="auto"/>
              <w:right w:val="nil"/>
            </w:tcBorders>
            <w:vAlign w:val="center"/>
          </w:tcPr>
          <w:p w14:paraId="42A8265E"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r>
      <w:tr w:rsidR="00A52CA3" w:rsidRPr="00C22A4F" w14:paraId="298D99F9" w14:textId="77777777" w:rsidTr="00B914B8">
        <w:tc>
          <w:tcPr>
            <w:tcW w:w="1170" w:type="pct"/>
            <w:vMerge/>
            <w:tcBorders>
              <w:top w:val="single" w:sz="4" w:space="0" w:color="auto"/>
              <w:left w:val="nil"/>
              <w:bottom w:val="nil"/>
              <w:right w:val="nil"/>
            </w:tcBorders>
            <w:vAlign w:val="center"/>
          </w:tcPr>
          <w:p w14:paraId="4838BCB1" w14:textId="77777777" w:rsidR="00A52CA3" w:rsidRPr="00C22A4F" w:rsidRDefault="00A52CA3" w:rsidP="00DD10D0">
            <w:pPr>
              <w:tabs>
                <w:tab w:val="left" w:pos="450"/>
              </w:tabs>
              <w:jc w:val="center"/>
              <w:rPr>
                <w:sz w:val="18"/>
                <w:szCs w:val="18"/>
                <w:highlight w:val="yellow"/>
                <w:lang w:val="x-none" w:eastAsia="x-none"/>
              </w:rPr>
            </w:pPr>
          </w:p>
        </w:tc>
        <w:tc>
          <w:tcPr>
            <w:tcW w:w="815" w:type="pct"/>
            <w:vMerge/>
            <w:tcBorders>
              <w:top w:val="single" w:sz="4" w:space="0" w:color="auto"/>
              <w:left w:val="nil"/>
              <w:bottom w:val="nil"/>
              <w:right w:val="nil"/>
            </w:tcBorders>
            <w:vAlign w:val="center"/>
          </w:tcPr>
          <w:p w14:paraId="43ABBCD9" w14:textId="77777777" w:rsidR="00A52CA3" w:rsidRPr="00C22A4F" w:rsidRDefault="00A52CA3" w:rsidP="00DD10D0">
            <w:pPr>
              <w:tabs>
                <w:tab w:val="left" w:pos="450"/>
              </w:tabs>
              <w:jc w:val="center"/>
              <w:rPr>
                <w:sz w:val="18"/>
                <w:szCs w:val="18"/>
                <w:highlight w:val="yellow"/>
                <w:lang w:val="x-none" w:eastAsia="x-none"/>
              </w:rPr>
            </w:pPr>
          </w:p>
        </w:tc>
        <w:tc>
          <w:tcPr>
            <w:tcW w:w="359" w:type="pct"/>
            <w:tcBorders>
              <w:top w:val="single" w:sz="4" w:space="0" w:color="auto"/>
              <w:left w:val="nil"/>
              <w:bottom w:val="nil"/>
              <w:right w:val="nil"/>
            </w:tcBorders>
            <w:vAlign w:val="center"/>
          </w:tcPr>
          <w:p w14:paraId="2E78B5E9"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368" w:type="pct"/>
            <w:tcBorders>
              <w:top w:val="single" w:sz="4" w:space="0" w:color="auto"/>
              <w:left w:val="nil"/>
              <w:bottom w:val="nil"/>
              <w:right w:val="nil"/>
            </w:tcBorders>
            <w:vAlign w:val="center"/>
          </w:tcPr>
          <w:p w14:paraId="67E786C1"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257" w:type="pct"/>
            <w:tcBorders>
              <w:top w:val="single" w:sz="4" w:space="0" w:color="auto"/>
              <w:left w:val="nil"/>
              <w:bottom w:val="nil"/>
              <w:right w:val="nil"/>
            </w:tcBorders>
            <w:vAlign w:val="center"/>
          </w:tcPr>
          <w:p w14:paraId="3829958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10:1</w:t>
            </w:r>
          </w:p>
        </w:tc>
        <w:tc>
          <w:tcPr>
            <w:tcW w:w="545" w:type="pct"/>
            <w:tcBorders>
              <w:top w:val="single" w:sz="4" w:space="0" w:color="auto"/>
              <w:left w:val="nil"/>
              <w:bottom w:val="nil"/>
              <w:right w:val="nil"/>
            </w:tcBorders>
            <w:vAlign w:val="center"/>
          </w:tcPr>
          <w:p w14:paraId="2E59EF60"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258" w:type="pct"/>
            <w:tcBorders>
              <w:top w:val="single" w:sz="4" w:space="0" w:color="auto"/>
              <w:left w:val="nil"/>
              <w:bottom w:val="nil"/>
              <w:right w:val="nil"/>
            </w:tcBorders>
            <w:vAlign w:val="center"/>
          </w:tcPr>
          <w:p w14:paraId="4B410A78"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262" w:type="pct"/>
            <w:tcBorders>
              <w:top w:val="single" w:sz="4" w:space="0" w:color="auto"/>
              <w:left w:val="nil"/>
              <w:bottom w:val="nil"/>
              <w:right w:val="nil"/>
            </w:tcBorders>
            <w:vAlign w:val="center"/>
          </w:tcPr>
          <w:p w14:paraId="193B7A3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10:1</w:t>
            </w:r>
          </w:p>
        </w:tc>
        <w:tc>
          <w:tcPr>
            <w:tcW w:w="368" w:type="pct"/>
            <w:tcBorders>
              <w:top w:val="single" w:sz="4" w:space="0" w:color="auto"/>
              <w:left w:val="nil"/>
              <w:bottom w:val="nil"/>
              <w:right w:val="nil"/>
            </w:tcBorders>
            <w:vAlign w:val="center"/>
          </w:tcPr>
          <w:p w14:paraId="19CC0A37"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258" w:type="pct"/>
            <w:tcBorders>
              <w:top w:val="single" w:sz="4" w:space="0" w:color="auto"/>
              <w:left w:val="nil"/>
              <w:bottom w:val="nil"/>
              <w:right w:val="nil"/>
            </w:tcBorders>
            <w:vAlign w:val="center"/>
          </w:tcPr>
          <w:p w14:paraId="43B093F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340" w:type="pct"/>
            <w:tcBorders>
              <w:top w:val="single" w:sz="4" w:space="0" w:color="auto"/>
              <w:left w:val="nil"/>
              <w:bottom w:val="nil"/>
              <w:right w:val="nil"/>
            </w:tcBorders>
            <w:vAlign w:val="center"/>
          </w:tcPr>
          <w:p w14:paraId="6829E04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10:1</w:t>
            </w:r>
          </w:p>
        </w:tc>
      </w:tr>
      <w:tr w:rsidR="00A52CA3" w:rsidRPr="00C22A4F" w14:paraId="6C9CFF6A" w14:textId="77777777" w:rsidTr="00B914B8">
        <w:tc>
          <w:tcPr>
            <w:tcW w:w="1170" w:type="pct"/>
            <w:vMerge w:val="restart"/>
            <w:tcBorders>
              <w:top w:val="nil"/>
              <w:left w:val="nil"/>
              <w:bottom w:val="nil"/>
              <w:right w:val="nil"/>
            </w:tcBorders>
            <w:vAlign w:val="center"/>
          </w:tcPr>
          <w:p w14:paraId="3858B64E"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10%</w:t>
            </w:r>
          </w:p>
        </w:tc>
        <w:tc>
          <w:tcPr>
            <w:tcW w:w="815" w:type="pct"/>
            <w:tcBorders>
              <w:top w:val="nil"/>
              <w:left w:val="nil"/>
              <w:bottom w:val="nil"/>
              <w:right w:val="nil"/>
            </w:tcBorders>
            <w:vAlign w:val="center"/>
          </w:tcPr>
          <w:p w14:paraId="3E56A7CD"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14000</w:t>
            </w:r>
          </w:p>
        </w:tc>
        <w:tc>
          <w:tcPr>
            <w:tcW w:w="359" w:type="pct"/>
            <w:tcBorders>
              <w:top w:val="nil"/>
              <w:left w:val="nil"/>
              <w:bottom w:val="nil"/>
              <w:right w:val="nil"/>
            </w:tcBorders>
            <w:vAlign w:val="center"/>
          </w:tcPr>
          <w:p w14:paraId="1D7038A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1.17</w:t>
            </w:r>
          </w:p>
        </w:tc>
        <w:tc>
          <w:tcPr>
            <w:tcW w:w="368" w:type="pct"/>
            <w:tcBorders>
              <w:top w:val="nil"/>
              <w:left w:val="nil"/>
              <w:bottom w:val="nil"/>
              <w:right w:val="nil"/>
            </w:tcBorders>
            <w:vAlign w:val="center"/>
          </w:tcPr>
          <w:p w14:paraId="753ABFC0"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1.20</w:t>
            </w:r>
          </w:p>
        </w:tc>
        <w:tc>
          <w:tcPr>
            <w:tcW w:w="257" w:type="pct"/>
            <w:tcBorders>
              <w:top w:val="nil"/>
              <w:left w:val="nil"/>
              <w:bottom w:val="nil"/>
              <w:right w:val="nil"/>
            </w:tcBorders>
            <w:vAlign w:val="center"/>
          </w:tcPr>
          <w:p w14:paraId="69DB1B77"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1.31</w:t>
            </w:r>
          </w:p>
        </w:tc>
        <w:tc>
          <w:tcPr>
            <w:tcW w:w="545" w:type="pct"/>
            <w:tcBorders>
              <w:top w:val="nil"/>
              <w:left w:val="nil"/>
              <w:bottom w:val="nil"/>
              <w:right w:val="nil"/>
            </w:tcBorders>
            <w:vAlign w:val="center"/>
          </w:tcPr>
          <w:p w14:paraId="15B981A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1.25</w:t>
            </w:r>
          </w:p>
        </w:tc>
        <w:tc>
          <w:tcPr>
            <w:tcW w:w="258" w:type="pct"/>
            <w:tcBorders>
              <w:top w:val="nil"/>
              <w:left w:val="nil"/>
              <w:bottom w:val="nil"/>
              <w:right w:val="nil"/>
            </w:tcBorders>
            <w:vAlign w:val="center"/>
          </w:tcPr>
          <w:p w14:paraId="08B04402"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1.29</w:t>
            </w:r>
          </w:p>
        </w:tc>
        <w:tc>
          <w:tcPr>
            <w:tcW w:w="262" w:type="pct"/>
            <w:tcBorders>
              <w:top w:val="nil"/>
              <w:left w:val="nil"/>
              <w:bottom w:val="nil"/>
              <w:right w:val="nil"/>
            </w:tcBorders>
            <w:vAlign w:val="center"/>
          </w:tcPr>
          <w:p w14:paraId="6D2DADC2"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1.45</w:t>
            </w:r>
          </w:p>
        </w:tc>
        <w:tc>
          <w:tcPr>
            <w:tcW w:w="368" w:type="pct"/>
            <w:tcBorders>
              <w:top w:val="nil"/>
              <w:left w:val="nil"/>
              <w:bottom w:val="nil"/>
              <w:right w:val="nil"/>
            </w:tcBorders>
            <w:vAlign w:val="center"/>
          </w:tcPr>
          <w:p w14:paraId="0C6FCBB0"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1.41</w:t>
            </w:r>
          </w:p>
        </w:tc>
        <w:tc>
          <w:tcPr>
            <w:tcW w:w="258" w:type="pct"/>
            <w:tcBorders>
              <w:top w:val="nil"/>
              <w:left w:val="nil"/>
              <w:bottom w:val="nil"/>
              <w:right w:val="nil"/>
            </w:tcBorders>
            <w:vAlign w:val="center"/>
          </w:tcPr>
          <w:p w14:paraId="37E5DB1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1.48</w:t>
            </w:r>
          </w:p>
        </w:tc>
        <w:tc>
          <w:tcPr>
            <w:tcW w:w="340" w:type="pct"/>
            <w:tcBorders>
              <w:top w:val="nil"/>
              <w:left w:val="nil"/>
              <w:bottom w:val="nil"/>
              <w:right w:val="nil"/>
            </w:tcBorders>
            <w:vAlign w:val="center"/>
          </w:tcPr>
          <w:p w14:paraId="08136F2E"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1.77</w:t>
            </w:r>
          </w:p>
        </w:tc>
      </w:tr>
      <w:tr w:rsidR="00A52CA3" w:rsidRPr="00C22A4F" w14:paraId="0139E60F" w14:textId="77777777" w:rsidTr="00B914B8">
        <w:tc>
          <w:tcPr>
            <w:tcW w:w="1170" w:type="pct"/>
            <w:vMerge/>
            <w:tcBorders>
              <w:top w:val="nil"/>
              <w:left w:val="nil"/>
              <w:bottom w:val="nil"/>
              <w:right w:val="nil"/>
            </w:tcBorders>
            <w:vAlign w:val="center"/>
          </w:tcPr>
          <w:p w14:paraId="5DFF7F31" w14:textId="77777777" w:rsidR="00A52CA3" w:rsidRPr="00C22A4F" w:rsidRDefault="00A52CA3" w:rsidP="00DD10D0">
            <w:pPr>
              <w:tabs>
                <w:tab w:val="left" w:pos="450"/>
              </w:tabs>
              <w:jc w:val="center"/>
              <w:rPr>
                <w:sz w:val="18"/>
                <w:szCs w:val="18"/>
                <w:highlight w:val="yellow"/>
                <w:lang w:val="x-none" w:eastAsia="x-none"/>
              </w:rPr>
            </w:pPr>
          </w:p>
        </w:tc>
        <w:tc>
          <w:tcPr>
            <w:tcW w:w="815" w:type="pct"/>
            <w:tcBorders>
              <w:top w:val="nil"/>
              <w:left w:val="nil"/>
              <w:bottom w:val="nil"/>
              <w:right w:val="nil"/>
            </w:tcBorders>
            <w:vAlign w:val="center"/>
          </w:tcPr>
          <w:p w14:paraId="2DBF540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8000</w:t>
            </w:r>
          </w:p>
        </w:tc>
        <w:tc>
          <w:tcPr>
            <w:tcW w:w="359" w:type="pct"/>
            <w:tcBorders>
              <w:top w:val="nil"/>
              <w:left w:val="nil"/>
              <w:bottom w:val="nil"/>
              <w:right w:val="nil"/>
            </w:tcBorders>
            <w:vAlign w:val="center"/>
          </w:tcPr>
          <w:p w14:paraId="2007EA49"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1.23</w:t>
            </w:r>
          </w:p>
        </w:tc>
        <w:tc>
          <w:tcPr>
            <w:tcW w:w="368" w:type="pct"/>
            <w:tcBorders>
              <w:top w:val="nil"/>
              <w:left w:val="nil"/>
              <w:bottom w:val="nil"/>
              <w:right w:val="nil"/>
            </w:tcBorders>
            <w:vAlign w:val="center"/>
          </w:tcPr>
          <w:p w14:paraId="6AB3C683"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1.27</w:t>
            </w:r>
          </w:p>
        </w:tc>
        <w:tc>
          <w:tcPr>
            <w:tcW w:w="257" w:type="pct"/>
            <w:tcBorders>
              <w:top w:val="nil"/>
              <w:left w:val="nil"/>
              <w:bottom w:val="nil"/>
              <w:right w:val="nil"/>
            </w:tcBorders>
            <w:vAlign w:val="center"/>
          </w:tcPr>
          <w:p w14:paraId="0DD3812F"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1.42</w:t>
            </w:r>
          </w:p>
        </w:tc>
        <w:tc>
          <w:tcPr>
            <w:tcW w:w="545" w:type="pct"/>
            <w:tcBorders>
              <w:top w:val="nil"/>
              <w:left w:val="nil"/>
              <w:bottom w:val="nil"/>
              <w:right w:val="nil"/>
            </w:tcBorders>
            <w:vAlign w:val="center"/>
          </w:tcPr>
          <w:p w14:paraId="060FA9A4"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1.33</w:t>
            </w:r>
          </w:p>
        </w:tc>
        <w:tc>
          <w:tcPr>
            <w:tcW w:w="258" w:type="pct"/>
            <w:tcBorders>
              <w:top w:val="nil"/>
              <w:left w:val="nil"/>
              <w:bottom w:val="nil"/>
              <w:right w:val="nil"/>
            </w:tcBorders>
            <w:vAlign w:val="center"/>
          </w:tcPr>
          <w:p w14:paraId="21EBA99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1.39</w:t>
            </w:r>
          </w:p>
        </w:tc>
        <w:tc>
          <w:tcPr>
            <w:tcW w:w="262" w:type="pct"/>
            <w:tcBorders>
              <w:top w:val="nil"/>
              <w:left w:val="nil"/>
              <w:bottom w:val="nil"/>
              <w:right w:val="nil"/>
            </w:tcBorders>
            <w:vAlign w:val="center"/>
          </w:tcPr>
          <w:p w14:paraId="68D58B06"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1.62</w:t>
            </w:r>
          </w:p>
        </w:tc>
        <w:tc>
          <w:tcPr>
            <w:tcW w:w="368" w:type="pct"/>
            <w:tcBorders>
              <w:top w:val="nil"/>
              <w:left w:val="nil"/>
              <w:bottom w:val="nil"/>
              <w:right w:val="nil"/>
            </w:tcBorders>
            <w:vAlign w:val="center"/>
          </w:tcPr>
          <w:p w14:paraId="63435379"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1.56</w:t>
            </w:r>
          </w:p>
        </w:tc>
        <w:tc>
          <w:tcPr>
            <w:tcW w:w="258" w:type="pct"/>
            <w:tcBorders>
              <w:top w:val="nil"/>
              <w:left w:val="nil"/>
              <w:bottom w:val="nil"/>
              <w:right w:val="nil"/>
            </w:tcBorders>
            <w:vAlign w:val="center"/>
          </w:tcPr>
          <w:p w14:paraId="28E6312F"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1.66</w:t>
            </w:r>
          </w:p>
        </w:tc>
        <w:tc>
          <w:tcPr>
            <w:tcW w:w="340" w:type="pct"/>
            <w:tcBorders>
              <w:top w:val="nil"/>
              <w:left w:val="nil"/>
              <w:bottom w:val="nil"/>
              <w:right w:val="nil"/>
            </w:tcBorders>
            <w:vAlign w:val="center"/>
          </w:tcPr>
          <w:p w14:paraId="21F9A4F4"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2.09</w:t>
            </w:r>
          </w:p>
        </w:tc>
      </w:tr>
      <w:tr w:rsidR="00A52CA3" w:rsidRPr="00B914B8" w14:paraId="4C5F26EB" w14:textId="77777777" w:rsidTr="00B914B8">
        <w:tc>
          <w:tcPr>
            <w:tcW w:w="1170" w:type="pct"/>
            <w:tcBorders>
              <w:top w:val="nil"/>
              <w:left w:val="nil"/>
              <w:bottom w:val="single" w:sz="4" w:space="0" w:color="auto"/>
              <w:right w:val="nil"/>
            </w:tcBorders>
            <w:vAlign w:val="center"/>
          </w:tcPr>
          <w:p w14:paraId="253B7085"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(e.g., cardiac dysfunction)</w:t>
            </w:r>
          </w:p>
        </w:tc>
        <w:tc>
          <w:tcPr>
            <w:tcW w:w="815" w:type="pct"/>
            <w:tcBorders>
              <w:top w:val="nil"/>
              <w:left w:val="nil"/>
              <w:bottom w:val="single" w:sz="4" w:space="0" w:color="auto"/>
              <w:right w:val="nil"/>
            </w:tcBorders>
            <w:vAlign w:val="center"/>
          </w:tcPr>
          <w:p w14:paraId="74585217"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3000</w:t>
            </w:r>
          </w:p>
        </w:tc>
        <w:tc>
          <w:tcPr>
            <w:tcW w:w="359" w:type="pct"/>
            <w:tcBorders>
              <w:top w:val="nil"/>
              <w:left w:val="nil"/>
              <w:bottom w:val="single" w:sz="4" w:space="0" w:color="auto"/>
              <w:right w:val="nil"/>
            </w:tcBorders>
            <w:vAlign w:val="center"/>
          </w:tcPr>
          <w:p w14:paraId="7B523566"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1.39</w:t>
            </w:r>
          </w:p>
        </w:tc>
        <w:tc>
          <w:tcPr>
            <w:tcW w:w="368" w:type="pct"/>
            <w:tcBorders>
              <w:top w:val="nil"/>
              <w:left w:val="nil"/>
              <w:bottom w:val="single" w:sz="4" w:space="0" w:color="auto"/>
              <w:right w:val="nil"/>
            </w:tcBorders>
            <w:vAlign w:val="center"/>
          </w:tcPr>
          <w:p w14:paraId="1BD78803"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1.46</w:t>
            </w:r>
          </w:p>
        </w:tc>
        <w:tc>
          <w:tcPr>
            <w:tcW w:w="257" w:type="pct"/>
            <w:tcBorders>
              <w:top w:val="nil"/>
              <w:left w:val="nil"/>
              <w:bottom w:val="single" w:sz="4" w:space="0" w:color="auto"/>
              <w:right w:val="nil"/>
            </w:tcBorders>
            <w:vAlign w:val="center"/>
          </w:tcPr>
          <w:p w14:paraId="36899B9B"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1.74</w:t>
            </w:r>
          </w:p>
        </w:tc>
        <w:tc>
          <w:tcPr>
            <w:tcW w:w="545" w:type="pct"/>
            <w:tcBorders>
              <w:top w:val="nil"/>
              <w:left w:val="nil"/>
              <w:bottom w:val="single" w:sz="4" w:space="0" w:color="auto"/>
              <w:right w:val="nil"/>
            </w:tcBorders>
            <w:vAlign w:val="center"/>
          </w:tcPr>
          <w:p w14:paraId="58234BD8"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1.58</w:t>
            </w:r>
          </w:p>
        </w:tc>
        <w:tc>
          <w:tcPr>
            <w:tcW w:w="258" w:type="pct"/>
            <w:tcBorders>
              <w:top w:val="nil"/>
              <w:left w:val="nil"/>
              <w:bottom w:val="single" w:sz="4" w:space="0" w:color="auto"/>
              <w:right w:val="nil"/>
            </w:tcBorders>
            <w:vAlign w:val="center"/>
          </w:tcPr>
          <w:p w14:paraId="5D2182B2"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1.68</w:t>
            </w:r>
          </w:p>
        </w:tc>
        <w:tc>
          <w:tcPr>
            <w:tcW w:w="262" w:type="pct"/>
            <w:tcBorders>
              <w:top w:val="nil"/>
              <w:left w:val="nil"/>
              <w:bottom w:val="single" w:sz="4" w:space="0" w:color="auto"/>
              <w:right w:val="nil"/>
            </w:tcBorders>
            <w:vAlign w:val="center"/>
          </w:tcPr>
          <w:p w14:paraId="699FCFB6"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2.14</w:t>
            </w:r>
          </w:p>
        </w:tc>
        <w:tc>
          <w:tcPr>
            <w:tcW w:w="368" w:type="pct"/>
            <w:tcBorders>
              <w:top w:val="nil"/>
              <w:left w:val="nil"/>
              <w:bottom w:val="single" w:sz="4" w:space="0" w:color="auto"/>
              <w:right w:val="nil"/>
            </w:tcBorders>
            <w:vAlign w:val="center"/>
          </w:tcPr>
          <w:p w14:paraId="32F06C48"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2.01</w:t>
            </w:r>
          </w:p>
        </w:tc>
        <w:tc>
          <w:tcPr>
            <w:tcW w:w="258" w:type="pct"/>
            <w:tcBorders>
              <w:top w:val="nil"/>
              <w:left w:val="nil"/>
              <w:bottom w:val="single" w:sz="4" w:space="0" w:color="auto"/>
              <w:right w:val="nil"/>
            </w:tcBorders>
            <w:vAlign w:val="center"/>
          </w:tcPr>
          <w:p w14:paraId="4C76E6F7" w14:textId="77777777" w:rsidR="00A52CA3" w:rsidRPr="00C22A4F" w:rsidRDefault="00A52CA3" w:rsidP="00DD10D0">
            <w:pPr>
              <w:tabs>
                <w:tab w:val="left" w:pos="450"/>
              </w:tabs>
              <w:jc w:val="center"/>
              <w:rPr>
                <w:sz w:val="18"/>
                <w:szCs w:val="18"/>
                <w:highlight w:val="yellow"/>
                <w:lang w:val="x-none" w:eastAsia="x-none"/>
              </w:rPr>
            </w:pPr>
            <w:r w:rsidRPr="00C22A4F">
              <w:rPr>
                <w:sz w:val="18"/>
                <w:szCs w:val="18"/>
                <w:highlight w:val="yellow"/>
                <w:lang w:val="x-none" w:eastAsia="x-none"/>
              </w:rPr>
              <w:t>2.21</w:t>
            </w:r>
          </w:p>
        </w:tc>
        <w:tc>
          <w:tcPr>
            <w:tcW w:w="340" w:type="pct"/>
            <w:tcBorders>
              <w:top w:val="nil"/>
              <w:left w:val="nil"/>
              <w:bottom w:val="single" w:sz="4" w:space="0" w:color="auto"/>
              <w:right w:val="nil"/>
            </w:tcBorders>
            <w:vAlign w:val="center"/>
          </w:tcPr>
          <w:p w14:paraId="08875F49" w14:textId="77777777" w:rsidR="00A52CA3" w:rsidRPr="00B914B8" w:rsidRDefault="00A52CA3" w:rsidP="00DD10D0">
            <w:pPr>
              <w:tabs>
                <w:tab w:val="left" w:pos="450"/>
              </w:tabs>
              <w:jc w:val="center"/>
              <w:rPr>
                <w:sz w:val="18"/>
                <w:szCs w:val="18"/>
                <w:lang w:val="x-none" w:eastAsia="x-none"/>
              </w:rPr>
            </w:pPr>
            <w:r w:rsidRPr="00C22A4F">
              <w:rPr>
                <w:sz w:val="18"/>
                <w:szCs w:val="18"/>
                <w:highlight w:val="yellow"/>
                <w:lang w:val="x-none" w:eastAsia="x-none"/>
              </w:rPr>
              <w:t>3.15</w:t>
            </w:r>
          </w:p>
        </w:tc>
      </w:tr>
      <w:tr w:rsidR="00A52CA3" w:rsidRPr="003C3787" w14:paraId="6C2787E0" w14:textId="77777777" w:rsidTr="00B914B8">
        <w:tc>
          <w:tcPr>
            <w:tcW w:w="1170" w:type="pct"/>
            <w:tcBorders>
              <w:top w:val="nil"/>
              <w:left w:val="nil"/>
              <w:bottom w:val="nil"/>
              <w:right w:val="nil"/>
            </w:tcBorders>
            <w:vAlign w:val="center"/>
          </w:tcPr>
          <w:p w14:paraId="7964F66F" w14:textId="77777777" w:rsidR="00A52CA3" w:rsidRPr="003C3787" w:rsidRDefault="00A52CA3" w:rsidP="00DD10D0">
            <w:pPr>
              <w:tabs>
                <w:tab w:val="left" w:pos="450"/>
              </w:tabs>
              <w:jc w:val="center"/>
              <w:rPr>
                <w:rFonts w:ascii="Arial" w:hAnsi="Arial" w:cs="Arial"/>
                <w:sz w:val="16"/>
                <w:szCs w:val="16"/>
                <w:lang w:val="x-none" w:eastAsia="x-none"/>
              </w:rPr>
            </w:pPr>
          </w:p>
        </w:tc>
        <w:tc>
          <w:tcPr>
            <w:tcW w:w="815" w:type="pct"/>
            <w:tcBorders>
              <w:top w:val="nil"/>
              <w:left w:val="nil"/>
              <w:bottom w:val="nil"/>
              <w:right w:val="nil"/>
            </w:tcBorders>
            <w:vAlign w:val="center"/>
          </w:tcPr>
          <w:p w14:paraId="314F0433" w14:textId="77777777" w:rsidR="00A52CA3" w:rsidRPr="003C3787" w:rsidRDefault="00A52CA3" w:rsidP="00DD10D0">
            <w:pPr>
              <w:tabs>
                <w:tab w:val="left" w:pos="450"/>
              </w:tabs>
              <w:jc w:val="center"/>
              <w:rPr>
                <w:rFonts w:ascii="Arial" w:hAnsi="Arial" w:cs="Arial"/>
                <w:sz w:val="16"/>
                <w:szCs w:val="16"/>
                <w:lang w:val="x-none" w:eastAsia="x-none"/>
              </w:rPr>
            </w:pPr>
          </w:p>
        </w:tc>
        <w:tc>
          <w:tcPr>
            <w:tcW w:w="359" w:type="pct"/>
            <w:tcBorders>
              <w:top w:val="nil"/>
              <w:left w:val="nil"/>
              <w:bottom w:val="nil"/>
              <w:right w:val="nil"/>
            </w:tcBorders>
            <w:vAlign w:val="center"/>
          </w:tcPr>
          <w:p w14:paraId="3F60E661" w14:textId="77777777" w:rsidR="00A52CA3" w:rsidRPr="003C3787" w:rsidRDefault="00A52CA3" w:rsidP="00DD10D0">
            <w:pPr>
              <w:tabs>
                <w:tab w:val="left" w:pos="450"/>
              </w:tabs>
              <w:jc w:val="center"/>
              <w:rPr>
                <w:rFonts w:ascii="Arial" w:hAnsi="Arial" w:cs="Arial"/>
                <w:sz w:val="16"/>
                <w:szCs w:val="16"/>
                <w:lang w:val="x-none" w:eastAsia="x-none"/>
              </w:rPr>
            </w:pPr>
          </w:p>
        </w:tc>
        <w:tc>
          <w:tcPr>
            <w:tcW w:w="368" w:type="pct"/>
            <w:tcBorders>
              <w:top w:val="nil"/>
              <w:left w:val="nil"/>
              <w:bottom w:val="nil"/>
              <w:right w:val="nil"/>
            </w:tcBorders>
            <w:vAlign w:val="center"/>
          </w:tcPr>
          <w:p w14:paraId="0372E684" w14:textId="77777777" w:rsidR="00A52CA3" w:rsidRPr="003C3787" w:rsidRDefault="00A52CA3" w:rsidP="00DD10D0">
            <w:pPr>
              <w:tabs>
                <w:tab w:val="left" w:pos="450"/>
              </w:tabs>
              <w:jc w:val="center"/>
              <w:rPr>
                <w:rFonts w:ascii="Arial" w:hAnsi="Arial" w:cs="Arial"/>
                <w:sz w:val="16"/>
                <w:szCs w:val="16"/>
                <w:lang w:val="x-none" w:eastAsia="x-none"/>
              </w:rPr>
            </w:pPr>
          </w:p>
        </w:tc>
        <w:tc>
          <w:tcPr>
            <w:tcW w:w="257" w:type="pct"/>
            <w:tcBorders>
              <w:top w:val="nil"/>
              <w:left w:val="nil"/>
              <w:bottom w:val="nil"/>
              <w:right w:val="nil"/>
            </w:tcBorders>
            <w:vAlign w:val="center"/>
          </w:tcPr>
          <w:p w14:paraId="6A02102C" w14:textId="77777777" w:rsidR="00A52CA3" w:rsidRPr="003C3787" w:rsidRDefault="00A52CA3" w:rsidP="00DD10D0">
            <w:pPr>
              <w:tabs>
                <w:tab w:val="left" w:pos="450"/>
              </w:tabs>
              <w:jc w:val="center"/>
              <w:rPr>
                <w:rFonts w:ascii="Arial" w:hAnsi="Arial" w:cs="Arial"/>
                <w:sz w:val="16"/>
                <w:szCs w:val="16"/>
                <w:lang w:val="x-none" w:eastAsia="x-none"/>
              </w:rPr>
            </w:pPr>
          </w:p>
        </w:tc>
        <w:tc>
          <w:tcPr>
            <w:tcW w:w="545" w:type="pct"/>
            <w:tcBorders>
              <w:top w:val="nil"/>
              <w:left w:val="nil"/>
              <w:bottom w:val="nil"/>
              <w:right w:val="nil"/>
            </w:tcBorders>
            <w:vAlign w:val="center"/>
          </w:tcPr>
          <w:p w14:paraId="6C3346FE" w14:textId="77777777" w:rsidR="00A52CA3" w:rsidRPr="003C3787" w:rsidRDefault="00A52CA3" w:rsidP="00DD10D0">
            <w:pPr>
              <w:tabs>
                <w:tab w:val="left" w:pos="450"/>
              </w:tabs>
              <w:jc w:val="center"/>
              <w:rPr>
                <w:rFonts w:ascii="Arial" w:hAnsi="Arial" w:cs="Arial"/>
                <w:sz w:val="16"/>
                <w:szCs w:val="16"/>
                <w:lang w:val="x-none" w:eastAsia="x-none"/>
              </w:rPr>
            </w:pPr>
          </w:p>
        </w:tc>
        <w:tc>
          <w:tcPr>
            <w:tcW w:w="258" w:type="pct"/>
            <w:tcBorders>
              <w:top w:val="nil"/>
              <w:left w:val="nil"/>
              <w:bottom w:val="nil"/>
              <w:right w:val="nil"/>
            </w:tcBorders>
            <w:vAlign w:val="center"/>
          </w:tcPr>
          <w:p w14:paraId="06376468" w14:textId="77777777" w:rsidR="00A52CA3" w:rsidRPr="003C3787" w:rsidRDefault="00A52CA3" w:rsidP="00DD10D0">
            <w:pPr>
              <w:tabs>
                <w:tab w:val="left" w:pos="450"/>
              </w:tabs>
              <w:jc w:val="center"/>
              <w:rPr>
                <w:rFonts w:ascii="Arial" w:hAnsi="Arial" w:cs="Arial"/>
                <w:sz w:val="16"/>
                <w:szCs w:val="16"/>
                <w:lang w:val="x-none" w:eastAsia="x-none"/>
              </w:rPr>
            </w:pPr>
          </w:p>
        </w:tc>
        <w:tc>
          <w:tcPr>
            <w:tcW w:w="262" w:type="pct"/>
            <w:tcBorders>
              <w:top w:val="nil"/>
              <w:left w:val="nil"/>
              <w:bottom w:val="nil"/>
              <w:right w:val="nil"/>
            </w:tcBorders>
            <w:vAlign w:val="center"/>
          </w:tcPr>
          <w:p w14:paraId="16138D13" w14:textId="77777777" w:rsidR="00A52CA3" w:rsidRPr="003C3787" w:rsidRDefault="00A52CA3" w:rsidP="00DD10D0">
            <w:pPr>
              <w:tabs>
                <w:tab w:val="left" w:pos="450"/>
              </w:tabs>
              <w:jc w:val="center"/>
              <w:rPr>
                <w:rFonts w:ascii="Arial" w:hAnsi="Arial" w:cs="Arial"/>
                <w:sz w:val="16"/>
                <w:szCs w:val="16"/>
                <w:lang w:val="x-none" w:eastAsia="x-none"/>
              </w:rPr>
            </w:pPr>
          </w:p>
        </w:tc>
        <w:tc>
          <w:tcPr>
            <w:tcW w:w="368" w:type="pct"/>
            <w:tcBorders>
              <w:top w:val="nil"/>
              <w:left w:val="nil"/>
              <w:bottom w:val="nil"/>
              <w:right w:val="nil"/>
            </w:tcBorders>
            <w:vAlign w:val="center"/>
          </w:tcPr>
          <w:p w14:paraId="0717DA96" w14:textId="77777777" w:rsidR="00A52CA3" w:rsidRPr="003C3787" w:rsidRDefault="00A52CA3" w:rsidP="00DD10D0">
            <w:pPr>
              <w:tabs>
                <w:tab w:val="left" w:pos="450"/>
              </w:tabs>
              <w:jc w:val="center"/>
              <w:rPr>
                <w:rFonts w:ascii="Arial" w:hAnsi="Arial" w:cs="Arial"/>
                <w:sz w:val="16"/>
                <w:szCs w:val="16"/>
                <w:lang w:val="x-none" w:eastAsia="x-none"/>
              </w:rPr>
            </w:pPr>
          </w:p>
        </w:tc>
        <w:tc>
          <w:tcPr>
            <w:tcW w:w="258" w:type="pct"/>
            <w:tcBorders>
              <w:top w:val="nil"/>
              <w:left w:val="nil"/>
              <w:bottom w:val="nil"/>
              <w:right w:val="nil"/>
            </w:tcBorders>
            <w:vAlign w:val="center"/>
          </w:tcPr>
          <w:p w14:paraId="39296750" w14:textId="77777777" w:rsidR="00A52CA3" w:rsidRPr="003C3787" w:rsidRDefault="00A52CA3" w:rsidP="00DD10D0">
            <w:pPr>
              <w:tabs>
                <w:tab w:val="left" w:pos="450"/>
              </w:tabs>
              <w:jc w:val="center"/>
              <w:rPr>
                <w:rFonts w:ascii="Arial" w:hAnsi="Arial" w:cs="Arial"/>
                <w:sz w:val="16"/>
                <w:szCs w:val="16"/>
                <w:lang w:val="x-none" w:eastAsia="x-none"/>
              </w:rPr>
            </w:pPr>
          </w:p>
        </w:tc>
        <w:tc>
          <w:tcPr>
            <w:tcW w:w="340" w:type="pct"/>
            <w:tcBorders>
              <w:top w:val="nil"/>
              <w:left w:val="nil"/>
              <w:bottom w:val="nil"/>
              <w:right w:val="nil"/>
            </w:tcBorders>
            <w:vAlign w:val="center"/>
          </w:tcPr>
          <w:p w14:paraId="046D3218" w14:textId="77777777" w:rsidR="00A52CA3" w:rsidRPr="003C3787" w:rsidRDefault="00A52CA3" w:rsidP="00DD10D0">
            <w:pPr>
              <w:tabs>
                <w:tab w:val="left" w:pos="450"/>
              </w:tabs>
              <w:jc w:val="center"/>
              <w:rPr>
                <w:rFonts w:ascii="Arial" w:hAnsi="Arial" w:cs="Arial"/>
                <w:sz w:val="16"/>
                <w:szCs w:val="16"/>
                <w:lang w:val="x-none" w:eastAsia="x-none"/>
              </w:rPr>
            </w:pPr>
          </w:p>
        </w:tc>
      </w:tr>
    </w:tbl>
    <w:p w14:paraId="24A27DC1" w14:textId="77777777" w:rsidR="009D5090" w:rsidRDefault="009D5090" w:rsidP="00B914B8">
      <w:pPr>
        <w:spacing w:after="60" w:line="276" w:lineRule="auto"/>
        <w:ind w:firstLine="720"/>
        <w:rPr>
          <w:rFonts w:eastAsia="Calibri"/>
          <w:szCs w:val="24"/>
        </w:rPr>
      </w:pPr>
    </w:p>
    <w:p w14:paraId="19F3F740" w14:textId="08BF1C00" w:rsidR="00B914B8" w:rsidRPr="00C22A4F" w:rsidRDefault="006B7A5B" w:rsidP="009D5090">
      <w:pPr>
        <w:spacing w:after="60" w:line="276" w:lineRule="auto"/>
        <w:ind w:firstLine="720"/>
        <w:rPr>
          <w:rFonts w:eastAsia="Calibri"/>
          <w:szCs w:val="24"/>
          <w:highlight w:val="yellow"/>
        </w:rPr>
      </w:pPr>
      <w:r w:rsidRPr="00C22A4F">
        <w:rPr>
          <w:rFonts w:eastAsia="Calibri"/>
          <w:szCs w:val="24"/>
          <w:highlight w:val="yellow"/>
        </w:rPr>
        <w:t xml:space="preserve">For continuous outcomes such as change in risk factors between visits 1 &amp; 2, </w:t>
      </w:r>
      <w:r w:rsidRPr="00C22A4F">
        <w:rPr>
          <w:rFonts w:eastAsia="Calibri"/>
          <w:b/>
          <w:szCs w:val="24"/>
          <w:highlight w:val="yellow"/>
        </w:rPr>
        <w:t xml:space="preserve">Table </w:t>
      </w:r>
      <w:r w:rsidR="00DE1C24" w:rsidRPr="00C22A4F">
        <w:rPr>
          <w:rFonts w:eastAsia="Calibri"/>
          <w:b/>
          <w:szCs w:val="24"/>
          <w:highlight w:val="yellow"/>
        </w:rPr>
        <w:t>B.</w:t>
      </w:r>
      <w:r w:rsidRPr="00C22A4F">
        <w:rPr>
          <w:rFonts w:eastAsia="Calibri"/>
          <w:b/>
          <w:szCs w:val="24"/>
          <w:highlight w:val="yellow"/>
        </w:rPr>
        <w:t>4</w:t>
      </w:r>
      <w:r w:rsidRPr="00C22A4F">
        <w:rPr>
          <w:rFonts w:eastAsia="Calibri"/>
          <w:szCs w:val="24"/>
          <w:highlight w:val="yellow"/>
        </w:rPr>
        <w:t xml:space="preserve"> shows the standardized mean differences that can be detected with 80% power for various combinations of sample size, relative number of subjects in the groups, and VIF. For example, with VIF=2, the minimum detectable mean difference in the change in risk factors over an average of 6 years between the Dominicans and Central Americans (around 1500 participants per group) is 0.15SD, where SD is the standard deviation of the change. If the SD for BMI, waist circumference, systolic BP, and glucose is 2.06, 6.56, 15.13, and 24.76, respectively, then the minimum detectable differences comparing Dominicans and Central Americans for the change in BMI, waist circumference, systolic BP, and glucose is 0.31 kg/m</w:t>
      </w:r>
      <w:r w:rsidRPr="00C22A4F">
        <w:rPr>
          <w:rFonts w:eastAsia="Calibri"/>
          <w:szCs w:val="24"/>
          <w:highlight w:val="yellow"/>
          <w:vertAlign w:val="superscript"/>
        </w:rPr>
        <w:t>2</w:t>
      </w:r>
      <w:r w:rsidR="00B914B8" w:rsidRPr="00C22A4F">
        <w:rPr>
          <w:rFonts w:eastAsia="Calibri"/>
          <w:szCs w:val="24"/>
          <w:highlight w:val="yellow"/>
        </w:rPr>
        <w:t xml:space="preserve">, 0.98 cm, 2.27 mmHg, and </w:t>
      </w:r>
      <w:r w:rsidRPr="00C22A4F">
        <w:rPr>
          <w:rFonts w:eastAsia="Calibri"/>
          <w:szCs w:val="24"/>
          <w:highlight w:val="yellow"/>
        </w:rPr>
        <w:t>3.71 mg/</w:t>
      </w:r>
      <w:proofErr w:type="spellStart"/>
      <w:r w:rsidRPr="00C22A4F">
        <w:rPr>
          <w:rFonts w:eastAsia="Calibri"/>
          <w:szCs w:val="24"/>
          <w:highlight w:val="yellow"/>
        </w:rPr>
        <w:t>dL</w:t>
      </w:r>
      <w:proofErr w:type="spellEnd"/>
      <w:r w:rsidRPr="00C22A4F">
        <w:rPr>
          <w:rFonts w:eastAsia="Calibri"/>
          <w:szCs w:val="24"/>
          <w:highlight w:val="yellow"/>
        </w:rPr>
        <w:t xml:space="preserve">, respectively. </w:t>
      </w:r>
    </w:p>
    <w:p w14:paraId="26A1F009" w14:textId="77777777" w:rsidR="009D5090" w:rsidRPr="00C22A4F" w:rsidRDefault="009D5090" w:rsidP="009D5090">
      <w:pPr>
        <w:spacing w:after="60" w:line="276" w:lineRule="auto"/>
        <w:ind w:firstLine="720"/>
        <w:rPr>
          <w:rFonts w:eastAsia="Calibri"/>
          <w:szCs w:val="24"/>
          <w:highlight w:val="yellow"/>
        </w:rPr>
      </w:pPr>
    </w:p>
    <w:tbl>
      <w:tblPr>
        <w:tblpPr w:leftFromText="180" w:rightFromText="180" w:vertAnchor="text" w:horzAnchor="margin" w:tblpY="111"/>
        <w:tblW w:w="4809" w:type="pct"/>
        <w:tblBorders>
          <w:top w:val="single" w:sz="4" w:space="0" w:color="auto"/>
        </w:tblBorders>
        <w:tblCellMar>
          <w:left w:w="58" w:type="dxa"/>
          <w:right w:w="58" w:type="dxa"/>
        </w:tblCellMar>
        <w:tblLook w:val="01E0" w:firstRow="1" w:lastRow="1" w:firstColumn="1" w:lastColumn="1" w:noHBand="0" w:noVBand="0"/>
      </w:tblPr>
      <w:tblGrid>
        <w:gridCol w:w="2610"/>
        <w:gridCol w:w="864"/>
        <w:gridCol w:w="798"/>
        <w:gridCol w:w="671"/>
        <w:gridCol w:w="616"/>
        <w:gridCol w:w="846"/>
        <w:gridCol w:w="470"/>
        <w:gridCol w:w="478"/>
        <w:gridCol w:w="671"/>
        <w:gridCol w:w="470"/>
        <w:gridCol w:w="620"/>
      </w:tblGrid>
      <w:tr w:rsidR="00B914B8" w:rsidRPr="00C22A4F" w14:paraId="3885CB55" w14:textId="77777777" w:rsidTr="00DD10D0">
        <w:tc>
          <w:tcPr>
            <w:tcW w:w="5000" w:type="pct"/>
            <w:gridSpan w:val="11"/>
            <w:tcBorders>
              <w:top w:val="nil"/>
              <w:left w:val="nil"/>
              <w:bottom w:val="single" w:sz="4" w:space="0" w:color="auto"/>
              <w:right w:val="nil"/>
            </w:tcBorders>
            <w:vAlign w:val="center"/>
          </w:tcPr>
          <w:p w14:paraId="3880994C" w14:textId="77777777" w:rsidR="00B914B8" w:rsidRPr="00C22A4F" w:rsidRDefault="00B914B8" w:rsidP="00DD10D0">
            <w:pPr>
              <w:tabs>
                <w:tab w:val="left" w:pos="450"/>
              </w:tabs>
              <w:rPr>
                <w:sz w:val="16"/>
                <w:szCs w:val="16"/>
                <w:highlight w:val="yellow"/>
                <w:lang w:val="x-none" w:eastAsia="x-none"/>
              </w:rPr>
            </w:pPr>
            <w:r w:rsidRPr="00C22A4F">
              <w:rPr>
                <w:b/>
                <w:sz w:val="22"/>
                <w:szCs w:val="22"/>
                <w:highlight w:val="yellow"/>
                <w:lang w:val="x-none" w:eastAsia="x-none"/>
              </w:rPr>
              <w:t xml:space="preserve">Table </w:t>
            </w:r>
            <w:r w:rsidRPr="00C22A4F">
              <w:rPr>
                <w:b/>
                <w:sz w:val="22"/>
                <w:szCs w:val="22"/>
                <w:highlight w:val="yellow"/>
                <w:lang w:eastAsia="x-none"/>
              </w:rPr>
              <w:t xml:space="preserve">B.4. </w:t>
            </w:r>
            <w:r w:rsidRPr="00C22A4F">
              <w:rPr>
                <w:b/>
                <w:sz w:val="22"/>
                <w:szCs w:val="22"/>
                <w:highlight w:val="yellow"/>
                <w:lang w:val="x-none" w:eastAsia="x-none"/>
              </w:rPr>
              <w:t>Minimum detectable standardized mean difference with 80% power</w:t>
            </w:r>
          </w:p>
        </w:tc>
      </w:tr>
      <w:tr w:rsidR="00B914B8" w:rsidRPr="00C22A4F" w14:paraId="5E8D49D8" w14:textId="77777777" w:rsidTr="00DD10D0">
        <w:trPr>
          <w:trHeight w:val="552"/>
        </w:trPr>
        <w:tc>
          <w:tcPr>
            <w:tcW w:w="1906" w:type="pct"/>
            <w:gridSpan w:val="2"/>
            <w:tcBorders>
              <w:top w:val="nil"/>
              <w:left w:val="nil"/>
              <w:bottom w:val="nil"/>
              <w:right w:val="nil"/>
            </w:tcBorders>
            <w:vAlign w:val="center"/>
          </w:tcPr>
          <w:p w14:paraId="7FD643BB" w14:textId="77777777" w:rsidR="00B914B8" w:rsidRPr="00C22A4F" w:rsidRDefault="00B914B8" w:rsidP="00DD10D0">
            <w:pPr>
              <w:tabs>
                <w:tab w:val="left" w:pos="450"/>
              </w:tabs>
              <w:jc w:val="center"/>
              <w:rPr>
                <w:b/>
                <w:sz w:val="18"/>
                <w:szCs w:val="18"/>
                <w:highlight w:val="yellow"/>
                <w:lang w:val="x-none" w:eastAsia="x-none"/>
              </w:rPr>
            </w:pPr>
            <w:r w:rsidRPr="00C22A4F">
              <w:rPr>
                <w:b/>
                <w:sz w:val="18"/>
                <w:szCs w:val="18"/>
                <w:highlight w:val="yellow"/>
                <w:lang w:val="x-none" w:eastAsia="x-none"/>
              </w:rPr>
              <w:t>Total Sample Size</w:t>
            </w:r>
          </w:p>
        </w:tc>
        <w:tc>
          <w:tcPr>
            <w:tcW w:w="1144" w:type="pct"/>
            <w:gridSpan w:val="3"/>
            <w:tcBorders>
              <w:top w:val="single" w:sz="4" w:space="0" w:color="auto"/>
              <w:left w:val="nil"/>
              <w:bottom w:val="single" w:sz="4" w:space="0" w:color="auto"/>
              <w:right w:val="nil"/>
            </w:tcBorders>
            <w:vAlign w:val="center"/>
          </w:tcPr>
          <w:p w14:paraId="59F1648D"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VIF=1</w:t>
            </w:r>
          </w:p>
          <w:p w14:paraId="1CAB6C96"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984" w:type="pct"/>
            <w:gridSpan w:val="3"/>
            <w:tcBorders>
              <w:top w:val="single" w:sz="4" w:space="0" w:color="auto"/>
              <w:left w:val="nil"/>
              <w:bottom w:val="single" w:sz="4" w:space="0" w:color="auto"/>
              <w:right w:val="nil"/>
            </w:tcBorders>
            <w:vAlign w:val="center"/>
          </w:tcPr>
          <w:p w14:paraId="77717787"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VIF=2</w:t>
            </w:r>
          </w:p>
          <w:p w14:paraId="5703695B"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966" w:type="pct"/>
            <w:gridSpan w:val="3"/>
            <w:tcBorders>
              <w:top w:val="single" w:sz="4" w:space="0" w:color="auto"/>
              <w:left w:val="nil"/>
              <w:bottom w:val="single" w:sz="4" w:space="0" w:color="auto"/>
              <w:right w:val="nil"/>
            </w:tcBorders>
            <w:vAlign w:val="center"/>
          </w:tcPr>
          <w:p w14:paraId="38EDB6E1"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VIF=5</w:t>
            </w:r>
          </w:p>
          <w:p w14:paraId="128DA205"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r>
      <w:tr w:rsidR="00B914B8" w:rsidRPr="00C22A4F" w14:paraId="2992C641" w14:textId="77777777" w:rsidTr="00DD10D0">
        <w:tc>
          <w:tcPr>
            <w:tcW w:w="1432" w:type="pct"/>
            <w:tcBorders>
              <w:top w:val="nil"/>
              <w:left w:val="nil"/>
              <w:bottom w:val="nil"/>
              <w:right w:val="nil"/>
            </w:tcBorders>
            <w:vAlign w:val="center"/>
          </w:tcPr>
          <w:p w14:paraId="6D56CDDD" w14:textId="77777777" w:rsidR="00B914B8" w:rsidRPr="00C22A4F" w:rsidRDefault="00B914B8" w:rsidP="00DD10D0">
            <w:pPr>
              <w:tabs>
                <w:tab w:val="left" w:pos="450"/>
              </w:tabs>
              <w:jc w:val="center"/>
              <w:rPr>
                <w:sz w:val="18"/>
                <w:szCs w:val="18"/>
                <w:highlight w:val="yellow"/>
                <w:lang w:val="x-none" w:eastAsia="x-none"/>
              </w:rPr>
            </w:pPr>
          </w:p>
        </w:tc>
        <w:tc>
          <w:tcPr>
            <w:tcW w:w="474" w:type="pct"/>
            <w:tcBorders>
              <w:top w:val="nil"/>
              <w:left w:val="nil"/>
              <w:bottom w:val="nil"/>
              <w:right w:val="nil"/>
            </w:tcBorders>
            <w:vAlign w:val="center"/>
          </w:tcPr>
          <w:p w14:paraId="362494CA" w14:textId="77777777" w:rsidR="00B914B8" w:rsidRPr="00C22A4F" w:rsidRDefault="00B914B8" w:rsidP="00DD10D0">
            <w:pPr>
              <w:tabs>
                <w:tab w:val="left" w:pos="450"/>
              </w:tabs>
              <w:jc w:val="center"/>
              <w:rPr>
                <w:sz w:val="18"/>
                <w:szCs w:val="18"/>
                <w:highlight w:val="yellow"/>
                <w:lang w:val="x-none" w:eastAsia="x-none"/>
              </w:rPr>
            </w:pPr>
          </w:p>
        </w:tc>
        <w:tc>
          <w:tcPr>
            <w:tcW w:w="438" w:type="pct"/>
            <w:tcBorders>
              <w:top w:val="single" w:sz="4" w:space="0" w:color="auto"/>
              <w:left w:val="nil"/>
              <w:bottom w:val="nil"/>
              <w:right w:val="nil"/>
            </w:tcBorders>
            <w:vAlign w:val="center"/>
          </w:tcPr>
          <w:p w14:paraId="346CECD0"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368" w:type="pct"/>
            <w:tcBorders>
              <w:top w:val="single" w:sz="4" w:space="0" w:color="auto"/>
              <w:left w:val="nil"/>
              <w:bottom w:val="nil"/>
              <w:right w:val="nil"/>
            </w:tcBorders>
            <w:vAlign w:val="center"/>
          </w:tcPr>
          <w:p w14:paraId="51C5C2D3"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338" w:type="pct"/>
            <w:tcBorders>
              <w:top w:val="single" w:sz="4" w:space="0" w:color="auto"/>
              <w:left w:val="nil"/>
              <w:bottom w:val="nil"/>
              <w:right w:val="nil"/>
            </w:tcBorders>
            <w:vAlign w:val="center"/>
          </w:tcPr>
          <w:p w14:paraId="2ACFFBA2"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10:1</w:t>
            </w:r>
          </w:p>
        </w:tc>
        <w:tc>
          <w:tcPr>
            <w:tcW w:w="464" w:type="pct"/>
            <w:tcBorders>
              <w:top w:val="single" w:sz="4" w:space="0" w:color="auto"/>
              <w:left w:val="nil"/>
              <w:bottom w:val="nil"/>
              <w:right w:val="nil"/>
            </w:tcBorders>
            <w:vAlign w:val="center"/>
          </w:tcPr>
          <w:p w14:paraId="07F54DA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258" w:type="pct"/>
            <w:tcBorders>
              <w:top w:val="single" w:sz="4" w:space="0" w:color="auto"/>
              <w:left w:val="nil"/>
              <w:bottom w:val="nil"/>
              <w:right w:val="nil"/>
            </w:tcBorders>
            <w:vAlign w:val="center"/>
          </w:tcPr>
          <w:p w14:paraId="68B16E76"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262" w:type="pct"/>
            <w:tcBorders>
              <w:top w:val="single" w:sz="4" w:space="0" w:color="auto"/>
              <w:left w:val="nil"/>
              <w:bottom w:val="nil"/>
              <w:right w:val="nil"/>
            </w:tcBorders>
            <w:vAlign w:val="center"/>
          </w:tcPr>
          <w:p w14:paraId="79E7A0C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10:1</w:t>
            </w:r>
          </w:p>
        </w:tc>
        <w:tc>
          <w:tcPr>
            <w:tcW w:w="368" w:type="pct"/>
            <w:tcBorders>
              <w:top w:val="single" w:sz="4" w:space="0" w:color="auto"/>
              <w:left w:val="nil"/>
              <w:bottom w:val="nil"/>
              <w:right w:val="nil"/>
            </w:tcBorders>
            <w:vAlign w:val="center"/>
          </w:tcPr>
          <w:p w14:paraId="46109C95"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1:1</w:t>
            </w:r>
          </w:p>
        </w:tc>
        <w:tc>
          <w:tcPr>
            <w:tcW w:w="258" w:type="pct"/>
            <w:tcBorders>
              <w:top w:val="single" w:sz="4" w:space="0" w:color="auto"/>
              <w:left w:val="nil"/>
              <w:bottom w:val="nil"/>
              <w:right w:val="nil"/>
            </w:tcBorders>
            <w:vAlign w:val="center"/>
          </w:tcPr>
          <w:p w14:paraId="0653DE51"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3:1</w:t>
            </w:r>
          </w:p>
        </w:tc>
        <w:tc>
          <w:tcPr>
            <w:tcW w:w="340" w:type="pct"/>
            <w:tcBorders>
              <w:top w:val="single" w:sz="4" w:space="0" w:color="auto"/>
              <w:left w:val="nil"/>
              <w:bottom w:val="nil"/>
              <w:right w:val="nil"/>
            </w:tcBorders>
            <w:vAlign w:val="center"/>
          </w:tcPr>
          <w:p w14:paraId="5A848943" w14:textId="77777777" w:rsidR="00B914B8" w:rsidRPr="00C22A4F" w:rsidRDefault="00B914B8" w:rsidP="00DD10D0">
            <w:pPr>
              <w:jc w:val="center"/>
              <w:rPr>
                <w:sz w:val="18"/>
                <w:szCs w:val="18"/>
                <w:highlight w:val="yellow"/>
              </w:rPr>
            </w:pPr>
            <w:r w:rsidRPr="00C22A4F">
              <w:rPr>
                <w:sz w:val="18"/>
                <w:szCs w:val="18"/>
                <w:highlight w:val="yellow"/>
              </w:rPr>
              <w:t>10:1</w:t>
            </w:r>
          </w:p>
        </w:tc>
      </w:tr>
      <w:tr w:rsidR="00B914B8" w:rsidRPr="00C22A4F" w14:paraId="2526DD9D" w14:textId="77777777" w:rsidTr="00DD10D0">
        <w:tc>
          <w:tcPr>
            <w:tcW w:w="1906" w:type="pct"/>
            <w:gridSpan w:val="2"/>
            <w:tcBorders>
              <w:top w:val="nil"/>
              <w:left w:val="nil"/>
              <w:bottom w:val="nil"/>
              <w:right w:val="nil"/>
            </w:tcBorders>
            <w:vAlign w:val="center"/>
          </w:tcPr>
          <w:p w14:paraId="7ECC6933"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14</w:t>
            </w:r>
            <w:r w:rsidRPr="00C22A4F">
              <w:rPr>
                <w:sz w:val="18"/>
                <w:szCs w:val="18"/>
                <w:highlight w:val="yellow"/>
                <w:lang w:eastAsia="x-none"/>
              </w:rPr>
              <w:t>,</w:t>
            </w:r>
            <w:r w:rsidRPr="00C22A4F">
              <w:rPr>
                <w:sz w:val="18"/>
                <w:szCs w:val="18"/>
                <w:highlight w:val="yellow"/>
                <w:lang w:val="x-none" w:eastAsia="x-none"/>
              </w:rPr>
              <w:t>000</w:t>
            </w:r>
          </w:p>
        </w:tc>
        <w:tc>
          <w:tcPr>
            <w:tcW w:w="438" w:type="pct"/>
            <w:tcBorders>
              <w:top w:val="nil"/>
              <w:left w:val="nil"/>
              <w:bottom w:val="nil"/>
              <w:right w:val="nil"/>
            </w:tcBorders>
            <w:vAlign w:val="center"/>
          </w:tcPr>
          <w:p w14:paraId="02ECD593"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0.05</w:t>
            </w:r>
          </w:p>
        </w:tc>
        <w:tc>
          <w:tcPr>
            <w:tcW w:w="368" w:type="pct"/>
            <w:tcBorders>
              <w:top w:val="nil"/>
              <w:left w:val="nil"/>
              <w:bottom w:val="nil"/>
              <w:right w:val="nil"/>
            </w:tcBorders>
            <w:vAlign w:val="center"/>
          </w:tcPr>
          <w:p w14:paraId="52CA083F"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0.06</w:t>
            </w:r>
          </w:p>
        </w:tc>
        <w:tc>
          <w:tcPr>
            <w:tcW w:w="338" w:type="pct"/>
            <w:tcBorders>
              <w:top w:val="nil"/>
              <w:left w:val="nil"/>
              <w:bottom w:val="nil"/>
              <w:right w:val="nil"/>
            </w:tcBorders>
            <w:vAlign w:val="center"/>
          </w:tcPr>
          <w:p w14:paraId="2BAB3A4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0.09</w:t>
            </w:r>
          </w:p>
        </w:tc>
        <w:tc>
          <w:tcPr>
            <w:tcW w:w="464" w:type="pct"/>
            <w:tcBorders>
              <w:top w:val="nil"/>
              <w:left w:val="nil"/>
              <w:bottom w:val="nil"/>
              <w:right w:val="nil"/>
            </w:tcBorders>
            <w:vAlign w:val="center"/>
          </w:tcPr>
          <w:p w14:paraId="62E8452E"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0.07</w:t>
            </w:r>
          </w:p>
        </w:tc>
        <w:tc>
          <w:tcPr>
            <w:tcW w:w="258" w:type="pct"/>
            <w:tcBorders>
              <w:top w:val="nil"/>
              <w:left w:val="nil"/>
              <w:bottom w:val="nil"/>
              <w:right w:val="nil"/>
            </w:tcBorders>
            <w:vAlign w:val="center"/>
          </w:tcPr>
          <w:p w14:paraId="03B2F22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0.08</w:t>
            </w:r>
          </w:p>
        </w:tc>
        <w:tc>
          <w:tcPr>
            <w:tcW w:w="262" w:type="pct"/>
            <w:tcBorders>
              <w:top w:val="nil"/>
              <w:left w:val="nil"/>
              <w:bottom w:val="nil"/>
              <w:right w:val="nil"/>
            </w:tcBorders>
            <w:vAlign w:val="center"/>
          </w:tcPr>
          <w:p w14:paraId="03012A26"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0.12</w:t>
            </w:r>
          </w:p>
        </w:tc>
        <w:tc>
          <w:tcPr>
            <w:tcW w:w="368" w:type="pct"/>
            <w:tcBorders>
              <w:top w:val="nil"/>
              <w:left w:val="nil"/>
              <w:bottom w:val="nil"/>
              <w:right w:val="nil"/>
            </w:tcBorders>
            <w:vAlign w:val="center"/>
          </w:tcPr>
          <w:p w14:paraId="5EBAB511"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0.11</w:t>
            </w:r>
          </w:p>
        </w:tc>
        <w:tc>
          <w:tcPr>
            <w:tcW w:w="258" w:type="pct"/>
            <w:tcBorders>
              <w:top w:val="nil"/>
              <w:left w:val="nil"/>
              <w:bottom w:val="nil"/>
              <w:right w:val="nil"/>
            </w:tcBorders>
            <w:vAlign w:val="center"/>
          </w:tcPr>
          <w:p w14:paraId="3BC12F09"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0.13</w:t>
            </w:r>
          </w:p>
        </w:tc>
        <w:tc>
          <w:tcPr>
            <w:tcW w:w="340" w:type="pct"/>
            <w:tcBorders>
              <w:top w:val="nil"/>
              <w:left w:val="nil"/>
              <w:bottom w:val="nil"/>
              <w:right w:val="nil"/>
            </w:tcBorders>
            <w:vAlign w:val="center"/>
          </w:tcPr>
          <w:p w14:paraId="7D363F49" w14:textId="77777777" w:rsidR="00B914B8" w:rsidRPr="00C22A4F" w:rsidRDefault="00B914B8" w:rsidP="00DD10D0">
            <w:pPr>
              <w:jc w:val="center"/>
              <w:rPr>
                <w:sz w:val="18"/>
                <w:szCs w:val="18"/>
                <w:highlight w:val="yellow"/>
              </w:rPr>
            </w:pPr>
            <w:r w:rsidRPr="00C22A4F">
              <w:rPr>
                <w:sz w:val="18"/>
                <w:szCs w:val="18"/>
                <w:highlight w:val="yellow"/>
              </w:rPr>
              <w:t>0.19</w:t>
            </w:r>
          </w:p>
        </w:tc>
      </w:tr>
      <w:tr w:rsidR="00B914B8" w:rsidRPr="00C22A4F" w14:paraId="5BDCD6BB" w14:textId="77777777" w:rsidTr="00DD10D0">
        <w:tc>
          <w:tcPr>
            <w:tcW w:w="1906" w:type="pct"/>
            <w:gridSpan w:val="2"/>
            <w:tcBorders>
              <w:top w:val="nil"/>
              <w:left w:val="nil"/>
              <w:bottom w:val="nil"/>
              <w:right w:val="nil"/>
            </w:tcBorders>
            <w:vAlign w:val="center"/>
          </w:tcPr>
          <w:p w14:paraId="5F10A0E2"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8</w:t>
            </w:r>
            <w:r w:rsidRPr="00C22A4F">
              <w:rPr>
                <w:sz w:val="18"/>
                <w:szCs w:val="18"/>
                <w:highlight w:val="yellow"/>
                <w:lang w:eastAsia="x-none"/>
              </w:rPr>
              <w:t>,</w:t>
            </w:r>
            <w:r w:rsidRPr="00C22A4F">
              <w:rPr>
                <w:sz w:val="18"/>
                <w:szCs w:val="18"/>
                <w:highlight w:val="yellow"/>
                <w:lang w:val="x-none" w:eastAsia="x-none"/>
              </w:rPr>
              <w:t>000</w:t>
            </w:r>
          </w:p>
        </w:tc>
        <w:tc>
          <w:tcPr>
            <w:tcW w:w="438" w:type="pct"/>
            <w:tcBorders>
              <w:top w:val="nil"/>
              <w:left w:val="nil"/>
              <w:bottom w:val="nil"/>
              <w:right w:val="nil"/>
            </w:tcBorders>
            <w:vAlign w:val="center"/>
          </w:tcPr>
          <w:p w14:paraId="1BF8D792"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0.07</w:t>
            </w:r>
          </w:p>
        </w:tc>
        <w:tc>
          <w:tcPr>
            <w:tcW w:w="368" w:type="pct"/>
            <w:tcBorders>
              <w:top w:val="nil"/>
              <w:left w:val="nil"/>
              <w:bottom w:val="nil"/>
              <w:right w:val="nil"/>
            </w:tcBorders>
            <w:vAlign w:val="center"/>
          </w:tcPr>
          <w:p w14:paraId="3472AADF"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0.08</w:t>
            </w:r>
          </w:p>
        </w:tc>
        <w:tc>
          <w:tcPr>
            <w:tcW w:w="338" w:type="pct"/>
            <w:tcBorders>
              <w:top w:val="nil"/>
              <w:left w:val="nil"/>
              <w:bottom w:val="nil"/>
              <w:right w:val="nil"/>
            </w:tcBorders>
            <w:vAlign w:val="center"/>
          </w:tcPr>
          <w:p w14:paraId="2E11F4A5"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0.11</w:t>
            </w:r>
          </w:p>
        </w:tc>
        <w:tc>
          <w:tcPr>
            <w:tcW w:w="464" w:type="pct"/>
            <w:tcBorders>
              <w:top w:val="nil"/>
              <w:left w:val="nil"/>
              <w:bottom w:val="nil"/>
              <w:right w:val="nil"/>
            </w:tcBorders>
            <w:vAlign w:val="center"/>
          </w:tcPr>
          <w:p w14:paraId="01E32A4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0.09</w:t>
            </w:r>
          </w:p>
        </w:tc>
        <w:tc>
          <w:tcPr>
            <w:tcW w:w="258" w:type="pct"/>
            <w:tcBorders>
              <w:top w:val="nil"/>
              <w:left w:val="nil"/>
              <w:bottom w:val="nil"/>
              <w:right w:val="nil"/>
            </w:tcBorders>
            <w:vAlign w:val="center"/>
          </w:tcPr>
          <w:p w14:paraId="02DA5C9C"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0.11</w:t>
            </w:r>
          </w:p>
        </w:tc>
        <w:tc>
          <w:tcPr>
            <w:tcW w:w="262" w:type="pct"/>
            <w:tcBorders>
              <w:top w:val="nil"/>
              <w:left w:val="nil"/>
              <w:bottom w:val="nil"/>
              <w:right w:val="nil"/>
            </w:tcBorders>
            <w:vAlign w:val="center"/>
          </w:tcPr>
          <w:p w14:paraId="0E1F8C97"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0.16</w:t>
            </w:r>
          </w:p>
        </w:tc>
        <w:tc>
          <w:tcPr>
            <w:tcW w:w="368" w:type="pct"/>
            <w:tcBorders>
              <w:top w:val="nil"/>
              <w:left w:val="nil"/>
              <w:bottom w:val="nil"/>
              <w:right w:val="nil"/>
            </w:tcBorders>
            <w:vAlign w:val="center"/>
          </w:tcPr>
          <w:p w14:paraId="6B614501"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0.15</w:t>
            </w:r>
          </w:p>
        </w:tc>
        <w:tc>
          <w:tcPr>
            <w:tcW w:w="258" w:type="pct"/>
            <w:tcBorders>
              <w:top w:val="nil"/>
              <w:left w:val="nil"/>
              <w:bottom w:val="nil"/>
              <w:right w:val="nil"/>
            </w:tcBorders>
            <w:vAlign w:val="center"/>
          </w:tcPr>
          <w:p w14:paraId="0DA12CDF"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0.17</w:t>
            </w:r>
          </w:p>
        </w:tc>
        <w:tc>
          <w:tcPr>
            <w:tcW w:w="340" w:type="pct"/>
            <w:tcBorders>
              <w:top w:val="nil"/>
              <w:left w:val="nil"/>
              <w:bottom w:val="nil"/>
              <w:right w:val="nil"/>
            </w:tcBorders>
            <w:vAlign w:val="center"/>
          </w:tcPr>
          <w:p w14:paraId="7B4331DD"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0.25</w:t>
            </w:r>
          </w:p>
        </w:tc>
      </w:tr>
      <w:tr w:rsidR="00B914B8" w:rsidRPr="00C22A4F" w14:paraId="6C571688" w14:textId="77777777" w:rsidTr="00DD10D0">
        <w:tc>
          <w:tcPr>
            <w:tcW w:w="1906" w:type="pct"/>
            <w:gridSpan w:val="2"/>
            <w:tcBorders>
              <w:top w:val="nil"/>
              <w:left w:val="nil"/>
              <w:bottom w:val="single" w:sz="4" w:space="0" w:color="auto"/>
              <w:right w:val="nil"/>
            </w:tcBorders>
            <w:vAlign w:val="center"/>
          </w:tcPr>
          <w:p w14:paraId="4226AFE8"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3</w:t>
            </w:r>
            <w:r w:rsidRPr="00C22A4F">
              <w:rPr>
                <w:sz w:val="18"/>
                <w:szCs w:val="18"/>
                <w:highlight w:val="yellow"/>
                <w:lang w:eastAsia="x-none"/>
              </w:rPr>
              <w:t>,</w:t>
            </w:r>
            <w:r w:rsidRPr="00C22A4F">
              <w:rPr>
                <w:sz w:val="18"/>
                <w:szCs w:val="18"/>
                <w:highlight w:val="yellow"/>
                <w:lang w:val="x-none" w:eastAsia="x-none"/>
              </w:rPr>
              <w:t>000</w:t>
            </w:r>
          </w:p>
        </w:tc>
        <w:tc>
          <w:tcPr>
            <w:tcW w:w="438" w:type="pct"/>
            <w:tcBorders>
              <w:top w:val="nil"/>
              <w:left w:val="nil"/>
              <w:bottom w:val="single" w:sz="4" w:space="0" w:color="auto"/>
              <w:right w:val="nil"/>
            </w:tcBorders>
            <w:vAlign w:val="center"/>
          </w:tcPr>
          <w:p w14:paraId="6137274E"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0.11</w:t>
            </w:r>
          </w:p>
        </w:tc>
        <w:tc>
          <w:tcPr>
            <w:tcW w:w="368" w:type="pct"/>
            <w:tcBorders>
              <w:top w:val="nil"/>
              <w:left w:val="nil"/>
              <w:bottom w:val="single" w:sz="4" w:space="0" w:color="auto"/>
              <w:right w:val="nil"/>
            </w:tcBorders>
            <w:vAlign w:val="center"/>
          </w:tcPr>
          <w:p w14:paraId="1BEBB4E1"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0.12</w:t>
            </w:r>
          </w:p>
        </w:tc>
        <w:tc>
          <w:tcPr>
            <w:tcW w:w="338" w:type="pct"/>
            <w:tcBorders>
              <w:top w:val="nil"/>
              <w:left w:val="nil"/>
              <w:bottom w:val="single" w:sz="4" w:space="0" w:color="auto"/>
              <w:right w:val="nil"/>
            </w:tcBorders>
            <w:vAlign w:val="center"/>
          </w:tcPr>
          <w:p w14:paraId="3C86D18A"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0.18</w:t>
            </w:r>
          </w:p>
        </w:tc>
        <w:tc>
          <w:tcPr>
            <w:tcW w:w="464" w:type="pct"/>
            <w:tcBorders>
              <w:top w:val="nil"/>
              <w:left w:val="nil"/>
              <w:bottom w:val="single" w:sz="4" w:space="0" w:color="auto"/>
              <w:right w:val="nil"/>
            </w:tcBorders>
            <w:vAlign w:val="center"/>
          </w:tcPr>
          <w:p w14:paraId="1B215EA5"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0.15</w:t>
            </w:r>
          </w:p>
        </w:tc>
        <w:tc>
          <w:tcPr>
            <w:tcW w:w="258" w:type="pct"/>
            <w:tcBorders>
              <w:top w:val="nil"/>
              <w:left w:val="nil"/>
              <w:bottom w:val="single" w:sz="4" w:space="0" w:color="auto"/>
              <w:right w:val="nil"/>
            </w:tcBorders>
            <w:vAlign w:val="center"/>
          </w:tcPr>
          <w:p w14:paraId="6A38ACAA"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0.17</w:t>
            </w:r>
          </w:p>
        </w:tc>
        <w:tc>
          <w:tcPr>
            <w:tcW w:w="262" w:type="pct"/>
            <w:tcBorders>
              <w:top w:val="nil"/>
              <w:left w:val="nil"/>
              <w:bottom w:val="single" w:sz="4" w:space="0" w:color="auto"/>
              <w:right w:val="nil"/>
            </w:tcBorders>
            <w:vAlign w:val="center"/>
          </w:tcPr>
          <w:p w14:paraId="1B44F5F6"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0.26</w:t>
            </w:r>
          </w:p>
        </w:tc>
        <w:tc>
          <w:tcPr>
            <w:tcW w:w="368" w:type="pct"/>
            <w:tcBorders>
              <w:top w:val="nil"/>
              <w:left w:val="nil"/>
              <w:bottom w:val="single" w:sz="4" w:space="0" w:color="auto"/>
              <w:right w:val="nil"/>
            </w:tcBorders>
            <w:vAlign w:val="center"/>
          </w:tcPr>
          <w:p w14:paraId="3F9CB00A"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0.23</w:t>
            </w:r>
          </w:p>
        </w:tc>
        <w:tc>
          <w:tcPr>
            <w:tcW w:w="258" w:type="pct"/>
            <w:tcBorders>
              <w:top w:val="nil"/>
              <w:left w:val="nil"/>
              <w:bottom w:val="single" w:sz="4" w:space="0" w:color="auto"/>
              <w:right w:val="nil"/>
            </w:tcBorders>
            <w:vAlign w:val="center"/>
          </w:tcPr>
          <w:p w14:paraId="791A4905"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0.27</w:t>
            </w:r>
          </w:p>
        </w:tc>
        <w:tc>
          <w:tcPr>
            <w:tcW w:w="340" w:type="pct"/>
            <w:tcBorders>
              <w:top w:val="nil"/>
              <w:left w:val="nil"/>
              <w:bottom w:val="single" w:sz="4" w:space="0" w:color="auto"/>
              <w:right w:val="nil"/>
            </w:tcBorders>
            <w:vAlign w:val="center"/>
          </w:tcPr>
          <w:p w14:paraId="00703969" w14:textId="77777777" w:rsidR="00B914B8" w:rsidRPr="00C22A4F" w:rsidRDefault="00B914B8" w:rsidP="00DD10D0">
            <w:pPr>
              <w:tabs>
                <w:tab w:val="left" w:pos="450"/>
              </w:tabs>
              <w:jc w:val="center"/>
              <w:rPr>
                <w:sz w:val="18"/>
                <w:szCs w:val="18"/>
                <w:highlight w:val="yellow"/>
                <w:lang w:val="x-none" w:eastAsia="x-none"/>
              </w:rPr>
            </w:pPr>
            <w:r w:rsidRPr="00C22A4F">
              <w:rPr>
                <w:sz w:val="18"/>
                <w:szCs w:val="18"/>
                <w:highlight w:val="yellow"/>
                <w:lang w:val="x-none" w:eastAsia="x-none"/>
              </w:rPr>
              <w:t>0.41</w:t>
            </w:r>
          </w:p>
        </w:tc>
      </w:tr>
      <w:tr w:rsidR="00B914B8" w:rsidRPr="00C22A4F" w14:paraId="290D0027" w14:textId="77777777" w:rsidTr="00DD10D0">
        <w:tc>
          <w:tcPr>
            <w:tcW w:w="1432" w:type="pct"/>
            <w:tcBorders>
              <w:top w:val="single" w:sz="4" w:space="0" w:color="auto"/>
              <w:left w:val="nil"/>
              <w:bottom w:val="nil"/>
              <w:right w:val="nil"/>
            </w:tcBorders>
            <w:vAlign w:val="center"/>
          </w:tcPr>
          <w:p w14:paraId="640851BF" w14:textId="77777777" w:rsidR="00B914B8" w:rsidRPr="00C22A4F" w:rsidRDefault="00B914B8" w:rsidP="00DD10D0">
            <w:pPr>
              <w:tabs>
                <w:tab w:val="left" w:pos="450"/>
              </w:tabs>
              <w:jc w:val="center"/>
              <w:rPr>
                <w:sz w:val="16"/>
                <w:szCs w:val="16"/>
                <w:highlight w:val="yellow"/>
                <w:lang w:val="x-none" w:eastAsia="x-none"/>
              </w:rPr>
            </w:pPr>
          </w:p>
        </w:tc>
        <w:tc>
          <w:tcPr>
            <w:tcW w:w="474" w:type="pct"/>
            <w:tcBorders>
              <w:top w:val="single" w:sz="4" w:space="0" w:color="auto"/>
              <w:left w:val="nil"/>
              <w:bottom w:val="nil"/>
              <w:right w:val="nil"/>
            </w:tcBorders>
            <w:vAlign w:val="center"/>
          </w:tcPr>
          <w:p w14:paraId="2E34F8CF" w14:textId="77777777" w:rsidR="00B914B8" w:rsidRPr="00C22A4F" w:rsidRDefault="00B914B8" w:rsidP="00DD10D0">
            <w:pPr>
              <w:tabs>
                <w:tab w:val="left" w:pos="450"/>
              </w:tabs>
              <w:jc w:val="center"/>
              <w:rPr>
                <w:sz w:val="16"/>
                <w:szCs w:val="16"/>
                <w:highlight w:val="yellow"/>
                <w:lang w:val="x-none" w:eastAsia="x-none"/>
              </w:rPr>
            </w:pPr>
          </w:p>
        </w:tc>
        <w:tc>
          <w:tcPr>
            <w:tcW w:w="438" w:type="pct"/>
            <w:tcBorders>
              <w:top w:val="single" w:sz="4" w:space="0" w:color="auto"/>
              <w:left w:val="nil"/>
              <w:bottom w:val="nil"/>
              <w:right w:val="nil"/>
            </w:tcBorders>
            <w:vAlign w:val="center"/>
          </w:tcPr>
          <w:p w14:paraId="4139F0AB" w14:textId="77777777" w:rsidR="00B914B8" w:rsidRPr="00C22A4F" w:rsidRDefault="00B914B8" w:rsidP="00DD10D0">
            <w:pPr>
              <w:tabs>
                <w:tab w:val="left" w:pos="450"/>
              </w:tabs>
              <w:jc w:val="center"/>
              <w:rPr>
                <w:sz w:val="16"/>
                <w:szCs w:val="16"/>
                <w:highlight w:val="yellow"/>
                <w:lang w:val="x-none" w:eastAsia="x-none"/>
              </w:rPr>
            </w:pPr>
          </w:p>
        </w:tc>
        <w:tc>
          <w:tcPr>
            <w:tcW w:w="368" w:type="pct"/>
            <w:tcBorders>
              <w:top w:val="single" w:sz="4" w:space="0" w:color="auto"/>
              <w:left w:val="nil"/>
              <w:bottom w:val="nil"/>
              <w:right w:val="nil"/>
            </w:tcBorders>
            <w:vAlign w:val="center"/>
          </w:tcPr>
          <w:p w14:paraId="66D2B74C" w14:textId="77777777" w:rsidR="00B914B8" w:rsidRPr="00C22A4F" w:rsidRDefault="00B914B8" w:rsidP="00DD10D0">
            <w:pPr>
              <w:tabs>
                <w:tab w:val="left" w:pos="450"/>
              </w:tabs>
              <w:jc w:val="center"/>
              <w:rPr>
                <w:sz w:val="16"/>
                <w:szCs w:val="16"/>
                <w:highlight w:val="yellow"/>
                <w:lang w:val="x-none" w:eastAsia="x-none"/>
              </w:rPr>
            </w:pPr>
          </w:p>
        </w:tc>
        <w:tc>
          <w:tcPr>
            <w:tcW w:w="338" w:type="pct"/>
            <w:tcBorders>
              <w:top w:val="single" w:sz="4" w:space="0" w:color="auto"/>
              <w:left w:val="nil"/>
              <w:bottom w:val="nil"/>
              <w:right w:val="nil"/>
            </w:tcBorders>
            <w:vAlign w:val="center"/>
          </w:tcPr>
          <w:p w14:paraId="3CCEBD05" w14:textId="77777777" w:rsidR="00B914B8" w:rsidRPr="00C22A4F" w:rsidRDefault="00B914B8" w:rsidP="00DD10D0">
            <w:pPr>
              <w:tabs>
                <w:tab w:val="left" w:pos="450"/>
              </w:tabs>
              <w:jc w:val="center"/>
              <w:rPr>
                <w:sz w:val="16"/>
                <w:szCs w:val="16"/>
                <w:highlight w:val="yellow"/>
                <w:lang w:val="x-none" w:eastAsia="x-none"/>
              </w:rPr>
            </w:pPr>
          </w:p>
        </w:tc>
        <w:tc>
          <w:tcPr>
            <w:tcW w:w="464" w:type="pct"/>
            <w:tcBorders>
              <w:top w:val="single" w:sz="4" w:space="0" w:color="auto"/>
              <w:left w:val="nil"/>
              <w:bottom w:val="nil"/>
              <w:right w:val="nil"/>
            </w:tcBorders>
            <w:vAlign w:val="center"/>
          </w:tcPr>
          <w:p w14:paraId="62363D8F" w14:textId="77777777" w:rsidR="00B914B8" w:rsidRPr="00C22A4F" w:rsidRDefault="00B914B8" w:rsidP="00DD10D0">
            <w:pPr>
              <w:tabs>
                <w:tab w:val="left" w:pos="450"/>
              </w:tabs>
              <w:jc w:val="center"/>
              <w:rPr>
                <w:sz w:val="16"/>
                <w:szCs w:val="16"/>
                <w:highlight w:val="yellow"/>
                <w:lang w:val="x-none" w:eastAsia="x-none"/>
              </w:rPr>
            </w:pPr>
          </w:p>
        </w:tc>
        <w:tc>
          <w:tcPr>
            <w:tcW w:w="258" w:type="pct"/>
            <w:tcBorders>
              <w:top w:val="single" w:sz="4" w:space="0" w:color="auto"/>
              <w:left w:val="nil"/>
              <w:bottom w:val="nil"/>
              <w:right w:val="nil"/>
            </w:tcBorders>
            <w:vAlign w:val="center"/>
          </w:tcPr>
          <w:p w14:paraId="55E4817F" w14:textId="77777777" w:rsidR="00B914B8" w:rsidRPr="00C22A4F" w:rsidRDefault="00B914B8" w:rsidP="00DD10D0">
            <w:pPr>
              <w:tabs>
                <w:tab w:val="left" w:pos="450"/>
              </w:tabs>
              <w:jc w:val="center"/>
              <w:rPr>
                <w:sz w:val="16"/>
                <w:szCs w:val="16"/>
                <w:highlight w:val="yellow"/>
                <w:lang w:val="x-none" w:eastAsia="x-none"/>
              </w:rPr>
            </w:pPr>
          </w:p>
        </w:tc>
        <w:tc>
          <w:tcPr>
            <w:tcW w:w="262" w:type="pct"/>
            <w:tcBorders>
              <w:top w:val="single" w:sz="4" w:space="0" w:color="auto"/>
              <w:left w:val="nil"/>
              <w:bottom w:val="nil"/>
              <w:right w:val="nil"/>
            </w:tcBorders>
            <w:vAlign w:val="center"/>
          </w:tcPr>
          <w:p w14:paraId="3A48CA37" w14:textId="77777777" w:rsidR="00B914B8" w:rsidRPr="00C22A4F" w:rsidRDefault="00B914B8" w:rsidP="00DD10D0">
            <w:pPr>
              <w:tabs>
                <w:tab w:val="left" w:pos="450"/>
              </w:tabs>
              <w:jc w:val="center"/>
              <w:rPr>
                <w:sz w:val="16"/>
                <w:szCs w:val="16"/>
                <w:highlight w:val="yellow"/>
                <w:lang w:val="x-none" w:eastAsia="x-none"/>
              </w:rPr>
            </w:pPr>
          </w:p>
        </w:tc>
        <w:tc>
          <w:tcPr>
            <w:tcW w:w="368" w:type="pct"/>
            <w:tcBorders>
              <w:top w:val="single" w:sz="4" w:space="0" w:color="auto"/>
              <w:left w:val="nil"/>
              <w:bottom w:val="nil"/>
              <w:right w:val="nil"/>
            </w:tcBorders>
            <w:vAlign w:val="center"/>
          </w:tcPr>
          <w:p w14:paraId="15827B19" w14:textId="77777777" w:rsidR="00B914B8" w:rsidRPr="00C22A4F" w:rsidRDefault="00B914B8" w:rsidP="00DD10D0">
            <w:pPr>
              <w:tabs>
                <w:tab w:val="left" w:pos="450"/>
              </w:tabs>
              <w:jc w:val="center"/>
              <w:rPr>
                <w:sz w:val="16"/>
                <w:szCs w:val="16"/>
                <w:highlight w:val="yellow"/>
                <w:lang w:val="x-none" w:eastAsia="x-none"/>
              </w:rPr>
            </w:pPr>
          </w:p>
        </w:tc>
        <w:tc>
          <w:tcPr>
            <w:tcW w:w="258" w:type="pct"/>
            <w:tcBorders>
              <w:top w:val="single" w:sz="4" w:space="0" w:color="auto"/>
              <w:left w:val="nil"/>
              <w:bottom w:val="nil"/>
              <w:right w:val="nil"/>
            </w:tcBorders>
            <w:vAlign w:val="center"/>
          </w:tcPr>
          <w:p w14:paraId="49B91CC3" w14:textId="77777777" w:rsidR="00B914B8" w:rsidRPr="00C22A4F" w:rsidRDefault="00B914B8" w:rsidP="00DD10D0">
            <w:pPr>
              <w:tabs>
                <w:tab w:val="left" w:pos="450"/>
              </w:tabs>
              <w:jc w:val="center"/>
              <w:rPr>
                <w:sz w:val="16"/>
                <w:szCs w:val="16"/>
                <w:highlight w:val="yellow"/>
                <w:lang w:val="x-none" w:eastAsia="x-none"/>
              </w:rPr>
            </w:pPr>
          </w:p>
        </w:tc>
        <w:tc>
          <w:tcPr>
            <w:tcW w:w="340" w:type="pct"/>
            <w:tcBorders>
              <w:top w:val="single" w:sz="4" w:space="0" w:color="auto"/>
              <w:left w:val="nil"/>
              <w:bottom w:val="nil"/>
              <w:right w:val="nil"/>
            </w:tcBorders>
            <w:vAlign w:val="center"/>
          </w:tcPr>
          <w:p w14:paraId="5D9144E5" w14:textId="77777777" w:rsidR="00B914B8" w:rsidRPr="00C22A4F" w:rsidRDefault="00B914B8" w:rsidP="00DD10D0">
            <w:pPr>
              <w:tabs>
                <w:tab w:val="left" w:pos="450"/>
              </w:tabs>
              <w:jc w:val="center"/>
              <w:rPr>
                <w:sz w:val="16"/>
                <w:szCs w:val="16"/>
                <w:highlight w:val="yellow"/>
                <w:lang w:val="x-none" w:eastAsia="x-none"/>
              </w:rPr>
            </w:pPr>
          </w:p>
        </w:tc>
      </w:tr>
    </w:tbl>
    <w:p w14:paraId="3F6116A9" w14:textId="77777777" w:rsidR="00B914B8" w:rsidRPr="00C22A4F" w:rsidRDefault="00B914B8" w:rsidP="00AC323A">
      <w:pPr>
        <w:spacing w:after="60" w:line="480" w:lineRule="auto"/>
        <w:ind w:firstLine="720"/>
        <w:rPr>
          <w:rFonts w:eastAsia="Calibri"/>
          <w:szCs w:val="24"/>
          <w:highlight w:val="yellow"/>
        </w:rPr>
      </w:pPr>
    </w:p>
    <w:p w14:paraId="5692466C" w14:textId="0D4C9B5D" w:rsidR="006B7A5B" w:rsidRDefault="006B7A5B" w:rsidP="00B914B8">
      <w:pPr>
        <w:spacing w:after="60" w:line="276" w:lineRule="auto"/>
        <w:ind w:firstLine="720"/>
        <w:rPr>
          <w:rFonts w:eastAsia="Calibri"/>
          <w:szCs w:val="24"/>
        </w:rPr>
      </w:pPr>
      <w:r w:rsidRPr="00C22A4F">
        <w:rPr>
          <w:rFonts w:eastAsia="Calibri"/>
          <w:szCs w:val="24"/>
          <w:highlight w:val="yellow"/>
        </w:rPr>
        <w:t xml:space="preserve">Power calculations for the study of relationships between exposures and incident events (e.g. CHD, stroke) are based on the estimated incidence of events defined by ICD-coded hospital discharge diagnoses. </w:t>
      </w:r>
      <w:r w:rsidRPr="00C22A4F">
        <w:rPr>
          <w:rFonts w:eastAsia="Calibri"/>
          <w:b/>
          <w:szCs w:val="24"/>
          <w:highlight w:val="yellow"/>
        </w:rPr>
        <w:t xml:space="preserve">Table </w:t>
      </w:r>
      <w:r w:rsidR="00DE1C24" w:rsidRPr="00C22A4F">
        <w:rPr>
          <w:rFonts w:eastAsia="Calibri"/>
          <w:b/>
          <w:szCs w:val="24"/>
          <w:highlight w:val="yellow"/>
        </w:rPr>
        <w:t>B.</w:t>
      </w:r>
      <w:r w:rsidRPr="00C22A4F">
        <w:rPr>
          <w:rFonts w:eastAsia="Calibri"/>
          <w:b/>
          <w:szCs w:val="24"/>
          <w:highlight w:val="yellow"/>
        </w:rPr>
        <w:t>5</w:t>
      </w:r>
      <w:r w:rsidRPr="00C22A4F">
        <w:rPr>
          <w:rFonts w:eastAsia="Calibri"/>
          <w:szCs w:val="24"/>
          <w:highlight w:val="yellow"/>
        </w:rPr>
        <w:t xml:space="preserve"> shows the minimum hazard ratios that can be detected for various subgroup sample sizes assuming the incidence rates range from 2 (e.g., hospitalized MI) to 10 (e.g. onset of diabetes) per 1,000 person years with 9.5 years total follow-up.  The minimum detectable hazard ratio ranges from 1.63 to 4.79 when the incidence rate is 2 events per 1,000 person years, and range from 1.27 to 2.62 when the incidence rate is 10 events per 1,000 person</w:t>
      </w:r>
      <w:r w:rsidR="005A3273" w:rsidRPr="00C22A4F">
        <w:rPr>
          <w:rFonts w:eastAsia="Calibri"/>
          <w:szCs w:val="24"/>
          <w:highlight w:val="yellow"/>
        </w:rPr>
        <w:t xml:space="preserve"> years.</w:t>
      </w:r>
    </w:p>
    <w:p w14:paraId="3BC1059C" w14:textId="3C5F3DA4" w:rsidR="006B7A5B" w:rsidRPr="00BF367F" w:rsidRDefault="006B7A5B" w:rsidP="006B7A5B">
      <w:pPr>
        <w:spacing w:after="60"/>
        <w:rPr>
          <w:rFonts w:ascii="Arial" w:eastAsia="Calibri" w:hAnsi="Arial" w:cs="Arial"/>
          <w:sz w:val="22"/>
          <w:szCs w:val="22"/>
        </w:rPr>
      </w:pPr>
    </w:p>
    <w:p w14:paraId="2BCB1FA7" w14:textId="2D82606A" w:rsidR="009D5090" w:rsidRDefault="009D5090">
      <w:pPr>
        <w:widowControl/>
      </w:pPr>
      <w:r>
        <w:br w:type="page"/>
      </w:r>
    </w:p>
    <w:p w14:paraId="7DB97F7F" w14:textId="77777777" w:rsidR="00A52CA3" w:rsidRDefault="00A52CA3"/>
    <w:tbl>
      <w:tblPr>
        <w:tblpPr w:leftFromText="180" w:rightFromText="180" w:vertAnchor="text" w:horzAnchor="margin" w:tblpXSpec="center" w:tblpY="128"/>
        <w:tblW w:w="4809" w:type="pct"/>
        <w:tblBorders>
          <w:top w:val="single" w:sz="4" w:space="0" w:color="auto"/>
        </w:tblBorders>
        <w:tblCellMar>
          <w:left w:w="58" w:type="dxa"/>
          <w:right w:w="58" w:type="dxa"/>
        </w:tblCellMar>
        <w:tblLook w:val="01E0" w:firstRow="1" w:lastRow="1" w:firstColumn="1" w:lastColumn="1" w:noHBand="0" w:noVBand="0"/>
      </w:tblPr>
      <w:tblGrid>
        <w:gridCol w:w="2132"/>
        <w:gridCol w:w="1342"/>
        <w:gridCol w:w="798"/>
        <w:gridCol w:w="671"/>
        <w:gridCol w:w="543"/>
        <w:gridCol w:w="919"/>
        <w:gridCol w:w="470"/>
        <w:gridCol w:w="478"/>
        <w:gridCol w:w="671"/>
        <w:gridCol w:w="470"/>
        <w:gridCol w:w="620"/>
      </w:tblGrid>
      <w:tr w:rsidR="006B7A5B" w:rsidRPr="00C22A4F" w14:paraId="2A76859D" w14:textId="77777777" w:rsidTr="00DE1C24">
        <w:trPr>
          <w:trHeight w:val="306"/>
        </w:trPr>
        <w:tc>
          <w:tcPr>
            <w:tcW w:w="5000" w:type="pct"/>
            <w:gridSpan w:val="11"/>
            <w:tcBorders>
              <w:top w:val="nil"/>
              <w:left w:val="nil"/>
              <w:bottom w:val="single" w:sz="4" w:space="0" w:color="auto"/>
              <w:right w:val="nil"/>
            </w:tcBorders>
            <w:vAlign w:val="center"/>
          </w:tcPr>
          <w:p w14:paraId="25E3AD27" w14:textId="749B4047" w:rsidR="006B7A5B" w:rsidRPr="00C22A4F" w:rsidRDefault="006B7A5B" w:rsidP="00DE1C24">
            <w:pPr>
              <w:tabs>
                <w:tab w:val="left" w:pos="450"/>
              </w:tabs>
              <w:rPr>
                <w:b/>
                <w:sz w:val="22"/>
                <w:szCs w:val="22"/>
                <w:highlight w:val="yellow"/>
                <w:lang w:val="x-none" w:eastAsia="x-none"/>
              </w:rPr>
            </w:pPr>
            <w:r w:rsidRPr="00C22A4F">
              <w:rPr>
                <w:b/>
                <w:sz w:val="22"/>
                <w:szCs w:val="22"/>
                <w:highlight w:val="yellow"/>
                <w:lang w:val="x-none" w:eastAsia="x-none"/>
              </w:rPr>
              <w:t xml:space="preserve">Table </w:t>
            </w:r>
            <w:r w:rsidR="00DE1C24" w:rsidRPr="00C22A4F">
              <w:rPr>
                <w:b/>
                <w:sz w:val="22"/>
                <w:szCs w:val="22"/>
                <w:highlight w:val="yellow"/>
                <w:lang w:eastAsia="x-none"/>
              </w:rPr>
              <w:t>B.</w:t>
            </w:r>
            <w:r w:rsidRPr="00C22A4F">
              <w:rPr>
                <w:b/>
                <w:sz w:val="22"/>
                <w:szCs w:val="22"/>
                <w:highlight w:val="yellow"/>
                <w:lang w:eastAsia="x-none"/>
              </w:rPr>
              <w:t>5.</w:t>
            </w:r>
            <w:r w:rsidRPr="00C22A4F">
              <w:rPr>
                <w:b/>
                <w:sz w:val="22"/>
                <w:szCs w:val="22"/>
                <w:highlight w:val="yellow"/>
                <w:lang w:val="x-none" w:eastAsia="x-none"/>
              </w:rPr>
              <w:t xml:space="preserve"> Minimum detectable hazard ratio with 80% power</w:t>
            </w:r>
          </w:p>
        </w:tc>
      </w:tr>
      <w:tr w:rsidR="006B7A5B" w:rsidRPr="00C22A4F" w14:paraId="634DE26C" w14:textId="77777777" w:rsidTr="00A52CA3">
        <w:trPr>
          <w:trHeight w:val="552"/>
        </w:trPr>
        <w:tc>
          <w:tcPr>
            <w:tcW w:w="1170" w:type="pct"/>
            <w:tcBorders>
              <w:top w:val="nil"/>
              <w:left w:val="nil"/>
              <w:bottom w:val="nil"/>
              <w:right w:val="nil"/>
            </w:tcBorders>
            <w:vAlign w:val="center"/>
          </w:tcPr>
          <w:p w14:paraId="1FF0A6B6"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Incidence in low-risk group</w:t>
            </w:r>
          </w:p>
        </w:tc>
        <w:tc>
          <w:tcPr>
            <w:tcW w:w="736" w:type="pct"/>
            <w:tcBorders>
              <w:top w:val="nil"/>
              <w:left w:val="nil"/>
              <w:bottom w:val="nil"/>
              <w:right w:val="nil"/>
            </w:tcBorders>
            <w:vAlign w:val="center"/>
          </w:tcPr>
          <w:p w14:paraId="6E386350"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To</w:t>
            </w:r>
            <w:r w:rsidRPr="00C22A4F">
              <w:rPr>
                <w:b/>
                <w:sz w:val="18"/>
                <w:szCs w:val="18"/>
                <w:highlight w:val="yellow"/>
                <w:lang w:eastAsia="x-none"/>
              </w:rPr>
              <w:t>t</w:t>
            </w:r>
            <w:r w:rsidRPr="00C22A4F">
              <w:rPr>
                <w:b/>
                <w:sz w:val="18"/>
                <w:szCs w:val="18"/>
                <w:highlight w:val="yellow"/>
                <w:lang w:val="x-none" w:eastAsia="x-none"/>
              </w:rPr>
              <w:t>al sample size</w:t>
            </w:r>
          </w:p>
        </w:tc>
        <w:tc>
          <w:tcPr>
            <w:tcW w:w="1104" w:type="pct"/>
            <w:gridSpan w:val="3"/>
            <w:tcBorders>
              <w:top w:val="single" w:sz="4" w:space="0" w:color="auto"/>
              <w:left w:val="nil"/>
              <w:bottom w:val="single" w:sz="4" w:space="0" w:color="auto"/>
              <w:right w:val="nil"/>
            </w:tcBorders>
            <w:vAlign w:val="center"/>
          </w:tcPr>
          <w:p w14:paraId="0446F40B"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VIF=1</w:t>
            </w:r>
          </w:p>
          <w:p w14:paraId="310D06C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1024" w:type="pct"/>
            <w:gridSpan w:val="3"/>
            <w:tcBorders>
              <w:top w:val="single" w:sz="4" w:space="0" w:color="auto"/>
              <w:left w:val="nil"/>
              <w:bottom w:val="single" w:sz="4" w:space="0" w:color="auto"/>
              <w:right w:val="nil"/>
            </w:tcBorders>
            <w:vAlign w:val="center"/>
          </w:tcPr>
          <w:p w14:paraId="5BC94C97"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VIF=2</w:t>
            </w:r>
          </w:p>
          <w:p w14:paraId="548C305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c>
          <w:tcPr>
            <w:tcW w:w="966" w:type="pct"/>
            <w:gridSpan w:val="3"/>
            <w:tcBorders>
              <w:top w:val="single" w:sz="4" w:space="0" w:color="auto"/>
              <w:left w:val="nil"/>
              <w:bottom w:val="single" w:sz="4" w:space="0" w:color="auto"/>
              <w:right w:val="nil"/>
            </w:tcBorders>
            <w:vAlign w:val="center"/>
          </w:tcPr>
          <w:p w14:paraId="2126901C"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VIF=5</w:t>
            </w:r>
          </w:p>
          <w:p w14:paraId="5F733F3D"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Ratio of subjects in low risk:</w:t>
            </w:r>
            <w:r w:rsidRPr="00C22A4F">
              <w:rPr>
                <w:sz w:val="18"/>
                <w:szCs w:val="18"/>
                <w:highlight w:val="yellow"/>
                <w:lang w:eastAsia="x-none"/>
              </w:rPr>
              <w:t xml:space="preserve"> </w:t>
            </w:r>
            <w:r w:rsidRPr="00C22A4F">
              <w:rPr>
                <w:sz w:val="18"/>
                <w:szCs w:val="18"/>
                <w:highlight w:val="yellow"/>
                <w:lang w:val="x-none" w:eastAsia="x-none"/>
              </w:rPr>
              <w:t>high risk groups</w:t>
            </w:r>
          </w:p>
        </w:tc>
      </w:tr>
      <w:tr w:rsidR="006B7A5B" w:rsidRPr="00C22A4F" w14:paraId="06FA5ECF" w14:textId="77777777" w:rsidTr="00A52CA3">
        <w:tc>
          <w:tcPr>
            <w:tcW w:w="1170" w:type="pct"/>
            <w:tcBorders>
              <w:top w:val="nil"/>
              <w:left w:val="nil"/>
              <w:bottom w:val="nil"/>
              <w:right w:val="nil"/>
            </w:tcBorders>
            <w:vAlign w:val="center"/>
          </w:tcPr>
          <w:p w14:paraId="3DF42C37" w14:textId="77777777" w:rsidR="006B7A5B" w:rsidRPr="00C22A4F" w:rsidRDefault="006B7A5B" w:rsidP="00DE1C24">
            <w:pPr>
              <w:tabs>
                <w:tab w:val="left" w:pos="450"/>
              </w:tabs>
              <w:jc w:val="center"/>
              <w:rPr>
                <w:b/>
                <w:sz w:val="18"/>
                <w:szCs w:val="18"/>
                <w:highlight w:val="yellow"/>
                <w:lang w:val="x-none" w:eastAsia="x-none"/>
              </w:rPr>
            </w:pPr>
          </w:p>
        </w:tc>
        <w:tc>
          <w:tcPr>
            <w:tcW w:w="736" w:type="pct"/>
            <w:tcBorders>
              <w:top w:val="nil"/>
              <w:left w:val="nil"/>
              <w:bottom w:val="nil"/>
              <w:right w:val="nil"/>
            </w:tcBorders>
            <w:vAlign w:val="center"/>
          </w:tcPr>
          <w:p w14:paraId="5B5111CC" w14:textId="77777777" w:rsidR="006B7A5B" w:rsidRPr="00C22A4F" w:rsidRDefault="006B7A5B" w:rsidP="00DE1C24">
            <w:pPr>
              <w:tabs>
                <w:tab w:val="left" w:pos="450"/>
              </w:tabs>
              <w:jc w:val="center"/>
              <w:rPr>
                <w:b/>
                <w:sz w:val="18"/>
                <w:szCs w:val="18"/>
                <w:highlight w:val="yellow"/>
                <w:lang w:val="x-none" w:eastAsia="x-none"/>
              </w:rPr>
            </w:pPr>
          </w:p>
        </w:tc>
        <w:tc>
          <w:tcPr>
            <w:tcW w:w="438" w:type="pct"/>
            <w:tcBorders>
              <w:top w:val="single" w:sz="4" w:space="0" w:color="auto"/>
              <w:left w:val="nil"/>
              <w:bottom w:val="nil"/>
              <w:right w:val="nil"/>
            </w:tcBorders>
            <w:vAlign w:val="center"/>
          </w:tcPr>
          <w:p w14:paraId="50249474"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1:1</w:t>
            </w:r>
          </w:p>
        </w:tc>
        <w:tc>
          <w:tcPr>
            <w:tcW w:w="368" w:type="pct"/>
            <w:tcBorders>
              <w:top w:val="single" w:sz="4" w:space="0" w:color="auto"/>
              <w:left w:val="nil"/>
              <w:bottom w:val="nil"/>
              <w:right w:val="nil"/>
            </w:tcBorders>
            <w:vAlign w:val="center"/>
          </w:tcPr>
          <w:p w14:paraId="265FFBB6"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3:1</w:t>
            </w:r>
          </w:p>
        </w:tc>
        <w:tc>
          <w:tcPr>
            <w:tcW w:w="298" w:type="pct"/>
            <w:tcBorders>
              <w:top w:val="single" w:sz="4" w:space="0" w:color="auto"/>
              <w:left w:val="nil"/>
              <w:bottom w:val="nil"/>
              <w:right w:val="nil"/>
            </w:tcBorders>
            <w:vAlign w:val="center"/>
          </w:tcPr>
          <w:p w14:paraId="4B48393A"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10:1</w:t>
            </w:r>
          </w:p>
        </w:tc>
        <w:tc>
          <w:tcPr>
            <w:tcW w:w="504" w:type="pct"/>
            <w:tcBorders>
              <w:top w:val="single" w:sz="4" w:space="0" w:color="auto"/>
              <w:left w:val="nil"/>
              <w:bottom w:val="nil"/>
              <w:right w:val="nil"/>
            </w:tcBorders>
            <w:vAlign w:val="center"/>
          </w:tcPr>
          <w:p w14:paraId="2CC8442F"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1:1</w:t>
            </w:r>
          </w:p>
        </w:tc>
        <w:tc>
          <w:tcPr>
            <w:tcW w:w="258" w:type="pct"/>
            <w:tcBorders>
              <w:top w:val="single" w:sz="4" w:space="0" w:color="auto"/>
              <w:left w:val="nil"/>
              <w:bottom w:val="nil"/>
              <w:right w:val="nil"/>
            </w:tcBorders>
            <w:vAlign w:val="center"/>
          </w:tcPr>
          <w:p w14:paraId="19EC77F3"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3:1</w:t>
            </w:r>
          </w:p>
        </w:tc>
        <w:tc>
          <w:tcPr>
            <w:tcW w:w="262" w:type="pct"/>
            <w:tcBorders>
              <w:top w:val="single" w:sz="4" w:space="0" w:color="auto"/>
              <w:left w:val="nil"/>
              <w:bottom w:val="nil"/>
              <w:right w:val="nil"/>
            </w:tcBorders>
            <w:vAlign w:val="center"/>
          </w:tcPr>
          <w:p w14:paraId="1FC25396"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10:1</w:t>
            </w:r>
          </w:p>
        </w:tc>
        <w:tc>
          <w:tcPr>
            <w:tcW w:w="368" w:type="pct"/>
            <w:tcBorders>
              <w:top w:val="single" w:sz="4" w:space="0" w:color="auto"/>
              <w:left w:val="nil"/>
              <w:bottom w:val="nil"/>
              <w:right w:val="nil"/>
            </w:tcBorders>
            <w:vAlign w:val="center"/>
          </w:tcPr>
          <w:p w14:paraId="7D0D5EB5"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1:1</w:t>
            </w:r>
          </w:p>
        </w:tc>
        <w:tc>
          <w:tcPr>
            <w:tcW w:w="258" w:type="pct"/>
            <w:tcBorders>
              <w:top w:val="single" w:sz="4" w:space="0" w:color="auto"/>
              <w:left w:val="nil"/>
              <w:bottom w:val="nil"/>
              <w:right w:val="nil"/>
            </w:tcBorders>
            <w:vAlign w:val="center"/>
          </w:tcPr>
          <w:p w14:paraId="04F72EF5"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3:1</w:t>
            </w:r>
          </w:p>
        </w:tc>
        <w:tc>
          <w:tcPr>
            <w:tcW w:w="340" w:type="pct"/>
            <w:tcBorders>
              <w:top w:val="single" w:sz="4" w:space="0" w:color="auto"/>
              <w:left w:val="nil"/>
              <w:bottom w:val="nil"/>
              <w:right w:val="nil"/>
            </w:tcBorders>
            <w:vAlign w:val="center"/>
          </w:tcPr>
          <w:p w14:paraId="19D12162" w14:textId="77777777" w:rsidR="006B7A5B" w:rsidRPr="00C22A4F" w:rsidRDefault="006B7A5B" w:rsidP="00DE1C24">
            <w:pPr>
              <w:tabs>
                <w:tab w:val="left" w:pos="450"/>
              </w:tabs>
              <w:jc w:val="center"/>
              <w:rPr>
                <w:b/>
                <w:sz w:val="18"/>
                <w:szCs w:val="18"/>
                <w:highlight w:val="yellow"/>
                <w:lang w:val="x-none" w:eastAsia="x-none"/>
              </w:rPr>
            </w:pPr>
            <w:r w:rsidRPr="00C22A4F">
              <w:rPr>
                <w:b/>
                <w:sz w:val="18"/>
                <w:szCs w:val="18"/>
                <w:highlight w:val="yellow"/>
                <w:lang w:val="x-none" w:eastAsia="x-none"/>
              </w:rPr>
              <w:t>10:1</w:t>
            </w:r>
          </w:p>
        </w:tc>
      </w:tr>
      <w:tr w:rsidR="006B7A5B" w:rsidRPr="00C22A4F" w14:paraId="72E3DD11" w14:textId="77777777" w:rsidTr="00A52CA3">
        <w:tc>
          <w:tcPr>
            <w:tcW w:w="1170" w:type="pct"/>
            <w:tcBorders>
              <w:top w:val="nil"/>
              <w:left w:val="nil"/>
              <w:bottom w:val="nil"/>
              <w:right w:val="nil"/>
            </w:tcBorders>
            <w:vAlign w:val="center"/>
          </w:tcPr>
          <w:p w14:paraId="4E13D323" w14:textId="77777777" w:rsidR="006B7A5B" w:rsidRPr="00C22A4F" w:rsidRDefault="006B7A5B" w:rsidP="00DE1C24">
            <w:pPr>
              <w:tabs>
                <w:tab w:val="left" w:pos="450"/>
              </w:tabs>
              <w:jc w:val="center"/>
              <w:rPr>
                <w:sz w:val="18"/>
                <w:szCs w:val="18"/>
                <w:highlight w:val="yellow"/>
                <w:lang w:val="x-none" w:eastAsia="x-none"/>
              </w:rPr>
            </w:pPr>
          </w:p>
        </w:tc>
        <w:tc>
          <w:tcPr>
            <w:tcW w:w="736" w:type="pct"/>
            <w:tcBorders>
              <w:top w:val="nil"/>
              <w:left w:val="nil"/>
              <w:bottom w:val="nil"/>
              <w:right w:val="nil"/>
            </w:tcBorders>
            <w:vAlign w:val="center"/>
          </w:tcPr>
          <w:p w14:paraId="6997B86F"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14000</w:t>
            </w:r>
          </w:p>
        </w:tc>
        <w:tc>
          <w:tcPr>
            <w:tcW w:w="438" w:type="pct"/>
            <w:tcBorders>
              <w:top w:val="nil"/>
              <w:left w:val="nil"/>
              <w:bottom w:val="nil"/>
              <w:right w:val="nil"/>
            </w:tcBorders>
            <w:vAlign w:val="center"/>
          </w:tcPr>
          <w:p w14:paraId="7C8B688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1.43</w:t>
            </w:r>
          </w:p>
        </w:tc>
        <w:tc>
          <w:tcPr>
            <w:tcW w:w="368" w:type="pct"/>
            <w:tcBorders>
              <w:top w:val="nil"/>
              <w:left w:val="nil"/>
              <w:bottom w:val="nil"/>
              <w:right w:val="nil"/>
            </w:tcBorders>
            <w:vAlign w:val="center"/>
          </w:tcPr>
          <w:p w14:paraId="0B367DC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1.47</w:t>
            </w:r>
          </w:p>
        </w:tc>
        <w:tc>
          <w:tcPr>
            <w:tcW w:w="298" w:type="pct"/>
            <w:tcBorders>
              <w:top w:val="nil"/>
              <w:left w:val="nil"/>
              <w:bottom w:val="nil"/>
              <w:right w:val="nil"/>
            </w:tcBorders>
            <w:vAlign w:val="center"/>
          </w:tcPr>
          <w:p w14:paraId="4483261C"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1.69</w:t>
            </w:r>
          </w:p>
        </w:tc>
        <w:tc>
          <w:tcPr>
            <w:tcW w:w="504" w:type="pct"/>
            <w:tcBorders>
              <w:top w:val="nil"/>
              <w:left w:val="nil"/>
              <w:bottom w:val="nil"/>
              <w:right w:val="nil"/>
            </w:tcBorders>
            <w:vAlign w:val="center"/>
          </w:tcPr>
          <w:p w14:paraId="7659E79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1.63</w:t>
            </w:r>
          </w:p>
        </w:tc>
        <w:tc>
          <w:tcPr>
            <w:tcW w:w="258" w:type="pct"/>
            <w:tcBorders>
              <w:top w:val="nil"/>
              <w:left w:val="nil"/>
              <w:bottom w:val="nil"/>
              <w:right w:val="nil"/>
            </w:tcBorders>
            <w:vAlign w:val="center"/>
          </w:tcPr>
          <w:p w14:paraId="7215BF5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1.68</w:t>
            </w:r>
          </w:p>
        </w:tc>
        <w:tc>
          <w:tcPr>
            <w:tcW w:w="262" w:type="pct"/>
            <w:tcBorders>
              <w:top w:val="nil"/>
              <w:left w:val="nil"/>
              <w:bottom w:val="nil"/>
              <w:right w:val="nil"/>
            </w:tcBorders>
            <w:vAlign w:val="center"/>
          </w:tcPr>
          <w:p w14:paraId="475ACE8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1.99</w:t>
            </w:r>
          </w:p>
        </w:tc>
        <w:tc>
          <w:tcPr>
            <w:tcW w:w="368" w:type="pct"/>
            <w:tcBorders>
              <w:top w:val="nil"/>
              <w:left w:val="nil"/>
              <w:bottom w:val="nil"/>
              <w:right w:val="nil"/>
            </w:tcBorders>
            <w:vAlign w:val="center"/>
          </w:tcPr>
          <w:p w14:paraId="01B16A4F"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2.07</w:t>
            </w:r>
          </w:p>
        </w:tc>
        <w:tc>
          <w:tcPr>
            <w:tcW w:w="258" w:type="pct"/>
            <w:tcBorders>
              <w:top w:val="nil"/>
              <w:left w:val="nil"/>
              <w:bottom w:val="nil"/>
              <w:right w:val="nil"/>
            </w:tcBorders>
            <w:vAlign w:val="center"/>
          </w:tcPr>
          <w:p w14:paraId="0E480FB3"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2.13</w:t>
            </w:r>
          </w:p>
        </w:tc>
        <w:tc>
          <w:tcPr>
            <w:tcW w:w="340" w:type="pct"/>
            <w:tcBorders>
              <w:top w:val="nil"/>
              <w:left w:val="nil"/>
              <w:bottom w:val="nil"/>
              <w:right w:val="nil"/>
            </w:tcBorders>
            <w:vAlign w:val="center"/>
          </w:tcPr>
          <w:p w14:paraId="7D8F05F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2.61</w:t>
            </w:r>
          </w:p>
        </w:tc>
      </w:tr>
      <w:tr w:rsidR="006B7A5B" w:rsidRPr="00C22A4F" w14:paraId="4320C1E3" w14:textId="77777777" w:rsidTr="00A52CA3">
        <w:tc>
          <w:tcPr>
            <w:tcW w:w="1170" w:type="pct"/>
            <w:tcBorders>
              <w:top w:val="nil"/>
              <w:left w:val="nil"/>
              <w:bottom w:val="nil"/>
              <w:right w:val="nil"/>
            </w:tcBorders>
            <w:vAlign w:val="center"/>
          </w:tcPr>
          <w:p w14:paraId="2AA4D26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 /1,000 person years</w:t>
            </w:r>
          </w:p>
        </w:tc>
        <w:tc>
          <w:tcPr>
            <w:tcW w:w="736" w:type="pct"/>
            <w:tcBorders>
              <w:top w:val="nil"/>
              <w:left w:val="nil"/>
              <w:bottom w:val="nil"/>
              <w:right w:val="nil"/>
            </w:tcBorders>
            <w:vAlign w:val="center"/>
          </w:tcPr>
          <w:p w14:paraId="1027C129"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8000</w:t>
            </w:r>
          </w:p>
        </w:tc>
        <w:tc>
          <w:tcPr>
            <w:tcW w:w="438" w:type="pct"/>
            <w:tcBorders>
              <w:top w:val="nil"/>
              <w:left w:val="nil"/>
              <w:bottom w:val="nil"/>
              <w:right w:val="nil"/>
            </w:tcBorders>
            <w:vAlign w:val="center"/>
          </w:tcPr>
          <w:p w14:paraId="602A0747"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1.56</w:t>
            </w:r>
          </w:p>
        </w:tc>
        <w:tc>
          <w:tcPr>
            <w:tcW w:w="368" w:type="pct"/>
            <w:tcBorders>
              <w:top w:val="nil"/>
              <w:left w:val="nil"/>
              <w:bottom w:val="nil"/>
              <w:right w:val="nil"/>
            </w:tcBorders>
            <w:vAlign w:val="center"/>
          </w:tcPr>
          <w:p w14:paraId="47661046"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1.62</w:t>
            </w:r>
          </w:p>
        </w:tc>
        <w:tc>
          <w:tcPr>
            <w:tcW w:w="298" w:type="pct"/>
            <w:tcBorders>
              <w:top w:val="nil"/>
              <w:left w:val="nil"/>
              <w:bottom w:val="nil"/>
              <w:right w:val="nil"/>
            </w:tcBorders>
            <w:vAlign w:val="center"/>
          </w:tcPr>
          <w:p w14:paraId="318B3355"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1.90</w:t>
            </w:r>
          </w:p>
        </w:tc>
        <w:tc>
          <w:tcPr>
            <w:tcW w:w="504" w:type="pct"/>
            <w:tcBorders>
              <w:top w:val="nil"/>
              <w:left w:val="nil"/>
              <w:bottom w:val="nil"/>
              <w:right w:val="nil"/>
            </w:tcBorders>
            <w:vAlign w:val="center"/>
          </w:tcPr>
          <w:p w14:paraId="443D1EEB"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1.83</w:t>
            </w:r>
          </w:p>
        </w:tc>
        <w:tc>
          <w:tcPr>
            <w:tcW w:w="258" w:type="pct"/>
            <w:tcBorders>
              <w:top w:val="nil"/>
              <w:left w:val="nil"/>
              <w:bottom w:val="nil"/>
              <w:right w:val="nil"/>
            </w:tcBorders>
            <w:vAlign w:val="center"/>
          </w:tcPr>
          <w:p w14:paraId="77D7EB7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1.90</w:t>
            </w:r>
          </w:p>
        </w:tc>
        <w:tc>
          <w:tcPr>
            <w:tcW w:w="262" w:type="pct"/>
            <w:tcBorders>
              <w:top w:val="nil"/>
              <w:left w:val="nil"/>
              <w:bottom w:val="nil"/>
              <w:right w:val="nil"/>
            </w:tcBorders>
            <w:vAlign w:val="center"/>
          </w:tcPr>
          <w:p w14:paraId="3170589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2.29</w:t>
            </w:r>
          </w:p>
        </w:tc>
        <w:tc>
          <w:tcPr>
            <w:tcW w:w="368" w:type="pct"/>
            <w:tcBorders>
              <w:top w:val="nil"/>
              <w:left w:val="nil"/>
              <w:bottom w:val="nil"/>
              <w:right w:val="nil"/>
            </w:tcBorders>
            <w:vAlign w:val="center"/>
          </w:tcPr>
          <w:p w14:paraId="3E039383"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2.45</w:t>
            </w:r>
          </w:p>
        </w:tc>
        <w:tc>
          <w:tcPr>
            <w:tcW w:w="258" w:type="pct"/>
            <w:tcBorders>
              <w:top w:val="nil"/>
              <w:left w:val="nil"/>
              <w:bottom w:val="nil"/>
              <w:right w:val="nil"/>
            </w:tcBorders>
            <w:vAlign w:val="center"/>
          </w:tcPr>
          <w:p w14:paraId="2A3EEFB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2.50</w:t>
            </w:r>
          </w:p>
        </w:tc>
        <w:tc>
          <w:tcPr>
            <w:tcW w:w="340" w:type="pct"/>
            <w:tcBorders>
              <w:top w:val="nil"/>
              <w:left w:val="nil"/>
              <w:bottom w:val="nil"/>
              <w:right w:val="nil"/>
            </w:tcBorders>
            <w:vAlign w:val="center"/>
          </w:tcPr>
          <w:p w14:paraId="4B7E30BE"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3.11</w:t>
            </w:r>
          </w:p>
        </w:tc>
      </w:tr>
      <w:tr w:rsidR="006B7A5B" w:rsidRPr="00C22A4F" w14:paraId="3C49F65C" w14:textId="77777777" w:rsidTr="00A52CA3">
        <w:tc>
          <w:tcPr>
            <w:tcW w:w="1170" w:type="pct"/>
            <w:tcBorders>
              <w:top w:val="nil"/>
              <w:left w:val="nil"/>
              <w:bottom w:val="nil"/>
              <w:right w:val="nil"/>
            </w:tcBorders>
            <w:vAlign w:val="center"/>
          </w:tcPr>
          <w:p w14:paraId="5ABB0BA3"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(e.g. MI)</w:t>
            </w:r>
          </w:p>
        </w:tc>
        <w:tc>
          <w:tcPr>
            <w:tcW w:w="736" w:type="pct"/>
            <w:tcBorders>
              <w:top w:val="nil"/>
              <w:left w:val="nil"/>
              <w:bottom w:val="nil"/>
              <w:right w:val="nil"/>
            </w:tcBorders>
            <w:vAlign w:val="center"/>
          </w:tcPr>
          <w:p w14:paraId="54BA54D0"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3000</w:t>
            </w:r>
          </w:p>
        </w:tc>
        <w:tc>
          <w:tcPr>
            <w:tcW w:w="438" w:type="pct"/>
            <w:tcBorders>
              <w:top w:val="nil"/>
              <w:left w:val="nil"/>
              <w:bottom w:val="nil"/>
              <w:right w:val="nil"/>
            </w:tcBorders>
            <w:vAlign w:val="center"/>
          </w:tcPr>
          <w:p w14:paraId="0B549F49"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2.02</w:t>
            </w:r>
          </w:p>
        </w:tc>
        <w:tc>
          <w:tcPr>
            <w:tcW w:w="368" w:type="pct"/>
            <w:tcBorders>
              <w:top w:val="nil"/>
              <w:left w:val="nil"/>
              <w:bottom w:val="nil"/>
              <w:right w:val="nil"/>
            </w:tcBorders>
            <w:vAlign w:val="center"/>
          </w:tcPr>
          <w:p w14:paraId="486F605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2.08</w:t>
            </w:r>
          </w:p>
        </w:tc>
        <w:tc>
          <w:tcPr>
            <w:tcW w:w="298" w:type="pct"/>
            <w:tcBorders>
              <w:top w:val="nil"/>
              <w:left w:val="nil"/>
              <w:bottom w:val="nil"/>
              <w:right w:val="nil"/>
            </w:tcBorders>
            <w:vAlign w:val="center"/>
          </w:tcPr>
          <w:p w14:paraId="73CF41D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2.55</w:t>
            </w:r>
          </w:p>
        </w:tc>
        <w:tc>
          <w:tcPr>
            <w:tcW w:w="504" w:type="pct"/>
            <w:tcBorders>
              <w:top w:val="nil"/>
              <w:left w:val="nil"/>
              <w:bottom w:val="nil"/>
              <w:right w:val="nil"/>
            </w:tcBorders>
            <w:vAlign w:val="center"/>
          </w:tcPr>
          <w:p w14:paraId="711CDDD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2.57</w:t>
            </w:r>
          </w:p>
        </w:tc>
        <w:tc>
          <w:tcPr>
            <w:tcW w:w="258" w:type="pct"/>
            <w:tcBorders>
              <w:top w:val="nil"/>
              <w:left w:val="nil"/>
              <w:bottom w:val="nil"/>
              <w:right w:val="nil"/>
            </w:tcBorders>
            <w:vAlign w:val="center"/>
          </w:tcPr>
          <w:p w14:paraId="7B76948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2.61</w:t>
            </w:r>
          </w:p>
        </w:tc>
        <w:tc>
          <w:tcPr>
            <w:tcW w:w="262" w:type="pct"/>
            <w:tcBorders>
              <w:top w:val="nil"/>
              <w:left w:val="nil"/>
              <w:bottom w:val="nil"/>
              <w:right w:val="nil"/>
            </w:tcBorders>
            <w:vAlign w:val="center"/>
          </w:tcPr>
          <w:p w14:paraId="0F2D1E1E"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3.26</w:t>
            </w:r>
          </w:p>
        </w:tc>
        <w:tc>
          <w:tcPr>
            <w:tcW w:w="368" w:type="pct"/>
            <w:tcBorders>
              <w:top w:val="nil"/>
              <w:left w:val="nil"/>
              <w:bottom w:val="nil"/>
              <w:right w:val="nil"/>
            </w:tcBorders>
            <w:vAlign w:val="center"/>
          </w:tcPr>
          <w:p w14:paraId="50E9305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3.91</w:t>
            </w:r>
          </w:p>
        </w:tc>
        <w:tc>
          <w:tcPr>
            <w:tcW w:w="258" w:type="pct"/>
            <w:tcBorders>
              <w:top w:val="nil"/>
              <w:left w:val="nil"/>
              <w:bottom w:val="nil"/>
              <w:right w:val="nil"/>
            </w:tcBorders>
            <w:vAlign w:val="center"/>
          </w:tcPr>
          <w:p w14:paraId="1CF0C32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3.80</w:t>
            </w:r>
          </w:p>
        </w:tc>
        <w:tc>
          <w:tcPr>
            <w:tcW w:w="340" w:type="pct"/>
            <w:tcBorders>
              <w:top w:val="nil"/>
              <w:left w:val="nil"/>
              <w:bottom w:val="nil"/>
              <w:right w:val="nil"/>
            </w:tcBorders>
            <w:vAlign w:val="center"/>
          </w:tcPr>
          <w:p w14:paraId="5B7BED4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4.79</w:t>
            </w:r>
          </w:p>
        </w:tc>
      </w:tr>
      <w:tr w:rsidR="006B7A5B" w:rsidRPr="00C22A4F" w14:paraId="6964B8E9" w14:textId="77777777" w:rsidTr="00A52CA3">
        <w:tc>
          <w:tcPr>
            <w:tcW w:w="1170" w:type="pct"/>
            <w:tcBorders>
              <w:top w:val="nil"/>
              <w:left w:val="nil"/>
              <w:bottom w:val="nil"/>
              <w:right w:val="nil"/>
            </w:tcBorders>
            <w:vAlign w:val="center"/>
          </w:tcPr>
          <w:p w14:paraId="7C7D0B26" w14:textId="77777777" w:rsidR="006B7A5B" w:rsidRPr="00C22A4F" w:rsidRDefault="006B7A5B" w:rsidP="00DE1C24">
            <w:pPr>
              <w:tabs>
                <w:tab w:val="left" w:pos="450"/>
              </w:tabs>
              <w:jc w:val="center"/>
              <w:rPr>
                <w:sz w:val="18"/>
                <w:szCs w:val="18"/>
                <w:highlight w:val="yellow"/>
                <w:lang w:val="x-none" w:eastAsia="x-none"/>
              </w:rPr>
            </w:pPr>
          </w:p>
        </w:tc>
        <w:tc>
          <w:tcPr>
            <w:tcW w:w="736" w:type="pct"/>
            <w:tcBorders>
              <w:top w:val="nil"/>
              <w:left w:val="nil"/>
              <w:bottom w:val="nil"/>
              <w:right w:val="nil"/>
            </w:tcBorders>
            <w:vAlign w:val="center"/>
          </w:tcPr>
          <w:p w14:paraId="6421A7F0" w14:textId="77777777" w:rsidR="006B7A5B" w:rsidRPr="00C22A4F" w:rsidRDefault="006B7A5B" w:rsidP="00DE1C24">
            <w:pPr>
              <w:tabs>
                <w:tab w:val="left" w:pos="450"/>
              </w:tabs>
              <w:rPr>
                <w:sz w:val="18"/>
                <w:szCs w:val="18"/>
                <w:highlight w:val="yellow"/>
                <w:lang w:val="x-none" w:eastAsia="x-none"/>
              </w:rPr>
            </w:pPr>
          </w:p>
        </w:tc>
        <w:tc>
          <w:tcPr>
            <w:tcW w:w="438" w:type="pct"/>
            <w:tcBorders>
              <w:top w:val="nil"/>
              <w:left w:val="nil"/>
              <w:bottom w:val="nil"/>
              <w:right w:val="nil"/>
            </w:tcBorders>
            <w:vAlign w:val="center"/>
          </w:tcPr>
          <w:p w14:paraId="7A349B0B" w14:textId="77777777" w:rsidR="006B7A5B" w:rsidRPr="00C22A4F" w:rsidRDefault="006B7A5B" w:rsidP="00DE1C24">
            <w:pPr>
              <w:tabs>
                <w:tab w:val="left" w:pos="450"/>
              </w:tabs>
              <w:jc w:val="center"/>
              <w:rPr>
                <w:sz w:val="18"/>
                <w:szCs w:val="18"/>
                <w:highlight w:val="yellow"/>
                <w:lang w:val="x-none" w:eastAsia="x-none"/>
              </w:rPr>
            </w:pPr>
          </w:p>
        </w:tc>
        <w:tc>
          <w:tcPr>
            <w:tcW w:w="368" w:type="pct"/>
            <w:tcBorders>
              <w:top w:val="nil"/>
              <w:left w:val="nil"/>
              <w:bottom w:val="nil"/>
              <w:right w:val="nil"/>
            </w:tcBorders>
            <w:vAlign w:val="center"/>
          </w:tcPr>
          <w:p w14:paraId="4F2CF4AC" w14:textId="77777777" w:rsidR="006B7A5B" w:rsidRPr="00C22A4F" w:rsidRDefault="006B7A5B" w:rsidP="00DE1C24">
            <w:pPr>
              <w:tabs>
                <w:tab w:val="left" w:pos="450"/>
              </w:tabs>
              <w:jc w:val="center"/>
              <w:rPr>
                <w:sz w:val="18"/>
                <w:szCs w:val="18"/>
                <w:highlight w:val="yellow"/>
                <w:lang w:val="x-none" w:eastAsia="x-none"/>
              </w:rPr>
            </w:pPr>
          </w:p>
        </w:tc>
        <w:tc>
          <w:tcPr>
            <w:tcW w:w="298" w:type="pct"/>
            <w:tcBorders>
              <w:top w:val="nil"/>
              <w:left w:val="nil"/>
              <w:bottom w:val="nil"/>
              <w:right w:val="nil"/>
            </w:tcBorders>
            <w:vAlign w:val="center"/>
          </w:tcPr>
          <w:p w14:paraId="0AB3581C" w14:textId="77777777" w:rsidR="006B7A5B" w:rsidRPr="00C22A4F" w:rsidRDefault="006B7A5B" w:rsidP="00DE1C24">
            <w:pPr>
              <w:tabs>
                <w:tab w:val="left" w:pos="450"/>
              </w:tabs>
              <w:jc w:val="center"/>
              <w:rPr>
                <w:sz w:val="18"/>
                <w:szCs w:val="18"/>
                <w:highlight w:val="yellow"/>
                <w:lang w:val="x-none" w:eastAsia="x-none"/>
              </w:rPr>
            </w:pPr>
          </w:p>
        </w:tc>
        <w:tc>
          <w:tcPr>
            <w:tcW w:w="504" w:type="pct"/>
            <w:tcBorders>
              <w:top w:val="nil"/>
              <w:left w:val="nil"/>
              <w:bottom w:val="nil"/>
              <w:right w:val="nil"/>
            </w:tcBorders>
            <w:vAlign w:val="center"/>
          </w:tcPr>
          <w:p w14:paraId="1D47D3AF" w14:textId="77777777" w:rsidR="006B7A5B" w:rsidRPr="00C22A4F" w:rsidRDefault="006B7A5B" w:rsidP="00DE1C24">
            <w:pPr>
              <w:tabs>
                <w:tab w:val="left" w:pos="450"/>
              </w:tabs>
              <w:jc w:val="center"/>
              <w:rPr>
                <w:sz w:val="18"/>
                <w:szCs w:val="18"/>
                <w:highlight w:val="yellow"/>
                <w:lang w:val="x-none" w:eastAsia="x-none"/>
              </w:rPr>
            </w:pPr>
          </w:p>
        </w:tc>
        <w:tc>
          <w:tcPr>
            <w:tcW w:w="258" w:type="pct"/>
            <w:tcBorders>
              <w:top w:val="nil"/>
              <w:left w:val="nil"/>
              <w:bottom w:val="nil"/>
              <w:right w:val="nil"/>
            </w:tcBorders>
            <w:vAlign w:val="center"/>
          </w:tcPr>
          <w:p w14:paraId="6790AC2D" w14:textId="77777777" w:rsidR="006B7A5B" w:rsidRPr="00C22A4F" w:rsidRDefault="006B7A5B" w:rsidP="00DE1C24">
            <w:pPr>
              <w:tabs>
                <w:tab w:val="left" w:pos="450"/>
              </w:tabs>
              <w:jc w:val="center"/>
              <w:rPr>
                <w:sz w:val="18"/>
                <w:szCs w:val="18"/>
                <w:highlight w:val="yellow"/>
                <w:lang w:val="x-none" w:eastAsia="x-none"/>
              </w:rPr>
            </w:pPr>
          </w:p>
        </w:tc>
        <w:tc>
          <w:tcPr>
            <w:tcW w:w="262" w:type="pct"/>
            <w:tcBorders>
              <w:top w:val="nil"/>
              <w:left w:val="nil"/>
              <w:bottom w:val="nil"/>
              <w:right w:val="nil"/>
            </w:tcBorders>
            <w:vAlign w:val="center"/>
          </w:tcPr>
          <w:p w14:paraId="342A1EC1" w14:textId="77777777" w:rsidR="006B7A5B" w:rsidRPr="00C22A4F" w:rsidRDefault="006B7A5B" w:rsidP="00DE1C24">
            <w:pPr>
              <w:tabs>
                <w:tab w:val="left" w:pos="450"/>
              </w:tabs>
              <w:jc w:val="center"/>
              <w:rPr>
                <w:sz w:val="18"/>
                <w:szCs w:val="18"/>
                <w:highlight w:val="yellow"/>
                <w:lang w:val="x-none" w:eastAsia="x-none"/>
              </w:rPr>
            </w:pPr>
          </w:p>
        </w:tc>
        <w:tc>
          <w:tcPr>
            <w:tcW w:w="368" w:type="pct"/>
            <w:tcBorders>
              <w:top w:val="nil"/>
              <w:left w:val="nil"/>
              <w:bottom w:val="nil"/>
              <w:right w:val="nil"/>
            </w:tcBorders>
            <w:vAlign w:val="center"/>
          </w:tcPr>
          <w:p w14:paraId="4EEA94E0" w14:textId="77777777" w:rsidR="006B7A5B" w:rsidRPr="00C22A4F" w:rsidRDefault="006B7A5B" w:rsidP="00DE1C24">
            <w:pPr>
              <w:tabs>
                <w:tab w:val="left" w:pos="450"/>
              </w:tabs>
              <w:jc w:val="center"/>
              <w:rPr>
                <w:sz w:val="18"/>
                <w:szCs w:val="18"/>
                <w:highlight w:val="yellow"/>
                <w:lang w:val="x-none" w:eastAsia="x-none"/>
              </w:rPr>
            </w:pPr>
          </w:p>
        </w:tc>
        <w:tc>
          <w:tcPr>
            <w:tcW w:w="258" w:type="pct"/>
            <w:tcBorders>
              <w:top w:val="nil"/>
              <w:left w:val="nil"/>
              <w:bottom w:val="nil"/>
              <w:right w:val="nil"/>
            </w:tcBorders>
            <w:vAlign w:val="center"/>
          </w:tcPr>
          <w:p w14:paraId="185E2926" w14:textId="77777777" w:rsidR="006B7A5B" w:rsidRPr="00C22A4F" w:rsidRDefault="006B7A5B" w:rsidP="00DE1C24">
            <w:pPr>
              <w:tabs>
                <w:tab w:val="left" w:pos="450"/>
              </w:tabs>
              <w:jc w:val="center"/>
              <w:rPr>
                <w:sz w:val="18"/>
                <w:szCs w:val="18"/>
                <w:highlight w:val="yellow"/>
                <w:lang w:val="x-none" w:eastAsia="x-none"/>
              </w:rPr>
            </w:pPr>
          </w:p>
        </w:tc>
        <w:tc>
          <w:tcPr>
            <w:tcW w:w="340" w:type="pct"/>
            <w:tcBorders>
              <w:top w:val="nil"/>
              <w:left w:val="nil"/>
              <w:bottom w:val="nil"/>
              <w:right w:val="nil"/>
            </w:tcBorders>
            <w:vAlign w:val="center"/>
          </w:tcPr>
          <w:p w14:paraId="6F5D4D20" w14:textId="77777777" w:rsidR="006B7A5B" w:rsidRPr="00C22A4F" w:rsidRDefault="006B7A5B" w:rsidP="00DE1C24">
            <w:pPr>
              <w:tabs>
                <w:tab w:val="left" w:pos="450"/>
              </w:tabs>
              <w:jc w:val="center"/>
              <w:rPr>
                <w:sz w:val="18"/>
                <w:szCs w:val="18"/>
                <w:highlight w:val="yellow"/>
                <w:lang w:val="x-none" w:eastAsia="x-none"/>
              </w:rPr>
            </w:pPr>
          </w:p>
        </w:tc>
      </w:tr>
      <w:tr w:rsidR="006B7A5B" w:rsidRPr="00C22A4F" w14:paraId="1EC12E49" w14:textId="77777777" w:rsidTr="00A52CA3">
        <w:tc>
          <w:tcPr>
            <w:tcW w:w="1170" w:type="pct"/>
            <w:tcBorders>
              <w:top w:val="nil"/>
              <w:left w:val="nil"/>
              <w:bottom w:val="nil"/>
              <w:right w:val="nil"/>
            </w:tcBorders>
            <w:vAlign w:val="center"/>
          </w:tcPr>
          <w:p w14:paraId="5816BF40" w14:textId="77777777" w:rsidR="006B7A5B" w:rsidRPr="00C22A4F" w:rsidRDefault="006B7A5B" w:rsidP="00DE1C24">
            <w:pPr>
              <w:tabs>
                <w:tab w:val="left" w:pos="450"/>
              </w:tabs>
              <w:jc w:val="center"/>
              <w:rPr>
                <w:sz w:val="18"/>
                <w:szCs w:val="18"/>
                <w:highlight w:val="yellow"/>
                <w:lang w:val="x-none" w:eastAsia="x-none"/>
              </w:rPr>
            </w:pPr>
          </w:p>
        </w:tc>
        <w:tc>
          <w:tcPr>
            <w:tcW w:w="736" w:type="pct"/>
            <w:tcBorders>
              <w:top w:val="nil"/>
              <w:left w:val="nil"/>
              <w:bottom w:val="nil"/>
              <w:right w:val="nil"/>
            </w:tcBorders>
            <w:vAlign w:val="center"/>
          </w:tcPr>
          <w:p w14:paraId="7BB3D6B5"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14000</w:t>
            </w:r>
          </w:p>
        </w:tc>
        <w:tc>
          <w:tcPr>
            <w:tcW w:w="438" w:type="pct"/>
            <w:tcBorders>
              <w:top w:val="nil"/>
              <w:left w:val="nil"/>
              <w:bottom w:val="nil"/>
              <w:right w:val="nil"/>
            </w:tcBorders>
            <w:vAlign w:val="center"/>
          </w:tcPr>
          <w:p w14:paraId="3D40E380"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1.19</w:t>
            </w:r>
          </w:p>
        </w:tc>
        <w:tc>
          <w:tcPr>
            <w:tcW w:w="368" w:type="pct"/>
            <w:tcBorders>
              <w:top w:val="nil"/>
              <w:left w:val="nil"/>
              <w:bottom w:val="nil"/>
              <w:right w:val="nil"/>
            </w:tcBorders>
            <w:vAlign w:val="center"/>
          </w:tcPr>
          <w:p w14:paraId="7D64882D"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1.21</w:t>
            </w:r>
          </w:p>
        </w:tc>
        <w:tc>
          <w:tcPr>
            <w:tcW w:w="298" w:type="pct"/>
            <w:tcBorders>
              <w:top w:val="nil"/>
              <w:left w:val="nil"/>
              <w:bottom w:val="nil"/>
              <w:right w:val="nil"/>
            </w:tcBorders>
            <w:vAlign w:val="center"/>
          </w:tcPr>
          <w:p w14:paraId="14C92F05"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1.31</w:t>
            </w:r>
          </w:p>
        </w:tc>
        <w:tc>
          <w:tcPr>
            <w:tcW w:w="504" w:type="pct"/>
            <w:tcBorders>
              <w:top w:val="nil"/>
              <w:left w:val="nil"/>
              <w:bottom w:val="nil"/>
              <w:right w:val="nil"/>
            </w:tcBorders>
            <w:vAlign w:val="center"/>
          </w:tcPr>
          <w:p w14:paraId="051D9249"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1.27</w:t>
            </w:r>
          </w:p>
        </w:tc>
        <w:tc>
          <w:tcPr>
            <w:tcW w:w="258" w:type="pct"/>
            <w:tcBorders>
              <w:top w:val="nil"/>
              <w:left w:val="nil"/>
              <w:bottom w:val="nil"/>
              <w:right w:val="nil"/>
            </w:tcBorders>
            <w:vAlign w:val="center"/>
          </w:tcPr>
          <w:p w14:paraId="5A81A839"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1.30</w:t>
            </w:r>
          </w:p>
        </w:tc>
        <w:tc>
          <w:tcPr>
            <w:tcW w:w="262" w:type="pct"/>
            <w:tcBorders>
              <w:top w:val="nil"/>
              <w:left w:val="nil"/>
              <w:bottom w:val="nil"/>
              <w:right w:val="nil"/>
            </w:tcBorders>
            <w:vAlign w:val="center"/>
          </w:tcPr>
          <w:p w14:paraId="3B1F8B4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1.44</w:t>
            </w:r>
          </w:p>
        </w:tc>
        <w:tc>
          <w:tcPr>
            <w:tcW w:w="368" w:type="pct"/>
            <w:tcBorders>
              <w:top w:val="nil"/>
              <w:left w:val="nil"/>
              <w:bottom w:val="nil"/>
              <w:right w:val="nil"/>
            </w:tcBorders>
            <w:vAlign w:val="center"/>
          </w:tcPr>
          <w:p w14:paraId="442E938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1.44</w:t>
            </w:r>
          </w:p>
        </w:tc>
        <w:tc>
          <w:tcPr>
            <w:tcW w:w="258" w:type="pct"/>
            <w:tcBorders>
              <w:top w:val="nil"/>
              <w:left w:val="nil"/>
              <w:bottom w:val="nil"/>
              <w:right w:val="nil"/>
            </w:tcBorders>
            <w:vAlign w:val="center"/>
          </w:tcPr>
          <w:p w14:paraId="49DDB9F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1.48</w:t>
            </w:r>
          </w:p>
        </w:tc>
        <w:tc>
          <w:tcPr>
            <w:tcW w:w="340" w:type="pct"/>
            <w:tcBorders>
              <w:top w:val="nil"/>
              <w:left w:val="nil"/>
              <w:bottom w:val="nil"/>
              <w:right w:val="nil"/>
            </w:tcBorders>
            <w:vAlign w:val="center"/>
          </w:tcPr>
          <w:p w14:paraId="5A342D7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1.71</w:t>
            </w:r>
          </w:p>
        </w:tc>
      </w:tr>
      <w:tr w:rsidR="006B7A5B" w:rsidRPr="00C22A4F" w14:paraId="0A73366C" w14:textId="77777777" w:rsidTr="00A52CA3">
        <w:tc>
          <w:tcPr>
            <w:tcW w:w="1170" w:type="pct"/>
            <w:tcBorders>
              <w:top w:val="nil"/>
              <w:left w:val="nil"/>
              <w:bottom w:val="nil"/>
              <w:right w:val="nil"/>
            </w:tcBorders>
            <w:vAlign w:val="center"/>
          </w:tcPr>
          <w:p w14:paraId="74196A40"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10/1,000 person years</w:t>
            </w:r>
          </w:p>
        </w:tc>
        <w:tc>
          <w:tcPr>
            <w:tcW w:w="736" w:type="pct"/>
            <w:tcBorders>
              <w:top w:val="nil"/>
              <w:left w:val="nil"/>
              <w:bottom w:val="nil"/>
              <w:right w:val="nil"/>
            </w:tcBorders>
            <w:vAlign w:val="center"/>
          </w:tcPr>
          <w:p w14:paraId="0E0E2140"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8000</w:t>
            </w:r>
          </w:p>
        </w:tc>
        <w:tc>
          <w:tcPr>
            <w:tcW w:w="438" w:type="pct"/>
            <w:tcBorders>
              <w:top w:val="nil"/>
              <w:left w:val="nil"/>
              <w:bottom w:val="nil"/>
              <w:right w:val="nil"/>
            </w:tcBorders>
            <w:vAlign w:val="center"/>
          </w:tcPr>
          <w:p w14:paraId="4F1E3B70"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1.24</w:t>
            </w:r>
          </w:p>
        </w:tc>
        <w:tc>
          <w:tcPr>
            <w:tcW w:w="368" w:type="pct"/>
            <w:tcBorders>
              <w:top w:val="nil"/>
              <w:left w:val="nil"/>
              <w:bottom w:val="nil"/>
              <w:right w:val="nil"/>
            </w:tcBorders>
            <w:vAlign w:val="center"/>
          </w:tcPr>
          <w:p w14:paraId="55DB1173"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1.27</w:t>
            </w:r>
          </w:p>
        </w:tc>
        <w:tc>
          <w:tcPr>
            <w:tcW w:w="298" w:type="pct"/>
            <w:tcBorders>
              <w:top w:val="nil"/>
              <w:left w:val="nil"/>
              <w:bottom w:val="nil"/>
              <w:right w:val="nil"/>
            </w:tcBorders>
            <w:vAlign w:val="center"/>
          </w:tcPr>
          <w:p w14:paraId="503959D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1.40</w:t>
            </w:r>
          </w:p>
        </w:tc>
        <w:tc>
          <w:tcPr>
            <w:tcW w:w="504" w:type="pct"/>
            <w:tcBorders>
              <w:top w:val="nil"/>
              <w:left w:val="nil"/>
              <w:bottom w:val="nil"/>
              <w:right w:val="nil"/>
            </w:tcBorders>
            <w:vAlign w:val="center"/>
          </w:tcPr>
          <w:p w14:paraId="433890FB"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1.35</w:t>
            </w:r>
          </w:p>
        </w:tc>
        <w:tc>
          <w:tcPr>
            <w:tcW w:w="258" w:type="pct"/>
            <w:tcBorders>
              <w:top w:val="nil"/>
              <w:left w:val="nil"/>
              <w:bottom w:val="nil"/>
              <w:right w:val="nil"/>
            </w:tcBorders>
            <w:vAlign w:val="center"/>
          </w:tcPr>
          <w:p w14:paraId="6C1EBB0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1.39</w:t>
            </w:r>
          </w:p>
        </w:tc>
        <w:tc>
          <w:tcPr>
            <w:tcW w:w="262" w:type="pct"/>
            <w:tcBorders>
              <w:top w:val="nil"/>
              <w:left w:val="nil"/>
              <w:bottom w:val="nil"/>
              <w:right w:val="nil"/>
            </w:tcBorders>
            <w:vAlign w:val="center"/>
          </w:tcPr>
          <w:p w14:paraId="71FA178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1.58</w:t>
            </w:r>
          </w:p>
        </w:tc>
        <w:tc>
          <w:tcPr>
            <w:tcW w:w="368" w:type="pct"/>
            <w:tcBorders>
              <w:top w:val="nil"/>
              <w:left w:val="nil"/>
              <w:bottom w:val="nil"/>
              <w:right w:val="nil"/>
            </w:tcBorders>
            <w:vAlign w:val="center"/>
          </w:tcPr>
          <w:p w14:paraId="22661015"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1.58</w:t>
            </w:r>
          </w:p>
        </w:tc>
        <w:tc>
          <w:tcPr>
            <w:tcW w:w="258" w:type="pct"/>
            <w:tcBorders>
              <w:top w:val="nil"/>
              <w:left w:val="nil"/>
              <w:bottom w:val="nil"/>
              <w:right w:val="nil"/>
            </w:tcBorders>
            <w:vAlign w:val="center"/>
          </w:tcPr>
          <w:p w14:paraId="4083AE5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1.63</w:t>
            </w:r>
          </w:p>
        </w:tc>
        <w:tc>
          <w:tcPr>
            <w:tcW w:w="340" w:type="pct"/>
            <w:tcBorders>
              <w:top w:val="nil"/>
              <w:left w:val="nil"/>
              <w:bottom w:val="nil"/>
              <w:right w:val="nil"/>
            </w:tcBorders>
            <w:vAlign w:val="center"/>
          </w:tcPr>
          <w:p w14:paraId="16C4796E"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1.93</w:t>
            </w:r>
          </w:p>
        </w:tc>
      </w:tr>
      <w:tr w:rsidR="006B7A5B" w:rsidRPr="003C3787" w14:paraId="604257BE" w14:textId="77777777" w:rsidTr="00A52CA3">
        <w:tc>
          <w:tcPr>
            <w:tcW w:w="1170" w:type="pct"/>
            <w:tcBorders>
              <w:top w:val="nil"/>
              <w:left w:val="nil"/>
              <w:bottom w:val="single" w:sz="4" w:space="0" w:color="auto"/>
              <w:right w:val="nil"/>
            </w:tcBorders>
            <w:vAlign w:val="center"/>
          </w:tcPr>
          <w:p w14:paraId="00FB8F53"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(e.g. Diabetes)</w:t>
            </w:r>
          </w:p>
        </w:tc>
        <w:tc>
          <w:tcPr>
            <w:tcW w:w="736" w:type="pct"/>
            <w:tcBorders>
              <w:top w:val="nil"/>
              <w:left w:val="nil"/>
              <w:bottom w:val="single" w:sz="4" w:space="0" w:color="auto"/>
              <w:right w:val="nil"/>
            </w:tcBorders>
            <w:vAlign w:val="center"/>
          </w:tcPr>
          <w:p w14:paraId="4DB61E92"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3000</w:t>
            </w:r>
          </w:p>
        </w:tc>
        <w:tc>
          <w:tcPr>
            <w:tcW w:w="438" w:type="pct"/>
            <w:tcBorders>
              <w:top w:val="nil"/>
              <w:left w:val="nil"/>
              <w:bottom w:val="single" w:sz="4" w:space="0" w:color="auto"/>
              <w:right w:val="nil"/>
            </w:tcBorders>
            <w:vAlign w:val="center"/>
          </w:tcPr>
          <w:p w14:paraId="5EBFA27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1.42</w:t>
            </w:r>
          </w:p>
        </w:tc>
        <w:tc>
          <w:tcPr>
            <w:tcW w:w="368" w:type="pct"/>
            <w:tcBorders>
              <w:top w:val="nil"/>
              <w:left w:val="nil"/>
              <w:bottom w:val="single" w:sz="4" w:space="0" w:color="auto"/>
              <w:right w:val="nil"/>
            </w:tcBorders>
            <w:vAlign w:val="center"/>
          </w:tcPr>
          <w:p w14:paraId="78C8122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1.47</w:t>
            </w:r>
          </w:p>
        </w:tc>
        <w:tc>
          <w:tcPr>
            <w:tcW w:w="298" w:type="pct"/>
            <w:tcBorders>
              <w:top w:val="nil"/>
              <w:left w:val="nil"/>
              <w:bottom w:val="single" w:sz="4" w:space="0" w:color="auto"/>
              <w:right w:val="nil"/>
            </w:tcBorders>
            <w:vAlign w:val="center"/>
          </w:tcPr>
          <w:p w14:paraId="2E6D7674"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1.69</w:t>
            </w:r>
          </w:p>
        </w:tc>
        <w:tc>
          <w:tcPr>
            <w:tcW w:w="504" w:type="pct"/>
            <w:tcBorders>
              <w:top w:val="nil"/>
              <w:left w:val="nil"/>
              <w:bottom w:val="single" w:sz="4" w:space="0" w:color="auto"/>
              <w:right w:val="nil"/>
            </w:tcBorders>
            <w:vAlign w:val="center"/>
          </w:tcPr>
          <w:p w14:paraId="3866059A"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1.62</w:t>
            </w:r>
          </w:p>
        </w:tc>
        <w:tc>
          <w:tcPr>
            <w:tcW w:w="258" w:type="pct"/>
            <w:tcBorders>
              <w:top w:val="nil"/>
              <w:left w:val="nil"/>
              <w:bottom w:val="single" w:sz="4" w:space="0" w:color="auto"/>
              <w:right w:val="nil"/>
            </w:tcBorders>
            <w:vAlign w:val="center"/>
          </w:tcPr>
          <w:p w14:paraId="3CF1A708"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1.67</w:t>
            </w:r>
          </w:p>
        </w:tc>
        <w:tc>
          <w:tcPr>
            <w:tcW w:w="262" w:type="pct"/>
            <w:tcBorders>
              <w:top w:val="nil"/>
              <w:left w:val="nil"/>
              <w:bottom w:val="single" w:sz="4" w:space="0" w:color="auto"/>
              <w:right w:val="nil"/>
            </w:tcBorders>
            <w:vAlign w:val="center"/>
          </w:tcPr>
          <w:p w14:paraId="1DA1BFB1"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1.99</w:t>
            </w:r>
          </w:p>
        </w:tc>
        <w:tc>
          <w:tcPr>
            <w:tcW w:w="368" w:type="pct"/>
            <w:tcBorders>
              <w:top w:val="nil"/>
              <w:left w:val="nil"/>
              <w:bottom w:val="single" w:sz="4" w:space="0" w:color="auto"/>
              <w:right w:val="nil"/>
            </w:tcBorders>
            <w:vAlign w:val="center"/>
          </w:tcPr>
          <w:p w14:paraId="61439E59"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2.05</w:t>
            </w:r>
          </w:p>
        </w:tc>
        <w:tc>
          <w:tcPr>
            <w:tcW w:w="258" w:type="pct"/>
            <w:tcBorders>
              <w:top w:val="nil"/>
              <w:left w:val="nil"/>
              <w:bottom w:val="single" w:sz="4" w:space="0" w:color="auto"/>
              <w:right w:val="nil"/>
            </w:tcBorders>
            <w:vAlign w:val="center"/>
          </w:tcPr>
          <w:p w14:paraId="7A1EAD3F" w14:textId="77777777" w:rsidR="006B7A5B" w:rsidRPr="00C22A4F" w:rsidRDefault="006B7A5B" w:rsidP="00DE1C24">
            <w:pPr>
              <w:tabs>
                <w:tab w:val="left" w:pos="450"/>
              </w:tabs>
              <w:jc w:val="center"/>
              <w:rPr>
                <w:sz w:val="18"/>
                <w:szCs w:val="18"/>
                <w:highlight w:val="yellow"/>
                <w:lang w:val="x-none" w:eastAsia="x-none"/>
              </w:rPr>
            </w:pPr>
            <w:r w:rsidRPr="00C22A4F">
              <w:rPr>
                <w:sz w:val="18"/>
                <w:szCs w:val="18"/>
                <w:highlight w:val="yellow"/>
                <w:lang w:val="x-none" w:eastAsia="x-none"/>
              </w:rPr>
              <w:t>2.12</w:t>
            </w:r>
          </w:p>
        </w:tc>
        <w:tc>
          <w:tcPr>
            <w:tcW w:w="340" w:type="pct"/>
            <w:tcBorders>
              <w:top w:val="nil"/>
              <w:left w:val="nil"/>
              <w:bottom w:val="single" w:sz="4" w:space="0" w:color="auto"/>
              <w:right w:val="nil"/>
            </w:tcBorders>
            <w:vAlign w:val="center"/>
          </w:tcPr>
          <w:p w14:paraId="05E93FD4" w14:textId="77777777" w:rsidR="006B7A5B" w:rsidRPr="00B914B8" w:rsidRDefault="006B7A5B" w:rsidP="00DE1C24">
            <w:pPr>
              <w:tabs>
                <w:tab w:val="left" w:pos="450"/>
              </w:tabs>
              <w:jc w:val="center"/>
              <w:rPr>
                <w:sz w:val="18"/>
                <w:szCs w:val="18"/>
                <w:lang w:val="x-none" w:eastAsia="x-none"/>
              </w:rPr>
            </w:pPr>
            <w:r w:rsidRPr="00C22A4F">
              <w:rPr>
                <w:sz w:val="18"/>
                <w:szCs w:val="18"/>
                <w:highlight w:val="yellow"/>
                <w:lang w:val="x-none" w:eastAsia="x-none"/>
              </w:rPr>
              <w:t>2.62</w:t>
            </w:r>
          </w:p>
        </w:tc>
      </w:tr>
    </w:tbl>
    <w:p w14:paraId="6C2D08E9" w14:textId="77777777" w:rsidR="006B7A5B" w:rsidRDefault="006B7A5B" w:rsidP="006B7A5B">
      <w:pPr>
        <w:rPr>
          <w:rStyle w:val="Heading4Char"/>
        </w:rPr>
      </w:pPr>
    </w:p>
    <w:p w14:paraId="22378B28" w14:textId="77777777" w:rsidR="00CE7925" w:rsidRPr="00B914B8" w:rsidRDefault="00CE7925" w:rsidP="00B914B8">
      <w:pPr>
        <w:spacing w:line="480" w:lineRule="auto"/>
        <w:jc w:val="center"/>
        <w:rPr>
          <w:rFonts w:cs="Arial"/>
          <w:b/>
          <w:szCs w:val="22"/>
        </w:rPr>
      </w:pPr>
      <w:proofErr w:type="gramStart"/>
      <w:r w:rsidRPr="00B914B8">
        <w:rPr>
          <w:rFonts w:cs="Arial"/>
          <w:b/>
          <w:szCs w:val="22"/>
        </w:rPr>
        <w:t>B.1.c.</w:t>
      </w:r>
      <w:proofErr w:type="gramEnd"/>
      <w:r w:rsidRPr="00B914B8">
        <w:rPr>
          <w:rFonts w:cs="Arial"/>
          <w:b/>
          <w:szCs w:val="22"/>
        </w:rPr>
        <w:t xml:space="preserve">  Sample Selection</w:t>
      </w:r>
    </w:p>
    <w:p w14:paraId="47E239C6" w14:textId="505D25CB" w:rsidR="00A16DC1" w:rsidRDefault="00A16DC1" w:rsidP="00B914B8">
      <w:pPr>
        <w:spacing w:line="276" w:lineRule="auto"/>
        <w:ind w:firstLine="720"/>
        <w:rPr>
          <w:rFonts w:cs="Arial"/>
          <w:szCs w:val="22"/>
        </w:rPr>
      </w:pPr>
      <w:r w:rsidRPr="00C22A4F">
        <w:rPr>
          <w:rFonts w:cs="Arial"/>
          <w:szCs w:val="22"/>
          <w:highlight w:val="yellow"/>
        </w:rPr>
        <w:t xml:space="preserve">Sample selection </w:t>
      </w:r>
      <w:r w:rsidR="008377C9" w:rsidRPr="00C22A4F">
        <w:rPr>
          <w:rFonts w:cs="Arial"/>
          <w:szCs w:val="22"/>
          <w:highlight w:val="yellow"/>
        </w:rPr>
        <w:t xml:space="preserve">was </w:t>
      </w:r>
      <w:r w:rsidRPr="00C22A4F">
        <w:rPr>
          <w:rFonts w:cs="Arial"/>
          <w:szCs w:val="22"/>
          <w:highlight w:val="yellow"/>
        </w:rPr>
        <w:t xml:space="preserve">accomplished through a </w:t>
      </w:r>
      <w:r w:rsidR="008377C9" w:rsidRPr="00C22A4F">
        <w:rPr>
          <w:rFonts w:cs="Arial"/>
          <w:szCs w:val="22"/>
          <w:highlight w:val="yellow"/>
        </w:rPr>
        <w:t>multi</w:t>
      </w:r>
      <w:r w:rsidRPr="00C22A4F">
        <w:rPr>
          <w:rFonts w:cs="Arial"/>
          <w:szCs w:val="22"/>
          <w:highlight w:val="yellow"/>
        </w:rPr>
        <w:t>-stage area probability sample implemented for each site</w:t>
      </w:r>
      <w:r w:rsidR="008377C9" w:rsidRPr="00C22A4F">
        <w:rPr>
          <w:rFonts w:cs="Arial"/>
          <w:szCs w:val="22"/>
          <w:highlight w:val="yellow"/>
        </w:rPr>
        <w:t xml:space="preserve"> [</w:t>
      </w:r>
      <w:r w:rsidR="001E3E8C" w:rsidRPr="00C22A4F">
        <w:rPr>
          <w:rFonts w:cs="Arial"/>
          <w:szCs w:val="22"/>
          <w:highlight w:val="yellow"/>
        </w:rPr>
        <w:t>LaVange et al and Daviglus et al, Appendix 1</w:t>
      </w:r>
      <w:r w:rsidR="008377C9" w:rsidRPr="00C22A4F">
        <w:rPr>
          <w:rFonts w:cs="Arial"/>
          <w:szCs w:val="22"/>
          <w:highlight w:val="yellow"/>
        </w:rPr>
        <w:t>]</w:t>
      </w:r>
      <w:r w:rsidRPr="00C22A4F">
        <w:rPr>
          <w:rFonts w:cs="Arial"/>
          <w:szCs w:val="22"/>
          <w:highlight w:val="yellow"/>
        </w:rPr>
        <w:t xml:space="preserve">. At the first stage, a stratified sample of Census block groups </w:t>
      </w:r>
      <w:r w:rsidR="008377C9" w:rsidRPr="00C22A4F">
        <w:rPr>
          <w:rFonts w:cs="Arial"/>
          <w:szCs w:val="22"/>
          <w:highlight w:val="yellow"/>
        </w:rPr>
        <w:t>w</w:t>
      </w:r>
      <w:r w:rsidR="00A52CA3" w:rsidRPr="00C22A4F">
        <w:rPr>
          <w:rFonts w:cs="Arial"/>
          <w:szCs w:val="22"/>
          <w:highlight w:val="yellow"/>
        </w:rPr>
        <w:t>as</w:t>
      </w:r>
      <w:r w:rsidR="008377C9" w:rsidRPr="00C22A4F">
        <w:rPr>
          <w:rFonts w:cs="Arial"/>
          <w:szCs w:val="22"/>
          <w:highlight w:val="yellow"/>
        </w:rPr>
        <w:t xml:space="preserve"> </w:t>
      </w:r>
      <w:r w:rsidRPr="00C22A4F">
        <w:rPr>
          <w:rFonts w:cs="Arial"/>
          <w:szCs w:val="22"/>
          <w:highlight w:val="yellow"/>
        </w:rPr>
        <w:t xml:space="preserve">selected.  Stratification factors common across the four field centers </w:t>
      </w:r>
      <w:r w:rsidR="002F2A9A" w:rsidRPr="00C22A4F">
        <w:rPr>
          <w:rFonts w:cs="Arial"/>
          <w:szCs w:val="22"/>
          <w:highlight w:val="yellow"/>
        </w:rPr>
        <w:t xml:space="preserve">were </w:t>
      </w:r>
      <w:r w:rsidRPr="00C22A4F">
        <w:rPr>
          <w:rFonts w:cs="Arial"/>
          <w:szCs w:val="22"/>
          <w:highlight w:val="yellow"/>
        </w:rPr>
        <w:t xml:space="preserve">(1) low versus high SES (as measured by the proportion of persons with at least a high school education) and (2) low vs. high concentration of Hispanic/Latino households, resulting in four strata per field center.  Selection of block groups </w:t>
      </w:r>
      <w:r w:rsidR="002F2A9A" w:rsidRPr="00C22A4F">
        <w:rPr>
          <w:rFonts w:cs="Arial"/>
          <w:szCs w:val="22"/>
          <w:highlight w:val="yellow"/>
        </w:rPr>
        <w:t xml:space="preserve">was </w:t>
      </w:r>
      <w:r w:rsidRPr="00C22A4F">
        <w:rPr>
          <w:rFonts w:cs="Arial"/>
          <w:szCs w:val="22"/>
          <w:highlight w:val="yellow"/>
        </w:rPr>
        <w:t xml:space="preserve">carried out proportionately with respect to the SES strata and disproportionately with respect to the Hispanic/Latino concentration strata, that is, block groups in the high concentration stratum </w:t>
      </w:r>
      <w:r w:rsidR="002F2A9A" w:rsidRPr="00C22A4F">
        <w:rPr>
          <w:rFonts w:cs="Arial"/>
          <w:szCs w:val="22"/>
          <w:highlight w:val="yellow"/>
        </w:rPr>
        <w:t xml:space="preserve">were </w:t>
      </w:r>
      <w:r w:rsidRPr="00C22A4F">
        <w:rPr>
          <w:rFonts w:cs="Arial"/>
          <w:szCs w:val="22"/>
          <w:highlight w:val="yellow"/>
        </w:rPr>
        <w:t xml:space="preserve">selected at a higher rate than those in the lower concentration stratum.  This over-sampling </w:t>
      </w:r>
      <w:r w:rsidR="002F2A9A" w:rsidRPr="00C22A4F">
        <w:rPr>
          <w:rFonts w:cs="Arial"/>
          <w:szCs w:val="22"/>
          <w:highlight w:val="yellow"/>
        </w:rPr>
        <w:t xml:space="preserve">was </w:t>
      </w:r>
      <w:r w:rsidRPr="00C22A4F">
        <w:rPr>
          <w:rFonts w:cs="Arial"/>
          <w:szCs w:val="22"/>
          <w:highlight w:val="yellow"/>
        </w:rPr>
        <w:t xml:space="preserve">carried out to maximize efficiencies in the field by increasing the probability that a selected household is a Hispanic/Latino household.  In addition to these four strata, block groups in the Coop City area </w:t>
      </w:r>
      <w:r w:rsidR="002F2A9A" w:rsidRPr="00C22A4F">
        <w:rPr>
          <w:rFonts w:cs="Arial"/>
          <w:szCs w:val="22"/>
          <w:highlight w:val="yellow"/>
        </w:rPr>
        <w:t xml:space="preserve">were </w:t>
      </w:r>
      <w:r w:rsidRPr="00C22A4F">
        <w:rPr>
          <w:rFonts w:cs="Arial"/>
          <w:szCs w:val="22"/>
          <w:highlight w:val="yellow"/>
        </w:rPr>
        <w:t>isolated into a 5</w:t>
      </w:r>
      <w:r w:rsidRPr="00C22A4F">
        <w:rPr>
          <w:rFonts w:cs="Arial"/>
          <w:szCs w:val="22"/>
          <w:highlight w:val="yellow"/>
          <w:vertAlign w:val="superscript"/>
        </w:rPr>
        <w:t>th</w:t>
      </w:r>
      <w:r w:rsidRPr="00C22A4F">
        <w:rPr>
          <w:rFonts w:cs="Arial"/>
          <w:szCs w:val="22"/>
          <w:highlight w:val="yellow"/>
        </w:rPr>
        <w:t xml:space="preserve"> stratum in the Bronx, and block groups representing high concentration areas for Central and South Americans </w:t>
      </w:r>
      <w:r w:rsidR="002F2A9A" w:rsidRPr="00C22A4F">
        <w:rPr>
          <w:rFonts w:cs="Arial"/>
          <w:szCs w:val="22"/>
          <w:highlight w:val="yellow"/>
        </w:rPr>
        <w:t xml:space="preserve">were </w:t>
      </w:r>
      <w:r w:rsidRPr="00C22A4F">
        <w:rPr>
          <w:rFonts w:cs="Arial"/>
          <w:szCs w:val="22"/>
          <w:highlight w:val="yellow"/>
        </w:rPr>
        <w:t>isolated into a 5</w:t>
      </w:r>
      <w:r w:rsidRPr="00C22A4F">
        <w:rPr>
          <w:rFonts w:cs="Arial"/>
          <w:szCs w:val="22"/>
          <w:highlight w:val="yellow"/>
          <w:vertAlign w:val="superscript"/>
        </w:rPr>
        <w:t>th</w:t>
      </w:r>
      <w:r w:rsidRPr="00C22A4F">
        <w:rPr>
          <w:rFonts w:cs="Arial"/>
          <w:szCs w:val="22"/>
          <w:highlight w:val="yellow"/>
        </w:rPr>
        <w:t xml:space="preserve"> stratum in Miami.  Both of these ‘special’ strata </w:t>
      </w:r>
      <w:r w:rsidR="002F2A9A" w:rsidRPr="00C22A4F">
        <w:rPr>
          <w:rFonts w:cs="Arial"/>
          <w:szCs w:val="22"/>
          <w:highlight w:val="yellow"/>
        </w:rPr>
        <w:t xml:space="preserve">were </w:t>
      </w:r>
      <w:r w:rsidRPr="00C22A4F">
        <w:rPr>
          <w:rFonts w:cs="Arial"/>
          <w:szCs w:val="22"/>
          <w:highlight w:val="yellow"/>
        </w:rPr>
        <w:t>defined to ensure selection of adequate numbers of households in the respective areas.</w:t>
      </w:r>
    </w:p>
    <w:p w14:paraId="7FF604E9" w14:textId="77777777" w:rsidR="00B914B8" w:rsidRPr="005445AB" w:rsidRDefault="00B914B8" w:rsidP="00B914B8">
      <w:pPr>
        <w:spacing w:line="276" w:lineRule="auto"/>
        <w:ind w:firstLine="720"/>
        <w:rPr>
          <w:rFonts w:cs="Arial"/>
          <w:szCs w:val="22"/>
        </w:rPr>
      </w:pPr>
    </w:p>
    <w:p w14:paraId="4CCF3C44" w14:textId="1C2750EA" w:rsidR="00A16DC1" w:rsidRPr="00C22A4F" w:rsidRDefault="00A16DC1" w:rsidP="00B914B8">
      <w:pPr>
        <w:spacing w:line="276" w:lineRule="auto"/>
        <w:ind w:firstLine="720"/>
        <w:rPr>
          <w:rFonts w:cs="Arial"/>
          <w:szCs w:val="22"/>
          <w:highlight w:val="yellow"/>
        </w:rPr>
      </w:pPr>
      <w:r w:rsidRPr="00C22A4F">
        <w:rPr>
          <w:rFonts w:cs="Arial"/>
          <w:szCs w:val="22"/>
          <w:highlight w:val="yellow"/>
        </w:rPr>
        <w:t xml:space="preserve">At the second stage, households in the sampled block groups </w:t>
      </w:r>
      <w:r w:rsidR="002F2A9A" w:rsidRPr="00C22A4F">
        <w:rPr>
          <w:rFonts w:cs="Arial"/>
          <w:szCs w:val="22"/>
          <w:highlight w:val="yellow"/>
        </w:rPr>
        <w:t xml:space="preserve">were </w:t>
      </w:r>
      <w:r w:rsidRPr="00C22A4F">
        <w:rPr>
          <w:rFonts w:cs="Arial"/>
          <w:szCs w:val="22"/>
          <w:highlight w:val="yellow"/>
        </w:rPr>
        <w:t xml:space="preserve">selected from a dual frame constructed from non-over-lapping lists of postal addresses and Hispanic/Latino surnames.  Addresses </w:t>
      </w:r>
      <w:r w:rsidR="002F2A9A" w:rsidRPr="00C22A4F">
        <w:rPr>
          <w:rFonts w:cs="Arial"/>
          <w:szCs w:val="22"/>
          <w:highlight w:val="yellow"/>
        </w:rPr>
        <w:t xml:space="preserve">were </w:t>
      </w:r>
      <w:r w:rsidRPr="00C22A4F">
        <w:rPr>
          <w:rFonts w:cs="Arial"/>
          <w:szCs w:val="22"/>
          <w:highlight w:val="yellow"/>
        </w:rPr>
        <w:t xml:space="preserve">selected from the surname list at a higher rate than from the postal list, to further maximize efficiency of field operations by increasing the probability that a selected household is a Hispanic/Latino household.  Selected households </w:t>
      </w:r>
      <w:r w:rsidR="002F2A9A" w:rsidRPr="00C22A4F">
        <w:rPr>
          <w:rFonts w:cs="Arial"/>
          <w:szCs w:val="22"/>
          <w:highlight w:val="yellow"/>
        </w:rPr>
        <w:t xml:space="preserve">were </w:t>
      </w:r>
      <w:r w:rsidRPr="00C22A4F">
        <w:rPr>
          <w:rFonts w:cs="Arial"/>
          <w:szCs w:val="22"/>
          <w:highlight w:val="yellow"/>
        </w:rPr>
        <w:t xml:space="preserve">screened for eligibility, where eligibility is defined as at least one Hispanic/Latino household member aged 18-74 years.  Eligible households in which all Hispanic/Latinos in the target age range </w:t>
      </w:r>
      <w:r w:rsidR="002F2A9A" w:rsidRPr="00C22A4F">
        <w:rPr>
          <w:rFonts w:cs="Arial"/>
          <w:szCs w:val="22"/>
          <w:highlight w:val="yellow"/>
        </w:rPr>
        <w:t xml:space="preserve">were </w:t>
      </w:r>
      <w:r w:rsidRPr="00C22A4F">
        <w:rPr>
          <w:rFonts w:cs="Arial"/>
          <w:szCs w:val="22"/>
          <w:highlight w:val="yellow"/>
        </w:rPr>
        <w:t xml:space="preserve">at least 45 years of age </w:t>
      </w:r>
      <w:r w:rsidR="002F2A9A" w:rsidRPr="00C22A4F">
        <w:rPr>
          <w:rFonts w:cs="Arial"/>
          <w:szCs w:val="22"/>
          <w:highlight w:val="yellow"/>
        </w:rPr>
        <w:t xml:space="preserve">were </w:t>
      </w:r>
      <w:r w:rsidRPr="00C22A4F">
        <w:rPr>
          <w:rFonts w:cs="Arial"/>
          <w:szCs w:val="22"/>
          <w:highlight w:val="yellow"/>
        </w:rPr>
        <w:t xml:space="preserve">selected with certainty (probability of selection = 1), while all other households </w:t>
      </w:r>
      <w:r w:rsidR="002F2A9A" w:rsidRPr="00C22A4F">
        <w:rPr>
          <w:rFonts w:cs="Arial"/>
          <w:szCs w:val="22"/>
          <w:highlight w:val="yellow"/>
        </w:rPr>
        <w:t xml:space="preserve">were </w:t>
      </w:r>
      <w:r w:rsidRPr="00C22A4F">
        <w:rPr>
          <w:rFonts w:cs="Arial"/>
          <w:szCs w:val="22"/>
          <w:highlight w:val="yellow"/>
        </w:rPr>
        <w:t xml:space="preserve">selected with probability (0 ≤ p &lt; 1) based on the expected household composition for the area.  Once a household </w:t>
      </w:r>
      <w:r w:rsidR="002F2A9A" w:rsidRPr="00C22A4F">
        <w:rPr>
          <w:rFonts w:cs="Arial"/>
          <w:szCs w:val="22"/>
          <w:highlight w:val="yellow"/>
        </w:rPr>
        <w:t xml:space="preserve">was </w:t>
      </w:r>
      <w:r w:rsidRPr="00C22A4F">
        <w:rPr>
          <w:rFonts w:cs="Arial"/>
          <w:szCs w:val="22"/>
          <w:highlight w:val="yellow"/>
        </w:rPr>
        <w:t xml:space="preserve">selected, all members of the household </w:t>
      </w:r>
      <w:r w:rsidR="002F2A9A" w:rsidRPr="00C22A4F">
        <w:rPr>
          <w:rFonts w:cs="Arial"/>
          <w:szCs w:val="22"/>
          <w:highlight w:val="yellow"/>
        </w:rPr>
        <w:t xml:space="preserve">were </w:t>
      </w:r>
      <w:r w:rsidRPr="00C22A4F">
        <w:rPr>
          <w:rFonts w:cs="Arial"/>
          <w:szCs w:val="22"/>
          <w:highlight w:val="yellow"/>
        </w:rPr>
        <w:t xml:space="preserve">invited to participate.  This household selection algorithm </w:t>
      </w:r>
      <w:r w:rsidR="002F2A9A" w:rsidRPr="00C22A4F">
        <w:rPr>
          <w:rFonts w:cs="Arial"/>
          <w:szCs w:val="22"/>
          <w:highlight w:val="yellow"/>
        </w:rPr>
        <w:t xml:space="preserve">was </w:t>
      </w:r>
      <w:r w:rsidRPr="00C22A4F">
        <w:rPr>
          <w:rFonts w:cs="Arial"/>
          <w:szCs w:val="22"/>
          <w:highlight w:val="yellow"/>
        </w:rPr>
        <w:t xml:space="preserve">designed to provide the target age distribution for the HCHS/SOL study, namely, 62.5% of participants aged 45-74 years and 38.5% aged 18-44 years, and to minimize the amount of information required for screened households that </w:t>
      </w:r>
      <w:r w:rsidR="002F2A9A" w:rsidRPr="00C22A4F">
        <w:rPr>
          <w:rFonts w:cs="Arial"/>
          <w:szCs w:val="22"/>
          <w:highlight w:val="yellow"/>
        </w:rPr>
        <w:t xml:space="preserve">might have </w:t>
      </w:r>
      <w:r w:rsidRPr="00C22A4F">
        <w:rPr>
          <w:rFonts w:cs="Arial"/>
          <w:szCs w:val="22"/>
          <w:highlight w:val="yellow"/>
        </w:rPr>
        <w:t xml:space="preserve">not </w:t>
      </w:r>
      <w:r w:rsidRPr="00C22A4F">
        <w:rPr>
          <w:rFonts w:cs="Arial"/>
          <w:szCs w:val="22"/>
          <w:highlight w:val="yellow"/>
        </w:rPr>
        <w:lastRenderedPageBreak/>
        <w:t>be</w:t>
      </w:r>
      <w:r w:rsidR="002F2A9A" w:rsidRPr="00C22A4F">
        <w:rPr>
          <w:rFonts w:cs="Arial"/>
          <w:szCs w:val="22"/>
          <w:highlight w:val="yellow"/>
        </w:rPr>
        <w:t>en</w:t>
      </w:r>
      <w:r w:rsidRPr="00C22A4F">
        <w:rPr>
          <w:rFonts w:cs="Arial"/>
          <w:szCs w:val="22"/>
          <w:highlight w:val="yellow"/>
        </w:rPr>
        <w:t xml:space="preserve"> selected for participation.  Selection of households </w:t>
      </w:r>
      <w:r w:rsidR="002F2A9A" w:rsidRPr="00C22A4F">
        <w:rPr>
          <w:rFonts w:cs="Arial"/>
          <w:szCs w:val="22"/>
          <w:highlight w:val="yellow"/>
        </w:rPr>
        <w:t xml:space="preserve">corresponded </w:t>
      </w:r>
      <w:r w:rsidRPr="00C22A4F">
        <w:rPr>
          <w:rFonts w:cs="Arial"/>
          <w:szCs w:val="22"/>
          <w:highlight w:val="yellow"/>
        </w:rPr>
        <w:t xml:space="preserve">to an over-sampling of Hispanic/Latinos in the older age range, which </w:t>
      </w:r>
      <w:r w:rsidR="002F2A9A" w:rsidRPr="00C22A4F">
        <w:rPr>
          <w:rFonts w:cs="Arial"/>
          <w:szCs w:val="22"/>
          <w:highlight w:val="yellow"/>
        </w:rPr>
        <w:t xml:space="preserve">was </w:t>
      </w:r>
      <w:r w:rsidRPr="00C22A4F">
        <w:rPr>
          <w:rFonts w:cs="Arial"/>
          <w:szCs w:val="22"/>
          <w:highlight w:val="yellow"/>
        </w:rPr>
        <w:t>necessary given the age distribution of Hispanic/Latinos currently living in the U</w:t>
      </w:r>
      <w:r w:rsidR="00B914B8" w:rsidRPr="00C22A4F">
        <w:rPr>
          <w:rFonts w:cs="Arial"/>
          <w:szCs w:val="22"/>
          <w:highlight w:val="yellow"/>
        </w:rPr>
        <w:t>.</w:t>
      </w:r>
      <w:r w:rsidRPr="00C22A4F">
        <w:rPr>
          <w:rFonts w:cs="Arial"/>
          <w:szCs w:val="22"/>
          <w:highlight w:val="yellow"/>
        </w:rPr>
        <w:t>S.</w:t>
      </w:r>
    </w:p>
    <w:p w14:paraId="2B57D4A3" w14:textId="77777777" w:rsidR="00B914B8" w:rsidRPr="00C22A4F" w:rsidRDefault="00B914B8" w:rsidP="00B914B8">
      <w:pPr>
        <w:spacing w:line="276" w:lineRule="auto"/>
        <w:ind w:firstLine="720"/>
        <w:rPr>
          <w:rFonts w:cs="Arial"/>
          <w:szCs w:val="22"/>
          <w:highlight w:val="yellow"/>
        </w:rPr>
      </w:pPr>
    </w:p>
    <w:p w14:paraId="4547E6A7" w14:textId="0ECAF799" w:rsidR="00A16DC1" w:rsidRPr="005445AB" w:rsidRDefault="002A79A2" w:rsidP="00B914B8">
      <w:pPr>
        <w:spacing w:line="276" w:lineRule="auto"/>
        <w:ind w:firstLine="720"/>
      </w:pPr>
      <w:r w:rsidRPr="00C22A4F">
        <w:rPr>
          <w:rFonts w:cs="Arial"/>
          <w:szCs w:val="22"/>
          <w:highlight w:val="yellow"/>
        </w:rPr>
        <w:t xml:space="preserve">Recruitment </w:t>
      </w:r>
      <w:r w:rsidR="008377C9" w:rsidRPr="00C22A4F">
        <w:rPr>
          <w:rFonts w:cs="Arial"/>
          <w:szCs w:val="22"/>
          <w:highlight w:val="yellow"/>
        </w:rPr>
        <w:t xml:space="preserve">was planned and took place over a </w:t>
      </w:r>
      <w:r w:rsidRPr="00C22A4F">
        <w:rPr>
          <w:rFonts w:cs="Arial"/>
          <w:szCs w:val="22"/>
          <w:highlight w:val="yellow"/>
        </w:rPr>
        <w:t xml:space="preserve">three-year period.  The sample of households in each target area </w:t>
      </w:r>
      <w:r w:rsidR="008377C9" w:rsidRPr="00C22A4F">
        <w:rPr>
          <w:rFonts w:cs="Arial"/>
          <w:szCs w:val="22"/>
          <w:highlight w:val="yellow"/>
        </w:rPr>
        <w:t xml:space="preserve">was </w:t>
      </w:r>
      <w:r w:rsidRPr="00C22A4F">
        <w:rPr>
          <w:rFonts w:cs="Arial"/>
          <w:szCs w:val="22"/>
          <w:highlight w:val="yellow"/>
        </w:rPr>
        <w:t xml:space="preserve">randomly allocated to each of the three years of recruitment.  Within each recruitment year, </w:t>
      </w:r>
      <w:r w:rsidR="008377C9" w:rsidRPr="00C22A4F">
        <w:rPr>
          <w:rFonts w:cs="Arial"/>
          <w:szCs w:val="22"/>
          <w:highlight w:val="yellow"/>
        </w:rPr>
        <w:t xml:space="preserve">the sample was fielded </w:t>
      </w:r>
      <w:r w:rsidRPr="00C22A4F">
        <w:rPr>
          <w:rFonts w:cs="Arial"/>
          <w:szCs w:val="22"/>
          <w:highlight w:val="yellow"/>
        </w:rPr>
        <w:t>in waves, with each wave corresponding to a random sub-sample of the original sample of households allocated to that year</w:t>
      </w:r>
      <w:r w:rsidRPr="005445AB">
        <w:rPr>
          <w:rFonts w:cs="Arial"/>
          <w:szCs w:val="22"/>
        </w:rPr>
        <w:t xml:space="preserve">.  </w:t>
      </w:r>
      <w:r w:rsidR="001E7A06" w:rsidRPr="005445AB">
        <w:tab/>
      </w:r>
    </w:p>
    <w:p w14:paraId="251C837D" w14:textId="77777777" w:rsidR="002F2A9A" w:rsidRDefault="002F2A9A" w:rsidP="002A79A2">
      <w:pPr>
        <w:spacing w:line="480" w:lineRule="auto"/>
        <w:rPr>
          <w:u w:val="single"/>
        </w:rPr>
      </w:pPr>
    </w:p>
    <w:p w14:paraId="7268685C" w14:textId="37E503A3" w:rsidR="00FC309A" w:rsidRPr="00B914B8" w:rsidRDefault="00FC309A" w:rsidP="00B914B8">
      <w:pPr>
        <w:spacing w:line="276" w:lineRule="auto"/>
        <w:jc w:val="center"/>
        <w:rPr>
          <w:b/>
        </w:rPr>
      </w:pPr>
      <w:proofErr w:type="gramStart"/>
      <w:r w:rsidRPr="00B914B8">
        <w:rPr>
          <w:b/>
        </w:rPr>
        <w:t>B.1.</w:t>
      </w:r>
      <w:r w:rsidR="00CE7925" w:rsidRPr="00B914B8">
        <w:rPr>
          <w:b/>
        </w:rPr>
        <w:t>d</w:t>
      </w:r>
      <w:r w:rsidRPr="00B914B8">
        <w:rPr>
          <w:b/>
        </w:rPr>
        <w:t>.</w:t>
      </w:r>
      <w:proofErr w:type="gramEnd"/>
      <w:r w:rsidRPr="00B914B8">
        <w:rPr>
          <w:b/>
        </w:rPr>
        <w:t xml:space="preserve"> </w:t>
      </w:r>
      <w:r w:rsidR="007C5BEE" w:rsidRPr="00B914B8">
        <w:rPr>
          <w:b/>
        </w:rPr>
        <w:t>Over f</w:t>
      </w:r>
      <w:r w:rsidR="00553D6F" w:rsidRPr="00B914B8">
        <w:rPr>
          <w:b/>
        </w:rPr>
        <w:t>our</w:t>
      </w:r>
      <w:r w:rsidR="002A79A2" w:rsidRPr="00B914B8">
        <w:rPr>
          <w:b/>
        </w:rPr>
        <w:t xml:space="preserve"> </w:t>
      </w:r>
      <w:r w:rsidR="001B3E15" w:rsidRPr="00B914B8">
        <w:rPr>
          <w:b/>
        </w:rPr>
        <w:t>thousand (</w:t>
      </w:r>
      <w:r w:rsidR="00553D6F" w:rsidRPr="00B914B8">
        <w:rPr>
          <w:b/>
        </w:rPr>
        <w:t>4</w:t>
      </w:r>
      <w:r w:rsidRPr="00B914B8">
        <w:rPr>
          <w:b/>
        </w:rPr>
        <w:t>,000</w:t>
      </w:r>
      <w:r w:rsidR="001B3E15" w:rsidRPr="00B914B8">
        <w:rPr>
          <w:b/>
        </w:rPr>
        <w:t>)</w:t>
      </w:r>
      <w:r w:rsidR="0080706B" w:rsidRPr="00B914B8">
        <w:rPr>
          <w:b/>
        </w:rPr>
        <w:t xml:space="preserve"> persons </w:t>
      </w:r>
      <w:r w:rsidRPr="00B914B8">
        <w:rPr>
          <w:b/>
        </w:rPr>
        <w:t>aged 18-74</w:t>
      </w:r>
      <w:r w:rsidR="001B3E15" w:rsidRPr="00B914B8">
        <w:rPr>
          <w:b/>
        </w:rPr>
        <w:t>, who self-</w:t>
      </w:r>
      <w:r w:rsidR="007C5BEE" w:rsidRPr="00B914B8">
        <w:rPr>
          <w:b/>
        </w:rPr>
        <w:t xml:space="preserve">identified </w:t>
      </w:r>
      <w:r w:rsidR="001B3E15" w:rsidRPr="00B914B8">
        <w:rPr>
          <w:b/>
        </w:rPr>
        <w:t>as Hispanic/Latino origin, i</w:t>
      </w:r>
      <w:r w:rsidR="00A52CA3" w:rsidRPr="00B914B8">
        <w:rPr>
          <w:b/>
        </w:rPr>
        <w:t xml:space="preserve">ndependent of country of origin </w:t>
      </w:r>
      <w:r w:rsidR="007C5BEE" w:rsidRPr="00B914B8">
        <w:rPr>
          <w:b/>
        </w:rPr>
        <w:t>were</w:t>
      </w:r>
      <w:r w:rsidR="00553D6F" w:rsidRPr="00B914B8">
        <w:rPr>
          <w:b/>
        </w:rPr>
        <w:t xml:space="preserve"> selected </w:t>
      </w:r>
      <w:r w:rsidR="0080706B" w:rsidRPr="00B914B8">
        <w:rPr>
          <w:b/>
        </w:rPr>
        <w:t xml:space="preserve">from </w:t>
      </w:r>
      <w:r w:rsidR="00553D6F" w:rsidRPr="00B914B8">
        <w:rPr>
          <w:b/>
        </w:rPr>
        <w:t>each</w:t>
      </w:r>
      <w:r w:rsidR="0080706B" w:rsidRPr="00B914B8">
        <w:rPr>
          <w:b/>
        </w:rPr>
        <w:t xml:space="preserve"> of </w:t>
      </w:r>
      <w:r w:rsidR="00B22FA5" w:rsidRPr="00B914B8">
        <w:rPr>
          <w:b/>
        </w:rPr>
        <w:t>four</w:t>
      </w:r>
      <w:r w:rsidR="0080706B" w:rsidRPr="00B914B8">
        <w:rPr>
          <w:b/>
        </w:rPr>
        <w:t xml:space="preserve"> separate communities</w:t>
      </w:r>
      <w:r w:rsidR="00B914B8" w:rsidRPr="00B914B8">
        <w:rPr>
          <w:b/>
        </w:rPr>
        <w:t>.</w:t>
      </w:r>
    </w:p>
    <w:p w14:paraId="0FF491CE" w14:textId="77777777" w:rsidR="00B914B8" w:rsidRDefault="00B914B8" w:rsidP="00A16DC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788D81" w14:textId="77777777" w:rsidR="00A16DC1" w:rsidRPr="00222D50" w:rsidRDefault="00A16DC1"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i/>
        </w:rPr>
      </w:pPr>
      <w:r w:rsidRPr="00222D50">
        <w:rPr>
          <w:i/>
        </w:rPr>
        <w:t>Bronx: over 644,000 residents of Hispanic/Latino origin</w:t>
      </w:r>
    </w:p>
    <w:p w14:paraId="47414383" w14:textId="74DB0F81" w:rsidR="00A16DC1" w:rsidRDefault="00A16DC1" w:rsidP="00222D50">
      <w:pPr>
        <w:spacing w:line="276" w:lineRule="auto"/>
        <w:rPr>
          <w:b/>
        </w:rPr>
      </w:pPr>
      <w:r>
        <w:t xml:space="preserve">  </w:t>
      </w:r>
      <w:r w:rsidR="009D5090">
        <w:rPr>
          <w:b/>
        </w:rPr>
        <w:t xml:space="preserve">                  </w:t>
      </w:r>
      <w:r w:rsidR="007B55C1">
        <w:rPr>
          <w:b/>
          <w:noProof/>
          <w:snapToGrid/>
        </w:rPr>
        <w:drawing>
          <wp:inline distT="0" distB="0" distL="0" distR="0" wp14:anchorId="56713211" wp14:editId="716B6103">
            <wp:extent cx="4449337" cy="3438124"/>
            <wp:effectExtent l="0" t="0" r="8890" b="0"/>
            <wp:docPr id="12" name="Picture 12" descr="C:\Users\uccjjo\AppData\Local\Microsoft\Windows\Temporary Internet Files\Content.Outlook\45CAGPB4\hispanicbronx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cjjo\AppData\Local\Microsoft\Windows\Temporary Internet Files\Content.Outlook\45CAGPB4\hispanicbronx201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5638" cy="3442993"/>
                    </a:xfrm>
                    <a:prstGeom prst="rect">
                      <a:avLst/>
                    </a:prstGeom>
                    <a:noFill/>
                    <a:ln>
                      <a:noFill/>
                    </a:ln>
                  </pic:spPr>
                </pic:pic>
              </a:graphicData>
            </a:graphic>
          </wp:inline>
        </w:drawing>
      </w:r>
    </w:p>
    <w:p w14:paraId="2DC7D8B9" w14:textId="7DB5D17D" w:rsidR="00A16DC1" w:rsidRPr="00222D50" w:rsidRDefault="00A16DC1" w:rsidP="00A16DC1">
      <w:pPr>
        <w:pStyle w:val="Heading4"/>
        <w:rPr>
          <w:b w:val="0"/>
          <w:sz w:val="22"/>
          <w:szCs w:val="22"/>
        </w:rPr>
      </w:pPr>
      <w:r w:rsidRPr="00A52CA3">
        <w:rPr>
          <w:sz w:val="24"/>
          <w:szCs w:val="24"/>
        </w:rPr>
        <w:tab/>
      </w:r>
      <w:bookmarkStart w:id="2" w:name="_Toc168727964"/>
      <w:r w:rsidR="00222D50" w:rsidRPr="00222D50">
        <w:rPr>
          <w:b w:val="0"/>
          <w:sz w:val="22"/>
          <w:szCs w:val="22"/>
        </w:rPr>
        <w:t xml:space="preserve">For recruiting, areas of the Bronx that have the highest Hispanic/Latino concentration and that were in closest proximity to the Bronx Field Center location(s) in the South and East Bronx were targeted. </w:t>
      </w:r>
      <w:r w:rsidR="00222D50">
        <w:rPr>
          <w:b w:val="0"/>
          <w:sz w:val="22"/>
          <w:szCs w:val="22"/>
        </w:rPr>
        <w:t>The previous map above</w:t>
      </w:r>
      <w:r w:rsidR="00222D50" w:rsidRPr="00222D50">
        <w:rPr>
          <w:b w:val="0"/>
          <w:sz w:val="22"/>
          <w:szCs w:val="22"/>
        </w:rPr>
        <w:t xml:space="preserve"> highlights the specific recruiting areas for the Bronx. Areas highlighted represent the selected census tracts</w:t>
      </w:r>
      <w:r w:rsidR="009D5090" w:rsidRPr="00222D50">
        <w:rPr>
          <w:b w:val="0"/>
          <w:sz w:val="22"/>
          <w:szCs w:val="22"/>
        </w:rPr>
        <w:t xml:space="preserve">                  </w:t>
      </w:r>
      <w:bookmarkEnd w:id="2"/>
    </w:p>
    <w:p w14:paraId="66D20CC4" w14:textId="77777777" w:rsidR="00A16DC1" w:rsidRDefault="00A16DC1" w:rsidP="00A16DC1">
      <w:pPr>
        <w:tabs>
          <w:tab w:val="left" w:pos="180"/>
        </w:tabs>
        <w:outlineLvl w:val="0"/>
        <w:rPr>
          <w:b/>
        </w:rPr>
      </w:pPr>
    </w:p>
    <w:p w14:paraId="03B44633" w14:textId="77777777" w:rsidR="002F2A9A" w:rsidRDefault="002F2A9A">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32A923" w14:textId="77777777" w:rsidR="00222D50" w:rsidRDefault="00222D50"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rPr>
      </w:pPr>
    </w:p>
    <w:p w14:paraId="052E98C9" w14:textId="3B40DAF7" w:rsidR="00FC309A" w:rsidRPr="00222D50" w:rsidRDefault="00CD0658" w:rsidP="00CD065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Pr>
          <w:i/>
        </w:rPr>
        <w:lastRenderedPageBreak/>
        <w:tab/>
      </w:r>
      <w:r w:rsidR="00B22FA5" w:rsidRPr="00CB0B13">
        <w:rPr>
          <w:i/>
          <w:highlight w:val="yellow"/>
        </w:rPr>
        <w:t>Chicago</w:t>
      </w:r>
      <w:r w:rsidR="00FC309A" w:rsidRPr="00CB0B13">
        <w:rPr>
          <w:i/>
          <w:highlight w:val="yellow"/>
        </w:rPr>
        <w:t xml:space="preserve">: over </w:t>
      </w:r>
      <w:r w:rsidR="00CB0B13" w:rsidRPr="00CB0B13">
        <w:rPr>
          <w:i/>
          <w:highlight w:val="yellow"/>
        </w:rPr>
        <w:t>780,000</w:t>
      </w:r>
      <w:r w:rsidR="00FC309A" w:rsidRPr="00CB0B13">
        <w:rPr>
          <w:i/>
          <w:highlight w:val="yellow"/>
        </w:rPr>
        <w:t xml:space="preserve"> residents of Hispanic/Latino origin</w:t>
      </w:r>
    </w:p>
    <w:p w14:paraId="5D4501F6" w14:textId="04CE526C" w:rsidR="00A16DC1" w:rsidRDefault="009D5090" w:rsidP="00A16DC1">
      <w:pPr>
        <w:ind w:right="-720"/>
      </w:pPr>
      <w:r>
        <w:t xml:space="preserve">             </w:t>
      </w:r>
      <w:r w:rsidR="00222D50">
        <w:tab/>
      </w:r>
      <w:r>
        <w:t xml:space="preserve">   </w:t>
      </w:r>
      <w:r w:rsidR="00125E2F">
        <w:rPr>
          <w:noProof/>
          <w:snapToGrid/>
        </w:rPr>
        <mc:AlternateContent>
          <mc:Choice Requires="wps">
            <w:drawing>
              <wp:inline distT="0" distB="0" distL="0" distR="0" wp14:anchorId="7711CA79" wp14:editId="00917CF8">
                <wp:extent cx="5842635" cy="4458335"/>
                <wp:effectExtent l="0" t="0" r="0" b="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446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FC671" w14:textId="77777777" w:rsidR="00DD10D0" w:rsidRDefault="00DD10D0" w:rsidP="00A16DC1">
                            <w:r>
                              <w:rPr>
                                <w:noProof/>
                                <w:snapToGrid/>
                              </w:rPr>
                              <w:drawing>
                                <wp:inline distT="0" distB="0" distL="0" distR="0" wp14:anchorId="0D6EFA69" wp14:editId="381AF64C">
                                  <wp:extent cx="4003288" cy="3088739"/>
                                  <wp:effectExtent l="0" t="0" r="0" b="0"/>
                                  <wp:docPr id="2" name="Picture 2" descr="chicago_mjr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cago_mjr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7430" cy="3099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60.05pt;height:351.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g9fgIAAA4FAAAOAAAAZHJzL2Uyb0RvYy54bWysVNuO2yAQfa/Uf0C8Z21ncTa24qz2UleV&#10;thdptx9AAMeoNiBgY2+r/nsHnGSzvUhVVT9gYIbDzJwzrC7HvkM7YZ3UqsLZWYqRUExzqbYV/vxQ&#10;z5YYOU8Vp51WosJPwuHL9etXq8GUYq5b3XFhEYAoVw6mwq33pkwSx1rRU3emjVBgbLTtqYel3Sbc&#10;0gHQ+y6Zp+kiGbTlxmomnIPd28mI1xG/aQTzH5vGCY+6CkNsPo42jpswJusVLbeWmlayfRj0H6Lo&#10;qVRw6RHqlnqKHq38BaqXzGqnG3/GdJ/oppFMxBwgmyz9KZv7lhoRc4HiOHMsk/t/sOzD7pNFklf4&#10;HCNFe6DoQYweXesR5aE6g3ElON0bcPMjbAPLMVNn7jT74pDSNy1VW3FlrR5aQTlEl4WTycnRCccF&#10;kM3wXnO4hj56HYHGxvahdFAMBOjA0tORmRAKg818SYrFHEwMbIQs8nNYhDtoeThurPNvhe5RmFTY&#10;AvURnu7unJ9cDy7hNqc7yWvZdXFht5ubzqIdBZnU8dujv3DrVHBWOhybEKcdiBLuCLYQb6T9W5HN&#10;SXo9L2b1YnkxIzXJZ8VFupylWXFdLFJSkNv6ewgwI2UrORfqTipxkGBG/o7ifTNM4okiREOFi3ye&#10;Txz9Mck0fr9LspceOrKTfYWXRydaBmbfKA5p09JT2U3z5GX4kRCoweEfqxJ1EKifRODHzQgoQRwb&#10;zZ9AEVYDX8AtPCMwabX9itEALVlhBW8GRt07BZoqMkJCB8cFyS+CGuypZXNqoYoBUIU9RtP0xk9d&#10;/2is3LZwz0HFV6DDWkaFPMe0Vy80XUxl/0CErj5dR6/nZ2z9AwAA//8DAFBLAwQUAAYACAAAACEA&#10;otg35dwAAAAFAQAADwAAAGRycy9kb3ducmV2LnhtbEyPUUvDMBSF34X9h3CFvbmkHWyuNh1DERRh&#10;sOkPSJO7ttjc1CRb6783+uJeLhzO4ZzvltvJ9uyCPnSOJGQLAQxJO9NRI+Hj/fnuHliIiozqHaGE&#10;bwywrWY3pSqMG+mAl2NsWCqhUCgJbYxDwXnQLVoVFm5ASt7Jeatikr7hxqsxldue50KsuFUdpYVW&#10;DfjYov48nq2Ep87XX9otX1brt43eH8JpfN1zKee30+4BWMQp/ofhFz+hQ5WYancmE1gvIT0S/27y&#10;NrnIgNUS1iLPgFclv6avfgAAAP//AwBQSwECLQAUAAYACAAAACEAtoM4kv4AAADhAQAAEwAAAAAA&#10;AAAAAAAAAAAAAAAAW0NvbnRlbnRfVHlwZXNdLnhtbFBLAQItABQABgAIAAAAIQA4/SH/1gAAAJQB&#10;AAALAAAAAAAAAAAAAAAAAC8BAABfcmVscy8ucmVsc1BLAQItABQABgAIAAAAIQAJmog9fgIAAA4F&#10;AAAOAAAAAAAAAAAAAAAAAC4CAABkcnMvZTJvRG9jLnhtbFBLAQItABQABgAIAAAAIQCi2Dfl3AAA&#10;AAUBAAAPAAAAAAAAAAAAAAAAANgEAABkcnMvZG93bnJldi54bWxQSwUGAAAAAAQABADzAAAA4QUA&#10;AAAA&#10;" stroked="f">
                <v:textbox style="mso-fit-shape-to-text:t">
                  <w:txbxContent>
                    <w:p w14:paraId="711FC671" w14:textId="77777777" w:rsidR="00DD10D0" w:rsidRDefault="00DD10D0" w:rsidP="00A16DC1">
                      <w:r>
                        <w:rPr>
                          <w:noProof/>
                          <w:snapToGrid/>
                        </w:rPr>
                        <w:drawing>
                          <wp:inline distT="0" distB="0" distL="0" distR="0" wp14:anchorId="0D6EFA69" wp14:editId="381AF64C">
                            <wp:extent cx="4003288" cy="3088739"/>
                            <wp:effectExtent l="0" t="0" r="0" b="0"/>
                            <wp:docPr id="2" name="Picture 2" descr="chicago_mjr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cago_mjr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430" cy="3099650"/>
                                    </a:xfrm>
                                    <a:prstGeom prst="rect">
                                      <a:avLst/>
                                    </a:prstGeom>
                                    <a:noFill/>
                                    <a:ln>
                                      <a:noFill/>
                                    </a:ln>
                                  </pic:spPr>
                                </pic:pic>
                              </a:graphicData>
                            </a:graphic>
                          </wp:inline>
                        </w:drawing>
                      </w:r>
                    </w:p>
                  </w:txbxContent>
                </v:textbox>
                <w10:anchorlock/>
              </v:shape>
            </w:pict>
          </mc:Fallback>
        </mc:AlternateContent>
      </w:r>
    </w:p>
    <w:p w14:paraId="5CD7E7F7" w14:textId="77777777" w:rsidR="00CD0658" w:rsidRDefault="00CD0658" w:rsidP="00222D50">
      <w:pPr>
        <w:spacing w:line="276" w:lineRule="auto"/>
        <w:ind w:right="-720"/>
        <w:rPr>
          <w:sz w:val="22"/>
          <w:szCs w:val="22"/>
        </w:rPr>
      </w:pPr>
    </w:p>
    <w:p w14:paraId="28577AEE" w14:textId="6468FE7B" w:rsidR="00222D50" w:rsidRPr="00222D50" w:rsidRDefault="00222D50" w:rsidP="00CD0658">
      <w:pPr>
        <w:spacing w:line="276" w:lineRule="auto"/>
        <w:ind w:right="-720" w:firstLine="720"/>
        <w:rPr>
          <w:sz w:val="22"/>
          <w:szCs w:val="22"/>
        </w:rPr>
      </w:pPr>
      <w:r w:rsidRPr="00222D50">
        <w:rPr>
          <w:sz w:val="22"/>
          <w:szCs w:val="22"/>
        </w:rPr>
        <w:t xml:space="preserve">The targeted area for the Chicago site was composed of ethnically diverse neighborhoods with several that have been majority Hispanic/Latino for decades as well as others that were traditionally White/European-immigrant which have experienced Hispanic/Latino in-migration only recently. The highlighted areas in the map above represent the selected census tracts in the Cook County, where Chicago is located. </w:t>
      </w:r>
    </w:p>
    <w:p w14:paraId="4AFC529F" w14:textId="77777777" w:rsidR="00A16DC1" w:rsidRDefault="00A16DC1" w:rsidP="00A16DC1">
      <w:pPr>
        <w:tabs>
          <w:tab w:val="left" w:pos="180"/>
        </w:tabs>
        <w:ind w:right="-720"/>
      </w:pPr>
    </w:p>
    <w:p w14:paraId="7BAC1AB9" w14:textId="77777777" w:rsidR="00222D50" w:rsidRDefault="00222D50" w:rsidP="00222D5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rPr>
      </w:pPr>
    </w:p>
    <w:p w14:paraId="40803878" w14:textId="5647337D" w:rsidR="00FC309A" w:rsidRPr="00222D50" w:rsidRDefault="00B22FA5" w:rsidP="00222D5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i/>
        </w:rPr>
      </w:pPr>
      <w:r w:rsidRPr="00222D50">
        <w:rPr>
          <w:i/>
        </w:rPr>
        <w:t>Miami</w:t>
      </w:r>
      <w:r w:rsidR="00A16DC1" w:rsidRPr="00222D50">
        <w:rPr>
          <w:i/>
        </w:rPr>
        <w:t>/Dade County</w:t>
      </w:r>
      <w:r w:rsidR="00FC309A" w:rsidRPr="00222D50">
        <w:rPr>
          <w:i/>
        </w:rPr>
        <w:t>: over 1.3 million residents of Hispanic/Latino origin</w:t>
      </w:r>
      <w:r w:rsidR="00CD0658">
        <w:rPr>
          <w:noProof/>
          <w:snapToGrid/>
        </w:rPr>
        <w:drawing>
          <wp:inline distT="0" distB="0" distL="0" distR="0" wp14:anchorId="048F137D" wp14:editId="7FEB440D">
            <wp:extent cx="3579541" cy="2766009"/>
            <wp:effectExtent l="0" t="0" r="1905" b="0"/>
            <wp:docPr id="10" name="Picture 10" descr="C:\Users\uccjjo\AppData\Local\Microsoft\Windows\Temporary Internet Files\Content.Outlook\45CAGPB4\hispanicmiami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cjjo\AppData\Local\Microsoft\Windows\Temporary Internet Files\Content.Outlook\45CAGPB4\hispanicmiami201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0426" cy="2774420"/>
                    </a:xfrm>
                    <a:prstGeom prst="rect">
                      <a:avLst/>
                    </a:prstGeom>
                    <a:noFill/>
                    <a:ln>
                      <a:noFill/>
                    </a:ln>
                  </pic:spPr>
                </pic:pic>
              </a:graphicData>
            </a:graphic>
          </wp:inline>
        </w:drawing>
      </w:r>
    </w:p>
    <w:p w14:paraId="120335E7" w14:textId="0E05B0DB" w:rsidR="00A16DC1" w:rsidRPr="00CD0658" w:rsidRDefault="00A16DC1" w:rsidP="00CD0658">
      <w:pPr>
        <w:spacing w:line="276" w:lineRule="auto"/>
        <w:ind w:firstLine="720"/>
        <w:rPr>
          <w:sz w:val="22"/>
          <w:szCs w:val="22"/>
        </w:rPr>
      </w:pPr>
      <w:r w:rsidRPr="00CD0658">
        <w:rPr>
          <w:sz w:val="22"/>
          <w:szCs w:val="22"/>
        </w:rPr>
        <w:t xml:space="preserve">The highlighted areas of </w:t>
      </w:r>
      <w:r w:rsidR="00CD0658" w:rsidRPr="00CD0658">
        <w:rPr>
          <w:sz w:val="22"/>
          <w:szCs w:val="22"/>
        </w:rPr>
        <w:t>the previous map</w:t>
      </w:r>
      <w:r w:rsidRPr="00CD0658">
        <w:rPr>
          <w:sz w:val="22"/>
          <w:szCs w:val="22"/>
        </w:rPr>
        <w:t xml:space="preserve"> represent the selected census tracts in Miami-Dade</w:t>
      </w:r>
      <w:r>
        <w:t xml:space="preserve"> </w:t>
      </w:r>
      <w:r w:rsidRPr="00CD0658">
        <w:rPr>
          <w:sz w:val="22"/>
          <w:szCs w:val="22"/>
        </w:rPr>
        <w:t xml:space="preserve">County. This area </w:t>
      </w:r>
      <w:r w:rsidR="00BA78A3" w:rsidRPr="00CD0658">
        <w:rPr>
          <w:sz w:val="22"/>
          <w:szCs w:val="22"/>
        </w:rPr>
        <w:t xml:space="preserve">consisted </w:t>
      </w:r>
      <w:r w:rsidRPr="00CD0658">
        <w:rPr>
          <w:sz w:val="22"/>
          <w:szCs w:val="22"/>
        </w:rPr>
        <w:t>of approximately 2</w:t>
      </w:r>
      <w:r w:rsidR="00F57366" w:rsidRPr="00CD0658">
        <w:rPr>
          <w:sz w:val="22"/>
          <w:szCs w:val="22"/>
        </w:rPr>
        <w:t>5</w:t>
      </w:r>
      <w:r w:rsidRPr="00CD0658">
        <w:rPr>
          <w:sz w:val="22"/>
          <w:szCs w:val="22"/>
        </w:rPr>
        <w:t xml:space="preserve"> contiguous census tracts beginning just south of the </w:t>
      </w:r>
      <w:r w:rsidRPr="00CB0B13">
        <w:rPr>
          <w:sz w:val="22"/>
          <w:szCs w:val="22"/>
          <w:highlight w:val="yellow"/>
        </w:rPr>
        <w:lastRenderedPageBreak/>
        <w:t xml:space="preserve">Miami Field Center and extending further south and west to the city of Coral Gables. </w:t>
      </w:r>
      <w:r w:rsidR="00FF13FD" w:rsidRPr="00CB0B13">
        <w:rPr>
          <w:sz w:val="22"/>
          <w:szCs w:val="22"/>
          <w:highlight w:val="yellow"/>
        </w:rPr>
        <w:t>The balance</w:t>
      </w:r>
      <w:r w:rsidRPr="00CB0B13">
        <w:rPr>
          <w:sz w:val="22"/>
          <w:szCs w:val="22"/>
          <w:highlight w:val="yellow"/>
        </w:rPr>
        <w:t xml:space="preserve"> of the targeted census tracts </w:t>
      </w:r>
      <w:r w:rsidR="007C4F7A" w:rsidRPr="00CB0B13">
        <w:rPr>
          <w:sz w:val="22"/>
          <w:szCs w:val="22"/>
          <w:highlight w:val="yellow"/>
        </w:rPr>
        <w:t>was</w:t>
      </w:r>
      <w:r w:rsidR="00BA78A3" w:rsidRPr="00CB0B13">
        <w:rPr>
          <w:sz w:val="22"/>
          <w:szCs w:val="22"/>
          <w:highlight w:val="yellow"/>
        </w:rPr>
        <w:t xml:space="preserve"> </w:t>
      </w:r>
      <w:r w:rsidRPr="00CB0B13">
        <w:rPr>
          <w:sz w:val="22"/>
          <w:szCs w:val="22"/>
          <w:highlight w:val="yellow"/>
        </w:rPr>
        <w:t>located in the city of Miami</w:t>
      </w:r>
      <w:r w:rsidR="00BA78A3" w:rsidRPr="00CB0B13">
        <w:rPr>
          <w:sz w:val="22"/>
          <w:szCs w:val="22"/>
          <w:highlight w:val="yellow"/>
        </w:rPr>
        <w:t>, wh</w:t>
      </w:r>
      <w:r w:rsidR="00FF13FD" w:rsidRPr="00CB0B13">
        <w:rPr>
          <w:sz w:val="22"/>
          <w:szCs w:val="22"/>
          <w:highlight w:val="yellow"/>
        </w:rPr>
        <w:t>ile</w:t>
      </w:r>
      <w:r w:rsidR="00BA78A3" w:rsidRPr="00CB0B13">
        <w:rPr>
          <w:sz w:val="22"/>
          <w:szCs w:val="22"/>
          <w:highlight w:val="yellow"/>
        </w:rPr>
        <w:t xml:space="preserve"> </w:t>
      </w:r>
      <w:r w:rsidR="00FF13FD" w:rsidRPr="00CB0B13">
        <w:rPr>
          <w:sz w:val="22"/>
          <w:szCs w:val="22"/>
          <w:highlight w:val="yellow"/>
        </w:rPr>
        <w:t>14</w:t>
      </w:r>
      <w:r w:rsidR="00BA78A3" w:rsidRPr="00CB0B13">
        <w:rPr>
          <w:sz w:val="22"/>
          <w:szCs w:val="22"/>
          <w:highlight w:val="yellow"/>
        </w:rPr>
        <w:t xml:space="preserve"> </w:t>
      </w:r>
      <w:r w:rsidR="00F57366" w:rsidRPr="00CB0B13">
        <w:rPr>
          <w:sz w:val="22"/>
          <w:szCs w:val="22"/>
          <w:highlight w:val="yellow"/>
        </w:rPr>
        <w:t xml:space="preserve">additional </w:t>
      </w:r>
      <w:r w:rsidR="00BA78A3" w:rsidRPr="00CB0B13">
        <w:rPr>
          <w:sz w:val="22"/>
          <w:szCs w:val="22"/>
          <w:highlight w:val="yellow"/>
        </w:rPr>
        <w:t>census tracts were located in the city of Hialeah</w:t>
      </w:r>
      <w:r w:rsidRPr="00CB0B13">
        <w:rPr>
          <w:sz w:val="22"/>
          <w:szCs w:val="22"/>
          <w:highlight w:val="yellow"/>
        </w:rPr>
        <w:t>.</w:t>
      </w:r>
    </w:p>
    <w:p w14:paraId="20379E62" w14:textId="168A676D" w:rsidR="00A16DC1" w:rsidRPr="008545E1" w:rsidRDefault="00A16DC1" w:rsidP="00222D50">
      <w:pPr>
        <w:ind w:left="720" w:firstLine="720"/>
      </w:pPr>
    </w:p>
    <w:p w14:paraId="10C3E9AD" w14:textId="7F8A6DF8" w:rsidR="00A16DC1" w:rsidRDefault="00A16DC1" w:rsidP="00A16DC1">
      <w:pPr>
        <w:ind w:right="-540"/>
      </w:pPr>
    </w:p>
    <w:p w14:paraId="65401131" w14:textId="77777777" w:rsidR="00A16DC1" w:rsidRDefault="00A16DC1" w:rsidP="00A16DC1"/>
    <w:p w14:paraId="6FA37CD2" w14:textId="0DC9B385" w:rsidR="00FC309A" w:rsidRPr="00CD0658" w:rsidRDefault="00CD0658" w:rsidP="00CD065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0"/>
        <w:jc w:val="center"/>
        <w:rPr>
          <w:i/>
        </w:rPr>
      </w:pPr>
      <w:r w:rsidRPr="00CD0658">
        <w:rPr>
          <w:i/>
        </w:rPr>
        <w:t>S</w:t>
      </w:r>
      <w:r w:rsidR="00B22FA5" w:rsidRPr="00CD0658">
        <w:rPr>
          <w:i/>
        </w:rPr>
        <w:t>an Diego</w:t>
      </w:r>
      <w:r w:rsidR="00FC309A" w:rsidRPr="00CD0658">
        <w:rPr>
          <w:i/>
        </w:rPr>
        <w:t>: almost 1 mil</w:t>
      </w:r>
      <w:r>
        <w:rPr>
          <w:i/>
        </w:rPr>
        <w:t>l</w:t>
      </w:r>
      <w:r w:rsidR="00FC309A" w:rsidRPr="00CD0658">
        <w:rPr>
          <w:i/>
        </w:rPr>
        <w:t>ion residents of Hispanic/Latino origin</w:t>
      </w:r>
    </w:p>
    <w:p w14:paraId="64A39422" w14:textId="6488190A" w:rsidR="00553D6F" w:rsidRDefault="00CD0658" w:rsidP="00CD0658">
      <w:pPr>
        <w:tabs>
          <w:tab w:val="left" w:pos="1440"/>
          <w:tab w:val="left" w:pos="7920"/>
        </w:tabs>
        <w:ind w:left="1440"/>
      </w:pPr>
      <w:r>
        <w:tab/>
        <w:t xml:space="preserve">  </w:t>
      </w:r>
      <w:r w:rsidR="00125E2F">
        <w:rPr>
          <w:noProof/>
          <w:snapToGrid/>
        </w:rPr>
        <mc:AlternateContent>
          <mc:Choice Requires="wps">
            <w:drawing>
              <wp:inline distT="0" distB="0" distL="0" distR="0" wp14:anchorId="13B83A4B" wp14:editId="1DA10C2A">
                <wp:extent cx="6400800" cy="4662170"/>
                <wp:effectExtent l="0" t="0" r="0" b="0"/>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9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52615" w14:textId="77777777" w:rsidR="00DD10D0" w:rsidRDefault="00DD10D0" w:rsidP="00553D6F">
                            <w:r>
                              <w:rPr>
                                <w:noProof/>
                                <w:snapToGrid/>
                              </w:rPr>
                              <w:drawing>
                                <wp:inline distT="0" distB="0" distL="0" distR="0" wp14:anchorId="417C80DE" wp14:editId="489745D3">
                                  <wp:extent cx="4270917" cy="3299256"/>
                                  <wp:effectExtent l="0" t="0" r="0" b="0"/>
                                  <wp:docPr id="4" name="Picture 4" descr="sd_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_airp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67973" cy="3296982"/>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 id="Text Box 10" o:spid="_x0000_s1027" type="#_x0000_t202" style="width:7in;height:36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QshwIAABgFAAAOAAAAZHJzL2Uyb0RvYy54bWysVF1v2yAUfZ+0/4B4T21HThpbdaomnadJ&#10;3YfU7gcQwDEaBgYkdjf1v++Ck9b7eJim+QED93K4955zuboeOomO3DqhVYWzixQjrqhmQu0r/Pmh&#10;nq0wcp4oRqRWvMKP3OHr9etXV70p+Vy3WjJuEYAoV/amwq33pkwSR1veEXehDVdgbLTtiIel3SfM&#10;kh7QO5nM03SZ9NoyYzXlzsHu7WjE64jfNJz6j03juEeywhCbj6ON4y6MyfqKlHtLTCvoKQzyD1F0&#10;RCi49BnqlniCDlb8BtUJarXTjb+gukt00wjKYw6QTZb+ks19SwyPuUBxnHkuk/t/sPTD8ZNFggF3&#10;GCnSAUUPfPBooweUxfL0xpXgdW/Azw+wH1xDqs7cafrFIaW3LVF7fmOt7ltOGISXhcImk6OBEAdH&#10;AGTXv9cM7iEHryPQ0NguAEI1EKADTY/P1IRYKGwu8zRdpWCiYMuXyyJbLOIdpDwfN9b5t1x3KEwq&#10;bIH7CE+Od86HcEh5donhaylYLaSMC7vfbaVFRwI6qeN3QndTN6mCs9Lh2Ig47kCUcEewhXgj79+L&#10;bJ6nm3kxq5ery1le54tZcZmuZmlWbIplmhf5bf0UAszyshWMcXUnFD9rMMv/juNTN4zqiSpEfYWL&#10;xXwxcjSN3k2TTOP3pyQ74aElpegqDBWHLziRMjD7RrE490TIcZ78HH6sMtTg/I9ViToI1I8i8MNu&#10;OCkOwIIsdpo9gjCsBtqAYnhOYNJq+w2jHlqzwu7rgViOkXynQFxFluehl+MiX1zOYWGnlt3UQhQF&#10;qAp7jMbp1o/9fzBW7Fu46SznGxBkLaJUXqI6yRjaL+Z0eipCf0/X0evlQVv/AAAA//8DAFBLAwQU&#10;AAYACAAAACEA4CtYENsAAAAGAQAADwAAAGRycy9kb3ducmV2LnhtbEyPwU7DMBBE70j8g7VI3KjT&#10;AqUKcSqExAX1QAsHjtt4iUPidYidNvw9Wy5wWWk0q5k3xXrynTrQEJvABuazDBRxFWzDtYG316er&#10;FaiYkC12gcnAN0VYl+dnBeY2HHlLh12qlYRwzNGAS6nPtY6VI49xFnpi8T7C4DGJHGptBzxKuO/0&#10;IsuW2mPD0uCwp0dHVbsbvZRsYjVuw9fnfNPqd9cu8fbFPRtzeTE93INKNKW/ZzjhCzqUwrQPI9uo&#10;OgMyJP3ek5dlK9F7A3fXNwvQZaH/45c/AAAA//8DAFBLAQItABQABgAIAAAAIQC2gziS/gAAAOEB&#10;AAATAAAAAAAAAAAAAAAAAAAAAABbQ29udGVudF9UeXBlc10ueG1sUEsBAi0AFAAGAAgAAAAhADj9&#10;If/WAAAAlAEAAAsAAAAAAAAAAAAAAAAALwEAAF9yZWxzLy5yZWxzUEsBAi0AFAAGAAgAAAAhAGy6&#10;VCyHAgAAGAUAAA4AAAAAAAAAAAAAAAAALgIAAGRycy9lMm9Eb2MueG1sUEsBAi0AFAAGAAgAAAAh&#10;AOArWBDbAAAABgEAAA8AAAAAAAAAAAAAAAAA4QQAAGRycy9kb3ducmV2LnhtbFBLBQYAAAAABAAE&#10;APMAAADpBQAAAAA=&#10;" stroked="f">
                <v:textbox style="mso-fit-shape-to-text:t">
                  <w:txbxContent>
                    <w:p w14:paraId="31952615" w14:textId="77777777" w:rsidR="00DD10D0" w:rsidRDefault="00DD10D0" w:rsidP="00553D6F">
                      <w:r>
                        <w:rPr>
                          <w:noProof/>
                          <w:snapToGrid/>
                        </w:rPr>
                        <w:drawing>
                          <wp:inline distT="0" distB="0" distL="0" distR="0" wp14:anchorId="417C80DE" wp14:editId="489745D3">
                            <wp:extent cx="4270917" cy="3299256"/>
                            <wp:effectExtent l="0" t="0" r="0" b="0"/>
                            <wp:docPr id="4" name="Picture 4" descr="sd_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d_air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7973" cy="3296982"/>
                                    </a:xfrm>
                                    <a:prstGeom prst="rect">
                                      <a:avLst/>
                                    </a:prstGeom>
                                    <a:noFill/>
                                    <a:ln>
                                      <a:noFill/>
                                    </a:ln>
                                  </pic:spPr>
                                </pic:pic>
                              </a:graphicData>
                            </a:graphic>
                          </wp:inline>
                        </w:drawing>
                      </w:r>
                    </w:p>
                  </w:txbxContent>
                </v:textbox>
                <w10:anchorlock/>
              </v:shape>
            </w:pict>
          </mc:Fallback>
        </mc:AlternateContent>
      </w:r>
    </w:p>
    <w:p w14:paraId="54D67D97" w14:textId="1D697453" w:rsidR="00CD0658" w:rsidRPr="00CD0658" w:rsidRDefault="00CD0658" w:rsidP="00CD0658">
      <w:pPr>
        <w:pStyle w:val="Heading4"/>
        <w:ind w:firstLine="720"/>
        <w:rPr>
          <w:b w:val="0"/>
          <w:sz w:val="22"/>
          <w:szCs w:val="22"/>
        </w:rPr>
      </w:pPr>
      <w:r w:rsidRPr="00CD0658">
        <w:rPr>
          <w:b w:val="0"/>
          <w:sz w:val="22"/>
          <w:szCs w:val="22"/>
        </w:rPr>
        <w:t xml:space="preserve">The combined region of South Suburban and South-Central San Diego County, commonly referred to as the “South Bay”, was the target community.  This area included the communities of San </w:t>
      </w:r>
      <w:proofErr w:type="spellStart"/>
      <w:r w:rsidRPr="00CD0658">
        <w:rPr>
          <w:b w:val="0"/>
          <w:sz w:val="22"/>
          <w:szCs w:val="22"/>
        </w:rPr>
        <w:t>Ysidro</w:t>
      </w:r>
      <w:proofErr w:type="spellEnd"/>
      <w:r w:rsidRPr="00CD0658">
        <w:rPr>
          <w:b w:val="0"/>
          <w:sz w:val="22"/>
          <w:szCs w:val="22"/>
        </w:rPr>
        <w:t>, Chula Vista, Imperial Beach, National City, and Bonita. These areas contained large proportions of minority residents, with Hispanics/Latinos representing the largest percentage [U</w:t>
      </w:r>
      <w:r>
        <w:rPr>
          <w:b w:val="0"/>
          <w:sz w:val="22"/>
          <w:szCs w:val="22"/>
        </w:rPr>
        <w:t>.</w:t>
      </w:r>
      <w:r w:rsidRPr="00CD0658">
        <w:rPr>
          <w:b w:val="0"/>
          <w:sz w:val="22"/>
          <w:szCs w:val="22"/>
        </w:rPr>
        <w:t>S</w:t>
      </w:r>
      <w:r>
        <w:rPr>
          <w:b w:val="0"/>
          <w:sz w:val="22"/>
          <w:szCs w:val="22"/>
        </w:rPr>
        <w:t>.</w:t>
      </w:r>
      <w:r w:rsidRPr="00CD0658">
        <w:rPr>
          <w:b w:val="0"/>
          <w:sz w:val="22"/>
          <w:szCs w:val="22"/>
        </w:rPr>
        <w:t xml:space="preserve"> Census Bureau 2005].  The highlighted areas in Map 4 represent the selected census tracts in the San Diego County.</w:t>
      </w:r>
      <w:r w:rsidR="00553D6F" w:rsidRPr="00CD0658">
        <w:rPr>
          <w:b w:val="0"/>
          <w:sz w:val="22"/>
          <w:szCs w:val="22"/>
        </w:rPr>
        <w:tab/>
      </w:r>
      <w:bookmarkStart w:id="3" w:name="_Toc168727971"/>
    </w:p>
    <w:bookmarkEnd w:id="3"/>
    <w:p w14:paraId="4F384779" w14:textId="77777777" w:rsidR="00553D6F" w:rsidRDefault="00553D6F" w:rsidP="00553D6F">
      <w:pPr>
        <w:tabs>
          <w:tab w:val="left" w:pos="180"/>
          <w:tab w:val="left" w:pos="1440"/>
          <w:tab w:val="left" w:pos="7920"/>
        </w:tabs>
      </w:pPr>
    </w:p>
    <w:p w14:paraId="71A048E6" w14:textId="77777777" w:rsidR="00CD0658" w:rsidRDefault="00CD0658"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473DD24C" w14:textId="671A26D1" w:rsidR="001E7A06" w:rsidRDefault="00B22FA5"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 xml:space="preserve">Recruitment was designed to occur in </w:t>
      </w:r>
      <w:r w:rsidR="00382162">
        <w:t>stable, established,</w:t>
      </w:r>
      <w:r w:rsidR="00E5746F">
        <w:t xml:space="preserve"> </w:t>
      </w:r>
      <w:r>
        <w:t xml:space="preserve">communities so </w:t>
      </w:r>
      <w:r w:rsidRPr="00A100D4">
        <w:t xml:space="preserve">that persons </w:t>
      </w:r>
      <w:r w:rsidR="00D30005" w:rsidRPr="00A100D4">
        <w:t>c</w:t>
      </w:r>
      <w:r w:rsidR="00D30005">
        <w:t>ould</w:t>
      </w:r>
      <w:r w:rsidR="00D30005" w:rsidRPr="00A100D4">
        <w:t xml:space="preserve"> </w:t>
      </w:r>
      <w:r w:rsidRPr="00A100D4">
        <w:t>be contacted over time</w:t>
      </w:r>
      <w:r w:rsidR="00E5746F">
        <w:t>.</w:t>
      </w:r>
      <w:r w:rsidRPr="00A100D4">
        <w:t xml:space="preserve"> </w:t>
      </w:r>
      <w:r>
        <w:t xml:space="preserve"> Each commu</w:t>
      </w:r>
      <w:r w:rsidRPr="006E770A">
        <w:t xml:space="preserve">nity </w:t>
      </w:r>
      <w:r>
        <w:t xml:space="preserve">has a </w:t>
      </w:r>
      <w:r w:rsidRPr="006E770A">
        <w:t>community social</w:t>
      </w:r>
      <w:r>
        <w:t xml:space="preserve"> </w:t>
      </w:r>
      <w:r w:rsidRPr="006E770A">
        <w:t>infrastructure and organization t</w:t>
      </w:r>
      <w:r>
        <w:t xml:space="preserve">hat </w:t>
      </w:r>
      <w:r w:rsidRPr="006E770A">
        <w:t>enable</w:t>
      </w:r>
      <w:r>
        <w:t>s</w:t>
      </w:r>
      <w:r w:rsidRPr="006E770A">
        <w:t xml:space="preserve"> community support and feedback. </w:t>
      </w:r>
      <w:r>
        <w:t xml:space="preserve"> </w:t>
      </w:r>
    </w:p>
    <w:p w14:paraId="78C7769C" w14:textId="77777777" w:rsidR="00A52CA3" w:rsidRDefault="00A52CA3" w:rsidP="007964F1">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u w:val="single"/>
        </w:rPr>
      </w:pPr>
    </w:p>
    <w:p w14:paraId="29B9977C" w14:textId="33968F14" w:rsidR="007964F1" w:rsidRPr="00B914B8" w:rsidRDefault="007964F1"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jc w:val="center"/>
        <w:rPr>
          <w:b/>
        </w:rPr>
      </w:pPr>
      <w:r w:rsidRPr="00B914B8">
        <w:rPr>
          <w:b/>
        </w:rPr>
        <w:t>B.1.</w:t>
      </w:r>
      <w:r w:rsidR="00CE7925" w:rsidRPr="00B914B8">
        <w:rPr>
          <w:b/>
        </w:rPr>
        <w:t>e</w:t>
      </w:r>
      <w:r w:rsidRPr="00B914B8">
        <w:rPr>
          <w:b/>
        </w:rPr>
        <w:t>.</w:t>
      </w:r>
      <w:r w:rsidR="00A52CA3" w:rsidRPr="00B914B8">
        <w:rPr>
          <w:b/>
        </w:rPr>
        <w:t xml:space="preserve"> </w:t>
      </w:r>
      <w:r w:rsidR="002F2A9A" w:rsidRPr="00B914B8">
        <w:rPr>
          <w:b/>
        </w:rPr>
        <w:t>Participant</w:t>
      </w:r>
      <w:r w:rsidR="00A52CA3" w:rsidRPr="00B914B8">
        <w:rPr>
          <w:b/>
        </w:rPr>
        <w:t>s’</w:t>
      </w:r>
      <w:r w:rsidR="002F2A9A" w:rsidRPr="00B914B8">
        <w:rPr>
          <w:b/>
        </w:rPr>
        <w:t xml:space="preserve"> Call Back</w:t>
      </w:r>
    </w:p>
    <w:p w14:paraId="4FF53CC6" w14:textId="2AEA6D8E" w:rsidR="007964F1" w:rsidRPr="00CB0B13" w:rsidRDefault="007964F1" w:rsidP="00B914B8">
      <w:pPr>
        <w:spacing w:before="120" w:line="276" w:lineRule="auto"/>
        <w:ind w:firstLine="720"/>
        <w:rPr>
          <w:rFonts w:cs="Arial"/>
          <w:szCs w:val="22"/>
          <w:highlight w:val="yellow"/>
        </w:rPr>
      </w:pPr>
      <w:r w:rsidRPr="00CB0B13">
        <w:rPr>
          <w:rFonts w:cs="Arial"/>
          <w:szCs w:val="22"/>
          <w:highlight w:val="yellow"/>
        </w:rPr>
        <w:t xml:space="preserve">The </w:t>
      </w:r>
      <w:r w:rsidR="00A52CA3" w:rsidRPr="00CB0B13">
        <w:rPr>
          <w:rFonts w:cs="Arial"/>
          <w:szCs w:val="22"/>
          <w:highlight w:val="yellow"/>
        </w:rPr>
        <w:t>participants’ call back</w:t>
      </w:r>
      <w:r w:rsidRPr="00CB0B13">
        <w:rPr>
          <w:rFonts w:cs="Arial"/>
          <w:szCs w:val="22"/>
          <w:highlight w:val="yellow"/>
        </w:rPr>
        <w:t xml:space="preserve"> plan consists of three basic steps:</w:t>
      </w:r>
    </w:p>
    <w:p w14:paraId="0E2951C6" w14:textId="6CD03B9C" w:rsidR="007964F1" w:rsidRPr="00CB0B13" w:rsidRDefault="007964F1" w:rsidP="00B914B8">
      <w:pPr>
        <w:widowControl/>
        <w:numPr>
          <w:ilvl w:val="0"/>
          <w:numId w:val="15"/>
        </w:numPr>
        <w:spacing w:before="120" w:line="276" w:lineRule="auto"/>
        <w:rPr>
          <w:rFonts w:cs="Arial"/>
          <w:szCs w:val="22"/>
          <w:highlight w:val="yellow"/>
        </w:rPr>
      </w:pPr>
      <w:r w:rsidRPr="00CB0B13">
        <w:rPr>
          <w:rFonts w:cs="Arial"/>
          <w:szCs w:val="22"/>
          <w:highlight w:val="yellow"/>
        </w:rPr>
        <w:t xml:space="preserve">Initial mailings to </w:t>
      </w:r>
      <w:r w:rsidR="007C5BEE" w:rsidRPr="00CB0B13">
        <w:rPr>
          <w:rFonts w:cs="Arial"/>
          <w:szCs w:val="22"/>
          <w:highlight w:val="yellow"/>
        </w:rPr>
        <w:t xml:space="preserve">participants </w:t>
      </w:r>
      <w:r w:rsidRPr="00CB0B13">
        <w:rPr>
          <w:rFonts w:cs="Arial"/>
          <w:szCs w:val="22"/>
          <w:highlight w:val="yellow"/>
        </w:rPr>
        <w:t xml:space="preserve">describing the </w:t>
      </w:r>
      <w:r w:rsidR="007C5BEE" w:rsidRPr="00CB0B13">
        <w:rPr>
          <w:rFonts w:cs="Arial"/>
          <w:szCs w:val="22"/>
          <w:highlight w:val="yellow"/>
        </w:rPr>
        <w:t>new visit</w:t>
      </w:r>
      <w:r w:rsidR="008044E8" w:rsidRPr="00CB0B13">
        <w:rPr>
          <w:rFonts w:cs="Arial"/>
          <w:szCs w:val="22"/>
          <w:highlight w:val="yellow"/>
        </w:rPr>
        <w:t xml:space="preserve"> (Visit 2)</w:t>
      </w:r>
      <w:r w:rsidRPr="00CB0B13">
        <w:rPr>
          <w:rFonts w:cs="Arial"/>
          <w:szCs w:val="22"/>
          <w:highlight w:val="yellow"/>
        </w:rPr>
        <w:t xml:space="preserve"> </w:t>
      </w:r>
      <w:r w:rsidR="00B56DD5" w:rsidRPr="00CB0B13">
        <w:rPr>
          <w:rFonts w:cs="Arial"/>
          <w:szCs w:val="22"/>
          <w:highlight w:val="yellow"/>
        </w:rPr>
        <w:t>[</w:t>
      </w:r>
      <w:r w:rsidR="00C05054" w:rsidRPr="00CB0B13">
        <w:rPr>
          <w:rFonts w:cs="Arial"/>
          <w:szCs w:val="22"/>
          <w:highlight w:val="yellow"/>
        </w:rPr>
        <w:t xml:space="preserve">Example </w:t>
      </w:r>
      <w:r w:rsidR="00844769">
        <w:rPr>
          <w:rFonts w:cs="Arial"/>
          <w:szCs w:val="22"/>
          <w:highlight w:val="yellow"/>
        </w:rPr>
        <w:t xml:space="preserve">of Bronx Newsletter, Appendix </w:t>
      </w:r>
      <w:r w:rsidR="00F642CC">
        <w:rPr>
          <w:rFonts w:cs="Arial"/>
          <w:szCs w:val="22"/>
          <w:highlight w:val="yellow"/>
        </w:rPr>
        <w:t>17</w:t>
      </w:r>
      <w:r w:rsidR="00B56DD5" w:rsidRPr="00CB0B13">
        <w:rPr>
          <w:rFonts w:cs="Arial"/>
          <w:szCs w:val="22"/>
          <w:highlight w:val="yellow"/>
        </w:rPr>
        <w:t>]</w:t>
      </w:r>
    </w:p>
    <w:p w14:paraId="6232C43D" w14:textId="0103FDCE" w:rsidR="007964F1" w:rsidRPr="00CB0B13" w:rsidRDefault="007C5BEE" w:rsidP="00B914B8">
      <w:pPr>
        <w:widowControl/>
        <w:numPr>
          <w:ilvl w:val="0"/>
          <w:numId w:val="15"/>
        </w:numPr>
        <w:spacing w:line="276" w:lineRule="auto"/>
        <w:rPr>
          <w:rFonts w:cs="Arial"/>
          <w:szCs w:val="22"/>
          <w:highlight w:val="yellow"/>
        </w:rPr>
      </w:pPr>
      <w:r w:rsidRPr="00CB0B13">
        <w:rPr>
          <w:rFonts w:cs="Arial"/>
          <w:szCs w:val="22"/>
          <w:highlight w:val="yellow"/>
        </w:rPr>
        <w:lastRenderedPageBreak/>
        <w:t xml:space="preserve">During the ongoing annual follow-up telephone </w:t>
      </w:r>
      <w:r w:rsidR="008044E8" w:rsidRPr="00CB0B13">
        <w:rPr>
          <w:rFonts w:cs="Arial"/>
          <w:szCs w:val="22"/>
          <w:highlight w:val="yellow"/>
        </w:rPr>
        <w:t>interviews</w:t>
      </w:r>
      <w:r w:rsidRPr="00CB0B13">
        <w:rPr>
          <w:rFonts w:cs="Arial"/>
          <w:szCs w:val="22"/>
          <w:highlight w:val="yellow"/>
        </w:rPr>
        <w:t>, participants will be informed of the new visit (Visit 2)</w:t>
      </w:r>
      <w:r w:rsidR="008044E8" w:rsidRPr="00CB0B13">
        <w:rPr>
          <w:rFonts w:cs="Arial"/>
          <w:szCs w:val="22"/>
          <w:highlight w:val="yellow"/>
        </w:rPr>
        <w:t xml:space="preserve">. Scheduling of the visit could take place during that call. </w:t>
      </w:r>
    </w:p>
    <w:p w14:paraId="509F318D" w14:textId="0B24BB63" w:rsidR="007964F1" w:rsidRPr="00CB0B13" w:rsidRDefault="008044E8" w:rsidP="00B914B8">
      <w:pPr>
        <w:widowControl/>
        <w:numPr>
          <w:ilvl w:val="0"/>
          <w:numId w:val="15"/>
        </w:numPr>
        <w:spacing w:line="276" w:lineRule="auto"/>
        <w:rPr>
          <w:rFonts w:cs="Arial"/>
          <w:szCs w:val="22"/>
          <w:highlight w:val="yellow"/>
        </w:rPr>
      </w:pPr>
      <w:r w:rsidRPr="00CB0B13">
        <w:rPr>
          <w:rFonts w:cs="Arial"/>
          <w:szCs w:val="22"/>
          <w:highlight w:val="yellow"/>
        </w:rPr>
        <w:t>Home visits could also take place, when telephone contacts are not possible, or when participants request it.</w:t>
      </w:r>
    </w:p>
    <w:p w14:paraId="063CBC74" w14:textId="77777777" w:rsidR="007964F1" w:rsidRPr="00CB0B13" w:rsidRDefault="007964F1" w:rsidP="00B914B8">
      <w:pPr>
        <w:widowControl/>
        <w:spacing w:line="276" w:lineRule="auto"/>
        <w:ind w:left="1080"/>
        <w:rPr>
          <w:rFonts w:cs="Arial"/>
          <w:szCs w:val="22"/>
          <w:highlight w:val="yellow"/>
        </w:rPr>
      </w:pPr>
    </w:p>
    <w:p w14:paraId="6A8F5462" w14:textId="6E35EC35" w:rsidR="007964F1" w:rsidRPr="00844EE7" w:rsidRDefault="007964F1" w:rsidP="00B914B8">
      <w:pPr>
        <w:autoSpaceDE w:val="0"/>
        <w:autoSpaceDN w:val="0"/>
        <w:adjustRightInd w:val="0"/>
        <w:spacing w:line="276" w:lineRule="auto"/>
        <w:ind w:firstLine="720"/>
        <w:rPr>
          <w:rFonts w:cs="Tahoma"/>
          <w:szCs w:val="16"/>
        </w:rPr>
      </w:pPr>
      <w:r w:rsidRPr="00CB0B13">
        <w:rPr>
          <w:rFonts w:cs="Arial"/>
          <w:szCs w:val="22"/>
        </w:rPr>
        <w:t xml:space="preserve">The </w:t>
      </w:r>
      <w:r w:rsidR="00A52CA3" w:rsidRPr="00CB0B13">
        <w:rPr>
          <w:rFonts w:cs="Arial"/>
          <w:szCs w:val="22"/>
        </w:rPr>
        <w:t>F</w:t>
      </w:r>
      <w:r w:rsidRPr="00CB0B13">
        <w:rPr>
          <w:rFonts w:cs="Arial"/>
          <w:szCs w:val="22"/>
        </w:rPr>
        <w:t xml:space="preserve">ield </w:t>
      </w:r>
      <w:r w:rsidR="00A52CA3" w:rsidRPr="00CB0B13">
        <w:rPr>
          <w:rFonts w:cs="Arial"/>
          <w:szCs w:val="22"/>
        </w:rPr>
        <w:t>C</w:t>
      </w:r>
      <w:r w:rsidRPr="00CB0B13">
        <w:rPr>
          <w:rFonts w:cs="Arial"/>
          <w:szCs w:val="22"/>
        </w:rPr>
        <w:t xml:space="preserve">enters have the option in the </w:t>
      </w:r>
      <w:r w:rsidR="00B56DD5" w:rsidRPr="00CB0B13">
        <w:rPr>
          <w:rFonts w:cs="Arial"/>
          <w:szCs w:val="22"/>
        </w:rPr>
        <w:t xml:space="preserve">call back </w:t>
      </w:r>
      <w:r w:rsidRPr="00CB0B13">
        <w:rPr>
          <w:rFonts w:cs="Arial"/>
          <w:szCs w:val="22"/>
        </w:rPr>
        <w:t xml:space="preserve">procedures to either make the first contact with a </w:t>
      </w:r>
      <w:r w:rsidR="008044E8" w:rsidRPr="00CB0B13">
        <w:rPr>
          <w:rFonts w:cs="Arial"/>
          <w:szCs w:val="22"/>
        </w:rPr>
        <w:t>participant</w:t>
      </w:r>
      <w:r w:rsidRPr="00CB0B13">
        <w:rPr>
          <w:rFonts w:cs="Arial"/>
          <w:szCs w:val="22"/>
        </w:rPr>
        <w:t xml:space="preserve"> via a phone call, or </w:t>
      </w:r>
      <w:r w:rsidR="00B56DD5" w:rsidRPr="00CB0B13">
        <w:rPr>
          <w:rFonts w:cs="Arial"/>
          <w:szCs w:val="22"/>
        </w:rPr>
        <w:t xml:space="preserve">as a </w:t>
      </w:r>
      <w:r w:rsidR="008044E8" w:rsidRPr="00CB0B13">
        <w:rPr>
          <w:rFonts w:cs="Arial"/>
          <w:szCs w:val="22"/>
        </w:rPr>
        <w:t>home v</w:t>
      </w:r>
      <w:r w:rsidRPr="00CB0B13">
        <w:rPr>
          <w:rFonts w:cs="Arial"/>
          <w:szCs w:val="22"/>
        </w:rPr>
        <w:t>isit</w:t>
      </w:r>
      <w:r w:rsidRPr="00D53105">
        <w:rPr>
          <w:rFonts w:cs="Arial"/>
          <w:szCs w:val="22"/>
        </w:rPr>
        <w:t xml:space="preserve">.  </w:t>
      </w:r>
    </w:p>
    <w:p w14:paraId="25B3AB83" w14:textId="77777777" w:rsidR="00A52CA3" w:rsidRDefault="00A52CA3">
      <w:pPr>
        <w:pStyle w:val="Heading3"/>
        <w:ind w:firstLine="0"/>
      </w:pPr>
    </w:p>
    <w:p w14:paraId="17A5147D" w14:textId="7F41172D" w:rsidR="003C3075" w:rsidRPr="00B914B8" w:rsidRDefault="001E7A06" w:rsidP="00B914B8">
      <w:pPr>
        <w:pStyle w:val="Heading3"/>
        <w:ind w:firstLine="0"/>
        <w:jc w:val="center"/>
        <w:rPr>
          <w:b/>
          <w:u w:val="none"/>
        </w:rPr>
      </w:pPr>
      <w:r w:rsidRPr="00B914B8">
        <w:rPr>
          <w:b/>
          <w:u w:val="none"/>
        </w:rPr>
        <w:t>B.2. Procedures for Information Collection</w:t>
      </w:r>
    </w:p>
    <w:p w14:paraId="330FAD91" w14:textId="6D6D026B" w:rsidR="00B22FA5" w:rsidRDefault="00B22FA5" w:rsidP="00B914B8">
      <w:pPr>
        <w:widowControl/>
        <w:spacing w:line="276" w:lineRule="auto"/>
        <w:ind w:firstLine="720"/>
      </w:pPr>
      <w:r>
        <w:t>Data collection for the HCHS/SOL requires questionnaires in each domain of measurement to be available in both English and Spanish versions</w:t>
      </w:r>
      <w:r w:rsidR="00A0048A">
        <w:t xml:space="preserve">. </w:t>
      </w:r>
      <w:r w:rsidR="00D466ED">
        <w:t xml:space="preserve">Trained, bilingual interviewers will administer the study questionnaires. </w:t>
      </w:r>
      <w:r w:rsidRPr="00CB0B13">
        <w:rPr>
          <w:highlight w:val="yellow"/>
        </w:rPr>
        <w:t xml:space="preserve">Questionnaires for which no existing Spanish translations are available are translated by a subcontracting firm, </w:t>
      </w:r>
      <w:proofErr w:type="spellStart"/>
      <w:r w:rsidR="008044E8" w:rsidRPr="00CB0B13">
        <w:rPr>
          <w:highlight w:val="yellow"/>
        </w:rPr>
        <w:t>Chicle</w:t>
      </w:r>
      <w:proofErr w:type="spellEnd"/>
      <w:r w:rsidRPr="00CB0B13">
        <w:rPr>
          <w:highlight w:val="yellow"/>
        </w:rPr>
        <w:t xml:space="preserve">, with expertise in multilingual instrument development for large-scale surveys.  Both new and existing translations are then reviewed </w:t>
      </w:r>
      <w:r w:rsidR="002A12C9" w:rsidRPr="00CB0B13">
        <w:rPr>
          <w:highlight w:val="yellow"/>
        </w:rPr>
        <w:t xml:space="preserve">by </w:t>
      </w:r>
      <w:r w:rsidRPr="00CB0B13">
        <w:rPr>
          <w:highlight w:val="yellow"/>
        </w:rPr>
        <w:t xml:space="preserve">the Translation </w:t>
      </w:r>
      <w:r w:rsidR="008044E8" w:rsidRPr="00CB0B13">
        <w:rPr>
          <w:highlight w:val="yellow"/>
        </w:rPr>
        <w:t>C</w:t>
      </w:r>
      <w:r w:rsidR="00CB0B13" w:rsidRPr="00CB0B13">
        <w:rPr>
          <w:highlight w:val="yellow"/>
        </w:rPr>
        <w:t>ommittee</w:t>
      </w:r>
      <w:r w:rsidRPr="00CB0B13">
        <w:rPr>
          <w:highlight w:val="yellow"/>
        </w:rPr>
        <w:t xml:space="preserve">. The results of the reviews are discussed via teleconference, and a summary of recommended changes to the translation are sent back to </w:t>
      </w:r>
      <w:proofErr w:type="spellStart"/>
      <w:r w:rsidR="008044E8" w:rsidRPr="00CB0B13">
        <w:rPr>
          <w:highlight w:val="yellow"/>
        </w:rPr>
        <w:t>Chicle</w:t>
      </w:r>
      <w:proofErr w:type="spellEnd"/>
      <w:r w:rsidR="008044E8" w:rsidRPr="00CB0B13">
        <w:rPr>
          <w:highlight w:val="yellow"/>
        </w:rPr>
        <w:t xml:space="preserve"> </w:t>
      </w:r>
      <w:r w:rsidRPr="00CB0B13">
        <w:rPr>
          <w:highlight w:val="yellow"/>
        </w:rPr>
        <w:t xml:space="preserve">for </w:t>
      </w:r>
      <w:r w:rsidR="002A12C9" w:rsidRPr="00CB0B13">
        <w:rPr>
          <w:highlight w:val="yellow"/>
        </w:rPr>
        <w:t>final review and certification.</w:t>
      </w:r>
      <w:r w:rsidR="002A12C9">
        <w:t xml:space="preserve"> </w:t>
      </w:r>
      <w:r>
        <w:t xml:space="preserve">  </w:t>
      </w:r>
    </w:p>
    <w:p w14:paraId="0FAEBE9C" w14:textId="77777777" w:rsidR="00B914B8" w:rsidRDefault="00B914B8" w:rsidP="00B914B8">
      <w:pPr>
        <w:widowControl/>
        <w:spacing w:line="276" w:lineRule="auto"/>
        <w:ind w:firstLine="720"/>
      </w:pPr>
    </w:p>
    <w:p w14:paraId="47D6C1F1" w14:textId="58C148D2" w:rsidR="002A12C9" w:rsidRDefault="002A12C9" w:rsidP="002A12C9">
      <w:pPr>
        <w:spacing w:line="276" w:lineRule="auto"/>
        <w:ind w:firstLine="720"/>
      </w:pPr>
      <w:r w:rsidRPr="00CB0B13">
        <w:rPr>
          <w:highlight w:val="yellow"/>
        </w:rPr>
        <w:t>The Translation Committee includes members from the four field centers</w:t>
      </w:r>
      <w:r w:rsidRPr="00CB0B13">
        <w:rPr>
          <w:color w:val="000000"/>
          <w:szCs w:val="24"/>
          <w:highlight w:val="yellow"/>
        </w:rPr>
        <w:t>, the coordinating center</w:t>
      </w:r>
      <w:r w:rsidRPr="00CB0B13">
        <w:rPr>
          <w:highlight w:val="yellow"/>
        </w:rPr>
        <w:t xml:space="preserve"> </w:t>
      </w:r>
      <w:r w:rsidRPr="00CB0B13">
        <w:rPr>
          <w:color w:val="000000"/>
          <w:szCs w:val="24"/>
          <w:highlight w:val="yellow"/>
        </w:rPr>
        <w:t xml:space="preserve">and the project office who are bilingual and native Spanish speakers and represent most of the countries represented in the cohort. They </w:t>
      </w:r>
      <w:r w:rsidRPr="00CB0B13">
        <w:rPr>
          <w:highlight w:val="yellow"/>
        </w:rPr>
        <w:t xml:space="preserve">reviewed all the instruments and evaluated the reading level, the quality of the translations (grammatical quality and use of terms that are understood by Hispanics/Latinos of a diversity of origins), and the cultural relevance and appropriateness of the questions. This process of evaluation was not limited to existent versions in Spanish or translations done for the study. The English versions were evaluated as well. During this process, the committee identified some phrases or words that could have different interpretations or that needed some modification of their reading level. Hence, alternate definitions or idiomatic expressions have been incorporated into the interviews when appropriate. These are known as </w:t>
      </w:r>
      <w:r w:rsidRPr="00CB0B13">
        <w:rPr>
          <w:b/>
          <w:highlight w:val="yellow"/>
        </w:rPr>
        <w:t>Question by Question instructions</w:t>
      </w:r>
      <w:r w:rsidRPr="00CB0B13">
        <w:rPr>
          <w:highlight w:val="yellow"/>
        </w:rPr>
        <w:t xml:space="preserve"> or “</w:t>
      </w:r>
      <w:proofErr w:type="spellStart"/>
      <w:r w:rsidRPr="00CB0B13">
        <w:rPr>
          <w:b/>
          <w:highlight w:val="yellow"/>
        </w:rPr>
        <w:t>QxQs</w:t>
      </w:r>
      <w:proofErr w:type="spellEnd"/>
      <w:r w:rsidRPr="00CB0B13">
        <w:rPr>
          <w:highlight w:val="yellow"/>
        </w:rPr>
        <w:t>”. If a participant does not understand the meaning of a term, the interviewer will be able to view a help screen with the definitions or alternative term.  In consultation with our medical investigators, medical terms need to remain in the questionnaires with appropriate explanations to the interviewers and participants</w:t>
      </w:r>
      <w:r w:rsidR="00C05054" w:rsidRPr="00CB0B13">
        <w:rPr>
          <w:highlight w:val="yellow"/>
        </w:rPr>
        <w:t xml:space="preserve"> [Appendix </w:t>
      </w:r>
      <w:r w:rsidR="00844769">
        <w:rPr>
          <w:highlight w:val="yellow"/>
        </w:rPr>
        <w:t>19</w:t>
      </w:r>
      <w:r w:rsidR="00C05054" w:rsidRPr="00CB0B13">
        <w:rPr>
          <w:highlight w:val="yellow"/>
        </w:rPr>
        <w:t xml:space="preserve"> - Example of </w:t>
      </w:r>
      <w:proofErr w:type="spellStart"/>
      <w:r w:rsidR="00C05054" w:rsidRPr="00CB0B13">
        <w:rPr>
          <w:highlight w:val="yellow"/>
        </w:rPr>
        <w:t>QxQ</w:t>
      </w:r>
      <w:proofErr w:type="spellEnd"/>
      <w:r w:rsidR="00C05054">
        <w:t xml:space="preserve">]. </w:t>
      </w:r>
    </w:p>
    <w:p w14:paraId="05A2223B" w14:textId="77777777" w:rsidR="002A12C9" w:rsidRDefault="002A12C9" w:rsidP="002A12C9">
      <w:pPr>
        <w:spacing w:line="276" w:lineRule="auto"/>
        <w:ind w:firstLine="720"/>
      </w:pPr>
    </w:p>
    <w:p w14:paraId="50E9C99F" w14:textId="77777777" w:rsidR="002A12C9" w:rsidRPr="00D53105" w:rsidRDefault="002A12C9" w:rsidP="00A070D9">
      <w:pPr>
        <w:rPr>
          <w:rFonts w:cs="Arial"/>
          <w:szCs w:val="22"/>
        </w:rPr>
      </w:pPr>
    </w:p>
    <w:p w14:paraId="2BBD8A95" w14:textId="77777777" w:rsidR="001E7A06" w:rsidRPr="00341948" w:rsidRDefault="001E7A06" w:rsidP="00B914B8">
      <w:pPr>
        <w:spacing w:line="480" w:lineRule="auto"/>
        <w:jc w:val="center"/>
        <w:rPr>
          <w:b/>
          <w:lang w:val="fr-CA"/>
        </w:rPr>
      </w:pPr>
      <w:r w:rsidRPr="00341948">
        <w:rPr>
          <w:b/>
          <w:lang w:val="fr-CA"/>
        </w:rPr>
        <w:t xml:space="preserve">B.2.b. </w:t>
      </w:r>
      <w:proofErr w:type="spellStart"/>
      <w:r w:rsidRPr="00341948">
        <w:rPr>
          <w:b/>
          <w:lang w:val="fr-CA"/>
        </w:rPr>
        <w:t>C</w:t>
      </w:r>
      <w:r w:rsidR="00D62A2C" w:rsidRPr="00341948">
        <w:rPr>
          <w:b/>
          <w:lang w:val="fr-CA"/>
        </w:rPr>
        <w:t>ohort</w:t>
      </w:r>
      <w:proofErr w:type="spellEnd"/>
      <w:r w:rsidRPr="00341948">
        <w:rPr>
          <w:b/>
          <w:lang w:val="fr-CA"/>
        </w:rPr>
        <w:t xml:space="preserve"> Surveillance Component Design</w:t>
      </w:r>
    </w:p>
    <w:p w14:paraId="217A45DB" w14:textId="54FFB50E" w:rsidR="00B22FA5" w:rsidRDefault="00B22FA5"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r>
        <w:t xml:space="preserve">The Study identifies, abstracts, reviews, and validates cardiovascular and </w:t>
      </w:r>
      <w:r w:rsidR="00D62A2C">
        <w:t>pulmonary</w:t>
      </w:r>
      <w:r>
        <w:t xml:space="preserve"> events (requiring emergency room visit or hospitalization, or based on death information) which </w:t>
      </w:r>
      <w:r>
        <w:lastRenderedPageBreak/>
        <w:t>occur in the interim between the baseline exam and each subsequent annual follow-up</w:t>
      </w:r>
      <w:r w:rsidR="00D62A2C">
        <w:t xml:space="preserve"> telephone call</w:t>
      </w:r>
      <w:r>
        <w:t xml:space="preserve">.  Cardiovascular events include </w:t>
      </w:r>
      <w:r w:rsidR="003B61F8">
        <w:t xml:space="preserve">fatal and non-fatal </w:t>
      </w:r>
      <w:r>
        <w:t xml:space="preserve">myocardial infarction, </w:t>
      </w:r>
      <w:r w:rsidR="00D62A2C">
        <w:t xml:space="preserve">sudden cardiac death, </w:t>
      </w:r>
      <w:r w:rsidR="003B61F8">
        <w:t xml:space="preserve">fatal and non-fatal </w:t>
      </w:r>
      <w:r>
        <w:t>stroke</w:t>
      </w:r>
      <w:r w:rsidR="003B61F8">
        <w:t>,</w:t>
      </w:r>
      <w:r>
        <w:t xml:space="preserve"> and </w:t>
      </w:r>
      <w:r w:rsidR="003B61F8">
        <w:t xml:space="preserve">fatal and non-fatal </w:t>
      </w:r>
      <w:r>
        <w:t xml:space="preserve">heart failure.  </w:t>
      </w:r>
      <w:r w:rsidR="00D62A2C">
        <w:t>Pulmonary</w:t>
      </w:r>
      <w:r>
        <w:t xml:space="preserve"> events include </w:t>
      </w:r>
      <w:r w:rsidR="003213C4">
        <w:t xml:space="preserve">exacerbation of </w:t>
      </w:r>
      <w:r>
        <w:t>chronic obstructive lung disease and asthma.</w:t>
      </w:r>
      <w:r w:rsidR="003B61F8">
        <w:t xml:space="preserve"> All-cause mortality has also been one of main end</w:t>
      </w:r>
      <w:r w:rsidR="00B914B8">
        <w:t xml:space="preserve">points of the surveillance. </w:t>
      </w:r>
      <w:r w:rsidR="00B914B8" w:rsidRPr="00CB0B13">
        <w:rPr>
          <w:highlight w:val="yellow"/>
        </w:rPr>
        <w:t>Pre</w:t>
      </w:r>
      <w:r w:rsidR="003B61F8" w:rsidRPr="00CB0B13">
        <w:rPr>
          <w:highlight w:val="yellow"/>
        </w:rPr>
        <w:t xml:space="preserve">eclampsia, </w:t>
      </w:r>
      <w:proofErr w:type="spellStart"/>
      <w:r w:rsidR="003B61F8" w:rsidRPr="00CB0B13">
        <w:rPr>
          <w:highlight w:val="yellow"/>
        </w:rPr>
        <w:t>eclampsia</w:t>
      </w:r>
      <w:proofErr w:type="spellEnd"/>
      <w:r w:rsidR="003B61F8" w:rsidRPr="00CB0B13">
        <w:rPr>
          <w:highlight w:val="yellow"/>
        </w:rPr>
        <w:t xml:space="preserve"> and gestational diabetes mellitus are new endpoints that will be ascertained during the proposed study period.</w:t>
      </w:r>
      <w:r w:rsidR="003B61F8">
        <w:t xml:space="preserve"> </w:t>
      </w:r>
      <w:r>
        <w:t xml:space="preserve"> In more detail, we do the following:</w:t>
      </w:r>
    </w:p>
    <w:p w14:paraId="36508931" w14:textId="77777777" w:rsidR="00505037" w:rsidRDefault="00505037" w:rsidP="00B914B8">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pPr>
    </w:p>
    <w:p w14:paraId="46CD975A" w14:textId="7E2A7440" w:rsidR="00844EE7" w:rsidRDefault="00B22FA5" w:rsidP="00505037">
      <w:pPr>
        <w:pStyle w:val="BodyTextIndent"/>
        <w:widowControl/>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Identify </w:t>
      </w:r>
      <w:r w:rsidR="005C0500">
        <w:t xml:space="preserve">potential </w:t>
      </w:r>
      <w:r>
        <w:t xml:space="preserve">events from the </w:t>
      </w:r>
      <w:r w:rsidR="00505037">
        <w:t>AFU</w:t>
      </w:r>
      <w:r>
        <w:t xml:space="preserve"> </w:t>
      </w:r>
      <w:r w:rsidR="00D62A2C">
        <w:t>telephone call</w:t>
      </w:r>
      <w:r>
        <w:t xml:space="preserve"> which provide </w:t>
      </w:r>
      <w:r w:rsidR="00D62A2C">
        <w:t>information</w:t>
      </w:r>
      <w:r>
        <w:t xml:space="preserve"> that a hospitalization or ER visit took place and the reason for the visit.</w:t>
      </w:r>
      <w:r w:rsidR="00505037">
        <w:t xml:space="preserve"> Similarly, identify deaths from information obtained at the AFU telephone call and from a review of the vital statistics lists and obituaries from the state in which the community is located. The Coordinating Center (or Field Center if required for confidentiality) is responsible for conducting a match to the National Death Index periodically.</w:t>
      </w:r>
    </w:p>
    <w:p w14:paraId="77908425" w14:textId="77777777" w:rsidR="00505037" w:rsidRDefault="00505037" w:rsidP="00505037">
      <w:pPr>
        <w:pStyle w:val="BodyTextInden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pPr>
    </w:p>
    <w:p w14:paraId="58344038" w14:textId="140F0E64" w:rsidR="00B22FA5" w:rsidRDefault="005C0500" w:rsidP="00505037">
      <w:pPr>
        <w:pStyle w:val="BodyTextIndent"/>
        <w:widowControl/>
        <w:numPr>
          <w:ilvl w:val="0"/>
          <w:numId w:val="16"/>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Request and obtain medical records of relevant events, a</w:t>
      </w:r>
      <w:r w:rsidR="00B22FA5">
        <w:t xml:space="preserve">bstract </w:t>
      </w:r>
      <w:r w:rsidR="002776AA">
        <w:t xml:space="preserve">necessary </w:t>
      </w:r>
      <w:r w:rsidR="00B22FA5">
        <w:t xml:space="preserve">information </w:t>
      </w:r>
      <w:r w:rsidR="002776AA">
        <w:t xml:space="preserve">to validate the diagnoses, and </w:t>
      </w:r>
      <w:r w:rsidR="00B22FA5">
        <w:t>enter</w:t>
      </w:r>
      <w:r>
        <w:t xml:space="preserve"> it </w:t>
      </w:r>
      <w:r w:rsidR="00B22FA5">
        <w:t>into the study database.</w:t>
      </w:r>
    </w:p>
    <w:p w14:paraId="140E9E7E" w14:textId="77777777" w:rsidR="00505037" w:rsidRDefault="00505037" w:rsidP="00505037">
      <w:pPr>
        <w:pStyle w:val="ListParagraph"/>
      </w:pPr>
    </w:p>
    <w:p w14:paraId="61591274" w14:textId="20A7BBEA" w:rsidR="00505037" w:rsidRDefault="00505037" w:rsidP="00505037">
      <w:pPr>
        <w:pStyle w:val="BodyTextIndent"/>
        <w:widowControl/>
        <w:numPr>
          <w:ilvl w:val="0"/>
          <w:numId w:val="16"/>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Review the abstracted information and validate the diagnoses using trained and certified clinicians designated from each Field Center (a morbidity and mortality classification committee).</w:t>
      </w:r>
    </w:p>
    <w:p w14:paraId="14FB580D" w14:textId="77777777" w:rsidR="002776AA" w:rsidRDefault="002776AA" w:rsidP="002776AA">
      <w:pPr>
        <w:pStyle w:val="ListParagraph"/>
      </w:pPr>
    </w:p>
    <w:p w14:paraId="5DE0D294" w14:textId="11F8587A" w:rsidR="002776AA" w:rsidRDefault="002776AA" w:rsidP="00505037">
      <w:pPr>
        <w:pStyle w:val="BodyTextIndent"/>
        <w:widowControl/>
        <w:numPr>
          <w:ilvl w:val="0"/>
          <w:numId w:val="16"/>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 xml:space="preserve">Tabulate cause of death by obtaining, abstracting, and reviewing all relevant information from death certificates. This information will be confirmed by the next-of-kin, coroner, participant’s primary physician, </w:t>
      </w:r>
      <w:proofErr w:type="gramStart"/>
      <w:r>
        <w:t>nursing</w:t>
      </w:r>
      <w:proofErr w:type="gramEnd"/>
      <w:r>
        <w:t xml:space="preserve"> home and hospital records.</w:t>
      </w:r>
    </w:p>
    <w:p w14:paraId="46EB3131" w14:textId="77777777" w:rsidR="005C0500" w:rsidRDefault="005C0500" w:rsidP="005C0500">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676A73F5" w14:textId="77777777" w:rsidR="00844EE7" w:rsidRDefault="00844EE7" w:rsidP="00844EE7">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70B8CC3B" w14:textId="4C63A80C" w:rsidR="00E06211" w:rsidRPr="007C4F7A" w:rsidRDefault="001E7A06" w:rsidP="007C4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rPr>
      </w:pPr>
      <w:r w:rsidRPr="007C4F7A">
        <w:rPr>
          <w:b/>
        </w:rPr>
        <w:t xml:space="preserve">B.3. Methods to Maximize </w:t>
      </w:r>
      <w:r w:rsidR="001D076D" w:rsidRPr="007C4F7A">
        <w:rPr>
          <w:b/>
        </w:rPr>
        <w:t xml:space="preserve">Retention </w:t>
      </w:r>
      <w:r w:rsidRPr="007C4F7A">
        <w:rPr>
          <w:b/>
        </w:rPr>
        <w:t xml:space="preserve">Rates and </w:t>
      </w:r>
      <w:r w:rsidR="0030133C" w:rsidRPr="007C4F7A">
        <w:rPr>
          <w:b/>
        </w:rPr>
        <w:t>Address</w:t>
      </w:r>
      <w:r w:rsidRPr="007C4F7A">
        <w:rPr>
          <w:b/>
        </w:rPr>
        <w:t xml:space="preserve"> </w:t>
      </w:r>
      <w:r w:rsidR="0030133C" w:rsidRPr="007C4F7A">
        <w:rPr>
          <w:b/>
        </w:rPr>
        <w:t>Low Retention</w:t>
      </w:r>
    </w:p>
    <w:p w14:paraId="7C7FD968" w14:textId="2632C534" w:rsidR="00E06211" w:rsidRPr="007C4F7A" w:rsidRDefault="00E06211" w:rsidP="007C4F7A">
      <w:pPr>
        <w:spacing w:line="276" w:lineRule="auto"/>
        <w:jc w:val="center"/>
        <w:rPr>
          <w:rFonts w:ascii="Times New (W1)" w:hAnsi="Times New (W1)"/>
          <w:b/>
        </w:rPr>
      </w:pPr>
      <w:r w:rsidRPr="007C4F7A">
        <w:rPr>
          <w:rFonts w:ascii="Times New (W1)" w:hAnsi="Times New (W1)"/>
          <w:b/>
        </w:rPr>
        <w:t xml:space="preserve">B.3.a </w:t>
      </w:r>
      <w:r w:rsidR="001D076D" w:rsidRPr="007C4F7A">
        <w:rPr>
          <w:rFonts w:ascii="Times New (W1)" w:hAnsi="Times New (W1)"/>
          <w:b/>
        </w:rPr>
        <w:t xml:space="preserve">Retention </w:t>
      </w:r>
      <w:r w:rsidRPr="007C4F7A">
        <w:rPr>
          <w:rFonts w:ascii="Times New (W1)" w:hAnsi="Times New (W1)"/>
          <w:b/>
        </w:rPr>
        <w:t>Rates</w:t>
      </w:r>
    </w:p>
    <w:p w14:paraId="4FC4733A" w14:textId="77777777" w:rsidR="00E06211" w:rsidRPr="005A15C3" w:rsidRDefault="00E06211" w:rsidP="00E06211">
      <w:pPr>
        <w:rPr>
          <w:rFonts w:ascii="Times New (W1)" w:hAnsi="Times New (W1)"/>
          <w:u w:val="single"/>
        </w:rPr>
      </w:pPr>
    </w:p>
    <w:p w14:paraId="060AFF1B" w14:textId="7DA59506" w:rsidR="00701277" w:rsidRPr="00701277" w:rsidRDefault="00701277" w:rsidP="00562C19">
      <w:pPr>
        <w:spacing w:line="276" w:lineRule="auto"/>
        <w:ind w:firstLine="720"/>
      </w:pPr>
      <w:r w:rsidRPr="00701277">
        <w:rPr>
          <w:szCs w:val="24"/>
        </w:rPr>
        <w:t>HCHS/SOL study employed a probability sampling design. A stratified two-stage area probability sample of household addresses was selected from subjectively designated Hispanic neighborhoods defined by the set of census tracts serving as the sampling target population in each of the four field centers. After households were randomly selected, in-person visits and/or telephone contacts were made to screen eligible households and to roster its members. The household-level response rate was 33.5%. Of 39</w:t>
      </w:r>
      <w:r w:rsidR="00562C19">
        <w:rPr>
          <w:szCs w:val="24"/>
        </w:rPr>
        <w:t>,</w:t>
      </w:r>
      <w:r w:rsidRPr="00701277">
        <w:rPr>
          <w:szCs w:val="24"/>
        </w:rPr>
        <w:t xml:space="preserve"> 384 individuals who were selected, screened and met eligibility criteria, 41.7% were enrolled, representing 16 415 persons from 9872 households. Even though the response rate </w:t>
      </w:r>
      <w:r>
        <w:rPr>
          <w:szCs w:val="24"/>
        </w:rPr>
        <w:t xml:space="preserve">for the baseline examination </w:t>
      </w:r>
      <w:r w:rsidR="00562C19">
        <w:rPr>
          <w:szCs w:val="24"/>
        </w:rPr>
        <w:t>was</w:t>
      </w:r>
      <w:r w:rsidRPr="00701277">
        <w:rPr>
          <w:szCs w:val="24"/>
        </w:rPr>
        <w:t xml:space="preserve"> low, a widely accepted statistical adjustment protocol was followed to reduce the potential bias of estimates due to study non-participation. To minimize this bias effect while controlling the precision loss implications of adjustment, the sample weight of each participant was: (1) calculated based on its selection probability; (2) adjusted for differential non-response at the household and person levels, and trimmed to reduce the variability of the adjusted weights; and (3) calibrated to the 2010 Census count by age, gender, and Hispanic background in each field center’s target </w:t>
      </w:r>
      <w:r w:rsidRPr="00701277">
        <w:rPr>
          <w:szCs w:val="24"/>
        </w:rPr>
        <w:lastRenderedPageBreak/>
        <w:t>population. This three-step approach to calculate sample weights is consistent with weighting strategies used in all major health surveys utilizing probability sampling (</w:t>
      </w:r>
      <w:r w:rsidR="00562C19">
        <w:rPr>
          <w:szCs w:val="24"/>
        </w:rPr>
        <w:t xml:space="preserve">e.g., NHANES, NHIS, and MEPS). </w:t>
      </w:r>
      <w:r w:rsidRPr="00701277">
        <w:rPr>
          <w:szCs w:val="24"/>
        </w:rPr>
        <w:t>Thus, as with other comparable population-based sample, to address the potential bias in the respondent sample, sample weights should be used in the analysis</w:t>
      </w:r>
      <w:r>
        <w:rPr>
          <w:szCs w:val="24"/>
        </w:rPr>
        <w:t xml:space="preserve"> of this data</w:t>
      </w:r>
      <w:r w:rsidRPr="00701277">
        <w:rPr>
          <w:szCs w:val="24"/>
        </w:rPr>
        <w:t>.</w:t>
      </w:r>
    </w:p>
    <w:p w14:paraId="5E51F055" w14:textId="77777777" w:rsidR="00B91867" w:rsidRDefault="00B91867" w:rsidP="00E06211">
      <w:pPr>
        <w:spacing w:line="480" w:lineRule="auto"/>
        <w:rPr>
          <w:rFonts w:ascii="Times New (W1)" w:hAnsi="Times New (W1)"/>
          <w:u w:val="single"/>
        </w:rPr>
      </w:pPr>
    </w:p>
    <w:p w14:paraId="1A50F894" w14:textId="379BA310" w:rsidR="00E06211" w:rsidRPr="00562C19" w:rsidRDefault="00E06211" w:rsidP="00562C19">
      <w:pPr>
        <w:spacing w:line="480" w:lineRule="auto"/>
        <w:jc w:val="center"/>
        <w:rPr>
          <w:rFonts w:ascii="Times New (W1)" w:hAnsi="Times New (W1)"/>
          <w:b/>
        </w:rPr>
      </w:pPr>
      <w:r w:rsidRPr="00562C19">
        <w:rPr>
          <w:rFonts w:ascii="Times New (W1)" w:hAnsi="Times New (W1)"/>
          <w:b/>
        </w:rPr>
        <w:t xml:space="preserve">B.3.b. Methods to Maximize </w:t>
      </w:r>
      <w:r w:rsidR="001D076D" w:rsidRPr="00562C19">
        <w:rPr>
          <w:rFonts w:ascii="Times New (W1)" w:hAnsi="Times New (W1)"/>
          <w:b/>
        </w:rPr>
        <w:t>Retention</w:t>
      </w:r>
    </w:p>
    <w:p w14:paraId="4A9DA761" w14:textId="6AC53A19" w:rsidR="008F513C" w:rsidRPr="00CB0B13" w:rsidRDefault="00382162" w:rsidP="00562C19">
      <w:pPr>
        <w:pStyle w:val="Heading3"/>
        <w:spacing w:line="276" w:lineRule="auto"/>
        <w:ind w:firstLine="0"/>
        <w:rPr>
          <w:highlight w:val="yellow"/>
          <w:u w:val="none"/>
        </w:rPr>
      </w:pPr>
      <w:r>
        <w:rPr>
          <w:u w:val="none"/>
        </w:rPr>
        <w:tab/>
      </w:r>
      <w:r w:rsidR="00B56DD5" w:rsidRPr="00CB0B13">
        <w:rPr>
          <w:highlight w:val="yellow"/>
          <w:u w:val="none"/>
        </w:rPr>
        <w:t>A</w:t>
      </w:r>
      <w:bookmarkStart w:id="4" w:name="_Toc161026411"/>
      <w:r w:rsidR="00C541DB" w:rsidRPr="00CB0B13">
        <w:rPr>
          <w:highlight w:val="yellow"/>
          <w:u w:val="none"/>
        </w:rPr>
        <w:t xml:space="preserve"> </w:t>
      </w:r>
      <w:r w:rsidR="00D92294" w:rsidRPr="00CB0B13">
        <w:rPr>
          <w:highlight w:val="yellow"/>
          <w:u w:val="none"/>
        </w:rPr>
        <w:t xml:space="preserve">Cohort Retention Committee </w:t>
      </w:r>
      <w:r w:rsidR="00B56DD5" w:rsidRPr="00CB0B13">
        <w:rPr>
          <w:highlight w:val="yellow"/>
          <w:u w:val="none"/>
        </w:rPr>
        <w:t xml:space="preserve">was created during the previous study period to assist in the </w:t>
      </w:r>
      <w:bookmarkEnd w:id="4"/>
      <w:r w:rsidR="008F513C" w:rsidRPr="00CB0B13">
        <w:rPr>
          <w:highlight w:val="yellow"/>
          <w:u w:val="none"/>
        </w:rPr>
        <w:t xml:space="preserve">development and implementation of a strategic plan to </w:t>
      </w:r>
      <w:r w:rsidR="00B56DD5" w:rsidRPr="00CB0B13">
        <w:rPr>
          <w:highlight w:val="yellow"/>
          <w:u w:val="none"/>
        </w:rPr>
        <w:t xml:space="preserve">stay in touch with participants, </w:t>
      </w:r>
      <w:r w:rsidR="001D076D" w:rsidRPr="00CB0B13">
        <w:rPr>
          <w:highlight w:val="yellow"/>
          <w:u w:val="none"/>
        </w:rPr>
        <w:t xml:space="preserve">learn of their vital status, </w:t>
      </w:r>
      <w:r w:rsidR="00B56DD5" w:rsidRPr="00CB0B13">
        <w:rPr>
          <w:highlight w:val="yellow"/>
          <w:u w:val="none"/>
        </w:rPr>
        <w:t>engage them in completing the AFU interview</w:t>
      </w:r>
      <w:r w:rsidR="001D076D" w:rsidRPr="00CB0B13">
        <w:rPr>
          <w:highlight w:val="yellow"/>
          <w:u w:val="none"/>
        </w:rPr>
        <w:t>, and track AFU interview completion</w:t>
      </w:r>
      <w:r w:rsidR="00B56DD5" w:rsidRPr="00CB0B13">
        <w:rPr>
          <w:highlight w:val="yellow"/>
          <w:u w:val="none"/>
        </w:rPr>
        <w:t xml:space="preserve">. This committee is also developing a call back plan and strategies to </w:t>
      </w:r>
      <w:r w:rsidR="00D92294" w:rsidRPr="00CB0B13">
        <w:rPr>
          <w:highlight w:val="yellow"/>
          <w:u w:val="none"/>
        </w:rPr>
        <w:t xml:space="preserve">engage participants in attending the Visit 2 examination, informing them of baseline </w:t>
      </w:r>
      <w:r w:rsidR="002776AA" w:rsidRPr="00CB0B13">
        <w:rPr>
          <w:highlight w:val="yellow"/>
          <w:u w:val="none"/>
        </w:rPr>
        <w:t>findings</w:t>
      </w:r>
      <w:r w:rsidR="00D92294" w:rsidRPr="00CB0B13">
        <w:rPr>
          <w:highlight w:val="yellow"/>
          <w:u w:val="none"/>
        </w:rPr>
        <w:t xml:space="preserve"> </w:t>
      </w:r>
      <w:r w:rsidR="00B56DD5" w:rsidRPr="00CB0B13">
        <w:rPr>
          <w:highlight w:val="yellow"/>
          <w:u w:val="none"/>
        </w:rPr>
        <w:t xml:space="preserve">(via a Participant Booklet, Appendix </w:t>
      </w:r>
      <w:r w:rsidR="00F642CC">
        <w:rPr>
          <w:highlight w:val="yellow"/>
          <w:u w:val="none"/>
        </w:rPr>
        <w:t>17</w:t>
      </w:r>
      <w:r w:rsidR="00B56DD5" w:rsidRPr="00CB0B13">
        <w:rPr>
          <w:highlight w:val="yellow"/>
          <w:u w:val="none"/>
        </w:rPr>
        <w:t xml:space="preserve">] </w:t>
      </w:r>
      <w:r w:rsidR="00D92294" w:rsidRPr="00CB0B13">
        <w:rPr>
          <w:highlight w:val="yellow"/>
          <w:u w:val="none"/>
        </w:rPr>
        <w:t xml:space="preserve">and publications </w:t>
      </w:r>
      <w:r w:rsidR="00B56DD5" w:rsidRPr="00CB0B13">
        <w:rPr>
          <w:highlight w:val="yellow"/>
          <w:u w:val="none"/>
        </w:rPr>
        <w:t xml:space="preserve">(via </w:t>
      </w:r>
      <w:r w:rsidR="00562C19" w:rsidRPr="00CB0B13">
        <w:rPr>
          <w:highlight w:val="yellow"/>
          <w:u w:val="none"/>
        </w:rPr>
        <w:t>f</w:t>
      </w:r>
      <w:r w:rsidR="00B56DD5" w:rsidRPr="00CB0B13">
        <w:rPr>
          <w:highlight w:val="yellow"/>
          <w:u w:val="none"/>
        </w:rPr>
        <w:t xml:space="preserve">act sheets, </w:t>
      </w:r>
      <w:r w:rsidR="00562C19" w:rsidRPr="00CB0B13">
        <w:rPr>
          <w:highlight w:val="yellow"/>
          <w:u w:val="none"/>
        </w:rPr>
        <w:t xml:space="preserve">example included in </w:t>
      </w:r>
      <w:r w:rsidR="00B56DD5" w:rsidRPr="00CB0B13">
        <w:rPr>
          <w:highlight w:val="yellow"/>
          <w:u w:val="none"/>
        </w:rPr>
        <w:t xml:space="preserve">Appendix  </w:t>
      </w:r>
      <w:r w:rsidR="00F642CC">
        <w:rPr>
          <w:highlight w:val="yellow"/>
          <w:u w:val="none"/>
        </w:rPr>
        <w:t>17</w:t>
      </w:r>
      <w:r w:rsidR="00B56DD5" w:rsidRPr="00CB0B13">
        <w:rPr>
          <w:highlight w:val="yellow"/>
          <w:u w:val="none"/>
        </w:rPr>
        <w:t xml:space="preserve">] </w:t>
      </w:r>
      <w:r w:rsidR="00D92294" w:rsidRPr="00CB0B13">
        <w:rPr>
          <w:highlight w:val="yellow"/>
          <w:u w:val="none"/>
        </w:rPr>
        <w:t>and what those findings mean to the Hispanic community</w:t>
      </w:r>
      <w:r w:rsidR="00B56DD5" w:rsidRPr="00CB0B13">
        <w:rPr>
          <w:highlight w:val="yellow"/>
          <w:u w:val="none"/>
        </w:rPr>
        <w:t xml:space="preserve">. </w:t>
      </w:r>
      <w:r w:rsidR="001D076D" w:rsidRPr="00CB0B13">
        <w:rPr>
          <w:highlight w:val="yellow"/>
          <w:u w:val="none"/>
        </w:rPr>
        <w:t xml:space="preserve">A Community Relations Committee was </w:t>
      </w:r>
      <w:r w:rsidR="002776AA" w:rsidRPr="00CB0B13">
        <w:rPr>
          <w:highlight w:val="yellow"/>
          <w:u w:val="none"/>
        </w:rPr>
        <w:t xml:space="preserve">also </w:t>
      </w:r>
      <w:r w:rsidR="001D076D" w:rsidRPr="00CB0B13">
        <w:rPr>
          <w:highlight w:val="yellow"/>
          <w:u w:val="none"/>
        </w:rPr>
        <w:t xml:space="preserve">created during the previous study period, </w:t>
      </w:r>
      <w:r w:rsidR="002776AA" w:rsidRPr="00CB0B13">
        <w:rPr>
          <w:highlight w:val="yellow"/>
          <w:u w:val="none"/>
        </w:rPr>
        <w:t>which</w:t>
      </w:r>
      <w:r w:rsidR="001D076D" w:rsidRPr="00CB0B13">
        <w:rPr>
          <w:highlight w:val="yellow"/>
          <w:u w:val="none"/>
        </w:rPr>
        <w:t xml:space="preserve"> will </w:t>
      </w:r>
      <w:r w:rsidR="002776AA" w:rsidRPr="00CB0B13">
        <w:rPr>
          <w:highlight w:val="yellow"/>
          <w:u w:val="none"/>
        </w:rPr>
        <w:t xml:space="preserve">develop </w:t>
      </w:r>
      <w:r w:rsidR="001D076D" w:rsidRPr="00CB0B13">
        <w:rPr>
          <w:highlight w:val="yellow"/>
          <w:u w:val="none"/>
        </w:rPr>
        <w:t>plans to disseminate study findings to</w:t>
      </w:r>
      <w:r w:rsidR="00D92294" w:rsidRPr="00CB0B13">
        <w:rPr>
          <w:highlight w:val="yellow"/>
          <w:u w:val="none"/>
        </w:rPr>
        <w:t xml:space="preserve"> the local communities and </w:t>
      </w:r>
      <w:r w:rsidR="002776AA" w:rsidRPr="00CB0B13">
        <w:rPr>
          <w:highlight w:val="yellow"/>
          <w:u w:val="none"/>
        </w:rPr>
        <w:t xml:space="preserve">inform </w:t>
      </w:r>
      <w:r w:rsidR="00D92294" w:rsidRPr="00CB0B13">
        <w:rPr>
          <w:highlight w:val="yellow"/>
          <w:u w:val="none"/>
        </w:rPr>
        <w:t>t</w:t>
      </w:r>
      <w:r w:rsidR="002902D8" w:rsidRPr="00CB0B13">
        <w:rPr>
          <w:highlight w:val="yellow"/>
          <w:u w:val="none"/>
        </w:rPr>
        <w:t>he Hispanic community at l</w:t>
      </w:r>
      <w:r w:rsidR="002776AA" w:rsidRPr="00CB0B13">
        <w:rPr>
          <w:highlight w:val="yellow"/>
          <w:u w:val="none"/>
        </w:rPr>
        <w:t>arge of the study activities,</w:t>
      </w:r>
      <w:r w:rsidR="002902D8" w:rsidRPr="00CB0B13">
        <w:rPr>
          <w:highlight w:val="yellow"/>
          <w:u w:val="none"/>
        </w:rPr>
        <w:t xml:space="preserve"> progress and publications.</w:t>
      </w:r>
      <w:r w:rsidR="008F513C" w:rsidRPr="00CB0B13">
        <w:rPr>
          <w:highlight w:val="yellow"/>
          <w:u w:val="none"/>
        </w:rPr>
        <w:t xml:space="preserve"> The</w:t>
      </w:r>
      <w:r w:rsidR="002902D8" w:rsidRPr="00CB0B13">
        <w:rPr>
          <w:highlight w:val="yellow"/>
          <w:u w:val="none"/>
        </w:rPr>
        <w:t xml:space="preserve"> Community Relations Committee </w:t>
      </w:r>
      <w:r w:rsidR="008F513C" w:rsidRPr="00CB0B13">
        <w:rPr>
          <w:highlight w:val="yellow"/>
          <w:u w:val="none"/>
        </w:rPr>
        <w:t xml:space="preserve">activities </w:t>
      </w:r>
      <w:r w:rsidR="002902D8" w:rsidRPr="00CB0B13">
        <w:rPr>
          <w:highlight w:val="yellow"/>
          <w:u w:val="none"/>
        </w:rPr>
        <w:t xml:space="preserve">may </w:t>
      </w:r>
      <w:r w:rsidR="008F513C" w:rsidRPr="00CB0B13">
        <w:rPr>
          <w:highlight w:val="yellow"/>
          <w:u w:val="none"/>
        </w:rPr>
        <w:t>include making brief presentations about the project to community block clubs, local churche</w:t>
      </w:r>
      <w:r w:rsidR="002776AA" w:rsidRPr="00CB0B13">
        <w:rPr>
          <w:highlight w:val="yellow"/>
          <w:u w:val="none"/>
        </w:rPr>
        <w:t>s</w:t>
      </w:r>
      <w:r w:rsidR="002902D8" w:rsidRPr="00CB0B13">
        <w:rPr>
          <w:highlight w:val="yellow"/>
          <w:u w:val="none"/>
        </w:rPr>
        <w:t>,</w:t>
      </w:r>
      <w:r w:rsidR="008F513C" w:rsidRPr="00CB0B13">
        <w:rPr>
          <w:highlight w:val="yellow"/>
          <w:u w:val="none"/>
        </w:rPr>
        <w:t xml:space="preserve"> </w:t>
      </w:r>
      <w:r w:rsidR="002776AA" w:rsidRPr="00CB0B13">
        <w:rPr>
          <w:highlight w:val="yellow"/>
          <w:u w:val="none"/>
        </w:rPr>
        <w:t xml:space="preserve">and </w:t>
      </w:r>
      <w:r w:rsidR="008F513C" w:rsidRPr="00CB0B13">
        <w:rPr>
          <w:highlight w:val="yellow"/>
          <w:u w:val="none"/>
        </w:rPr>
        <w:t>community-based organizations, among other strategies.</w:t>
      </w:r>
    </w:p>
    <w:p w14:paraId="1D2B0EC1" w14:textId="77777777" w:rsidR="002B707B" w:rsidRPr="00CB0B13" w:rsidRDefault="002B707B" w:rsidP="002B707B">
      <w:pPr>
        <w:rPr>
          <w:color w:val="800080"/>
          <w:highlight w:val="yellow"/>
        </w:rPr>
      </w:pPr>
    </w:p>
    <w:p w14:paraId="7CFFD3B4" w14:textId="6A87A5C5" w:rsidR="001E14C1" w:rsidRPr="00CB0B13" w:rsidRDefault="001E14C1" w:rsidP="00562C19">
      <w:pPr>
        <w:spacing w:line="276" w:lineRule="auto"/>
        <w:ind w:firstLine="720"/>
        <w:rPr>
          <w:rFonts w:ascii="Times New (W1)" w:hAnsi="Times New (W1)" w:cs="Arial"/>
          <w:szCs w:val="24"/>
          <w:highlight w:val="yellow"/>
        </w:rPr>
      </w:pPr>
      <w:r w:rsidRPr="00CB0B13">
        <w:rPr>
          <w:szCs w:val="24"/>
          <w:highlight w:val="yellow"/>
        </w:rPr>
        <w:t xml:space="preserve">The trend in response rates over time for the first through fourth years of annual follow-up are summarized below from both current study progress monitoring reports.  The first two years of annual interview contacts are complete so those response rates of 88 and 86% </w:t>
      </w:r>
      <w:r w:rsidR="0030133C" w:rsidRPr="00CB0B13">
        <w:rPr>
          <w:szCs w:val="24"/>
          <w:highlight w:val="yellow"/>
        </w:rPr>
        <w:t xml:space="preserve">are </w:t>
      </w:r>
      <w:r w:rsidRPr="00CB0B13">
        <w:rPr>
          <w:szCs w:val="24"/>
          <w:highlight w:val="yellow"/>
        </w:rPr>
        <w:t xml:space="preserve">final.  </w:t>
      </w:r>
      <w:r w:rsidR="002F7EDB" w:rsidRPr="00CB0B13">
        <w:rPr>
          <w:szCs w:val="24"/>
          <w:highlight w:val="yellow"/>
        </w:rPr>
        <w:t xml:space="preserve">The fourth year interviews have a completion rate of 84% based on reports from 81% of the expected interviews.  </w:t>
      </w:r>
      <w:r w:rsidRPr="00CB0B13">
        <w:rPr>
          <w:szCs w:val="24"/>
          <w:highlight w:val="yellow"/>
        </w:rPr>
        <w:t>However, since the cohort was recruited in 3 yearly waves the fou</w:t>
      </w:r>
      <w:r w:rsidR="002F7EDB" w:rsidRPr="00CB0B13">
        <w:rPr>
          <w:szCs w:val="24"/>
          <w:highlight w:val="yellow"/>
        </w:rPr>
        <w:t>r</w:t>
      </w:r>
      <w:r w:rsidRPr="00CB0B13">
        <w:rPr>
          <w:szCs w:val="24"/>
          <w:highlight w:val="yellow"/>
        </w:rPr>
        <w:t xml:space="preserve">th and fifth years of interviews are ongoing and it is too early to project final response rates with </w:t>
      </w:r>
      <w:r w:rsidR="002F7EDB" w:rsidRPr="00CB0B13">
        <w:rPr>
          <w:szCs w:val="24"/>
          <w:highlight w:val="yellow"/>
        </w:rPr>
        <w:t>5</w:t>
      </w:r>
      <w:r w:rsidRPr="00CB0B13">
        <w:rPr>
          <w:szCs w:val="24"/>
          <w:highlight w:val="yellow"/>
        </w:rPr>
        <w:t>6% or more of interviews still outstanding at this time.</w:t>
      </w:r>
      <w:r w:rsidR="00562C19" w:rsidRPr="00CB0B13">
        <w:rPr>
          <w:szCs w:val="24"/>
          <w:highlight w:val="yellow"/>
        </w:rPr>
        <w:t xml:space="preserve">  The Cohort Retention </w:t>
      </w:r>
      <w:r w:rsidR="002F7EDB" w:rsidRPr="00CB0B13">
        <w:rPr>
          <w:szCs w:val="24"/>
          <w:highlight w:val="yellow"/>
        </w:rPr>
        <w:t>Committee closely monitors these rates and is working on a continual basis with field centers to improve their response over time.</w:t>
      </w:r>
    </w:p>
    <w:p w14:paraId="523ECDE2" w14:textId="47294480" w:rsidR="00D80D83" w:rsidRPr="00CB0B13" w:rsidRDefault="00D80D83" w:rsidP="00C05054">
      <w:pPr>
        <w:tabs>
          <w:tab w:val="left" w:pos="0"/>
          <w:tab w:val="left" w:pos="5580"/>
        </w:tabs>
        <w:suppressAutoHyphens/>
        <w:spacing w:line="240" w:lineRule="atLeast"/>
        <w:rPr>
          <w:b/>
          <w:sz w:val="22"/>
          <w:szCs w:val="22"/>
          <w:highlight w:val="yellow"/>
        </w:rPr>
      </w:pPr>
      <w:r w:rsidRPr="00CB0B13">
        <w:rPr>
          <w:b/>
          <w:sz w:val="22"/>
          <w:szCs w:val="22"/>
          <w:highlight w:val="yellow"/>
        </w:rPr>
        <w:t xml:space="preserve">                                   Table B.6</w:t>
      </w:r>
      <w:r w:rsidR="00562C19" w:rsidRPr="00CB0B13">
        <w:rPr>
          <w:b/>
          <w:sz w:val="22"/>
          <w:szCs w:val="22"/>
          <w:highlight w:val="yellow"/>
        </w:rPr>
        <w:t>.</w:t>
      </w:r>
      <w:r w:rsidRPr="00CB0B13">
        <w:rPr>
          <w:b/>
          <w:sz w:val="22"/>
          <w:szCs w:val="22"/>
          <w:highlight w:val="yellow"/>
        </w:rPr>
        <w:t xml:space="preserve">  HCHS/SOL Projected Follow-up Response Rates</w:t>
      </w:r>
    </w:p>
    <w:p w14:paraId="4E6D37D5" w14:textId="77777777" w:rsidR="00D80D83" w:rsidRPr="00CB0B13" w:rsidRDefault="00D80D83" w:rsidP="00D80D83">
      <w:pPr>
        <w:tabs>
          <w:tab w:val="left" w:pos="0"/>
          <w:tab w:val="left" w:pos="5580"/>
        </w:tabs>
        <w:suppressAutoHyphens/>
        <w:spacing w:line="240" w:lineRule="atLeast"/>
        <w:rPr>
          <w:b/>
          <w:sz w:val="22"/>
          <w:szCs w:val="22"/>
          <w:highlight w:val="yellow"/>
        </w:rPr>
      </w:pPr>
      <w:r w:rsidRPr="00CB0B13">
        <w:rPr>
          <w:b/>
          <w:sz w:val="22"/>
          <w:szCs w:val="22"/>
          <w:highlight w:val="yellow"/>
        </w:rPr>
        <w:t xml:space="preserve">                                                                </w:t>
      </w:r>
      <w:proofErr w:type="gramStart"/>
      <w:r w:rsidRPr="00CB0B13">
        <w:rPr>
          <w:b/>
          <w:sz w:val="22"/>
          <w:szCs w:val="22"/>
          <w:highlight w:val="yellow"/>
        </w:rPr>
        <w:t>by</w:t>
      </w:r>
      <w:proofErr w:type="gramEnd"/>
      <w:r w:rsidRPr="00CB0B13">
        <w:rPr>
          <w:b/>
          <w:sz w:val="22"/>
          <w:szCs w:val="22"/>
          <w:highlight w:val="yellow"/>
        </w:rPr>
        <w:t xml:space="preserve"> Community and Year</w:t>
      </w: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181"/>
        <w:gridCol w:w="766"/>
        <w:gridCol w:w="950"/>
        <w:gridCol w:w="803"/>
        <w:gridCol w:w="779"/>
        <w:gridCol w:w="942"/>
      </w:tblGrid>
      <w:tr w:rsidR="00D80D83" w:rsidRPr="00CB0B13" w14:paraId="5DEC2EFE" w14:textId="77777777" w:rsidTr="00F76C0C">
        <w:trPr>
          <w:jc w:val="center"/>
        </w:trPr>
        <w:tc>
          <w:tcPr>
            <w:tcW w:w="1288" w:type="dxa"/>
          </w:tcPr>
          <w:p w14:paraId="4F03D353"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 xml:space="preserve">Year of </w:t>
            </w:r>
          </w:p>
          <w:p w14:paraId="60CEF509"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AFU interview</w:t>
            </w:r>
            <w:r w:rsidRPr="00CB0B13">
              <w:rPr>
                <w:sz w:val="22"/>
                <w:szCs w:val="22"/>
                <w:highlight w:val="yellow"/>
                <w:vertAlign w:val="superscript"/>
              </w:rPr>
              <w:t>1</w:t>
            </w:r>
          </w:p>
        </w:tc>
        <w:tc>
          <w:tcPr>
            <w:tcW w:w="766" w:type="dxa"/>
          </w:tcPr>
          <w:p w14:paraId="7E9B4AF5"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Expected</w:t>
            </w:r>
          </w:p>
          <w:p w14:paraId="2697A067"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Percentage</w:t>
            </w:r>
          </w:p>
          <w:p w14:paraId="21F14B96"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Contacted</w:t>
            </w:r>
          </w:p>
        </w:tc>
        <w:tc>
          <w:tcPr>
            <w:tcW w:w="766" w:type="dxa"/>
          </w:tcPr>
          <w:p w14:paraId="40ED8DDD"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Bronx</w:t>
            </w:r>
          </w:p>
        </w:tc>
        <w:tc>
          <w:tcPr>
            <w:tcW w:w="950" w:type="dxa"/>
          </w:tcPr>
          <w:p w14:paraId="74681EFD"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Chicago</w:t>
            </w:r>
          </w:p>
        </w:tc>
        <w:tc>
          <w:tcPr>
            <w:tcW w:w="803" w:type="dxa"/>
          </w:tcPr>
          <w:p w14:paraId="5979C998"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Miami</w:t>
            </w:r>
          </w:p>
        </w:tc>
        <w:tc>
          <w:tcPr>
            <w:tcW w:w="779" w:type="dxa"/>
          </w:tcPr>
          <w:p w14:paraId="3037A576"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San</w:t>
            </w:r>
          </w:p>
          <w:p w14:paraId="61D36027"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Diego</w:t>
            </w:r>
          </w:p>
        </w:tc>
        <w:tc>
          <w:tcPr>
            <w:tcW w:w="942" w:type="dxa"/>
          </w:tcPr>
          <w:p w14:paraId="051CB288"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Overall</w:t>
            </w:r>
          </w:p>
          <w:p w14:paraId="38F9B046"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Centers</w:t>
            </w:r>
          </w:p>
        </w:tc>
      </w:tr>
      <w:tr w:rsidR="00D80D83" w:rsidRPr="00CB0B13" w14:paraId="282FF853" w14:textId="77777777" w:rsidTr="00F76C0C">
        <w:trPr>
          <w:jc w:val="center"/>
        </w:trPr>
        <w:tc>
          <w:tcPr>
            <w:tcW w:w="1288" w:type="dxa"/>
          </w:tcPr>
          <w:p w14:paraId="48D39DA4"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First</w:t>
            </w:r>
          </w:p>
        </w:tc>
        <w:tc>
          <w:tcPr>
            <w:tcW w:w="766" w:type="dxa"/>
          </w:tcPr>
          <w:p w14:paraId="79536E79"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100.0</w:t>
            </w:r>
          </w:p>
        </w:tc>
        <w:tc>
          <w:tcPr>
            <w:tcW w:w="766" w:type="dxa"/>
          </w:tcPr>
          <w:p w14:paraId="10C20641"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82.3</w:t>
            </w:r>
          </w:p>
        </w:tc>
        <w:tc>
          <w:tcPr>
            <w:tcW w:w="950" w:type="dxa"/>
          </w:tcPr>
          <w:p w14:paraId="7E76AD79"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87.1</w:t>
            </w:r>
          </w:p>
        </w:tc>
        <w:tc>
          <w:tcPr>
            <w:tcW w:w="803" w:type="dxa"/>
          </w:tcPr>
          <w:p w14:paraId="29E9EE33"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92.6</w:t>
            </w:r>
          </w:p>
        </w:tc>
        <w:tc>
          <w:tcPr>
            <w:tcW w:w="779" w:type="dxa"/>
          </w:tcPr>
          <w:p w14:paraId="0E63DBF1"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88.3</w:t>
            </w:r>
          </w:p>
        </w:tc>
        <w:tc>
          <w:tcPr>
            <w:tcW w:w="942" w:type="dxa"/>
          </w:tcPr>
          <w:p w14:paraId="27F975FB"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87.6</w:t>
            </w:r>
          </w:p>
        </w:tc>
      </w:tr>
      <w:tr w:rsidR="00D80D83" w:rsidRPr="00CB0B13" w14:paraId="03046765" w14:textId="77777777" w:rsidTr="00F76C0C">
        <w:trPr>
          <w:jc w:val="center"/>
        </w:trPr>
        <w:tc>
          <w:tcPr>
            <w:tcW w:w="1288" w:type="dxa"/>
          </w:tcPr>
          <w:p w14:paraId="53564F55"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Second</w:t>
            </w:r>
          </w:p>
        </w:tc>
        <w:tc>
          <w:tcPr>
            <w:tcW w:w="766" w:type="dxa"/>
          </w:tcPr>
          <w:p w14:paraId="312E5F26"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99.3</w:t>
            </w:r>
          </w:p>
        </w:tc>
        <w:tc>
          <w:tcPr>
            <w:tcW w:w="766" w:type="dxa"/>
          </w:tcPr>
          <w:p w14:paraId="5B050487"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80.6</w:t>
            </w:r>
          </w:p>
        </w:tc>
        <w:tc>
          <w:tcPr>
            <w:tcW w:w="950" w:type="dxa"/>
          </w:tcPr>
          <w:p w14:paraId="6A8B9312"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88.8</w:t>
            </w:r>
          </w:p>
        </w:tc>
        <w:tc>
          <w:tcPr>
            <w:tcW w:w="803" w:type="dxa"/>
          </w:tcPr>
          <w:p w14:paraId="07960630"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90.8</w:t>
            </w:r>
          </w:p>
        </w:tc>
        <w:tc>
          <w:tcPr>
            <w:tcW w:w="779" w:type="dxa"/>
          </w:tcPr>
          <w:p w14:paraId="21782174"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87.3</w:t>
            </w:r>
          </w:p>
        </w:tc>
        <w:tc>
          <w:tcPr>
            <w:tcW w:w="942" w:type="dxa"/>
          </w:tcPr>
          <w:p w14:paraId="18A81398"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86.9</w:t>
            </w:r>
          </w:p>
        </w:tc>
      </w:tr>
      <w:tr w:rsidR="00D80D83" w:rsidRPr="00CB0B13" w14:paraId="1952DA49" w14:textId="77777777" w:rsidTr="00F76C0C">
        <w:trPr>
          <w:jc w:val="center"/>
        </w:trPr>
        <w:tc>
          <w:tcPr>
            <w:tcW w:w="1288" w:type="dxa"/>
          </w:tcPr>
          <w:p w14:paraId="5AFF3181"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Third</w:t>
            </w:r>
          </w:p>
        </w:tc>
        <w:tc>
          <w:tcPr>
            <w:tcW w:w="766" w:type="dxa"/>
          </w:tcPr>
          <w:p w14:paraId="0B1B1B54"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80.7</w:t>
            </w:r>
          </w:p>
        </w:tc>
        <w:tc>
          <w:tcPr>
            <w:tcW w:w="766" w:type="dxa"/>
          </w:tcPr>
          <w:p w14:paraId="29F41A7E"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76.0</w:t>
            </w:r>
          </w:p>
        </w:tc>
        <w:tc>
          <w:tcPr>
            <w:tcW w:w="950" w:type="dxa"/>
          </w:tcPr>
          <w:p w14:paraId="14A9175D"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86.3</w:t>
            </w:r>
          </w:p>
        </w:tc>
        <w:tc>
          <w:tcPr>
            <w:tcW w:w="803" w:type="dxa"/>
          </w:tcPr>
          <w:p w14:paraId="35F1F81E"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85.6</w:t>
            </w:r>
          </w:p>
        </w:tc>
        <w:tc>
          <w:tcPr>
            <w:tcW w:w="779" w:type="dxa"/>
          </w:tcPr>
          <w:p w14:paraId="1EC86C9E"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86.9</w:t>
            </w:r>
          </w:p>
        </w:tc>
        <w:tc>
          <w:tcPr>
            <w:tcW w:w="942" w:type="dxa"/>
          </w:tcPr>
          <w:p w14:paraId="09FBBB73"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83.7</w:t>
            </w:r>
          </w:p>
        </w:tc>
      </w:tr>
      <w:tr w:rsidR="00D80D83" w:rsidRPr="00CB0B13" w14:paraId="5F0CD004" w14:textId="77777777" w:rsidTr="00F76C0C">
        <w:trPr>
          <w:jc w:val="center"/>
        </w:trPr>
        <w:tc>
          <w:tcPr>
            <w:tcW w:w="1288" w:type="dxa"/>
          </w:tcPr>
          <w:p w14:paraId="1A8CDC24"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Fourth</w:t>
            </w:r>
          </w:p>
        </w:tc>
        <w:tc>
          <w:tcPr>
            <w:tcW w:w="766" w:type="dxa"/>
          </w:tcPr>
          <w:p w14:paraId="28E61EB5"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44.4</w:t>
            </w:r>
          </w:p>
        </w:tc>
        <w:tc>
          <w:tcPr>
            <w:tcW w:w="766" w:type="dxa"/>
          </w:tcPr>
          <w:p w14:paraId="1F34C020"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70.0</w:t>
            </w:r>
          </w:p>
        </w:tc>
        <w:tc>
          <w:tcPr>
            <w:tcW w:w="950" w:type="dxa"/>
          </w:tcPr>
          <w:p w14:paraId="45BB5235"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81.2</w:t>
            </w:r>
          </w:p>
        </w:tc>
        <w:tc>
          <w:tcPr>
            <w:tcW w:w="803" w:type="dxa"/>
          </w:tcPr>
          <w:p w14:paraId="3E4D9924"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85.2</w:t>
            </w:r>
          </w:p>
        </w:tc>
        <w:tc>
          <w:tcPr>
            <w:tcW w:w="779" w:type="dxa"/>
          </w:tcPr>
          <w:p w14:paraId="41F8C468"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82.0</w:t>
            </w:r>
          </w:p>
        </w:tc>
        <w:tc>
          <w:tcPr>
            <w:tcW w:w="942" w:type="dxa"/>
          </w:tcPr>
          <w:p w14:paraId="7F93AACF"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79.4</w:t>
            </w:r>
          </w:p>
        </w:tc>
      </w:tr>
      <w:tr w:rsidR="00D80D83" w:rsidRPr="00D62F0C" w14:paraId="3ADD4EF4" w14:textId="77777777" w:rsidTr="00F76C0C">
        <w:trPr>
          <w:jc w:val="center"/>
        </w:trPr>
        <w:tc>
          <w:tcPr>
            <w:tcW w:w="1288" w:type="dxa"/>
          </w:tcPr>
          <w:p w14:paraId="09951D39" w14:textId="77777777" w:rsidR="00D80D83" w:rsidRPr="00CB0B13" w:rsidRDefault="00D80D83" w:rsidP="00F76C0C">
            <w:pPr>
              <w:tabs>
                <w:tab w:val="left" w:pos="0"/>
                <w:tab w:val="left" w:pos="5580"/>
              </w:tabs>
              <w:suppressAutoHyphens/>
              <w:spacing w:line="240" w:lineRule="atLeast"/>
              <w:rPr>
                <w:sz w:val="22"/>
                <w:szCs w:val="22"/>
                <w:highlight w:val="yellow"/>
              </w:rPr>
            </w:pPr>
            <w:r w:rsidRPr="00CB0B13">
              <w:rPr>
                <w:sz w:val="22"/>
                <w:szCs w:val="22"/>
                <w:highlight w:val="yellow"/>
              </w:rPr>
              <w:t>Fifth</w:t>
            </w:r>
            <w:r w:rsidRPr="00CB0B13">
              <w:rPr>
                <w:sz w:val="22"/>
                <w:szCs w:val="22"/>
                <w:highlight w:val="yellow"/>
                <w:vertAlign w:val="superscript"/>
              </w:rPr>
              <w:t>2</w:t>
            </w:r>
          </w:p>
        </w:tc>
        <w:tc>
          <w:tcPr>
            <w:tcW w:w="766" w:type="dxa"/>
          </w:tcPr>
          <w:p w14:paraId="388EB92C"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12.1</w:t>
            </w:r>
          </w:p>
        </w:tc>
        <w:tc>
          <w:tcPr>
            <w:tcW w:w="766" w:type="dxa"/>
          </w:tcPr>
          <w:p w14:paraId="56629FEE"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n/a</w:t>
            </w:r>
          </w:p>
        </w:tc>
        <w:tc>
          <w:tcPr>
            <w:tcW w:w="950" w:type="dxa"/>
          </w:tcPr>
          <w:p w14:paraId="209E4A39"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n/a</w:t>
            </w:r>
          </w:p>
        </w:tc>
        <w:tc>
          <w:tcPr>
            <w:tcW w:w="803" w:type="dxa"/>
          </w:tcPr>
          <w:p w14:paraId="73924199"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n/a</w:t>
            </w:r>
          </w:p>
        </w:tc>
        <w:tc>
          <w:tcPr>
            <w:tcW w:w="779" w:type="dxa"/>
          </w:tcPr>
          <w:p w14:paraId="4CEB8311" w14:textId="77777777" w:rsidR="00D80D83" w:rsidRPr="00CB0B13" w:rsidRDefault="00D80D83" w:rsidP="00F76C0C">
            <w:pPr>
              <w:tabs>
                <w:tab w:val="left" w:pos="0"/>
                <w:tab w:val="left" w:pos="5580"/>
              </w:tabs>
              <w:suppressAutoHyphens/>
              <w:spacing w:line="240" w:lineRule="atLeast"/>
              <w:jc w:val="center"/>
              <w:rPr>
                <w:sz w:val="22"/>
                <w:szCs w:val="22"/>
                <w:highlight w:val="yellow"/>
              </w:rPr>
            </w:pPr>
            <w:r w:rsidRPr="00CB0B13">
              <w:rPr>
                <w:sz w:val="22"/>
                <w:szCs w:val="22"/>
                <w:highlight w:val="yellow"/>
              </w:rPr>
              <w:t>n/a</w:t>
            </w:r>
          </w:p>
        </w:tc>
        <w:tc>
          <w:tcPr>
            <w:tcW w:w="942" w:type="dxa"/>
          </w:tcPr>
          <w:p w14:paraId="02100004" w14:textId="77777777" w:rsidR="00D80D83" w:rsidRDefault="00D80D83" w:rsidP="00F76C0C">
            <w:pPr>
              <w:tabs>
                <w:tab w:val="left" w:pos="0"/>
                <w:tab w:val="left" w:pos="5580"/>
              </w:tabs>
              <w:suppressAutoHyphens/>
              <w:spacing w:line="240" w:lineRule="atLeast"/>
              <w:jc w:val="center"/>
              <w:rPr>
                <w:sz w:val="22"/>
                <w:szCs w:val="22"/>
              </w:rPr>
            </w:pPr>
            <w:r w:rsidRPr="00CB0B13">
              <w:rPr>
                <w:sz w:val="22"/>
                <w:szCs w:val="22"/>
                <w:highlight w:val="yellow"/>
              </w:rPr>
              <w:t>n/a</w:t>
            </w:r>
          </w:p>
        </w:tc>
      </w:tr>
    </w:tbl>
    <w:p w14:paraId="572AB4A4" w14:textId="77777777" w:rsidR="00D80D83" w:rsidRDefault="00D80D83" w:rsidP="00D80D83">
      <w:pPr>
        <w:tabs>
          <w:tab w:val="left" w:pos="0"/>
          <w:tab w:val="left" w:pos="5580"/>
        </w:tabs>
        <w:suppressAutoHyphens/>
        <w:spacing w:line="240" w:lineRule="atLeast"/>
        <w:rPr>
          <w:sz w:val="22"/>
          <w:szCs w:val="22"/>
        </w:rPr>
      </w:pPr>
    </w:p>
    <w:p w14:paraId="1C60EBCB" w14:textId="77777777" w:rsidR="00D80D83" w:rsidRPr="00BC00E0" w:rsidRDefault="00D80D83" w:rsidP="00D80D83">
      <w:pPr>
        <w:tabs>
          <w:tab w:val="left" w:pos="0"/>
          <w:tab w:val="left" w:pos="5580"/>
        </w:tabs>
        <w:suppressAutoHyphens/>
        <w:spacing w:line="240" w:lineRule="atLeast"/>
        <w:rPr>
          <w:i/>
          <w:sz w:val="22"/>
          <w:szCs w:val="22"/>
        </w:rPr>
      </w:pPr>
      <w:r>
        <w:rPr>
          <w:sz w:val="22"/>
          <w:szCs w:val="22"/>
        </w:rPr>
        <w:t xml:space="preserve">                                     </w:t>
      </w:r>
      <w:r w:rsidRPr="00BC00E0">
        <w:rPr>
          <w:i/>
          <w:sz w:val="22"/>
          <w:szCs w:val="22"/>
        </w:rPr>
        <w:t>1- First and second years of annual follow-up are closed but</w:t>
      </w:r>
    </w:p>
    <w:p w14:paraId="4D429A05" w14:textId="3CED6DAE" w:rsidR="00D80D83" w:rsidRPr="00BC00E0" w:rsidRDefault="00D80D83" w:rsidP="00D80D83">
      <w:pPr>
        <w:tabs>
          <w:tab w:val="left" w:pos="0"/>
          <w:tab w:val="left" w:pos="5580"/>
        </w:tabs>
        <w:suppressAutoHyphens/>
        <w:spacing w:line="240" w:lineRule="atLeast"/>
        <w:rPr>
          <w:i/>
          <w:sz w:val="22"/>
          <w:szCs w:val="22"/>
        </w:rPr>
      </w:pPr>
      <w:r w:rsidRPr="00BC00E0">
        <w:rPr>
          <w:i/>
          <w:sz w:val="22"/>
          <w:szCs w:val="22"/>
        </w:rPr>
        <w:t xml:space="preserve">                                         </w:t>
      </w:r>
      <w:proofErr w:type="gramStart"/>
      <w:r w:rsidR="00E80155" w:rsidRPr="00BC00E0">
        <w:rPr>
          <w:i/>
          <w:sz w:val="22"/>
          <w:szCs w:val="22"/>
        </w:rPr>
        <w:t>I</w:t>
      </w:r>
      <w:r w:rsidRPr="00BC00E0">
        <w:rPr>
          <w:i/>
          <w:sz w:val="22"/>
          <w:szCs w:val="22"/>
        </w:rPr>
        <w:t>nterviews</w:t>
      </w:r>
      <w:r w:rsidR="00E80155">
        <w:rPr>
          <w:i/>
          <w:sz w:val="22"/>
          <w:szCs w:val="22"/>
        </w:rPr>
        <w:t xml:space="preserve"> </w:t>
      </w:r>
      <w:r w:rsidRPr="00BC00E0">
        <w:rPr>
          <w:i/>
          <w:sz w:val="22"/>
          <w:szCs w:val="22"/>
        </w:rPr>
        <w:t xml:space="preserve"> from</w:t>
      </w:r>
      <w:proofErr w:type="gramEnd"/>
      <w:r w:rsidRPr="00BC00E0">
        <w:rPr>
          <w:i/>
          <w:sz w:val="22"/>
          <w:szCs w:val="22"/>
        </w:rPr>
        <w:t xml:space="preserve"> third through year onwards remains active</w:t>
      </w:r>
    </w:p>
    <w:p w14:paraId="0F1B9267" w14:textId="77777777" w:rsidR="00D80D83" w:rsidRPr="00BC00E0" w:rsidRDefault="00D80D83" w:rsidP="00D80D83">
      <w:pPr>
        <w:tabs>
          <w:tab w:val="left" w:pos="0"/>
          <w:tab w:val="left" w:pos="5580"/>
        </w:tabs>
        <w:suppressAutoHyphens/>
        <w:spacing w:line="240" w:lineRule="atLeast"/>
        <w:rPr>
          <w:i/>
          <w:sz w:val="22"/>
          <w:szCs w:val="22"/>
        </w:rPr>
      </w:pPr>
      <w:r w:rsidRPr="00BC00E0">
        <w:rPr>
          <w:i/>
          <w:sz w:val="22"/>
          <w:szCs w:val="22"/>
        </w:rPr>
        <w:t xml:space="preserve">                                     2- Fifth year of interviews has insufficient follow-up time for estimates </w:t>
      </w:r>
    </w:p>
    <w:p w14:paraId="2FCC3211" w14:textId="77777777" w:rsidR="00D80D83" w:rsidRDefault="00D80D83" w:rsidP="00D80D83"/>
    <w:p w14:paraId="16AA6D9D" w14:textId="217437DD" w:rsidR="00255D36" w:rsidRPr="00562C19" w:rsidRDefault="0044130C" w:rsidP="00562C19">
      <w:pPr>
        <w:spacing w:line="276" w:lineRule="auto"/>
        <w:ind w:firstLine="720"/>
        <w:rPr>
          <w:rFonts w:ascii="Times New (W1)" w:hAnsi="Times New (W1)"/>
        </w:rPr>
      </w:pPr>
      <w:r w:rsidRPr="00CB0B13">
        <w:rPr>
          <w:rFonts w:ascii="Times New (W1)" w:hAnsi="Times New (W1)"/>
          <w:highlight w:val="yellow"/>
        </w:rPr>
        <w:lastRenderedPageBreak/>
        <w:t xml:space="preserve">The </w:t>
      </w:r>
      <w:r w:rsidR="00562C19" w:rsidRPr="00CB0B13">
        <w:rPr>
          <w:rFonts w:ascii="Times New (W1)" w:hAnsi="Times New (W1)"/>
          <w:highlight w:val="yellow"/>
        </w:rPr>
        <w:t xml:space="preserve">Cohort </w:t>
      </w:r>
      <w:r w:rsidRPr="00CB0B13">
        <w:rPr>
          <w:rFonts w:ascii="Times New (W1)" w:hAnsi="Times New (W1)"/>
          <w:highlight w:val="yellow"/>
        </w:rPr>
        <w:t>Retention Committee has found that the u</w:t>
      </w:r>
      <w:r w:rsidR="00255D36" w:rsidRPr="00CB0B13">
        <w:rPr>
          <w:rFonts w:ascii="Times New (W1)" w:hAnsi="Times New (W1)"/>
          <w:highlight w:val="yellow"/>
        </w:rPr>
        <w:t>se of alternate</w:t>
      </w:r>
      <w:r w:rsidRPr="00CB0B13">
        <w:rPr>
          <w:rFonts w:ascii="Times New (W1)" w:hAnsi="Times New (W1)"/>
          <w:highlight w:val="yellow"/>
        </w:rPr>
        <w:t xml:space="preserve"> respondent</w:t>
      </w:r>
      <w:r w:rsidR="00255D36" w:rsidRPr="00CB0B13">
        <w:rPr>
          <w:rFonts w:ascii="Times New (W1)" w:hAnsi="Times New (W1)"/>
          <w:highlight w:val="yellow"/>
        </w:rPr>
        <w:t xml:space="preserve">s tends to be highest in </w:t>
      </w:r>
      <w:r w:rsidR="00562C19" w:rsidRPr="00CB0B13">
        <w:rPr>
          <w:rFonts w:ascii="Times New (W1)" w:hAnsi="Times New (W1)"/>
          <w:highlight w:val="yellow"/>
        </w:rPr>
        <w:t xml:space="preserve">the Bronx and in San Diego for </w:t>
      </w:r>
      <w:r w:rsidR="00255D36" w:rsidRPr="00CB0B13">
        <w:rPr>
          <w:rFonts w:ascii="Times New (W1)" w:hAnsi="Times New (W1)"/>
          <w:highlight w:val="yellow"/>
        </w:rPr>
        <w:t xml:space="preserve">AFU </w:t>
      </w:r>
      <w:r w:rsidRPr="00CB0B13">
        <w:rPr>
          <w:rFonts w:ascii="Times New (W1)" w:hAnsi="Times New (W1)"/>
          <w:highlight w:val="yellow"/>
        </w:rPr>
        <w:t xml:space="preserve">years </w:t>
      </w:r>
      <w:r w:rsidR="00255D36" w:rsidRPr="00CB0B13">
        <w:rPr>
          <w:rFonts w:ascii="Times New (W1)" w:hAnsi="Times New (W1)"/>
          <w:highlight w:val="yellow"/>
        </w:rPr>
        <w:t xml:space="preserve">1 and 2. The use of alternates is increasing in Miami in AFU </w:t>
      </w:r>
      <w:r w:rsidRPr="00CB0B13">
        <w:rPr>
          <w:rFonts w:ascii="Times New (W1)" w:hAnsi="Times New (W1)"/>
          <w:highlight w:val="yellow"/>
        </w:rPr>
        <w:t xml:space="preserve">year </w:t>
      </w:r>
      <w:r w:rsidR="00255D36" w:rsidRPr="00CB0B13">
        <w:rPr>
          <w:rFonts w:ascii="Times New (W1)" w:hAnsi="Times New (W1)"/>
          <w:highlight w:val="yellow"/>
        </w:rPr>
        <w:t>3. This may reflect the transience of the populations.</w:t>
      </w:r>
      <w:r w:rsidRPr="00CB0B13">
        <w:rPr>
          <w:rFonts w:ascii="Times New (W1)" w:hAnsi="Times New (W1)"/>
          <w:highlight w:val="yellow"/>
        </w:rPr>
        <w:t xml:space="preserve"> </w:t>
      </w:r>
      <w:r w:rsidR="00255D36" w:rsidRPr="00CB0B13">
        <w:rPr>
          <w:rFonts w:ascii="Times New (W1)" w:hAnsi="Times New (W1)"/>
          <w:highlight w:val="yellow"/>
        </w:rPr>
        <w:t xml:space="preserve">Higher response rates in Miami partially reflects their ability to make use of Social Security numbers in tracking down new contact information for participants who move.  </w:t>
      </w:r>
      <w:r w:rsidRPr="00CB0B13">
        <w:rPr>
          <w:rFonts w:ascii="Times New (W1)" w:hAnsi="Times New (W1)"/>
          <w:highlight w:val="yellow"/>
        </w:rPr>
        <w:t>The overall Year 1</w:t>
      </w:r>
      <w:r w:rsidR="00255D36" w:rsidRPr="00CB0B13">
        <w:rPr>
          <w:rFonts w:ascii="Times New (W1)" w:hAnsi="Times New (W1)"/>
          <w:highlight w:val="yellow"/>
        </w:rPr>
        <w:t xml:space="preserve"> and </w:t>
      </w:r>
      <w:r w:rsidRPr="00CB0B13">
        <w:rPr>
          <w:rFonts w:ascii="Times New (W1)" w:hAnsi="Times New (W1)"/>
          <w:highlight w:val="yellow"/>
        </w:rPr>
        <w:t xml:space="preserve">Year </w:t>
      </w:r>
      <w:r w:rsidR="00255D36" w:rsidRPr="00CB0B13">
        <w:rPr>
          <w:rFonts w:ascii="Times New (W1)" w:hAnsi="Times New (W1)"/>
          <w:highlight w:val="yellow"/>
        </w:rPr>
        <w:t xml:space="preserve">2 results reflect the same pattern found in AFU </w:t>
      </w:r>
      <w:r w:rsidRPr="00CB0B13">
        <w:rPr>
          <w:rFonts w:ascii="Times New (W1)" w:hAnsi="Times New (W1)"/>
          <w:highlight w:val="yellow"/>
        </w:rPr>
        <w:t xml:space="preserve">Year </w:t>
      </w:r>
      <w:r w:rsidR="00255D36" w:rsidRPr="00CB0B13">
        <w:rPr>
          <w:rFonts w:ascii="Times New (W1)" w:hAnsi="Times New (W1)"/>
          <w:highlight w:val="yellow"/>
        </w:rPr>
        <w:t xml:space="preserve">3. Differences in contact and response rates </w:t>
      </w:r>
      <w:r w:rsidRPr="00CB0B13">
        <w:rPr>
          <w:rFonts w:ascii="Times New (W1)" w:hAnsi="Times New (W1)"/>
          <w:highlight w:val="yellow"/>
        </w:rPr>
        <w:t>were not found</w:t>
      </w:r>
      <w:r w:rsidR="00255D36" w:rsidRPr="00CB0B13">
        <w:rPr>
          <w:rFonts w:ascii="Times New (W1)" w:hAnsi="Times New (W1)"/>
          <w:highlight w:val="yellow"/>
        </w:rPr>
        <w:t xml:space="preserve"> by country of origin. Despite challenges, response rates for HCHS are higher than response rates for Hispanics in other national studies and compare favorably with overall response rates in other biomedical studies such as ARIC.</w:t>
      </w:r>
    </w:p>
    <w:p w14:paraId="4B6D1798" w14:textId="77777777" w:rsidR="00F17B0B" w:rsidRPr="00844EE7" w:rsidRDefault="00F17B0B" w:rsidP="00F17B0B"/>
    <w:p w14:paraId="332EF3D1" w14:textId="75936A75" w:rsidR="00F17B0B" w:rsidRDefault="00F17B0B" w:rsidP="00562C19">
      <w:pPr>
        <w:spacing w:line="276" w:lineRule="auto"/>
      </w:pPr>
      <w:r w:rsidRPr="00844EE7">
        <w:tab/>
      </w:r>
      <w:r w:rsidR="002776AA" w:rsidRPr="00D53105">
        <w:t xml:space="preserve">Educational level and literacy were factors seriously considered during the development of all the instruments used in the study.  </w:t>
      </w:r>
      <w:r w:rsidR="002776AA" w:rsidRPr="00D53105">
        <w:rPr>
          <w:b/>
        </w:rPr>
        <w:t xml:space="preserve">It is important to emphasize that all questionnaires </w:t>
      </w:r>
      <w:r w:rsidR="002776AA">
        <w:rPr>
          <w:b/>
        </w:rPr>
        <w:t>are</w:t>
      </w:r>
      <w:r w:rsidR="002776AA" w:rsidRPr="00D53105">
        <w:rPr>
          <w:b/>
        </w:rPr>
        <w:t xml:space="preserve"> administered verbally by trained interviewers in either English or Spanish</w:t>
      </w:r>
      <w:r w:rsidR="002776AA">
        <w:rPr>
          <w:b/>
        </w:rPr>
        <w:t>, according to participants’ preferences</w:t>
      </w:r>
      <w:r w:rsidR="002776AA" w:rsidRPr="00D53105">
        <w:rPr>
          <w:b/>
        </w:rPr>
        <w:t>.</w:t>
      </w:r>
      <w:r w:rsidR="002776AA" w:rsidRPr="00D53105">
        <w:t xml:space="preserve"> </w:t>
      </w:r>
      <w:r w:rsidR="002776AA">
        <w:t>I</w:t>
      </w:r>
      <w:r w:rsidR="002776AA" w:rsidRPr="00D53105">
        <w:t>nterviewer</w:t>
      </w:r>
      <w:r w:rsidR="002776AA">
        <w:t>s</w:t>
      </w:r>
      <w:r w:rsidR="002776AA" w:rsidRPr="00D53105">
        <w:t xml:space="preserve"> will be able to repeat questions, and in the cases that merit it, participants will receive a card with the scales or alternative answers printed on them, to facilitate their understanding and </w:t>
      </w:r>
      <w:r w:rsidR="002776AA">
        <w:t>obtain</w:t>
      </w:r>
      <w:r w:rsidR="002776AA" w:rsidRPr="00D53105">
        <w:t xml:space="preserve"> more accurate responses.</w:t>
      </w:r>
    </w:p>
    <w:p w14:paraId="7FC60123" w14:textId="77777777" w:rsidR="00562C19" w:rsidRPr="00D53105" w:rsidRDefault="00562C19" w:rsidP="00562C19">
      <w:pPr>
        <w:spacing w:line="276" w:lineRule="auto"/>
      </w:pPr>
    </w:p>
    <w:p w14:paraId="2B4C6B59" w14:textId="04F39E3F" w:rsidR="00F17B0B" w:rsidRDefault="00F17B0B" w:rsidP="00562C19">
      <w:pPr>
        <w:spacing w:line="276" w:lineRule="auto"/>
        <w:ind w:firstLine="720"/>
      </w:pPr>
      <w:r w:rsidRPr="00D53105">
        <w:t xml:space="preserve">With permission of the participant, the interviews will be monitored for quality control purposes. Modifications will be made to questionnaires as needed based on experience with the interviews and these quality control checks. Any modifications to the questionnaires will be forwarded to OMB. </w:t>
      </w:r>
    </w:p>
    <w:p w14:paraId="6A26A847" w14:textId="77777777" w:rsidR="00562C19" w:rsidRPr="00D53105" w:rsidRDefault="00562C19" w:rsidP="00562C19">
      <w:pPr>
        <w:spacing w:line="276" w:lineRule="auto"/>
        <w:ind w:firstLine="720"/>
      </w:pPr>
    </w:p>
    <w:p w14:paraId="2DBF07AE" w14:textId="110A9814" w:rsidR="00F17B0B" w:rsidRPr="00D53105" w:rsidRDefault="00F17B0B" w:rsidP="00562C19">
      <w:pPr>
        <w:spacing w:line="276" w:lineRule="auto"/>
        <w:ind w:firstLine="720"/>
      </w:pPr>
      <w:r w:rsidRPr="00D53105">
        <w:t>Most of the instruments to be used in the study have been used or adapted from other epidemiological studies and, therefore, have been previously validated in their current version. Therefore, for comparability, the language needs to remain consistent. One questionnaire</w:t>
      </w:r>
      <w:r w:rsidR="00203C18">
        <w:t xml:space="preserve"> in the sociocultural domain of family cohesion</w:t>
      </w:r>
      <w:r w:rsidRPr="00D53105">
        <w:t xml:space="preserve"> is under copyright.  </w:t>
      </w:r>
    </w:p>
    <w:p w14:paraId="064E9513" w14:textId="77777777" w:rsidR="00562C19" w:rsidRDefault="00562C19" w:rsidP="00562C19">
      <w:pPr>
        <w:spacing w:line="276" w:lineRule="auto"/>
        <w:ind w:firstLine="720"/>
        <w:rPr>
          <w:rFonts w:cs="Arial"/>
          <w:szCs w:val="22"/>
        </w:rPr>
      </w:pPr>
    </w:p>
    <w:p w14:paraId="602B73B4" w14:textId="44EEA282" w:rsidR="002A79A2" w:rsidRDefault="00382162"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outlineLvl w:val="9"/>
        <w:rPr>
          <w:rFonts w:cs="Arial"/>
        </w:rPr>
      </w:pPr>
      <w:r>
        <w:rPr>
          <w:rFonts w:cs="Arial"/>
        </w:rPr>
        <w:tab/>
      </w:r>
      <w:r w:rsidR="002A79A2" w:rsidRPr="00382162">
        <w:rPr>
          <w:rFonts w:cs="Arial"/>
        </w:rPr>
        <w:t xml:space="preserve">Verification of eligibility for all study </w:t>
      </w:r>
      <w:r w:rsidR="009D265A">
        <w:rPr>
          <w:rFonts w:cs="Arial"/>
        </w:rPr>
        <w:t>components</w:t>
      </w:r>
      <w:r w:rsidR="002A79A2" w:rsidRPr="00382162">
        <w:rPr>
          <w:rFonts w:cs="Arial"/>
        </w:rPr>
        <w:t xml:space="preserve"> is part of the </w:t>
      </w:r>
      <w:r w:rsidR="002902D8">
        <w:rPr>
          <w:rFonts w:cs="Arial"/>
        </w:rPr>
        <w:t>Visi</w:t>
      </w:r>
      <w:r w:rsidR="002902D8" w:rsidRPr="00382162">
        <w:rPr>
          <w:rFonts w:cs="Arial"/>
        </w:rPr>
        <w:t>t</w:t>
      </w:r>
      <w:r w:rsidR="002902D8">
        <w:rPr>
          <w:rFonts w:cs="Arial"/>
        </w:rPr>
        <w:t xml:space="preserve"> 2</w:t>
      </w:r>
      <w:r w:rsidR="002902D8" w:rsidRPr="00382162">
        <w:rPr>
          <w:rFonts w:cs="Arial"/>
        </w:rPr>
        <w:t xml:space="preserve"> </w:t>
      </w:r>
      <w:r w:rsidR="002A79A2" w:rsidRPr="00382162">
        <w:rPr>
          <w:rFonts w:cs="Arial"/>
        </w:rPr>
        <w:t>scheduling procedure. Following an explanation of the HCHS</w:t>
      </w:r>
      <w:r w:rsidR="00A0048A">
        <w:rPr>
          <w:rFonts w:cs="Arial"/>
        </w:rPr>
        <w:t>/SOL</w:t>
      </w:r>
      <w:r w:rsidR="002A79A2" w:rsidRPr="00382162">
        <w:rPr>
          <w:rFonts w:cs="Arial"/>
        </w:rPr>
        <w:t xml:space="preserve"> study </w:t>
      </w:r>
      <w:r w:rsidR="002902D8">
        <w:rPr>
          <w:rFonts w:cs="Arial"/>
        </w:rPr>
        <w:t xml:space="preserve">Visit 2 </w:t>
      </w:r>
      <w:r w:rsidR="002A79A2" w:rsidRPr="00382162">
        <w:rPr>
          <w:rFonts w:cs="Arial"/>
        </w:rPr>
        <w:t xml:space="preserve">and the </w:t>
      </w:r>
      <w:r w:rsidR="009D265A">
        <w:rPr>
          <w:rFonts w:cs="Arial"/>
        </w:rPr>
        <w:t xml:space="preserve">measurements </w:t>
      </w:r>
      <w:r w:rsidR="002A79A2" w:rsidRPr="00382162">
        <w:rPr>
          <w:rFonts w:cs="Arial"/>
        </w:rPr>
        <w:t xml:space="preserve">involved, the interviewer </w:t>
      </w:r>
      <w:r w:rsidR="009D265A">
        <w:rPr>
          <w:rFonts w:cs="Arial"/>
        </w:rPr>
        <w:t xml:space="preserve">will </w:t>
      </w:r>
      <w:r w:rsidR="002A79A2" w:rsidRPr="00382162">
        <w:rPr>
          <w:rFonts w:cs="Arial"/>
        </w:rPr>
        <w:t xml:space="preserve">request an opportunity to verify the individual’s eligibility for all </w:t>
      </w:r>
      <w:r w:rsidR="009D265A">
        <w:rPr>
          <w:rFonts w:cs="Arial"/>
        </w:rPr>
        <w:t>of them</w:t>
      </w:r>
      <w:r w:rsidR="002A79A2" w:rsidRPr="00382162">
        <w:rPr>
          <w:rFonts w:cs="Arial"/>
        </w:rPr>
        <w:t xml:space="preserve">. The conditions reviewed during this interview (and listed on the form) include pregnancy, </w:t>
      </w:r>
      <w:r w:rsidR="002902D8">
        <w:rPr>
          <w:rFonts w:cs="Arial"/>
        </w:rPr>
        <w:t xml:space="preserve">and </w:t>
      </w:r>
      <w:r w:rsidR="002A79A2" w:rsidRPr="00382162">
        <w:rPr>
          <w:rFonts w:cs="Arial"/>
        </w:rPr>
        <w:t>the participant’s use of a pacemaker or other implanted electronic device. Study participants who are pregnant are asked to schedule an examination visit at three months after delivery, and to provide a date by which the HCHS</w:t>
      </w:r>
      <w:r w:rsidR="00A0048A">
        <w:rPr>
          <w:rFonts w:cs="Arial"/>
        </w:rPr>
        <w:t>/SOL</w:t>
      </w:r>
      <w:r w:rsidR="002A79A2" w:rsidRPr="00382162">
        <w:rPr>
          <w:rFonts w:cs="Arial"/>
        </w:rPr>
        <w:t xml:space="preserve"> can re-contact them for this purpose.  </w:t>
      </w:r>
    </w:p>
    <w:p w14:paraId="0FB9A66A" w14:textId="77777777" w:rsidR="00562C19" w:rsidRPr="00382162" w:rsidRDefault="00562C19"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outlineLvl w:val="9"/>
        <w:rPr>
          <w:rFonts w:cs="Arial"/>
        </w:rPr>
      </w:pPr>
    </w:p>
    <w:p w14:paraId="7E02AB4F" w14:textId="6E5DFA35" w:rsidR="002A79A2" w:rsidRDefault="00382162"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outlineLvl w:val="9"/>
        <w:rPr>
          <w:rFonts w:cs="Arial"/>
          <w:szCs w:val="22"/>
        </w:rPr>
      </w:pPr>
      <w:r>
        <w:rPr>
          <w:rFonts w:cs="Arial"/>
          <w:szCs w:val="22"/>
        </w:rPr>
        <w:tab/>
      </w:r>
      <w:r w:rsidR="002A79A2" w:rsidRPr="00382162">
        <w:rPr>
          <w:rFonts w:cs="Arial"/>
          <w:szCs w:val="22"/>
        </w:rPr>
        <w:t>During this interview staff also inquires about special needs, such as any medical conditions that would affect the examination or the appointment time, difficulties in getting on or off an examination table, or impediments in hearing or reading. Arrangements for a safe and comfortable examination visit are made, consulting with the Clinic Manager as appropriate.</w:t>
      </w:r>
    </w:p>
    <w:p w14:paraId="6031DFF0" w14:textId="77777777" w:rsidR="00562C19" w:rsidRPr="00382162" w:rsidRDefault="00562C19"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outlineLvl w:val="9"/>
        <w:rPr>
          <w:rFonts w:cs="Arial"/>
          <w:szCs w:val="22"/>
        </w:rPr>
      </w:pPr>
    </w:p>
    <w:p w14:paraId="4772FD9E" w14:textId="63D967D4" w:rsidR="004E636D" w:rsidRDefault="004E636D" w:rsidP="00562C19">
      <w:pPr>
        <w:spacing w:line="276" w:lineRule="auto"/>
        <w:ind w:firstLine="720"/>
        <w:rPr>
          <w:rFonts w:cs="Arial"/>
          <w:szCs w:val="22"/>
        </w:rPr>
      </w:pPr>
      <w:r w:rsidRPr="00382162">
        <w:rPr>
          <w:rFonts w:cs="Arial"/>
          <w:szCs w:val="22"/>
        </w:rPr>
        <w:t xml:space="preserve">Throughout the </w:t>
      </w:r>
      <w:r w:rsidR="00405BCE">
        <w:rPr>
          <w:rFonts w:cs="Arial"/>
          <w:szCs w:val="22"/>
        </w:rPr>
        <w:t>call back</w:t>
      </w:r>
      <w:r w:rsidRPr="00382162">
        <w:rPr>
          <w:rFonts w:cs="Arial"/>
          <w:szCs w:val="22"/>
        </w:rPr>
        <w:t xml:space="preserve"> period the Coordinating Center will prepare reports to monitor enrollment by center, gender, country of origin, and age. </w:t>
      </w:r>
      <w:r w:rsidR="009D265A">
        <w:rPr>
          <w:rFonts w:cs="Arial"/>
          <w:szCs w:val="22"/>
        </w:rPr>
        <w:t>Scheduling</w:t>
      </w:r>
      <w:r w:rsidR="00405BCE" w:rsidRPr="00382162">
        <w:rPr>
          <w:rFonts w:cs="Arial"/>
          <w:szCs w:val="22"/>
        </w:rPr>
        <w:t xml:space="preserve"> </w:t>
      </w:r>
      <w:r w:rsidRPr="00382162">
        <w:rPr>
          <w:rFonts w:cs="Arial"/>
          <w:szCs w:val="22"/>
        </w:rPr>
        <w:t xml:space="preserve">and examination status </w:t>
      </w:r>
      <w:r w:rsidRPr="00382162">
        <w:rPr>
          <w:rFonts w:cs="Arial"/>
          <w:szCs w:val="22"/>
        </w:rPr>
        <w:lastRenderedPageBreak/>
        <w:t xml:space="preserve">reports will plot expected vs. actual recruitment rates for each </w:t>
      </w:r>
      <w:r w:rsidR="00562C19">
        <w:rPr>
          <w:rFonts w:cs="Arial"/>
          <w:szCs w:val="22"/>
        </w:rPr>
        <w:t>F</w:t>
      </w:r>
      <w:r w:rsidRPr="00382162">
        <w:rPr>
          <w:rFonts w:cs="Arial"/>
          <w:szCs w:val="22"/>
        </w:rPr>
        <w:t xml:space="preserve">ield </w:t>
      </w:r>
      <w:r w:rsidR="00562C19">
        <w:rPr>
          <w:rFonts w:cs="Arial"/>
          <w:szCs w:val="22"/>
        </w:rPr>
        <w:t>C</w:t>
      </w:r>
      <w:r w:rsidRPr="00382162">
        <w:rPr>
          <w:rFonts w:cs="Arial"/>
          <w:szCs w:val="22"/>
        </w:rPr>
        <w:t xml:space="preserve">enter, including cumulative and short-term performance.  These reports will be available on the study web site to enable the Steering Committee and NHLBI staff, as well as </w:t>
      </w:r>
      <w:r w:rsidR="00562C19">
        <w:rPr>
          <w:rFonts w:cs="Arial"/>
          <w:szCs w:val="22"/>
        </w:rPr>
        <w:t>F</w:t>
      </w:r>
      <w:r w:rsidRPr="00382162">
        <w:rPr>
          <w:rFonts w:cs="Arial"/>
          <w:szCs w:val="22"/>
        </w:rPr>
        <w:t xml:space="preserve">ield </w:t>
      </w:r>
      <w:r w:rsidR="00562C19">
        <w:rPr>
          <w:rFonts w:cs="Arial"/>
          <w:szCs w:val="22"/>
        </w:rPr>
        <w:t>C</w:t>
      </w:r>
      <w:r w:rsidRPr="00382162">
        <w:rPr>
          <w:rFonts w:cs="Arial"/>
          <w:szCs w:val="22"/>
        </w:rPr>
        <w:t xml:space="preserve">enter personnel, to closely monitor overall recruitment. </w:t>
      </w:r>
    </w:p>
    <w:p w14:paraId="7468D333" w14:textId="77777777" w:rsidR="00562C19" w:rsidRPr="00382162" w:rsidRDefault="00562C19" w:rsidP="00562C19">
      <w:pPr>
        <w:spacing w:line="276" w:lineRule="auto"/>
        <w:ind w:firstLine="720"/>
        <w:rPr>
          <w:rFonts w:cs="Arial"/>
          <w:szCs w:val="22"/>
        </w:rPr>
      </w:pPr>
    </w:p>
    <w:p w14:paraId="2178836C" w14:textId="355424ED" w:rsidR="00474E31" w:rsidRPr="00382162" w:rsidRDefault="00382162" w:rsidP="00562C19">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cs="Arial"/>
          <w:szCs w:val="22"/>
        </w:rPr>
      </w:pPr>
      <w:r>
        <w:rPr>
          <w:rFonts w:cs="Arial"/>
          <w:szCs w:val="22"/>
        </w:rPr>
        <w:tab/>
      </w:r>
      <w:r w:rsidR="00474E31" w:rsidRPr="00382162">
        <w:rPr>
          <w:rFonts w:cs="Arial"/>
          <w:szCs w:val="22"/>
        </w:rPr>
        <w:t xml:space="preserve">The Study will hold periodic conference calls of the </w:t>
      </w:r>
      <w:r w:rsidR="00405BCE" w:rsidRPr="00CB0B13">
        <w:rPr>
          <w:rFonts w:cs="Arial"/>
          <w:szCs w:val="22"/>
          <w:highlight w:val="yellow"/>
        </w:rPr>
        <w:t xml:space="preserve">cohort </w:t>
      </w:r>
      <w:r w:rsidR="00F57366" w:rsidRPr="00CB0B13">
        <w:rPr>
          <w:rFonts w:cs="Arial"/>
          <w:szCs w:val="22"/>
          <w:highlight w:val="yellow"/>
        </w:rPr>
        <w:t xml:space="preserve">Visit 2 recall and </w:t>
      </w:r>
      <w:r w:rsidR="00405BCE" w:rsidRPr="00CB0B13">
        <w:rPr>
          <w:rFonts w:cs="Arial"/>
          <w:szCs w:val="22"/>
          <w:highlight w:val="yellow"/>
        </w:rPr>
        <w:t xml:space="preserve">retention </w:t>
      </w:r>
      <w:r w:rsidR="00474E31" w:rsidRPr="00CB0B13">
        <w:rPr>
          <w:rFonts w:cs="Arial"/>
          <w:szCs w:val="22"/>
          <w:highlight w:val="yellow"/>
        </w:rPr>
        <w:t xml:space="preserve">supervisors of each </w:t>
      </w:r>
      <w:r w:rsidR="00CB0B13">
        <w:rPr>
          <w:rFonts w:cs="Arial"/>
          <w:szCs w:val="22"/>
          <w:highlight w:val="yellow"/>
        </w:rPr>
        <w:t>F</w:t>
      </w:r>
      <w:r w:rsidR="00474E31" w:rsidRPr="00CB0B13">
        <w:rPr>
          <w:rFonts w:cs="Arial"/>
          <w:szCs w:val="22"/>
          <w:highlight w:val="yellow"/>
        </w:rPr>
        <w:t xml:space="preserve">ield </w:t>
      </w:r>
      <w:r w:rsidR="00CB0B13">
        <w:rPr>
          <w:rFonts w:cs="Arial"/>
          <w:szCs w:val="22"/>
          <w:highlight w:val="yellow"/>
        </w:rPr>
        <w:t>C</w:t>
      </w:r>
      <w:r w:rsidR="00474E31" w:rsidRPr="00CB0B13">
        <w:rPr>
          <w:rFonts w:cs="Arial"/>
          <w:szCs w:val="22"/>
          <w:highlight w:val="yellow"/>
        </w:rPr>
        <w:t>enter</w:t>
      </w:r>
      <w:r w:rsidR="00474E31" w:rsidRPr="00382162">
        <w:rPr>
          <w:rFonts w:cs="Arial"/>
          <w:szCs w:val="22"/>
        </w:rPr>
        <w:t xml:space="preserve"> with the </w:t>
      </w:r>
      <w:r w:rsidR="00405BCE">
        <w:rPr>
          <w:rFonts w:cs="Arial"/>
          <w:szCs w:val="22"/>
        </w:rPr>
        <w:t>Cohort Retention Committee</w:t>
      </w:r>
      <w:r w:rsidR="00474E31" w:rsidRPr="00382162">
        <w:rPr>
          <w:rFonts w:cs="Arial"/>
          <w:szCs w:val="22"/>
        </w:rPr>
        <w:t xml:space="preserve">. Initially these calls will be held </w:t>
      </w:r>
      <w:r w:rsidR="00405BCE">
        <w:rPr>
          <w:rFonts w:cs="Arial"/>
          <w:szCs w:val="22"/>
        </w:rPr>
        <w:t>at least twice a month</w:t>
      </w:r>
      <w:r w:rsidR="00474E31" w:rsidRPr="00382162">
        <w:rPr>
          <w:rFonts w:cs="Arial"/>
          <w:szCs w:val="22"/>
        </w:rPr>
        <w:t xml:space="preserve">, until a </w:t>
      </w:r>
      <w:r w:rsidR="00562C19">
        <w:rPr>
          <w:rFonts w:cs="Arial"/>
          <w:szCs w:val="22"/>
        </w:rPr>
        <w:t>F</w:t>
      </w:r>
      <w:r w:rsidR="00474E31" w:rsidRPr="00382162">
        <w:rPr>
          <w:rFonts w:cs="Arial"/>
          <w:szCs w:val="22"/>
        </w:rPr>
        <w:t xml:space="preserve">ield </w:t>
      </w:r>
      <w:r w:rsidR="00562C19">
        <w:rPr>
          <w:rFonts w:cs="Arial"/>
          <w:szCs w:val="22"/>
        </w:rPr>
        <w:t>C</w:t>
      </w:r>
      <w:r w:rsidR="00474E31" w:rsidRPr="00382162">
        <w:rPr>
          <w:rFonts w:cs="Arial"/>
          <w:szCs w:val="22"/>
        </w:rPr>
        <w:t xml:space="preserve">enter’s </w:t>
      </w:r>
      <w:r w:rsidR="0061130B">
        <w:rPr>
          <w:rFonts w:cs="Arial"/>
          <w:szCs w:val="22"/>
        </w:rPr>
        <w:t>visit attendance rate</w:t>
      </w:r>
      <w:r w:rsidR="00405BCE" w:rsidRPr="00382162">
        <w:rPr>
          <w:rFonts w:cs="Arial"/>
          <w:szCs w:val="22"/>
        </w:rPr>
        <w:t xml:space="preserve"> </w:t>
      </w:r>
      <w:r w:rsidR="00474E31" w:rsidRPr="00382162">
        <w:rPr>
          <w:rFonts w:cs="Arial"/>
          <w:szCs w:val="22"/>
        </w:rPr>
        <w:t xml:space="preserve">tracks at or above the </w:t>
      </w:r>
      <w:r w:rsidR="00405BCE">
        <w:rPr>
          <w:rFonts w:cs="Arial"/>
          <w:szCs w:val="22"/>
        </w:rPr>
        <w:t>projected</w:t>
      </w:r>
      <w:r w:rsidR="00405BCE" w:rsidRPr="00382162">
        <w:rPr>
          <w:rFonts w:cs="Arial"/>
          <w:szCs w:val="22"/>
        </w:rPr>
        <w:t xml:space="preserve"> </w:t>
      </w:r>
      <w:r w:rsidR="00FF13FD">
        <w:rPr>
          <w:rFonts w:cs="Arial"/>
          <w:szCs w:val="22"/>
        </w:rPr>
        <w:t xml:space="preserve">re-examination </w:t>
      </w:r>
      <w:r w:rsidR="00474E31" w:rsidRPr="00382162">
        <w:rPr>
          <w:rFonts w:cs="Arial"/>
          <w:szCs w:val="22"/>
        </w:rPr>
        <w:t xml:space="preserve">goal. The purpose of the calls will be to review successful strategies and to facilitate the sharing of materials. A </w:t>
      </w:r>
      <w:r w:rsidR="00562C19">
        <w:rPr>
          <w:rFonts w:cs="Arial"/>
          <w:szCs w:val="22"/>
        </w:rPr>
        <w:t>F</w:t>
      </w:r>
      <w:r w:rsidR="00474E31" w:rsidRPr="00382162">
        <w:rPr>
          <w:rFonts w:cs="Arial"/>
          <w:szCs w:val="22"/>
        </w:rPr>
        <w:t xml:space="preserve">ield </w:t>
      </w:r>
      <w:r w:rsidR="00562C19">
        <w:rPr>
          <w:rFonts w:cs="Arial"/>
          <w:szCs w:val="22"/>
        </w:rPr>
        <w:t>C</w:t>
      </w:r>
      <w:r w:rsidR="00474E31" w:rsidRPr="00382162">
        <w:rPr>
          <w:rFonts w:cs="Arial"/>
          <w:szCs w:val="22"/>
        </w:rPr>
        <w:t xml:space="preserve">enter with sub-optimal </w:t>
      </w:r>
      <w:r w:rsidR="00FF13FD">
        <w:rPr>
          <w:rFonts w:cs="Arial"/>
          <w:szCs w:val="22"/>
        </w:rPr>
        <w:t xml:space="preserve">return </w:t>
      </w:r>
      <w:r w:rsidR="00474E31" w:rsidRPr="00382162">
        <w:rPr>
          <w:rFonts w:cs="Arial"/>
          <w:szCs w:val="22"/>
        </w:rPr>
        <w:t xml:space="preserve">yield will be asked to develop supplemental or alternative techniques to improve </w:t>
      </w:r>
      <w:r w:rsidR="0026709F">
        <w:rPr>
          <w:rFonts w:cs="Arial"/>
          <w:szCs w:val="22"/>
        </w:rPr>
        <w:t xml:space="preserve">Visit 2 </w:t>
      </w:r>
      <w:r w:rsidR="00474E31" w:rsidRPr="00382162">
        <w:rPr>
          <w:rFonts w:cs="Arial"/>
          <w:szCs w:val="22"/>
        </w:rPr>
        <w:t xml:space="preserve">recruitment rates.  If a </w:t>
      </w:r>
      <w:r w:rsidR="00562C19">
        <w:rPr>
          <w:rFonts w:cs="Arial"/>
          <w:szCs w:val="22"/>
        </w:rPr>
        <w:t>F</w:t>
      </w:r>
      <w:r w:rsidR="00474E31" w:rsidRPr="00382162">
        <w:rPr>
          <w:rFonts w:cs="Arial"/>
          <w:szCs w:val="22"/>
        </w:rPr>
        <w:t xml:space="preserve">ield </w:t>
      </w:r>
      <w:r w:rsidR="00562C19">
        <w:rPr>
          <w:rFonts w:cs="Arial"/>
          <w:szCs w:val="22"/>
        </w:rPr>
        <w:t>C</w:t>
      </w:r>
      <w:r w:rsidR="00474E31" w:rsidRPr="00382162">
        <w:rPr>
          <w:rFonts w:cs="Arial"/>
          <w:szCs w:val="22"/>
        </w:rPr>
        <w:t xml:space="preserve">enter were to encounter persistent </w:t>
      </w:r>
      <w:r w:rsidR="00405BCE">
        <w:rPr>
          <w:rFonts w:cs="Arial"/>
          <w:szCs w:val="22"/>
        </w:rPr>
        <w:t>call back</w:t>
      </w:r>
      <w:r w:rsidR="00405BCE" w:rsidRPr="00382162">
        <w:rPr>
          <w:rFonts w:cs="Arial"/>
          <w:szCs w:val="22"/>
        </w:rPr>
        <w:t xml:space="preserve"> </w:t>
      </w:r>
      <w:r w:rsidR="00FF13FD">
        <w:rPr>
          <w:rFonts w:cs="Arial"/>
          <w:szCs w:val="22"/>
        </w:rPr>
        <w:t xml:space="preserve">attendance </w:t>
      </w:r>
      <w:r w:rsidR="00474E31" w:rsidRPr="00382162">
        <w:rPr>
          <w:rFonts w:cs="Arial"/>
          <w:szCs w:val="22"/>
        </w:rPr>
        <w:t>difficulties, a monitoring visit will be made.</w:t>
      </w:r>
    </w:p>
    <w:p w14:paraId="2671183E" w14:textId="77777777" w:rsidR="009D265A" w:rsidRDefault="009D265A"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outlineLvl w:val="9"/>
        <w:rPr>
          <w:b/>
        </w:rPr>
      </w:pPr>
    </w:p>
    <w:p w14:paraId="3D2E99C7" w14:textId="77777777" w:rsidR="001E7A06" w:rsidRPr="00562C19" w:rsidRDefault="001E7A06" w:rsidP="00562C19">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outlineLvl w:val="9"/>
        <w:rPr>
          <w:b/>
        </w:rPr>
      </w:pPr>
      <w:r w:rsidRPr="00562C19">
        <w:rPr>
          <w:b/>
        </w:rPr>
        <w:t xml:space="preserve">B.4. Test of Procedures or Methods to be </w:t>
      </w:r>
      <w:proofErr w:type="gramStart"/>
      <w:r w:rsidRPr="00562C19">
        <w:rPr>
          <w:b/>
        </w:rPr>
        <w:t>Undertaken</w:t>
      </w:r>
      <w:proofErr w:type="gramEnd"/>
    </w:p>
    <w:p w14:paraId="3FCE48B3" w14:textId="24804395" w:rsidR="00D466ED" w:rsidRPr="00844EE7" w:rsidRDefault="001E7A06" w:rsidP="00562C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pPr>
      <w:r>
        <w:t xml:space="preserve">There will be no new procedures or methods of data collection undertaken during the </w:t>
      </w:r>
      <w:r w:rsidR="00A60DCF">
        <w:t>HCSH/SOL</w:t>
      </w:r>
      <w:r>
        <w:t xml:space="preserve">. The procedures and methods of data collection </w:t>
      </w:r>
      <w:r w:rsidR="00A60DCF">
        <w:t xml:space="preserve">are proven and </w:t>
      </w:r>
      <w:r>
        <w:t xml:space="preserve">have been </w:t>
      </w:r>
      <w:r w:rsidR="00A60DCF">
        <w:t xml:space="preserve">used in </w:t>
      </w:r>
      <w:r w:rsidR="00A60DCF" w:rsidRPr="00CB0B13">
        <w:t xml:space="preserve">previous collections </w:t>
      </w:r>
      <w:r w:rsidRPr="00CB0B13">
        <w:t xml:space="preserve">to minimize burden and improve utility. </w:t>
      </w:r>
      <w:r w:rsidR="00A070D9" w:rsidRPr="00CB0B13">
        <w:t xml:space="preserve"> </w:t>
      </w:r>
      <w:r w:rsidR="00A070D9" w:rsidRPr="00CB0B13">
        <w:rPr>
          <w:highlight w:val="yellow"/>
        </w:rPr>
        <w:t xml:space="preserve">The </w:t>
      </w:r>
      <w:r w:rsidR="00844EE7" w:rsidRPr="00CB0B13">
        <w:rPr>
          <w:highlight w:val="yellow"/>
        </w:rPr>
        <w:t xml:space="preserve">attachment </w:t>
      </w:r>
      <w:r w:rsidR="00CB0B13" w:rsidRPr="00CB0B13">
        <w:rPr>
          <w:highlight w:val="yellow"/>
        </w:rPr>
        <w:t>Sources of Questionnaires and Protocols</w:t>
      </w:r>
      <w:r w:rsidR="001B4832" w:rsidRPr="00CB0B13">
        <w:rPr>
          <w:highlight w:val="yellow"/>
        </w:rPr>
        <w:t xml:space="preserve"> [Appendix 2</w:t>
      </w:r>
      <w:r w:rsidR="00844769">
        <w:rPr>
          <w:highlight w:val="yellow"/>
        </w:rPr>
        <w:t>0</w:t>
      </w:r>
      <w:r w:rsidR="001B4832" w:rsidRPr="00CB0B13">
        <w:rPr>
          <w:highlight w:val="yellow"/>
        </w:rPr>
        <w:t>]</w:t>
      </w:r>
      <w:r w:rsidR="00844EE7" w:rsidRPr="00CB0B13">
        <w:t xml:space="preserve"> </w:t>
      </w:r>
      <w:r w:rsidR="00A070D9" w:rsidRPr="00CB0B13">
        <w:t>provides the source of procedures</w:t>
      </w:r>
      <w:r w:rsidR="00CB0B13">
        <w:t xml:space="preserve"> and </w:t>
      </w:r>
      <w:r w:rsidR="00A070D9" w:rsidRPr="00CB0B13">
        <w:t>protocols used in this study.</w:t>
      </w:r>
      <w:r w:rsidR="00A070D9" w:rsidRPr="00D53105">
        <w:t xml:space="preserve"> </w:t>
      </w:r>
    </w:p>
    <w:p w14:paraId="67C7D9F6" w14:textId="77777777" w:rsidR="00F66B3D" w:rsidRDefault="00F66B3D" w:rsidP="00A070D9"/>
    <w:p w14:paraId="48A86A47" w14:textId="77777777" w:rsidR="00DE44E8" w:rsidRDefault="00DE44E8" w:rsidP="00DE4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b/>
        </w:rPr>
      </w:pPr>
    </w:p>
    <w:p w14:paraId="79019186" w14:textId="77777777" w:rsidR="001E7A06" w:rsidRPr="00DE44E8" w:rsidRDefault="001E7A06" w:rsidP="00DE44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b/>
        </w:rPr>
      </w:pPr>
      <w:r w:rsidRPr="00DE44E8">
        <w:rPr>
          <w:b/>
        </w:rPr>
        <w:t>B.5. Individuals Consulted on Statistical Aspects and Individuals Collecting and/or Analyzing Data</w:t>
      </w:r>
    </w:p>
    <w:p w14:paraId="4C38B5BE" w14:textId="77777777" w:rsidR="001E7A06" w:rsidRDefault="001E7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
        <w:t xml:space="preserve">The following individuals were consulted on </w:t>
      </w:r>
      <w:r w:rsidRPr="005D0856">
        <w:rPr>
          <w:u w:val="single"/>
        </w:rPr>
        <w:t>statistical aspects</w:t>
      </w:r>
      <w:r>
        <w:t>:</w:t>
      </w:r>
    </w:p>
    <w:p w14:paraId="36A121CD" w14:textId="77777777" w:rsidR="003343D8" w:rsidRDefault="003343D8" w:rsidP="00161DCD">
      <w:pPr>
        <w:ind w:left="720" w:firstLine="720"/>
      </w:pPr>
      <w:r>
        <w:t>William Kalsbee</w:t>
      </w:r>
      <w:r w:rsidR="00161DCD">
        <w:t>k</w:t>
      </w:r>
      <w:r>
        <w:t xml:space="preserve">, Ph.D.  </w:t>
      </w:r>
      <w:r w:rsidR="003C0420">
        <w:t xml:space="preserve">Phone: </w:t>
      </w:r>
      <w:r>
        <w:t>(919)</w:t>
      </w:r>
      <w:r w:rsidR="005513B0">
        <w:t xml:space="preserve"> </w:t>
      </w:r>
      <w:r>
        <w:t>962-3249</w:t>
      </w:r>
    </w:p>
    <w:p w14:paraId="260B82B2" w14:textId="22A1A921" w:rsidR="0030133C" w:rsidRDefault="0030133C" w:rsidP="00161DCD">
      <w:pPr>
        <w:ind w:left="720" w:firstLine="720"/>
      </w:pPr>
      <w:r>
        <w:t>Professor of Biostatistics</w:t>
      </w:r>
    </w:p>
    <w:p w14:paraId="5E9A7EE7" w14:textId="1A526635" w:rsidR="003343D8" w:rsidRDefault="008574FD" w:rsidP="00161DCD">
      <w:pPr>
        <w:ind w:left="720" w:firstLine="720"/>
      </w:pPr>
      <w:r>
        <w:t xml:space="preserve">Past </w:t>
      </w:r>
      <w:r w:rsidR="003343D8">
        <w:t>Director, Survey Research Unit</w:t>
      </w:r>
    </w:p>
    <w:p w14:paraId="68033E0E" w14:textId="77777777" w:rsidR="003343D8" w:rsidRDefault="003343D8" w:rsidP="00161DCD">
      <w:pPr>
        <w:ind w:left="720" w:firstLine="720"/>
      </w:pPr>
      <w:r>
        <w:t>University of North Carolina, Chapel Hill</w:t>
      </w:r>
    </w:p>
    <w:p w14:paraId="5F708CA1" w14:textId="77777777" w:rsidR="00161DCD" w:rsidRDefault="00161DCD" w:rsidP="00161DCD">
      <w:pPr>
        <w:ind w:left="720"/>
      </w:pPr>
    </w:p>
    <w:p w14:paraId="72944133" w14:textId="259B9621" w:rsidR="003343D8" w:rsidRPr="00903010" w:rsidRDefault="008574FD" w:rsidP="00161DCD">
      <w:pPr>
        <w:ind w:left="720" w:firstLine="720"/>
      </w:pPr>
      <w:r w:rsidRPr="00903010">
        <w:t xml:space="preserve">Jianwen </w:t>
      </w:r>
      <w:proofErr w:type="gramStart"/>
      <w:r w:rsidRPr="00903010">
        <w:t>Cai</w:t>
      </w:r>
      <w:proofErr w:type="gramEnd"/>
      <w:r w:rsidR="00161DCD" w:rsidRPr="00903010">
        <w:t xml:space="preserve">, Ph.D.  </w:t>
      </w:r>
      <w:r w:rsidR="003C0420" w:rsidRPr="00903010">
        <w:t xml:space="preserve">Phone: </w:t>
      </w:r>
      <w:r w:rsidR="00161DCD" w:rsidRPr="00903010">
        <w:t>(919) 966-</w:t>
      </w:r>
      <w:r w:rsidRPr="00903010">
        <w:t>778</w:t>
      </w:r>
      <w:r w:rsidR="00161DCD" w:rsidRPr="00903010">
        <w:t>8</w:t>
      </w:r>
    </w:p>
    <w:p w14:paraId="38B9E13A" w14:textId="19455E84" w:rsidR="0094594E" w:rsidRDefault="0094594E" w:rsidP="0094594E">
      <w:pPr>
        <w:ind w:left="720" w:firstLine="720"/>
      </w:pPr>
      <w:r>
        <w:t>Professor of Biostatistics</w:t>
      </w:r>
      <w:r w:rsidR="003F6C7E">
        <w:t xml:space="preserve"> and </w:t>
      </w:r>
      <w:r w:rsidR="0030133C">
        <w:t>Vice</w:t>
      </w:r>
      <w:r>
        <w:t xml:space="preserve"> Chair</w:t>
      </w:r>
    </w:p>
    <w:p w14:paraId="3C96258F" w14:textId="77777777" w:rsidR="00161DCD" w:rsidRDefault="00161DCD" w:rsidP="00161DCD">
      <w:pPr>
        <w:ind w:left="720" w:firstLine="720"/>
      </w:pPr>
      <w:r>
        <w:t>Collaborative Studies Coordinating Center,</w:t>
      </w:r>
    </w:p>
    <w:p w14:paraId="0DFCF9A4" w14:textId="77777777" w:rsidR="008574FD" w:rsidRDefault="00161DCD" w:rsidP="00161DCD">
      <w:pPr>
        <w:ind w:left="720" w:firstLine="720"/>
      </w:pPr>
      <w:r>
        <w:t>University of North Carolina, Chapel Hill</w:t>
      </w:r>
    </w:p>
    <w:p w14:paraId="05958267" w14:textId="77777777" w:rsidR="008574FD" w:rsidRDefault="008574FD" w:rsidP="00161DCD">
      <w:pPr>
        <w:ind w:left="720" w:firstLine="720"/>
      </w:pPr>
    </w:p>
    <w:p w14:paraId="7161B02A" w14:textId="77777777" w:rsidR="0094594E" w:rsidRDefault="008574FD" w:rsidP="00161DCD">
      <w:pPr>
        <w:ind w:left="720" w:firstLine="720"/>
      </w:pPr>
      <w:r>
        <w:t>Donglin</w:t>
      </w:r>
      <w:r w:rsidR="00B7550B">
        <w:t xml:space="preserve"> Zeng, Ph.D.  Phone: (919)</w:t>
      </w:r>
      <w:r w:rsidR="0094594E">
        <w:t xml:space="preserve"> 966-7273</w:t>
      </w:r>
    </w:p>
    <w:p w14:paraId="3FE67212" w14:textId="64B59B16" w:rsidR="0094594E" w:rsidRDefault="0094594E" w:rsidP="00161DCD">
      <w:pPr>
        <w:ind w:left="720" w:firstLine="720"/>
      </w:pPr>
      <w:r>
        <w:t xml:space="preserve">Professor of Biostatistics, Co-director </w:t>
      </w:r>
      <w:r w:rsidR="0030133C">
        <w:t xml:space="preserve">Carolina </w:t>
      </w:r>
      <w:r>
        <w:t xml:space="preserve">Survey Research </w:t>
      </w:r>
      <w:r w:rsidR="0030133C">
        <w:t>Laboratory</w:t>
      </w:r>
    </w:p>
    <w:p w14:paraId="2320B484" w14:textId="77777777" w:rsidR="0094594E" w:rsidRDefault="0094594E" w:rsidP="0094594E">
      <w:pPr>
        <w:ind w:left="720" w:firstLine="720"/>
      </w:pPr>
      <w:r>
        <w:t>University of North Carolina, Chapel Hill</w:t>
      </w:r>
    </w:p>
    <w:p w14:paraId="672BA54E" w14:textId="06B2E9B8" w:rsidR="007975BF" w:rsidRDefault="007975BF" w:rsidP="00161DCD">
      <w:pPr>
        <w:ind w:left="720" w:firstLine="720"/>
      </w:pPr>
      <w:r>
        <w:br/>
      </w:r>
    </w:p>
    <w:p w14:paraId="107190AF" w14:textId="77777777" w:rsidR="001E7A06" w:rsidRPr="005C30D2" w:rsidRDefault="001E7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Cs w:val="24"/>
        </w:rPr>
      </w:pPr>
      <w:r w:rsidRPr="005C30D2">
        <w:rPr>
          <w:szCs w:val="24"/>
        </w:rPr>
        <w:t xml:space="preserve">The following individuals are responsible for </w:t>
      </w:r>
      <w:r w:rsidRPr="005C30D2">
        <w:rPr>
          <w:szCs w:val="24"/>
          <w:u w:val="single"/>
        </w:rPr>
        <w:t>data collection</w:t>
      </w:r>
      <w:r w:rsidRPr="005C30D2">
        <w:rPr>
          <w:szCs w:val="24"/>
        </w:rPr>
        <w:t>:</w:t>
      </w:r>
    </w:p>
    <w:p w14:paraId="6FC839E6" w14:textId="3441DE8F" w:rsidR="00161DCD" w:rsidRDefault="00225E67"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lastRenderedPageBreak/>
        <w:t xml:space="preserve">Jianwen </w:t>
      </w:r>
      <w:proofErr w:type="gramStart"/>
      <w:r>
        <w:t>Cai</w:t>
      </w:r>
      <w:proofErr w:type="gramEnd"/>
      <w:r w:rsidR="00A76170" w:rsidRPr="00144ADD">
        <w:t>, PhD   </w:t>
      </w:r>
      <w:r w:rsidR="005513B0" w:rsidRPr="00144ADD">
        <w:t>Phone: (919) 96</w:t>
      </w:r>
      <w:r w:rsidR="000A694F">
        <w:t>6</w:t>
      </w:r>
      <w:r w:rsidR="005513B0" w:rsidRPr="00144ADD">
        <w:t>-</w:t>
      </w:r>
      <w:r w:rsidR="000A694F">
        <w:t>7788</w:t>
      </w:r>
      <w:r w:rsidR="000A694F" w:rsidRPr="00144ADD">
        <w:t xml:space="preserve"> </w:t>
      </w:r>
      <w:r w:rsidR="00A76170" w:rsidRPr="00144ADD">
        <w:br/>
        <w:t>Collaborati</w:t>
      </w:r>
      <w:r w:rsidR="00161DCD">
        <w:t xml:space="preserve">ve Studies Coordinating Center </w:t>
      </w:r>
    </w:p>
    <w:p w14:paraId="6F6232D3" w14:textId="77777777" w:rsidR="002F22C6" w:rsidRDefault="00A76170"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44ADD">
        <w:t>University of North Carolina</w:t>
      </w:r>
      <w:r w:rsidR="00161DCD">
        <w:t>, Chapel Hill</w:t>
      </w:r>
      <w:r w:rsidRPr="00144ADD">
        <w:br/>
      </w:r>
    </w:p>
    <w:p w14:paraId="2544B5AD" w14:textId="56EE99C1" w:rsidR="002F22C6" w:rsidRDefault="00480E59"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 xml:space="preserve">Martha </w:t>
      </w:r>
      <w:r>
        <w:t>Daviglus</w:t>
      </w:r>
      <w:r w:rsidR="002F22C6" w:rsidRPr="001E35FA">
        <w:t>, MD, PhD   </w:t>
      </w:r>
      <w:r w:rsidR="005513B0" w:rsidRPr="001E35FA">
        <w:t xml:space="preserve">Phone: (312) </w:t>
      </w:r>
      <w:r w:rsidR="000A694F">
        <w:t>413</w:t>
      </w:r>
      <w:r w:rsidR="005513B0" w:rsidRPr="001E35FA">
        <w:t>-</w:t>
      </w:r>
      <w:r w:rsidR="000A694F">
        <w:t>0739</w:t>
      </w:r>
      <w:r w:rsidR="002F22C6" w:rsidRPr="001E35FA">
        <w:t xml:space="preserve">   </w:t>
      </w:r>
      <w:r w:rsidR="002F22C6" w:rsidRPr="001E35FA">
        <w:br/>
        <w:t xml:space="preserve">Chicago Field Center: </w:t>
      </w:r>
      <w:r w:rsidR="00225E67">
        <w:t>University of Illinois at Chicago</w:t>
      </w:r>
      <w:r w:rsidR="002F22C6" w:rsidRPr="001E35FA">
        <w:br/>
      </w:r>
    </w:p>
    <w:p w14:paraId="57FA6C69" w14:textId="77777777" w:rsidR="005513B0" w:rsidRDefault="00480E59"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 xml:space="preserve">Neil </w:t>
      </w:r>
      <w:r w:rsidR="002F22C6" w:rsidRPr="001E35FA">
        <w:t>Schneiderman, PhD   </w:t>
      </w:r>
      <w:r w:rsidR="005513B0" w:rsidRPr="001E35FA">
        <w:t xml:space="preserve">Phone: 305-284-5467 </w:t>
      </w:r>
    </w:p>
    <w:p w14:paraId="3D1DEBAF" w14:textId="77777777" w:rsidR="002F22C6" w:rsidRDefault="002F22C6"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Miami Field Center: University of Miami</w:t>
      </w:r>
      <w:r w:rsidRPr="001E35FA">
        <w:br/>
      </w:r>
    </w:p>
    <w:p w14:paraId="3FE775DC" w14:textId="07E42D11" w:rsidR="00C65B32" w:rsidRDefault="00480E59"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7F1B9C">
        <w:t>Greg</w:t>
      </w:r>
      <w:r w:rsidR="00225E67">
        <w:t>ory A.</w:t>
      </w:r>
      <w:r w:rsidRPr="007F1B9C">
        <w:t xml:space="preserve"> </w:t>
      </w:r>
      <w:r w:rsidR="007F1B9C" w:rsidRPr="007F1B9C">
        <w:t>Talavera, MD, MPH    </w:t>
      </w:r>
      <w:r w:rsidR="005513B0" w:rsidRPr="007F1B9C">
        <w:t>Phone: 619 594-4086</w:t>
      </w:r>
      <w:proofErr w:type="gramStart"/>
      <w:r w:rsidR="007F1B9C" w:rsidRPr="007F1B9C">
        <w:t xml:space="preserve">  </w:t>
      </w:r>
      <w:proofErr w:type="gramEnd"/>
      <w:r w:rsidR="007F1B9C" w:rsidRPr="007F1B9C">
        <w:br/>
        <w:t>San Diego Field Center: San Diego State University</w:t>
      </w:r>
      <w:r w:rsidR="007F1B9C" w:rsidRPr="007F1B9C">
        <w:br/>
      </w:r>
    </w:p>
    <w:p w14:paraId="2DA1583B" w14:textId="1A8D5CAE" w:rsidR="002F22C6" w:rsidRPr="001E35FA" w:rsidRDefault="00225E67" w:rsidP="00EA4D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pPr>
      <w:r>
        <w:t>Robert Kaplan, PhD</w:t>
      </w:r>
      <w:r>
        <w:tab/>
      </w:r>
      <w:r w:rsidR="005513B0" w:rsidRPr="001E35FA">
        <w:t>Phone: (718) 430-</w:t>
      </w:r>
      <w:r w:rsidR="000A694F">
        <w:t>4076</w:t>
      </w:r>
      <w:r w:rsidR="002F22C6" w:rsidRPr="001E35FA">
        <w:t xml:space="preserve">   </w:t>
      </w:r>
    </w:p>
    <w:p w14:paraId="12A9EC1D" w14:textId="77777777" w:rsidR="00F4297E" w:rsidRDefault="002F22C6"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E35FA">
        <w:t>Bronx Field Center: Albert Einstein College of Medicine</w:t>
      </w:r>
    </w:p>
    <w:p w14:paraId="2A5EA237" w14:textId="77777777" w:rsidR="00F4297E" w:rsidRDefault="00F4297E"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79531098" w14:textId="1C48A619" w:rsidR="000443D8" w:rsidRDefault="00F4297E"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Scott Solomon</w:t>
      </w:r>
      <w:r w:rsidR="000A694F">
        <w:t>, MD   Phone: (857) 307-1960</w:t>
      </w:r>
    </w:p>
    <w:p w14:paraId="21C2AB13" w14:textId="358AF613" w:rsidR="00144ADD" w:rsidRPr="00144ADD" w:rsidRDefault="000443D8" w:rsidP="00551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3366FF"/>
          <w:szCs w:val="24"/>
        </w:rPr>
      </w:pPr>
      <w:r>
        <w:t>Echocardiography Reading Center: Brigham and Women’s Hospital</w:t>
      </w:r>
      <w:r w:rsidR="002F22C6" w:rsidRPr="001E35FA">
        <w:br/>
      </w:r>
    </w:p>
    <w:p w14:paraId="4429B0FF" w14:textId="77777777" w:rsidR="0074377C" w:rsidRPr="005C30D2" w:rsidRDefault="0074377C" w:rsidP="00743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rPr>
          <w:szCs w:val="24"/>
        </w:rPr>
      </w:pPr>
      <w:r w:rsidRPr="005C30D2">
        <w:rPr>
          <w:szCs w:val="24"/>
        </w:rPr>
        <w:t xml:space="preserve">The following individuals are responsible for </w:t>
      </w:r>
      <w:r w:rsidRPr="005C30D2">
        <w:rPr>
          <w:szCs w:val="24"/>
          <w:u w:val="single"/>
        </w:rPr>
        <w:t>data analysis</w:t>
      </w:r>
      <w:r w:rsidRPr="005C30D2">
        <w:rPr>
          <w:szCs w:val="24"/>
        </w:rPr>
        <w:t>:</w:t>
      </w:r>
    </w:p>
    <w:p w14:paraId="60E2A860" w14:textId="13569DF1" w:rsidR="00161DCD" w:rsidRDefault="00225E67" w:rsidP="00EA4DC9">
      <w:pPr>
        <w:ind w:left="1440"/>
        <w:rPr>
          <w:snapToGrid/>
          <w:szCs w:val="24"/>
        </w:rPr>
      </w:pPr>
      <w:r>
        <w:rPr>
          <w:snapToGrid/>
          <w:szCs w:val="24"/>
        </w:rPr>
        <w:t>Jianwen Cai, PhD</w:t>
      </w:r>
      <w:r w:rsidR="00EA4DC9" w:rsidRPr="00FE4E24">
        <w:rPr>
          <w:snapToGrid/>
          <w:szCs w:val="24"/>
        </w:rPr>
        <w:t xml:space="preserve">   </w:t>
      </w:r>
      <w:r w:rsidR="005513B0" w:rsidRPr="00FE4E24">
        <w:rPr>
          <w:snapToGrid/>
          <w:szCs w:val="24"/>
        </w:rPr>
        <w:t>Phone: (919) 96</w:t>
      </w:r>
      <w:r w:rsidR="000A694F">
        <w:rPr>
          <w:snapToGrid/>
          <w:szCs w:val="24"/>
        </w:rPr>
        <w:t>6</w:t>
      </w:r>
      <w:r w:rsidR="005513B0" w:rsidRPr="00FE4E24">
        <w:rPr>
          <w:snapToGrid/>
          <w:szCs w:val="24"/>
        </w:rPr>
        <w:t>-</w:t>
      </w:r>
      <w:r w:rsidR="000A694F">
        <w:rPr>
          <w:snapToGrid/>
          <w:szCs w:val="24"/>
        </w:rPr>
        <w:t>7788</w:t>
      </w:r>
      <w:r w:rsidR="00EA4DC9" w:rsidRPr="00FE4E24">
        <w:rPr>
          <w:snapToGrid/>
          <w:szCs w:val="24"/>
        </w:rPr>
        <w:br/>
        <w:t>Collaborative Studies Coordinating Center</w:t>
      </w:r>
      <w:r w:rsidR="00EA4DC9" w:rsidRPr="00FE4E24">
        <w:rPr>
          <w:snapToGrid/>
          <w:szCs w:val="24"/>
        </w:rPr>
        <w:br/>
        <w:t>Department of Biostatistics</w:t>
      </w:r>
      <w:r w:rsidR="00EA4DC9" w:rsidRPr="00FE4E24">
        <w:rPr>
          <w:snapToGrid/>
          <w:szCs w:val="24"/>
        </w:rPr>
        <w:br/>
        <w:t>University of North Carolina at Chapel Hill</w:t>
      </w:r>
      <w:r w:rsidR="00EA4DC9" w:rsidRPr="00FE4E24">
        <w:rPr>
          <w:snapToGrid/>
          <w:szCs w:val="24"/>
        </w:rPr>
        <w:br/>
      </w:r>
    </w:p>
    <w:p w14:paraId="726257AB" w14:textId="77777777" w:rsidR="00161DCD" w:rsidRDefault="00161DCD" w:rsidP="00EA4DC9">
      <w:pPr>
        <w:ind w:left="1440"/>
      </w:pPr>
      <w:r>
        <w:t>Gerardo Heiss, M.D., Ph.D.</w:t>
      </w:r>
      <w:r w:rsidR="005513B0">
        <w:t xml:space="preserve"> Phone: </w:t>
      </w:r>
      <w:r>
        <w:t>(919) 962-3253</w:t>
      </w:r>
    </w:p>
    <w:p w14:paraId="4F6FE3E3" w14:textId="12865DA0" w:rsidR="0061130B" w:rsidRDefault="0061130B" w:rsidP="00EA4DC9">
      <w:pPr>
        <w:ind w:left="1440"/>
      </w:pPr>
      <w:r>
        <w:t>Department of Epidemiology</w:t>
      </w:r>
    </w:p>
    <w:p w14:paraId="41CA316F" w14:textId="77777777" w:rsidR="00161DCD" w:rsidRDefault="00161DCD" w:rsidP="00EA4DC9">
      <w:pPr>
        <w:ind w:left="1440"/>
      </w:pPr>
      <w:r>
        <w:t>Collaborative Studies Coordinating Center</w:t>
      </w:r>
    </w:p>
    <w:p w14:paraId="04D741F9" w14:textId="77777777" w:rsidR="00161DCD" w:rsidRDefault="00161DCD" w:rsidP="00EA4DC9">
      <w:pPr>
        <w:ind w:left="1440"/>
      </w:pPr>
      <w:r>
        <w:t>University of North Carolina, Chapel Hill</w:t>
      </w:r>
    </w:p>
    <w:p w14:paraId="510AAE58" w14:textId="77777777" w:rsidR="00161DCD" w:rsidRDefault="00161DCD" w:rsidP="00EA4DC9">
      <w:pPr>
        <w:ind w:left="1440"/>
      </w:pPr>
    </w:p>
    <w:p w14:paraId="5554CAC0" w14:textId="2EE20EE3" w:rsidR="00225E67" w:rsidRDefault="00225E67" w:rsidP="00161DCD">
      <w:pPr>
        <w:ind w:left="1440"/>
      </w:pPr>
      <w:r>
        <w:t xml:space="preserve">Sonia Davis, </w:t>
      </w:r>
      <w:proofErr w:type="spellStart"/>
      <w:r w:rsidR="0094594E">
        <w:t>Dr</w:t>
      </w:r>
      <w:r>
        <w:t>Ph</w:t>
      </w:r>
      <w:proofErr w:type="spellEnd"/>
      <w:r w:rsidR="0094594E">
        <w:t>.  Phone: (919) 966-8333</w:t>
      </w:r>
    </w:p>
    <w:p w14:paraId="742C5F90" w14:textId="3459CFF5" w:rsidR="00225E67" w:rsidRDefault="0094594E" w:rsidP="00161DCD">
      <w:pPr>
        <w:ind w:left="1440"/>
      </w:pPr>
      <w:r>
        <w:rPr>
          <w:snapToGrid/>
          <w:szCs w:val="24"/>
        </w:rPr>
        <w:t xml:space="preserve">Director, </w:t>
      </w:r>
      <w:r w:rsidRPr="00FE4E24">
        <w:rPr>
          <w:snapToGrid/>
          <w:szCs w:val="24"/>
        </w:rPr>
        <w:t>Collaborative Studies Coordinating Center</w:t>
      </w:r>
      <w:r w:rsidRPr="00FE4E24">
        <w:rPr>
          <w:snapToGrid/>
          <w:szCs w:val="24"/>
        </w:rPr>
        <w:br/>
        <w:t>Department of Biostatistics</w:t>
      </w:r>
      <w:r w:rsidRPr="00FE4E24">
        <w:rPr>
          <w:snapToGrid/>
          <w:szCs w:val="24"/>
        </w:rPr>
        <w:br/>
        <w:t>University of North Carolina at Chapel Hill</w:t>
      </w:r>
    </w:p>
    <w:p w14:paraId="60762C90" w14:textId="1CF4EAD1" w:rsidR="00161DCD" w:rsidRDefault="00161DCD" w:rsidP="00161DCD">
      <w:pPr>
        <w:ind w:left="1440"/>
      </w:pPr>
      <w:r>
        <w:br/>
      </w:r>
    </w:p>
    <w:p w14:paraId="309871DF" w14:textId="77777777" w:rsidR="00EA4DC9" w:rsidRDefault="00EA4DC9" w:rsidP="00EA4DC9">
      <w:pPr>
        <w:ind w:left="1440"/>
      </w:pPr>
    </w:p>
    <w:sectPr w:rsidR="00EA4DC9" w:rsidSect="006F47C5">
      <w:headerReference w:type="default" r:id="rId14"/>
      <w:footerReference w:type="default" r:id="rId15"/>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D406A" w14:textId="77777777" w:rsidR="004526CA" w:rsidRDefault="004526CA">
      <w:r>
        <w:separator/>
      </w:r>
    </w:p>
  </w:endnote>
  <w:endnote w:type="continuationSeparator" w:id="0">
    <w:p w14:paraId="1E2EACA7" w14:textId="77777777" w:rsidR="004526CA" w:rsidRDefault="0045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C64EB" w14:textId="77777777" w:rsidR="00DD10D0" w:rsidRDefault="00DD10D0">
    <w:pPr>
      <w:pStyle w:val="Footer"/>
    </w:pPr>
    <w:r>
      <w:tab/>
    </w:r>
    <w:r>
      <w:rPr>
        <w:rStyle w:val="PageNumber"/>
      </w:rPr>
      <w:fldChar w:fldCharType="begin"/>
    </w:r>
    <w:r>
      <w:rPr>
        <w:rStyle w:val="PageNumber"/>
      </w:rPr>
      <w:instrText xml:space="preserve"> PAGE </w:instrText>
    </w:r>
    <w:r>
      <w:rPr>
        <w:rStyle w:val="PageNumber"/>
      </w:rPr>
      <w:fldChar w:fldCharType="separate"/>
    </w:r>
    <w:r w:rsidR="00F0266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8585BF" w14:textId="77777777" w:rsidR="004526CA" w:rsidRDefault="004526CA">
      <w:r>
        <w:separator/>
      </w:r>
    </w:p>
  </w:footnote>
  <w:footnote w:type="continuationSeparator" w:id="0">
    <w:p w14:paraId="05E32510" w14:textId="77777777" w:rsidR="004526CA" w:rsidRDefault="00452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3DE3" w14:textId="77777777" w:rsidR="00DD10D0" w:rsidRDefault="00DD10D0">
    <w:pPr>
      <w:pStyle w:val="Header"/>
      <w:framePr w:wrap="around" w:vAnchor="text" w:hAnchor="margin" w:xAlign="right" w:y="1"/>
      <w:rPr>
        <w:rStyle w:val="PageNumber"/>
      </w:rPr>
    </w:pPr>
    <w:r>
      <w:rPr>
        <w:rStyle w:val="PageNumber"/>
      </w:rPr>
      <w:tab/>
    </w:r>
    <w:r>
      <w:rPr>
        <w:rStyle w:val="PageNumber"/>
      </w:rPr>
      <w:tab/>
    </w:r>
  </w:p>
  <w:p w14:paraId="37A205F5" w14:textId="77777777" w:rsidR="00DD10D0" w:rsidRDefault="00DD10D0">
    <w:pPr>
      <w:pStyle w:val="Header"/>
      <w:framePr w:wrap="around" w:vAnchor="text" w:hAnchor="margin" w:xAlign="right" w:y="1"/>
      <w:ind w:right="360"/>
      <w:rPr>
        <w:rStyle w:val="PageNumber"/>
      </w:rPr>
    </w:pPr>
    <w:r>
      <w:rPr>
        <w:rStyle w:val="PageNumber"/>
      </w:rPr>
      <w:t xml:space="preserve">                                                                                                                                                    </w:t>
    </w:r>
  </w:p>
  <w:p w14:paraId="5DCB5AD6" w14:textId="77777777" w:rsidR="00DD10D0" w:rsidRDefault="00DD10D0">
    <w:pPr>
      <w:pStyle w:val="Header"/>
      <w:framePr w:wrap="around" w:vAnchor="text" w:hAnchor="margin" w:xAlign="right" w:y="1"/>
      <w:ind w:right="360"/>
      <w:rPr>
        <w:rStyle w:val="PageNumber"/>
      </w:rPr>
    </w:pPr>
  </w:p>
  <w:p w14:paraId="5D68A932" w14:textId="77777777" w:rsidR="00DD10D0" w:rsidRDefault="00DD10D0">
    <w:pPr>
      <w:ind w:right="360"/>
    </w:pPr>
    <w:r>
      <w:tab/>
    </w:r>
    <w:r>
      <w:tab/>
      <w:t xml:space="preserve">                                                                                                                                                                                    </w:t>
    </w: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1440"/>
        </w:tabs>
        <w:ind w:left="8640" w:hanging="79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pPr>
        <w:tabs>
          <w:tab w:val="num" w:pos="720"/>
        </w:tabs>
        <w:ind w:left="3600" w:hanging="360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7E63753"/>
    <w:multiLevelType w:val="hybridMultilevel"/>
    <w:tmpl w:val="65C8FE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DBA40BE"/>
    <w:multiLevelType w:val="hybridMultilevel"/>
    <w:tmpl w:val="84F899A0"/>
    <w:lvl w:ilvl="0" w:tplc="29981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75B3360"/>
    <w:multiLevelType w:val="hybridMultilevel"/>
    <w:tmpl w:val="0B4CE1C8"/>
    <w:lvl w:ilvl="0" w:tplc="C3FAE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8">
    <w:abstractNumId w:val="10"/>
  </w:num>
  <w:num w:numId="9">
    <w:abstractNumId w:val="3"/>
    <w:lvlOverride w:ilvl="0">
      <w:startOverride w:val="3"/>
      <w:lvl w:ilvl="0">
        <w:start w:val="3"/>
        <w:numFmt w:val="decimal"/>
        <w:lvlText w:val="%1."/>
        <w:lvlJc w:val="left"/>
      </w:lvl>
    </w:lvlOverride>
  </w:num>
  <w:num w:numId="10">
    <w:abstractNumId w:val="3"/>
    <w:lvlOverride w:ilvl="0">
      <w:startOverride w:val="3"/>
      <w:lvl w:ilvl="0">
        <w:start w:val="3"/>
        <w:numFmt w:val="decimal"/>
        <w:lvlText w:val="%1."/>
        <w:lvlJc w:val="left"/>
      </w:lvl>
    </w:lvlOverride>
  </w:num>
  <w:num w:numId="11">
    <w:abstractNumId w:val="3"/>
    <w:lvlOverride w:ilvl="0">
      <w:startOverride w:val="3"/>
      <w:lvl w:ilvl="0">
        <w:start w:val="3"/>
        <w:numFmt w:val="decimal"/>
        <w:lvlText w:val="%1."/>
        <w:lvlJc w:val="left"/>
      </w:lvl>
    </w:lvlOverride>
  </w:num>
  <w:num w:numId="12">
    <w:abstractNumId w:val="3"/>
    <w:lvlOverride w:ilvl="0">
      <w:startOverride w:val="3"/>
      <w:lvl w:ilvl="0">
        <w:start w:val="3"/>
        <w:numFmt w:val="decimal"/>
        <w:lvlText w:val="%1."/>
        <w:lvlJc w:val="left"/>
      </w:lvl>
    </w:lvlOverride>
  </w:num>
  <w:num w:numId="13">
    <w:abstractNumId w:val="3"/>
    <w:lvlOverride w:ilvl="0">
      <w:startOverride w:val="4"/>
      <w:lvl w:ilvl="0">
        <w:start w:val="4"/>
        <w:numFmt w:val="decimal"/>
        <w:lvlText w:val="%1."/>
        <w:lvlJc w:val="left"/>
      </w:lvl>
    </w:lvlOverride>
  </w:num>
  <w:num w:numId="14">
    <w:abstractNumId w:val="3"/>
    <w:lvlOverride w:ilvl="0">
      <w:startOverride w:val="4"/>
      <w:lvl w:ilvl="0">
        <w:start w:val="4"/>
        <w:numFmt w:val="decimal"/>
        <w:lvlText w:val="%1."/>
        <w:lvlJc w:val="left"/>
      </w:lvl>
    </w:lvlOverride>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0"/>
    <w:rsid w:val="00007E0F"/>
    <w:rsid w:val="0001150D"/>
    <w:rsid w:val="00012CD0"/>
    <w:rsid w:val="000140DD"/>
    <w:rsid w:val="000261D5"/>
    <w:rsid w:val="00026EFC"/>
    <w:rsid w:val="00031375"/>
    <w:rsid w:val="00036D90"/>
    <w:rsid w:val="00041D3A"/>
    <w:rsid w:val="00042E1D"/>
    <w:rsid w:val="000443D8"/>
    <w:rsid w:val="00044DAC"/>
    <w:rsid w:val="0004514F"/>
    <w:rsid w:val="00047651"/>
    <w:rsid w:val="00052F98"/>
    <w:rsid w:val="000673DD"/>
    <w:rsid w:val="00070775"/>
    <w:rsid w:val="0007107E"/>
    <w:rsid w:val="00073170"/>
    <w:rsid w:val="0007741F"/>
    <w:rsid w:val="000915C3"/>
    <w:rsid w:val="0009717D"/>
    <w:rsid w:val="000A3405"/>
    <w:rsid w:val="000A694F"/>
    <w:rsid w:val="000B0197"/>
    <w:rsid w:val="000B07B3"/>
    <w:rsid w:val="000B4C5E"/>
    <w:rsid w:val="000B632B"/>
    <w:rsid w:val="000C0C3D"/>
    <w:rsid w:val="000D262C"/>
    <w:rsid w:val="000D312A"/>
    <w:rsid w:val="000E0E7C"/>
    <w:rsid w:val="000E28FC"/>
    <w:rsid w:val="000E54ED"/>
    <w:rsid w:val="000E5E76"/>
    <w:rsid w:val="000E6FB7"/>
    <w:rsid w:val="000E73C6"/>
    <w:rsid w:val="000F2569"/>
    <w:rsid w:val="00101FF6"/>
    <w:rsid w:val="0010393D"/>
    <w:rsid w:val="00103C0B"/>
    <w:rsid w:val="00112B82"/>
    <w:rsid w:val="00113706"/>
    <w:rsid w:val="0011703E"/>
    <w:rsid w:val="00117FA3"/>
    <w:rsid w:val="00121D53"/>
    <w:rsid w:val="001252E2"/>
    <w:rsid w:val="00125E2F"/>
    <w:rsid w:val="00127530"/>
    <w:rsid w:val="001411E8"/>
    <w:rsid w:val="001432AF"/>
    <w:rsid w:val="00144ADD"/>
    <w:rsid w:val="001457F4"/>
    <w:rsid w:val="00160C42"/>
    <w:rsid w:val="00161DCD"/>
    <w:rsid w:val="00163AE9"/>
    <w:rsid w:val="001676B9"/>
    <w:rsid w:val="00171DC6"/>
    <w:rsid w:val="00174027"/>
    <w:rsid w:val="001828E7"/>
    <w:rsid w:val="00182CC3"/>
    <w:rsid w:val="001915A5"/>
    <w:rsid w:val="00197DAA"/>
    <w:rsid w:val="001B36C2"/>
    <w:rsid w:val="001B3E15"/>
    <w:rsid w:val="001B4832"/>
    <w:rsid w:val="001D037B"/>
    <w:rsid w:val="001D076D"/>
    <w:rsid w:val="001E14C1"/>
    <w:rsid w:val="001E35FA"/>
    <w:rsid w:val="001E3E8C"/>
    <w:rsid w:val="001E7A06"/>
    <w:rsid w:val="001F34DF"/>
    <w:rsid w:val="001F69AE"/>
    <w:rsid w:val="001F7AC7"/>
    <w:rsid w:val="001F7D9B"/>
    <w:rsid w:val="00200A71"/>
    <w:rsid w:val="00200FA1"/>
    <w:rsid w:val="00201FFE"/>
    <w:rsid w:val="0020304F"/>
    <w:rsid w:val="002036BA"/>
    <w:rsid w:val="00203C18"/>
    <w:rsid w:val="00222D50"/>
    <w:rsid w:val="00225821"/>
    <w:rsid w:val="00225E67"/>
    <w:rsid w:val="002449CD"/>
    <w:rsid w:val="00244D09"/>
    <w:rsid w:val="00244EAD"/>
    <w:rsid w:val="00245E05"/>
    <w:rsid w:val="002462FE"/>
    <w:rsid w:val="002525FA"/>
    <w:rsid w:val="00255D36"/>
    <w:rsid w:val="00257E80"/>
    <w:rsid w:val="002610E6"/>
    <w:rsid w:val="0026709F"/>
    <w:rsid w:val="0026741E"/>
    <w:rsid w:val="002722B6"/>
    <w:rsid w:val="00275ECA"/>
    <w:rsid w:val="002776AA"/>
    <w:rsid w:val="0028567C"/>
    <w:rsid w:val="002902D8"/>
    <w:rsid w:val="0029254A"/>
    <w:rsid w:val="002972EC"/>
    <w:rsid w:val="002A12C9"/>
    <w:rsid w:val="002A4486"/>
    <w:rsid w:val="002A6192"/>
    <w:rsid w:val="002A79A2"/>
    <w:rsid w:val="002B0E6B"/>
    <w:rsid w:val="002B3DD7"/>
    <w:rsid w:val="002B4536"/>
    <w:rsid w:val="002B707B"/>
    <w:rsid w:val="002C07D7"/>
    <w:rsid w:val="002C5C9F"/>
    <w:rsid w:val="002E74C2"/>
    <w:rsid w:val="002E7EE6"/>
    <w:rsid w:val="002F22C6"/>
    <w:rsid w:val="002F2A9A"/>
    <w:rsid w:val="002F4AA6"/>
    <w:rsid w:val="002F7EDB"/>
    <w:rsid w:val="0030133C"/>
    <w:rsid w:val="0030253D"/>
    <w:rsid w:val="00302887"/>
    <w:rsid w:val="003042D0"/>
    <w:rsid w:val="0030684B"/>
    <w:rsid w:val="00310A32"/>
    <w:rsid w:val="003213C4"/>
    <w:rsid w:val="003328E4"/>
    <w:rsid w:val="003343D8"/>
    <w:rsid w:val="00340145"/>
    <w:rsid w:val="00341948"/>
    <w:rsid w:val="0034251C"/>
    <w:rsid w:val="00347503"/>
    <w:rsid w:val="00355713"/>
    <w:rsid w:val="0036109C"/>
    <w:rsid w:val="003668FA"/>
    <w:rsid w:val="00382162"/>
    <w:rsid w:val="0038320A"/>
    <w:rsid w:val="003838D7"/>
    <w:rsid w:val="003931E9"/>
    <w:rsid w:val="00394132"/>
    <w:rsid w:val="003A08A2"/>
    <w:rsid w:val="003B05FE"/>
    <w:rsid w:val="003B61F8"/>
    <w:rsid w:val="003B6333"/>
    <w:rsid w:val="003B7C3D"/>
    <w:rsid w:val="003C0420"/>
    <w:rsid w:val="003C3075"/>
    <w:rsid w:val="003C3801"/>
    <w:rsid w:val="003C43CF"/>
    <w:rsid w:val="003C72EB"/>
    <w:rsid w:val="003D3660"/>
    <w:rsid w:val="003E0472"/>
    <w:rsid w:val="003E3A6E"/>
    <w:rsid w:val="003E3DC7"/>
    <w:rsid w:val="003E7322"/>
    <w:rsid w:val="003E751C"/>
    <w:rsid w:val="003F256E"/>
    <w:rsid w:val="003F4C58"/>
    <w:rsid w:val="003F5797"/>
    <w:rsid w:val="003F6C7E"/>
    <w:rsid w:val="004039B2"/>
    <w:rsid w:val="00405BCE"/>
    <w:rsid w:val="004129E5"/>
    <w:rsid w:val="004163D4"/>
    <w:rsid w:val="00423032"/>
    <w:rsid w:val="0043715C"/>
    <w:rsid w:val="0044130C"/>
    <w:rsid w:val="004526CA"/>
    <w:rsid w:val="00453B08"/>
    <w:rsid w:val="00461C4D"/>
    <w:rsid w:val="004636AE"/>
    <w:rsid w:val="004642C3"/>
    <w:rsid w:val="00472A2E"/>
    <w:rsid w:val="004736A4"/>
    <w:rsid w:val="00474E31"/>
    <w:rsid w:val="00480E59"/>
    <w:rsid w:val="00481636"/>
    <w:rsid w:val="004830E4"/>
    <w:rsid w:val="00483A7E"/>
    <w:rsid w:val="00483DD6"/>
    <w:rsid w:val="00484FBB"/>
    <w:rsid w:val="004863FF"/>
    <w:rsid w:val="004946D8"/>
    <w:rsid w:val="00495133"/>
    <w:rsid w:val="00495E58"/>
    <w:rsid w:val="004A749A"/>
    <w:rsid w:val="004B16F1"/>
    <w:rsid w:val="004B6E8C"/>
    <w:rsid w:val="004C44DE"/>
    <w:rsid w:val="004C6939"/>
    <w:rsid w:val="004E6327"/>
    <w:rsid w:val="004E636D"/>
    <w:rsid w:val="004E6767"/>
    <w:rsid w:val="004F2F44"/>
    <w:rsid w:val="004F3E69"/>
    <w:rsid w:val="004F52A4"/>
    <w:rsid w:val="004F6DA7"/>
    <w:rsid w:val="00500781"/>
    <w:rsid w:val="00505037"/>
    <w:rsid w:val="00507F59"/>
    <w:rsid w:val="00511D91"/>
    <w:rsid w:val="00513A84"/>
    <w:rsid w:val="0051764E"/>
    <w:rsid w:val="005204E0"/>
    <w:rsid w:val="00530908"/>
    <w:rsid w:val="005445AB"/>
    <w:rsid w:val="005513B0"/>
    <w:rsid w:val="005529E7"/>
    <w:rsid w:val="00553D6F"/>
    <w:rsid w:val="00562C19"/>
    <w:rsid w:val="0057343B"/>
    <w:rsid w:val="00581049"/>
    <w:rsid w:val="00583C06"/>
    <w:rsid w:val="00585F6B"/>
    <w:rsid w:val="00587A9A"/>
    <w:rsid w:val="005973EB"/>
    <w:rsid w:val="005973EE"/>
    <w:rsid w:val="005A15C3"/>
    <w:rsid w:val="005A3273"/>
    <w:rsid w:val="005B1667"/>
    <w:rsid w:val="005B4D12"/>
    <w:rsid w:val="005B6C78"/>
    <w:rsid w:val="005C0500"/>
    <w:rsid w:val="005C10F8"/>
    <w:rsid w:val="005C30D2"/>
    <w:rsid w:val="005D0856"/>
    <w:rsid w:val="005D1166"/>
    <w:rsid w:val="005D6E32"/>
    <w:rsid w:val="005E0368"/>
    <w:rsid w:val="005E2CBC"/>
    <w:rsid w:val="005E339C"/>
    <w:rsid w:val="005E6A07"/>
    <w:rsid w:val="005E6DA8"/>
    <w:rsid w:val="0060261C"/>
    <w:rsid w:val="0061130B"/>
    <w:rsid w:val="00616A12"/>
    <w:rsid w:val="006174A1"/>
    <w:rsid w:val="006174DB"/>
    <w:rsid w:val="006246D5"/>
    <w:rsid w:val="00625203"/>
    <w:rsid w:val="00625E0D"/>
    <w:rsid w:val="00627207"/>
    <w:rsid w:val="00632540"/>
    <w:rsid w:val="00651E0E"/>
    <w:rsid w:val="0065470C"/>
    <w:rsid w:val="00654751"/>
    <w:rsid w:val="006633FF"/>
    <w:rsid w:val="0066428A"/>
    <w:rsid w:val="00665952"/>
    <w:rsid w:val="006704E2"/>
    <w:rsid w:val="0068163F"/>
    <w:rsid w:val="00684CCE"/>
    <w:rsid w:val="006A0D61"/>
    <w:rsid w:val="006B185B"/>
    <w:rsid w:val="006B2224"/>
    <w:rsid w:val="006B318E"/>
    <w:rsid w:val="006B3F09"/>
    <w:rsid w:val="006B7A5B"/>
    <w:rsid w:val="006C354A"/>
    <w:rsid w:val="006D05FB"/>
    <w:rsid w:val="006D27F7"/>
    <w:rsid w:val="006D5465"/>
    <w:rsid w:val="006E42BB"/>
    <w:rsid w:val="006E4680"/>
    <w:rsid w:val="006E5B95"/>
    <w:rsid w:val="006F0753"/>
    <w:rsid w:val="006F47C5"/>
    <w:rsid w:val="00701277"/>
    <w:rsid w:val="0072070B"/>
    <w:rsid w:val="00720EFB"/>
    <w:rsid w:val="007226DE"/>
    <w:rsid w:val="007260DE"/>
    <w:rsid w:val="00731D97"/>
    <w:rsid w:val="00736778"/>
    <w:rsid w:val="00737828"/>
    <w:rsid w:val="0074377C"/>
    <w:rsid w:val="007467A6"/>
    <w:rsid w:val="00751345"/>
    <w:rsid w:val="00757C60"/>
    <w:rsid w:val="00771741"/>
    <w:rsid w:val="00772778"/>
    <w:rsid w:val="00784B55"/>
    <w:rsid w:val="0079162B"/>
    <w:rsid w:val="007964F1"/>
    <w:rsid w:val="007975BF"/>
    <w:rsid w:val="007A0AE2"/>
    <w:rsid w:val="007A23A0"/>
    <w:rsid w:val="007A3B10"/>
    <w:rsid w:val="007B1A50"/>
    <w:rsid w:val="007B271E"/>
    <w:rsid w:val="007B55C1"/>
    <w:rsid w:val="007C28C4"/>
    <w:rsid w:val="007C4F7A"/>
    <w:rsid w:val="007C5BEE"/>
    <w:rsid w:val="007C6BC1"/>
    <w:rsid w:val="007C778B"/>
    <w:rsid w:val="007D0399"/>
    <w:rsid w:val="007D6F3F"/>
    <w:rsid w:val="007E0415"/>
    <w:rsid w:val="007E2F52"/>
    <w:rsid w:val="007E3787"/>
    <w:rsid w:val="007E479B"/>
    <w:rsid w:val="007F1B9C"/>
    <w:rsid w:val="008044E8"/>
    <w:rsid w:val="0080706B"/>
    <w:rsid w:val="008171CB"/>
    <w:rsid w:val="00832A1F"/>
    <w:rsid w:val="00833C55"/>
    <w:rsid w:val="00834921"/>
    <w:rsid w:val="00836375"/>
    <w:rsid w:val="008377C9"/>
    <w:rsid w:val="008405C8"/>
    <w:rsid w:val="00840E7B"/>
    <w:rsid w:val="0084148E"/>
    <w:rsid w:val="00844769"/>
    <w:rsid w:val="00844EE7"/>
    <w:rsid w:val="008522BE"/>
    <w:rsid w:val="008574FD"/>
    <w:rsid w:val="00860DD0"/>
    <w:rsid w:val="0086282F"/>
    <w:rsid w:val="00864609"/>
    <w:rsid w:val="0087127B"/>
    <w:rsid w:val="00872C63"/>
    <w:rsid w:val="00874857"/>
    <w:rsid w:val="00875776"/>
    <w:rsid w:val="00880629"/>
    <w:rsid w:val="008939A7"/>
    <w:rsid w:val="0089549F"/>
    <w:rsid w:val="008B56B4"/>
    <w:rsid w:val="008C20AB"/>
    <w:rsid w:val="008D649C"/>
    <w:rsid w:val="008D7088"/>
    <w:rsid w:val="008E5717"/>
    <w:rsid w:val="008E5AA4"/>
    <w:rsid w:val="008F1A6C"/>
    <w:rsid w:val="008F2007"/>
    <w:rsid w:val="008F513C"/>
    <w:rsid w:val="008F610D"/>
    <w:rsid w:val="009006AA"/>
    <w:rsid w:val="0090272C"/>
    <w:rsid w:val="00903010"/>
    <w:rsid w:val="00903080"/>
    <w:rsid w:val="00917CD8"/>
    <w:rsid w:val="00924C78"/>
    <w:rsid w:val="00925307"/>
    <w:rsid w:val="0092539E"/>
    <w:rsid w:val="00932E01"/>
    <w:rsid w:val="009367E3"/>
    <w:rsid w:val="00941109"/>
    <w:rsid w:val="0094594E"/>
    <w:rsid w:val="00952054"/>
    <w:rsid w:val="00957345"/>
    <w:rsid w:val="0096496C"/>
    <w:rsid w:val="00966797"/>
    <w:rsid w:val="00977ED5"/>
    <w:rsid w:val="00987D6F"/>
    <w:rsid w:val="00992E9F"/>
    <w:rsid w:val="0099648F"/>
    <w:rsid w:val="00996904"/>
    <w:rsid w:val="009A2231"/>
    <w:rsid w:val="009B331F"/>
    <w:rsid w:val="009B4098"/>
    <w:rsid w:val="009B41C2"/>
    <w:rsid w:val="009D07A5"/>
    <w:rsid w:val="009D265A"/>
    <w:rsid w:val="009D3F16"/>
    <w:rsid w:val="009D5090"/>
    <w:rsid w:val="009D671E"/>
    <w:rsid w:val="009E1B25"/>
    <w:rsid w:val="009E3DEE"/>
    <w:rsid w:val="009F4021"/>
    <w:rsid w:val="00A0048A"/>
    <w:rsid w:val="00A0488A"/>
    <w:rsid w:val="00A0627E"/>
    <w:rsid w:val="00A070D9"/>
    <w:rsid w:val="00A13001"/>
    <w:rsid w:val="00A16DC1"/>
    <w:rsid w:val="00A33ACA"/>
    <w:rsid w:val="00A36F1D"/>
    <w:rsid w:val="00A45D9F"/>
    <w:rsid w:val="00A52CA3"/>
    <w:rsid w:val="00A60DCF"/>
    <w:rsid w:val="00A61AEC"/>
    <w:rsid w:val="00A62B0F"/>
    <w:rsid w:val="00A651C9"/>
    <w:rsid w:val="00A76170"/>
    <w:rsid w:val="00A80697"/>
    <w:rsid w:val="00A81170"/>
    <w:rsid w:val="00A94601"/>
    <w:rsid w:val="00AA4191"/>
    <w:rsid w:val="00AA4CDA"/>
    <w:rsid w:val="00AA4F11"/>
    <w:rsid w:val="00AB0576"/>
    <w:rsid w:val="00AC323A"/>
    <w:rsid w:val="00AC7096"/>
    <w:rsid w:val="00AD21C2"/>
    <w:rsid w:val="00AD30C4"/>
    <w:rsid w:val="00AD7469"/>
    <w:rsid w:val="00AE1A37"/>
    <w:rsid w:val="00AE48E0"/>
    <w:rsid w:val="00B00B0D"/>
    <w:rsid w:val="00B0528A"/>
    <w:rsid w:val="00B10479"/>
    <w:rsid w:val="00B11DAB"/>
    <w:rsid w:val="00B22FA5"/>
    <w:rsid w:val="00B24788"/>
    <w:rsid w:val="00B34D6E"/>
    <w:rsid w:val="00B35A07"/>
    <w:rsid w:val="00B36734"/>
    <w:rsid w:val="00B4385F"/>
    <w:rsid w:val="00B4479B"/>
    <w:rsid w:val="00B56DD5"/>
    <w:rsid w:val="00B7550B"/>
    <w:rsid w:val="00B761E8"/>
    <w:rsid w:val="00B8427F"/>
    <w:rsid w:val="00B914B8"/>
    <w:rsid w:val="00B91867"/>
    <w:rsid w:val="00B92827"/>
    <w:rsid w:val="00B96816"/>
    <w:rsid w:val="00B972D6"/>
    <w:rsid w:val="00BA78A3"/>
    <w:rsid w:val="00BB349F"/>
    <w:rsid w:val="00BB437D"/>
    <w:rsid w:val="00BB7582"/>
    <w:rsid w:val="00BC4756"/>
    <w:rsid w:val="00BD150A"/>
    <w:rsid w:val="00BF19D9"/>
    <w:rsid w:val="00C05054"/>
    <w:rsid w:val="00C069AB"/>
    <w:rsid w:val="00C06E89"/>
    <w:rsid w:val="00C11D53"/>
    <w:rsid w:val="00C122D4"/>
    <w:rsid w:val="00C169BC"/>
    <w:rsid w:val="00C20BB7"/>
    <w:rsid w:val="00C22A4F"/>
    <w:rsid w:val="00C26671"/>
    <w:rsid w:val="00C3328D"/>
    <w:rsid w:val="00C33C86"/>
    <w:rsid w:val="00C40604"/>
    <w:rsid w:val="00C541DB"/>
    <w:rsid w:val="00C62661"/>
    <w:rsid w:val="00C64699"/>
    <w:rsid w:val="00C64FE7"/>
    <w:rsid w:val="00C65B32"/>
    <w:rsid w:val="00C71F94"/>
    <w:rsid w:val="00C74C4C"/>
    <w:rsid w:val="00C75AAA"/>
    <w:rsid w:val="00C76928"/>
    <w:rsid w:val="00C83FC4"/>
    <w:rsid w:val="00C8541D"/>
    <w:rsid w:val="00CA0C66"/>
    <w:rsid w:val="00CA3AD8"/>
    <w:rsid w:val="00CA5B68"/>
    <w:rsid w:val="00CB0B13"/>
    <w:rsid w:val="00CB223E"/>
    <w:rsid w:val="00CB5EB6"/>
    <w:rsid w:val="00CB73B4"/>
    <w:rsid w:val="00CC05A0"/>
    <w:rsid w:val="00CC2EF0"/>
    <w:rsid w:val="00CC409A"/>
    <w:rsid w:val="00CC6438"/>
    <w:rsid w:val="00CD0658"/>
    <w:rsid w:val="00CD7384"/>
    <w:rsid w:val="00CE1076"/>
    <w:rsid w:val="00CE1811"/>
    <w:rsid w:val="00CE19C7"/>
    <w:rsid w:val="00CE57A1"/>
    <w:rsid w:val="00CE5AA4"/>
    <w:rsid w:val="00CE7925"/>
    <w:rsid w:val="00CF1E9C"/>
    <w:rsid w:val="00CF2305"/>
    <w:rsid w:val="00CF4BF7"/>
    <w:rsid w:val="00D03F03"/>
    <w:rsid w:val="00D04217"/>
    <w:rsid w:val="00D05CD6"/>
    <w:rsid w:val="00D0627F"/>
    <w:rsid w:val="00D068E4"/>
    <w:rsid w:val="00D06F87"/>
    <w:rsid w:val="00D11AC6"/>
    <w:rsid w:val="00D16ACC"/>
    <w:rsid w:val="00D16DBD"/>
    <w:rsid w:val="00D204F4"/>
    <w:rsid w:val="00D222F7"/>
    <w:rsid w:val="00D2362E"/>
    <w:rsid w:val="00D30005"/>
    <w:rsid w:val="00D42122"/>
    <w:rsid w:val="00D466ED"/>
    <w:rsid w:val="00D47982"/>
    <w:rsid w:val="00D47A3B"/>
    <w:rsid w:val="00D518EF"/>
    <w:rsid w:val="00D53105"/>
    <w:rsid w:val="00D552E7"/>
    <w:rsid w:val="00D56539"/>
    <w:rsid w:val="00D60815"/>
    <w:rsid w:val="00D629C8"/>
    <w:rsid w:val="00D62A2C"/>
    <w:rsid w:val="00D650F2"/>
    <w:rsid w:val="00D80D83"/>
    <w:rsid w:val="00D8164D"/>
    <w:rsid w:val="00D82373"/>
    <w:rsid w:val="00D824AD"/>
    <w:rsid w:val="00D84519"/>
    <w:rsid w:val="00D857E7"/>
    <w:rsid w:val="00D92115"/>
    <w:rsid w:val="00D92294"/>
    <w:rsid w:val="00D96340"/>
    <w:rsid w:val="00D96D28"/>
    <w:rsid w:val="00DA2BE6"/>
    <w:rsid w:val="00DA47AC"/>
    <w:rsid w:val="00DB055F"/>
    <w:rsid w:val="00DB163F"/>
    <w:rsid w:val="00DC27E9"/>
    <w:rsid w:val="00DC3325"/>
    <w:rsid w:val="00DD10D0"/>
    <w:rsid w:val="00DD470F"/>
    <w:rsid w:val="00DE1C24"/>
    <w:rsid w:val="00DE1FC1"/>
    <w:rsid w:val="00DE44E8"/>
    <w:rsid w:val="00DF0587"/>
    <w:rsid w:val="00DF795E"/>
    <w:rsid w:val="00E02E22"/>
    <w:rsid w:val="00E06211"/>
    <w:rsid w:val="00E064C1"/>
    <w:rsid w:val="00E1725D"/>
    <w:rsid w:val="00E204BC"/>
    <w:rsid w:val="00E215EB"/>
    <w:rsid w:val="00E21719"/>
    <w:rsid w:val="00E21F7F"/>
    <w:rsid w:val="00E21FFE"/>
    <w:rsid w:val="00E23B40"/>
    <w:rsid w:val="00E317EF"/>
    <w:rsid w:val="00E327CB"/>
    <w:rsid w:val="00E37B95"/>
    <w:rsid w:val="00E40136"/>
    <w:rsid w:val="00E46961"/>
    <w:rsid w:val="00E50972"/>
    <w:rsid w:val="00E53BED"/>
    <w:rsid w:val="00E5746F"/>
    <w:rsid w:val="00E618C3"/>
    <w:rsid w:val="00E73558"/>
    <w:rsid w:val="00E80155"/>
    <w:rsid w:val="00E8399D"/>
    <w:rsid w:val="00E92667"/>
    <w:rsid w:val="00E94D2F"/>
    <w:rsid w:val="00EA4DC9"/>
    <w:rsid w:val="00EB16F7"/>
    <w:rsid w:val="00EB2FED"/>
    <w:rsid w:val="00EB3106"/>
    <w:rsid w:val="00EB4B3E"/>
    <w:rsid w:val="00EC422C"/>
    <w:rsid w:val="00ED0BAC"/>
    <w:rsid w:val="00ED1D2F"/>
    <w:rsid w:val="00ED2A85"/>
    <w:rsid w:val="00ED2FB5"/>
    <w:rsid w:val="00EE3ED2"/>
    <w:rsid w:val="00EF0C9C"/>
    <w:rsid w:val="00F02661"/>
    <w:rsid w:val="00F04772"/>
    <w:rsid w:val="00F051FA"/>
    <w:rsid w:val="00F05A17"/>
    <w:rsid w:val="00F06830"/>
    <w:rsid w:val="00F17B0B"/>
    <w:rsid w:val="00F23A40"/>
    <w:rsid w:val="00F24D0C"/>
    <w:rsid w:val="00F2597B"/>
    <w:rsid w:val="00F4297E"/>
    <w:rsid w:val="00F57366"/>
    <w:rsid w:val="00F63AED"/>
    <w:rsid w:val="00F642CC"/>
    <w:rsid w:val="00F66B3D"/>
    <w:rsid w:val="00F74BFD"/>
    <w:rsid w:val="00F76C0C"/>
    <w:rsid w:val="00F8603C"/>
    <w:rsid w:val="00F96F4A"/>
    <w:rsid w:val="00FA218A"/>
    <w:rsid w:val="00FA4040"/>
    <w:rsid w:val="00FB154B"/>
    <w:rsid w:val="00FC0EC8"/>
    <w:rsid w:val="00FC309A"/>
    <w:rsid w:val="00FC4543"/>
    <w:rsid w:val="00FC7C9D"/>
    <w:rsid w:val="00FD139E"/>
    <w:rsid w:val="00FD5F11"/>
    <w:rsid w:val="00FE1CA0"/>
    <w:rsid w:val="00FE3635"/>
    <w:rsid w:val="00FE4E24"/>
    <w:rsid w:val="00FE68B8"/>
    <w:rsid w:val="00FF13FD"/>
    <w:rsid w:val="00FF21F4"/>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A48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link w:val="Heading4Char"/>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1440" w:hanging="720"/>
      <w:outlineLvl w:val="0"/>
    </w:pPr>
  </w:style>
  <w:style w:type="paragraph" w:customStyle="1" w:styleId="a">
    <w:name w:val="_"/>
    <w:basedOn w:val="Normal"/>
    <w:pPr>
      <w:ind w:left="1440" w:righ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firstLine="720"/>
    </w:pPr>
  </w:style>
  <w:style w:type="paragraph" w:styleId="BodyTextIndent2">
    <w:name w:val="Body Text Indent 2"/>
    <w:basedOn w:val="Normal"/>
    <w:pPr>
      <w:spacing w:line="480" w:lineRule="auto"/>
      <w:ind w:firstLine="720"/>
      <w:jc w:val="both"/>
    </w:pPr>
  </w:style>
  <w:style w:type="character" w:styleId="PageNumber">
    <w:name w:val="page number"/>
    <w:basedOn w:val="DefaultParagraphFont"/>
  </w:style>
  <w:style w:type="paragraph" w:styleId="EndnoteText">
    <w:name w:val="endnote text"/>
    <w:basedOn w:val="Normal"/>
    <w:semiHidden/>
    <w:rsid w:val="001676B9"/>
    <w:rPr>
      <w:sz w:val="20"/>
    </w:rPr>
  </w:style>
  <w:style w:type="character" w:styleId="EndnoteReference">
    <w:name w:val="endnote reference"/>
    <w:basedOn w:val="DefaultParagraphFont"/>
    <w:semiHidden/>
    <w:rsid w:val="001676B9"/>
    <w:rPr>
      <w:vertAlign w:val="superscript"/>
    </w:rPr>
  </w:style>
  <w:style w:type="paragraph" w:styleId="BalloonText">
    <w:name w:val="Balloon Text"/>
    <w:basedOn w:val="Normal"/>
    <w:semiHidden/>
    <w:rsid w:val="00B761E8"/>
    <w:rPr>
      <w:rFonts w:ascii="Tahoma" w:hAnsi="Tahoma" w:cs="Tahoma"/>
      <w:sz w:val="16"/>
      <w:szCs w:val="16"/>
    </w:rPr>
  </w:style>
  <w:style w:type="table" w:styleId="TableGrid">
    <w:name w:val="Table Grid"/>
    <w:basedOn w:val="TableNormal"/>
    <w:rsid w:val="00A36F1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ED2A85"/>
    <w:rPr>
      <w:sz w:val="20"/>
    </w:rPr>
  </w:style>
  <w:style w:type="paragraph" w:styleId="CommentSubject">
    <w:name w:val="annotation subject"/>
    <w:basedOn w:val="CommentText"/>
    <w:next w:val="CommentText"/>
    <w:semiHidden/>
    <w:rsid w:val="00ED2A85"/>
    <w:pPr>
      <w:autoSpaceDE w:val="0"/>
      <w:autoSpaceDN w:val="0"/>
      <w:adjustRightInd w:val="0"/>
    </w:pPr>
    <w:rPr>
      <w:b/>
      <w:bCs/>
      <w:snapToGrid/>
    </w:rPr>
  </w:style>
  <w:style w:type="character" w:styleId="Hyperlink">
    <w:name w:val="Hyperlink"/>
    <w:basedOn w:val="DefaultParagraphFont"/>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napToGrid/>
      <w:szCs w:val="24"/>
    </w:rPr>
  </w:style>
  <w:style w:type="character" w:customStyle="1" w:styleId="BodytextChar">
    <w:name w:val="Body text Char"/>
    <w:basedOn w:val="DefaultParagraphFont"/>
    <w:link w:val="BodyText1"/>
    <w:rsid w:val="0079162B"/>
    <w:rPr>
      <w:rFonts w:cs="Times"/>
      <w:sz w:val="24"/>
      <w:szCs w:val="24"/>
      <w:lang w:val="en-US" w:eastAsia="en-US" w:bidi="ar-SA"/>
    </w:rPr>
  </w:style>
  <w:style w:type="paragraph" w:styleId="Title">
    <w:name w:val="Title"/>
    <w:basedOn w:val="Normal"/>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napToGrid/>
      <w:sz w:val="32"/>
    </w:rPr>
  </w:style>
  <w:style w:type="character" w:styleId="CommentReference">
    <w:name w:val="annotation reference"/>
    <w:basedOn w:val="DefaultParagraphFont"/>
    <w:rsid w:val="006F0753"/>
    <w:rPr>
      <w:sz w:val="18"/>
      <w:szCs w:val="18"/>
    </w:rPr>
  </w:style>
  <w:style w:type="paragraph" w:styleId="BodyText2">
    <w:name w:val="Body Text 2"/>
    <w:basedOn w:val="Normal"/>
    <w:link w:val="BodyText2Char"/>
    <w:rsid w:val="00FF21F4"/>
    <w:pPr>
      <w:spacing w:after="120" w:line="480" w:lineRule="auto"/>
    </w:pPr>
  </w:style>
  <w:style w:type="character" w:customStyle="1" w:styleId="BodyText2Char">
    <w:name w:val="Body Text 2 Char"/>
    <w:basedOn w:val="DefaultParagraphFont"/>
    <w:link w:val="BodyText2"/>
    <w:rsid w:val="00FF21F4"/>
    <w:rPr>
      <w:snapToGrid w:val="0"/>
      <w:sz w:val="24"/>
    </w:rPr>
  </w:style>
  <w:style w:type="character" w:customStyle="1" w:styleId="Heading4Char">
    <w:name w:val="Heading 4 Char"/>
    <w:basedOn w:val="DefaultParagraphFont"/>
    <w:link w:val="Heading4"/>
    <w:rsid w:val="006B7A5B"/>
    <w:rPr>
      <w:b/>
      <w:bCs/>
      <w:snapToGrid w:val="0"/>
      <w:sz w:val="28"/>
      <w:szCs w:val="28"/>
    </w:rPr>
  </w:style>
  <w:style w:type="paragraph" w:styleId="NormalWeb">
    <w:name w:val="Normal (Web)"/>
    <w:basedOn w:val="Normal"/>
    <w:uiPriority w:val="99"/>
    <w:unhideWhenUsed/>
    <w:rsid w:val="00255D36"/>
    <w:pPr>
      <w:widowControl/>
      <w:spacing w:before="100" w:beforeAutospacing="1" w:after="100" w:afterAutospacing="1"/>
    </w:pPr>
    <w:rPr>
      <w:snapToGrid/>
      <w:szCs w:val="24"/>
    </w:rPr>
  </w:style>
  <w:style w:type="paragraph" w:styleId="ListParagraph">
    <w:name w:val="List Paragraph"/>
    <w:basedOn w:val="Normal"/>
    <w:uiPriority w:val="34"/>
    <w:qFormat/>
    <w:rsid w:val="005050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0"/>
    </w:pPr>
    <w:rPr>
      <w:u w:val="single"/>
    </w:rPr>
  </w:style>
  <w:style w:type="paragraph" w:styleId="Heading2">
    <w:name w:val="heading 2"/>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outlineLvl w:val="1"/>
    </w:pPr>
    <w:rPr>
      <w:u w:val="single"/>
    </w:rPr>
  </w:style>
  <w:style w:type="paragraph" w:styleId="Heading3">
    <w:name w:val="heading 3"/>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outlineLvl w:val="2"/>
    </w:pPr>
    <w:rPr>
      <w:u w:val="single"/>
    </w:rPr>
  </w:style>
  <w:style w:type="paragraph" w:styleId="Heading4">
    <w:name w:val="heading 4"/>
    <w:basedOn w:val="Normal"/>
    <w:next w:val="Normal"/>
    <w:link w:val="Heading4Char"/>
    <w:qFormat/>
    <w:rsid w:val="00A16D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5"/>
      </w:numPr>
      <w:ind w:left="1440" w:hanging="720"/>
      <w:outlineLvl w:val="0"/>
    </w:pPr>
  </w:style>
  <w:style w:type="paragraph" w:customStyle="1" w:styleId="a">
    <w:name w:val="_"/>
    <w:basedOn w:val="Normal"/>
    <w:pPr>
      <w:ind w:left="1440" w:righ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480" w:lineRule="auto"/>
      <w:ind w:firstLine="720"/>
    </w:pPr>
  </w:style>
  <w:style w:type="paragraph" w:styleId="BodyTextIndent2">
    <w:name w:val="Body Text Indent 2"/>
    <w:basedOn w:val="Normal"/>
    <w:pPr>
      <w:spacing w:line="480" w:lineRule="auto"/>
      <w:ind w:firstLine="720"/>
      <w:jc w:val="both"/>
    </w:pPr>
  </w:style>
  <w:style w:type="character" w:styleId="PageNumber">
    <w:name w:val="page number"/>
    <w:basedOn w:val="DefaultParagraphFont"/>
  </w:style>
  <w:style w:type="paragraph" w:styleId="EndnoteText">
    <w:name w:val="endnote text"/>
    <w:basedOn w:val="Normal"/>
    <w:semiHidden/>
    <w:rsid w:val="001676B9"/>
    <w:rPr>
      <w:sz w:val="20"/>
    </w:rPr>
  </w:style>
  <w:style w:type="character" w:styleId="EndnoteReference">
    <w:name w:val="endnote reference"/>
    <w:basedOn w:val="DefaultParagraphFont"/>
    <w:semiHidden/>
    <w:rsid w:val="001676B9"/>
    <w:rPr>
      <w:vertAlign w:val="superscript"/>
    </w:rPr>
  </w:style>
  <w:style w:type="paragraph" w:styleId="BalloonText">
    <w:name w:val="Balloon Text"/>
    <w:basedOn w:val="Normal"/>
    <w:semiHidden/>
    <w:rsid w:val="00B761E8"/>
    <w:rPr>
      <w:rFonts w:ascii="Tahoma" w:hAnsi="Tahoma" w:cs="Tahoma"/>
      <w:sz w:val="16"/>
      <w:szCs w:val="16"/>
    </w:rPr>
  </w:style>
  <w:style w:type="table" w:styleId="TableGrid">
    <w:name w:val="Table Grid"/>
    <w:basedOn w:val="TableNormal"/>
    <w:rsid w:val="00A36F1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ED2A85"/>
    <w:rPr>
      <w:sz w:val="20"/>
    </w:rPr>
  </w:style>
  <w:style w:type="paragraph" w:styleId="CommentSubject">
    <w:name w:val="annotation subject"/>
    <w:basedOn w:val="CommentText"/>
    <w:next w:val="CommentText"/>
    <w:semiHidden/>
    <w:rsid w:val="00ED2A85"/>
    <w:pPr>
      <w:autoSpaceDE w:val="0"/>
      <w:autoSpaceDN w:val="0"/>
      <w:adjustRightInd w:val="0"/>
    </w:pPr>
    <w:rPr>
      <w:b/>
      <w:bCs/>
      <w:snapToGrid/>
    </w:rPr>
  </w:style>
  <w:style w:type="character" w:styleId="Hyperlink">
    <w:name w:val="Hyperlink"/>
    <w:basedOn w:val="DefaultParagraphFont"/>
    <w:rsid w:val="001E35FA"/>
    <w:rPr>
      <w:color w:val="996633"/>
      <w:u w:val="single"/>
    </w:rPr>
  </w:style>
  <w:style w:type="paragraph" w:customStyle="1" w:styleId="BodyText1">
    <w:name w:val="Body Text1"/>
    <w:basedOn w:val="Normal"/>
    <w:link w:val="BodytextChar"/>
    <w:rsid w:val="0079162B"/>
    <w:pPr>
      <w:widowControl/>
      <w:autoSpaceDE w:val="0"/>
      <w:autoSpaceDN w:val="0"/>
      <w:spacing w:after="60"/>
    </w:pPr>
    <w:rPr>
      <w:rFonts w:cs="Times"/>
      <w:snapToGrid/>
      <w:szCs w:val="24"/>
    </w:rPr>
  </w:style>
  <w:style w:type="character" w:customStyle="1" w:styleId="BodytextChar">
    <w:name w:val="Body text Char"/>
    <w:basedOn w:val="DefaultParagraphFont"/>
    <w:link w:val="BodyText1"/>
    <w:rsid w:val="0079162B"/>
    <w:rPr>
      <w:rFonts w:cs="Times"/>
      <w:sz w:val="24"/>
      <w:szCs w:val="24"/>
      <w:lang w:val="en-US" w:eastAsia="en-US" w:bidi="ar-SA"/>
    </w:rPr>
  </w:style>
  <w:style w:type="paragraph" w:styleId="Title">
    <w:name w:val="Title"/>
    <w:basedOn w:val="Normal"/>
    <w:qFormat/>
    <w:rsid w:val="00CC2EF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ind w:left="720" w:hanging="720"/>
      <w:jc w:val="center"/>
      <w:textAlignment w:val="baseline"/>
    </w:pPr>
    <w:rPr>
      <w:rFonts w:ascii="Arial" w:hAnsi="Arial"/>
      <w:b/>
      <w:snapToGrid/>
      <w:sz w:val="32"/>
    </w:rPr>
  </w:style>
  <w:style w:type="character" w:styleId="CommentReference">
    <w:name w:val="annotation reference"/>
    <w:basedOn w:val="DefaultParagraphFont"/>
    <w:rsid w:val="006F0753"/>
    <w:rPr>
      <w:sz w:val="18"/>
      <w:szCs w:val="18"/>
    </w:rPr>
  </w:style>
  <w:style w:type="paragraph" w:styleId="BodyText2">
    <w:name w:val="Body Text 2"/>
    <w:basedOn w:val="Normal"/>
    <w:link w:val="BodyText2Char"/>
    <w:rsid w:val="00FF21F4"/>
    <w:pPr>
      <w:spacing w:after="120" w:line="480" w:lineRule="auto"/>
    </w:pPr>
  </w:style>
  <w:style w:type="character" w:customStyle="1" w:styleId="BodyText2Char">
    <w:name w:val="Body Text 2 Char"/>
    <w:basedOn w:val="DefaultParagraphFont"/>
    <w:link w:val="BodyText2"/>
    <w:rsid w:val="00FF21F4"/>
    <w:rPr>
      <w:snapToGrid w:val="0"/>
      <w:sz w:val="24"/>
    </w:rPr>
  </w:style>
  <w:style w:type="character" w:customStyle="1" w:styleId="Heading4Char">
    <w:name w:val="Heading 4 Char"/>
    <w:basedOn w:val="DefaultParagraphFont"/>
    <w:link w:val="Heading4"/>
    <w:rsid w:val="006B7A5B"/>
    <w:rPr>
      <w:b/>
      <w:bCs/>
      <w:snapToGrid w:val="0"/>
      <w:sz w:val="28"/>
      <w:szCs w:val="28"/>
    </w:rPr>
  </w:style>
  <w:style w:type="paragraph" w:styleId="NormalWeb">
    <w:name w:val="Normal (Web)"/>
    <w:basedOn w:val="Normal"/>
    <w:uiPriority w:val="99"/>
    <w:unhideWhenUsed/>
    <w:rsid w:val="00255D36"/>
    <w:pPr>
      <w:widowControl/>
      <w:spacing w:before="100" w:beforeAutospacing="1" w:after="100" w:afterAutospacing="1"/>
    </w:pPr>
    <w:rPr>
      <w:snapToGrid/>
      <w:szCs w:val="24"/>
    </w:rPr>
  </w:style>
  <w:style w:type="paragraph" w:styleId="ListParagraph">
    <w:name w:val="List Paragraph"/>
    <w:basedOn w:val="Normal"/>
    <w:uiPriority w:val="34"/>
    <w:qFormat/>
    <w:rsid w:val="00505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7821">
      <w:bodyDiv w:val="1"/>
      <w:marLeft w:val="0"/>
      <w:marRight w:val="0"/>
      <w:marTop w:val="0"/>
      <w:marBottom w:val="0"/>
      <w:divBdr>
        <w:top w:val="none" w:sz="0" w:space="0" w:color="auto"/>
        <w:left w:val="none" w:sz="0" w:space="0" w:color="auto"/>
        <w:bottom w:val="none" w:sz="0" w:space="0" w:color="auto"/>
        <w:right w:val="none" w:sz="0" w:space="0" w:color="auto"/>
      </w:divBdr>
    </w:div>
    <w:div w:id="462386336">
      <w:bodyDiv w:val="1"/>
      <w:marLeft w:val="0"/>
      <w:marRight w:val="0"/>
      <w:marTop w:val="0"/>
      <w:marBottom w:val="0"/>
      <w:divBdr>
        <w:top w:val="none" w:sz="0" w:space="0" w:color="auto"/>
        <w:left w:val="none" w:sz="0" w:space="0" w:color="auto"/>
        <w:bottom w:val="none" w:sz="0" w:space="0" w:color="auto"/>
        <w:right w:val="none" w:sz="0" w:space="0" w:color="auto"/>
      </w:divBdr>
    </w:div>
    <w:div w:id="1541744137">
      <w:bodyDiv w:val="1"/>
      <w:marLeft w:val="0"/>
      <w:marRight w:val="0"/>
      <w:marTop w:val="0"/>
      <w:marBottom w:val="0"/>
      <w:divBdr>
        <w:top w:val="none" w:sz="0" w:space="0" w:color="auto"/>
        <w:left w:val="none" w:sz="0" w:space="0" w:color="auto"/>
        <w:bottom w:val="none" w:sz="0" w:space="0" w:color="auto"/>
        <w:right w:val="none" w:sz="0" w:space="0" w:color="auto"/>
      </w:divBdr>
      <w:divsChild>
        <w:div w:id="95685107">
          <w:marLeft w:val="0"/>
          <w:marRight w:val="0"/>
          <w:marTop w:val="0"/>
          <w:marBottom w:val="0"/>
          <w:divBdr>
            <w:top w:val="none" w:sz="0" w:space="0" w:color="auto"/>
            <w:left w:val="none" w:sz="0" w:space="0" w:color="auto"/>
            <w:bottom w:val="none" w:sz="0" w:space="0" w:color="auto"/>
            <w:right w:val="none" w:sz="0" w:space="0" w:color="auto"/>
          </w:divBdr>
        </w:div>
        <w:div w:id="340668562">
          <w:marLeft w:val="0"/>
          <w:marRight w:val="0"/>
          <w:marTop w:val="0"/>
          <w:marBottom w:val="0"/>
          <w:divBdr>
            <w:top w:val="none" w:sz="0" w:space="0" w:color="auto"/>
            <w:left w:val="none" w:sz="0" w:space="0" w:color="auto"/>
            <w:bottom w:val="none" w:sz="0" w:space="0" w:color="auto"/>
            <w:right w:val="none" w:sz="0" w:space="0" w:color="auto"/>
          </w:divBdr>
        </w:div>
        <w:div w:id="514073572">
          <w:marLeft w:val="0"/>
          <w:marRight w:val="0"/>
          <w:marTop w:val="0"/>
          <w:marBottom w:val="0"/>
          <w:divBdr>
            <w:top w:val="none" w:sz="0" w:space="0" w:color="auto"/>
            <w:left w:val="none" w:sz="0" w:space="0" w:color="auto"/>
            <w:bottom w:val="none" w:sz="0" w:space="0" w:color="auto"/>
            <w:right w:val="none" w:sz="0" w:space="0" w:color="auto"/>
          </w:divBdr>
        </w:div>
        <w:div w:id="734594503">
          <w:marLeft w:val="0"/>
          <w:marRight w:val="0"/>
          <w:marTop w:val="0"/>
          <w:marBottom w:val="0"/>
          <w:divBdr>
            <w:top w:val="none" w:sz="0" w:space="0" w:color="auto"/>
            <w:left w:val="none" w:sz="0" w:space="0" w:color="auto"/>
            <w:bottom w:val="none" w:sz="0" w:space="0" w:color="auto"/>
            <w:right w:val="none" w:sz="0" w:space="0" w:color="auto"/>
          </w:divBdr>
        </w:div>
        <w:div w:id="806362135">
          <w:marLeft w:val="0"/>
          <w:marRight w:val="0"/>
          <w:marTop w:val="0"/>
          <w:marBottom w:val="0"/>
          <w:divBdr>
            <w:top w:val="none" w:sz="0" w:space="0" w:color="auto"/>
            <w:left w:val="none" w:sz="0" w:space="0" w:color="auto"/>
            <w:bottom w:val="none" w:sz="0" w:space="0" w:color="auto"/>
            <w:right w:val="none" w:sz="0" w:space="0" w:color="auto"/>
          </w:divBdr>
        </w:div>
        <w:div w:id="860244884">
          <w:marLeft w:val="0"/>
          <w:marRight w:val="0"/>
          <w:marTop w:val="0"/>
          <w:marBottom w:val="0"/>
          <w:divBdr>
            <w:top w:val="none" w:sz="0" w:space="0" w:color="auto"/>
            <w:left w:val="none" w:sz="0" w:space="0" w:color="auto"/>
            <w:bottom w:val="none" w:sz="0" w:space="0" w:color="auto"/>
            <w:right w:val="none" w:sz="0" w:space="0" w:color="auto"/>
          </w:divBdr>
        </w:div>
        <w:div w:id="868489292">
          <w:marLeft w:val="0"/>
          <w:marRight w:val="0"/>
          <w:marTop w:val="0"/>
          <w:marBottom w:val="0"/>
          <w:divBdr>
            <w:top w:val="none" w:sz="0" w:space="0" w:color="auto"/>
            <w:left w:val="none" w:sz="0" w:space="0" w:color="auto"/>
            <w:bottom w:val="none" w:sz="0" w:space="0" w:color="auto"/>
            <w:right w:val="none" w:sz="0" w:space="0" w:color="auto"/>
          </w:divBdr>
        </w:div>
        <w:div w:id="1029716894">
          <w:marLeft w:val="0"/>
          <w:marRight w:val="0"/>
          <w:marTop w:val="0"/>
          <w:marBottom w:val="0"/>
          <w:divBdr>
            <w:top w:val="none" w:sz="0" w:space="0" w:color="auto"/>
            <w:left w:val="none" w:sz="0" w:space="0" w:color="auto"/>
            <w:bottom w:val="none" w:sz="0" w:space="0" w:color="auto"/>
            <w:right w:val="none" w:sz="0" w:space="0" w:color="auto"/>
          </w:divBdr>
        </w:div>
        <w:div w:id="1840383344">
          <w:marLeft w:val="0"/>
          <w:marRight w:val="0"/>
          <w:marTop w:val="0"/>
          <w:marBottom w:val="0"/>
          <w:divBdr>
            <w:top w:val="none" w:sz="0" w:space="0" w:color="auto"/>
            <w:left w:val="none" w:sz="0" w:space="0" w:color="auto"/>
            <w:bottom w:val="none" w:sz="0" w:space="0" w:color="auto"/>
            <w:right w:val="none" w:sz="0" w:space="0" w:color="auto"/>
          </w:divBdr>
        </w:div>
        <w:div w:id="1851337897">
          <w:marLeft w:val="0"/>
          <w:marRight w:val="0"/>
          <w:marTop w:val="0"/>
          <w:marBottom w:val="0"/>
          <w:divBdr>
            <w:top w:val="none" w:sz="0" w:space="0" w:color="auto"/>
            <w:left w:val="none" w:sz="0" w:space="0" w:color="auto"/>
            <w:bottom w:val="none" w:sz="0" w:space="0" w:color="auto"/>
            <w:right w:val="none" w:sz="0" w:space="0" w:color="auto"/>
          </w:divBdr>
        </w:div>
        <w:div w:id="2005618751">
          <w:marLeft w:val="0"/>
          <w:marRight w:val="0"/>
          <w:marTop w:val="0"/>
          <w:marBottom w:val="0"/>
          <w:divBdr>
            <w:top w:val="none" w:sz="0" w:space="0" w:color="auto"/>
            <w:left w:val="none" w:sz="0" w:space="0" w:color="auto"/>
            <w:bottom w:val="none" w:sz="0" w:space="0" w:color="auto"/>
            <w:right w:val="none" w:sz="0" w:space="0" w:color="auto"/>
          </w:divBdr>
        </w:div>
        <w:div w:id="20800531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Request for OMB Approval of</vt:lpstr>
    </vt:vector>
  </TitlesOfParts>
  <Company>Jackson Heart Study,JSU</Company>
  <LinksUpToDate>false</LinksUpToDate>
  <CharactersWithSpaces>35520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Approval of</dc:title>
  <dc:creator>HEART5</dc:creator>
  <cp:lastModifiedBy>Currie, Mikia (NIH/OD) [E]</cp:lastModifiedBy>
  <cp:revision>2</cp:revision>
  <cp:lastPrinted>2014-05-08T17:22:00Z</cp:lastPrinted>
  <dcterms:created xsi:type="dcterms:W3CDTF">2014-06-09T14:55:00Z</dcterms:created>
  <dcterms:modified xsi:type="dcterms:W3CDTF">2014-06-09T14:55:00Z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