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43BAE">
      <w:pPr>
        <w:pStyle w:val="Heading2"/>
        <w:tabs>
          <w:tab w:val="left" w:pos="900"/>
        </w:tabs>
        <w:ind w:right="-180"/>
        <w:rPr>
          <w:sz w:val="28"/>
        </w:rPr>
      </w:pPr>
      <w:r>
        <w:rPr>
          <w:sz w:val="28"/>
        </w:rPr>
        <w:t>FDA</w:t>
      </w:r>
      <w:r w:rsidR="00243BAE">
        <w:rPr>
          <w:sz w:val="28"/>
        </w:rPr>
        <w:t xml:space="preserve"> </w:t>
      </w:r>
      <w:r w:rsidR="003F1C7A">
        <w:rPr>
          <w:sz w:val="28"/>
        </w:rPr>
        <w:t>DOCUMENTATION FOR THE GENERIC CLEARANCE</w:t>
      </w:r>
    </w:p>
    <w:p w:rsidR="003F1C7A" w:rsidRDefault="003F1C7A">
      <w:pPr>
        <w:jc w:val="center"/>
      </w:pPr>
      <w:r>
        <w:rPr>
          <w:b/>
          <w:sz w:val="28"/>
        </w:rPr>
        <w:t xml:space="preserve">OF </w:t>
      </w:r>
      <w:r w:rsidR="00F12AEE">
        <w:rPr>
          <w:b/>
          <w:sz w:val="28"/>
        </w:rPr>
        <w:t>FOCUS GROUPS</w:t>
      </w:r>
      <w:r w:rsidR="000F2F28">
        <w:rPr>
          <w:b/>
          <w:sz w:val="28"/>
        </w:rPr>
        <w:t xml:space="preserve"> (0910-0497)</w:t>
      </w:r>
    </w:p>
    <w:p w:rsidR="003F1C7A" w:rsidRDefault="004910F4">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3F1C7A" w:rsidRPr="00463B4D" w:rsidRDefault="009404FA">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3F1C7A" w:rsidRPr="005E4981" w:rsidRDefault="003F1C7A" w:rsidP="005E23BA">
      <w:pPr>
        <w:spacing w:before="120"/>
      </w:pPr>
      <w:r>
        <w:rPr>
          <w:b/>
        </w:rPr>
        <w:t>TITLE OF INFORMATION COLLECTION:</w:t>
      </w:r>
      <w:r>
        <w:t xml:space="preserve">  </w:t>
      </w:r>
      <w:r w:rsidR="00AA3856" w:rsidRPr="00964BA6">
        <w:t>Menu Labeli</w:t>
      </w:r>
      <w:r w:rsidR="00AA3856">
        <w:t>ng Campaign Focus Groups</w:t>
      </w:r>
      <w:r w:rsidR="00AA3856" w:rsidRPr="00336FCF">
        <w:t xml:space="preserve"> (Formative Research and Stimuli Testing)</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rsidR="00787E77" w:rsidRPr="00336FCF" w:rsidRDefault="00787E77" w:rsidP="00787E77">
      <w:pPr>
        <w:ind w:left="720"/>
        <w:jc w:val="both"/>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Pr="00964BA6">
        <w:t>Menu Labeli</w:t>
      </w:r>
      <w:r>
        <w:t>ng Campaign Focus Groups</w:t>
      </w:r>
      <w:r w:rsidRPr="00336FCF">
        <w:t xml:space="preserve"> (Formative Research and Stimuli Testing)</w:t>
      </w:r>
      <w:r>
        <w:t xml:space="preserve">.” </w:t>
      </w:r>
      <w:r w:rsidRPr="00AB3513">
        <w:t>The purpose of this focus group study</w:t>
      </w:r>
      <w:r>
        <w:t xml:space="preserve"> is</w:t>
      </w:r>
      <w:r w:rsidRPr="00AB3513">
        <w:t xml:space="preserve"> to collect qualitative information </w:t>
      </w:r>
      <w:r>
        <w:t>to</w:t>
      </w:r>
      <w:r w:rsidRPr="00AB3513">
        <w:t xml:space="preserve"> help </w:t>
      </w:r>
      <w:r>
        <w:t>develop</w:t>
      </w:r>
      <w:r w:rsidRPr="00AB3513">
        <w:t xml:space="preserve"> </w:t>
      </w:r>
      <w:r>
        <w:t xml:space="preserve">educational messages about FDA’s </w:t>
      </w:r>
      <w:r w:rsidRPr="00125ADD">
        <w:t>menu labeling</w:t>
      </w:r>
      <w:r>
        <w:t xml:space="preserve"> requirements. The study will </w:t>
      </w:r>
      <w:r w:rsidRPr="00AB3513">
        <w:t xml:space="preserve">explore </w:t>
      </w:r>
      <w:r>
        <w:t xml:space="preserve">(1) </w:t>
      </w:r>
      <w:r w:rsidRPr="00AB3513">
        <w:t>participants’</w:t>
      </w:r>
      <w:r>
        <w:t xml:space="preserve"> experiences related to making healthful food choices</w:t>
      </w:r>
      <w:r w:rsidRPr="00AB3513">
        <w:t xml:space="preserve"> </w:t>
      </w:r>
      <w:r>
        <w:t>at restaurants (2) participants</w:t>
      </w:r>
      <w:r w:rsidR="00CE0205">
        <w:t>’</w:t>
      </w:r>
      <w:r>
        <w:t xml:space="preserve"> </w:t>
      </w:r>
      <w:r w:rsidR="00CE0205">
        <w:t>attitudes and motivations</w:t>
      </w:r>
      <w:r w:rsidRPr="00AB3513">
        <w:t xml:space="preserve"> </w:t>
      </w:r>
      <w:r w:rsidR="00CE0205">
        <w:t xml:space="preserve">related to </w:t>
      </w:r>
      <w:r w:rsidRPr="00AB3513">
        <w:t>calorie</w:t>
      </w:r>
      <w:r>
        <w:t xml:space="preserve"> declarations</w:t>
      </w:r>
      <w:r w:rsidR="00576639">
        <w:t>, when available,</w:t>
      </w:r>
      <w:r w:rsidRPr="00AB3513">
        <w:t xml:space="preserve"> on</w:t>
      </w:r>
      <w:r>
        <w:t xml:space="preserve"> restaurant</w:t>
      </w:r>
      <w:r w:rsidRPr="00AB3513">
        <w:t xml:space="preserve"> menu</w:t>
      </w:r>
      <w:r>
        <w:t>s</w:t>
      </w:r>
      <w:r w:rsidRPr="00AB3513">
        <w:t xml:space="preserve"> </w:t>
      </w:r>
      <w:r>
        <w:t>and (3) participants’ views about how best to support consumers in using calorie</w:t>
      </w:r>
      <w:r w:rsidRPr="00AB3513">
        <w:t xml:space="preserve"> information in making food selections for their children</w:t>
      </w:r>
      <w:r>
        <w:t xml:space="preserve"> and </w:t>
      </w:r>
      <w:r w:rsidRPr="00AB3513">
        <w:t xml:space="preserve">themselves when dining out. </w:t>
      </w:r>
    </w:p>
    <w:p w:rsidR="00787E77" w:rsidRPr="00336FCF" w:rsidRDefault="00787E77" w:rsidP="00787E77">
      <w:pPr>
        <w:ind w:left="720"/>
        <w:jc w:val="both"/>
      </w:pPr>
    </w:p>
    <w:p w:rsidR="00787E77" w:rsidRDefault="00787E77" w:rsidP="00787E77">
      <w:pPr>
        <w:ind w:left="720"/>
        <w:jc w:val="both"/>
      </w:pPr>
      <w:r w:rsidRPr="00787E77">
        <w:t>The research will help us to explore: 1) participants’ perceptions of what constitutes “healthy” eating when choosing food for their children; 2) participants’ perceptions of calorie information listed on restaurant menus and their use of the information in making food selections when dining out; 3) participants’ media habits related to obtaining information about healthy eating; 4) characteristics of past health information or advertising campaigns that have affected participants’ decision making</w:t>
      </w:r>
      <w:r w:rsidR="00A212B8">
        <w:t>; and 5)</w:t>
      </w:r>
      <w:r w:rsidRPr="00787E77">
        <w:t xml:space="preserve"> </w:t>
      </w:r>
      <w:r w:rsidR="00A212B8">
        <w:t>participants’</w:t>
      </w:r>
      <w:r>
        <w:t xml:space="preserve"> reactions to</w:t>
      </w:r>
      <w:r w:rsidRPr="00336FCF">
        <w:t xml:space="preserve"> </w:t>
      </w:r>
      <w:r>
        <w:t>draft campaign concepts about calorie labeling on restaurant menus and making healthful food choices when dining out.</w:t>
      </w:r>
    </w:p>
    <w:p w:rsidR="00787E77" w:rsidRDefault="00787E77" w:rsidP="00787E77">
      <w:pPr>
        <w:ind w:left="720"/>
        <w:jc w:val="both"/>
      </w:pPr>
    </w:p>
    <w:p w:rsidR="00787E77" w:rsidRPr="00787E77" w:rsidRDefault="00787E77" w:rsidP="00787E77">
      <w:pPr>
        <w:ind w:left="720"/>
        <w:jc w:val="both"/>
      </w:pPr>
      <w:r w:rsidRPr="00787E77">
        <w:t xml:space="preserve">FDA plans to complete all focus group discussions by </w:t>
      </w:r>
      <w:r w:rsidR="00C42C31">
        <w:t>July</w:t>
      </w:r>
      <w:r w:rsidR="00C42C31" w:rsidRPr="00787E77">
        <w:t xml:space="preserve"> </w:t>
      </w:r>
      <w:r w:rsidRPr="00787E77">
        <w:t>2016 so that we can us</w:t>
      </w:r>
      <w:r w:rsidR="00263DCB">
        <w:t>e the study to inform development of consumer education and outreach material</w:t>
      </w:r>
      <w:r w:rsidRPr="00787E77">
        <w:t>s about menu labeling prior to the compliance date of the regulations.</w:t>
      </w:r>
    </w:p>
    <w:p w:rsidR="00882AE4" w:rsidRPr="007A4331" w:rsidRDefault="00882AE4" w:rsidP="00F12AEE">
      <w:pPr>
        <w:ind w:left="720"/>
        <w:jc w:val="both"/>
      </w:pPr>
    </w:p>
    <w:p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rsidR="00576639" w:rsidRPr="00336FCF" w:rsidRDefault="00576639" w:rsidP="00576639">
      <w:pPr>
        <w:ind w:left="720"/>
        <w:jc w:val="both"/>
      </w:pPr>
      <w:r w:rsidRPr="00336FCF">
        <w:t xml:space="preserve">This information collection request involves qualitative research that will be used to inform </w:t>
      </w:r>
      <w:r>
        <w:t xml:space="preserve">development of consumer messages about </w:t>
      </w:r>
      <w:r w:rsidRPr="003171D1">
        <w:t>using the calorie information listed on menus as a tool</w:t>
      </w:r>
      <w:r>
        <w:t xml:space="preserve"> for making food selections </w:t>
      </w:r>
      <w:r w:rsidRPr="003171D1">
        <w:t>and managing calorie consumption when dining out.</w:t>
      </w:r>
    </w:p>
    <w:p w:rsidR="003F1C7A" w:rsidRDefault="003F1C7A" w:rsidP="00F12AEE">
      <w:pPr>
        <w:ind w:left="360"/>
      </w:pPr>
    </w:p>
    <w:p w:rsidR="003F1C7A" w:rsidRDefault="0049419A" w:rsidP="00E96045">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rsidR="00576639" w:rsidRPr="00336FCF" w:rsidRDefault="00576639" w:rsidP="00576639">
      <w:pPr>
        <w:ind w:left="720"/>
        <w:jc w:val="both"/>
      </w:pPr>
      <w:r>
        <w:t xml:space="preserve">A total of </w:t>
      </w:r>
      <w:r w:rsidR="00C42C31">
        <w:t>8</w:t>
      </w:r>
      <w:r w:rsidRPr="00CA5223">
        <w:t xml:space="preserve"> focus groups are planned. </w:t>
      </w:r>
      <w:r>
        <w:t>All groups will include</w:t>
      </w:r>
      <w:r w:rsidRPr="00CA5223">
        <w:t xml:space="preserve"> women who have </w:t>
      </w:r>
      <w:r>
        <w:t xml:space="preserve">one or more </w:t>
      </w:r>
      <w:r w:rsidRPr="00CA5223">
        <w:t xml:space="preserve">children </w:t>
      </w:r>
      <w:r>
        <w:t>between the ages of 3 and 10</w:t>
      </w:r>
      <w:r w:rsidRPr="00CA5223">
        <w:t xml:space="preserve"> year</w:t>
      </w:r>
      <w:r>
        <w:t>s</w:t>
      </w:r>
      <w:r w:rsidRPr="00CA5223">
        <w:t xml:space="preserve">. </w:t>
      </w:r>
      <w:r w:rsidR="009E555A">
        <w:t xml:space="preserve">The study will enroll participants who </w:t>
      </w:r>
      <w:r w:rsidR="009E555A" w:rsidRPr="009E555A">
        <w:t xml:space="preserve">frequent fast-food chain restaurants at least once a week and who have purchased a lunch or dinner meal for their children at such restaurants </w:t>
      </w:r>
      <w:r w:rsidR="009E555A">
        <w:t>at least once in the</w:t>
      </w:r>
      <w:r w:rsidR="009E555A" w:rsidRPr="009E555A">
        <w:t xml:space="preserve"> week</w:t>
      </w:r>
      <w:r w:rsidR="009E555A">
        <w:t xml:space="preserve"> prior to </w:t>
      </w:r>
      <w:r w:rsidR="009E555A">
        <w:lastRenderedPageBreak/>
        <w:t>screening</w:t>
      </w:r>
      <w:r w:rsidRPr="00CA5223">
        <w:t xml:space="preserve">.  </w:t>
      </w:r>
      <w:r>
        <w:t>T</w:t>
      </w:r>
      <w:r w:rsidRPr="00CA5223">
        <w:t xml:space="preserve">he groups will </w:t>
      </w:r>
      <w:r>
        <w:t xml:space="preserve">include women </w:t>
      </w:r>
      <w:r w:rsidR="00CC096B" w:rsidRPr="00CC096B">
        <w:t>living in households with a size-adjusted income that is approximately two-thirds of to double the U.S. median household income, ranging from $41,869 to $125,608 in 2014</w:t>
      </w:r>
      <w:r w:rsidR="00CC096B" w:rsidRPr="00CC096B">
        <w:rPr>
          <w:vertAlign w:val="superscript"/>
        </w:rPr>
        <w:footnoteReference w:id="1"/>
      </w:r>
      <w:r w:rsidRPr="00CA5223">
        <w:t xml:space="preserve">. </w:t>
      </w:r>
      <w:r>
        <w:t>Some groups will be segmented by</w:t>
      </w:r>
      <w:r w:rsidRPr="00CA5223">
        <w:t xml:space="preserve"> race/ethnicit</w:t>
      </w:r>
      <w:r>
        <w:t>y depending on the demographic makeup of the selected location; for example, w</w:t>
      </w:r>
      <w:r w:rsidRPr="00CA5223">
        <w:t>e will</w:t>
      </w:r>
      <w:r>
        <w:t xml:space="preserve"> aim to</w:t>
      </w:r>
      <w:r w:rsidRPr="00CA5223">
        <w:t xml:space="preserve"> recruit </w:t>
      </w:r>
      <w:r>
        <w:t>a group of 8 to 10</w:t>
      </w:r>
      <w:r w:rsidRPr="00CA5223">
        <w:t xml:space="preserve"> </w:t>
      </w:r>
      <w:r>
        <w:t xml:space="preserve">African American </w:t>
      </w:r>
      <w:r w:rsidRPr="00CA5223">
        <w:t xml:space="preserve">participants </w:t>
      </w:r>
      <w:r>
        <w:t>in both Maryland and in Ohio, and a group of 8 to 10 Hi</w:t>
      </w:r>
      <w:r w:rsidR="007A305E">
        <w:t xml:space="preserve">spanic American participants in California and </w:t>
      </w:r>
      <w:r>
        <w:t>Texas</w:t>
      </w:r>
      <w:r w:rsidRPr="00CA5223">
        <w:t>. No more than 1</w:t>
      </w:r>
      <w:r>
        <w:t>0</w:t>
      </w:r>
      <w:r w:rsidRPr="00CA5223">
        <w:t xml:space="preserve"> participants will partici</w:t>
      </w:r>
      <w:r>
        <w:t xml:space="preserve">pate in a group </w:t>
      </w:r>
      <w:r w:rsidRPr="00CA5223">
        <w:t>(</w:t>
      </w:r>
      <w:r>
        <w:t>s</w:t>
      </w:r>
      <w:r w:rsidRPr="00CA5223">
        <w:t>ee Appendix I</w:t>
      </w:r>
      <w:r w:rsidR="006A2D27">
        <w:t>, Participant Screener</w:t>
      </w:r>
      <w:r w:rsidRPr="00CA5223">
        <w:t>)</w:t>
      </w:r>
      <w:r w:rsidRPr="00336FCF">
        <w:t>. FDA</w:t>
      </w:r>
      <w:r>
        <w:t xml:space="preserve"> has</w:t>
      </w:r>
      <w:r w:rsidRPr="00336FCF">
        <w:t xml:space="preserve"> contracted with RTI International to conduct these in-person focus groups.</w:t>
      </w:r>
    </w:p>
    <w:p w:rsidR="00E215FA" w:rsidRDefault="00E215FA" w:rsidP="00F12AEE">
      <w:pPr>
        <w:ind w:left="720"/>
      </w:pPr>
    </w:p>
    <w:p w:rsidR="003F1C7A" w:rsidRPr="00E215FA" w:rsidRDefault="003F1C7A" w:rsidP="00F12AEE">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rsidR="00D14201" w:rsidRDefault="00D14201" w:rsidP="00D14201">
      <w:pPr>
        <w:ind w:left="720"/>
        <w:jc w:val="both"/>
      </w:pPr>
      <w:r w:rsidRPr="003D1766">
        <w:t xml:space="preserve">Focus groups will be conducted approximately one month from the date of OMB approval. The focus groups will be conducted in </w:t>
      </w:r>
      <w:r>
        <w:t>four</w:t>
      </w:r>
      <w:r w:rsidRPr="003D1766">
        <w:t xml:space="preserve"> </w:t>
      </w:r>
      <w:r>
        <w:t>states</w:t>
      </w:r>
      <w:r w:rsidRPr="003D1766">
        <w:t>:</w:t>
      </w:r>
      <w:r>
        <w:t xml:space="preserve"> California</w:t>
      </w:r>
      <w:r w:rsidR="00CC096B">
        <w:t>,</w:t>
      </w:r>
      <w:r>
        <w:t xml:space="preserve"> Maryland</w:t>
      </w:r>
      <w:r w:rsidRPr="003D1766">
        <w:t xml:space="preserve">, </w:t>
      </w:r>
      <w:r>
        <w:t>Ohio</w:t>
      </w:r>
      <w:r w:rsidRPr="003D1766">
        <w:t>, and</w:t>
      </w:r>
      <w:r w:rsidRPr="00036BB6">
        <w:t xml:space="preserve"> </w:t>
      </w:r>
      <w:r>
        <w:t>Texas. These locations were chosen to represent consumers from a range of geographic locations</w:t>
      </w:r>
      <w:r w:rsidR="006A2D27">
        <w:t xml:space="preserve"> populated with fast food restaurants.</w:t>
      </w:r>
      <w:r>
        <w:t xml:space="preserve"> </w:t>
      </w:r>
      <w:r w:rsidR="006A2D27">
        <w:t>T</w:t>
      </w:r>
      <w:r>
        <w:t>he</w:t>
      </w:r>
      <w:r w:rsidR="006A2D27">
        <w:t xml:space="preserve"> selected</w:t>
      </w:r>
      <w:r>
        <w:t xml:space="preserve"> locations offer suitable focus group facilities and recruitment capabilities that will enable us to recruit groups of ethnically diverse, middle-income participants</w:t>
      </w:r>
      <w:r w:rsidR="000477CE">
        <w:t xml:space="preserve"> who meet the criteria described in section 3 above</w:t>
      </w:r>
      <w:r w:rsidR="006A305F">
        <w:t>.</w:t>
      </w:r>
    </w:p>
    <w:p w:rsidR="00D14201" w:rsidRDefault="00D14201" w:rsidP="00D14201">
      <w:pPr>
        <w:ind w:left="720"/>
        <w:jc w:val="both"/>
      </w:pPr>
    </w:p>
    <w:p w:rsidR="00D14201" w:rsidRPr="003D1766" w:rsidRDefault="00230200" w:rsidP="00D14201">
      <w:pPr>
        <w:ind w:left="720"/>
        <w:jc w:val="both"/>
      </w:pPr>
      <w:r w:rsidRPr="00D14201">
        <w:t xml:space="preserve">FDA plans to complete </w:t>
      </w:r>
      <w:r>
        <w:t>both phases</w:t>
      </w:r>
      <w:r w:rsidRPr="00D14201">
        <w:t xml:space="preserve"> by </w:t>
      </w:r>
      <w:r>
        <w:t xml:space="preserve">the </w:t>
      </w:r>
      <w:r w:rsidR="00C42C31">
        <w:t xml:space="preserve">July </w:t>
      </w:r>
      <w:r w:rsidRPr="00D14201">
        <w:t xml:space="preserve">2016 so that we can use the study </w:t>
      </w:r>
      <w:r w:rsidR="000477CE">
        <w:t xml:space="preserve">findings </w:t>
      </w:r>
      <w:r w:rsidRPr="00D14201">
        <w:t xml:space="preserve">to inform </w:t>
      </w:r>
      <w:r>
        <w:t>agency</w:t>
      </w:r>
      <w:r w:rsidR="005A1029">
        <w:t xml:space="preserve"> consumer</w:t>
      </w:r>
      <w:r>
        <w:t xml:space="preserve"> </w:t>
      </w:r>
      <w:r w:rsidR="005A1029">
        <w:t>education and outreach</w:t>
      </w:r>
      <w:r>
        <w:t xml:space="preserve"> efforts related to </w:t>
      </w:r>
      <w:r w:rsidRPr="00D14201">
        <w:t xml:space="preserve">menu labeling </w:t>
      </w:r>
      <w:r>
        <w:t>that may be needed when</w:t>
      </w:r>
      <w:r w:rsidRPr="00D14201">
        <w:t xml:space="preserve"> the regulations</w:t>
      </w:r>
      <w:r>
        <w:t xml:space="preserve"> go into effect</w:t>
      </w:r>
      <w:r w:rsidRPr="00D14201">
        <w:t>.</w:t>
      </w:r>
    </w:p>
    <w:p w:rsidR="00190AA2" w:rsidRDefault="00190AA2" w:rsidP="00F12AEE">
      <w:pPr>
        <w:ind w:left="360"/>
        <w:jc w:val="both"/>
      </w:pPr>
    </w:p>
    <w:p w:rsidR="00E26798" w:rsidRPr="00E96045" w:rsidRDefault="00140A0D" w:rsidP="00F12AEE">
      <w:pPr>
        <w:numPr>
          <w:ilvl w:val="0"/>
          <w:numId w:val="15"/>
        </w:numPr>
        <w:tabs>
          <w:tab w:val="clear" w:pos="1296"/>
          <w:tab w:val="num" w:pos="720"/>
        </w:tabs>
        <w:ind w:left="720"/>
      </w:pPr>
      <w:r>
        <w:rPr>
          <w:b/>
        </w:rPr>
        <w:t>How the Information is being collected</w:t>
      </w:r>
      <w:r w:rsidR="0049419A">
        <w:rPr>
          <w:b/>
        </w:rPr>
        <w:t>:</w:t>
      </w:r>
    </w:p>
    <w:p w:rsidR="00EE231A" w:rsidRPr="00EE231A" w:rsidRDefault="00EE231A" w:rsidP="00EE231A">
      <w:pPr>
        <w:ind w:left="720"/>
        <w:jc w:val="both"/>
        <w:rPr>
          <w:u w:val="single"/>
        </w:rPr>
      </w:pPr>
      <w:r w:rsidRPr="00EE231A">
        <w:rPr>
          <w:u w:val="single"/>
        </w:rPr>
        <w:t>Recruitment Information</w:t>
      </w:r>
    </w:p>
    <w:p w:rsidR="00EE231A" w:rsidRPr="00336FCF" w:rsidRDefault="00EE231A" w:rsidP="00EE231A">
      <w:pPr>
        <w:ind w:left="720"/>
        <w:jc w:val="both"/>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Pr="00336FCF">
        <w:t xml:space="preserve">). The facilities’ staff will provide all necessary information and instructions to ensure participants arrive at the proper location on the agreed upon date and time. 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The facilities will send confirmation and reminder correspondences to recruited participants to help ensure attendance.</w:t>
      </w:r>
    </w:p>
    <w:p w:rsidR="00EE231A" w:rsidRPr="00EE231A" w:rsidRDefault="00EE231A" w:rsidP="00EE231A">
      <w:pPr>
        <w:ind w:left="720"/>
        <w:jc w:val="both"/>
      </w:pPr>
    </w:p>
    <w:p w:rsidR="00EE231A" w:rsidRPr="00EE231A" w:rsidRDefault="00EE231A" w:rsidP="00EE231A">
      <w:pPr>
        <w:ind w:left="720"/>
        <w:jc w:val="both"/>
        <w:rPr>
          <w:u w:val="single"/>
        </w:rPr>
      </w:pPr>
      <w:r w:rsidRPr="00EE231A">
        <w:rPr>
          <w:u w:val="single"/>
        </w:rPr>
        <w:t>Focus Group Discussions</w:t>
      </w:r>
    </w:p>
    <w:p w:rsidR="00EE231A" w:rsidRPr="00336FCF" w:rsidRDefault="00EE231A" w:rsidP="00EE231A">
      <w:pPr>
        <w:ind w:left="720"/>
        <w:jc w:val="both"/>
      </w:pPr>
      <w:r w:rsidRPr="00336FCF">
        <w:t xml:space="preserve">RTI staff members will serve as moderators for all focus groups.  </w:t>
      </w:r>
      <w:r>
        <w:t>FDA</w:t>
      </w:r>
      <w:r w:rsidRPr="00336FCF">
        <w:t xml:space="preserve"> staff members will observe most, if not all, of the sessions from the observation rooms at the focus group facilities or remot</w:t>
      </w:r>
      <w:r w:rsidR="00AC2461">
        <w:t>ely using streaming technology.</w:t>
      </w:r>
    </w:p>
    <w:p w:rsidR="00EE231A" w:rsidRPr="00EE231A" w:rsidRDefault="00EE231A" w:rsidP="00EE231A">
      <w:pPr>
        <w:ind w:left="720"/>
        <w:jc w:val="both"/>
      </w:pPr>
    </w:p>
    <w:p w:rsidR="00EE231A" w:rsidRPr="00336FCF" w:rsidRDefault="00EE231A" w:rsidP="00EE231A">
      <w:pPr>
        <w:ind w:left="720"/>
        <w:jc w:val="both"/>
      </w:pPr>
      <w:r w:rsidRPr="00336FCF">
        <w:t>The moderator will use the attached moderator guide</w:t>
      </w:r>
      <w:r>
        <w:t xml:space="preserve"> (Appendix II)</w:t>
      </w:r>
      <w:r w:rsidRPr="00336FCF">
        <w:t xml:space="preserve"> to ensure that all relevant topic areas are addressed.  The focus group facilities will make audio</w:t>
      </w:r>
      <w:r>
        <w:t xml:space="preserve"> and video</w:t>
      </w:r>
      <w:r w:rsidRPr="00336FCF">
        <w:t xml:space="preserve"> recordings to ensure a verbatim record o</w:t>
      </w:r>
      <w:r>
        <w:t>f the proceedings is captured.</w:t>
      </w:r>
    </w:p>
    <w:p w:rsidR="00EE231A" w:rsidRPr="00EE231A" w:rsidRDefault="00EE231A" w:rsidP="00EE231A">
      <w:pPr>
        <w:ind w:left="720"/>
        <w:jc w:val="both"/>
      </w:pPr>
    </w:p>
    <w:p w:rsidR="00EE231A" w:rsidRPr="00336FCF" w:rsidRDefault="00EE231A" w:rsidP="00EE231A">
      <w:pPr>
        <w:ind w:left="720"/>
        <w:jc w:val="both"/>
      </w:pPr>
      <w:r w:rsidRPr="00336FCF">
        <w:t xml:space="preserve">The Contractor will comply with safeguards for ensuring participant information is kept private to the extent permitted by law. The last names of the participants will </w:t>
      </w:r>
      <w:r>
        <w:t xml:space="preserve">not appear on any focus group </w:t>
      </w:r>
      <w:r w:rsidRPr="00336FCF">
        <w:t>materials. Verbatim quotes included in the final report will not be attributed to any individual.</w:t>
      </w:r>
    </w:p>
    <w:p w:rsidR="00F12AEE" w:rsidRDefault="00F12AEE" w:rsidP="00EE231A">
      <w:pPr>
        <w:ind w:left="720"/>
        <w:jc w:val="both"/>
      </w:pPr>
    </w:p>
    <w:p w:rsidR="003F1C7A" w:rsidRPr="00E215FA" w:rsidRDefault="003F1C7A" w:rsidP="00BF3A0E">
      <w:pPr>
        <w:keepNext/>
        <w:numPr>
          <w:ilvl w:val="0"/>
          <w:numId w:val="15"/>
        </w:numPr>
        <w:tabs>
          <w:tab w:val="clear" w:pos="1296"/>
          <w:tab w:val="num" w:pos="720"/>
        </w:tabs>
        <w:ind w:left="720"/>
      </w:pPr>
      <w:r w:rsidRPr="00E26798">
        <w:rPr>
          <w:b/>
        </w:rPr>
        <w:t>Number of focus groups</w:t>
      </w:r>
      <w:r w:rsidR="0049419A">
        <w:rPr>
          <w:b/>
        </w:rPr>
        <w:t>:</w:t>
      </w:r>
    </w:p>
    <w:p w:rsidR="00205677" w:rsidRPr="003D1766" w:rsidRDefault="00205677" w:rsidP="00205677">
      <w:pPr>
        <w:ind w:left="720"/>
        <w:jc w:val="both"/>
      </w:pPr>
      <w:r>
        <w:t xml:space="preserve">A total of </w:t>
      </w:r>
      <w:r w:rsidR="00C42C31">
        <w:t>8</w:t>
      </w:r>
      <w:r w:rsidRPr="00CA5223">
        <w:t xml:space="preserve"> focus groups are planned.</w:t>
      </w:r>
      <w:r>
        <w:t xml:space="preserve"> </w:t>
      </w:r>
      <w:r w:rsidRPr="00D14201">
        <w:t xml:space="preserve">FDA plans to complete </w:t>
      </w:r>
      <w:r w:rsidR="00C42C31">
        <w:t>the focus groups</w:t>
      </w:r>
      <w:r w:rsidRPr="00D14201">
        <w:t xml:space="preserve"> by </w:t>
      </w:r>
      <w:r w:rsidR="00C42C31">
        <w:t>July</w:t>
      </w:r>
      <w:r w:rsidR="00C42C31" w:rsidRPr="00D14201">
        <w:t xml:space="preserve"> </w:t>
      </w:r>
      <w:r w:rsidRPr="00D14201">
        <w:t>2016 so that we can use the study</w:t>
      </w:r>
      <w:r w:rsidR="00540689">
        <w:t xml:space="preserve"> findings</w:t>
      </w:r>
      <w:r w:rsidRPr="00D14201">
        <w:t xml:space="preserve"> to inform </w:t>
      </w:r>
      <w:r w:rsidR="00871FD9">
        <w:t xml:space="preserve">agency </w:t>
      </w:r>
      <w:r w:rsidR="00B40D56">
        <w:t>education</w:t>
      </w:r>
      <w:r w:rsidR="00871FD9">
        <w:t xml:space="preserve"> efforts related to </w:t>
      </w:r>
      <w:r w:rsidRPr="00D14201">
        <w:t xml:space="preserve">menu labeling </w:t>
      </w:r>
      <w:r w:rsidR="00871FD9">
        <w:t>that may be needed when</w:t>
      </w:r>
      <w:r w:rsidRPr="00D14201">
        <w:t xml:space="preserve"> the regulations</w:t>
      </w:r>
      <w:r w:rsidR="00871FD9">
        <w:t xml:space="preserve"> go into effect</w:t>
      </w:r>
      <w:r w:rsidRPr="00D14201">
        <w:t>.</w:t>
      </w:r>
    </w:p>
    <w:p w:rsidR="0049419A" w:rsidRDefault="0049419A" w:rsidP="00F12AEE">
      <w:pPr>
        <w:ind w:left="720"/>
      </w:pPr>
    </w:p>
    <w:p w:rsidR="00E26798" w:rsidRPr="00E96045" w:rsidRDefault="0049419A" w:rsidP="0049419A">
      <w:pPr>
        <w:numPr>
          <w:ilvl w:val="0"/>
          <w:numId w:val="15"/>
        </w:numPr>
        <w:tabs>
          <w:tab w:val="clear" w:pos="1296"/>
          <w:tab w:val="num" w:pos="720"/>
        </w:tabs>
        <w:ind w:left="720"/>
      </w:pPr>
      <w:r>
        <w:rPr>
          <w:b/>
        </w:rPr>
        <w:t>Amount and justification for any proposed incentive:</w:t>
      </w:r>
      <w:r w:rsidR="003F1C7A">
        <w:t xml:space="preserve"> </w:t>
      </w:r>
    </w:p>
    <w:p w:rsidR="00C73D7F" w:rsidRDefault="00C73D7F" w:rsidP="00C73D7F">
      <w:pPr>
        <w:ind w:left="720"/>
        <w:jc w:val="both"/>
      </w:pPr>
      <w:r w:rsidRPr="00336FCF">
        <w:t xml:space="preserve">In preparation for these focus groups, RTI consulted with facilities that host focus groups to determine incentive rates. Based on these consultations, we propose an incentive of $75 </w:t>
      </w:r>
      <w:r>
        <w:t xml:space="preserve">for 90 minutes </w:t>
      </w:r>
      <w:r w:rsidRPr="00336FCF">
        <w:t>to ensure that we are able to attract a reasonable cross</w:t>
      </w:r>
      <w:r>
        <w:t xml:space="preserve"> </w:t>
      </w:r>
      <w:r w:rsidRPr="00336FCF">
        <w:t>section of participants</w:t>
      </w:r>
      <w:r w:rsidR="00E45491">
        <w:t xml:space="preserve"> who earn household incomes with</w:t>
      </w:r>
      <w:r w:rsidR="00B021C5">
        <w:t>in</w:t>
      </w:r>
      <w:r w:rsidR="00E45491">
        <w:t xml:space="preserve"> our preferred range</w:t>
      </w:r>
      <w:r w:rsidRPr="00336FCF">
        <w:t>.</w:t>
      </w:r>
    </w:p>
    <w:p w:rsidR="00EB0699" w:rsidRPr="00336FCF" w:rsidRDefault="00EB0699" w:rsidP="00C73D7F">
      <w:pPr>
        <w:ind w:left="720"/>
        <w:jc w:val="both"/>
      </w:pPr>
    </w:p>
    <w:p w:rsidR="00C73D7F" w:rsidRPr="00336FCF" w:rsidRDefault="00C73D7F" w:rsidP="00C73D7F">
      <w:pPr>
        <w:ind w:left="720"/>
        <w:jc w:val="both"/>
      </w:pPr>
      <w:r w:rsidRPr="00336FCF">
        <w:t xml:space="preserve">Our experience in conducting focus group research indicates that offering </w:t>
      </w:r>
      <w:r w:rsidR="008408E6">
        <w:t xml:space="preserve">nonmonetary incentives or </w:t>
      </w:r>
      <w:r w:rsidRPr="00336FCF">
        <w:t>an incentive that is below the accepted rate will result in increased costs that exceed the amount saved on a reduced incentive. The consequences of an insufficient in</w:t>
      </w:r>
      <w:r>
        <w:t>centive include the following:</w:t>
      </w:r>
    </w:p>
    <w:p w:rsidR="00C73D7F" w:rsidRPr="00336FCF" w:rsidRDefault="00C73D7F" w:rsidP="00C73D7F">
      <w:pPr>
        <w:ind w:left="720"/>
        <w:jc w:val="both"/>
      </w:pPr>
    </w:p>
    <w:p w:rsidR="00C73D7F" w:rsidRPr="00336FCF" w:rsidRDefault="00C73D7F" w:rsidP="00C73D7F">
      <w:pPr>
        <w:numPr>
          <w:ilvl w:val="0"/>
          <w:numId w:val="20"/>
        </w:numPr>
        <w:tabs>
          <w:tab w:val="num" w:pos="1080"/>
        </w:tabs>
        <w:ind w:left="1080"/>
        <w:contextualSpacing/>
      </w:pPr>
      <w:r w:rsidRPr="00336FCF">
        <w:t>Increased time and cost of recruitment</w:t>
      </w:r>
    </w:p>
    <w:p w:rsidR="00C73D7F" w:rsidRPr="00336FCF" w:rsidRDefault="00C73D7F" w:rsidP="00C73D7F">
      <w:pPr>
        <w:numPr>
          <w:ilvl w:val="0"/>
          <w:numId w:val="20"/>
        </w:numPr>
        <w:tabs>
          <w:tab w:val="num" w:pos="1080"/>
        </w:tabs>
        <w:ind w:left="1080"/>
        <w:contextualSpacing/>
      </w:pPr>
      <w:r w:rsidRPr="00336FCF">
        <w:t>Increased likelihood of “no-shows” (which may result in methodologically unsound focus groups with small numbers of participants)</w:t>
      </w:r>
    </w:p>
    <w:p w:rsidR="00C73D7F" w:rsidRPr="00336FCF" w:rsidRDefault="00C73D7F" w:rsidP="00C73D7F">
      <w:pPr>
        <w:numPr>
          <w:ilvl w:val="0"/>
          <w:numId w:val="20"/>
        </w:numPr>
        <w:tabs>
          <w:tab w:val="num" w:pos="1080"/>
        </w:tabs>
        <w:ind w:left="108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rsidR="007853F0" w:rsidRDefault="007853F0" w:rsidP="007853F0">
      <w:pPr>
        <w:pStyle w:val="ListParagraph"/>
      </w:pPr>
    </w:p>
    <w:p w:rsidR="007837CA" w:rsidRDefault="007F5F99" w:rsidP="00B72DD6">
      <w:pPr>
        <w:pStyle w:val="ListParagraph"/>
        <w:jc w:val="both"/>
      </w:pPr>
      <w:r>
        <w:t>Our proposed incentive amount will help ensure that respondents honor their commitment of participating in the focus group</w:t>
      </w:r>
      <w:r w:rsidR="007853F0">
        <w:t xml:space="preserve"> focus groups.  </w:t>
      </w:r>
      <w:r w:rsidR="00DE6944">
        <w:t xml:space="preserve">Our </w:t>
      </w:r>
      <w:r w:rsidR="0017544C">
        <w:t xml:space="preserve">incentive was chosen based on 1) an </w:t>
      </w:r>
      <w:r w:rsidR="00DE6944">
        <w:t>estimated cost related to childcare for 3 hours (</w:t>
      </w:r>
      <w:r w:rsidR="0017544C">
        <w:t>e.g.,</w:t>
      </w:r>
      <w:r w:rsidR="00DE6944">
        <w:t xml:space="preserve"> approximate travel time to and from facility, time to park </w:t>
      </w:r>
      <w:r w:rsidR="00B46254">
        <w:t xml:space="preserve">a </w:t>
      </w:r>
      <w:r w:rsidR="00DE6944">
        <w:t xml:space="preserve">vehicle, check-in and check-out procedures, and </w:t>
      </w:r>
      <w:r w:rsidR="00B46254">
        <w:t xml:space="preserve">the </w:t>
      </w:r>
      <w:r w:rsidR="00DE6944">
        <w:t>90-minute focus group discussion)</w:t>
      </w:r>
      <w:r w:rsidR="0017544C">
        <w:t>, which</w:t>
      </w:r>
      <w:r w:rsidR="00DE6944">
        <w:t xml:space="preserve"> </w:t>
      </w:r>
      <w:r w:rsidR="0017544C">
        <w:t>is</w:t>
      </w:r>
      <w:r w:rsidR="00DE6944">
        <w:t xml:space="preserve"> approximately $48</w:t>
      </w:r>
      <w:r w:rsidR="00DE6944">
        <w:rPr>
          <w:rStyle w:val="FootnoteReference"/>
        </w:rPr>
        <w:footnoteReference w:id="2"/>
      </w:r>
      <w:r w:rsidR="00B46254">
        <w:t>;</w:t>
      </w:r>
      <w:r w:rsidR="0017544C">
        <w:t xml:space="preserve"> 2)</w:t>
      </w:r>
      <w:r w:rsidR="00DE6944">
        <w:t xml:space="preserve"> </w:t>
      </w:r>
      <w:r w:rsidR="0017544C">
        <w:t xml:space="preserve">an </w:t>
      </w:r>
      <w:r w:rsidR="00DE6944">
        <w:t xml:space="preserve">estimated cost for </w:t>
      </w:r>
      <w:r w:rsidR="00B46254">
        <w:t>an average driving commute</w:t>
      </w:r>
      <w:r w:rsidR="00DE6944">
        <w:t xml:space="preserve"> to and from the facility </w:t>
      </w:r>
      <w:r w:rsidR="0017544C">
        <w:t>of</w:t>
      </w:r>
      <w:r w:rsidR="00DE6944">
        <w:t xml:space="preserve"> approximately $18</w:t>
      </w:r>
      <w:r w:rsidR="00DE6944">
        <w:rPr>
          <w:rStyle w:val="FootnoteReference"/>
        </w:rPr>
        <w:footnoteReference w:id="3"/>
      </w:r>
      <w:r w:rsidR="008408E6">
        <w:t>; and 3) our contractor’s</w:t>
      </w:r>
      <w:r w:rsidR="00DE6944">
        <w:t xml:space="preserve"> </w:t>
      </w:r>
      <w:r w:rsidR="008408E6">
        <w:t>and other researchers’ experiences with using nonmonetary incentives, which generally produce participation rates no better than the complete absence of any incentives.</w:t>
      </w:r>
      <w:r w:rsidR="008408E6">
        <w:rPr>
          <w:rStyle w:val="FootnoteReference"/>
        </w:rPr>
        <w:footnoteReference w:id="4"/>
      </w:r>
      <w:r w:rsidR="008408E6">
        <w:t xml:space="preserve"> </w:t>
      </w:r>
      <w:r w:rsidR="00DE6944">
        <w:t xml:space="preserve"> </w:t>
      </w:r>
      <w:r w:rsidR="007853F0">
        <w:t>Th</w:t>
      </w:r>
      <w:r w:rsidR="00B46254">
        <w:t>e proposed</w:t>
      </w:r>
      <w:r w:rsidR="007853F0">
        <w:t xml:space="preserve"> amount</w:t>
      </w:r>
      <w:r w:rsidR="00B46254">
        <w:t xml:space="preserve"> of $75</w:t>
      </w:r>
      <w:r w:rsidR="007853F0">
        <w:t xml:space="preserve"> is comparable to what has been the level of reimbursement for the target audiences in similar government funded activities.  Mothers of young children are often more difficult to recruit than more general audiences</w:t>
      </w:r>
      <w:r w:rsidR="00B46254">
        <w:t xml:space="preserve"> and t</w:t>
      </w:r>
      <w:r w:rsidR="007853F0">
        <w:t>he incentive needs to be enough to help the participants cover ou</w:t>
      </w:r>
      <w:r>
        <w:t>tside childcare costs if needed</w:t>
      </w:r>
      <w:r w:rsidR="007837CA">
        <w:t xml:space="preserve">.  </w:t>
      </w:r>
      <w:r w:rsidR="008408E6">
        <w:t>As noted above, we expect that lower or nonmonetary</w:t>
      </w:r>
      <w:r w:rsidR="007837CA">
        <w:t xml:space="preserve"> incentives </w:t>
      </w:r>
      <w:r w:rsidR="008408E6">
        <w:t>will necessitate</w:t>
      </w:r>
      <w:r w:rsidR="007837CA">
        <w:t xml:space="preserve"> </w:t>
      </w:r>
      <w:r w:rsidR="008408E6">
        <w:t>over-</w:t>
      </w:r>
      <w:r w:rsidR="007837CA">
        <w:t>recruit</w:t>
      </w:r>
      <w:r w:rsidR="008408E6">
        <w:t>ment</w:t>
      </w:r>
      <w:r w:rsidR="007837CA">
        <w:t xml:space="preserve"> by higher percentages</w:t>
      </w:r>
      <w:r w:rsidR="008408E6">
        <w:t xml:space="preserve"> and</w:t>
      </w:r>
      <w:r w:rsidR="008408E6" w:rsidRPr="008408E6">
        <w:t xml:space="preserve"> </w:t>
      </w:r>
      <w:r w:rsidR="008408E6">
        <w:t xml:space="preserve">result in </w:t>
      </w:r>
      <w:r w:rsidR="007C6E1E">
        <w:t xml:space="preserve">longer </w:t>
      </w:r>
      <w:r w:rsidR="008408E6">
        <w:t>recruiting</w:t>
      </w:r>
      <w:r w:rsidR="0098121D">
        <w:t xml:space="preserve"> time </w:t>
      </w:r>
      <w:r w:rsidR="00324DC3">
        <w:t>as well as</w:t>
      </w:r>
      <w:r w:rsidR="0098121D">
        <w:t xml:space="preserve"> </w:t>
      </w:r>
      <w:r w:rsidR="007C6E1E">
        <w:t xml:space="preserve">higher </w:t>
      </w:r>
      <w:r w:rsidR="0098121D">
        <w:t>overall</w:t>
      </w:r>
      <w:r w:rsidR="008408E6">
        <w:t xml:space="preserve"> </w:t>
      </w:r>
      <w:r w:rsidR="00F26B2B">
        <w:t xml:space="preserve">project </w:t>
      </w:r>
      <w:r w:rsidR="008408E6">
        <w:t>costs</w:t>
      </w:r>
      <w:r w:rsidR="007837CA">
        <w:t>.</w:t>
      </w:r>
    </w:p>
    <w:p w:rsidR="00DE6944" w:rsidRDefault="00DE6944" w:rsidP="00DE6944">
      <w:pPr>
        <w:ind w:left="720"/>
        <w:jc w:val="both"/>
      </w:pPr>
    </w:p>
    <w:p w:rsidR="007853F0" w:rsidRDefault="00B46254" w:rsidP="00B72DD6">
      <w:pPr>
        <w:pStyle w:val="ListParagraph"/>
        <w:jc w:val="both"/>
      </w:pPr>
      <w:r>
        <w:lastRenderedPageBreak/>
        <w:t>T</w:t>
      </w:r>
      <w:r w:rsidR="007853F0">
        <w:t>he importance of monetary compensation for focus group participation</w:t>
      </w:r>
      <w:r>
        <w:t xml:space="preserve"> has been discussed by</w:t>
      </w:r>
      <w:r w:rsidR="007853F0">
        <w:t xml:space="preserve"> </w:t>
      </w:r>
      <w:r w:rsidR="002A0451">
        <w:t>Krueger and Casey (2014)</w:t>
      </w:r>
      <w:r>
        <w:t>, who</w:t>
      </w:r>
      <w:r w:rsidR="007853F0">
        <w:t xml:space="preserve"> indicate that offering minimal levels of monetary compensation can help ensure that sufficient numbers of participants will attend</w:t>
      </w:r>
      <w:r w:rsidR="0017544C">
        <w:t>,</w:t>
      </w:r>
      <w:r w:rsidR="007853F0">
        <w:t xml:space="preserve"> thereby yielding </w:t>
      </w:r>
      <w:r w:rsidR="0017544C">
        <w:t xml:space="preserve">more </w:t>
      </w:r>
      <w:r w:rsidR="007853F0">
        <w:t xml:space="preserve">useful </w:t>
      </w:r>
      <w:r w:rsidR="0017544C">
        <w:t xml:space="preserve">research </w:t>
      </w:r>
      <w:r w:rsidR="007853F0">
        <w:t>results.</w:t>
      </w:r>
      <w:r w:rsidR="002A0451">
        <w:rPr>
          <w:rStyle w:val="FootnoteReference"/>
        </w:rPr>
        <w:footnoteReference w:id="5"/>
      </w:r>
      <w:r w:rsidR="007853F0">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002A0451">
        <w:rPr>
          <w:rStyle w:val="FootnoteReference"/>
        </w:rPr>
        <w:footnoteReference w:id="6"/>
      </w:r>
      <w:r w:rsidR="007853F0">
        <w:t xml:space="preserve">  Finally, the importance of monetary incentives </w:t>
      </w:r>
      <w:r>
        <w:t>has</w:t>
      </w:r>
      <w:r w:rsidR="007853F0">
        <w:t xml:space="preserve"> been corroborated in experiences related to the National Adult Literacy Survey by Berlin </w:t>
      </w:r>
      <w:r w:rsidR="005C1579">
        <w:t xml:space="preserve">and colleagues </w:t>
      </w:r>
      <w:r w:rsidR="007853F0">
        <w:t>(1992)</w:t>
      </w:r>
      <w:r w:rsidR="007F5F99">
        <w:rPr>
          <w:rStyle w:val="FootnoteReference"/>
        </w:rPr>
        <w:footnoteReference w:id="7"/>
      </w:r>
      <w:r w:rsidR="007853F0">
        <w:t xml:space="preserve"> and </w:t>
      </w:r>
      <w:r w:rsidR="007C2C46">
        <w:t>internal</w:t>
      </w:r>
      <w:r w:rsidR="00AF5DE2">
        <w:t xml:space="preserve"> </w:t>
      </w:r>
      <w:r w:rsidR="00906986">
        <w:t xml:space="preserve">proprietary </w:t>
      </w:r>
      <w:r w:rsidR="00AF5DE2">
        <w:t xml:space="preserve">research </w:t>
      </w:r>
      <w:r w:rsidR="007C2C46">
        <w:t>conducted by our contractor</w:t>
      </w:r>
      <w:r>
        <w:t>, RTI</w:t>
      </w:r>
      <w:r w:rsidR="007853F0">
        <w:t>.</w:t>
      </w:r>
    </w:p>
    <w:p w:rsidR="008E5BE4" w:rsidRDefault="008E5BE4" w:rsidP="007853F0">
      <w:pPr>
        <w:pStyle w:val="ListParagraph"/>
      </w:pPr>
    </w:p>
    <w:p w:rsidR="00140A0D" w:rsidRPr="00E96045" w:rsidRDefault="00140A0D" w:rsidP="00140A0D">
      <w:pPr>
        <w:numPr>
          <w:ilvl w:val="0"/>
          <w:numId w:val="15"/>
        </w:numPr>
        <w:tabs>
          <w:tab w:val="clear" w:pos="1296"/>
          <w:tab w:val="num" w:pos="720"/>
          <w:tab w:val="num" w:pos="900"/>
        </w:tabs>
        <w:ind w:left="720"/>
      </w:pPr>
      <w:r>
        <w:rPr>
          <w:b/>
        </w:rPr>
        <w:t>Questions of a Sensitive Nature:</w:t>
      </w:r>
    </w:p>
    <w:p w:rsidR="00140A0D" w:rsidRDefault="00473C32" w:rsidP="00140A0D">
      <w:pPr>
        <w:pStyle w:val="ListParagraph"/>
      </w:pPr>
      <w:r>
        <w:t>None.</w:t>
      </w:r>
    </w:p>
    <w:p w:rsidR="00140A0D" w:rsidRDefault="00140A0D" w:rsidP="00140A0D">
      <w:pPr>
        <w:pStyle w:val="ListParagraph"/>
      </w:pPr>
    </w:p>
    <w:p w:rsidR="00140A0D" w:rsidRPr="00E96045" w:rsidRDefault="00140A0D" w:rsidP="00140A0D">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rsidR="00473C32" w:rsidRPr="0050277D" w:rsidRDefault="00473C32" w:rsidP="00B87572">
      <w:pPr>
        <w:ind w:left="720"/>
        <w:jc w:val="both"/>
      </w:pPr>
      <w:r w:rsidRPr="0050277D">
        <w:t xml:space="preserve">The Contractor will contact prospective participants by telephone and screen them for eligibility to participate (Appendix I). </w:t>
      </w:r>
      <w:r w:rsidRPr="00336FCF">
        <w:t xml:space="preserve">The facilities’ staff will provide all necessary information and instructions to ensure participants arrive at the proper location on </w:t>
      </w:r>
      <w:r>
        <w:t xml:space="preserve">the agreed upon date and time. </w:t>
      </w:r>
      <w:r w:rsidRPr="00336FCF">
        <w:t xml:space="preserve">Facilities will </w:t>
      </w:r>
      <w:r>
        <w:t>conduct recruitment and</w:t>
      </w:r>
      <w:r w:rsidRPr="00336FCF">
        <w:t xml:space="preserve"> ensure </w:t>
      </w:r>
      <w:r>
        <w:t xml:space="preserve">that </w:t>
      </w:r>
      <w:r w:rsidRPr="00336FCF">
        <w:t xml:space="preserve">the </w:t>
      </w:r>
      <w:r>
        <w:t>needed number of participants show up for</w:t>
      </w:r>
      <w:r w:rsidRPr="00336FCF">
        <w:t xml:space="preserve"> their scheduled time slot.</w:t>
      </w:r>
      <w:r>
        <w:t xml:space="preserve"> </w:t>
      </w:r>
      <w:r w:rsidRPr="0050277D">
        <w:t>This study</w:t>
      </w:r>
      <w:r>
        <w:t xml:space="preserve"> employs qualitative methods and</w:t>
      </w:r>
      <w:r w:rsidRPr="0050277D">
        <w:t xml:space="preserve"> does not entail the use of any statistical methods.</w:t>
      </w:r>
    </w:p>
    <w:p w:rsidR="00473C32" w:rsidRPr="00473C32" w:rsidRDefault="00473C32" w:rsidP="00B87572">
      <w:pPr>
        <w:ind w:left="720"/>
        <w:jc w:val="both"/>
      </w:pPr>
    </w:p>
    <w:p w:rsidR="00473C32" w:rsidRPr="00336FCF" w:rsidRDefault="00473C32" w:rsidP="00B87572">
      <w:pPr>
        <w:ind w:left="720"/>
        <w:jc w:val="both"/>
      </w:pPr>
      <w:r w:rsidRPr="00336FCF">
        <w:t xml:space="preserve">Table 1 shows the estimated annual reporting burden for the groups, assuming </w:t>
      </w:r>
      <w:r>
        <w:t>10</w:t>
      </w:r>
      <w:r w:rsidRPr="00336FCF">
        <w:t xml:space="preserve"> participants per group.</w:t>
      </w:r>
    </w:p>
    <w:p w:rsidR="00140A0D" w:rsidRDefault="00140A0D" w:rsidP="00F12AEE">
      <w:pPr>
        <w:pStyle w:val="ListParagraph"/>
      </w:pPr>
    </w:p>
    <w:p w:rsidR="00190AA2" w:rsidRDefault="00190AA2" w:rsidP="00F12AEE">
      <w:pPr>
        <w:pStyle w:val="ListParagraph"/>
      </w:pPr>
    </w:p>
    <w:p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5C6A7F" w:rsidRDefault="005C6A7F">
      <w:pPr>
        <w:rPr>
          <w:i/>
        </w:rPr>
      </w:pPr>
    </w:p>
    <w:p w:rsidR="003F1C7A" w:rsidRDefault="00F62F0B">
      <w:pPr>
        <w:keepNext/>
        <w:keepLines/>
        <w:rPr>
          <w:b/>
        </w:rPr>
      </w:pPr>
      <w:r>
        <w:rPr>
          <w:b/>
        </w:rPr>
        <w:t>Table 1.</w:t>
      </w:r>
    </w:p>
    <w:p w:rsidR="00F62F0B" w:rsidRDefault="00F62F0B">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rsidTr="00862F2F">
        <w:trPr>
          <w:cantSplit/>
          <w:trHeight w:val="274"/>
          <w:jc w:val="center"/>
        </w:trPr>
        <w:tc>
          <w:tcPr>
            <w:tcW w:w="2536" w:type="dxa"/>
            <w:shd w:val="clear" w:color="auto" w:fill="E0E0E0"/>
          </w:tcPr>
          <w:p w:rsidR="003F1C7A" w:rsidRDefault="00696B03">
            <w:pPr>
              <w:jc w:val="center"/>
              <w:rPr>
                <w:b/>
              </w:rPr>
            </w:pPr>
            <w:r>
              <w:rPr>
                <w:b/>
              </w:rPr>
              <w:t>Type/</w:t>
            </w:r>
            <w:r w:rsidR="003F1C7A">
              <w:rPr>
                <w:b/>
              </w:rPr>
              <w:t>Category of Respondent</w:t>
            </w:r>
          </w:p>
        </w:tc>
        <w:tc>
          <w:tcPr>
            <w:tcW w:w="1985" w:type="dxa"/>
            <w:shd w:val="clear" w:color="auto" w:fill="E0E0E0"/>
          </w:tcPr>
          <w:p w:rsidR="003F1C7A" w:rsidRDefault="003F1C7A" w:rsidP="00696B03">
            <w:pPr>
              <w:jc w:val="center"/>
              <w:rPr>
                <w:b/>
              </w:rPr>
            </w:pPr>
            <w:r>
              <w:rPr>
                <w:b/>
              </w:rPr>
              <w:t>No. of Respondent</w:t>
            </w:r>
            <w:r w:rsidR="00696B03">
              <w:rPr>
                <w:b/>
              </w:rPr>
              <w:t>s</w:t>
            </w:r>
          </w:p>
        </w:tc>
        <w:tc>
          <w:tcPr>
            <w:tcW w:w="1985" w:type="dxa"/>
            <w:shd w:val="clear" w:color="auto" w:fill="E0E0E0"/>
          </w:tcPr>
          <w:p w:rsidR="003F1C7A" w:rsidRDefault="003F1C7A">
            <w:pPr>
              <w:jc w:val="center"/>
              <w:rPr>
                <w:b/>
              </w:rPr>
            </w:pPr>
            <w:r>
              <w:rPr>
                <w:b/>
              </w:rPr>
              <w:t>Participation Time</w:t>
            </w:r>
            <w:r w:rsidR="00696B03">
              <w:rPr>
                <w:b/>
              </w:rPr>
              <w:t xml:space="preserve"> (minutes)</w:t>
            </w:r>
          </w:p>
        </w:tc>
        <w:tc>
          <w:tcPr>
            <w:tcW w:w="1986" w:type="dxa"/>
            <w:shd w:val="clear" w:color="auto" w:fill="E0E0E0"/>
          </w:tcPr>
          <w:p w:rsidR="003F1C7A" w:rsidRDefault="003F1C7A" w:rsidP="0097718E">
            <w:pPr>
              <w:jc w:val="center"/>
              <w:rPr>
                <w:b/>
              </w:rPr>
            </w:pPr>
            <w:r>
              <w:rPr>
                <w:b/>
              </w:rPr>
              <w:t>Burden</w:t>
            </w:r>
          </w:p>
          <w:p w:rsidR="00696B03" w:rsidRDefault="00696B03" w:rsidP="0097718E">
            <w:pPr>
              <w:jc w:val="center"/>
              <w:rPr>
                <w:b/>
              </w:rPr>
            </w:pPr>
            <w:r>
              <w:rPr>
                <w:b/>
              </w:rPr>
              <w:t>(hours)</w:t>
            </w:r>
          </w:p>
        </w:tc>
      </w:tr>
      <w:tr w:rsidR="00F62F0B" w:rsidTr="00862F2F">
        <w:trPr>
          <w:trHeight w:val="274"/>
          <w:jc w:val="center"/>
        </w:trPr>
        <w:tc>
          <w:tcPr>
            <w:tcW w:w="2536" w:type="dxa"/>
          </w:tcPr>
          <w:p w:rsidR="00F62F0B" w:rsidRPr="00776554" w:rsidRDefault="00F62F0B" w:rsidP="00E54B22">
            <w:r>
              <w:t>Screener</w:t>
            </w:r>
          </w:p>
        </w:tc>
        <w:tc>
          <w:tcPr>
            <w:tcW w:w="1985" w:type="dxa"/>
          </w:tcPr>
          <w:p w:rsidR="00F62F0B" w:rsidRPr="00776554" w:rsidRDefault="00802398" w:rsidP="00E54B22">
            <w:r>
              <w:t>48</w:t>
            </w:r>
            <w:r w:rsidR="00F62F0B">
              <w:t>0</w:t>
            </w:r>
          </w:p>
        </w:tc>
        <w:tc>
          <w:tcPr>
            <w:tcW w:w="1985" w:type="dxa"/>
          </w:tcPr>
          <w:p w:rsidR="00F62F0B" w:rsidRPr="00776554" w:rsidRDefault="00F62F0B" w:rsidP="00E54B22">
            <w:r>
              <w:t>5</w:t>
            </w:r>
          </w:p>
        </w:tc>
        <w:tc>
          <w:tcPr>
            <w:tcW w:w="1986" w:type="dxa"/>
          </w:tcPr>
          <w:p w:rsidR="00F62F0B" w:rsidRPr="00776554" w:rsidRDefault="00802398" w:rsidP="00E54B22">
            <w:r>
              <w:t>4</w:t>
            </w:r>
            <w:r w:rsidR="00F62F0B">
              <w:t>0</w:t>
            </w:r>
          </w:p>
        </w:tc>
      </w:tr>
      <w:tr w:rsidR="007E76D6" w:rsidTr="00862F2F">
        <w:trPr>
          <w:trHeight w:val="274"/>
          <w:jc w:val="center"/>
        </w:trPr>
        <w:tc>
          <w:tcPr>
            <w:tcW w:w="2536" w:type="dxa"/>
          </w:tcPr>
          <w:p w:rsidR="007E76D6" w:rsidRDefault="007E76D6" w:rsidP="00E54B22">
            <w:r>
              <w:t>Focus group discussion</w:t>
            </w:r>
          </w:p>
        </w:tc>
        <w:tc>
          <w:tcPr>
            <w:tcW w:w="1985" w:type="dxa"/>
          </w:tcPr>
          <w:p w:rsidR="007E76D6" w:rsidRDefault="00802398" w:rsidP="00802398">
            <w:r>
              <w:t>8</w:t>
            </w:r>
            <w:r w:rsidR="007E76D6">
              <w:t>0</w:t>
            </w:r>
          </w:p>
        </w:tc>
        <w:tc>
          <w:tcPr>
            <w:tcW w:w="1985" w:type="dxa"/>
          </w:tcPr>
          <w:p w:rsidR="007E76D6" w:rsidDel="0016369C" w:rsidRDefault="007E76D6" w:rsidP="00E54B22">
            <w:r>
              <w:t>90</w:t>
            </w:r>
          </w:p>
        </w:tc>
        <w:tc>
          <w:tcPr>
            <w:tcW w:w="1986" w:type="dxa"/>
          </w:tcPr>
          <w:p w:rsidR="007E76D6" w:rsidDel="0016369C" w:rsidRDefault="00802398" w:rsidP="00802398">
            <w:r>
              <w:t>12</w:t>
            </w:r>
            <w:r w:rsidR="007E76D6">
              <w:t>0</w:t>
            </w:r>
          </w:p>
        </w:tc>
      </w:tr>
      <w:tr w:rsidR="001C7B3E" w:rsidTr="00D670C5">
        <w:trPr>
          <w:trHeight w:val="274"/>
          <w:jc w:val="center"/>
        </w:trPr>
        <w:tc>
          <w:tcPr>
            <w:tcW w:w="6506" w:type="dxa"/>
            <w:gridSpan w:val="3"/>
          </w:tcPr>
          <w:p w:rsidR="001C7B3E" w:rsidRDefault="001C7B3E" w:rsidP="00E54B22">
            <w:r>
              <w:t>Total</w:t>
            </w:r>
          </w:p>
        </w:tc>
        <w:tc>
          <w:tcPr>
            <w:tcW w:w="1986" w:type="dxa"/>
          </w:tcPr>
          <w:p w:rsidR="001C7B3E" w:rsidRDefault="001C7B3E" w:rsidP="00802398">
            <w:r>
              <w:t>160</w:t>
            </w:r>
          </w:p>
        </w:tc>
      </w:tr>
    </w:tbl>
    <w:p w:rsidR="003F1C7A" w:rsidRDefault="003F1C7A"/>
    <w:p w:rsidR="00F62F0B" w:rsidRDefault="00F62F0B"/>
    <w:p w:rsidR="00B71082" w:rsidRDefault="003F1C7A" w:rsidP="00B71082">
      <w:r>
        <w:rPr>
          <w:b/>
        </w:rPr>
        <w:t xml:space="preserve">REQUESTED APPROVAL DATE:  </w:t>
      </w:r>
      <w:r w:rsidR="00E70641">
        <w:t>May 6</w:t>
      </w:r>
      <w:r w:rsidR="001973CE">
        <w:t>, 2016</w:t>
      </w:r>
    </w:p>
    <w:p w:rsidR="003F1C7A" w:rsidRDefault="003F1C7A">
      <w:pPr>
        <w:rPr>
          <w:b/>
        </w:rPr>
      </w:pPr>
    </w:p>
    <w:p w:rsidR="00D00880" w:rsidRDefault="00140A0D" w:rsidP="00140A0D">
      <w:pPr>
        <w:rPr>
          <w:b/>
        </w:rPr>
      </w:pPr>
      <w:r>
        <w:rPr>
          <w:b/>
        </w:rPr>
        <w:t xml:space="preserve">NAME OF PRA ANALYST &amp; PROGRAM CONTACT:  </w:t>
      </w:r>
    </w:p>
    <w:p w:rsidR="00D00880" w:rsidRPr="00D00880" w:rsidRDefault="002254D4" w:rsidP="00D00880">
      <w:pPr>
        <w:rPr>
          <w:bCs/>
        </w:rPr>
      </w:pPr>
      <w:r>
        <w:rPr>
          <w:bCs/>
        </w:rPr>
        <w:lastRenderedPageBreak/>
        <w:t xml:space="preserve">Ila S. Mizrachi </w:t>
      </w:r>
      <w:r w:rsidR="00D00880" w:rsidRPr="00D00880">
        <w:rPr>
          <w:bCs/>
        </w:rPr>
        <w:t xml:space="preserve"> (PRA Analyst) </w:t>
      </w:r>
      <w:bookmarkStart w:id="0" w:name="_GoBack"/>
      <w:bookmarkEnd w:id="0"/>
    </w:p>
    <w:p w:rsidR="002254D4" w:rsidRDefault="002254D4" w:rsidP="00D00880">
      <w:hyperlink r:id="rId9" w:history="1">
        <w:r w:rsidRPr="009B5E5A">
          <w:rPr>
            <w:rStyle w:val="Hyperlink"/>
          </w:rPr>
          <w:t>Ila.Mizrachi@fda.hhs.gov</w:t>
        </w:r>
      </w:hyperlink>
    </w:p>
    <w:p w:rsidR="00D00880" w:rsidRPr="00D00880" w:rsidRDefault="00D00880" w:rsidP="00D00880">
      <w:pPr>
        <w:rPr>
          <w:bCs/>
        </w:rPr>
      </w:pPr>
      <w:r w:rsidRPr="00D00880">
        <w:rPr>
          <w:bCs/>
        </w:rPr>
        <w:t>301-796-</w:t>
      </w:r>
      <w:r w:rsidR="002254D4">
        <w:rPr>
          <w:bCs/>
        </w:rPr>
        <w:t>7726</w:t>
      </w:r>
    </w:p>
    <w:p w:rsidR="00D00880" w:rsidRPr="00D00880" w:rsidRDefault="00D00880" w:rsidP="00D00880">
      <w:pPr>
        <w:rPr>
          <w:bCs/>
        </w:rPr>
      </w:pPr>
    </w:p>
    <w:p w:rsidR="00D00880" w:rsidRPr="00D00880" w:rsidRDefault="00D00880" w:rsidP="00D00880">
      <w:pPr>
        <w:rPr>
          <w:bCs/>
        </w:rPr>
      </w:pPr>
      <w:r w:rsidRPr="00D00880">
        <w:rPr>
          <w:bCs/>
        </w:rPr>
        <w:t>Serena Lo (Program Contact)</w:t>
      </w:r>
    </w:p>
    <w:p w:rsidR="00D00880" w:rsidRPr="00D00880" w:rsidRDefault="00D00880" w:rsidP="00D00880">
      <w:pPr>
        <w:rPr>
          <w:bCs/>
        </w:rPr>
      </w:pPr>
      <w:r w:rsidRPr="00D00880">
        <w:rPr>
          <w:bCs/>
        </w:rPr>
        <w:t>Serena.Lo@fda.hhs.gov</w:t>
      </w:r>
    </w:p>
    <w:p w:rsidR="00140A0D" w:rsidRDefault="00D00880" w:rsidP="00140A0D">
      <w:pPr>
        <w:tabs>
          <w:tab w:val="left" w:pos="5670"/>
        </w:tabs>
        <w:suppressAutoHyphens/>
        <w:rPr>
          <w:bCs/>
        </w:rPr>
      </w:pPr>
      <w:r w:rsidRPr="00D00880">
        <w:rPr>
          <w:bCs/>
        </w:rPr>
        <w:t>240-402-2443</w:t>
      </w:r>
    </w:p>
    <w:p w:rsidR="00D00880" w:rsidRDefault="00D00880" w:rsidP="00140A0D">
      <w:pPr>
        <w:tabs>
          <w:tab w:val="left" w:pos="5670"/>
        </w:tabs>
        <w:suppressAutoHyphens/>
        <w:rPr>
          <w:b/>
        </w:rPr>
      </w:pPr>
    </w:p>
    <w:p w:rsidR="003F1C7A" w:rsidRPr="00E215FA" w:rsidRDefault="00140A0D" w:rsidP="00140A0D">
      <w:pPr>
        <w:tabs>
          <w:tab w:val="left" w:pos="5670"/>
        </w:tabs>
        <w:suppressAutoHyphens/>
      </w:pPr>
      <w:r>
        <w:rPr>
          <w:b/>
        </w:rPr>
        <w:t xml:space="preserve">FDA CENTER:  </w:t>
      </w:r>
      <w:r w:rsidR="001973CE">
        <w:t>C</w:t>
      </w:r>
      <w:r w:rsidR="002254D4">
        <w:t>enter for Food Safety and Applied Nutrition</w:t>
      </w:r>
    </w:p>
    <w:sectPr w:rsidR="003F1C7A" w:rsidRPr="00E215FA"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C06" w:rsidRDefault="00121C06">
      <w:r>
        <w:separator/>
      </w:r>
    </w:p>
  </w:endnote>
  <w:endnote w:type="continuationSeparator" w:id="0">
    <w:p w:rsidR="00121C06" w:rsidRDefault="0012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254D4">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C06" w:rsidRDefault="00121C06">
      <w:r>
        <w:separator/>
      </w:r>
    </w:p>
  </w:footnote>
  <w:footnote w:type="continuationSeparator" w:id="0">
    <w:p w:rsidR="00121C06" w:rsidRDefault="00121C06">
      <w:r>
        <w:continuationSeparator/>
      </w:r>
    </w:p>
  </w:footnote>
  <w:footnote w:id="1">
    <w:p w:rsidR="00CC096B" w:rsidRDefault="00CC096B" w:rsidP="00CC096B">
      <w:pPr>
        <w:pStyle w:val="FootnoteText"/>
      </w:pPr>
      <w:r>
        <w:rPr>
          <w:rStyle w:val="FootnoteReference"/>
        </w:rPr>
        <w:footnoteRef/>
      </w:r>
      <w:r>
        <w:t xml:space="preserve"> See </w:t>
      </w:r>
      <w:r w:rsidRPr="0088430F">
        <w:t>http://www.pewresearch.org/fact-tank/2015/12/09/are-you-in-the-american-middle-class/</w:t>
      </w:r>
    </w:p>
  </w:footnote>
  <w:footnote w:id="2">
    <w:p w:rsidR="00DE6944" w:rsidRDefault="00DE6944" w:rsidP="00DE6944">
      <w:pPr>
        <w:pStyle w:val="FootnoteText"/>
      </w:pPr>
      <w:r>
        <w:rPr>
          <w:rStyle w:val="FootnoteReference"/>
        </w:rPr>
        <w:footnoteRef/>
      </w:r>
      <w:r>
        <w:t xml:space="preserve"> Assumes an hourly rate of $16 per hour for a professional babysitter</w:t>
      </w:r>
    </w:p>
  </w:footnote>
  <w:footnote w:id="3">
    <w:p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rsidR="002A0451" w:rsidRDefault="002A0451">
      <w:pPr>
        <w:pStyle w:val="FootnoteText"/>
      </w:pPr>
      <w:r>
        <w:rPr>
          <w:rStyle w:val="FootnoteReference"/>
        </w:rPr>
        <w:footnoteRef/>
      </w:r>
      <w:r>
        <w:t xml:space="preserve"> Church, A.H. (1993). Estimating the effect of incentives on mail survey response rates: A meta-analysis. </w:t>
      </w:r>
      <w:r>
        <w:rPr>
          <w:i/>
          <w:iCs/>
        </w:rPr>
        <w:t>Public Opinion Quarterly</w:t>
      </w:r>
      <w:r w:rsidR="00DD3323">
        <w:rPr>
          <w:i/>
          <w:iCs/>
        </w:rPr>
        <w:t>,</w:t>
      </w:r>
      <w:r>
        <w:t xml:space="preserve"> 57</w:t>
      </w:r>
      <w:r w:rsidR="00DD3323">
        <w:t>,</w:t>
      </w:r>
      <w:r>
        <w:t xml:space="preserve"> 62-79.</w:t>
      </w:r>
    </w:p>
  </w:footnote>
  <w:footnote w:id="7">
    <w:p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275F0"/>
    <w:rsid w:val="00027D62"/>
    <w:rsid w:val="00035B5C"/>
    <w:rsid w:val="000477CE"/>
    <w:rsid w:val="000A525C"/>
    <w:rsid w:val="000C386B"/>
    <w:rsid w:val="000F1CDA"/>
    <w:rsid w:val="000F2F28"/>
    <w:rsid w:val="0012150E"/>
    <w:rsid w:val="00121C06"/>
    <w:rsid w:val="00126D06"/>
    <w:rsid w:val="00132EF8"/>
    <w:rsid w:val="0013429B"/>
    <w:rsid w:val="00135607"/>
    <w:rsid w:val="00140343"/>
    <w:rsid w:val="00140A0D"/>
    <w:rsid w:val="001534AD"/>
    <w:rsid w:val="00163E86"/>
    <w:rsid w:val="00172A6E"/>
    <w:rsid w:val="0017544C"/>
    <w:rsid w:val="00190AA2"/>
    <w:rsid w:val="001973CE"/>
    <w:rsid w:val="001A68F4"/>
    <w:rsid w:val="001C0117"/>
    <w:rsid w:val="001C7B3E"/>
    <w:rsid w:val="001D19B4"/>
    <w:rsid w:val="001F09C0"/>
    <w:rsid w:val="001F4032"/>
    <w:rsid w:val="00205677"/>
    <w:rsid w:val="0020693D"/>
    <w:rsid w:val="002254D4"/>
    <w:rsid w:val="00230200"/>
    <w:rsid w:val="00243BAE"/>
    <w:rsid w:val="00255B16"/>
    <w:rsid w:val="00263DCB"/>
    <w:rsid w:val="00274A8E"/>
    <w:rsid w:val="00287B67"/>
    <w:rsid w:val="002A0451"/>
    <w:rsid w:val="00314CE8"/>
    <w:rsid w:val="00324DC3"/>
    <w:rsid w:val="00350C25"/>
    <w:rsid w:val="00354FAE"/>
    <w:rsid w:val="00362661"/>
    <w:rsid w:val="00364051"/>
    <w:rsid w:val="003C7EE8"/>
    <w:rsid w:val="003F1C7A"/>
    <w:rsid w:val="00411149"/>
    <w:rsid w:val="0043221D"/>
    <w:rsid w:val="0045615E"/>
    <w:rsid w:val="00463B4D"/>
    <w:rsid w:val="00473C32"/>
    <w:rsid w:val="004910F4"/>
    <w:rsid w:val="0049419A"/>
    <w:rsid w:val="004A0140"/>
    <w:rsid w:val="004B694D"/>
    <w:rsid w:val="004E1EE9"/>
    <w:rsid w:val="00506FE7"/>
    <w:rsid w:val="00513F6A"/>
    <w:rsid w:val="00540689"/>
    <w:rsid w:val="00576639"/>
    <w:rsid w:val="005A1029"/>
    <w:rsid w:val="005A18A4"/>
    <w:rsid w:val="005B3F8D"/>
    <w:rsid w:val="005B4CFB"/>
    <w:rsid w:val="005C1579"/>
    <w:rsid w:val="005C6A7F"/>
    <w:rsid w:val="005D6364"/>
    <w:rsid w:val="005E23BA"/>
    <w:rsid w:val="005E4981"/>
    <w:rsid w:val="00605169"/>
    <w:rsid w:val="00696B03"/>
    <w:rsid w:val="006970B6"/>
    <w:rsid w:val="006A2D27"/>
    <w:rsid w:val="006A305F"/>
    <w:rsid w:val="006D3B31"/>
    <w:rsid w:val="006F3095"/>
    <w:rsid w:val="0074463A"/>
    <w:rsid w:val="00744F5B"/>
    <w:rsid w:val="007837CA"/>
    <w:rsid w:val="007853F0"/>
    <w:rsid w:val="00787E77"/>
    <w:rsid w:val="00795B93"/>
    <w:rsid w:val="007A305E"/>
    <w:rsid w:val="007A4331"/>
    <w:rsid w:val="007A4CF6"/>
    <w:rsid w:val="007B045B"/>
    <w:rsid w:val="007C2C46"/>
    <w:rsid w:val="007C6E1E"/>
    <w:rsid w:val="007D7B02"/>
    <w:rsid w:val="007E69D7"/>
    <w:rsid w:val="007E76D6"/>
    <w:rsid w:val="007F5F99"/>
    <w:rsid w:val="00802398"/>
    <w:rsid w:val="008408E6"/>
    <w:rsid w:val="00846A5B"/>
    <w:rsid w:val="008577D6"/>
    <w:rsid w:val="00862F2F"/>
    <w:rsid w:val="00871FD9"/>
    <w:rsid w:val="00882AE4"/>
    <w:rsid w:val="008863D0"/>
    <w:rsid w:val="00894F96"/>
    <w:rsid w:val="00895FDC"/>
    <w:rsid w:val="008D29D6"/>
    <w:rsid w:val="008E5BE4"/>
    <w:rsid w:val="008E6145"/>
    <w:rsid w:val="008E7B52"/>
    <w:rsid w:val="008F6E91"/>
    <w:rsid w:val="00906986"/>
    <w:rsid w:val="00910694"/>
    <w:rsid w:val="009404FA"/>
    <w:rsid w:val="0097718E"/>
    <w:rsid w:val="0098121D"/>
    <w:rsid w:val="009845CD"/>
    <w:rsid w:val="009940CE"/>
    <w:rsid w:val="009E0F10"/>
    <w:rsid w:val="009E555A"/>
    <w:rsid w:val="00A037AF"/>
    <w:rsid w:val="00A2089D"/>
    <w:rsid w:val="00A212B8"/>
    <w:rsid w:val="00A26BA5"/>
    <w:rsid w:val="00A44BF9"/>
    <w:rsid w:val="00A746A9"/>
    <w:rsid w:val="00A82DCC"/>
    <w:rsid w:val="00AA3856"/>
    <w:rsid w:val="00AB2333"/>
    <w:rsid w:val="00AC2461"/>
    <w:rsid w:val="00AE34BB"/>
    <w:rsid w:val="00AF5DE2"/>
    <w:rsid w:val="00B021C5"/>
    <w:rsid w:val="00B31D14"/>
    <w:rsid w:val="00B40D56"/>
    <w:rsid w:val="00B46254"/>
    <w:rsid w:val="00B46E5B"/>
    <w:rsid w:val="00B65597"/>
    <w:rsid w:val="00B71082"/>
    <w:rsid w:val="00B72DD6"/>
    <w:rsid w:val="00B859B1"/>
    <w:rsid w:val="00B87572"/>
    <w:rsid w:val="00B94044"/>
    <w:rsid w:val="00BC7613"/>
    <w:rsid w:val="00BF3A0E"/>
    <w:rsid w:val="00BF526E"/>
    <w:rsid w:val="00C42C31"/>
    <w:rsid w:val="00C54AE4"/>
    <w:rsid w:val="00C716BF"/>
    <w:rsid w:val="00C73D7F"/>
    <w:rsid w:val="00CC096B"/>
    <w:rsid w:val="00CC7869"/>
    <w:rsid w:val="00CE0205"/>
    <w:rsid w:val="00CE57C2"/>
    <w:rsid w:val="00CF0774"/>
    <w:rsid w:val="00CF10F4"/>
    <w:rsid w:val="00D00880"/>
    <w:rsid w:val="00D05FCF"/>
    <w:rsid w:val="00D10399"/>
    <w:rsid w:val="00D14201"/>
    <w:rsid w:val="00D340AB"/>
    <w:rsid w:val="00D3689E"/>
    <w:rsid w:val="00D43148"/>
    <w:rsid w:val="00D542D4"/>
    <w:rsid w:val="00DA4D60"/>
    <w:rsid w:val="00DC30B4"/>
    <w:rsid w:val="00DC76EE"/>
    <w:rsid w:val="00DD3323"/>
    <w:rsid w:val="00DD6106"/>
    <w:rsid w:val="00DE6944"/>
    <w:rsid w:val="00DF53C4"/>
    <w:rsid w:val="00E17CC8"/>
    <w:rsid w:val="00E215FA"/>
    <w:rsid w:val="00E26798"/>
    <w:rsid w:val="00E45491"/>
    <w:rsid w:val="00E45BA0"/>
    <w:rsid w:val="00E629FF"/>
    <w:rsid w:val="00E70641"/>
    <w:rsid w:val="00E96045"/>
    <w:rsid w:val="00E971FC"/>
    <w:rsid w:val="00EA0586"/>
    <w:rsid w:val="00EB0699"/>
    <w:rsid w:val="00EC1E0E"/>
    <w:rsid w:val="00EC6B0A"/>
    <w:rsid w:val="00EE231A"/>
    <w:rsid w:val="00EE7334"/>
    <w:rsid w:val="00F12AEE"/>
    <w:rsid w:val="00F15DA1"/>
    <w:rsid w:val="00F26B2B"/>
    <w:rsid w:val="00F3704A"/>
    <w:rsid w:val="00F62F0B"/>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9A0E-F200-4B3B-A5B0-504F0EF4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1662</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4</cp:revision>
  <cp:lastPrinted>2010-11-01T18:07:00Z</cp:lastPrinted>
  <dcterms:created xsi:type="dcterms:W3CDTF">2016-04-20T16:49:00Z</dcterms:created>
  <dcterms:modified xsi:type="dcterms:W3CDTF">2016-04-20T20:29:00Z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