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Pr="00B57E8B" w:rsidRDefault="00364051" w:rsidP="00243BAE">
      <w:pPr>
        <w:pStyle w:val="Heading2"/>
        <w:tabs>
          <w:tab w:val="left" w:pos="900"/>
        </w:tabs>
        <w:ind w:right="-180"/>
        <w:rPr>
          <w:sz w:val="28"/>
        </w:rPr>
      </w:pPr>
      <w:r w:rsidRPr="00B57E8B">
        <w:rPr>
          <w:sz w:val="28"/>
        </w:rPr>
        <w:t>FDA</w:t>
      </w:r>
      <w:r w:rsidR="00243BAE" w:rsidRPr="00B57E8B">
        <w:rPr>
          <w:sz w:val="28"/>
        </w:rPr>
        <w:t xml:space="preserve"> </w:t>
      </w:r>
      <w:r w:rsidR="003F1C7A" w:rsidRPr="00B57E8B">
        <w:rPr>
          <w:sz w:val="28"/>
        </w:rPr>
        <w:t>DOCUMENTATION FOR THE GENERIC CLEARANCE</w:t>
      </w:r>
    </w:p>
    <w:p w:rsidR="003F1C7A" w:rsidRPr="00B57E8B" w:rsidRDefault="003F1C7A">
      <w:pPr>
        <w:jc w:val="center"/>
      </w:pPr>
      <w:r w:rsidRPr="00B57E8B">
        <w:rPr>
          <w:b/>
          <w:sz w:val="28"/>
        </w:rPr>
        <w:t xml:space="preserve">OF </w:t>
      </w:r>
      <w:r w:rsidR="00F12AEE" w:rsidRPr="00B57E8B">
        <w:rPr>
          <w:b/>
          <w:sz w:val="28"/>
        </w:rPr>
        <w:t>FOCUS GROUPS</w:t>
      </w:r>
      <w:r w:rsidR="00FB4118">
        <w:rPr>
          <w:b/>
          <w:sz w:val="28"/>
        </w:rPr>
        <w:t xml:space="preserve"> </w:t>
      </w:r>
      <w:r w:rsidR="00C348FF" w:rsidRPr="00C348FF">
        <w:rPr>
          <w:b/>
          <w:sz w:val="28"/>
        </w:rPr>
        <w:t>&amp; I</w:t>
      </w:r>
      <w:r w:rsidR="000D4AA5">
        <w:rPr>
          <w:b/>
          <w:sz w:val="28"/>
        </w:rPr>
        <w:t xml:space="preserve">N-DEPTH INTERVIEWS FOR THE </w:t>
      </w:r>
      <w:r w:rsidR="00C348FF" w:rsidRPr="00C348FF">
        <w:rPr>
          <w:b/>
          <w:sz w:val="28"/>
        </w:rPr>
        <w:t>FDA CDER R</w:t>
      </w:r>
      <w:r w:rsidR="000D4AA5">
        <w:rPr>
          <w:b/>
          <w:sz w:val="28"/>
        </w:rPr>
        <w:t>ISK COMMUNICATIONS INITIATIVE</w:t>
      </w:r>
      <w:r w:rsidR="00C348FF">
        <w:rPr>
          <w:b/>
          <w:sz w:val="28"/>
        </w:rPr>
        <w:t xml:space="preserve"> (</w:t>
      </w:r>
      <w:r w:rsidR="00FB4118" w:rsidRPr="00C348FF">
        <w:rPr>
          <w:b/>
          <w:sz w:val="28"/>
        </w:rPr>
        <w:t>0910-0</w:t>
      </w:r>
      <w:r w:rsidR="00DA51FF">
        <w:rPr>
          <w:b/>
          <w:sz w:val="28"/>
        </w:rPr>
        <w:t>49</w:t>
      </w:r>
      <w:r w:rsidR="00FB4118" w:rsidRPr="00C348FF">
        <w:rPr>
          <w:b/>
          <w:sz w:val="28"/>
        </w:rPr>
        <w:t>7</w:t>
      </w:r>
      <w:r w:rsidR="000F2F28" w:rsidRPr="00B57E8B">
        <w:rPr>
          <w:b/>
          <w:sz w:val="28"/>
        </w:rPr>
        <w:t>)</w:t>
      </w:r>
    </w:p>
    <w:p w:rsidR="003F1C7A" w:rsidRPr="00B57E8B" w:rsidRDefault="00325A8C">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G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" strokeweight="1.5pt"/>
            </w:pict>
          </mc:Fallback>
        </mc:AlternateContent>
      </w:r>
    </w:p>
    <w:p w:rsidR="003F1C7A" w:rsidRPr="00BB0FB0" w:rsidRDefault="003F1C7A" w:rsidP="005E23BA">
      <w:pPr>
        <w:spacing w:before="120"/>
      </w:pPr>
      <w:r w:rsidRPr="00B57E8B">
        <w:rPr>
          <w:b/>
        </w:rPr>
        <w:t>TITLE OF INFORMATION COLLECTION:</w:t>
      </w:r>
      <w:r w:rsidRPr="00B57E8B">
        <w:t xml:space="preserve">  </w:t>
      </w:r>
      <w:r w:rsidR="003322E1">
        <w:t xml:space="preserve">Spousal </w:t>
      </w:r>
      <w:r w:rsidR="003322E1" w:rsidRPr="008B27F8">
        <w:t>Influence on Consumer Understanding of and Response to DTC Prescription Drug Advertisements (Formative Research</w:t>
      </w:r>
      <w:r w:rsidR="003322E1">
        <w:t xml:space="preserve"> and Stimuli Testing</w:t>
      </w:r>
      <w:r w:rsidR="003322E1" w:rsidRPr="008B27F8">
        <w:t>)</w:t>
      </w:r>
    </w:p>
    <w:p w:rsidR="003F1C7A" w:rsidRPr="00B57E8B" w:rsidRDefault="003F1C7A"/>
    <w:p w:rsidR="003F1C7A" w:rsidRPr="00B57E8B" w:rsidRDefault="003F1C7A">
      <w:pPr>
        <w:spacing w:after="120"/>
      </w:pPr>
      <w:r w:rsidRPr="00B57E8B">
        <w:rPr>
          <w:b/>
        </w:rPr>
        <w:t>DESCRIPTION OF THIS SPECIFIC COLLECTION</w:t>
      </w:r>
      <w:r w:rsidRPr="00B57E8B">
        <w:t xml:space="preserve"> </w:t>
      </w:r>
    </w:p>
    <w:p w:rsidR="003F1C7A" w:rsidRPr="00B57E8B" w:rsidRDefault="0049419A" w:rsidP="00F12AEE">
      <w:pPr>
        <w:numPr>
          <w:ilvl w:val="0"/>
          <w:numId w:val="15"/>
        </w:numPr>
        <w:tabs>
          <w:tab w:val="clear" w:pos="1296"/>
          <w:tab w:val="num" w:pos="720"/>
        </w:tabs>
        <w:ind w:left="360" w:firstLine="0"/>
      </w:pPr>
      <w:r w:rsidRPr="00B57E8B">
        <w:rPr>
          <w:b/>
        </w:rPr>
        <w:t>Statement of n</w:t>
      </w:r>
      <w:r w:rsidR="00F12AEE" w:rsidRPr="00B57E8B">
        <w:rPr>
          <w:b/>
        </w:rPr>
        <w:t>eed</w:t>
      </w:r>
      <w:r w:rsidR="003F1C7A" w:rsidRPr="00B57E8B">
        <w:rPr>
          <w:b/>
        </w:rPr>
        <w:t>:</w:t>
      </w:r>
      <w:r w:rsidR="003F1C7A" w:rsidRPr="00B57E8B">
        <w:t xml:space="preserve">  </w:t>
      </w:r>
    </w:p>
    <w:p w:rsidR="00C00305" w:rsidRDefault="00C00305" w:rsidP="00C00305"/>
    <w:p w:rsidR="003322E1" w:rsidRPr="008B27F8" w:rsidRDefault="003322E1" w:rsidP="007112EE">
      <w:pPr>
        <w:contextualSpacing/>
      </w:pPr>
      <w:r w:rsidRPr="008B27F8">
        <w:t>The Food and Drug Administration (FDA), Center for Drug Evaluation and Research (CDER), Office of Prescription Drug Promotion (OPDP) is seeking OMB approval under the generic cl</w:t>
      </w:r>
      <w:r w:rsidR="007B5218">
        <w:t>earance 0910-0</w:t>
      </w:r>
      <w:r w:rsidR="00DA51FF">
        <w:t>49</w:t>
      </w:r>
      <w:r w:rsidR="007B5218">
        <w:t>7</w:t>
      </w:r>
      <w:r w:rsidR="00485385">
        <w:t xml:space="preserve"> for the focus group / interview </w:t>
      </w:r>
      <w:r w:rsidRPr="008B27F8">
        <w:t>project, “</w:t>
      </w:r>
      <w:r>
        <w:t>Spousal</w:t>
      </w:r>
      <w:r w:rsidRPr="008B27F8">
        <w:t xml:space="preserve"> Influence on Consumer Understanding of and Response to DTC Prescription Drug Advertisements (Formative Research</w:t>
      </w:r>
      <w:r>
        <w:t xml:space="preserve"> and Stimuli Testing</w:t>
      </w:r>
      <w:r w:rsidRPr="008B27F8">
        <w:t>)</w:t>
      </w:r>
      <w:r>
        <w:t xml:space="preserve">.” </w:t>
      </w:r>
    </w:p>
    <w:p w:rsidR="00C00305" w:rsidRDefault="00C00305" w:rsidP="007112EE">
      <w:pPr>
        <w:contextualSpacing/>
      </w:pPr>
    </w:p>
    <w:p w:rsidR="007112EE" w:rsidRDefault="007112EE" w:rsidP="007112EE">
      <w:pPr>
        <w:spacing w:before="120" w:after="120"/>
        <w:contextualSpacing/>
        <w:rPr>
          <w:rFonts w:eastAsia="Calibri"/>
        </w:rPr>
      </w:pPr>
      <w:r w:rsidRPr="00AB78FB">
        <w:rPr>
          <w:rFonts w:eastAsia="Calibri"/>
        </w:rPr>
        <w:t xml:space="preserve">Consumer understanding of direct-to-consumer </w:t>
      </w:r>
      <w:r>
        <w:rPr>
          <w:rFonts w:eastAsia="Calibri"/>
        </w:rPr>
        <w:t xml:space="preserve">(DTC) </w:t>
      </w:r>
      <w:r w:rsidRPr="00AB78FB">
        <w:rPr>
          <w:rFonts w:eastAsia="Calibri"/>
        </w:rPr>
        <w:t>prescription drug advertisements and subsequent medical decisions are likely influenced by the conversations and interactions consumers have with important people in their lives</w:t>
      </w:r>
      <w:r>
        <w:rPr>
          <w:rFonts w:eastAsia="Calibri"/>
        </w:rPr>
        <w:t>.</w:t>
      </w:r>
      <w:r w:rsidRPr="00AB78FB">
        <w:rPr>
          <w:rFonts w:eastAsia="Calibri"/>
        </w:rPr>
        <w:t xml:space="preserve"> </w:t>
      </w:r>
      <w:r>
        <w:rPr>
          <w:rFonts w:eastAsia="Calibri"/>
        </w:rPr>
        <w:t xml:space="preserve">A spouse or partner </w:t>
      </w:r>
      <w:r w:rsidRPr="00AB78FB">
        <w:rPr>
          <w:rFonts w:eastAsia="Calibri"/>
        </w:rPr>
        <w:t xml:space="preserve">can help frame the risks and benefits portrayed by health messages. In addition, </w:t>
      </w:r>
      <w:r>
        <w:rPr>
          <w:rFonts w:eastAsia="Calibri"/>
        </w:rPr>
        <w:t>spouses</w:t>
      </w:r>
      <w:r w:rsidRPr="00AB78FB">
        <w:rPr>
          <w:rFonts w:eastAsia="Calibri"/>
        </w:rPr>
        <w:t xml:space="preserve"> have to coordinate behaviors to manage health conditions. </w:t>
      </w:r>
      <w:r>
        <w:rPr>
          <w:rFonts w:eastAsia="Calibri"/>
        </w:rPr>
        <w:t>The</w:t>
      </w:r>
      <w:r w:rsidRPr="00AB78FB">
        <w:rPr>
          <w:rFonts w:eastAsia="Calibri"/>
        </w:rPr>
        <w:t xml:space="preserve"> a</w:t>
      </w:r>
      <w:r>
        <w:rPr>
          <w:rFonts w:eastAsia="Calibri"/>
        </w:rPr>
        <w:t>vailable literature does not</w:t>
      </w:r>
      <w:r w:rsidRPr="00AB78FB">
        <w:rPr>
          <w:rFonts w:eastAsia="Calibri"/>
        </w:rPr>
        <w:t xml:space="preserve"> provide clear empirical results high</w:t>
      </w:r>
      <w:r>
        <w:rPr>
          <w:rFonts w:eastAsia="Calibri"/>
        </w:rPr>
        <w:t>lighting all key processes that may occur between spouses</w:t>
      </w:r>
      <w:r w:rsidRPr="00AB78FB">
        <w:rPr>
          <w:rFonts w:eastAsia="Calibri"/>
        </w:rPr>
        <w:t xml:space="preserve"> and consumers regarding prescription drug advertisements</w:t>
      </w:r>
      <w:r>
        <w:rPr>
          <w:rFonts w:eastAsia="Calibri"/>
        </w:rPr>
        <w:t xml:space="preserve">. As a result, we will </w:t>
      </w:r>
      <w:r w:rsidRPr="00AB78FB">
        <w:rPr>
          <w:rFonts w:eastAsia="Calibri"/>
        </w:rPr>
        <w:t>conduct formative resear</w:t>
      </w:r>
      <w:r>
        <w:rPr>
          <w:rFonts w:eastAsia="Calibri"/>
        </w:rPr>
        <w:t xml:space="preserve">ch and stimuli testing. </w:t>
      </w:r>
      <w:r w:rsidRPr="000522CE">
        <w:rPr>
          <w:rFonts w:eastAsia="Calibri"/>
        </w:rPr>
        <w:t>Exhibit </w:t>
      </w:r>
      <w:r>
        <w:rPr>
          <w:rFonts w:eastAsia="Calibri"/>
        </w:rPr>
        <w:t>1</w:t>
      </w:r>
      <w:r w:rsidRPr="00AB78FB">
        <w:rPr>
          <w:rFonts w:eastAsia="Calibri"/>
        </w:rPr>
        <w:t xml:space="preserve"> </w:t>
      </w:r>
      <w:r>
        <w:rPr>
          <w:rFonts w:eastAsia="Calibri"/>
        </w:rPr>
        <w:t xml:space="preserve">illustrates the full set of research phases that we intend to conduct; note, however, that this information collection request concerns the highlighted formative </w:t>
      </w:r>
      <w:r w:rsidRPr="00D93FD2">
        <w:rPr>
          <w:rFonts w:eastAsia="Calibri"/>
        </w:rPr>
        <w:t xml:space="preserve">research </w:t>
      </w:r>
      <w:r>
        <w:rPr>
          <w:rFonts w:eastAsia="Calibri"/>
        </w:rPr>
        <w:t xml:space="preserve">and stimuli testing phases </w:t>
      </w:r>
      <w:r w:rsidRPr="00D93FD2">
        <w:rPr>
          <w:rFonts w:eastAsia="Calibri"/>
        </w:rPr>
        <w:t>only.</w:t>
      </w:r>
    </w:p>
    <w:p w:rsidR="007112EE" w:rsidRDefault="007112EE" w:rsidP="007112EE">
      <w:pPr>
        <w:spacing w:before="120" w:after="120"/>
        <w:contextualSpacing/>
        <w:rPr>
          <w:rFonts w:eastAsia="Calibri"/>
        </w:rPr>
      </w:pPr>
    </w:p>
    <w:p w:rsidR="00C2251E" w:rsidRPr="00196A3E" w:rsidRDefault="00C2251E" w:rsidP="007112EE">
      <w:pPr>
        <w:spacing w:before="120" w:after="120"/>
        <w:contextualSpacing/>
        <w:rPr>
          <w:rFonts w:eastAsia="Calibri"/>
        </w:rPr>
      </w:pPr>
    </w:p>
    <w:p w:rsidR="007112EE" w:rsidRPr="00C2251E" w:rsidRDefault="007112EE" w:rsidP="007112EE">
      <w:pPr>
        <w:keepNext/>
        <w:keepLines/>
        <w:spacing w:before="120"/>
        <w:contextualSpacing/>
        <w:rPr>
          <w:rFonts w:eastAsia="Calibri"/>
          <w:b/>
          <w:bCs/>
          <w:color w:val="000000"/>
        </w:rPr>
      </w:pPr>
      <w:r w:rsidRPr="00C2251E">
        <w:rPr>
          <w:rFonts w:eastAsia="Calibri"/>
          <w:b/>
          <w:bCs/>
          <w:color w:val="000000"/>
        </w:rPr>
        <w:t>Exhibit 1. Overview of Research Phases</w:t>
      </w:r>
    </w:p>
    <w:p w:rsidR="007112EE" w:rsidRPr="007112EE" w:rsidRDefault="007112EE" w:rsidP="007112EE">
      <w:pPr>
        <w:keepNext/>
        <w:keepLines/>
        <w:spacing w:before="120"/>
        <w:contextualSpacing/>
        <w:rPr>
          <w:rFonts w:ascii="Arial Black" w:eastAsia="Calibri" w:hAnsi="Arial Black" w:cs="Arial"/>
          <w:bCs/>
          <w:color w:val="000000"/>
          <w:sz w:val="20"/>
        </w:rPr>
      </w:pPr>
    </w:p>
    <w:p w:rsidR="007112EE" w:rsidRDefault="00325A8C" w:rsidP="007112EE">
      <w:pPr>
        <w:contextualSpacing/>
      </w:pPr>
      <w:r>
        <w:rPr>
          <w:noProof/>
        </w:rPr>
        <mc:AlternateContent>
          <mc:Choice Requires="wpc">
            <w:drawing>
              <wp:inline distT="0" distB="0" distL="0" distR="0">
                <wp:extent cx="5943600" cy="1068070"/>
                <wp:effectExtent l="0" t="0" r="0" b="635"/>
                <wp:docPr id="8"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56960" y="49524"/>
                            <a:ext cx="914654" cy="914545"/>
                          </a:xfrm>
                          <a:prstGeom prst="rect">
                            <a:avLst/>
                          </a:prstGeom>
                          <a:solidFill>
                            <a:srgbClr val="808080"/>
                          </a:solidFill>
                          <a:ln w="25400" algn="ctr">
                            <a:solidFill>
                              <a:srgbClr val="000000"/>
                            </a:solidFill>
                            <a:miter lim="800000"/>
                            <a:headEnd/>
                            <a:tailEnd/>
                          </a:ln>
                        </wps:spPr>
                        <wps:txbx>
                          <w:txbxContent>
                            <w:p w:rsidR="007112EE" w:rsidRDefault="007112EE" w:rsidP="007112EE">
                              <w:r w:rsidRPr="00552EB6">
                                <w:rPr>
                                  <w:b/>
                                </w:rPr>
                                <w:t>Phase 1</w:t>
                              </w:r>
                              <w:r>
                                <w:rPr>
                                  <w:b/>
                                </w:rPr>
                                <w:t xml:space="preserve">: </w:t>
                              </w:r>
                              <w:r w:rsidRPr="00AB78FB">
                                <w:rPr>
                                  <w:b/>
                                </w:rPr>
                                <w:t>Formative research</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400048" y="49524"/>
                            <a:ext cx="914654" cy="914545"/>
                          </a:xfrm>
                          <a:prstGeom prst="rect">
                            <a:avLst/>
                          </a:prstGeom>
                          <a:solidFill>
                            <a:srgbClr val="808080"/>
                          </a:solidFill>
                          <a:ln w="25400" algn="ctr">
                            <a:solidFill>
                              <a:srgbClr val="000000"/>
                            </a:solidFill>
                            <a:miter lim="800000"/>
                            <a:headEnd/>
                            <a:tailEnd/>
                          </a:ln>
                        </wps:spPr>
                        <wps:txbx>
                          <w:txbxContent>
                            <w:p w:rsidR="007112EE" w:rsidRPr="00D61AE9" w:rsidRDefault="007112EE" w:rsidP="00D61AE9">
                              <w:pPr>
                                <w:shd w:val="clear" w:color="auto" w:fill="7F7F7F"/>
                                <w:rPr>
                                  <w:color w:val="7F7F7F"/>
                                </w:rPr>
                              </w:pPr>
                              <w:r w:rsidRPr="007112EE">
                                <w:rPr>
                                  <w:b/>
                                </w:rPr>
                                <w:t>Phase 2:</w:t>
                              </w:r>
                              <w:r w:rsidRPr="007112EE">
                                <w:t xml:space="preserve"> </w:t>
                              </w:r>
                              <w:r w:rsidRPr="007112EE">
                                <w:rPr>
                                  <w:b/>
                                </w:rPr>
                                <w:t>Stimuli testing</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772029" y="49524"/>
                            <a:ext cx="913829" cy="914545"/>
                          </a:xfrm>
                          <a:prstGeom prst="rect">
                            <a:avLst/>
                          </a:prstGeom>
                          <a:solidFill>
                            <a:srgbClr val="FFFFFF"/>
                          </a:solidFill>
                          <a:ln w="25400" algn="ctr">
                            <a:solidFill>
                              <a:srgbClr val="000000"/>
                            </a:solidFill>
                            <a:miter lim="800000"/>
                            <a:headEnd/>
                            <a:tailEnd/>
                          </a:ln>
                        </wps:spPr>
                        <wps:txbx>
                          <w:txbxContent>
                            <w:p w:rsidR="007112EE" w:rsidRDefault="007112EE" w:rsidP="007112EE">
                              <w:r w:rsidRPr="00552EB6">
                                <w:rPr>
                                  <w:b/>
                                </w:rPr>
                                <w:t>Phase 3</w:t>
                              </w:r>
                              <w:r w:rsidRPr="00236017">
                                <w:rPr>
                                  <w:b/>
                                </w:rPr>
                                <w:t>:</w:t>
                              </w:r>
                              <w:r>
                                <w:t xml:space="preserve"> Pilot testing of main study</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086225" y="49524"/>
                            <a:ext cx="914654" cy="914545"/>
                          </a:xfrm>
                          <a:prstGeom prst="rect">
                            <a:avLst/>
                          </a:prstGeom>
                          <a:solidFill>
                            <a:srgbClr val="FFFFFF"/>
                          </a:solidFill>
                          <a:ln w="25400" algn="ctr">
                            <a:solidFill>
                              <a:srgbClr val="000000"/>
                            </a:solidFill>
                            <a:miter lim="800000"/>
                            <a:headEnd/>
                            <a:tailEnd/>
                          </a:ln>
                        </wps:spPr>
                        <wps:txbx>
                          <w:txbxContent>
                            <w:p w:rsidR="007112EE" w:rsidRDefault="007112EE" w:rsidP="007112EE">
                              <w:pPr>
                                <w:jc w:val="center"/>
                              </w:pPr>
                              <w:r w:rsidRPr="002529DE">
                                <w:rPr>
                                  <w:b/>
                                </w:rPr>
                                <w:t>Phase 4:</w:t>
                              </w:r>
                              <w:r>
                                <w:t xml:space="preserve"> Main study</w:t>
                              </w:r>
                            </w:p>
                          </w:txbxContent>
                        </wps:txbx>
                        <wps:bodyPr rot="0" vert="horz" wrap="square" lIns="91440" tIns="45720" rIns="91440" bIns="45720" anchor="t" anchorCtr="0" upright="1">
                          <a:noAutofit/>
                        </wps:bodyPr>
                      </wps:wsp>
                      <wps:wsp>
                        <wps:cNvPr id="5" name="AutoShape 8"/>
                        <wps:cNvCnPr>
                          <a:cxnSpLocks noChangeShapeType="1"/>
                        </wps:cNvCnPr>
                        <wps:spPr bwMode="auto">
                          <a:xfrm>
                            <a:off x="1076452" y="512575"/>
                            <a:ext cx="323596"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CnPr>
                          <a:cxnSpLocks noChangeShapeType="1"/>
                        </wps:cNvCnPr>
                        <wps:spPr bwMode="auto">
                          <a:xfrm>
                            <a:off x="2390648" y="517527"/>
                            <a:ext cx="347536"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0"/>
                        <wps:cNvCnPr>
                          <a:cxnSpLocks noChangeShapeType="1"/>
                        </wps:cNvCnPr>
                        <wps:spPr bwMode="auto">
                          <a:xfrm>
                            <a:off x="3762629" y="517527"/>
                            <a:ext cx="323596"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2" o:spid="_x0000_s1026" editas="canvas" style="width:468pt;height:84.1pt;mso-position-horizontal-relative:char;mso-position-vertical-relative:line" coordsize="59436,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68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top:495;width:9147;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yVL8A&#10;AADaAAAADwAAAGRycy9kb3ducmV2LnhtbERPS2vCQBC+C/6HZQq96W57qBJdpdQKPVV84HnIjkna&#10;7GzIjjHtr3cFwdPw8T1nvux9rTpqYxXYwsvYgCLOg6u4sHDYr0dTUFGQHdaBycIfRVguhoM5Zi5c&#10;eEvdTgqVQjhmaKEUaTKtY16SxzgODXHiTqH1KAm2hXYtXlK4r/WrMW/aY8WpocSGPkrKf3dnb0Hi&#10;p+vW5/9T8TPZfm/MXlbmKNY+P/XvM1BCvTzEd/eXS/Ph9srt6sU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CTJUvwAAANoAAAAPAAAAAAAAAAAAAAAAAJgCAABkcnMvZG93bnJl&#10;di54bWxQSwUGAAAAAAQABAD1AAAAhAMAAAAA&#10;" fillcolor="gray" strokeweight="2pt">
                  <v:textbox>
                    <w:txbxContent>
                      <w:p w:rsidR="007112EE" w:rsidRDefault="007112EE" w:rsidP="007112EE">
                        <w:r w:rsidRPr="00552EB6">
                          <w:rPr>
                            <w:b/>
                          </w:rPr>
                          <w:t>Phase 1</w:t>
                        </w:r>
                        <w:r>
                          <w:rPr>
                            <w:b/>
                          </w:rPr>
                          <w:t xml:space="preserve">: </w:t>
                        </w:r>
                        <w:r w:rsidRPr="00AB78FB">
                          <w:rPr>
                            <w:b/>
                          </w:rPr>
                          <w:t>Formative research</w:t>
                        </w:r>
                      </w:p>
                    </w:txbxContent>
                  </v:textbox>
                </v:shape>
                <v:shape id="Text Box 5" o:spid="_x0000_s1029" type="#_x0000_t202" style="position:absolute;left:14000;top:495;width:9147;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sI8IA&#10;AADaAAAADwAAAGRycy9kb3ducmV2LnhtbESPT2vCQBTE7wW/w/IKvdXdeqgluopohZ4q/sHzI/tM&#10;otm3IfuMaT99VxB6HGbmN8x03vtaddTGKrCFt6EBRZwHV3Fh4bBfv36AioLssA5MFn4ownw2eJpi&#10;5sKNt9TtpFAJwjFDC6VIk2kd85I8xmFoiJN3Cq1HSbIttGvxluC+1iNj3rXHitNCiQ0tS8ovu6u3&#10;IPHTdevr76k4j7ffG7OXlTmKtS/P/WICSqiX//Cj/eUsjOB+Jd0AP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6wjwgAAANoAAAAPAAAAAAAAAAAAAAAAAJgCAABkcnMvZG93&#10;bnJldi54bWxQSwUGAAAAAAQABAD1AAAAhwMAAAAA&#10;" fillcolor="gray" strokeweight="2pt">
                  <v:textbox>
                    <w:txbxContent>
                      <w:p w:rsidR="007112EE" w:rsidRPr="00D61AE9" w:rsidRDefault="007112EE" w:rsidP="00D61AE9">
                        <w:pPr>
                          <w:shd w:val="clear" w:color="auto" w:fill="7F7F7F"/>
                          <w:rPr>
                            <w:color w:val="7F7F7F"/>
                          </w:rPr>
                        </w:pPr>
                        <w:r w:rsidRPr="007112EE">
                          <w:rPr>
                            <w:b/>
                          </w:rPr>
                          <w:t>Phase 2:</w:t>
                        </w:r>
                        <w:r w:rsidRPr="007112EE">
                          <w:t xml:space="preserve"> </w:t>
                        </w:r>
                        <w:r w:rsidRPr="007112EE">
                          <w:rPr>
                            <w:b/>
                          </w:rPr>
                          <w:t>Stimuli testing</w:t>
                        </w:r>
                      </w:p>
                    </w:txbxContent>
                  </v:textbox>
                </v:shape>
                <v:shape id="Text Box 6" o:spid="_x0000_s1030" type="#_x0000_t202" style="position:absolute;left:27720;top:495;width:9138;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c6sAA&#10;AADaAAAADwAAAGRycy9kb3ducmV2LnhtbESPQYvCMBSE74L/ITxhb5pqQZdqFBGEVURcFc+P5tkW&#10;m5fSRFv/vREEj8PMfMPMFq0pxYNqV1hWMBxEIIhTqwvOFJxP6/4vCOeRNZaWScGTHCzm3c4ME20b&#10;/qfH0WciQNglqCD3vkqkdGlOBt3AVsTBu9raoA+yzqSusQlwU8pRFI2lwYLDQo4VrXJKb8e7USA3&#10;zT6Wu8N4ctls72fjdNyyVuqn1y6nIDy1/hv+tP+0gh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Jc6sAAAADaAAAADwAAAAAAAAAAAAAAAACYAgAAZHJzL2Rvd25y&#10;ZXYueG1sUEsFBgAAAAAEAAQA9QAAAIUDAAAAAA==&#10;" strokeweight="2pt">
                  <v:textbox>
                    <w:txbxContent>
                      <w:p w:rsidR="007112EE" w:rsidRDefault="007112EE" w:rsidP="007112EE">
                        <w:r w:rsidRPr="00552EB6">
                          <w:rPr>
                            <w:b/>
                          </w:rPr>
                          <w:t>Phase 3</w:t>
                        </w:r>
                        <w:r w:rsidRPr="00236017">
                          <w:rPr>
                            <w:b/>
                          </w:rPr>
                          <w:t>:</w:t>
                        </w:r>
                        <w:r>
                          <w:t xml:space="preserve"> Pilot testing of main study</w:t>
                        </w:r>
                      </w:p>
                    </w:txbxContent>
                  </v:textbox>
                </v:shape>
                <v:shape id="Text Box 7" o:spid="_x0000_s1031" type="#_x0000_t202" style="position:absolute;left:40862;top:495;width:9146;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EnsIA&#10;AADaAAAADwAAAGRycy9kb3ducmV2LnhtbESPQWvCQBSE7wX/w/IEb3WjKVpSN0GEQi1S1ErPj+wz&#10;CWbfhuzGxH/vCkKPw8x8w6yywdTiSq2rLCuYTSMQxLnVFRcKTr+fr+8gnEfWWFsmBTdykKWjlxUm&#10;2vZ8oOvRFyJA2CWooPS+SaR0eUkG3dQ2xME729agD7ItpG6xD3BTy3kULaTBisNCiQ1tSsovx84o&#10;kNv+J5a7/WL5t/3uTsbpeGCt1GQ8rD9AeBr8f/jZ/tIK3uBxJdwA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68SewgAAANoAAAAPAAAAAAAAAAAAAAAAAJgCAABkcnMvZG93&#10;bnJldi54bWxQSwUGAAAAAAQABAD1AAAAhwMAAAAA&#10;" strokeweight="2pt">
                  <v:textbox>
                    <w:txbxContent>
                      <w:p w:rsidR="007112EE" w:rsidRDefault="007112EE" w:rsidP="007112EE">
                        <w:pPr>
                          <w:jc w:val="center"/>
                        </w:pPr>
                        <w:r w:rsidRPr="002529DE">
                          <w:rPr>
                            <w:b/>
                          </w:rPr>
                          <w:t>Phase 4:</w:t>
                        </w:r>
                        <w:r>
                          <w:t xml:space="preserve"> Main study</w:t>
                        </w:r>
                      </w:p>
                    </w:txbxContent>
                  </v:textbox>
                </v:shape>
                <v:shapetype id="_x0000_t32" coordsize="21600,21600" o:spt="32" o:oned="t" path="m,l21600,21600e" filled="f">
                  <v:path arrowok="t" fillok="f" o:connecttype="none"/>
                  <o:lock v:ext="edit" shapetype="t"/>
                </v:shapetype>
                <v:shape id="AutoShape 8" o:spid="_x0000_s1032" type="#_x0000_t32" style="position:absolute;left:10764;top:5125;width:3236;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9" o:spid="_x0000_s1033" type="#_x0000_t32" style="position:absolute;left:23906;top:5175;width:347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10" o:spid="_x0000_s1034" type="#_x0000_t32" style="position:absolute;left:37626;top:5175;width:32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w10:anchorlock/>
              </v:group>
            </w:pict>
          </mc:Fallback>
        </mc:AlternateContent>
      </w:r>
    </w:p>
    <w:p w:rsidR="00C2251E" w:rsidRDefault="00C2251E" w:rsidP="007112EE">
      <w:pPr>
        <w:contextualSpacing/>
        <w:rPr>
          <w:rFonts w:ascii="Calibri" w:eastAsia="Calibri" w:hAnsi="Calibri" w:cs="Arial"/>
          <w:b/>
          <w:sz w:val="22"/>
          <w:szCs w:val="22"/>
        </w:rPr>
      </w:pPr>
    </w:p>
    <w:p w:rsidR="007112EE" w:rsidRDefault="007112EE" w:rsidP="00DE40BB">
      <w:pPr>
        <w:pStyle w:val="BodyText"/>
        <w:tabs>
          <w:tab w:val="left" w:pos="7824"/>
        </w:tabs>
        <w:contextualSpacing/>
        <w:rPr>
          <w:rFonts w:eastAsia="Calibri"/>
          <w:b/>
          <w:szCs w:val="24"/>
        </w:rPr>
      </w:pPr>
    </w:p>
    <w:p w:rsidR="007112EE" w:rsidRPr="007112EE" w:rsidRDefault="007112EE" w:rsidP="007112EE">
      <w:pPr>
        <w:pStyle w:val="BodyText"/>
        <w:contextualSpacing/>
        <w:rPr>
          <w:rFonts w:eastAsia="Calibri"/>
          <w:b/>
          <w:i w:val="0"/>
          <w:sz w:val="24"/>
          <w:szCs w:val="24"/>
        </w:rPr>
      </w:pPr>
      <w:r w:rsidRPr="007112EE">
        <w:rPr>
          <w:rFonts w:eastAsia="Calibri"/>
          <w:i w:val="0"/>
          <w:sz w:val="24"/>
          <w:szCs w:val="24"/>
        </w:rPr>
        <w:t>The formative research (Phase 1) will help us to assess</w:t>
      </w:r>
      <w:r>
        <w:rPr>
          <w:rFonts w:eastAsia="Calibri"/>
          <w:i w:val="0"/>
          <w:sz w:val="24"/>
          <w:szCs w:val="24"/>
        </w:rPr>
        <w:t xml:space="preserve">: 1) </w:t>
      </w:r>
      <w:r w:rsidRPr="007112EE">
        <w:rPr>
          <w:rFonts w:eastAsia="Calibri"/>
          <w:i w:val="0"/>
          <w:sz w:val="24"/>
          <w:szCs w:val="24"/>
        </w:rPr>
        <w:t xml:space="preserve">how couples discuss medications and make medication decisions; </w:t>
      </w:r>
      <w:r>
        <w:rPr>
          <w:rFonts w:eastAsia="Calibri"/>
          <w:i w:val="0"/>
          <w:sz w:val="24"/>
          <w:szCs w:val="24"/>
        </w:rPr>
        <w:t xml:space="preserve">2) </w:t>
      </w:r>
      <w:r w:rsidRPr="007112EE">
        <w:rPr>
          <w:rFonts w:eastAsia="Calibri"/>
          <w:i w:val="0"/>
          <w:sz w:val="24"/>
          <w:szCs w:val="24"/>
        </w:rPr>
        <w:t xml:space="preserve">whether they discuss DTC prescription drug ads and under what circumstances; </w:t>
      </w:r>
      <w:r>
        <w:rPr>
          <w:rFonts w:eastAsia="Calibri"/>
          <w:i w:val="0"/>
          <w:sz w:val="24"/>
          <w:szCs w:val="24"/>
        </w:rPr>
        <w:t xml:space="preserve">3) </w:t>
      </w:r>
      <w:r w:rsidRPr="007112EE">
        <w:rPr>
          <w:rFonts w:eastAsia="Calibri"/>
          <w:i w:val="0"/>
          <w:sz w:val="24"/>
          <w:szCs w:val="24"/>
        </w:rPr>
        <w:t xml:space="preserve">characteristics of discussion (e.g., who initiates, what they say to each other); and </w:t>
      </w:r>
      <w:r>
        <w:rPr>
          <w:rFonts w:eastAsia="Calibri"/>
          <w:i w:val="0"/>
          <w:sz w:val="24"/>
          <w:szCs w:val="24"/>
        </w:rPr>
        <w:t xml:space="preserve">4) </w:t>
      </w:r>
      <w:r w:rsidRPr="007112EE">
        <w:rPr>
          <w:rFonts w:eastAsia="Calibri"/>
          <w:i w:val="0"/>
          <w:sz w:val="24"/>
          <w:szCs w:val="24"/>
        </w:rPr>
        <w:t xml:space="preserve">influence of discussion on perceptions about the medication and medication decision making. Focus group discussions will explore the various ways in which spouses influence consumer decision making, and from the consumer perspective, how spouses influence them and what aspects of influence and support they find most helpful. </w:t>
      </w:r>
    </w:p>
    <w:p w:rsidR="007112EE" w:rsidRPr="00443C24" w:rsidRDefault="007112EE" w:rsidP="007112EE">
      <w:pPr>
        <w:spacing w:before="120" w:after="120"/>
        <w:contextualSpacing/>
        <w:rPr>
          <w:rFonts w:eastAsia="Calibri"/>
        </w:rPr>
      </w:pPr>
      <w:r>
        <w:rPr>
          <w:rFonts w:eastAsia="Calibri"/>
        </w:rPr>
        <w:lastRenderedPageBreak/>
        <w:t xml:space="preserve">The stimuli testing (Phase 2) </w:t>
      </w:r>
      <w:r w:rsidRPr="00735BB8">
        <w:rPr>
          <w:rFonts w:eastAsia="Calibri"/>
        </w:rPr>
        <w:t>will allow us to</w:t>
      </w:r>
      <w:r>
        <w:rPr>
          <w:rFonts w:eastAsia="Calibri"/>
        </w:rPr>
        <w:t xml:space="preserve"> gather feedback on </w:t>
      </w:r>
      <w:r w:rsidRPr="00735BB8">
        <w:rPr>
          <w:rFonts w:eastAsia="Calibri"/>
        </w:rPr>
        <w:t>draft stimuli</w:t>
      </w:r>
      <w:r>
        <w:rPr>
          <w:rFonts w:eastAsia="Calibri"/>
        </w:rPr>
        <w:t xml:space="preserve"> (fictional TV ads) we are developing</w:t>
      </w:r>
      <w:r w:rsidRPr="00735BB8">
        <w:rPr>
          <w:rFonts w:eastAsia="Calibri"/>
        </w:rPr>
        <w:t>. Focus group questions will specifically probe for information on whether participants would be likely to talk with a spouse/partner about the ad, what aspects of the ad they would be likely to discuss, and other considerations.</w:t>
      </w:r>
      <w:r>
        <w:rPr>
          <w:rFonts w:eastAsia="Calibri"/>
        </w:rPr>
        <w:t xml:space="preserve"> </w:t>
      </w:r>
      <w:r w:rsidRPr="00735BB8">
        <w:rPr>
          <w:rFonts w:eastAsia="Calibri"/>
        </w:rPr>
        <w:t>As part of P</w:t>
      </w:r>
      <w:r>
        <w:rPr>
          <w:rFonts w:eastAsia="Calibri"/>
        </w:rPr>
        <w:t xml:space="preserve">hase 2, we will also conduct </w:t>
      </w:r>
      <w:r w:rsidRPr="00735BB8">
        <w:rPr>
          <w:rFonts w:eastAsia="Calibri"/>
        </w:rPr>
        <w:t>dyad interviews w</w:t>
      </w:r>
      <w:r>
        <w:rPr>
          <w:rFonts w:eastAsia="Calibri"/>
        </w:rPr>
        <w:t>ith couples</w:t>
      </w:r>
      <w:r w:rsidRPr="00735BB8">
        <w:rPr>
          <w:rFonts w:eastAsia="Calibri"/>
        </w:rPr>
        <w:t xml:space="preserve"> to observe conversations about the test stimuli. These interviews will help us to develop a content coding scheme to be used in </w:t>
      </w:r>
      <w:r>
        <w:rPr>
          <w:rFonts w:eastAsia="Calibri"/>
        </w:rPr>
        <w:t>later phases of the research</w:t>
      </w:r>
      <w:r w:rsidRPr="00735BB8">
        <w:rPr>
          <w:rFonts w:eastAsia="Calibri"/>
        </w:rPr>
        <w:t xml:space="preserve">. </w:t>
      </w:r>
    </w:p>
    <w:p w:rsidR="00BB0FB0" w:rsidRPr="00BB0FB0" w:rsidRDefault="00BB0FB0" w:rsidP="00BB0FB0">
      <w:pPr>
        <w:ind w:left="720"/>
      </w:pPr>
    </w:p>
    <w:p w:rsidR="003F1C7A" w:rsidRPr="00B57E8B" w:rsidRDefault="0049419A" w:rsidP="00F12AEE">
      <w:pPr>
        <w:numPr>
          <w:ilvl w:val="0"/>
          <w:numId w:val="15"/>
        </w:numPr>
        <w:tabs>
          <w:tab w:val="clear" w:pos="1296"/>
          <w:tab w:val="num" w:pos="720"/>
        </w:tabs>
        <w:ind w:left="720"/>
      </w:pPr>
      <w:r w:rsidRPr="00B57E8B">
        <w:rPr>
          <w:b/>
        </w:rPr>
        <w:t>Intended u</w:t>
      </w:r>
      <w:r w:rsidR="00F12AEE" w:rsidRPr="00B57E8B">
        <w:rPr>
          <w:b/>
        </w:rPr>
        <w:t>se</w:t>
      </w:r>
      <w:r w:rsidRPr="00B57E8B">
        <w:rPr>
          <w:b/>
        </w:rPr>
        <w:t xml:space="preserve"> of information</w:t>
      </w:r>
      <w:r w:rsidR="003F1C7A" w:rsidRPr="00B57E8B">
        <w:rPr>
          <w:b/>
        </w:rPr>
        <w:t>:</w:t>
      </w:r>
    </w:p>
    <w:p w:rsidR="005A74AD" w:rsidRDefault="005A74AD" w:rsidP="005A74AD">
      <w:pPr>
        <w:widowControl w:val="0"/>
        <w:rPr>
          <w:snapToGrid w:val="0"/>
        </w:rPr>
      </w:pPr>
    </w:p>
    <w:p w:rsidR="00E64811" w:rsidRDefault="00E64811" w:rsidP="00E64811">
      <w:pPr>
        <w:spacing w:before="120" w:after="120"/>
        <w:contextualSpacing/>
        <w:rPr>
          <w:rFonts w:eastAsia="Calibri"/>
        </w:rPr>
      </w:pPr>
      <w:r w:rsidRPr="00D6372D">
        <w:t>In recognizing the potential role of caregivers in consumers’</w:t>
      </w:r>
      <w:r>
        <w:t xml:space="preserve"> medical</w:t>
      </w:r>
      <w:r w:rsidRPr="00D6372D">
        <w:t xml:space="preserve"> beliefs, deci</w:t>
      </w:r>
      <w:r>
        <w:t>sions, and behaviors</w:t>
      </w:r>
      <w:r w:rsidRPr="00D6372D">
        <w:t>, t</w:t>
      </w:r>
      <w:r>
        <w:t>his set of focus groups and interviews will examine spousal</w:t>
      </w:r>
      <w:r w:rsidRPr="00D6372D">
        <w:t xml:space="preserve"> influence on consumer u</w:t>
      </w:r>
      <w:r>
        <w:t>nderstanding of and response to DTC prescription drug advertising</w:t>
      </w:r>
      <w:r w:rsidRPr="00D6372D">
        <w:t xml:space="preserve">. </w:t>
      </w:r>
      <w:r>
        <w:t xml:space="preserve">This information collection request involves two qualitative phases of research that will be used to inform part of a larger </w:t>
      </w:r>
      <w:r w:rsidR="00416CDC">
        <w:t xml:space="preserve">quantitative </w:t>
      </w:r>
      <w:r>
        <w:t xml:space="preserve">project on the same topic, to be submitted for approval at a later time. </w:t>
      </w:r>
    </w:p>
    <w:p w:rsidR="005875AA" w:rsidRDefault="005875AA" w:rsidP="00E64811"/>
    <w:p w:rsidR="003F1C7A" w:rsidRPr="00B57E8B" w:rsidRDefault="0049419A" w:rsidP="00F12AEE">
      <w:pPr>
        <w:numPr>
          <w:ilvl w:val="0"/>
          <w:numId w:val="15"/>
        </w:numPr>
        <w:tabs>
          <w:tab w:val="clear" w:pos="1296"/>
          <w:tab w:val="num" w:pos="720"/>
        </w:tabs>
        <w:ind w:left="720"/>
      </w:pPr>
      <w:r w:rsidRPr="00B57E8B">
        <w:rPr>
          <w:b/>
        </w:rPr>
        <w:t>Description of r</w:t>
      </w:r>
      <w:r w:rsidR="00F12AEE" w:rsidRPr="00B57E8B">
        <w:rPr>
          <w:b/>
        </w:rPr>
        <w:t>espondents</w:t>
      </w:r>
      <w:r w:rsidR="003F1C7A" w:rsidRPr="00B57E8B">
        <w:rPr>
          <w:b/>
        </w:rPr>
        <w:t>:</w:t>
      </w:r>
      <w:r w:rsidR="003F1C7A" w:rsidRPr="00B57E8B">
        <w:t xml:space="preserve">  </w:t>
      </w:r>
    </w:p>
    <w:p w:rsidR="001D24A3" w:rsidRDefault="001D24A3" w:rsidP="001D24A3">
      <w:pPr>
        <w:ind w:left="360"/>
      </w:pPr>
    </w:p>
    <w:p w:rsidR="00794264" w:rsidRDefault="00794264" w:rsidP="001D24A3">
      <w:r>
        <w:rPr>
          <w:rFonts w:eastAsia="Calibri"/>
        </w:rPr>
        <w:t xml:space="preserve">Both Phase 1 (formative research, see Exhibit </w:t>
      </w:r>
      <w:r w:rsidR="008939B7">
        <w:rPr>
          <w:rFonts w:eastAsia="Calibri"/>
        </w:rPr>
        <w:t>2</w:t>
      </w:r>
      <w:r>
        <w:rPr>
          <w:rFonts w:eastAsia="Calibri"/>
        </w:rPr>
        <w:t xml:space="preserve">) and Phase 2 (stimuli testing, see Exhibit </w:t>
      </w:r>
      <w:r w:rsidR="008939B7">
        <w:rPr>
          <w:rFonts w:eastAsia="Calibri"/>
        </w:rPr>
        <w:t>3</w:t>
      </w:r>
      <w:r>
        <w:rPr>
          <w:rFonts w:eastAsia="Calibri"/>
        </w:rPr>
        <w:t xml:space="preserve">) involve six focus groups each – </w:t>
      </w:r>
      <w:r>
        <w:t xml:space="preserve">three with </w:t>
      </w:r>
      <w:r w:rsidRPr="000F2215">
        <w:t>consumers</w:t>
      </w:r>
      <w:r>
        <w:t xml:space="preserve"> and three with spouses</w:t>
      </w:r>
      <w:r w:rsidRPr="000F2215">
        <w:t xml:space="preserve">. </w:t>
      </w:r>
      <w:r>
        <w:t xml:space="preserve">Each focus group will consist of 8 people and will last </w:t>
      </w:r>
      <w:r w:rsidRPr="00100195">
        <w:t>90 minutes</w:t>
      </w:r>
      <w:r>
        <w:t xml:space="preserve">. </w:t>
      </w:r>
      <w:r w:rsidRPr="00DE3528">
        <w:t xml:space="preserve">As part of Phase 2, we will also conduct 14 dyad interviews with couples. </w:t>
      </w:r>
      <w:r>
        <w:t>These interviews will also last 90</w:t>
      </w:r>
      <w:r w:rsidRPr="00100195">
        <w:t xml:space="preserve"> minutes</w:t>
      </w:r>
      <w:r>
        <w:t xml:space="preserve">. Focus groups and interviews will be held in the Raleigh, NC and Washington, D.C. metro areas. </w:t>
      </w:r>
      <w:r w:rsidR="00C2251E" w:rsidRPr="00794264">
        <w:t>FDA contracted with RTI International to conduct</w:t>
      </w:r>
      <w:r w:rsidR="00C2251E">
        <w:t xml:space="preserve"> these in-person focus groups and interviews.</w:t>
      </w:r>
    </w:p>
    <w:p w:rsidR="00C2251E" w:rsidRDefault="00C2251E" w:rsidP="001D24A3"/>
    <w:p w:rsidR="00C2251E" w:rsidRDefault="00C2251E" w:rsidP="001D24A3"/>
    <w:p w:rsidR="00C2251E" w:rsidRDefault="00C2251E" w:rsidP="00C2251E">
      <w:pPr>
        <w:keepNext/>
        <w:keepLines/>
        <w:spacing w:before="240" w:after="120"/>
        <w:contextualSpacing/>
        <w:rPr>
          <w:rFonts w:eastAsia="Calibri"/>
          <w:b/>
          <w:bCs/>
        </w:rPr>
      </w:pPr>
      <w:r>
        <w:rPr>
          <w:rFonts w:eastAsia="Calibri"/>
          <w:b/>
          <w:bCs/>
        </w:rPr>
        <w:t>Exhibit 2</w:t>
      </w:r>
      <w:r w:rsidRPr="00174BE2">
        <w:rPr>
          <w:rFonts w:eastAsia="Calibri"/>
          <w:b/>
          <w:bCs/>
        </w:rPr>
        <w:t>. Formative Research Design</w:t>
      </w:r>
    </w:p>
    <w:p w:rsidR="00C2251E" w:rsidRPr="00174BE2" w:rsidRDefault="00C2251E" w:rsidP="00C2251E">
      <w:pPr>
        <w:keepNext/>
        <w:keepLines/>
        <w:spacing w:before="240" w:after="120"/>
        <w:contextualSpacing/>
        <w:rPr>
          <w:rFonts w:eastAsia="Calibri"/>
          <w:b/>
          <w:bCs/>
        </w:rPr>
      </w:pPr>
    </w:p>
    <w:tbl>
      <w:tblPr>
        <w:tblW w:w="5000" w:type="pct"/>
        <w:tblLayout w:type="fixed"/>
        <w:tblCellMar>
          <w:left w:w="115" w:type="dxa"/>
          <w:right w:w="115" w:type="dxa"/>
        </w:tblCellMar>
        <w:tblLook w:val="04A0" w:firstRow="1" w:lastRow="0" w:firstColumn="1" w:lastColumn="0" w:noHBand="0" w:noVBand="1"/>
      </w:tblPr>
      <w:tblGrid>
        <w:gridCol w:w="2804"/>
        <w:gridCol w:w="2150"/>
        <w:gridCol w:w="2150"/>
        <w:gridCol w:w="2486"/>
      </w:tblGrid>
      <w:tr w:rsidR="00C2251E" w:rsidRPr="00E87AC5" w:rsidTr="00416CDC">
        <w:trPr>
          <w:cantSplit/>
          <w:trHeight w:val="270"/>
        </w:trPr>
        <w:tc>
          <w:tcPr>
            <w:tcW w:w="1462" w:type="pct"/>
            <w:vMerge w:val="restart"/>
            <w:tcBorders>
              <w:top w:val="single" w:sz="4" w:space="0" w:color="auto"/>
              <w:left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r w:rsidRPr="00174BE2">
              <w:rPr>
                <w:rFonts w:eastAsia="Calibri"/>
                <w:b/>
              </w:rPr>
              <w:t>Location</w:t>
            </w:r>
          </w:p>
        </w:tc>
        <w:tc>
          <w:tcPr>
            <w:tcW w:w="224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r w:rsidRPr="00174BE2">
              <w:rPr>
                <w:rFonts w:eastAsia="Calibri"/>
                <w:b/>
              </w:rPr>
              <w:t>Focus Groups</w:t>
            </w:r>
          </w:p>
        </w:tc>
        <w:tc>
          <w:tcPr>
            <w:tcW w:w="1297" w:type="pct"/>
            <w:vMerge w:val="restart"/>
            <w:tcBorders>
              <w:top w:val="single" w:sz="4" w:space="0" w:color="auto"/>
              <w:left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r w:rsidRPr="00174BE2">
              <w:rPr>
                <w:rFonts w:eastAsia="Calibri"/>
                <w:b/>
              </w:rPr>
              <w:t>TOTAL</w:t>
            </w:r>
          </w:p>
        </w:tc>
      </w:tr>
      <w:tr w:rsidR="00C2251E" w:rsidRPr="00E87AC5" w:rsidTr="00416CDC">
        <w:trPr>
          <w:cantSplit/>
          <w:trHeight w:val="96"/>
        </w:trPr>
        <w:tc>
          <w:tcPr>
            <w:tcW w:w="1462" w:type="pct"/>
            <w:vMerge/>
            <w:tcBorders>
              <w:left w:val="single" w:sz="4" w:space="0" w:color="auto"/>
              <w:bottom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r w:rsidRPr="00174BE2">
              <w:rPr>
                <w:rFonts w:eastAsia="Calibri"/>
                <w:b/>
              </w:rPr>
              <w:t>Consumers</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r>
              <w:rPr>
                <w:rFonts w:eastAsia="Calibri"/>
                <w:b/>
              </w:rPr>
              <w:t>Spouse</w:t>
            </w:r>
            <w:r w:rsidRPr="00174BE2">
              <w:rPr>
                <w:rFonts w:eastAsia="Calibri"/>
                <w:b/>
              </w:rPr>
              <w:t>s</w:t>
            </w:r>
          </w:p>
        </w:tc>
        <w:tc>
          <w:tcPr>
            <w:tcW w:w="1297" w:type="pct"/>
            <w:vMerge/>
            <w:tcBorders>
              <w:left w:val="single" w:sz="4" w:space="0" w:color="auto"/>
              <w:bottom w:val="single" w:sz="4" w:space="0" w:color="auto"/>
              <w:right w:val="single" w:sz="4" w:space="0" w:color="auto"/>
            </w:tcBorders>
            <w:shd w:val="clear" w:color="auto" w:fill="auto"/>
            <w:vAlign w:val="bottom"/>
          </w:tcPr>
          <w:p w:rsidR="00C2251E" w:rsidRPr="00174BE2" w:rsidRDefault="00C2251E" w:rsidP="00D61AE9">
            <w:pPr>
              <w:keepNext/>
              <w:spacing w:before="60" w:after="60"/>
              <w:contextualSpacing/>
              <w:jc w:val="center"/>
              <w:rPr>
                <w:rFonts w:eastAsia="Calibri"/>
                <w:b/>
              </w:rPr>
            </w:pPr>
          </w:p>
        </w:tc>
      </w:tr>
      <w:tr w:rsidR="00C2251E" w:rsidRPr="00E87AC5" w:rsidTr="00416CDC">
        <w:trPr>
          <w:cantSplit/>
          <w:trHeight w:val="436"/>
        </w:trPr>
        <w:tc>
          <w:tcPr>
            <w:tcW w:w="1462" w:type="pct"/>
            <w:tcBorders>
              <w:top w:val="single" w:sz="4" w:space="0" w:color="auto"/>
              <w:left w:val="single" w:sz="4" w:space="0" w:color="auto"/>
              <w:right w:val="single" w:sz="4" w:space="0" w:color="auto"/>
            </w:tcBorders>
            <w:shd w:val="clear" w:color="auto" w:fill="auto"/>
            <w:vAlign w:val="center"/>
          </w:tcPr>
          <w:p w:rsidR="00C2251E" w:rsidRPr="00174BE2" w:rsidRDefault="00C2251E" w:rsidP="00D61AE9">
            <w:pPr>
              <w:keepNext/>
              <w:contextualSpacing/>
              <w:rPr>
                <w:rFonts w:eastAsia="Calibri"/>
                <w:b/>
              </w:rPr>
            </w:pPr>
            <w:r w:rsidRPr="00174BE2">
              <w:rPr>
                <w:rFonts w:eastAsia="Calibri"/>
                <w:b/>
              </w:rPr>
              <w:t>Raleigh, NC</w:t>
            </w:r>
            <w:r w:rsidRPr="00174BE2">
              <w:rPr>
                <w:rFonts w:eastAsia="Calibri"/>
                <w:b/>
              </w:rPr>
              <w:br/>
            </w:r>
            <w:r w:rsidRPr="00174BE2">
              <w:rPr>
                <w:rFonts w:eastAsia="Calibri"/>
              </w:rPr>
              <w:t>(Groups 1–3)</w:t>
            </w:r>
          </w:p>
        </w:tc>
        <w:tc>
          <w:tcPr>
            <w:tcW w:w="1121" w:type="pct"/>
            <w:tcBorders>
              <w:top w:val="single" w:sz="4" w:space="0" w:color="auto"/>
              <w:left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 xml:space="preserve">2 groups </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1 group</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3 groups</w:t>
            </w:r>
          </w:p>
        </w:tc>
      </w:tr>
      <w:tr w:rsidR="00C2251E" w:rsidRPr="00E87AC5" w:rsidTr="00416CDC">
        <w:trPr>
          <w:cantSplit/>
          <w:trHeight w:val="674"/>
        </w:trPr>
        <w:tc>
          <w:tcPr>
            <w:tcW w:w="1462" w:type="pct"/>
            <w:tcBorders>
              <w:top w:val="single" w:sz="4" w:space="0" w:color="auto"/>
              <w:left w:val="single" w:sz="4" w:space="0" w:color="auto"/>
              <w:right w:val="single" w:sz="4" w:space="0" w:color="auto"/>
            </w:tcBorders>
            <w:shd w:val="clear" w:color="auto" w:fill="auto"/>
            <w:vAlign w:val="center"/>
          </w:tcPr>
          <w:p w:rsidR="00C2251E" w:rsidRPr="00174BE2" w:rsidRDefault="00C2251E" w:rsidP="00D61AE9">
            <w:pPr>
              <w:keepNext/>
              <w:contextualSpacing/>
              <w:rPr>
                <w:rFonts w:eastAsia="Calibri"/>
                <w:b/>
              </w:rPr>
            </w:pPr>
            <w:r w:rsidRPr="00174BE2">
              <w:rPr>
                <w:rFonts w:eastAsia="Calibri"/>
                <w:b/>
              </w:rPr>
              <w:t>Washington, DC</w:t>
            </w:r>
            <w:r w:rsidRPr="00174BE2">
              <w:rPr>
                <w:rFonts w:eastAsia="Calibri"/>
                <w:b/>
              </w:rPr>
              <w:br/>
            </w:r>
            <w:r w:rsidRPr="00174BE2">
              <w:rPr>
                <w:rFonts w:eastAsia="Calibri"/>
              </w:rPr>
              <w:t>(Groups 4–6)</w:t>
            </w:r>
          </w:p>
        </w:tc>
        <w:tc>
          <w:tcPr>
            <w:tcW w:w="1121" w:type="pct"/>
            <w:tcBorders>
              <w:top w:val="single" w:sz="4" w:space="0" w:color="auto"/>
              <w:left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1 group</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2 groups</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3 groups</w:t>
            </w:r>
          </w:p>
        </w:tc>
      </w:tr>
      <w:tr w:rsidR="00C2251E" w:rsidRPr="00E87AC5" w:rsidTr="00416CDC">
        <w:trPr>
          <w:cantSplit/>
          <w:trHeight w:val="667"/>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rPr>
                <w:rFonts w:eastAsia="Calibri"/>
                <w:b/>
              </w:rPr>
            </w:pPr>
            <w:r w:rsidRPr="00174BE2">
              <w:rPr>
                <w:rFonts w:eastAsia="Calibri"/>
                <w:b/>
              </w:rPr>
              <w:t>TOTAL</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rPr>
            </w:pPr>
            <w:r w:rsidRPr="00174BE2">
              <w:rPr>
                <w:rFonts w:eastAsia="Calibri"/>
              </w:rPr>
              <w:t>3 groups</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bCs/>
              </w:rPr>
            </w:pPr>
            <w:r w:rsidRPr="00174BE2">
              <w:rPr>
                <w:rFonts w:eastAsia="Calibri"/>
                <w:bCs/>
              </w:rPr>
              <w:t>3 groups</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C2251E" w:rsidRPr="00174BE2" w:rsidRDefault="00C2251E" w:rsidP="00D61AE9">
            <w:pPr>
              <w:keepNext/>
              <w:contextualSpacing/>
              <w:jc w:val="center"/>
              <w:rPr>
                <w:rFonts w:eastAsia="Calibri"/>
                <w:b/>
                <w:bCs/>
              </w:rPr>
            </w:pPr>
            <w:r w:rsidRPr="00174BE2">
              <w:rPr>
                <w:rFonts w:eastAsia="Calibri"/>
                <w:b/>
                <w:bCs/>
              </w:rPr>
              <w:t>6 groups</w:t>
            </w:r>
            <w:r w:rsidRPr="00174BE2">
              <w:rPr>
                <w:rFonts w:eastAsia="Calibri"/>
                <w:b/>
                <w:bCs/>
              </w:rPr>
              <w:br/>
              <w:t>(8 per group, N = 48)</w:t>
            </w:r>
          </w:p>
        </w:tc>
      </w:tr>
    </w:tbl>
    <w:p w:rsidR="00C2251E" w:rsidRDefault="00C2251E" w:rsidP="00C2251E">
      <w:pPr>
        <w:keepNext/>
        <w:keepLines/>
        <w:spacing w:before="240" w:after="120"/>
        <w:contextualSpacing/>
        <w:rPr>
          <w:rFonts w:eastAsia="Calibri"/>
          <w:b/>
          <w:bCs/>
        </w:rPr>
      </w:pPr>
    </w:p>
    <w:p w:rsidR="00C2251E" w:rsidRPr="00794264" w:rsidRDefault="00C2251E" w:rsidP="001D24A3"/>
    <w:p w:rsidR="00794264" w:rsidRDefault="00794264" w:rsidP="00794264">
      <w:pPr>
        <w:keepNext/>
        <w:keepLines/>
        <w:spacing w:before="240" w:after="120"/>
        <w:contextualSpacing/>
        <w:rPr>
          <w:rFonts w:eastAsia="Calibri"/>
          <w:b/>
          <w:bCs/>
        </w:rPr>
      </w:pPr>
      <w:r w:rsidRPr="00174BE2">
        <w:rPr>
          <w:rFonts w:eastAsia="Calibri"/>
          <w:b/>
          <w:bCs/>
        </w:rPr>
        <w:lastRenderedPageBreak/>
        <w:t xml:space="preserve">Exhibit </w:t>
      </w:r>
      <w:r>
        <w:rPr>
          <w:rFonts w:eastAsia="Calibri"/>
          <w:b/>
          <w:bCs/>
        </w:rPr>
        <w:t>3</w:t>
      </w:r>
      <w:r w:rsidRPr="00174BE2">
        <w:rPr>
          <w:rFonts w:eastAsia="Calibri"/>
          <w:b/>
          <w:bCs/>
        </w:rPr>
        <w:t>. Stimuli Testing Design</w:t>
      </w:r>
    </w:p>
    <w:p w:rsidR="00794264" w:rsidRPr="00174BE2" w:rsidRDefault="00794264" w:rsidP="00794264">
      <w:pPr>
        <w:keepNext/>
        <w:keepLines/>
        <w:spacing w:before="240" w:after="120"/>
        <w:contextualSpacing/>
        <w:rPr>
          <w:rFonts w:eastAsia="Calibri"/>
          <w:b/>
          <w:bCs/>
        </w:rPr>
      </w:pPr>
    </w:p>
    <w:tbl>
      <w:tblPr>
        <w:tblW w:w="5000" w:type="pct"/>
        <w:tblLayout w:type="fixed"/>
        <w:tblCellMar>
          <w:left w:w="115" w:type="dxa"/>
          <w:right w:w="115" w:type="dxa"/>
        </w:tblCellMar>
        <w:tblLook w:val="04A0" w:firstRow="1" w:lastRow="0" w:firstColumn="1" w:lastColumn="0" w:noHBand="0" w:noVBand="1"/>
      </w:tblPr>
      <w:tblGrid>
        <w:gridCol w:w="1781"/>
        <w:gridCol w:w="1678"/>
        <w:gridCol w:w="1862"/>
        <w:gridCol w:w="1862"/>
        <w:gridCol w:w="2407"/>
      </w:tblGrid>
      <w:tr w:rsidR="00794264" w:rsidRPr="00E87AC5" w:rsidTr="00416CDC">
        <w:trPr>
          <w:cantSplit/>
          <w:trHeight w:val="504"/>
        </w:trPr>
        <w:tc>
          <w:tcPr>
            <w:tcW w:w="928" w:type="pct"/>
            <w:vMerge w:val="restart"/>
            <w:tcBorders>
              <w:top w:val="single" w:sz="4" w:space="0" w:color="auto"/>
              <w:left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Location</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Focus Groups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Dyad Interviews</w:t>
            </w:r>
          </w:p>
        </w:tc>
        <w:tc>
          <w:tcPr>
            <w:tcW w:w="1256" w:type="pct"/>
            <w:vMerge w:val="restart"/>
            <w:tcBorders>
              <w:top w:val="single" w:sz="4" w:space="0" w:color="auto"/>
              <w:left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TOTAL</w:t>
            </w:r>
          </w:p>
        </w:tc>
      </w:tr>
      <w:tr w:rsidR="00794264" w:rsidRPr="00E87AC5" w:rsidTr="00416CDC">
        <w:trPr>
          <w:cantSplit/>
          <w:trHeight w:val="109"/>
        </w:trPr>
        <w:tc>
          <w:tcPr>
            <w:tcW w:w="928" w:type="pct"/>
            <w:vMerge/>
            <w:tcBorders>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Consumers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Pr>
                <w:rFonts w:eastAsia="Calibri"/>
                <w:b/>
              </w:rPr>
              <w:t>Spouse</w:t>
            </w:r>
            <w:r w:rsidRPr="00174BE2">
              <w:rPr>
                <w:rFonts w:eastAsia="Calibri"/>
                <w:b/>
              </w:rPr>
              <w:t>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bottom"/>
          </w:tcPr>
          <w:p w:rsidR="00794264" w:rsidRPr="00174BE2" w:rsidRDefault="00794264" w:rsidP="00D61AE9">
            <w:pPr>
              <w:keepNext/>
              <w:spacing w:before="40" w:after="40"/>
              <w:contextualSpacing/>
              <w:jc w:val="center"/>
              <w:rPr>
                <w:rFonts w:eastAsia="Calibri"/>
                <w:b/>
              </w:rPr>
            </w:pPr>
            <w:r w:rsidRPr="00174BE2">
              <w:rPr>
                <w:rFonts w:eastAsia="Calibri"/>
                <w:b/>
              </w:rPr>
              <w:t>Consumer-</w:t>
            </w:r>
            <w:r>
              <w:rPr>
                <w:rFonts w:eastAsia="Calibri"/>
                <w:b/>
              </w:rPr>
              <w:t>Spouse</w:t>
            </w:r>
          </w:p>
        </w:tc>
        <w:tc>
          <w:tcPr>
            <w:tcW w:w="1256" w:type="pct"/>
            <w:vMerge/>
            <w:tcBorders>
              <w:left w:val="single" w:sz="4" w:space="0" w:color="auto"/>
              <w:bottom w:val="single" w:sz="4" w:space="0" w:color="auto"/>
              <w:right w:val="single" w:sz="4" w:space="0" w:color="auto"/>
            </w:tcBorders>
            <w:shd w:val="clear" w:color="auto" w:fill="0A357E"/>
            <w:vAlign w:val="bottom"/>
          </w:tcPr>
          <w:p w:rsidR="00794264" w:rsidRPr="00174BE2" w:rsidRDefault="00794264" w:rsidP="00D61AE9">
            <w:pPr>
              <w:keepNext/>
              <w:spacing w:before="40" w:after="40"/>
              <w:contextualSpacing/>
              <w:jc w:val="center"/>
              <w:rPr>
                <w:rFonts w:eastAsia="Calibri"/>
                <w:b/>
              </w:rPr>
            </w:pPr>
          </w:p>
        </w:tc>
      </w:tr>
      <w:tr w:rsidR="00794264" w:rsidRPr="00E87AC5" w:rsidTr="00416CDC">
        <w:trPr>
          <w:cantSplit/>
          <w:trHeight w:val="532"/>
        </w:trPr>
        <w:tc>
          <w:tcPr>
            <w:tcW w:w="928" w:type="pct"/>
            <w:tcBorders>
              <w:top w:val="single" w:sz="4" w:space="0" w:color="auto"/>
              <w:left w:val="single" w:sz="4" w:space="0" w:color="auto"/>
              <w:right w:val="single" w:sz="4" w:space="0" w:color="auto"/>
            </w:tcBorders>
            <w:shd w:val="clear" w:color="auto" w:fill="auto"/>
            <w:vAlign w:val="center"/>
          </w:tcPr>
          <w:p w:rsidR="00794264" w:rsidRPr="00174BE2" w:rsidRDefault="00794264" w:rsidP="00D61AE9">
            <w:pPr>
              <w:keepNext/>
              <w:spacing w:before="60" w:after="60"/>
              <w:contextualSpacing/>
              <w:rPr>
                <w:rFonts w:eastAsia="Calibri"/>
                <w:b/>
              </w:rPr>
            </w:pPr>
            <w:r w:rsidRPr="00174BE2">
              <w:rPr>
                <w:rFonts w:eastAsia="Calibri"/>
                <w:b/>
              </w:rPr>
              <w:t>Raleigh, NC</w:t>
            </w:r>
            <w:r w:rsidRPr="00174BE2">
              <w:rPr>
                <w:rFonts w:eastAsia="Calibri"/>
                <w:b/>
              </w:rPr>
              <w:br/>
              <w:t>(Groups 1–3)</w:t>
            </w:r>
          </w:p>
        </w:tc>
        <w:tc>
          <w:tcPr>
            <w:tcW w:w="875" w:type="pct"/>
            <w:tcBorders>
              <w:top w:val="single" w:sz="4" w:space="0" w:color="auto"/>
              <w:left w:val="single" w:sz="4" w:space="0" w:color="auto"/>
              <w:right w:val="single" w:sz="4" w:space="0" w:color="auto"/>
            </w:tcBorders>
            <w:vAlign w:val="center"/>
          </w:tcPr>
          <w:p w:rsidR="00794264" w:rsidRPr="00174BE2" w:rsidRDefault="00794264" w:rsidP="00D61AE9">
            <w:pPr>
              <w:keepNext/>
              <w:contextualSpacing/>
              <w:jc w:val="center"/>
              <w:rPr>
                <w:rFonts w:eastAsia="Calibri"/>
              </w:rPr>
            </w:pPr>
            <w:r w:rsidRPr="00174BE2">
              <w:rPr>
                <w:rFonts w:eastAsia="Calibri"/>
              </w:rPr>
              <w:t>1 group</w:t>
            </w:r>
          </w:p>
        </w:tc>
        <w:tc>
          <w:tcPr>
            <w:tcW w:w="971" w:type="pct"/>
            <w:tcBorders>
              <w:top w:val="single" w:sz="4" w:space="0" w:color="auto"/>
              <w:left w:val="single" w:sz="4" w:space="0" w:color="auto"/>
              <w:bottom w:val="single" w:sz="4" w:space="0" w:color="auto"/>
              <w:right w:val="single" w:sz="4" w:space="0" w:color="auto"/>
            </w:tcBorders>
            <w:vAlign w:val="center"/>
          </w:tcPr>
          <w:p w:rsidR="00794264" w:rsidRPr="00174BE2" w:rsidRDefault="00794264" w:rsidP="00D61AE9">
            <w:pPr>
              <w:keepNext/>
              <w:contextualSpacing/>
              <w:jc w:val="center"/>
              <w:rPr>
                <w:rFonts w:eastAsia="Calibri"/>
              </w:rPr>
            </w:pPr>
            <w:r w:rsidRPr="00174BE2">
              <w:rPr>
                <w:rFonts w:eastAsia="Calibri"/>
              </w:rPr>
              <w:t>2 groups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rPr>
            </w:pPr>
            <w:r w:rsidRPr="00174BE2">
              <w:rPr>
                <w:rFonts w:eastAsia="Calibri"/>
              </w:rPr>
              <w:t>7 dyads</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b/>
                <w:bCs/>
              </w:rPr>
            </w:pPr>
            <w:r w:rsidRPr="00174BE2">
              <w:rPr>
                <w:rFonts w:eastAsia="Calibri"/>
                <w:b/>
                <w:bCs/>
              </w:rPr>
              <w:t>3 groups</w:t>
            </w:r>
            <w:r w:rsidRPr="00174BE2">
              <w:rPr>
                <w:rFonts w:eastAsia="Calibri"/>
                <w:b/>
                <w:bCs/>
              </w:rPr>
              <w:br/>
              <w:t>7 dyads</w:t>
            </w:r>
          </w:p>
        </w:tc>
      </w:tr>
      <w:tr w:rsidR="00794264" w:rsidRPr="00E87AC5" w:rsidTr="00416CDC">
        <w:trPr>
          <w:cantSplit/>
          <w:trHeight w:val="749"/>
        </w:trPr>
        <w:tc>
          <w:tcPr>
            <w:tcW w:w="928" w:type="pct"/>
            <w:tcBorders>
              <w:top w:val="single" w:sz="4" w:space="0" w:color="auto"/>
              <w:left w:val="single" w:sz="4" w:space="0" w:color="auto"/>
              <w:right w:val="single" w:sz="4" w:space="0" w:color="auto"/>
            </w:tcBorders>
            <w:shd w:val="clear" w:color="auto" w:fill="auto"/>
            <w:vAlign w:val="center"/>
          </w:tcPr>
          <w:p w:rsidR="00794264" w:rsidRPr="00174BE2" w:rsidRDefault="00794264" w:rsidP="00D61AE9">
            <w:pPr>
              <w:keepNext/>
              <w:spacing w:before="60" w:after="60"/>
              <w:contextualSpacing/>
              <w:rPr>
                <w:rFonts w:eastAsia="Calibri"/>
                <w:b/>
              </w:rPr>
            </w:pPr>
            <w:r w:rsidRPr="00174BE2">
              <w:rPr>
                <w:rFonts w:eastAsia="Calibri"/>
                <w:b/>
              </w:rPr>
              <w:t>Washington, DC</w:t>
            </w:r>
            <w:r w:rsidRPr="00174BE2">
              <w:rPr>
                <w:rFonts w:eastAsia="Calibri"/>
                <w:b/>
              </w:rPr>
              <w:br/>
              <w:t>(Groups 4–6)</w:t>
            </w:r>
          </w:p>
        </w:tc>
        <w:tc>
          <w:tcPr>
            <w:tcW w:w="875" w:type="pct"/>
            <w:tcBorders>
              <w:top w:val="single" w:sz="4" w:space="0" w:color="auto"/>
              <w:left w:val="single" w:sz="4" w:space="0" w:color="auto"/>
              <w:right w:val="single" w:sz="4" w:space="0" w:color="auto"/>
            </w:tcBorders>
            <w:vAlign w:val="center"/>
          </w:tcPr>
          <w:p w:rsidR="00794264" w:rsidRPr="00174BE2" w:rsidRDefault="00794264" w:rsidP="00D61AE9">
            <w:pPr>
              <w:keepNext/>
              <w:contextualSpacing/>
              <w:jc w:val="center"/>
              <w:rPr>
                <w:rFonts w:eastAsia="Calibri"/>
              </w:rPr>
            </w:pPr>
            <w:r w:rsidRPr="00174BE2">
              <w:rPr>
                <w:rFonts w:eastAsia="Calibri"/>
              </w:rPr>
              <w:t>2 groups</w:t>
            </w:r>
          </w:p>
        </w:tc>
        <w:tc>
          <w:tcPr>
            <w:tcW w:w="971" w:type="pct"/>
            <w:tcBorders>
              <w:top w:val="single" w:sz="4" w:space="0" w:color="auto"/>
              <w:left w:val="single" w:sz="4" w:space="0" w:color="auto"/>
              <w:bottom w:val="single" w:sz="4" w:space="0" w:color="auto"/>
              <w:right w:val="single" w:sz="4" w:space="0" w:color="auto"/>
            </w:tcBorders>
            <w:vAlign w:val="center"/>
          </w:tcPr>
          <w:p w:rsidR="00794264" w:rsidRPr="00174BE2" w:rsidRDefault="00794264" w:rsidP="00D61AE9">
            <w:pPr>
              <w:keepNext/>
              <w:contextualSpacing/>
              <w:jc w:val="center"/>
              <w:rPr>
                <w:rFonts w:eastAsia="Calibri"/>
              </w:rPr>
            </w:pPr>
            <w:r w:rsidRPr="00174BE2">
              <w:rPr>
                <w:rFonts w:eastAsia="Calibri"/>
              </w:rPr>
              <w:t>1 group</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rPr>
            </w:pPr>
            <w:r w:rsidRPr="00174BE2">
              <w:rPr>
                <w:rFonts w:eastAsia="Calibri"/>
              </w:rPr>
              <w:t>7 dyads</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b/>
                <w:bCs/>
              </w:rPr>
            </w:pPr>
            <w:r w:rsidRPr="00174BE2">
              <w:rPr>
                <w:rFonts w:eastAsia="Calibri"/>
                <w:b/>
                <w:bCs/>
              </w:rPr>
              <w:t>3 groups</w:t>
            </w:r>
            <w:r w:rsidRPr="00174BE2">
              <w:rPr>
                <w:rFonts w:eastAsia="Calibri"/>
                <w:b/>
                <w:bCs/>
              </w:rPr>
              <w:br/>
              <w:t>7 dyads</w:t>
            </w:r>
          </w:p>
        </w:tc>
      </w:tr>
      <w:tr w:rsidR="00794264" w:rsidRPr="00E87AC5" w:rsidTr="00416CDC">
        <w:trPr>
          <w:cantSplit/>
          <w:trHeight w:val="1020"/>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spacing w:before="60" w:after="60"/>
              <w:contextualSpacing/>
              <w:rPr>
                <w:rFonts w:eastAsia="Calibri"/>
                <w:b/>
              </w:rPr>
            </w:pPr>
            <w:r w:rsidRPr="00174BE2">
              <w:rPr>
                <w:rFonts w:eastAsia="Calibri"/>
                <w:b/>
              </w:rPr>
              <w:t>TOTAL</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b/>
                <w:bCs/>
              </w:rPr>
            </w:pPr>
            <w:r w:rsidRPr="00174BE2">
              <w:rPr>
                <w:rFonts w:eastAsia="Calibri"/>
                <w:b/>
                <w:bCs/>
              </w:rPr>
              <w:t>3 groups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b/>
                <w:bCs/>
              </w:rPr>
            </w:pPr>
            <w:r w:rsidRPr="00174BE2">
              <w:rPr>
                <w:rFonts w:eastAsia="Calibri"/>
                <w:b/>
                <w:bCs/>
              </w:rPr>
              <w:t>3 groups</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794264" w:rsidRPr="00174BE2" w:rsidRDefault="00794264" w:rsidP="00D61AE9">
            <w:pPr>
              <w:keepNext/>
              <w:contextualSpacing/>
              <w:jc w:val="center"/>
              <w:rPr>
                <w:rFonts w:eastAsia="Calibri"/>
                <w:b/>
                <w:bCs/>
              </w:rPr>
            </w:pPr>
            <w:r w:rsidRPr="00174BE2">
              <w:rPr>
                <w:rFonts w:eastAsia="Calibri"/>
                <w:b/>
                <w:bCs/>
              </w:rPr>
              <w:t>14 dyads</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8939B7" w:rsidRDefault="00794264" w:rsidP="00D61AE9">
            <w:pPr>
              <w:keepNext/>
              <w:contextualSpacing/>
              <w:jc w:val="center"/>
              <w:rPr>
                <w:rFonts w:eastAsia="Calibri"/>
                <w:b/>
                <w:bCs/>
              </w:rPr>
            </w:pPr>
            <w:r w:rsidRPr="00174BE2">
              <w:rPr>
                <w:rFonts w:eastAsia="Calibri"/>
                <w:b/>
                <w:bCs/>
              </w:rPr>
              <w:t xml:space="preserve">6 groups </w:t>
            </w:r>
            <w:r w:rsidRPr="00174BE2">
              <w:rPr>
                <w:rFonts w:eastAsia="Calibri"/>
                <w:b/>
                <w:bCs/>
              </w:rPr>
              <w:br/>
              <w:t xml:space="preserve">(8 per group, </w:t>
            </w:r>
          </w:p>
          <w:p w:rsidR="00794264" w:rsidRPr="00174BE2" w:rsidRDefault="00794264" w:rsidP="00D61AE9">
            <w:pPr>
              <w:keepNext/>
              <w:contextualSpacing/>
              <w:jc w:val="center"/>
              <w:rPr>
                <w:rFonts w:eastAsia="Calibri"/>
                <w:b/>
                <w:bCs/>
              </w:rPr>
            </w:pPr>
            <w:r w:rsidRPr="00174BE2">
              <w:rPr>
                <w:rFonts w:eastAsia="Calibri"/>
                <w:b/>
                <w:bCs/>
              </w:rPr>
              <w:t xml:space="preserve">n = 48); </w:t>
            </w:r>
            <w:r w:rsidRPr="00174BE2">
              <w:rPr>
                <w:rFonts w:eastAsia="Calibri"/>
                <w:b/>
                <w:bCs/>
              </w:rPr>
              <w:br/>
              <w:t>14 dyads (n = 28)</w:t>
            </w:r>
            <w:r w:rsidRPr="00174BE2">
              <w:rPr>
                <w:rFonts w:eastAsia="Calibri"/>
                <w:b/>
                <w:bCs/>
              </w:rPr>
              <w:br/>
            </w:r>
            <w:r w:rsidR="008939B7">
              <w:rPr>
                <w:rFonts w:eastAsia="Calibri"/>
                <w:b/>
                <w:bCs/>
              </w:rPr>
              <w:t xml:space="preserve">Total </w:t>
            </w:r>
            <w:r w:rsidRPr="00174BE2">
              <w:rPr>
                <w:rFonts w:eastAsia="Calibri"/>
                <w:b/>
                <w:bCs/>
              </w:rPr>
              <w:t>N = 76</w:t>
            </w:r>
          </w:p>
        </w:tc>
      </w:tr>
    </w:tbl>
    <w:p w:rsidR="00794264" w:rsidRDefault="00794264" w:rsidP="00794264">
      <w:pPr>
        <w:keepNext/>
        <w:keepLines/>
        <w:spacing w:before="240" w:after="120"/>
        <w:contextualSpacing/>
        <w:rPr>
          <w:rFonts w:ascii="Arial Black" w:eastAsia="Calibri" w:hAnsi="Arial Black" w:cs="Arial"/>
          <w:b/>
          <w:bCs/>
          <w:color w:val="0A357E"/>
        </w:rPr>
      </w:pPr>
    </w:p>
    <w:p w:rsidR="00794264" w:rsidRDefault="00794264" w:rsidP="00794264">
      <w:pPr>
        <w:keepNext/>
        <w:keepLines/>
        <w:spacing w:before="240" w:after="120"/>
        <w:contextualSpacing/>
        <w:rPr>
          <w:rFonts w:ascii="Arial Black" w:eastAsia="Calibri" w:hAnsi="Arial Black" w:cs="Arial"/>
          <w:b/>
          <w:bCs/>
          <w:color w:val="0A357E"/>
        </w:rPr>
      </w:pPr>
    </w:p>
    <w:p w:rsidR="003F1C7A" w:rsidRPr="00B57E8B" w:rsidRDefault="003F1C7A" w:rsidP="00E64811">
      <w:pPr>
        <w:numPr>
          <w:ilvl w:val="0"/>
          <w:numId w:val="15"/>
        </w:numPr>
        <w:tabs>
          <w:tab w:val="clear" w:pos="1296"/>
          <w:tab w:val="left" w:pos="450"/>
          <w:tab w:val="num" w:pos="720"/>
        </w:tabs>
        <w:ind w:left="720"/>
      </w:pPr>
      <w:r w:rsidRPr="00794264">
        <w:rPr>
          <w:b/>
        </w:rPr>
        <w:t xml:space="preserve">Date(s) </w:t>
      </w:r>
      <w:r w:rsidR="009404FA" w:rsidRPr="00794264">
        <w:rPr>
          <w:b/>
        </w:rPr>
        <w:t xml:space="preserve">to be conducted </w:t>
      </w:r>
      <w:r w:rsidRPr="00794264">
        <w:rPr>
          <w:b/>
        </w:rPr>
        <w:t>and location(s)</w:t>
      </w:r>
      <w:r w:rsidR="0049419A" w:rsidRPr="00794264">
        <w:rPr>
          <w:b/>
        </w:rPr>
        <w:t>:</w:t>
      </w:r>
      <w:r w:rsidRPr="00794264">
        <w:rPr>
          <w:b/>
        </w:rPr>
        <w:t xml:space="preserve">  </w:t>
      </w:r>
    </w:p>
    <w:p w:rsidR="00257ADA" w:rsidRDefault="00257ADA" w:rsidP="00F12AEE">
      <w:pPr>
        <w:ind w:left="360"/>
        <w:jc w:val="both"/>
      </w:pPr>
    </w:p>
    <w:p w:rsidR="00190AA2" w:rsidRDefault="00C2251E" w:rsidP="00E64811">
      <w:pPr>
        <w:tabs>
          <w:tab w:val="left" w:pos="0"/>
        </w:tabs>
        <w:jc w:val="both"/>
      </w:pPr>
      <w:r>
        <w:t>F</w:t>
      </w:r>
      <w:r w:rsidR="00794264" w:rsidRPr="00794264">
        <w:t>ocus groups and interviews</w:t>
      </w:r>
      <w:r w:rsidR="00257ADA" w:rsidRPr="00794264">
        <w:t xml:space="preserve"> will be conducted in the metropolitan a</w:t>
      </w:r>
      <w:r w:rsidR="00794264" w:rsidRPr="00794264">
        <w:t>reas of Raleigh, N</w:t>
      </w:r>
      <w:r>
        <w:t>C</w:t>
      </w:r>
      <w:r w:rsidR="00794264" w:rsidRPr="00794264">
        <w:t xml:space="preserve"> and Washington, DC.</w:t>
      </w:r>
      <w:r w:rsidR="006552F6" w:rsidRPr="00794264">
        <w:t xml:space="preserve"> </w:t>
      </w:r>
      <w:r w:rsidR="002C1D9B" w:rsidRPr="00794264">
        <w:t>F</w:t>
      </w:r>
      <w:r w:rsidR="00C228B7" w:rsidRPr="00794264">
        <w:t xml:space="preserve">ocus groups are planned for the </w:t>
      </w:r>
      <w:r w:rsidR="00794264" w:rsidRPr="00794264">
        <w:t xml:space="preserve">Fall of </w:t>
      </w:r>
      <w:r w:rsidR="00C228B7" w:rsidRPr="00794264">
        <w:t>201</w:t>
      </w:r>
      <w:r w:rsidR="00794264" w:rsidRPr="00794264">
        <w:t>4</w:t>
      </w:r>
      <w:r w:rsidR="00C228B7" w:rsidRPr="00794264">
        <w:t>.</w:t>
      </w:r>
      <w:r w:rsidR="00257ADA">
        <w:t xml:space="preserve"> </w:t>
      </w:r>
    </w:p>
    <w:p w:rsidR="00257ADA" w:rsidRPr="00B57E8B" w:rsidRDefault="00257ADA" w:rsidP="00F12AEE">
      <w:pPr>
        <w:ind w:left="360"/>
        <w:jc w:val="both"/>
      </w:pPr>
    </w:p>
    <w:p w:rsidR="00E26798" w:rsidRPr="00B57E8B" w:rsidRDefault="00140A0D" w:rsidP="00F12AEE">
      <w:pPr>
        <w:numPr>
          <w:ilvl w:val="0"/>
          <w:numId w:val="15"/>
        </w:numPr>
        <w:tabs>
          <w:tab w:val="clear" w:pos="1296"/>
          <w:tab w:val="num" w:pos="720"/>
        </w:tabs>
        <w:ind w:left="720"/>
      </w:pPr>
      <w:r w:rsidRPr="00B57E8B">
        <w:rPr>
          <w:b/>
        </w:rPr>
        <w:t xml:space="preserve">How the </w:t>
      </w:r>
      <w:r w:rsidR="008939B7">
        <w:rPr>
          <w:b/>
        </w:rPr>
        <w:t>i</w:t>
      </w:r>
      <w:r w:rsidRPr="00B57E8B">
        <w:rPr>
          <w:b/>
        </w:rPr>
        <w:t>nformation is being collected</w:t>
      </w:r>
      <w:r w:rsidR="0049419A" w:rsidRPr="00B57E8B">
        <w:rPr>
          <w:b/>
        </w:rPr>
        <w:t>:</w:t>
      </w:r>
    </w:p>
    <w:p w:rsidR="00C228B7" w:rsidRDefault="00C228B7" w:rsidP="003E716A">
      <w:pPr>
        <w:ind w:left="720"/>
        <w:rPr>
          <w:u w:val="single"/>
        </w:rPr>
      </w:pPr>
    </w:p>
    <w:p w:rsidR="002E016F" w:rsidRPr="000F75B9" w:rsidRDefault="002E016F" w:rsidP="00E64811">
      <w:pPr>
        <w:rPr>
          <w:u w:val="single"/>
        </w:rPr>
      </w:pPr>
      <w:r w:rsidRPr="000F75B9">
        <w:rPr>
          <w:u w:val="single"/>
        </w:rPr>
        <w:t>Recruitment Information</w:t>
      </w:r>
    </w:p>
    <w:p w:rsidR="00BD1B42" w:rsidRPr="000F75B9" w:rsidRDefault="00BD1B42" w:rsidP="00E64811">
      <w:pPr>
        <w:rPr>
          <w:b/>
        </w:rPr>
      </w:pPr>
    </w:p>
    <w:p w:rsidR="00BD1B42" w:rsidRPr="000F75B9" w:rsidRDefault="00BD1B42" w:rsidP="00E64811">
      <w:r w:rsidRPr="000F75B9">
        <w:t xml:space="preserve">Staff from the focus group </w:t>
      </w:r>
      <w:r w:rsidR="00C2251E">
        <w:t xml:space="preserve">/ interview </w:t>
      </w:r>
      <w:r w:rsidRPr="000F75B9">
        <w:t>facilities will conduct subjec</w:t>
      </w:r>
      <w:r w:rsidR="00794264" w:rsidRPr="000F75B9">
        <w:t xml:space="preserve">t recruitment using </w:t>
      </w:r>
      <w:r w:rsidRPr="000F75B9">
        <w:t xml:space="preserve">the </w:t>
      </w:r>
      <w:r w:rsidR="00C228B7" w:rsidRPr="000F75B9">
        <w:t>participant screener</w:t>
      </w:r>
      <w:r w:rsidR="00C2251E">
        <w:t>s</w:t>
      </w:r>
      <w:r w:rsidR="00C228B7" w:rsidRPr="000F75B9">
        <w:t xml:space="preserve"> (attached)</w:t>
      </w:r>
      <w:r w:rsidRPr="000F75B9">
        <w:t xml:space="preserve">.  </w:t>
      </w:r>
      <w:r w:rsidR="00962AC4" w:rsidRPr="000F75B9">
        <w:t>The facilities’</w:t>
      </w:r>
      <w:r w:rsidRPr="000F75B9">
        <w:t xml:space="preserve"> staff will provide all necessary information and instructions to ensure participants arrive at the proper location on the agreed upon date and time.  </w:t>
      </w:r>
      <w:r w:rsidR="00C2251E">
        <w:t xml:space="preserve">Facilities will </w:t>
      </w:r>
      <w:r w:rsidR="00C2251E" w:rsidRPr="00C2251E">
        <w:t>intentionally over-recruit</w:t>
      </w:r>
      <w:r w:rsidRPr="00C2251E">
        <w:t xml:space="preserve"> to ensure </w:t>
      </w:r>
      <w:r w:rsidR="00C2251E">
        <w:t xml:space="preserve">the minimum number of participants needed come to their scheduled time slot. </w:t>
      </w:r>
      <w:r w:rsidRPr="000F75B9">
        <w:t>The facilities will send confirmation and reminder correspondences to recruited participants to help ensure attendance.</w:t>
      </w:r>
    </w:p>
    <w:p w:rsidR="003E716A" w:rsidRPr="007112EE" w:rsidRDefault="003E716A" w:rsidP="00E64811">
      <w:pPr>
        <w:rPr>
          <w:highlight w:val="yellow"/>
        </w:rPr>
      </w:pPr>
    </w:p>
    <w:p w:rsidR="002E016F" w:rsidRDefault="002E016F" w:rsidP="00E64811">
      <w:pPr>
        <w:rPr>
          <w:u w:val="single"/>
        </w:rPr>
      </w:pPr>
      <w:r w:rsidRPr="000F75B9">
        <w:rPr>
          <w:u w:val="single"/>
        </w:rPr>
        <w:t xml:space="preserve">Focus Group </w:t>
      </w:r>
      <w:r w:rsidR="000F75B9">
        <w:rPr>
          <w:u w:val="single"/>
        </w:rPr>
        <w:t xml:space="preserve">and Interview </w:t>
      </w:r>
      <w:r w:rsidRPr="000F75B9">
        <w:rPr>
          <w:u w:val="single"/>
        </w:rPr>
        <w:t>Discussions</w:t>
      </w:r>
    </w:p>
    <w:p w:rsidR="00485385" w:rsidRPr="000F75B9" w:rsidRDefault="00485385" w:rsidP="00E64811">
      <w:pPr>
        <w:rPr>
          <w:u w:val="single"/>
        </w:rPr>
      </w:pPr>
    </w:p>
    <w:p w:rsidR="00BD1B42" w:rsidRPr="000F75B9" w:rsidRDefault="000F75B9" w:rsidP="00E64811">
      <w:r w:rsidRPr="000F75B9">
        <w:t>RTI</w:t>
      </w:r>
      <w:r w:rsidR="00962AC4" w:rsidRPr="000F75B9">
        <w:t xml:space="preserve"> staff members </w:t>
      </w:r>
      <w:r w:rsidR="00BD1B42" w:rsidRPr="000F75B9">
        <w:t>will serve as moderators for all focus groups</w:t>
      </w:r>
      <w:r>
        <w:t xml:space="preserve"> and interviews</w:t>
      </w:r>
      <w:r w:rsidR="00BD1B42" w:rsidRPr="000F75B9">
        <w:t xml:space="preserve">.  </w:t>
      </w:r>
      <w:r w:rsidR="00962AC4" w:rsidRPr="000F75B9">
        <w:t xml:space="preserve">OPDP staff members </w:t>
      </w:r>
      <w:r w:rsidR="00BD1B42" w:rsidRPr="000F75B9">
        <w:t xml:space="preserve">will observe </w:t>
      </w:r>
      <w:r w:rsidR="00962AC4" w:rsidRPr="000F75B9">
        <w:t>most, if not all,</w:t>
      </w:r>
      <w:r w:rsidR="00FC1D82" w:rsidRPr="000F75B9">
        <w:t xml:space="preserve"> </w:t>
      </w:r>
      <w:r w:rsidR="00962AC4" w:rsidRPr="000F75B9">
        <w:t xml:space="preserve">of </w:t>
      </w:r>
      <w:r w:rsidR="00BD1B42" w:rsidRPr="000F75B9">
        <w:t>the sessions from the observation rooms at the focus group facilities</w:t>
      </w:r>
      <w:r w:rsidR="00962AC4" w:rsidRPr="000F75B9">
        <w:t xml:space="preserve"> or remotely using streaming technology</w:t>
      </w:r>
      <w:r w:rsidR="00BD1B42" w:rsidRPr="000F75B9">
        <w:t xml:space="preserve">. </w:t>
      </w:r>
    </w:p>
    <w:p w:rsidR="00962AC4" w:rsidRPr="007112EE" w:rsidRDefault="00962AC4" w:rsidP="00E64811">
      <w:pPr>
        <w:rPr>
          <w:highlight w:val="yellow"/>
        </w:rPr>
      </w:pPr>
    </w:p>
    <w:p w:rsidR="009701EF" w:rsidRPr="000F75B9" w:rsidRDefault="00C65046" w:rsidP="00E64811">
      <w:r w:rsidRPr="000F75B9">
        <w:t>The moderator will use</w:t>
      </w:r>
      <w:r w:rsidR="000A112B" w:rsidRPr="000F75B9">
        <w:t xml:space="preserve"> the attached moderator guide</w:t>
      </w:r>
      <w:r w:rsidR="000F75B9">
        <w:t>s</w:t>
      </w:r>
      <w:r w:rsidR="000A112B" w:rsidRPr="000F75B9">
        <w:t xml:space="preserve"> to ensure that all relevant topic areas are addressed.  </w:t>
      </w:r>
      <w:r w:rsidR="00485385" w:rsidRPr="000F75B9">
        <w:t xml:space="preserve">The focus group facilities will make audio recordings to ensure a verbatim record of the proceedings is captured.  </w:t>
      </w:r>
    </w:p>
    <w:p w:rsidR="00962AC4" w:rsidRPr="007112EE" w:rsidRDefault="00962AC4" w:rsidP="00E64811">
      <w:pPr>
        <w:rPr>
          <w:highlight w:val="yellow"/>
        </w:rPr>
      </w:pPr>
    </w:p>
    <w:p w:rsidR="009701EF" w:rsidRDefault="009701EF" w:rsidP="00E64811">
      <w:r w:rsidRPr="000F75B9">
        <w:t xml:space="preserve">The Contractor will comply with safeguards for ensuring participant information is kept private to the extent permitted by law.  The last names of the participants will not appear on any focus group </w:t>
      </w:r>
      <w:r w:rsidR="00EB6BA5">
        <w:t xml:space="preserve">/ interview </w:t>
      </w:r>
      <w:r w:rsidRPr="000F75B9">
        <w:t>materials.  Verbatim quotes included in the final report will not be attributed to an</w:t>
      </w:r>
      <w:r w:rsidR="00962AC4" w:rsidRPr="000F75B9">
        <w:t>y</w:t>
      </w:r>
      <w:r w:rsidRPr="000F75B9">
        <w:t xml:space="preserve"> individual.</w:t>
      </w:r>
    </w:p>
    <w:p w:rsidR="003E716A" w:rsidRPr="00B57E8B" w:rsidRDefault="003E716A" w:rsidP="00E64811"/>
    <w:p w:rsidR="00A03384" w:rsidRPr="00EB6BA5" w:rsidRDefault="003F1C7A" w:rsidP="00E64811">
      <w:pPr>
        <w:numPr>
          <w:ilvl w:val="0"/>
          <w:numId w:val="15"/>
        </w:numPr>
        <w:tabs>
          <w:tab w:val="clear" w:pos="1296"/>
          <w:tab w:val="num" w:pos="720"/>
        </w:tabs>
        <w:ind w:left="720"/>
      </w:pPr>
      <w:r w:rsidRPr="00B57E8B">
        <w:rPr>
          <w:b/>
        </w:rPr>
        <w:t>Number of focus groups</w:t>
      </w:r>
      <w:r w:rsidR="0049419A" w:rsidRPr="00B57E8B">
        <w:rPr>
          <w:b/>
        </w:rPr>
        <w:t>:</w:t>
      </w:r>
      <w:r w:rsidR="00AB26D8">
        <w:t xml:space="preserve">  </w:t>
      </w:r>
    </w:p>
    <w:p w:rsidR="00A03384" w:rsidRDefault="00A03384" w:rsidP="00E64811"/>
    <w:p w:rsidR="00510E2F" w:rsidRPr="000F75B9" w:rsidRDefault="000F75B9" w:rsidP="00E64811">
      <w:r w:rsidRPr="000F75B9">
        <w:t>Formative research</w:t>
      </w:r>
      <w:r w:rsidR="00962AC4" w:rsidRPr="000F75B9">
        <w:t>: 6</w:t>
      </w:r>
      <w:r w:rsidR="00510E2F" w:rsidRPr="000F75B9">
        <w:t xml:space="preserve"> focus groups</w:t>
      </w:r>
    </w:p>
    <w:p w:rsidR="00510E2F" w:rsidRPr="000F75B9" w:rsidRDefault="000F75B9" w:rsidP="00E64811">
      <w:r w:rsidRPr="000F75B9">
        <w:t>Stimuli testing</w:t>
      </w:r>
      <w:r w:rsidR="00962AC4" w:rsidRPr="000F75B9">
        <w:t xml:space="preserve">: </w:t>
      </w:r>
      <w:r w:rsidRPr="000F75B9">
        <w:t>6</w:t>
      </w:r>
      <w:r w:rsidR="00510E2F" w:rsidRPr="000F75B9">
        <w:t xml:space="preserve"> focus groups</w:t>
      </w:r>
      <w:r w:rsidRPr="000F75B9">
        <w:t>, 14 interviews</w:t>
      </w:r>
      <w:r w:rsidR="00510E2F" w:rsidRPr="000F75B9">
        <w:t xml:space="preserve"> </w:t>
      </w:r>
    </w:p>
    <w:p w:rsidR="00AB26D8" w:rsidRPr="007112EE" w:rsidRDefault="00AB26D8" w:rsidP="00E64811">
      <w:pPr>
        <w:rPr>
          <w:highlight w:val="yellow"/>
        </w:rPr>
      </w:pPr>
    </w:p>
    <w:p w:rsidR="00962AC4" w:rsidRDefault="00962AC4" w:rsidP="00E64811">
      <w:r w:rsidRPr="000F75B9">
        <w:t xml:space="preserve">See </w:t>
      </w:r>
      <w:r w:rsidR="000F75B9" w:rsidRPr="000F75B9">
        <w:t>Exhibits 2 and 3</w:t>
      </w:r>
      <w:r w:rsidRPr="000F75B9">
        <w:t xml:space="preserve"> for greater detail.</w:t>
      </w:r>
    </w:p>
    <w:p w:rsidR="00962AC4" w:rsidRPr="00B57E8B" w:rsidRDefault="00962AC4" w:rsidP="00E64811"/>
    <w:p w:rsidR="00962AC4" w:rsidRDefault="0049419A" w:rsidP="00EB6BA5">
      <w:pPr>
        <w:numPr>
          <w:ilvl w:val="0"/>
          <w:numId w:val="15"/>
        </w:numPr>
        <w:tabs>
          <w:tab w:val="clear" w:pos="1296"/>
          <w:tab w:val="num" w:pos="720"/>
        </w:tabs>
        <w:ind w:left="0" w:firstLine="360"/>
      </w:pPr>
      <w:r w:rsidRPr="00B57E8B">
        <w:rPr>
          <w:b/>
        </w:rPr>
        <w:t>Amount and justification for any proposed incentive:</w:t>
      </w:r>
      <w:r w:rsidR="003F1C7A" w:rsidRPr="00B57E8B">
        <w:t xml:space="preserve"> </w:t>
      </w:r>
    </w:p>
    <w:p w:rsidR="003E716A" w:rsidRDefault="003E716A" w:rsidP="00E64811">
      <w:pPr>
        <w:pStyle w:val="ListParagraph"/>
        <w:ind w:left="0"/>
      </w:pPr>
    </w:p>
    <w:p w:rsidR="000F75B9" w:rsidRPr="000F75B9" w:rsidRDefault="000F75B9" w:rsidP="00EB6BA5">
      <w:pPr>
        <w:contextualSpacing/>
      </w:pPr>
      <w:r w:rsidRPr="000F75B9">
        <w:t>In preparation for these focus groups, RTI consulted with facilities that host focus groups to determine incentive rates. Based on these consultations, we propose an incentive of $75 to ensure that we are able to attract a reasonable cross-section of general population participants.</w:t>
      </w:r>
    </w:p>
    <w:p w:rsidR="000F75B9" w:rsidRDefault="000F75B9" w:rsidP="00EB6BA5">
      <w:pPr>
        <w:pStyle w:val="ListParagraph"/>
        <w:ind w:left="0"/>
        <w:contextualSpacing/>
      </w:pPr>
    </w:p>
    <w:p w:rsidR="00EB6BA5" w:rsidRDefault="00EB6BA5" w:rsidP="00EB6BA5">
      <w:pPr>
        <w:pStyle w:val="ListParagraph"/>
        <w:ind w:left="0"/>
        <w:contextualSpacing/>
      </w:pPr>
      <w:r>
        <w:t>Our experience in conducting focus group research indicates that offering an incentive that is below the accepted rate will result in increased costs that exceed the amount saved on a reduced incentive.  The consequences of an insufficient incentive include the following</w:t>
      </w:r>
      <w:r w:rsidR="00CE4EEE">
        <w:t>:</w:t>
      </w:r>
      <w:r>
        <w:t xml:space="preserve">  </w:t>
      </w:r>
    </w:p>
    <w:p w:rsidR="00EB6BA5" w:rsidRDefault="00EB6BA5" w:rsidP="00EB6BA5">
      <w:pPr>
        <w:pStyle w:val="ListParagraph"/>
        <w:ind w:left="0"/>
        <w:contextualSpacing/>
      </w:pPr>
    </w:p>
    <w:p w:rsidR="00EB6BA5" w:rsidRDefault="00EB6BA5" w:rsidP="00EB6BA5">
      <w:pPr>
        <w:pStyle w:val="ListParagraph"/>
        <w:numPr>
          <w:ilvl w:val="0"/>
          <w:numId w:val="22"/>
        </w:numPr>
        <w:tabs>
          <w:tab w:val="clear" w:pos="1800"/>
          <w:tab w:val="num" w:pos="1080"/>
        </w:tabs>
        <w:ind w:left="1080"/>
        <w:contextualSpacing/>
      </w:pPr>
      <w:r>
        <w:t>Increased time and cost of recruitment</w:t>
      </w:r>
    </w:p>
    <w:p w:rsidR="00EB6BA5" w:rsidRDefault="00EB6BA5" w:rsidP="00EB6BA5">
      <w:pPr>
        <w:pStyle w:val="ListParagraph"/>
        <w:numPr>
          <w:ilvl w:val="0"/>
          <w:numId w:val="22"/>
        </w:numPr>
        <w:tabs>
          <w:tab w:val="clear" w:pos="1800"/>
          <w:tab w:val="num" w:pos="1080"/>
        </w:tabs>
        <w:ind w:left="1080"/>
        <w:contextualSpacing/>
      </w:pPr>
      <w:r>
        <w:t>Increased likelihood of “no-shows” (which may result in methodologically unsound focus groups with small numbers of participants)</w:t>
      </w:r>
    </w:p>
    <w:p w:rsidR="00EB6BA5" w:rsidRDefault="00EB6BA5" w:rsidP="00EB6BA5">
      <w:pPr>
        <w:pStyle w:val="ListParagraph"/>
        <w:numPr>
          <w:ilvl w:val="0"/>
          <w:numId w:val="22"/>
        </w:numPr>
        <w:tabs>
          <w:tab w:val="clear" w:pos="1800"/>
          <w:tab w:val="num" w:pos="1080"/>
        </w:tabs>
        <w:ind w:left="1080"/>
        <w:contextualSpacing/>
      </w:pPr>
      <w:r>
        <w:t>Increased probability that a focus group may need to be cancelled or postponed due to insufficient numbers recruited by the scheduled date of the focus group.  This incurs additional costs and puts additional burden on the recruited participants who have to reschedule their participation in the focus group</w:t>
      </w:r>
    </w:p>
    <w:p w:rsidR="00EB6BA5" w:rsidRPr="00030B1F" w:rsidRDefault="00EB6BA5" w:rsidP="00EB6BA5">
      <w:pPr>
        <w:contextualSpacing/>
        <w:rPr>
          <w:b/>
          <w:bCs/>
        </w:rPr>
      </w:pPr>
    </w:p>
    <w:p w:rsidR="00962AC4" w:rsidRDefault="00EB6BA5" w:rsidP="00EB6BA5">
      <w:pPr>
        <w:pStyle w:val="ListParagraph"/>
        <w:ind w:left="0"/>
        <w:contextualSpacing/>
      </w:pPr>
      <w:r w:rsidRPr="00030B1F">
        <w:t>Furthermore, there is some evidence that using incentives can actually reduce nonresponse bias in some situations by bringing in a more representative set of respondents.</w:t>
      </w:r>
      <w:r w:rsidRPr="00030B1F">
        <w:rPr>
          <w:vertAlign w:val="superscript"/>
        </w:rPr>
        <w:footnoteReference w:id="1"/>
      </w:r>
      <w:r w:rsidR="00CE4EEE">
        <w:t>,</w:t>
      </w:r>
      <w:r w:rsidRPr="00030B1F">
        <w:rPr>
          <w:vertAlign w:val="superscript"/>
        </w:rPr>
        <w:footnoteReference w:id="2"/>
      </w:r>
      <w:r w:rsidR="00CE4EEE">
        <w:t>,</w:t>
      </w:r>
      <w:r w:rsidRPr="00030B1F">
        <w:rPr>
          <w:vertAlign w:val="superscript"/>
        </w:rPr>
        <w:footnoteReference w:id="3"/>
      </w:r>
      <w:r w:rsidRPr="00030B1F">
        <w:t xml:space="preserve"> This may be particularly effective in reducing nonresponse bias due to topic saliency.</w:t>
      </w:r>
      <w:r w:rsidRPr="00030B1F">
        <w:rPr>
          <w:vertAlign w:val="superscript"/>
        </w:rPr>
        <w:footnoteReference w:id="4"/>
      </w:r>
    </w:p>
    <w:p w:rsidR="00EB6BA5" w:rsidRPr="00B57E8B" w:rsidRDefault="00EB6BA5" w:rsidP="00EB6BA5">
      <w:pPr>
        <w:pStyle w:val="ListParagraph"/>
        <w:contextualSpacing/>
      </w:pPr>
    </w:p>
    <w:p w:rsidR="00140A0D" w:rsidRPr="00B57E8B" w:rsidRDefault="00140A0D" w:rsidP="00EB6BA5">
      <w:pPr>
        <w:numPr>
          <w:ilvl w:val="0"/>
          <w:numId w:val="15"/>
        </w:numPr>
        <w:tabs>
          <w:tab w:val="clear" w:pos="1296"/>
          <w:tab w:val="left" w:pos="360"/>
          <w:tab w:val="num" w:pos="720"/>
          <w:tab w:val="num" w:pos="900"/>
        </w:tabs>
        <w:ind w:left="720"/>
        <w:rPr>
          <w:b/>
        </w:rPr>
      </w:pPr>
      <w:r w:rsidRPr="00B57E8B">
        <w:rPr>
          <w:b/>
        </w:rPr>
        <w:t xml:space="preserve">Questions of a </w:t>
      </w:r>
      <w:r w:rsidR="00CE4EEE">
        <w:rPr>
          <w:b/>
        </w:rPr>
        <w:t>s</w:t>
      </w:r>
      <w:r w:rsidRPr="00B57E8B">
        <w:rPr>
          <w:b/>
        </w:rPr>
        <w:t xml:space="preserve">ensitive </w:t>
      </w:r>
      <w:r w:rsidR="00CE4EEE">
        <w:rPr>
          <w:b/>
        </w:rPr>
        <w:t>n</w:t>
      </w:r>
      <w:r w:rsidRPr="00B57E8B">
        <w:rPr>
          <w:b/>
        </w:rPr>
        <w:t>ature:</w:t>
      </w:r>
    </w:p>
    <w:p w:rsidR="00962AC4" w:rsidRDefault="00962AC4" w:rsidP="00962AC4">
      <w:pPr>
        <w:pStyle w:val="ListParagraph"/>
        <w:ind w:left="0"/>
      </w:pPr>
    </w:p>
    <w:p w:rsidR="00140A0D" w:rsidRPr="00B57E8B" w:rsidRDefault="00156768" w:rsidP="00962AC4">
      <w:pPr>
        <w:pStyle w:val="ListParagraph"/>
        <w:ind w:left="0"/>
      </w:pPr>
      <w:r>
        <w:t>None.</w:t>
      </w:r>
    </w:p>
    <w:p w:rsidR="00140A0D" w:rsidRPr="00B57E8B" w:rsidRDefault="00140A0D" w:rsidP="00140A0D">
      <w:pPr>
        <w:pStyle w:val="ListParagraph"/>
      </w:pPr>
    </w:p>
    <w:p w:rsidR="00140A0D" w:rsidRPr="00B57E8B" w:rsidRDefault="00140A0D" w:rsidP="00140A0D">
      <w:pPr>
        <w:numPr>
          <w:ilvl w:val="0"/>
          <w:numId w:val="15"/>
        </w:numPr>
        <w:tabs>
          <w:tab w:val="clear" w:pos="1296"/>
          <w:tab w:val="num" w:pos="720"/>
          <w:tab w:val="num" w:pos="900"/>
        </w:tabs>
        <w:ind w:left="720"/>
        <w:rPr>
          <w:b/>
        </w:rPr>
      </w:pPr>
      <w:r w:rsidRPr="00B57E8B">
        <w:rPr>
          <w:b/>
        </w:rPr>
        <w:t xml:space="preserve">Description of </w:t>
      </w:r>
      <w:r w:rsidR="00CE4EEE">
        <w:rPr>
          <w:b/>
        </w:rPr>
        <w:t>s</w:t>
      </w:r>
      <w:r w:rsidRPr="00B57E8B">
        <w:rPr>
          <w:b/>
        </w:rPr>
        <w:t xml:space="preserve">tatistical </w:t>
      </w:r>
      <w:r w:rsidR="00CE4EEE">
        <w:rPr>
          <w:b/>
        </w:rPr>
        <w:t>m</w:t>
      </w:r>
      <w:r w:rsidRPr="00B57E8B">
        <w:rPr>
          <w:b/>
        </w:rPr>
        <w:t>ethods (</w:t>
      </w:r>
      <w:r w:rsidR="00156768">
        <w:rPr>
          <w:b/>
        </w:rPr>
        <w:t>i.e.,</w:t>
      </w:r>
      <w:r w:rsidR="00E971FC" w:rsidRPr="00B57E8B">
        <w:rPr>
          <w:b/>
        </w:rPr>
        <w:t xml:space="preserve"> </w:t>
      </w:r>
      <w:r w:rsidRPr="00B57E8B">
        <w:rPr>
          <w:b/>
        </w:rPr>
        <w:t xml:space="preserve">Sample </w:t>
      </w:r>
      <w:r w:rsidR="00CE4EEE">
        <w:rPr>
          <w:b/>
        </w:rPr>
        <w:t>s</w:t>
      </w:r>
      <w:r w:rsidRPr="00B57E8B">
        <w:rPr>
          <w:b/>
        </w:rPr>
        <w:t xml:space="preserve">ize &amp; </w:t>
      </w:r>
      <w:r w:rsidR="00CE4EEE">
        <w:rPr>
          <w:b/>
        </w:rPr>
        <w:t>m</w:t>
      </w:r>
      <w:r w:rsidRPr="00B57E8B">
        <w:rPr>
          <w:b/>
        </w:rPr>
        <w:t xml:space="preserve">ethod of </w:t>
      </w:r>
      <w:r w:rsidR="00CE4EEE">
        <w:rPr>
          <w:b/>
        </w:rPr>
        <w:t>s</w:t>
      </w:r>
      <w:r w:rsidRPr="00B57E8B">
        <w:rPr>
          <w:b/>
        </w:rPr>
        <w:t>election):</w:t>
      </w:r>
    </w:p>
    <w:p w:rsidR="00962AC4" w:rsidRDefault="00962AC4" w:rsidP="00962AC4">
      <w:pPr>
        <w:pStyle w:val="ListParagraph"/>
        <w:ind w:left="0"/>
      </w:pPr>
    </w:p>
    <w:p w:rsidR="00670CD0" w:rsidRPr="00E64811" w:rsidRDefault="00510E2F" w:rsidP="00962AC4">
      <w:pPr>
        <w:pStyle w:val="ListParagraph"/>
        <w:ind w:left="0"/>
      </w:pPr>
      <w:r w:rsidRPr="00E64811">
        <w:lastRenderedPageBreak/>
        <w:t xml:space="preserve">The facilities’ staff will provide all necessary information and instructions to ensure participants arrive at the proper location on the agreed upon date and time.  </w:t>
      </w:r>
      <w:r w:rsidR="00EB6BA5">
        <w:t xml:space="preserve">Facilities will </w:t>
      </w:r>
      <w:r w:rsidR="00EB6BA5" w:rsidRPr="00C2251E">
        <w:t xml:space="preserve">intentionally over-recruit to ensure </w:t>
      </w:r>
      <w:r w:rsidR="00EB6BA5">
        <w:t>the minimum number of participants needed come to their scheduled time slot.</w:t>
      </w:r>
    </w:p>
    <w:p w:rsidR="00962AC4" w:rsidRPr="007112EE" w:rsidRDefault="00962AC4" w:rsidP="00962AC4">
      <w:pPr>
        <w:pStyle w:val="ListParagraph"/>
        <w:ind w:left="0"/>
        <w:rPr>
          <w:highlight w:val="yellow"/>
        </w:rPr>
      </w:pPr>
    </w:p>
    <w:p w:rsidR="00325A8C" w:rsidRDefault="00421E2E" w:rsidP="00962AC4">
      <w:pPr>
        <w:pStyle w:val="ListParagraph"/>
        <w:ind w:left="0"/>
      </w:pPr>
      <w:r>
        <w:t>Table 1</w:t>
      </w:r>
      <w:r w:rsidR="00962AC4" w:rsidRPr="00E64811">
        <w:t xml:space="preserve"> shows the estimated annual reporting burden for the groups</w:t>
      </w:r>
      <w:r w:rsidR="008D68DE" w:rsidRPr="00E64811">
        <w:t xml:space="preserve">, </w:t>
      </w:r>
      <w:r w:rsidR="008D68DE" w:rsidRPr="00EB6BA5">
        <w:t xml:space="preserve">assuming </w:t>
      </w:r>
      <w:r w:rsidR="00EB6BA5" w:rsidRPr="00EB6BA5">
        <w:t>8</w:t>
      </w:r>
      <w:r w:rsidR="00EB6BA5">
        <w:t xml:space="preserve"> participants </w:t>
      </w:r>
      <w:r w:rsidR="008D68DE" w:rsidRPr="00EB6BA5">
        <w:t>per group</w:t>
      </w:r>
      <w:r w:rsidR="00962AC4" w:rsidRPr="00EB6BA5">
        <w:t>.</w:t>
      </w:r>
      <w:r w:rsidR="00635D42" w:rsidRPr="00E64811">
        <w:t xml:space="preserve">  </w:t>
      </w:r>
    </w:p>
    <w:p w:rsidR="00240ED0" w:rsidRDefault="00240ED0" w:rsidP="00962AC4">
      <w:pPr>
        <w:pStyle w:val="ListParagraph"/>
        <w:ind w:left="0"/>
      </w:pPr>
    </w:p>
    <w:p w:rsidR="00240ED0" w:rsidRDefault="00240ED0" w:rsidP="00240ED0"/>
    <w:p w:rsidR="00325A8C" w:rsidRDefault="00240ED0" w:rsidP="00240ED0">
      <w:r w:rsidRPr="003A41D5">
        <w:t>Table 1: Estimated Burden</w:t>
      </w:r>
      <w:r w:rsidRPr="003A41D5">
        <w:rPr>
          <w:vertAlign w:val="superscript"/>
        </w:rPr>
        <w:t>1</w:t>
      </w:r>
      <w:r w:rsidRPr="003A41D5">
        <w:t xml:space="preserve"> </w:t>
      </w:r>
    </w:p>
    <w:tbl>
      <w:tblPr>
        <w:tblStyle w:val="TableGrid"/>
        <w:tblpPr w:leftFromText="180" w:rightFromText="180" w:vertAnchor="page" w:horzAnchor="margin" w:tblpY="3385"/>
        <w:tblW w:w="8997" w:type="dxa"/>
        <w:tblLayout w:type="fixed"/>
        <w:tblLook w:val="04A0" w:firstRow="1" w:lastRow="0" w:firstColumn="1" w:lastColumn="0" w:noHBand="0" w:noVBand="1"/>
      </w:tblPr>
      <w:tblGrid>
        <w:gridCol w:w="1499"/>
        <w:gridCol w:w="1500"/>
        <w:gridCol w:w="1499"/>
        <w:gridCol w:w="1500"/>
        <w:gridCol w:w="1499"/>
        <w:gridCol w:w="1500"/>
      </w:tblGrid>
      <w:tr w:rsidR="00240ED0" w:rsidRPr="00BE333A" w:rsidTr="00240ED0">
        <w:trPr>
          <w:trHeight w:val="374"/>
        </w:trPr>
        <w:tc>
          <w:tcPr>
            <w:tcW w:w="1499" w:type="dxa"/>
            <w:hideMark/>
          </w:tcPr>
          <w:p w:rsidR="00240ED0" w:rsidRPr="003A41D5" w:rsidRDefault="00240ED0" w:rsidP="00240ED0">
            <w:pPr>
              <w:jc w:val="center"/>
              <w:rPr>
                <w:b/>
                <w:bCs/>
                <w:color w:val="000000"/>
              </w:rPr>
            </w:pPr>
            <w:r w:rsidRPr="003A41D5">
              <w:rPr>
                <w:b/>
                <w:bCs/>
                <w:color w:val="000000"/>
              </w:rPr>
              <w:t>Activity</w:t>
            </w:r>
          </w:p>
        </w:tc>
        <w:tc>
          <w:tcPr>
            <w:tcW w:w="1500" w:type="dxa"/>
            <w:hideMark/>
          </w:tcPr>
          <w:p w:rsidR="00240ED0" w:rsidRPr="003A41D5" w:rsidRDefault="00240ED0" w:rsidP="00240ED0">
            <w:pPr>
              <w:jc w:val="center"/>
              <w:rPr>
                <w:b/>
                <w:bCs/>
                <w:color w:val="000000"/>
                <w:sz w:val="20"/>
              </w:rPr>
            </w:pPr>
            <w:r w:rsidRPr="003A41D5">
              <w:rPr>
                <w:b/>
                <w:bCs/>
                <w:color w:val="000000"/>
                <w:sz w:val="20"/>
              </w:rPr>
              <w:t>No. of Respondents</w:t>
            </w:r>
          </w:p>
        </w:tc>
        <w:tc>
          <w:tcPr>
            <w:tcW w:w="1499" w:type="dxa"/>
            <w:hideMark/>
          </w:tcPr>
          <w:p w:rsidR="00240ED0" w:rsidRPr="003A41D5" w:rsidRDefault="00240ED0" w:rsidP="00240ED0">
            <w:pPr>
              <w:jc w:val="center"/>
              <w:rPr>
                <w:b/>
                <w:bCs/>
                <w:color w:val="000000"/>
                <w:sz w:val="20"/>
              </w:rPr>
            </w:pPr>
            <w:r w:rsidRPr="003A41D5">
              <w:rPr>
                <w:b/>
                <w:bCs/>
                <w:color w:val="000000"/>
                <w:sz w:val="20"/>
              </w:rPr>
              <w:t>No. of Responses per Respondent</w:t>
            </w:r>
          </w:p>
        </w:tc>
        <w:tc>
          <w:tcPr>
            <w:tcW w:w="1500" w:type="dxa"/>
            <w:hideMark/>
          </w:tcPr>
          <w:p w:rsidR="00240ED0" w:rsidRPr="003A41D5" w:rsidRDefault="00240ED0" w:rsidP="00240ED0">
            <w:pPr>
              <w:jc w:val="center"/>
              <w:rPr>
                <w:b/>
                <w:bCs/>
                <w:color w:val="000000"/>
                <w:sz w:val="20"/>
              </w:rPr>
            </w:pPr>
            <w:r w:rsidRPr="003A41D5">
              <w:rPr>
                <w:b/>
                <w:bCs/>
                <w:color w:val="000000"/>
                <w:sz w:val="20"/>
              </w:rPr>
              <w:t>Total Annual Responses</w:t>
            </w:r>
          </w:p>
        </w:tc>
        <w:tc>
          <w:tcPr>
            <w:tcW w:w="1499" w:type="dxa"/>
            <w:hideMark/>
          </w:tcPr>
          <w:p w:rsidR="00240ED0" w:rsidRPr="003A41D5" w:rsidRDefault="00240ED0" w:rsidP="00240ED0">
            <w:pPr>
              <w:jc w:val="center"/>
              <w:rPr>
                <w:b/>
                <w:bCs/>
                <w:color w:val="000000"/>
                <w:sz w:val="20"/>
              </w:rPr>
            </w:pPr>
            <w:r w:rsidRPr="003A41D5">
              <w:rPr>
                <w:b/>
                <w:bCs/>
                <w:color w:val="000000"/>
                <w:sz w:val="20"/>
              </w:rPr>
              <w:t>Average Burden per Response (in Hours)</w:t>
            </w:r>
          </w:p>
        </w:tc>
        <w:tc>
          <w:tcPr>
            <w:tcW w:w="1500" w:type="dxa"/>
            <w:hideMark/>
          </w:tcPr>
          <w:p w:rsidR="00240ED0" w:rsidRPr="003A41D5" w:rsidRDefault="00240ED0" w:rsidP="00240ED0">
            <w:pPr>
              <w:jc w:val="center"/>
              <w:rPr>
                <w:b/>
                <w:bCs/>
                <w:color w:val="000000"/>
                <w:sz w:val="20"/>
              </w:rPr>
            </w:pPr>
            <w:r w:rsidRPr="003A41D5">
              <w:rPr>
                <w:b/>
                <w:bCs/>
                <w:color w:val="000000"/>
                <w:sz w:val="20"/>
              </w:rPr>
              <w:t>Total Hours</w:t>
            </w:r>
          </w:p>
        </w:tc>
      </w:tr>
      <w:tr w:rsidR="00240ED0" w:rsidRPr="00BE333A" w:rsidTr="00240ED0">
        <w:trPr>
          <w:trHeight w:val="155"/>
        </w:trPr>
        <w:tc>
          <w:tcPr>
            <w:tcW w:w="8997" w:type="dxa"/>
            <w:gridSpan w:val="6"/>
            <w:noWrap/>
            <w:hideMark/>
          </w:tcPr>
          <w:p w:rsidR="00240ED0" w:rsidRPr="003A41D5" w:rsidRDefault="00240ED0" w:rsidP="00240ED0">
            <w:pPr>
              <w:jc w:val="center"/>
              <w:rPr>
                <w:b/>
                <w:bCs/>
                <w:color w:val="000000"/>
              </w:rPr>
            </w:pPr>
            <w:r w:rsidRPr="003A41D5">
              <w:rPr>
                <w:b/>
                <w:bCs/>
                <w:color w:val="000000"/>
              </w:rPr>
              <w:t>Formative Research (Phase 1)</w:t>
            </w:r>
          </w:p>
        </w:tc>
      </w:tr>
      <w:tr w:rsidR="00240ED0" w:rsidRPr="00BE333A" w:rsidTr="00240ED0">
        <w:trPr>
          <w:trHeight w:val="632"/>
        </w:trPr>
        <w:tc>
          <w:tcPr>
            <w:tcW w:w="1499" w:type="dxa"/>
            <w:hideMark/>
          </w:tcPr>
          <w:p w:rsidR="00240ED0" w:rsidRPr="003A41D5" w:rsidRDefault="00240ED0" w:rsidP="00240ED0">
            <w:pPr>
              <w:rPr>
                <w:color w:val="000000"/>
              </w:rPr>
            </w:pPr>
            <w:r w:rsidRPr="003A41D5">
              <w:rPr>
                <w:color w:val="000000"/>
              </w:rPr>
              <w:t xml:space="preserve">Number to complete the screener </w:t>
            </w:r>
          </w:p>
        </w:tc>
        <w:tc>
          <w:tcPr>
            <w:tcW w:w="1500" w:type="dxa"/>
            <w:hideMark/>
          </w:tcPr>
          <w:p w:rsidR="00240ED0" w:rsidRPr="003A41D5" w:rsidRDefault="00240ED0" w:rsidP="00240ED0">
            <w:pPr>
              <w:jc w:val="center"/>
              <w:rPr>
                <w:color w:val="000000"/>
                <w:sz w:val="20"/>
              </w:rPr>
            </w:pPr>
            <w:r w:rsidRPr="003A41D5">
              <w:rPr>
                <w:color w:val="000000"/>
                <w:sz w:val="20"/>
              </w:rPr>
              <w:t>180</w:t>
            </w:r>
          </w:p>
        </w:tc>
        <w:tc>
          <w:tcPr>
            <w:tcW w:w="1499" w:type="dxa"/>
            <w:hideMark/>
          </w:tcPr>
          <w:p w:rsidR="00240ED0" w:rsidRPr="003A41D5" w:rsidRDefault="00240ED0" w:rsidP="00240ED0">
            <w:pPr>
              <w:jc w:val="center"/>
              <w:rPr>
                <w:color w:val="000000"/>
                <w:sz w:val="20"/>
              </w:rPr>
            </w:pPr>
            <w:r w:rsidRPr="003A41D5">
              <w:rPr>
                <w:color w:val="000000"/>
                <w:sz w:val="20"/>
              </w:rPr>
              <w:t>1</w:t>
            </w:r>
          </w:p>
        </w:tc>
        <w:tc>
          <w:tcPr>
            <w:tcW w:w="1500" w:type="dxa"/>
            <w:hideMark/>
          </w:tcPr>
          <w:p w:rsidR="00240ED0" w:rsidRPr="003A41D5" w:rsidRDefault="00240ED0" w:rsidP="00240ED0">
            <w:pPr>
              <w:jc w:val="center"/>
              <w:rPr>
                <w:color w:val="000000"/>
                <w:sz w:val="20"/>
              </w:rPr>
            </w:pPr>
            <w:r w:rsidRPr="003A41D5">
              <w:rPr>
                <w:color w:val="000000"/>
                <w:sz w:val="20"/>
              </w:rPr>
              <w:t>180</w:t>
            </w:r>
          </w:p>
        </w:tc>
        <w:tc>
          <w:tcPr>
            <w:tcW w:w="1499" w:type="dxa"/>
            <w:hideMark/>
          </w:tcPr>
          <w:p w:rsidR="00240ED0" w:rsidRPr="003A41D5" w:rsidRDefault="00240ED0" w:rsidP="00240ED0">
            <w:pPr>
              <w:jc w:val="center"/>
              <w:rPr>
                <w:color w:val="000000"/>
                <w:sz w:val="20"/>
              </w:rPr>
            </w:pPr>
            <w:r w:rsidRPr="003A41D5">
              <w:rPr>
                <w:color w:val="000000"/>
                <w:sz w:val="20"/>
              </w:rPr>
              <w:t xml:space="preserve">0.03 </w:t>
            </w:r>
          </w:p>
          <w:p w:rsidR="00240ED0" w:rsidRPr="003A41D5" w:rsidRDefault="00240ED0" w:rsidP="00240ED0">
            <w:pPr>
              <w:jc w:val="center"/>
              <w:rPr>
                <w:color w:val="000000"/>
                <w:sz w:val="20"/>
              </w:rPr>
            </w:pPr>
            <w:r w:rsidRPr="003A41D5">
              <w:rPr>
                <w:color w:val="000000"/>
                <w:sz w:val="20"/>
              </w:rPr>
              <w:t>(2 minutes)</w:t>
            </w:r>
          </w:p>
        </w:tc>
        <w:tc>
          <w:tcPr>
            <w:tcW w:w="1500" w:type="dxa"/>
            <w:hideMark/>
          </w:tcPr>
          <w:p w:rsidR="00240ED0" w:rsidRPr="003A41D5" w:rsidRDefault="00240ED0" w:rsidP="00240ED0">
            <w:pPr>
              <w:jc w:val="center"/>
              <w:rPr>
                <w:color w:val="000000"/>
                <w:sz w:val="20"/>
              </w:rPr>
            </w:pPr>
            <w:r w:rsidRPr="003A41D5">
              <w:rPr>
                <w:color w:val="000000"/>
                <w:sz w:val="20"/>
              </w:rPr>
              <w:t>5.4</w:t>
            </w:r>
          </w:p>
        </w:tc>
      </w:tr>
      <w:tr w:rsidR="00240ED0" w:rsidRPr="00BE333A" w:rsidTr="00240ED0">
        <w:trPr>
          <w:trHeight w:val="374"/>
        </w:trPr>
        <w:tc>
          <w:tcPr>
            <w:tcW w:w="1499" w:type="dxa"/>
            <w:hideMark/>
          </w:tcPr>
          <w:p w:rsidR="00240ED0" w:rsidRPr="003A41D5" w:rsidRDefault="00240ED0" w:rsidP="00240ED0">
            <w:pPr>
              <w:rPr>
                <w:color w:val="000000"/>
              </w:rPr>
            </w:pPr>
            <w:r w:rsidRPr="003A41D5">
              <w:rPr>
                <w:color w:val="000000"/>
              </w:rPr>
              <w:t>Number of completes</w:t>
            </w:r>
          </w:p>
        </w:tc>
        <w:tc>
          <w:tcPr>
            <w:tcW w:w="1500" w:type="dxa"/>
            <w:hideMark/>
          </w:tcPr>
          <w:p w:rsidR="00240ED0" w:rsidRPr="003A41D5" w:rsidRDefault="00240ED0" w:rsidP="00240ED0">
            <w:pPr>
              <w:jc w:val="center"/>
              <w:rPr>
                <w:color w:val="000000"/>
                <w:sz w:val="20"/>
              </w:rPr>
            </w:pPr>
            <w:r w:rsidRPr="003A41D5">
              <w:rPr>
                <w:color w:val="000000"/>
                <w:sz w:val="20"/>
              </w:rPr>
              <w:t>48</w:t>
            </w:r>
          </w:p>
        </w:tc>
        <w:tc>
          <w:tcPr>
            <w:tcW w:w="1499" w:type="dxa"/>
            <w:hideMark/>
          </w:tcPr>
          <w:p w:rsidR="00240ED0" w:rsidRPr="003A41D5" w:rsidRDefault="00240ED0" w:rsidP="00240ED0">
            <w:pPr>
              <w:jc w:val="center"/>
              <w:rPr>
                <w:color w:val="000000"/>
                <w:sz w:val="20"/>
              </w:rPr>
            </w:pPr>
            <w:r w:rsidRPr="003A41D5">
              <w:rPr>
                <w:color w:val="000000"/>
                <w:sz w:val="20"/>
              </w:rPr>
              <w:t>1</w:t>
            </w:r>
          </w:p>
        </w:tc>
        <w:tc>
          <w:tcPr>
            <w:tcW w:w="1500" w:type="dxa"/>
            <w:hideMark/>
          </w:tcPr>
          <w:p w:rsidR="00240ED0" w:rsidRPr="003A41D5" w:rsidRDefault="00240ED0" w:rsidP="00240ED0">
            <w:pPr>
              <w:jc w:val="center"/>
              <w:rPr>
                <w:color w:val="000000"/>
                <w:sz w:val="20"/>
              </w:rPr>
            </w:pPr>
            <w:r w:rsidRPr="003A41D5">
              <w:rPr>
                <w:color w:val="000000"/>
                <w:sz w:val="20"/>
              </w:rPr>
              <w:t>48</w:t>
            </w:r>
          </w:p>
        </w:tc>
        <w:tc>
          <w:tcPr>
            <w:tcW w:w="1499" w:type="dxa"/>
            <w:hideMark/>
          </w:tcPr>
          <w:p w:rsidR="00240ED0" w:rsidRPr="003A41D5" w:rsidRDefault="00240ED0" w:rsidP="00240ED0">
            <w:pPr>
              <w:jc w:val="center"/>
              <w:rPr>
                <w:color w:val="000000"/>
                <w:sz w:val="20"/>
              </w:rPr>
            </w:pPr>
            <w:r w:rsidRPr="003A41D5">
              <w:rPr>
                <w:color w:val="000000"/>
                <w:sz w:val="20"/>
              </w:rPr>
              <w:t>1.5</w:t>
            </w:r>
          </w:p>
        </w:tc>
        <w:tc>
          <w:tcPr>
            <w:tcW w:w="1500" w:type="dxa"/>
            <w:hideMark/>
          </w:tcPr>
          <w:p w:rsidR="00240ED0" w:rsidRPr="003A41D5" w:rsidRDefault="00240ED0" w:rsidP="00240ED0">
            <w:pPr>
              <w:jc w:val="center"/>
              <w:rPr>
                <w:color w:val="000000"/>
                <w:sz w:val="20"/>
              </w:rPr>
            </w:pPr>
            <w:r w:rsidRPr="003A41D5">
              <w:rPr>
                <w:color w:val="000000"/>
                <w:sz w:val="20"/>
              </w:rPr>
              <w:t>72</w:t>
            </w:r>
          </w:p>
        </w:tc>
      </w:tr>
      <w:tr w:rsidR="00240ED0" w:rsidRPr="00BE333A" w:rsidTr="00240ED0">
        <w:trPr>
          <w:trHeight w:val="166"/>
        </w:trPr>
        <w:tc>
          <w:tcPr>
            <w:tcW w:w="8997" w:type="dxa"/>
            <w:gridSpan w:val="6"/>
            <w:hideMark/>
          </w:tcPr>
          <w:p w:rsidR="00240ED0" w:rsidRPr="003A41D5" w:rsidRDefault="00240ED0" w:rsidP="00240ED0">
            <w:pPr>
              <w:jc w:val="center"/>
              <w:rPr>
                <w:b/>
                <w:bCs/>
                <w:color w:val="000000"/>
              </w:rPr>
            </w:pPr>
            <w:r w:rsidRPr="003A41D5">
              <w:rPr>
                <w:b/>
                <w:bCs/>
                <w:color w:val="000000"/>
              </w:rPr>
              <w:t>Stimuli Testing (Phase 2)</w:t>
            </w:r>
          </w:p>
        </w:tc>
      </w:tr>
      <w:tr w:rsidR="00240ED0" w:rsidRPr="00BE333A" w:rsidTr="00240ED0">
        <w:trPr>
          <w:trHeight w:val="594"/>
        </w:trPr>
        <w:tc>
          <w:tcPr>
            <w:tcW w:w="1499" w:type="dxa"/>
            <w:hideMark/>
          </w:tcPr>
          <w:p w:rsidR="00240ED0" w:rsidRPr="003A41D5" w:rsidRDefault="00240ED0" w:rsidP="00240ED0">
            <w:pPr>
              <w:rPr>
                <w:color w:val="000000"/>
              </w:rPr>
            </w:pPr>
            <w:r w:rsidRPr="003A41D5">
              <w:rPr>
                <w:color w:val="000000"/>
              </w:rPr>
              <w:t xml:space="preserve">Number to complete the screener </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180</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180</w:t>
            </w:r>
          </w:p>
        </w:tc>
        <w:tc>
          <w:tcPr>
            <w:tcW w:w="1499" w:type="dxa"/>
            <w:hideMark/>
          </w:tcPr>
          <w:p w:rsidR="00240ED0" w:rsidRPr="003A41D5" w:rsidRDefault="00240ED0" w:rsidP="00240ED0">
            <w:pPr>
              <w:jc w:val="center"/>
              <w:rPr>
                <w:rFonts w:eastAsia="Calibri"/>
                <w:color w:val="000000"/>
                <w:sz w:val="20"/>
              </w:rPr>
            </w:pPr>
            <w:r w:rsidRPr="003A41D5">
              <w:rPr>
                <w:rFonts w:eastAsia="Calibri"/>
                <w:color w:val="000000"/>
                <w:sz w:val="20"/>
              </w:rPr>
              <w:t>0.03</w:t>
            </w:r>
          </w:p>
          <w:p w:rsidR="00240ED0" w:rsidRPr="003A41D5" w:rsidRDefault="00240ED0" w:rsidP="00240ED0">
            <w:pPr>
              <w:jc w:val="center"/>
              <w:rPr>
                <w:color w:val="000000"/>
                <w:sz w:val="20"/>
              </w:rPr>
            </w:pPr>
            <w:r w:rsidRPr="003A41D5">
              <w:rPr>
                <w:rFonts w:eastAsia="Calibri"/>
                <w:color w:val="000000"/>
                <w:sz w:val="20"/>
              </w:rPr>
              <w:t>(2 minutes)</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5.4</w:t>
            </w:r>
          </w:p>
        </w:tc>
      </w:tr>
      <w:tr w:rsidR="00240ED0" w:rsidRPr="00BE333A" w:rsidTr="00240ED0">
        <w:trPr>
          <w:trHeight w:val="374"/>
        </w:trPr>
        <w:tc>
          <w:tcPr>
            <w:tcW w:w="1499" w:type="dxa"/>
            <w:hideMark/>
          </w:tcPr>
          <w:p w:rsidR="00240ED0" w:rsidRPr="003A41D5" w:rsidRDefault="00240ED0" w:rsidP="00240ED0">
            <w:pPr>
              <w:rPr>
                <w:color w:val="000000"/>
              </w:rPr>
            </w:pPr>
            <w:r w:rsidRPr="003A41D5">
              <w:rPr>
                <w:color w:val="000000"/>
              </w:rPr>
              <w:t>Number of completes</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48</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48</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1.5</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72</w:t>
            </w:r>
          </w:p>
        </w:tc>
      </w:tr>
      <w:tr w:rsidR="00240ED0" w:rsidRPr="00BE333A" w:rsidTr="00240ED0">
        <w:trPr>
          <w:trHeight w:val="212"/>
        </w:trPr>
        <w:tc>
          <w:tcPr>
            <w:tcW w:w="8997" w:type="dxa"/>
            <w:gridSpan w:val="6"/>
            <w:hideMark/>
          </w:tcPr>
          <w:p w:rsidR="00240ED0" w:rsidRPr="003A41D5" w:rsidRDefault="00240ED0" w:rsidP="00240ED0">
            <w:pPr>
              <w:jc w:val="center"/>
              <w:rPr>
                <w:b/>
                <w:bCs/>
                <w:color w:val="000000"/>
              </w:rPr>
            </w:pPr>
            <w:r w:rsidRPr="003A41D5">
              <w:rPr>
                <w:b/>
                <w:bCs/>
                <w:color w:val="000000"/>
              </w:rPr>
              <w:t>Stimuli Testing – Dyads (Phase 2)</w:t>
            </w:r>
          </w:p>
        </w:tc>
      </w:tr>
      <w:tr w:rsidR="00240ED0" w:rsidRPr="00BE333A" w:rsidTr="00240ED0">
        <w:trPr>
          <w:trHeight w:val="546"/>
        </w:trPr>
        <w:tc>
          <w:tcPr>
            <w:tcW w:w="1499" w:type="dxa"/>
            <w:hideMark/>
          </w:tcPr>
          <w:p w:rsidR="00240ED0" w:rsidRPr="003A41D5" w:rsidRDefault="00240ED0" w:rsidP="00240ED0">
            <w:pPr>
              <w:rPr>
                <w:color w:val="000000"/>
              </w:rPr>
            </w:pPr>
            <w:r w:rsidRPr="003A41D5">
              <w:rPr>
                <w:color w:val="000000"/>
              </w:rPr>
              <w:t xml:space="preserve">Number to complete the screener </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180</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180</w:t>
            </w:r>
          </w:p>
        </w:tc>
        <w:tc>
          <w:tcPr>
            <w:tcW w:w="1499" w:type="dxa"/>
            <w:hideMark/>
          </w:tcPr>
          <w:p w:rsidR="00240ED0" w:rsidRPr="003A41D5" w:rsidRDefault="00240ED0" w:rsidP="00240ED0">
            <w:pPr>
              <w:jc w:val="center"/>
              <w:rPr>
                <w:rFonts w:eastAsia="Calibri"/>
                <w:color w:val="000000"/>
                <w:sz w:val="20"/>
              </w:rPr>
            </w:pPr>
            <w:r w:rsidRPr="003A41D5">
              <w:rPr>
                <w:rFonts w:eastAsia="Calibri"/>
                <w:color w:val="000000"/>
                <w:sz w:val="20"/>
              </w:rPr>
              <w:t>0.08</w:t>
            </w:r>
          </w:p>
          <w:p w:rsidR="00240ED0" w:rsidRPr="003A41D5" w:rsidRDefault="00240ED0" w:rsidP="00240ED0">
            <w:pPr>
              <w:jc w:val="center"/>
              <w:rPr>
                <w:color w:val="000000"/>
                <w:sz w:val="20"/>
              </w:rPr>
            </w:pPr>
            <w:r w:rsidRPr="003A41D5">
              <w:rPr>
                <w:rFonts w:eastAsia="Calibri"/>
                <w:color w:val="000000"/>
                <w:sz w:val="20"/>
              </w:rPr>
              <w:t>(5 minutes)</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14.4</w:t>
            </w:r>
          </w:p>
        </w:tc>
      </w:tr>
      <w:tr w:rsidR="00240ED0" w:rsidRPr="00BE333A" w:rsidTr="00240ED0">
        <w:trPr>
          <w:trHeight w:val="374"/>
        </w:trPr>
        <w:tc>
          <w:tcPr>
            <w:tcW w:w="1499" w:type="dxa"/>
            <w:hideMark/>
          </w:tcPr>
          <w:p w:rsidR="00240ED0" w:rsidRPr="003A41D5" w:rsidRDefault="00240ED0" w:rsidP="00240ED0">
            <w:pPr>
              <w:rPr>
                <w:color w:val="000000"/>
              </w:rPr>
            </w:pPr>
            <w:r w:rsidRPr="003A41D5">
              <w:rPr>
                <w:color w:val="000000"/>
              </w:rPr>
              <w:t>Number of completes</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28</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28</w:t>
            </w:r>
          </w:p>
        </w:tc>
        <w:tc>
          <w:tcPr>
            <w:tcW w:w="1499" w:type="dxa"/>
            <w:hideMark/>
          </w:tcPr>
          <w:p w:rsidR="00240ED0" w:rsidRPr="003A41D5" w:rsidRDefault="00240ED0" w:rsidP="00240ED0">
            <w:pPr>
              <w:jc w:val="center"/>
              <w:rPr>
                <w:color w:val="000000"/>
                <w:sz w:val="20"/>
              </w:rPr>
            </w:pPr>
            <w:r w:rsidRPr="003A41D5">
              <w:rPr>
                <w:rFonts w:eastAsia="Calibri"/>
                <w:color w:val="000000"/>
                <w:sz w:val="20"/>
              </w:rPr>
              <w:t>1.5</w:t>
            </w:r>
          </w:p>
        </w:tc>
        <w:tc>
          <w:tcPr>
            <w:tcW w:w="1500" w:type="dxa"/>
            <w:hideMark/>
          </w:tcPr>
          <w:p w:rsidR="00240ED0" w:rsidRPr="003A41D5" w:rsidRDefault="00240ED0" w:rsidP="00240ED0">
            <w:pPr>
              <w:jc w:val="center"/>
              <w:rPr>
                <w:color w:val="000000"/>
                <w:sz w:val="20"/>
              </w:rPr>
            </w:pPr>
            <w:r w:rsidRPr="003A41D5">
              <w:rPr>
                <w:rFonts w:eastAsia="Calibri"/>
                <w:color w:val="000000"/>
                <w:sz w:val="20"/>
              </w:rPr>
              <w:t>42</w:t>
            </w:r>
          </w:p>
        </w:tc>
      </w:tr>
      <w:tr w:rsidR="00240ED0" w:rsidRPr="00BE333A" w:rsidTr="00240ED0">
        <w:trPr>
          <w:trHeight w:val="212"/>
        </w:trPr>
        <w:tc>
          <w:tcPr>
            <w:tcW w:w="8997" w:type="dxa"/>
            <w:gridSpan w:val="6"/>
            <w:hideMark/>
          </w:tcPr>
          <w:p w:rsidR="00240ED0" w:rsidRPr="003A41D5" w:rsidRDefault="00240ED0" w:rsidP="00240ED0">
            <w:pPr>
              <w:rPr>
                <w:b/>
                <w:bCs/>
                <w:color w:val="000000"/>
              </w:rPr>
            </w:pPr>
            <w:r w:rsidRPr="003A41D5">
              <w:rPr>
                <w:b/>
                <w:bCs/>
                <w:color w:val="000000"/>
              </w:rPr>
              <w:t xml:space="preserve">TOTAL HOURS                                                                                                                                                               </w:t>
            </w:r>
            <w:r>
              <w:rPr>
                <w:b/>
                <w:bCs/>
                <w:color w:val="000000"/>
              </w:rPr>
              <w:t>211.2</w:t>
            </w:r>
          </w:p>
        </w:tc>
      </w:tr>
    </w:tbl>
    <w:p w:rsidR="00240ED0" w:rsidRDefault="00240ED0" w:rsidP="00240ED0"/>
    <w:p w:rsidR="00240ED0" w:rsidRPr="003A41D5" w:rsidRDefault="00240ED0" w:rsidP="00240ED0">
      <w:pPr>
        <w:rPr>
          <w:vertAlign w:val="superscript"/>
        </w:rPr>
      </w:pPr>
      <w:r w:rsidRPr="003A41D5">
        <w:rPr>
          <w:vertAlign w:val="superscript"/>
        </w:rPr>
        <w:t>1</w:t>
      </w:r>
      <w:r w:rsidRPr="003A41D5">
        <w:t xml:space="preserve"> There are no capital costs or operating and maintenance costs associated with this collection of information.</w:t>
      </w:r>
    </w:p>
    <w:p w:rsidR="00240ED0" w:rsidRPr="003A41D5" w:rsidRDefault="00240ED0" w:rsidP="00240ED0"/>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Default="00325A8C" w:rsidP="00962AC4">
      <w:pPr>
        <w:pStyle w:val="ListParagraph"/>
        <w:ind w:left="0"/>
      </w:pPr>
    </w:p>
    <w:p w:rsidR="00325A8C" w:rsidRPr="003A41D5" w:rsidRDefault="00325A8C" w:rsidP="00325A8C">
      <w:pPr>
        <w:contextualSpacing/>
        <w:rPr>
          <w:b/>
        </w:rPr>
      </w:pPr>
    </w:p>
    <w:p w:rsidR="00962AC4" w:rsidRDefault="00962AC4">
      <w:pPr>
        <w:rPr>
          <w:b/>
        </w:rPr>
      </w:pPr>
    </w:p>
    <w:p w:rsidR="00240ED0" w:rsidRDefault="00240ED0">
      <w:pPr>
        <w:rPr>
          <w:b/>
        </w:rPr>
      </w:pPr>
    </w:p>
    <w:p w:rsidR="00093646" w:rsidRDefault="00093646">
      <w:pPr>
        <w:rPr>
          <w:b/>
        </w:rPr>
      </w:pPr>
    </w:p>
    <w:p w:rsidR="003F1C7A" w:rsidRDefault="003F1C7A">
      <w:r w:rsidRPr="00B57E8B">
        <w:rPr>
          <w:b/>
        </w:rPr>
        <w:lastRenderedPageBreak/>
        <w:t xml:space="preserve">REQUESTED APPROVAL DATE:  </w:t>
      </w:r>
      <w:r w:rsidR="00DA51FF">
        <w:t xml:space="preserve">October </w:t>
      </w:r>
      <w:r w:rsidR="00093646" w:rsidRPr="00093646">
        <w:t>1</w:t>
      </w:r>
      <w:r w:rsidR="008B6016" w:rsidRPr="00093646">
        <w:t>,</w:t>
      </w:r>
      <w:bookmarkStart w:id="0" w:name="_GoBack"/>
      <w:bookmarkEnd w:id="0"/>
      <w:r w:rsidR="008B6016" w:rsidRPr="00093646">
        <w:t xml:space="preserve"> 201</w:t>
      </w:r>
      <w:r w:rsidR="00E64811" w:rsidRPr="00093646">
        <w:t>4</w:t>
      </w:r>
    </w:p>
    <w:p w:rsidR="008D2C78" w:rsidRPr="00B57E8B" w:rsidRDefault="008D2C78">
      <w:pPr>
        <w:rPr>
          <w:b/>
        </w:rPr>
      </w:pPr>
    </w:p>
    <w:p w:rsidR="00140A0D" w:rsidRDefault="00140A0D" w:rsidP="00140A0D">
      <w:pPr>
        <w:rPr>
          <w:b/>
        </w:rPr>
      </w:pPr>
      <w:r w:rsidRPr="00B57E8B">
        <w:rPr>
          <w:b/>
        </w:rPr>
        <w:t xml:space="preserve">NAME OF PRA ANALYST &amp; PROGRAM CONTACT:  </w:t>
      </w:r>
    </w:p>
    <w:p w:rsidR="00BB0FB0" w:rsidRDefault="00BB0FB0" w:rsidP="00140A0D">
      <w:pPr>
        <w:rPr>
          <w:b/>
        </w:rPr>
      </w:pPr>
    </w:p>
    <w:p w:rsidR="00000CD7" w:rsidRPr="003035B8" w:rsidRDefault="008D68DE" w:rsidP="00140A0D">
      <w:r>
        <w:t xml:space="preserve">Ila </w:t>
      </w:r>
      <w:r w:rsidR="008B6016">
        <w:t xml:space="preserve">S. </w:t>
      </w:r>
      <w:r>
        <w:t>Mizrachi</w:t>
      </w:r>
    </w:p>
    <w:p w:rsidR="00000CD7" w:rsidRPr="003035B8" w:rsidRDefault="00000CD7" w:rsidP="00140A0D">
      <w:r w:rsidRPr="003035B8">
        <w:t>Paperwork Reduction Act Staff</w:t>
      </w:r>
    </w:p>
    <w:p w:rsidR="00000CD7" w:rsidRPr="003035B8" w:rsidRDefault="00DA51FF" w:rsidP="00140A0D">
      <w:hyperlink r:id="rId8" w:history="1">
        <w:r w:rsidR="008D68DE" w:rsidRPr="00D04B1A">
          <w:rPr>
            <w:rStyle w:val="Hyperlink"/>
          </w:rPr>
          <w:t>Ila.Mizrachi@fda.hhs.gov</w:t>
        </w:r>
      </w:hyperlink>
    </w:p>
    <w:p w:rsidR="00000CD7" w:rsidRPr="003035B8" w:rsidRDefault="0034685C" w:rsidP="00140A0D">
      <w:r w:rsidRPr="003035B8">
        <w:t>(301)796-</w:t>
      </w:r>
      <w:r w:rsidR="008D68DE">
        <w:t>7726</w:t>
      </w:r>
    </w:p>
    <w:p w:rsidR="00000CD7" w:rsidRPr="003035B8" w:rsidRDefault="00000CD7" w:rsidP="00140A0D"/>
    <w:p w:rsidR="00E64811" w:rsidRPr="00E64811" w:rsidRDefault="00E64811" w:rsidP="00E64811">
      <w:pPr>
        <w:rPr>
          <w:rFonts w:eastAsia="Calibri"/>
        </w:rPr>
      </w:pPr>
      <w:r w:rsidRPr="00E64811">
        <w:rPr>
          <w:rFonts w:eastAsia="Calibri"/>
        </w:rPr>
        <w:t>Kevin R. Betts, Ph.D.</w:t>
      </w:r>
    </w:p>
    <w:p w:rsidR="00E64811" w:rsidRPr="00E64811" w:rsidRDefault="00E64811" w:rsidP="00E64811">
      <w:pPr>
        <w:rPr>
          <w:rFonts w:eastAsia="Calibri"/>
        </w:rPr>
      </w:pPr>
      <w:r w:rsidRPr="00E64811">
        <w:rPr>
          <w:rFonts w:eastAsia="Calibri"/>
        </w:rPr>
        <w:t>Psychologist</w:t>
      </w:r>
    </w:p>
    <w:p w:rsidR="00E64811" w:rsidRPr="00E64811" w:rsidRDefault="00E64811" w:rsidP="00E64811">
      <w:pPr>
        <w:rPr>
          <w:rFonts w:eastAsia="Calibri"/>
        </w:rPr>
      </w:pPr>
      <w:r w:rsidRPr="00E64811">
        <w:rPr>
          <w:rFonts w:eastAsia="Calibri"/>
        </w:rPr>
        <w:t>U.S. Food and Drug Administration</w:t>
      </w:r>
    </w:p>
    <w:p w:rsidR="00E64811" w:rsidRPr="00E64811" w:rsidRDefault="00E64811" w:rsidP="00E64811">
      <w:pPr>
        <w:rPr>
          <w:rFonts w:eastAsia="Calibri"/>
        </w:rPr>
      </w:pPr>
      <w:r w:rsidRPr="00E64811">
        <w:rPr>
          <w:rFonts w:eastAsia="Calibri"/>
        </w:rPr>
        <w:t>Office of Prescription Drug Promotion</w:t>
      </w:r>
    </w:p>
    <w:p w:rsidR="00E64811" w:rsidRPr="00E64811" w:rsidRDefault="00E64811" w:rsidP="00E64811">
      <w:pPr>
        <w:autoSpaceDE w:val="0"/>
        <w:autoSpaceDN w:val="0"/>
        <w:rPr>
          <w:rFonts w:eastAsia="Calibri"/>
        </w:rPr>
      </w:pPr>
      <w:r w:rsidRPr="00E64811">
        <w:rPr>
          <w:rFonts w:eastAsia="Calibri"/>
        </w:rPr>
        <w:t xml:space="preserve">10903 New Hampshire Avenue </w:t>
      </w:r>
    </w:p>
    <w:p w:rsidR="00E64811" w:rsidRPr="00E64811" w:rsidRDefault="00E64811" w:rsidP="00E64811">
      <w:pPr>
        <w:autoSpaceDE w:val="0"/>
        <w:autoSpaceDN w:val="0"/>
        <w:rPr>
          <w:rFonts w:eastAsia="Calibri"/>
        </w:rPr>
      </w:pPr>
      <w:r w:rsidRPr="00E64811">
        <w:rPr>
          <w:rFonts w:eastAsia="Calibri"/>
        </w:rPr>
        <w:t>Building 51, Room 3220</w:t>
      </w:r>
    </w:p>
    <w:p w:rsidR="00E64811" w:rsidRPr="00E64811" w:rsidRDefault="00E64811" w:rsidP="00E64811">
      <w:pPr>
        <w:autoSpaceDE w:val="0"/>
        <w:autoSpaceDN w:val="0"/>
        <w:rPr>
          <w:rFonts w:eastAsia="Calibri"/>
        </w:rPr>
      </w:pPr>
      <w:r w:rsidRPr="00E64811">
        <w:rPr>
          <w:rFonts w:eastAsia="Calibri"/>
        </w:rPr>
        <w:t>Silver Spring, MD 20993</w:t>
      </w:r>
    </w:p>
    <w:p w:rsidR="00E64811" w:rsidRPr="00E64811" w:rsidRDefault="00E64811" w:rsidP="00E64811">
      <w:pPr>
        <w:rPr>
          <w:rFonts w:eastAsia="Calibri"/>
        </w:rPr>
      </w:pPr>
      <w:r w:rsidRPr="00E64811">
        <w:rPr>
          <w:rFonts w:eastAsia="Calibri"/>
        </w:rPr>
        <w:t xml:space="preserve">Phone: 240.402.5090 </w:t>
      </w:r>
    </w:p>
    <w:p w:rsidR="00C34AFC" w:rsidRPr="00B57E8B" w:rsidRDefault="00C34AFC" w:rsidP="00140A0D">
      <w:pPr>
        <w:tabs>
          <w:tab w:val="left" w:pos="5670"/>
        </w:tabs>
        <w:suppressAutoHyphens/>
        <w:rPr>
          <w:b/>
        </w:rPr>
      </w:pPr>
    </w:p>
    <w:p w:rsidR="003F1C7A" w:rsidRPr="00BB0FB0" w:rsidRDefault="00140A0D" w:rsidP="00140A0D">
      <w:pPr>
        <w:tabs>
          <w:tab w:val="left" w:pos="5670"/>
        </w:tabs>
        <w:suppressAutoHyphens/>
      </w:pPr>
      <w:r w:rsidRPr="00B57E8B">
        <w:rPr>
          <w:b/>
        </w:rPr>
        <w:t xml:space="preserve">FDA CENTER:  </w:t>
      </w:r>
      <w:r w:rsidR="00BB0FB0">
        <w:t xml:space="preserve">Office of </w:t>
      </w:r>
      <w:r w:rsidR="008D68DE">
        <w:t>Prescription Drug Promotion</w:t>
      </w:r>
      <w:r w:rsidR="003035B8">
        <w:t xml:space="preserve"> (Center for Drug Evaluation and Research) </w:t>
      </w:r>
    </w:p>
    <w:sectPr w:rsidR="003F1C7A" w:rsidRPr="00BB0FB0">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F7" w:rsidRDefault="00416DF7">
      <w:r>
        <w:separator/>
      </w:r>
    </w:p>
  </w:endnote>
  <w:endnote w:type="continuationSeparator" w:id="0">
    <w:p w:rsidR="00416DF7" w:rsidRDefault="0041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8C" w:rsidRDefault="00C32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51FF">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F7" w:rsidRDefault="00416DF7">
      <w:r>
        <w:separator/>
      </w:r>
    </w:p>
  </w:footnote>
  <w:footnote w:type="continuationSeparator" w:id="0">
    <w:p w:rsidR="00416DF7" w:rsidRDefault="00416DF7">
      <w:r>
        <w:continuationSeparator/>
      </w:r>
    </w:p>
  </w:footnote>
  <w:footnote w:id="1">
    <w:p w:rsidR="00EB6BA5" w:rsidRPr="00791488" w:rsidRDefault="00EB6BA5" w:rsidP="00EB6BA5">
      <w:pPr>
        <w:ind w:left="720" w:hanging="720"/>
        <w:rPr>
          <w:sz w:val="20"/>
          <w:szCs w:val="20"/>
        </w:rPr>
      </w:pPr>
      <w:r w:rsidRPr="000E687D">
        <w:rPr>
          <w:rStyle w:val="FootnoteReference"/>
          <w:sz w:val="20"/>
          <w:szCs w:val="20"/>
        </w:rPr>
        <w:footnoteRef/>
      </w:r>
      <w:r w:rsidRPr="000E687D">
        <w:rPr>
          <w:sz w:val="20"/>
          <w:szCs w:val="20"/>
        </w:rPr>
        <w:t xml:space="preserve"> </w:t>
      </w:r>
      <w:r w:rsidRPr="00791488">
        <w:rPr>
          <w:sz w:val="20"/>
          <w:szCs w:val="20"/>
        </w:rPr>
        <w:t xml:space="preserve">Castiglioni, L., &amp; Pforr, K. (2007). The effect of incentives in </w:t>
      </w:r>
      <w:r>
        <w:rPr>
          <w:sz w:val="20"/>
          <w:szCs w:val="20"/>
        </w:rPr>
        <w:t>reducing non-response bias in a</w:t>
      </w:r>
      <w:r w:rsidRPr="00791488">
        <w:rPr>
          <w:sz w:val="20"/>
          <w:szCs w:val="20"/>
        </w:rPr>
        <w:t xml:space="preserve"> multi-actor survey. </w:t>
      </w:r>
      <w:r w:rsidRPr="00791488">
        <w:rPr>
          <w:i/>
          <w:iCs/>
          <w:sz w:val="20"/>
          <w:szCs w:val="20"/>
        </w:rPr>
        <w:t>Presented at the 2</w:t>
      </w:r>
      <w:r w:rsidRPr="00791488">
        <w:rPr>
          <w:i/>
          <w:iCs/>
          <w:sz w:val="20"/>
          <w:szCs w:val="20"/>
          <w:vertAlign w:val="superscript"/>
        </w:rPr>
        <w:t>nd</w:t>
      </w:r>
      <w:r w:rsidRPr="00791488">
        <w:rPr>
          <w:i/>
          <w:iCs/>
          <w:sz w:val="20"/>
          <w:szCs w:val="20"/>
        </w:rPr>
        <w:t xml:space="preserve"> annual European Survey Research Association</w:t>
      </w:r>
      <w:r>
        <w:rPr>
          <w:sz w:val="20"/>
          <w:szCs w:val="20"/>
        </w:rPr>
        <w:t xml:space="preserve"> </w:t>
      </w:r>
      <w:r w:rsidRPr="00791488">
        <w:rPr>
          <w:i/>
          <w:iCs/>
          <w:sz w:val="20"/>
          <w:szCs w:val="20"/>
        </w:rPr>
        <w:t>Conference</w:t>
      </w:r>
      <w:r w:rsidRPr="00791488">
        <w:rPr>
          <w:sz w:val="20"/>
          <w:szCs w:val="20"/>
        </w:rPr>
        <w:t>, Prague, Czech Republic, June, 2007.</w:t>
      </w:r>
    </w:p>
    <w:p w:rsidR="00EB6BA5" w:rsidRDefault="00EB6BA5" w:rsidP="00EB6BA5">
      <w:pPr>
        <w:pStyle w:val="FootnoteText"/>
      </w:pPr>
    </w:p>
  </w:footnote>
  <w:footnote w:id="2">
    <w:p w:rsidR="00EB6BA5" w:rsidRPr="00791488" w:rsidRDefault="00EB6BA5" w:rsidP="00EB6BA5">
      <w:pPr>
        <w:ind w:left="720" w:hanging="720"/>
        <w:rPr>
          <w:sz w:val="20"/>
          <w:szCs w:val="20"/>
          <w:shd w:val="clear" w:color="auto" w:fill="FFFFFF"/>
        </w:rPr>
      </w:pPr>
      <w:r w:rsidRPr="000E687D">
        <w:rPr>
          <w:rStyle w:val="FootnoteReference"/>
          <w:sz w:val="20"/>
          <w:szCs w:val="20"/>
        </w:rPr>
        <w:footnoteRef/>
      </w:r>
      <w:r w:rsidRPr="000E687D">
        <w:rPr>
          <w:sz w:val="20"/>
          <w:szCs w:val="20"/>
        </w:rPr>
        <w:t xml:space="preserve"> </w:t>
      </w:r>
      <w:r w:rsidRPr="00791488">
        <w:rPr>
          <w:sz w:val="20"/>
          <w:szCs w:val="20"/>
          <w:shd w:val="clear" w:color="auto" w:fill="FFFFFF"/>
        </w:rPr>
        <w:t>Singer, E. (2002). The Use of Incentives to Reduce Nonresponse in Hous</w:t>
      </w:r>
      <w:r>
        <w:rPr>
          <w:sz w:val="20"/>
          <w:szCs w:val="20"/>
          <w:shd w:val="clear" w:color="auto" w:fill="FFFFFF"/>
        </w:rPr>
        <w:t xml:space="preserve">ehold Surveys. (R. M. </w:t>
      </w:r>
      <w:r w:rsidRPr="00791488">
        <w:rPr>
          <w:sz w:val="20"/>
          <w:szCs w:val="20"/>
          <w:shd w:val="clear" w:color="auto" w:fill="FFFFFF"/>
        </w:rPr>
        <w:t xml:space="preserve">Groves, D. A. Dillman, J. L. Eltinge, &amp; R. J. A. Little, Eds.) </w:t>
      </w:r>
      <w:r w:rsidRPr="00791488">
        <w:rPr>
          <w:i/>
          <w:iCs/>
          <w:sz w:val="20"/>
          <w:szCs w:val="20"/>
          <w:shd w:val="clear" w:color="auto" w:fill="FFFFFF"/>
        </w:rPr>
        <w:t>Survey nonresponse</w:t>
      </w:r>
      <w:r>
        <w:rPr>
          <w:sz w:val="20"/>
          <w:szCs w:val="20"/>
          <w:shd w:val="clear" w:color="auto" w:fill="FFFFFF"/>
        </w:rPr>
        <w:t>, (051), 163</w:t>
      </w:r>
      <w:r w:rsidRPr="00791488">
        <w:rPr>
          <w:sz w:val="20"/>
          <w:szCs w:val="20"/>
          <w:shd w:val="clear" w:color="auto" w:fill="FFFFFF"/>
        </w:rPr>
        <w:t xml:space="preserve">-178. University of Michigan Institute for </w:t>
      </w:r>
      <w:r>
        <w:rPr>
          <w:sz w:val="20"/>
          <w:szCs w:val="20"/>
          <w:shd w:val="clear" w:color="auto" w:fill="FFFFFF"/>
        </w:rPr>
        <w:t xml:space="preserve">Social Research. Retrieved from </w:t>
      </w:r>
      <w:hyperlink r:id="rId1" w:history="1">
        <w:r w:rsidRPr="00791488">
          <w:rPr>
            <w:rStyle w:val="Hyperlink"/>
            <w:sz w:val="20"/>
            <w:szCs w:val="20"/>
            <w:shd w:val="clear" w:color="auto" w:fill="FFFFFF"/>
          </w:rPr>
          <w:t>http://www.isr.umich.edu/src/smp/Electronic</w:t>
        </w:r>
      </w:hyperlink>
      <w:r w:rsidRPr="00791488">
        <w:rPr>
          <w:sz w:val="20"/>
          <w:szCs w:val="20"/>
          <w:shd w:val="clear" w:color="auto" w:fill="FFFFFF"/>
        </w:rPr>
        <w:t>.</w:t>
      </w:r>
    </w:p>
    <w:p w:rsidR="00EB6BA5" w:rsidRDefault="00EB6BA5" w:rsidP="00EB6BA5">
      <w:pPr>
        <w:pStyle w:val="FootnoteText"/>
      </w:pPr>
    </w:p>
  </w:footnote>
  <w:footnote w:id="3">
    <w:p w:rsidR="00EB6BA5" w:rsidRPr="00EB6BA5" w:rsidRDefault="00EB6BA5" w:rsidP="00EB6BA5">
      <w:pPr>
        <w:ind w:left="720" w:hanging="720"/>
        <w:rPr>
          <w:sz w:val="20"/>
          <w:szCs w:val="20"/>
          <w:shd w:val="clear" w:color="auto" w:fill="FFFFFF"/>
        </w:rPr>
      </w:pPr>
      <w:r w:rsidRPr="000E687D">
        <w:rPr>
          <w:rStyle w:val="FootnoteReference"/>
          <w:sz w:val="20"/>
          <w:szCs w:val="20"/>
        </w:rPr>
        <w:footnoteRef/>
      </w:r>
      <w:r w:rsidRPr="000E687D">
        <w:rPr>
          <w:sz w:val="20"/>
          <w:szCs w:val="20"/>
        </w:rPr>
        <w:t xml:space="preserve"> </w:t>
      </w:r>
      <w:r w:rsidRPr="00791488">
        <w:rPr>
          <w:sz w:val="20"/>
          <w:szCs w:val="20"/>
          <w:shd w:val="clear" w:color="auto" w:fill="FFFFFF"/>
        </w:rPr>
        <w:t xml:space="preserve">Singer, E. (2006). Nonresponse bias in household surveys. </w:t>
      </w:r>
      <w:r w:rsidRPr="00791488">
        <w:rPr>
          <w:i/>
          <w:iCs/>
          <w:sz w:val="20"/>
          <w:szCs w:val="20"/>
          <w:shd w:val="clear" w:color="auto" w:fill="FFFFFF"/>
        </w:rPr>
        <w:t xml:space="preserve">Public Opinion Quarterly, </w:t>
      </w:r>
      <w:r>
        <w:rPr>
          <w:sz w:val="20"/>
          <w:szCs w:val="20"/>
          <w:shd w:val="clear" w:color="auto" w:fill="FFFFFF"/>
        </w:rPr>
        <w:t xml:space="preserve">70(5), </w:t>
      </w:r>
      <w:r w:rsidRPr="00791488">
        <w:rPr>
          <w:sz w:val="20"/>
          <w:szCs w:val="20"/>
          <w:shd w:val="clear" w:color="auto" w:fill="FFFFFF"/>
        </w:rPr>
        <w:t>637-645.</w:t>
      </w:r>
    </w:p>
    <w:p w:rsidR="00EB6BA5" w:rsidRDefault="00EB6BA5" w:rsidP="00EB6BA5">
      <w:pPr>
        <w:pStyle w:val="FootnoteText"/>
      </w:pPr>
    </w:p>
  </w:footnote>
  <w:footnote w:id="4">
    <w:p w:rsidR="00EB6BA5" w:rsidRPr="00791488" w:rsidRDefault="00EB6BA5" w:rsidP="00EB6BA5">
      <w:pPr>
        <w:ind w:left="720" w:hanging="720"/>
        <w:rPr>
          <w:rStyle w:val="cit-last-page"/>
          <w:sz w:val="20"/>
          <w:szCs w:val="20"/>
          <w:bdr w:val="none" w:sz="0" w:space="0" w:color="auto" w:frame="1"/>
          <w:shd w:val="clear" w:color="auto" w:fill="FFFFFF"/>
        </w:rPr>
      </w:pPr>
      <w:r w:rsidRPr="000E687D">
        <w:rPr>
          <w:rStyle w:val="FootnoteReference"/>
          <w:sz w:val="20"/>
          <w:szCs w:val="20"/>
        </w:rPr>
        <w:footnoteRef/>
      </w:r>
      <w:r w:rsidRPr="000E687D">
        <w:rPr>
          <w:sz w:val="20"/>
          <w:szCs w:val="20"/>
        </w:rPr>
        <w:t xml:space="preserve"> </w:t>
      </w:r>
      <w:r w:rsidRPr="00791488">
        <w:rPr>
          <w:rStyle w:val="cit-last-page"/>
          <w:sz w:val="20"/>
          <w:szCs w:val="20"/>
          <w:bdr w:val="none" w:sz="0" w:space="0" w:color="auto" w:frame="1"/>
          <w:shd w:val="clear" w:color="auto" w:fill="FFFFFF"/>
        </w:rPr>
        <w:t>Groves, R., Couper, M., Presser, S., Singer, E., Tourangeau</w:t>
      </w:r>
      <w:r>
        <w:rPr>
          <w:rStyle w:val="cit-last-page"/>
          <w:sz w:val="20"/>
          <w:szCs w:val="20"/>
          <w:bdr w:val="none" w:sz="0" w:space="0" w:color="auto" w:frame="1"/>
          <w:shd w:val="clear" w:color="auto" w:fill="FFFFFF"/>
        </w:rPr>
        <w:t xml:space="preserve">, R., Acosta, G., &amp; Nelson, L. </w:t>
      </w:r>
      <w:r w:rsidRPr="00791488">
        <w:rPr>
          <w:rStyle w:val="cit-last-page"/>
          <w:sz w:val="20"/>
          <w:szCs w:val="20"/>
          <w:bdr w:val="none" w:sz="0" w:space="0" w:color="auto" w:frame="1"/>
          <w:shd w:val="clear" w:color="auto" w:fill="FFFFFF"/>
        </w:rPr>
        <w:t xml:space="preserve">(2006). Experiments in producing nonresponse bias. </w:t>
      </w:r>
      <w:r w:rsidRPr="00791488">
        <w:rPr>
          <w:rStyle w:val="cit-last-page"/>
          <w:i/>
          <w:iCs/>
          <w:sz w:val="20"/>
          <w:szCs w:val="20"/>
          <w:bdr w:val="none" w:sz="0" w:space="0" w:color="auto" w:frame="1"/>
          <w:shd w:val="clear" w:color="auto" w:fill="FFFFFF"/>
        </w:rPr>
        <w:t>Public Opinion Quarterly</w:t>
      </w:r>
      <w:r w:rsidRPr="00791488">
        <w:rPr>
          <w:rStyle w:val="cit-last-page"/>
          <w:sz w:val="20"/>
          <w:szCs w:val="20"/>
          <w:bdr w:val="none" w:sz="0" w:space="0" w:color="auto" w:frame="1"/>
          <w:shd w:val="clear" w:color="auto" w:fill="FFFFFF"/>
        </w:rPr>
        <w:t>, 70(5), 720-736.</w:t>
      </w:r>
    </w:p>
    <w:p w:rsidR="00EB6BA5" w:rsidRDefault="00EB6BA5" w:rsidP="00EB6B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440273"/>
    <w:multiLevelType w:val="hybridMultilevel"/>
    <w:tmpl w:val="33B2BB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2EAF22A0"/>
    <w:multiLevelType w:val="multilevel"/>
    <w:tmpl w:val="6818F602"/>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5D77D32"/>
    <w:multiLevelType w:val="hybridMultilevel"/>
    <w:tmpl w:val="6818F60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1F6136C"/>
    <w:multiLevelType w:val="hybridMultilevel"/>
    <w:tmpl w:val="A062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22"/>
  </w:num>
  <w:num w:numId="4">
    <w:abstractNumId w:val="24"/>
  </w:num>
  <w:num w:numId="5">
    <w:abstractNumId w:val="4"/>
  </w:num>
  <w:num w:numId="6">
    <w:abstractNumId w:val="2"/>
  </w:num>
  <w:num w:numId="7">
    <w:abstractNumId w:val="13"/>
  </w:num>
  <w:num w:numId="8">
    <w:abstractNumId w:val="20"/>
  </w:num>
  <w:num w:numId="9">
    <w:abstractNumId w:val="14"/>
  </w:num>
  <w:num w:numId="10">
    <w:abstractNumId w:val="3"/>
  </w:num>
  <w:num w:numId="11">
    <w:abstractNumId w:val="6"/>
  </w:num>
  <w:num w:numId="12">
    <w:abstractNumId w:val="8"/>
  </w:num>
  <w:num w:numId="13">
    <w:abstractNumId w:val="1"/>
  </w:num>
  <w:num w:numId="14">
    <w:abstractNumId w:val="12"/>
  </w:num>
  <w:num w:numId="15">
    <w:abstractNumId w:val="21"/>
  </w:num>
  <w:num w:numId="16">
    <w:abstractNumId w:val="19"/>
  </w:num>
  <w:num w:numId="17">
    <w:abstractNumId w:val="0"/>
  </w:num>
  <w:num w:numId="18">
    <w:abstractNumId w:val="10"/>
  </w:num>
  <w:num w:numId="19">
    <w:abstractNumId w:val="7"/>
  </w:num>
  <w:num w:numId="20">
    <w:abstractNumId w:val="17"/>
  </w:num>
  <w:num w:numId="21">
    <w:abstractNumId w:val="11"/>
  </w:num>
  <w:num w:numId="22">
    <w:abstractNumId w:val="16"/>
  </w:num>
  <w:num w:numId="23">
    <w:abstractNumId w:val="9"/>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CD7"/>
    <w:rsid w:val="00005D48"/>
    <w:rsid w:val="00006962"/>
    <w:rsid w:val="00010FF7"/>
    <w:rsid w:val="00014AEF"/>
    <w:rsid w:val="00030B1F"/>
    <w:rsid w:val="00035B5C"/>
    <w:rsid w:val="000379FF"/>
    <w:rsid w:val="00037DF8"/>
    <w:rsid w:val="00066AF8"/>
    <w:rsid w:val="00080D3E"/>
    <w:rsid w:val="00093646"/>
    <w:rsid w:val="00097B85"/>
    <w:rsid w:val="000A112B"/>
    <w:rsid w:val="000A525C"/>
    <w:rsid w:val="000C386B"/>
    <w:rsid w:val="000C4295"/>
    <w:rsid w:val="000C6ACB"/>
    <w:rsid w:val="000D14EB"/>
    <w:rsid w:val="000D4AA5"/>
    <w:rsid w:val="000E687D"/>
    <w:rsid w:val="000F1CDA"/>
    <w:rsid w:val="000F2F28"/>
    <w:rsid w:val="000F75B9"/>
    <w:rsid w:val="00126D06"/>
    <w:rsid w:val="00132EF8"/>
    <w:rsid w:val="00134A86"/>
    <w:rsid w:val="00140343"/>
    <w:rsid w:val="00140A0D"/>
    <w:rsid w:val="00156768"/>
    <w:rsid w:val="00172A6E"/>
    <w:rsid w:val="00172D94"/>
    <w:rsid w:val="00190AA2"/>
    <w:rsid w:val="001A68F4"/>
    <w:rsid w:val="001B319B"/>
    <w:rsid w:val="001B78D3"/>
    <w:rsid w:val="001C0117"/>
    <w:rsid w:val="001D19B4"/>
    <w:rsid w:val="001D24A3"/>
    <w:rsid w:val="001E079A"/>
    <w:rsid w:val="001F051E"/>
    <w:rsid w:val="001F09C0"/>
    <w:rsid w:val="001F3DE3"/>
    <w:rsid w:val="001F4032"/>
    <w:rsid w:val="002150D5"/>
    <w:rsid w:val="00240ED0"/>
    <w:rsid w:val="00243BAE"/>
    <w:rsid w:val="00255B16"/>
    <w:rsid w:val="00257ADA"/>
    <w:rsid w:val="002739BD"/>
    <w:rsid w:val="00274DE3"/>
    <w:rsid w:val="002914CC"/>
    <w:rsid w:val="002B06DC"/>
    <w:rsid w:val="002C1D9B"/>
    <w:rsid w:val="002E016F"/>
    <w:rsid w:val="002E0A35"/>
    <w:rsid w:val="002F2989"/>
    <w:rsid w:val="003035B8"/>
    <w:rsid w:val="00320A51"/>
    <w:rsid w:val="00325A8C"/>
    <w:rsid w:val="003322E1"/>
    <w:rsid w:val="00332A51"/>
    <w:rsid w:val="0034685C"/>
    <w:rsid w:val="00350C25"/>
    <w:rsid w:val="00364051"/>
    <w:rsid w:val="00381516"/>
    <w:rsid w:val="003B38AF"/>
    <w:rsid w:val="003E716A"/>
    <w:rsid w:val="003F1C7A"/>
    <w:rsid w:val="003F25A6"/>
    <w:rsid w:val="003F3128"/>
    <w:rsid w:val="003F5357"/>
    <w:rsid w:val="00411149"/>
    <w:rsid w:val="00416CDC"/>
    <w:rsid w:val="00416DF7"/>
    <w:rsid w:val="00421E2E"/>
    <w:rsid w:val="00463B4D"/>
    <w:rsid w:val="0048278B"/>
    <w:rsid w:val="00485385"/>
    <w:rsid w:val="00492071"/>
    <w:rsid w:val="0049419A"/>
    <w:rsid w:val="004B694D"/>
    <w:rsid w:val="004C4D5A"/>
    <w:rsid w:val="004E26F2"/>
    <w:rsid w:val="00510E2F"/>
    <w:rsid w:val="005232D8"/>
    <w:rsid w:val="00523931"/>
    <w:rsid w:val="0054638C"/>
    <w:rsid w:val="005479A9"/>
    <w:rsid w:val="005558B5"/>
    <w:rsid w:val="005875AA"/>
    <w:rsid w:val="005A18A4"/>
    <w:rsid w:val="005A74AD"/>
    <w:rsid w:val="005C2E61"/>
    <w:rsid w:val="005E23BA"/>
    <w:rsid w:val="005E4981"/>
    <w:rsid w:val="00604380"/>
    <w:rsid w:val="00605D54"/>
    <w:rsid w:val="0063435B"/>
    <w:rsid w:val="00635D42"/>
    <w:rsid w:val="006552F6"/>
    <w:rsid w:val="00670CD0"/>
    <w:rsid w:val="00696B03"/>
    <w:rsid w:val="006970B6"/>
    <w:rsid w:val="0069796A"/>
    <w:rsid w:val="006B4AD9"/>
    <w:rsid w:val="006D3B31"/>
    <w:rsid w:val="006E030F"/>
    <w:rsid w:val="00707719"/>
    <w:rsid w:val="007112EE"/>
    <w:rsid w:val="007122E1"/>
    <w:rsid w:val="00742B9B"/>
    <w:rsid w:val="0074463A"/>
    <w:rsid w:val="00744F5B"/>
    <w:rsid w:val="00787E25"/>
    <w:rsid w:val="00794264"/>
    <w:rsid w:val="007A4331"/>
    <w:rsid w:val="007B045B"/>
    <w:rsid w:val="007B3605"/>
    <w:rsid w:val="007B5218"/>
    <w:rsid w:val="007C7518"/>
    <w:rsid w:val="00806BAA"/>
    <w:rsid w:val="00842003"/>
    <w:rsid w:val="00875CB1"/>
    <w:rsid w:val="00882AE4"/>
    <w:rsid w:val="008863D0"/>
    <w:rsid w:val="008939B7"/>
    <w:rsid w:val="00894F96"/>
    <w:rsid w:val="008B6016"/>
    <w:rsid w:val="008D2C78"/>
    <w:rsid w:val="008D68DE"/>
    <w:rsid w:val="008E6145"/>
    <w:rsid w:val="008F6E91"/>
    <w:rsid w:val="00910004"/>
    <w:rsid w:val="0091326C"/>
    <w:rsid w:val="009338EE"/>
    <w:rsid w:val="009404FA"/>
    <w:rsid w:val="00951A83"/>
    <w:rsid w:val="00961A71"/>
    <w:rsid w:val="00962AC4"/>
    <w:rsid w:val="009701EF"/>
    <w:rsid w:val="00976175"/>
    <w:rsid w:val="009E174E"/>
    <w:rsid w:val="009E1962"/>
    <w:rsid w:val="009E529E"/>
    <w:rsid w:val="00A03384"/>
    <w:rsid w:val="00A037AF"/>
    <w:rsid w:val="00A04ECE"/>
    <w:rsid w:val="00A06A0E"/>
    <w:rsid w:val="00A21FD7"/>
    <w:rsid w:val="00A22D23"/>
    <w:rsid w:val="00A26BA5"/>
    <w:rsid w:val="00A44BF9"/>
    <w:rsid w:val="00A82DCC"/>
    <w:rsid w:val="00A860AB"/>
    <w:rsid w:val="00A87055"/>
    <w:rsid w:val="00AB26D8"/>
    <w:rsid w:val="00AB3728"/>
    <w:rsid w:val="00AD7A9F"/>
    <w:rsid w:val="00AE049B"/>
    <w:rsid w:val="00B46E5B"/>
    <w:rsid w:val="00B47435"/>
    <w:rsid w:val="00B57E8B"/>
    <w:rsid w:val="00B57F3B"/>
    <w:rsid w:val="00B643AC"/>
    <w:rsid w:val="00B7393E"/>
    <w:rsid w:val="00B859B1"/>
    <w:rsid w:val="00BA49B1"/>
    <w:rsid w:val="00BA654F"/>
    <w:rsid w:val="00BA6859"/>
    <w:rsid w:val="00BB0D38"/>
    <w:rsid w:val="00BB0FB0"/>
    <w:rsid w:val="00BC1DD5"/>
    <w:rsid w:val="00BD1B42"/>
    <w:rsid w:val="00BD5941"/>
    <w:rsid w:val="00BE2069"/>
    <w:rsid w:val="00C00305"/>
    <w:rsid w:val="00C05D89"/>
    <w:rsid w:val="00C07824"/>
    <w:rsid w:val="00C2251E"/>
    <w:rsid w:val="00C228B7"/>
    <w:rsid w:val="00C32685"/>
    <w:rsid w:val="00C32F8C"/>
    <w:rsid w:val="00C348FF"/>
    <w:rsid w:val="00C34AFC"/>
    <w:rsid w:val="00C404DB"/>
    <w:rsid w:val="00C47766"/>
    <w:rsid w:val="00C602BF"/>
    <w:rsid w:val="00C65046"/>
    <w:rsid w:val="00C92AD7"/>
    <w:rsid w:val="00CE4EEE"/>
    <w:rsid w:val="00CE57C2"/>
    <w:rsid w:val="00CF0774"/>
    <w:rsid w:val="00CF10F4"/>
    <w:rsid w:val="00CF1456"/>
    <w:rsid w:val="00D0595D"/>
    <w:rsid w:val="00D11F94"/>
    <w:rsid w:val="00D16070"/>
    <w:rsid w:val="00D24165"/>
    <w:rsid w:val="00D31BD6"/>
    <w:rsid w:val="00D326D7"/>
    <w:rsid w:val="00D340AB"/>
    <w:rsid w:val="00D542D4"/>
    <w:rsid w:val="00D61AE9"/>
    <w:rsid w:val="00D665BF"/>
    <w:rsid w:val="00D66CD7"/>
    <w:rsid w:val="00D85FDC"/>
    <w:rsid w:val="00DA51FF"/>
    <w:rsid w:val="00DC5413"/>
    <w:rsid w:val="00DC5E7E"/>
    <w:rsid w:val="00DC76EE"/>
    <w:rsid w:val="00DD6106"/>
    <w:rsid w:val="00DE2D27"/>
    <w:rsid w:val="00DE40BB"/>
    <w:rsid w:val="00E02508"/>
    <w:rsid w:val="00E215FA"/>
    <w:rsid w:val="00E26798"/>
    <w:rsid w:val="00E45BA0"/>
    <w:rsid w:val="00E627CA"/>
    <w:rsid w:val="00E629FF"/>
    <w:rsid w:val="00E62A09"/>
    <w:rsid w:val="00E64811"/>
    <w:rsid w:val="00E971FC"/>
    <w:rsid w:val="00EA0586"/>
    <w:rsid w:val="00EB6BA5"/>
    <w:rsid w:val="00EE2145"/>
    <w:rsid w:val="00EE7334"/>
    <w:rsid w:val="00F12AEE"/>
    <w:rsid w:val="00F151EB"/>
    <w:rsid w:val="00F152DA"/>
    <w:rsid w:val="00F210E2"/>
    <w:rsid w:val="00F2262C"/>
    <w:rsid w:val="00F25824"/>
    <w:rsid w:val="00F3704A"/>
    <w:rsid w:val="00F576FA"/>
    <w:rsid w:val="00F60EDB"/>
    <w:rsid w:val="00F61AB7"/>
    <w:rsid w:val="00F84FB7"/>
    <w:rsid w:val="00F91FBE"/>
    <w:rsid w:val="00FB4118"/>
    <w:rsid w:val="00FC1D82"/>
    <w:rsid w:val="00FF6436"/>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3F5357"/>
    <w:rPr>
      <w:sz w:val="16"/>
      <w:szCs w:val="16"/>
    </w:rPr>
  </w:style>
  <w:style w:type="paragraph" w:styleId="CommentText">
    <w:name w:val="annotation text"/>
    <w:basedOn w:val="Normal"/>
    <w:link w:val="CommentTextChar"/>
    <w:uiPriority w:val="99"/>
    <w:semiHidden/>
    <w:unhideWhenUsed/>
    <w:rsid w:val="003F5357"/>
    <w:rPr>
      <w:sz w:val="20"/>
      <w:szCs w:val="20"/>
    </w:rPr>
  </w:style>
  <w:style w:type="character" w:customStyle="1" w:styleId="CommentTextChar">
    <w:name w:val="Comment Text Char"/>
    <w:basedOn w:val="DefaultParagraphFont"/>
    <w:link w:val="CommentText"/>
    <w:uiPriority w:val="99"/>
    <w:semiHidden/>
    <w:rsid w:val="003F5357"/>
  </w:style>
  <w:style w:type="paragraph" w:styleId="CommentSubject">
    <w:name w:val="annotation subject"/>
    <w:basedOn w:val="CommentText"/>
    <w:next w:val="CommentText"/>
    <w:link w:val="CommentSubjectChar"/>
    <w:uiPriority w:val="99"/>
    <w:semiHidden/>
    <w:unhideWhenUsed/>
    <w:rsid w:val="003F5357"/>
    <w:rPr>
      <w:b/>
      <w:bCs/>
    </w:rPr>
  </w:style>
  <w:style w:type="character" w:customStyle="1" w:styleId="CommentSubjectChar">
    <w:name w:val="Comment Subject Char"/>
    <w:link w:val="CommentSubject"/>
    <w:uiPriority w:val="99"/>
    <w:semiHidden/>
    <w:rsid w:val="003F5357"/>
    <w:rPr>
      <w:b/>
      <w:bCs/>
    </w:rPr>
  </w:style>
  <w:style w:type="paragraph" w:styleId="NoSpacing">
    <w:name w:val="No Spacing"/>
    <w:uiPriority w:val="1"/>
    <w:qFormat/>
    <w:rsid w:val="00A87055"/>
    <w:rPr>
      <w:rFonts w:ascii="Calibri" w:eastAsia="Calibri" w:hAnsi="Calibri"/>
      <w:sz w:val="22"/>
      <w:szCs w:val="22"/>
    </w:rPr>
  </w:style>
  <w:style w:type="character" w:styleId="FootnoteReference">
    <w:name w:val="footnote reference"/>
    <w:semiHidden/>
    <w:rsid w:val="00F61AB7"/>
  </w:style>
  <w:style w:type="paragraph" w:styleId="FootnoteText">
    <w:name w:val="footnote text"/>
    <w:basedOn w:val="Normal"/>
    <w:link w:val="FootnoteTextChar"/>
    <w:semiHidden/>
    <w:rsid w:val="00F61AB7"/>
    <w:pPr>
      <w:widowControl w:val="0"/>
    </w:pPr>
    <w:rPr>
      <w:snapToGrid w:val="0"/>
      <w:sz w:val="20"/>
      <w:szCs w:val="20"/>
    </w:rPr>
  </w:style>
  <w:style w:type="character" w:customStyle="1" w:styleId="FootnoteTextChar">
    <w:name w:val="Footnote Text Char"/>
    <w:link w:val="FootnoteText"/>
    <w:uiPriority w:val="99"/>
    <w:semiHidden/>
    <w:rsid w:val="00F61AB7"/>
    <w:rPr>
      <w:snapToGrid w:val="0"/>
    </w:rPr>
  </w:style>
  <w:style w:type="paragraph" w:customStyle="1" w:styleId="ResPublications">
    <w:name w:val="Res Publications"/>
    <w:link w:val="ResPublicationsChar"/>
    <w:rsid w:val="00F61AB7"/>
    <w:pPr>
      <w:spacing w:after="240"/>
      <w:ind w:left="720" w:hanging="720"/>
    </w:pPr>
    <w:rPr>
      <w:rFonts w:ascii="Times" w:hAnsi="Times"/>
      <w:sz w:val="22"/>
    </w:rPr>
  </w:style>
  <w:style w:type="character" w:customStyle="1" w:styleId="ResPublicationsChar">
    <w:name w:val="Res Publications Char"/>
    <w:link w:val="ResPublications"/>
    <w:rsid w:val="00F61AB7"/>
    <w:rPr>
      <w:rFonts w:ascii="Times" w:hAnsi="Times"/>
      <w:sz w:val="22"/>
    </w:rPr>
  </w:style>
  <w:style w:type="table" w:styleId="TableGrid">
    <w:name w:val="Table Grid"/>
    <w:basedOn w:val="TableNormal"/>
    <w:uiPriority w:val="59"/>
    <w:rsid w:val="00962A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0B1F"/>
  </w:style>
  <w:style w:type="character" w:customStyle="1" w:styleId="cit-title">
    <w:name w:val="cit-title"/>
    <w:rsid w:val="00030B1F"/>
  </w:style>
  <w:style w:type="character" w:styleId="HTMLCite">
    <w:name w:val="HTML Cite"/>
    <w:uiPriority w:val="99"/>
    <w:semiHidden/>
    <w:unhideWhenUsed/>
    <w:rsid w:val="00030B1F"/>
    <w:rPr>
      <w:i/>
      <w:iCs/>
    </w:rPr>
  </w:style>
  <w:style w:type="character" w:customStyle="1" w:styleId="cit-vol">
    <w:name w:val="cit-vol"/>
    <w:rsid w:val="00030B1F"/>
  </w:style>
  <w:style w:type="character" w:customStyle="1" w:styleId="cit-sep">
    <w:name w:val="cit-sep"/>
    <w:rsid w:val="00030B1F"/>
  </w:style>
  <w:style w:type="character" w:customStyle="1" w:styleId="cit-first-page">
    <w:name w:val="cit-first-page"/>
    <w:rsid w:val="00030B1F"/>
  </w:style>
  <w:style w:type="character" w:customStyle="1" w:styleId="cit-last-page">
    <w:name w:val="cit-last-page"/>
    <w:rsid w:val="00030B1F"/>
  </w:style>
  <w:style w:type="paragraph" w:styleId="Caption">
    <w:name w:val="caption"/>
    <w:basedOn w:val="Normal"/>
    <w:next w:val="Normal"/>
    <w:uiPriority w:val="35"/>
    <w:unhideWhenUsed/>
    <w:qFormat/>
    <w:rsid w:val="000936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3F5357"/>
    <w:rPr>
      <w:sz w:val="16"/>
      <w:szCs w:val="16"/>
    </w:rPr>
  </w:style>
  <w:style w:type="paragraph" w:styleId="CommentText">
    <w:name w:val="annotation text"/>
    <w:basedOn w:val="Normal"/>
    <w:link w:val="CommentTextChar"/>
    <w:uiPriority w:val="99"/>
    <w:semiHidden/>
    <w:unhideWhenUsed/>
    <w:rsid w:val="003F5357"/>
    <w:rPr>
      <w:sz w:val="20"/>
      <w:szCs w:val="20"/>
    </w:rPr>
  </w:style>
  <w:style w:type="character" w:customStyle="1" w:styleId="CommentTextChar">
    <w:name w:val="Comment Text Char"/>
    <w:basedOn w:val="DefaultParagraphFont"/>
    <w:link w:val="CommentText"/>
    <w:uiPriority w:val="99"/>
    <w:semiHidden/>
    <w:rsid w:val="003F5357"/>
  </w:style>
  <w:style w:type="paragraph" w:styleId="CommentSubject">
    <w:name w:val="annotation subject"/>
    <w:basedOn w:val="CommentText"/>
    <w:next w:val="CommentText"/>
    <w:link w:val="CommentSubjectChar"/>
    <w:uiPriority w:val="99"/>
    <w:semiHidden/>
    <w:unhideWhenUsed/>
    <w:rsid w:val="003F5357"/>
    <w:rPr>
      <w:b/>
      <w:bCs/>
    </w:rPr>
  </w:style>
  <w:style w:type="character" w:customStyle="1" w:styleId="CommentSubjectChar">
    <w:name w:val="Comment Subject Char"/>
    <w:link w:val="CommentSubject"/>
    <w:uiPriority w:val="99"/>
    <w:semiHidden/>
    <w:rsid w:val="003F5357"/>
    <w:rPr>
      <w:b/>
      <w:bCs/>
    </w:rPr>
  </w:style>
  <w:style w:type="paragraph" w:styleId="NoSpacing">
    <w:name w:val="No Spacing"/>
    <w:uiPriority w:val="1"/>
    <w:qFormat/>
    <w:rsid w:val="00A87055"/>
    <w:rPr>
      <w:rFonts w:ascii="Calibri" w:eastAsia="Calibri" w:hAnsi="Calibri"/>
      <w:sz w:val="22"/>
      <w:szCs w:val="22"/>
    </w:rPr>
  </w:style>
  <w:style w:type="character" w:styleId="FootnoteReference">
    <w:name w:val="footnote reference"/>
    <w:semiHidden/>
    <w:rsid w:val="00F61AB7"/>
  </w:style>
  <w:style w:type="paragraph" w:styleId="FootnoteText">
    <w:name w:val="footnote text"/>
    <w:basedOn w:val="Normal"/>
    <w:link w:val="FootnoteTextChar"/>
    <w:semiHidden/>
    <w:rsid w:val="00F61AB7"/>
    <w:pPr>
      <w:widowControl w:val="0"/>
    </w:pPr>
    <w:rPr>
      <w:snapToGrid w:val="0"/>
      <w:sz w:val="20"/>
      <w:szCs w:val="20"/>
    </w:rPr>
  </w:style>
  <w:style w:type="character" w:customStyle="1" w:styleId="FootnoteTextChar">
    <w:name w:val="Footnote Text Char"/>
    <w:link w:val="FootnoteText"/>
    <w:uiPriority w:val="99"/>
    <w:semiHidden/>
    <w:rsid w:val="00F61AB7"/>
    <w:rPr>
      <w:snapToGrid w:val="0"/>
    </w:rPr>
  </w:style>
  <w:style w:type="paragraph" w:customStyle="1" w:styleId="ResPublications">
    <w:name w:val="Res Publications"/>
    <w:link w:val="ResPublicationsChar"/>
    <w:rsid w:val="00F61AB7"/>
    <w:pPr>
      <w:spacing w:after="240"/>
      <w:ind w:left="720" w:hanging="720"/>
    </w:pPr>
    <w:rPr>
      <w:rFonts w:ascii="Times" w:hAnsi="Times"/>
      <w:sz w:val="22"/>
    </w:rPr>
  </w:style>
  <w:style w:type="character" w:customStyle="1" w:styleId="ResPublicationsChar">
    <w:name w:val="Res Publications Char"/>
    <w:link w:val="ResPublications"/>
    <w:rsid w:val="00F61AB7"/>
    <w:rPr>
      <w:rFonts w:ascii="Times" w:hAnsi="Times"/>
      <w:sz w:val="22"/>
    </w:rPr>
  </w:style>
  <w:style w:type="table" w:styleId="TableGrid">
    <w:name w:val="Table Grid"/>
    <w:basedOn w:val="TableNormal"/>
    <w:uiPriority w:val="59"/>
    <w:rsid w:val="00962A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0B1F"/>
  </w:style>
  <w:style w:type="character" w:customStyle="1" w:styleId="cit-title">
    <w:name w:val="cit-title"/>
    <w:rsid w:val="00030B1F"/>
  </w:style>
  <w:style w:type="character" w:styleId="HTMLCite">
    <w:name w:val="HTML Cite"/>
    <w:uiPriority w:val="99"/>
    <w:semiHidden/>
    <w:unhideWhenUsed/>
    <w:rsid w:val="00030B1F"/>
    <w:rPr>
      <w:i/>
      <w:iCs/>
    </w:rPr>
  </w:style>
  <w:style w:type="character" w:customStyle="1" w:styleId="cit-vol">
    <w:name w:val="cit-vol"/>
    <w:rsid w:val="00030B1F"/>
  </w:style>
  <w:style w:type="character" w:customStyle="1" w:styleId="cit-sep">
    <w:name w:val="cit-sep"/>
    <w:rsid w:val="00030B1F"/>
  </w:style>
  <w:style w:type="character" w:customStyle="1" w:styleId="cit-first-page">
    <w:name w:val="cit-first-page"/>
    <w:rsid w:val="00030B1F"/>
  </w:style>
  <w:style w:type="character" w:customStyle="1" w:styleId="cit-last-page">
    <w:name w:val="cit-last-page"/>
    <w:rsid w:val="00030B1F"/>
  </w:style>
  <w:style w:type="paragraph" w:styleId="Caption">
    <w:name w:val="caption"/>
    <w:basedOn w:val="Normal"/>
    <w:next w:val="Normal"/>
    <w:uiPriority w:val="35"/>
    <w:unhideWhenUsed/>
    <w:qFormat/>
    <w:rsid w:val="00093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8996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751664200">
      <w:bodyDiv w:val="1"/>
      <w:marLeft w:val="0"/>
      <w:marRight w:val="0"/>
      <w:marTop w:val="0"/>
      <w:marBottom w:val="0"/>
      <w:divBdr>
        <w:top w:val="none" w:sz="0" w:space="0" w:color="auto"/>
        <w:left w:val="none" w:sz="0" w:space="0" w:color="auto"/>
        <w:bottom w:val="none" w:sz="0" w:space="0" w:color="auto"/>
        <w:right w:val="none" w:sz="0" w:space="0" w:color="auto"/>
      </w:divBdr>
    </w:div>
    <w:div w:id="12549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sr.umich.edu/src/smp/Electro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1439</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9595</CharactersWithSpaces>
  <SharedDoc>false</SharedDoc>
  <HLinks>
    <vt:vector size="12" baseType="variant">
      <vt:variant>
        <vt:i4>5701730</vt:i4>
      </vt:variant>
      <vt:variant>
        <vt:i4>3</vt:i4>
      </vt:variant>
      <vt:variant>
        <vt:i4>0</vt:i4>
      </vt:variant>
      <vt:variant>
        <vt:i4>5</vt:i4>
      </vt:variant>
      <vt:variant>
        <vt:lpwstr>mailto:Ila.Mizrachi@fda.hhs.gov</vt:lpwstr>
      </vt:variant>
      <vt:variant>
        <vt:lpwstr/>
      </vt:variant>
      <vt:variant>
        <vt:i4>3473514</vt:i4>
      </vt:variant>
      <vt:variant>
        <vt:i4>0</vt:i4>
      </vt:variant>
      <vt:variant>
        <vt:i4>0</vt:i4>
      </vt:variant>
      <vt:variant>
        <vt:i4>5</vt:i4>
      </vt:variant>
      <vt:variant>
        <vt:lpwstr>http://www.isr.umich.edu/src/smp/Electronic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3</cp:revision>
  <cp:lastPrinted>2013-10-28T16:11:00Z</cp:lastPrinted>
  <dcterms:created xsi:type="dcterms:W3CDTF">2014-09-08T13:44:00Z</dcterms:created>
  <dcterms:modified xsi:type="dcterms:W3CDTF">2014-09-17T15:27:00Z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