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9A7" w:rsidRPr="0072181A" w:rsidRDefault="00691953" w:rsidP="004676C7">
      <w:pPr>
        <w:pBdr>
          <w:bottom w:val="single" w:sz="12" w:space="1" w:color="auto"/>
        </w:pBdr>
        <w:jc w:val="center"/>
        <w:rPr>
          <w:rFonts w:ascii="Arial" w:hAnsi="Arial" w:cs="Arial"/>
          <w:b/>
          <w:sz w:val="22"/>
          <w:szCs w:val="22"/>
        </w:rPr>
      </w:pPr>
      <w:r w:rsidRPr="0072181A">
        <w:rPr>
          <w:rFonts w:ascii="Arial" w:hAnsi="Arial" w:cs="Arial"/>
          <w:b/>
          <w:sz w:val="22"/>
          <w:szCs w:val="22"/>
        </w:rPr>
        <w:t xml:space="preserve">FDA DOCUMENTATION FOR THE GENERAL CLEARANCE </w:t>
      </w:r>
    </w:p>
    <w:p w:rsidR="004676C7" w:rsidRPr="0072181A" w:rsidRDefault="00691953" w:rsidP="004676C7">
      <w:pPr>
        <w:pBdr>
          <w:bottom w:val="single" w:sz="12" w:space="1" w:color="auto"/>
        </w:pBdr>
        <w:jc w:val="center"/>
        <w:rPr>
          <w:rFonts w:ascii="Arial" w:hAnsi="Arial" w:cs="Arial"/>
          <w:b/>
          <w:sz w:val="22"/>
          <w:szCs w:val="22"/>
        </w:rPr>
      </w:pPr>
      <w:r w:rsidRPr="0072181A">
        <w:rPr>
          <w:rFonts w:ascii="Arial" w:hAnsi="Arial" w:cs="Arial"/>
          <w:b/>
          <w:sz w:val="22"/>
          <w:szCs w:val="22"/>
        </w:rPr>
        <w:t>OF PRETESTING COMMUNICATIONS ON TOBACCO PRODUCTS</w:t>
      </w:r>
    </w:p>
    <w:p w:rsidR="00F0682C" w:rsidRPr="0072181A" w:rsidRDefault="007020D0" w:rsidP="004676C7">
      <w:pPr>
        <w:pBdr>
          <w:bottom w:val="single" w:sz="12" w:space="1" w:color="auto"/>
        </w:pBdr>
        <w:jc w:val="center"/>
        <w:rPr>
          <w:rFonts w:ascii="Arial" w:hAnsi="Arial" w:cs="Arial"/>
          <w:b/>
          <w:sz w:val="22"/>
          <w:szCs w:val="22"/>
        </w:rPr>
      </w:pPr>
      <w:r w:rsidRPr="0072181A" w:rsidDel="007020D0">
        <w:rPr>
          <w:rFonts w:ascii="Arial" w:hAnsi="Arial" w:cs="Arial"/>
          <w:b/>
          <w:sz w:val="22"/>
          <w:szCs w:val="22"/>
        </w:rPr>
        <w:t xml:space="preserve"> </w:t>
      </w:r>
      <w:r w:rsidR="00533FE3" w:rsidRPr="0072181A">
        <w:rPr>
          <w:rFonts w:ascii="Arial" w:hAnsi="Arial" w:cs="Arial"/>
          <w:b/>
          <w:sz w:val="22"/>
          <w:szCs w:val="22"/>
        </w:rPr>
        <w:t>(0910-0674)</w:t>
      </w:r>
    </w:p>
    <w:p w:rsidR="004676C7" w:rsidRPr="0072181A" w:rsidRDefault="004676C7">
      <w:pPr>
        <w:rPr>
          <w:rFonts w:ascii="Arial" w:hAnsi="Arial" w:cs="Arial"/>
          <w:b/>
          <w:sz w:val="22"/>
          <w:szCs w:val="22"/>
        </w:rPr>
      </w:pPr>
    </w:p>
    <w:p w:rsidR="004676C7" w:rsidRPr="001D743D" w:rsidRDefault="001B49A7">
      <w:pPr>
        <w:rPr>
          <w:rFonts w:ascii="Arial" w:hAnsi="Arial" w:cs="Arial"/>
          <w:b/>
          <w:sz w:val="22"/>
          <w:szCs w:val="22"/>
        </w:rPr>
      </w:pPr>
      <w:r w:rsidRPr="0072181A">
        <w:rPr>
          <w:rFonts w:ascii="Arial" w:hAnsi="Arial" w:cs="Arial"/>
          <w:b/>
          <w:sz w:val="22"/>
          <w:szCs w:val="22"/>
        </w:rPr>
        <w:t>TITLE OF INFORMATION COLLECTION</w:t>
      </w:r>
      <w:r w:rsidRPr="001D743D">
        <w:rPr>
          <w:rFonts w:ascii="Arial" w:hAnsi="Arial" w:cs="Arial"/>
          <w:sz w:val="22"/>
          <w:szCs w:val="22"/>
        </w:rPr>
        <w:t>:</w:t>
      </w:r>
      <w:r w:rsidR="005C1C63" w:rsidRPr="001D743D">
        <w:rPr>
          <w:rFonts w:ascii="Arial" w:eastAsia="Times New Roman" w:hAnsi="Arial" w:cs="Times"/>
          <w:sz w:val="22"/>
          <w:szCs w:val="22"/>
        </w:rPr>
        <w:t xml:space="preserve"> </w:t>
      </w:r>
      <w:r w:rsidR="00013F4D">
        <w:rPr>
          <w:rFonts w:ascii="Arial" w:hAnsi="Arial" w:cs="Arial"/>
          <w:sz w:val="22"/>
          <w:szCs w:val="22"/>
        </w:rPr>
        <w:t>Focus Group</w:t>
      </w:r>
      <w:r w:rsidR="00013F4D" w:rsidRPr="0072181A">
        <w:rPr>
          <w:rFonts w:ascii="Arial" w:hAnsi="Arial" w:cs="Arial"/>
          <w:sz w:val="22"/>
          <w:szCs w:val="22"/>
        </w:rPr>
        <w:t xml:space="preserve"> Study of Youth Reactions to </w:t>
      </w:r>
      <w:r w:rsidR="00F110E1">
        <w:rPr>
          <w:rFonts w:ascii="Arial" w:hAnsi="Arial" w:cs="Arial"/>
          <w:sz w:val="22"/>
          <w:szCs w:val="22"/>
        </w:rPr>
        <w:t xml:space="preserve">Strategic and </w:t>
      </w:r>
      <w:r w:rsidR="00013F4D">
        <w:rPr>
          <w:rFonts w:ascii="Arial" w:hAnsi="Arial"/>
          <w:sz w:val="22"/>
          <w:szCs w:val="22"/>
        </w:rPr>
        <w:t xml:space="preserve">Creative Advertising Concepts </w:t>
      </w:r>
      <w:r w:rsidR="00013F4D" w:rsidRPr="0072181A">
        <w:rPr>
          <w:rFonts w:ascii="Arial" w:hAnsi="Arial" w:cs="Arial"/>
          <w:sz w:val="22"/>
          <w:szCs w:val="22"/>
        </w:rPr>
        <w:t>Designed to Prevent Youth Tobacco Use among</w:t>
      </w:r>
      <w:r w:rsidR="00013F4D" w:rsidRPr="0072181A">
        <w:rPr>
          <w:rFonts w:ascii="Arial" w:hAnsi="Arial" w:cs="Arial"/>
          <w:b/>
          <w:sz w:val="22"/>
          <w:szCs w:val="22"/>
        </w:rPr>
        <w:t xml:space="preserve"> </w:t>
      </w:r>
      <w:r w:rsidR="00013F4D" w:rsidRPr="0072181A">
        <w:rPr>
          <w:rFonts w:ascii="Arial" w:hAnsi="Arial" w:cs="Arial"/>
          <w:sz w:val="22"/>
          <w:szCs w:val="22"/>
        </w:rPr>
        <w:t>Multicultural Youth</w:t>
      </w:r>
      <w:r w:rsidR="00B830AB" w:rsidRPr="005C1C63">
        <w:rPr>
          <w:rFonts w:ascii="Arial" w:hAnsi="Arial" w:cs="Arial"/>
          <w:sz w:val="22"/>
          <w:szCs w:val="22"/>
        </w:rPr>
        <w:t xml:space="preserve">; </w:t>
      </w:r>
      <w:r w:rsidR="00B830AB" w:rsidRPr="0072181A">
        <w:rPr>
          <w:rFonts w:ascii="Arial" w:hAnsi="Arial" w:cs="Arial"/>
          <w:sz w:val="22"/>
          <w:szCs w:val="22"/>
        </w:rPr>
        <w:t xml:space="preserve">OMB Control Number </w:t>
      </w:r>
      <w:r w:rsidR="00533FE3" w:rsidRPr="0072181A">
        <w:rPr>
          <w:rFonts w:ascii="Arial" w:hAnsi="Arial" w:cs="Arial"/>
          <w:sz w:val="22"/>
          <w:szCs w:val="22"/>
        </w:rPr>
        <w:t>0910-0674.</w:t>
      </w:r>
    </w:p>
    <w:p w:rsidR="00B830AB" w:rsidRPr="0072181A" w:rsidRDefault="00B830AB">
      <w:pPr>
        <w:rPr>
          <w:rFonts w:ascii="Arial" w:hAnsi="Arial" w:cs="Arial"/>
          <w:sz w:val="22"/>
          <w:szCs w:val="22"/>
        </w:rPr>
      </w:pPr>
    </w:p>
    <w:p w:rsidR="00B830AB" w:rsidRPr="0072181A" w:rsidRDefault="00DF1834">
      <w:pPr>
        <w:rPr>
          <w:rFonts w:ascii="Arial" w:hAnsi="Arial" w:cs="Arial"/>
          <w:b/>
          <w:sz w:val="22"/>
          <w:szCs w:val="22"/>
        </w:rPr>
      </w:pPr>
      <w:r w:rsidRPr="0072181A">
        <w:rPr>
          <w:rFonts w:ascii="Arial" w:hAnsi="Arial" w:cs="Arial"/>
          <w:b/>
          <w:sz w:val="22"/>
          <w:szCs w:val="22"/>
        </w:rPr>
        <w:t xml:space="preserve">DESCRIPTION OF THIS SPECIFIC COLLECTION </w:t>
      </w:r>
    </w:p>
    <w:p w:rsidR="00DF1834" w:rsidRPr="0072181A" w:rsidRDefault="00DF1834" w:rsidP="00C76356">
      <w:pPr>
        <w:jc w:val="both"/>
        <w:rPr>
          <w:rFonts w:ascii="Arial" w:hAnsi="Arial" w:cs="Arial"/>
          <w:b/>
          <w:sz w:val="22"/>
          <w:szCs w:val="22"/>
        </w:rPr>
      </w:pPr>
    </w:p>
    <w:p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Statement of need: </w:t>
      </w:r>
    </w:p>
    <w:p w:rsidR="00ED09BC" w:rsidRPr="00A66F75" w:rsidRDefault="00DD2277" w:rsidP="00A66F75">
      <w:pPr>
        <w:ind w:left="360"/>
        <w:jc w:val="both"/>
        <w:rPr>
          <w:rFonts w:ascii="Arial" w:hAnsi="Arial" w:cs="Arial"/>
          <w:color w:val="000000"/>
          <w:sz w:val="22"/>
          <w:szCs w:val="22"/>
        </w:rPr>
      </w:pPr>
      <w:r w:rsidRPr="0072181A">
        <w:rPr>
          <w:rFonts w:ascii="Arial" w:hAnsi="Arial" w:cs="Arial"/>
          <w:sz w:val="22"/>
          <w:szCs w:val="22"/>
        </w:rPr>
        <w:t xml:space="preserve">The Food and Drug Administration’s (FDA) Center for Tobacco Products (CTP) is seeking OMB approval under generic clearance </w:t>
      </w:r>
      <w:r w:rsidR="00533FE3" w:rsidRPr="0072181A">
        <w:rPr>
          <w:rFonts w:ascii="Arial" w:hAnsi="Arial" w:cs="Arial"/>
          <w:sz w:val="22"/>
          <w:szCs w:val="22"/>
        </w:rPr>
        <w:t xml:space="preserve">0910-0674 </w:t>
      </w:r>
      <w:r w:rsidRPr="0072181A">
        <w:rPr>
          <w:rFonts w:ascii="Arial" w:hAnsi="Arial" w:cs="Arial"/>
          <w:sz w:val="22"/>
          <w:szCs w:val="22"/>
        </w:rPr>
        <w:t xml:space="preserve">to </w:t>
      </w:r>
      <w:r w:rsidRPr="004A5320">
        <w:rPr>
          <w:rFonts w:ascii="Arial" w:hAnsi="Arial" w:cs="Arial"/>
          <w:sz w:val="22"/>
          <w:szCs w:val="22"/>
        </w:rPr>
        <w:t>co</w:t>
      </w:r>
      <w:r w:rsidR="00030FA6" w:rsidRPr="004A5320">
        <w:rPr>
          <w:rFonts w:ascii="Arial" w:hAnsi="Arial" w:cs="Arial"/>
          <w:sz w:val="22"/>
          <w:szCs w:val="22"/>
        </w:rPr>
        <w:t xml:space="preserve">nduct </w:t>
      </w:r>
      <w:r w:rsidR="009465F1">
        <w:rPr>
          <w:rFonts w:ascii="Arial" w:hAnsi="Arial" w:cs="Arial"/>
          <w:sz w:val="22"/>
          <w:szCs w:val="22"/>
        </w:rPr>
        <w:t>focus groups</w:t>
      </w:r>
      <w:r w:rsidR="00ED09BC" w:rsidRPr="004A5320">
        <w:rPr>
          <w:rFonts w:ascii="Arial" w:hAnsi="Arial" w:cs="Arial"/>
          <w:sz w:val="22"/>
          <w:szCs w:val="22"/>
        </w:rPr>
        <w:t xml:space="preserve"> </w:t>
      </w:r>
      <w:r w:rsidR="00030FA6" w:rsidRPr="004A5320">
        <w:rPr>
          <w:rFonts w:ascii="Arial" w:hAnsi="Arial" w:cs="Arial"/>
          <w:sz w:val="22"/>
          <w:szCs w:val="22"/>
        </w:rPr>
        <w:t xml:space="preserve">with </w:t>
      </w:r>
      <w:r w:rsidR="000144D1" w:rsidRPr="004A5320">
        <w:rPr>
          <w:rFonts w:ascii="Arial" w:hAnsi="Arial" w:cs="Arial"/>
          <w:sz w:val="22"/>
          <w:szCs w:val="22"/>
        </w:rPr>
        <w:t xml:space="preserve">multicultural </w:t>
      </w:r>
      <w:r w:rsidR="00030FA6" w:rsidRPr="004A5320">
        <w:rPr>
          <w:rFonts w:ascii="Arial" w:hAnsi="Arial" w:cs="Arial"/>
          <w:sz w:val="22"/>
          <w:szCs w:val="22"/>
        </w:rPr>
        <w:t>youth age</w:t>
      </w:r>
      <w:r w:rsidR="000144D1" w:rsidRPr="004A5320">
        <w:rPr>
          <w:rFonts w:ascii="Arial" w:hAnsi="Arial" w:cs="Arial"/>
          <w:sz w:val="22"/>
          <w:szCs w:val="22"/>
        </w:rPr>
        <w:t>d</w:t>
      </w:r>
      <w:r w:rsidR="00030FA6" w:rsidRPr="004A5320">
        <w:rPr>
          <w:rFonts w:ascii="Arial" w:hAnsi="Arial" w:cs="Arial"/>
          <w:sz w:val="22"/>
          <w:szCs w:val="22"/>
        </w:rPr>
        <w:t xml:space="preserve"> 12</w:t>
      </w:r>
      <w:r w:rsidR="00EC4B29">
        <w:rPr>
          <w:rFonts w:ascii="Arial" w:hAnsi="Arial" w:cs="Arial"/>
          <w:sz w:val="22"/>
          <w:szCs w:val="22"/>
        </w:rPr>
        <w:t>-</w:t>
      </w:r>
      <w:r w:rsidR="00030FA6" w:rsidRPr="004A5320">
        <w:rPr>
          <w:rFonts w:ascii="Arial" w:hAnsi="Arial" w:cs="Arial"/>
          <w:sz w:val="22"/>
          <w:szCs w:val="22"/>
        </w:rPr>
        <w:t>17 (</w:t>
      </w:r>
      <w:r w:rsidR="00030FA6" w:rsidRPr="004A5320">
        <w:rPr>
          <w:rFonts w:ascii="Arial" w:hAnsi="Arial" w:cs="Arial"/>
          <w:i/>
          <w:sz w:val="22"/>
          <w:szCs w:val="22"/>
        </w:rPr>
        <w:t>n</w:t>
      </w:r>
      <w:r w:rsidR="00030FA6" w:rsidRPr="004A5320">
        <w:rPr>
          <w:rFonts w:ascii="Arial" w:hAnsi="Arial" w:cs="Arial"/>
          <w:sz w:val="22"/>
          <w:szCs w:val="22"/>
        </w:rPr>
        <w:t xml:space="preserve"> = </w:t>
      </w:r>
      <w:r w:rsidR="009465F1">
        <w:rPr>
          <w:rFonts w:ascii="Arial" w:hAnsi="Arial" w:cs="Arial"/>
          <w:sz w:val="22"/>
          <w:szCs w:val="22"/>
        </w:rPr>
        <w:t>560</w:t>
      </w:r>
      <w:r w:rsidR="00030FA6" w:rsidRPr="004A5320">
        <w:rPr>
          <w:rFonts w:ascii="Arial" w:hAnsi="Arial" w:cs="Arial"/>
          <w:sz w:val="22"/>
          <w:szCs w:val="22"/>
        </w:rPr>
        <w:t xml:space="preserve">) who </w:t>
      </w:r>
      <w:r w:rsidR="00ED09BC" w:rsidRPr="004A5320">
        <w:rPr>
          <w:rFonts w:ascii="Arial" w:hAnsi="Arial" w:cs="Arial"/>
          <w:sz w:val="22"/>
          <w:szCs w:val="22"/>
        </w:rPr>
        <w:t>have experimented with cigarettes (</w:t>
      </w:r>
      <w:r w:rsidR="00CB73F3">
        <w:rPr>
          <w:rFonts w:ascii="Arial" w:hAnsi="Arial" w:cs="Arial"/>
          <w:sz w:val="22"/>
          <w:szCs w:val="22"/>
        </w:rPr>
        <w:t>“experimenters” e</w:t>
      </w:r>
      <w:r w:rsidR="00ED09BC" w:rsidRPr="004A5320">
        <w:rPr>
          <w:rFonts w:ascii="Arial" w:hAnsi="Arial" w:cs="Arial"/>
          <w:sz w:val="22"/>
          <w:szCs w:val="22"/>
        </w:rPr>
        <w:t>.</w:t>
      </w:r>
      <w:r w:rsidR="00CB73F3">
        <w:rPr>
          <w:rFonts w:ascii="Arial" w:hAnsi="Arial" w:cs="Arial"/>
          <w:sz w:val="22"/>
          <w:szCs w:val="22"/>
        </w:rPr>
        <w:t>g</w:t>
      </w:r>
      <w:r w:rsidR="00ED09BC" w:rsidRPr="004A5320">
        <w:rPr>
          <w:rFonts w:ascii="Arial" w:hAnsi="Arial" w:cs="Arial"/>
          <w:sz w:val="22"/>
          <w:szCs w:val="22"/>
        </w:rPr>
        <w:t>., have reported</w:t>
      </w:r>
      <w:r w:rsidR="00ED09BC" w:rsidRPr="0072181A">
        <w:rPr>
          <w:rFonts w:ascii="Arial" w:hAnsi="Arial" w:cs="Arial"/>
          <w:sz w:val="22"/>
          <w:szCs w:val="22"/>
        </w:rPr>
        <w:t xml:space="preserve"> smoking fewer than 100 cigarettes in lifetime) and youth aged 1</w:t>
      </w:r>
      <w:r w:rsidR="00DB6761">
        <w:rPr>
          <w:rFonts w:ascii="Arial" w:hAnsi="Arial" w:cs="Arial"/>
          <w:sz w:val="22"/>
          <w:szCs w:val="22"/>
        </w:rPr>
        <w:t>2</w:t>
      </w:r>
      <w:r w:rsidR="00ED09BC" w:rsidRPr="0072181A">
        <w:rPr>
          <w:rFonts w:ascii="Arial" w:hAnsi="Arial" w:cs="Arial"/>
          <w:sz w:val="22"/>
          <w:szCs w:val="22"/>
        </w:rPr>
        <w:t>–</w:t>
      </w:r>
      <w:r w:rsidR="00ED09BC" w:rsidRPr="00A66F75">
        <w:rPr>
          <w:rFonts w:ascii="Arial" w:hAnsi="Arial" w:cs="Arial"/>
          <w:sz w:val="22"/>
          <w:szCs w:val="22"/>
        </w:rPr>
        <w:t>17 who are at risk of initiating (</w:t>
      </w:r>
      <w:r w:rsidR="00CB73F3" w:rsidRPr="00A66F75">
        <w:rPr>
          <w:rFonts w:ascii="Arial" w:hAnsi="Arial" w:cs="Arial"/>
          <w:sz w:val="22"/>
          <w:szCs w:val="22"/>
        </w:rPr>
        <w:t xml:space="preserve">“at risk non trier” </w:t>
      </w:r>
      <w:r w:rsidR="00ED09BC" w:rsidRPr="00A66F75">
        <w:rPr>
          <w:rFonts w:ascii="Arial" w:hAnsi="Arial" w:cs="Arial"/>
          <w:sz w:val="22"/>
          <w:szCs w:val="22"/>
        </w:rPr>
        <w:t>e.g., would smoke if a friend offered them a cigarette).</w:t>
      </w:r>
    </w:p>
    <w:p w:rsidR="00ED09BC" w:rsidRPr="00A66F75" w:rsidRDefault="00ED09BC" w:rsidP="00A66F75">
      <w:pPr>
        <w:pStyle w:val="ListParagraph"/>
        <w:ind w:left="360"/>
        <w:jc w:val="both"/>
        <w:rPr>
          <w:rFonts w:ascii="Arial" w:hAnsi="Arial" w:cs="Arial"/>
          <w:sz w:val="22"/>
          <w:szCs w:val="22"/>
        </w:rPr>
      </w:pPr>
    </w:p>
    <w:p w:rsidR="00946A95" w:rsidRPr="00A66F75" w:rsidRDefault="00946A95" w:rsidP="00A66F75">
      <w:pPr>
        <w:ind w:left="360"/>
        <w:jc w:val="both"/>
        <w:rPr>
          <w:rFonts w:ascii="Arial" w:hAnsi="Arial" w:cs="Arial"/>
          <w:sz w:val="22"/>
          <w:szCs w:val="22"/>
        </w:rPr>
      </w:pPr>
      <w:r w:rsidRPr="00A66F75">
        <w:rPr>
          <w:rFonts w:ascii="Arial" w:hAnsi="Arial" w:cs="Arial"/>
          <w:sz w:val="22"/>
          <w:szCs w:val="22"/>
        </w:rPr>
        <w:t xml:space="preserve">The research will be fielded for the purpose of </w:t>
      </w:r>
      <w:r w:rsidR="00DA0066" w:rsidRPr="00A66F75">
        <w:rPr>
          <w:rFonts w:ascii="Arial" w:hAnsi="Arial" w:cs="Arial"/>
          <w:sz w:val="22"/>
          <w:szCs w:val="22"/>
        </w:rPr>
        <w:t xml:space="preserve">identifying </w:t>
      </w:r>
      <w:r w:rsidR="009465F1" w:rsidRPr="00A66F75">
        <w:rPr>
          <w:rFonts w:ascii="Arial" w:hAnsi="Arial" w:cs="Arial"/>
          <w:sz w:val="22"/>
          <w:szCs w:val="22"/>
        </w:rPr>
        <w:t>prevalent at-risk peer crowds among the multicultural yo</w:t>
      </w:r>
      <w:r w:rsidR="002E7FFD" w:rsidRPr="00A66F75">
        <w:rPr>
          <w:rFonts w:ascii="Arial" w:hAnsi="Arial" w:cs="Arial"/>
          <w:sz w:val="22"/>
          <w:szCs w:val="22"/>
        </w:rPr>
        <w:t>uth aged 12</w:t>
      </w:r>
      <w:r w:rsidR="00EC4B29" w:rsidRPr="00A66F75">
        <w:rPr>
          <w:rFonts w:ascii="Arial" w:hAnsi="Arial" w:cs="Arial"/>
          <w:sz w:val="22"/>
          <w:szCs w:val="22"/>
        </w:rPr>
        <w:t>–</w:t>
      </w:r>
      <w:r w:rsidR="009465F1" w:rsidRPr="00A66F75">
        <w:rPr>
          <w:rFonts w:ascii="Arial" w:hAnsi="Arial" w:cs="Arial"/>
          <w:sz w:val="22"/>
          <w:szCs w:val="22"/>
        </w:rPr>
        <w:t xml:space="preserve">17 and </w:t>
      </w:r>
      <w:r w:rsidR="00DA0066" w:rsidRPr="00A66F75">
        <w:rPr>
          <w:rFonts w:ascii="Arial" w:hAnsi="Arial" w:cs="Arial"/>
          <w:sz w:val="22"/>
          <w:szCs w:val="22"/>
        </w:rPr>
        <w:t xml:space="preserve">assess </w:t>
      </w:r>
      <w:r w:rsidR="009465F1" w:rsidRPr="00A66F75">
        <w:rPr>
          <w:rFonts w:ascii="Arial" w:hAnsi="Arial" w:cs="Arial"/>
          <w:sz w:val="22"/>
          <w:szCs w:val="22"/>
        </w:rPr>
        <w:t>participants’ perceptions about advertising brands and concepts designed to reduce youth tobacco use</w:t>
      </w:r>
      <w:r w:rsidRPr="00A66F75">
        <w:rPr>
          <w:rFonts w:ascii="Arial" w:hAnsi="Arial" w:cs="Arial"/>
          <w:sz w:val="22"/>
          <w:szCs w:val="22"/>
        </w:rPr>
        <w:t xml:space="preserve">. </w:t>
      </w:r>
    </w:p>
    <w:p w:rsidR="001A7470" w:rsidRPr="00A66F75" w:rsidRDefault="001A7470" w:rsidP="00C76356">
      <w:pPr>
        <w:pStyle w:val="ListParagraph"/>
        <w:ind w:left="360"/>
        <w:jc w:val="both"/>
        <w:rPr>
          <w:rFonts w:ascii="Arial" w:hAnsi="Arial" w:cs="Arial"/>
          <w:b/>
          <w:sz w:val="22"/>
          <w:szCs w:val="22"/>
        </w:rPr>
      </w:pPr>
    </w:p>
    <w:p w:rsidR="00DF1834" w:rsidRPr="00A66F75" w:rsidRDefault="00DF1834" w:rsidP="00C76356">
      <w:pPr>
        <w:pStyle w:val="ListParagraph"/>
        <w:numPr>
          <w:ilvl w:val="0"/>
          <w:numId w:val="1"/>
        </w:numPr>
        <w:ind w:left="360"/>
        <w:jc w:val="both"/>
        <w:rPr>
          <w:rFonts w:ascii="Arial" w:hAnsi="Arial" w:cs="Arial"/>
          <w:b/>
          <w:sz w:val="22"/>
          <w:szCs w:val="22"/>
        </w:rPr>
      </w:pPr>
      <w:r w:rsidRPr="00A66F75">
        <w:rPr>
          <w:rFonts w:ascii="Arial" w:hAnsi="Arial" w:cs="Arial"/>
          <w:b/>
          <w:sz w:val="22"/>
          <w:szCs w:val="22"/>
        </w:rPr>
        <w:t>Intended use of information:</w:t>
      </w:r>
    </w:p>
    <w:p w:rsidR="00A66F75" w:rsidRPr="00A66F75" w:rsidRDefault="00E675CB" w:rsidP="00A66F75">
      <w:pPr>
        <w:ind w:left="360"/>
        <w:jc w:val="both"/>
        <w:rPr>
          <w:rFonts w:ascii="Arial" w:eastAsia="Times New Roman" w:hAnsi="Arial" w:cs="Arial"/>
          <w:sz w:val="22"/>
          <w:szCs w:val="22"/>
        </w:rPr>
      </w:pPr>
      <w:r w:rsidRPr="00A66F75">
        <w:rPr>
          <w:rFonts w:ascii="Arial" w:hAnsi="Arial" w:cs="Arial"/>
          <w:sz w:val="22"/>
          <w:szCs w:val="22"/>
        </w:rPr>
        <w:t>I</w:t>
      </w:r>
      <w:r w:rsidR="00E06BDE" w:rsidRPr="00A66F75">
        <w:rPr>
          <w:rFonts w:ascii="Arial" w:hAnsi="Arial" w:cs="Arial"/>
          <w:sz w:val="22"/>
          <w:szCs w:val="22"/>
        </w:rPr>
        <w:t xml:space="preserve">nformation </w:t>
      </w:r>
      <w:r w:rsidRPr="00A66F75">
        <w:rPr>
          <w:rFonts w:ascii="Arial" w:hAnsi="Arial" w:cs="Arial"/>
          <w:sz w:val="22"/>
          <w:szCs w:val="22"/>
        </w:rPr>
        <w:t xml:space="preserve">obtained </w:t>
      </w:r>
      <w:r w:rsidR="007E1745" w:rsidRPr="00A66F75">
        <w:rPr>
          <w:rFonts w:ascii="Arial" w:hAnsi="Arial" w:cs="Arial"/>
          <w:sz w:val="22"/>
          <w:szCs w:val="22"/>
        </w:rPr>
        <w:t xml:space="preserve">through this study will inform the </w:t>
      </w:r>
      <w:r w:rsidR="009465F1" w:rsidRPr="00A66F75">
        <w:rPr>
          <w:rFonts w:ascii="Arial" w:hAnsi="Arial" w:cs="Arial"/>
          <w:sz w:val="22"/>
          <w:szCs w:val="22"/>
        </w:rPr>
        <w:t xml:space="preserve">development and </w:t>
      </w:r>
      <w:r w:rsidR="007E1745" w:rsidRPr="00A66F75">
        <w:rPr>
          <w:rFonts w:ascii="Arial" w:hAnsi="Arial" w:cs="Arial"/>
          <w:sz w:val="22"/>
          <w:szCs w:val="22"/>
        </w:rPr>
        <w:t xml:space="preserve">implementation of </w:t>
      </w:r>
      <w:r w:rsidR="00DA0066" w:rsidRPr="00A66F75">
        <w:rPr>
          <w:rFonts w:ascii="Arial" w:hAnsi="Arial" w:cs="Arial"/>
          <w:sz w:val="22"/>
          <w:szCs w:val="22"/>
        </w:rPr>
        <w:t xml:space="preserve">both of </w:t>
      </w:r>
      <w:r w:rsidR="00946A95" w:rsidRPr="00A66F75">
        <w:rPr>
          <w:rFonts w:ascii="Arial" w:hAnsi="Arial" w:cs="Arial"/>
          <w:sz w:val="22"/>
          <w:szCs w:val="22"/>
        </w:rPr>
        <w:t>FDA’s</w:t>
      </w:r>
      <w:r w:rsidR="00DA0066" w:rsidRPr="00A66F75">
        <w:rPr>
          <w:rFonts w:ascii="Arial" w:hAnsi="Arial" w:cs="Arial"/>
          <w:sz w:val="22"/>
          <w:szCs w:val="22"/>
        </w:rPr>
        <w:t xml:space="preserve"> Multicultural Campaigns </w:t>
      </w:r>
      <w:r w:rsidR="006654DC" w:rsidRPr="00A66F75">
        <w:rPr>
          <w:rFonts w:ascii="Arial" w:hAnsi="Arial" w:cs="Arial"/>
          <w:sz w:val="22"/>
          <w:szCs w:val="22"/>
        </w:rPr>
        <w:t xml:space="preserve">(MC) </w:t>
      </w:r>
      <w:r w:rsidR="00DA0066" w:rsidRPr="00A66F75">
        <w:rPr>
          <w:rFonts w:ascii="Arial" w:hAnsi="Arial" w:cs="Arial"/>
          <w:sz w:val="22"/>
          <w:szCs w:val="22"/>
        </w:rPr>
        <w:t>designed to prevent youth tobacco use</w:t>
      </w:r>
      <w:r w:rsidR="00946A95" w:rsidRPr="00A66F75">
        <w:rPr>
          <w:rFonts w:ascii="Arial" w:hAnsi="Arial" w:cs="Arial"/>
          <w:sz w:val="22"/>
          <w:szCs w:val="22"/>
        </w:rPr>
        <w:t xml:space="preserve"> </w:t>
      </w:r>
      <w:r w:rsidR="00013FAB" w:rsidRPr="00A66F75">
        <w:rPr>
          <w:rFonts w:ascii="Arial" w:hAnsi="Arial" w:cs="Arial"/>
          <w:sz w:val="22"/>
          <w:szCs w:val="22"/>
        </w:rPr>
        <w:t xml:space="preserve">– </w:t>
      </w:r>
      <w:r w:rsidR="00DA0066" w:rsidRPr="00A66F75">
        <w:rPr>
          <w:rFonts w:ascii="Arial" w:hAnsi="Arial" w:cs="Arial"/>
          <w:sz w:val="22"/>
          <w:szCs w:val="22"/>
        </w:rPr>
        <w:t xml:space="preserve">MC1: ‘Fresh Empire’ and MC2: </w:t>
      </w:r>
      <w:r w:rsidR="00DA0066" w:rsidRPr="00A66F75">
        <w:rPr>
          <w:rFonts w:ascii="Arial" w:hAnsi="Arial" w:cs="Arial"/>
          <w:i/>
          <w:sz w:val="22"/>
          <w:szCs w:val="22"/>
        </w:rPr>
        <w:t xml:space="preserve">name </w:t>
      </w:r>
      <w:r w:rsidR="00630E0C">
        <w:rPr>
          <w:rFonts w:ascii="Arial" w:hAnsi="Arial" w:cs="Arial"/>
          <w:i/>
          <w:sz w:val="22"/>
          <w:szCs w:val="22"/>
        </w:rPr>
        <w:t>to be determined</w:t>
      </w:r>
      <w:r w:rsidR="00DA0066" w:rsidRPr="00A66F75">
        <w:rPr>
          <w:rFonts w:ascii="Arial" w:hAnsi="Arial" w:cs="Arial"/>
          <w:sz w:val="22"/>
          <w:szCs w:val="22"/>
        </w:rPr>
        <w:t>)</w:t>
      </w:r>
      <w:r w:rsidR="007E1745" w:rsidRPr="00A66F75">
        <w:rPr>
          <w:rFonts w:ascii="Arial" w:hAnsi="Arial" w:cs="Arial"/>
          <w:sz w:val="22"/>
          <w:szCs w:val="22"/>
        </w:rPr>
        <w:t xml:space="preserve">. </w:t>
      </w:r>
      <w:r w:rsidR="002E7FFD" w:rsidRPr="00A66F75">
        <w:rPr>
          <w:rFonts w:ascii="Arial" w:hAnsi="Arial" w:cs="Arial"/>
          <w:sz w:val="22"/>
          <w:szCs w:val="22"/>
        </w:rPr>
        <w:t xml:space="preserve">Specifically, focus group participants will answer questions regarding comprehension, relevance, and impact of several campaign brand and creative concepts, and regarding prevalent peer crowds. </w:t>
      </w:r>
      <w:r w:rsidR="00A66F75" w:rsidRPr="00A66F75">
        <w:rPr>
          <w:rFonts w:ascii="Arial" w:eastAsia="Times New Roman" w:hAnsi="Arial" w:cs="Arial"/>
          <w:sz w:val="22"/>
          <w:szCs w:val="22"/>
        </w:rPr>
        <w:t>Peer crowds are aggregates of individuals and peer groups that have similar interests, lifestyles, and habits across geographic areas. While a teen has a local peer group she/he socializes with, the teen and his/her peer group belong to a larger peer crowd that shares significant cultural similarities across geographic areas.</w:t>
      </w:r>
    </w:p>
    <w:p w:rsidR="00A66F75" w:rsidRPr="00A66F75" w:rsidRDefault="00A66F75" w:rsidP="00A66F75">
      <w:pPr>
        <w:jc w:val="both"/>
        <w:rPr>
          <w:rFonts w:ascii="Arial" w:eastAsia="Times New Roman" w:hAnsi="Arial" w:cs="Arial"/>
          <w:sz w:val="22"/>
          <w:szCs w:val="22"/>
        </w:rPr>
      </w:pPr>
      <w:r w:rsidRPr="00A66F75">
        <w:rPr>
          <w:rFonts w:ascii="Arial" w:eastAsia="Times New Roman" w:hAnsi="Arial" w:cs="Arial"/>
          <w:sz w:val="22"/>
          <w:szCs w:val="22"/>
        </w:rPr>
        <w:t> </w:t>
      </w:r>
    </w:p>
    <w:p w:rsidR="00055AAB" w:rsidRPr="00A66F75" w:rsidRDefault="002E7FFD" w:rsidP="00A66F75">
      <w:pPr>
        <w:widowControl w:val="0"/>
        <w:autoSpaceDE w:val="0"/>
        <w:autoSpaceDN w:val="0"/>
        <w:adjustRightInd w:val="0"/>
        <w:ind w:left="360"/>
        <w:jc w:val="both"/>
        <w:rPr>
          <w:rFonts w:ascii="Arial" w:hAnsi="Arial" w:cs="Arial"/>
          <w:sz w:val="22"/>
          <w:szCs w:val="22"/>
        </w:rPr>
      </w:pPr>
      <w:r w:rsidRPr="00A66F75">
        <w:rPr>
          <w:rFonts w:ascii="Arial" w:hAnsi="Arial" w:cs="Arial"/>
          <w:sz w:val="22"/>
          <w:szCs w:val="22"/>
        </w:rPr>
        <w:t xml:space="preserve">Results will be used to </w:t>
      </w:r>
      <w:r w:rsidR="00EC4B29" w:rsidRPr="00A66F75">
        <w:rPr>
          <w:rFonts w:ascii="Arial" w:hAnsi="Arial" w:cs="Arial"/>
          <w:sz w:val="22"/>
          <w:szCs w:val="22"/>
        </w:rPr>
        <w:t xml:space="preserve">develop and </w:t>
      </w:r>
      <w:r w:rsidRPr="00A66F75">
        <w:rPr>
          <w:rFonts w:ascii="Arial" w:hAnsi="Arial" w:cs="Arial"/>
          <w:sz w:val="22"/>
          <w:szCs w:val="22"/>
        </w:rPr>
        <w:t>refine the brand</w:t>
      </w:r>
      <w:r w:rsidR="00EC4B29" w:rsidRPr="00A66F75">
        <w:rPr>
          <w:rFonts w:ascii="Arial" w:hAnsi="Arial" w:cs="Arial"/>
          <w:sz w:val="22"/>
          <w:szCs w:val="22"/>
        </w:rPr>
        <w:t>s</w:t>
      </w:r>
      <w:r w:rsidRPr="00A66F75">
        <w:rPr>
          <w:rFonts w:ascii="Arial" w:hAnsi="Arial" w:cs="Arial"/>
          <w:sz w:val="22"/>
          <w:szCs w:val="22"/>
        </w:rPr>
        <w:t xml:space="preserve"> and creative concepts for the </w:t>
      </w:r>
      <w:r w:rsidR="00013FAB" w:rsidRPr="00A66F75">
        <w:rPr>
          <w:rFonts w:ascii="Arial" w:hAnsi="Arial" w:cs="Arial"/>
          <w:sz w:val="22"/>
          <w:szCs w:val="22"/>
        </w:rPr>
        <w:t>MC1 and MC2</w:t>
      </w:r>
      <w:r w:rsidRPr="00A66F75">
        <w:rPr>
          <w:rFonts w:ascii="Arial" w:hAnsi="Arial" w:cs="Arial"/>
          <w:sz w:val="22"/>
          <w:szCs w:val="22"/>
        </w:rPr>
        <w:t xml:space="preserve"> Campaigns.</w:t>
      </w:r>
    </w:p>
    <w:p w:rsidR="002E7FFD" w:rsidRPr="00A66F75" w:rsidRDefault="002E7FFD" w:rsidP="00A66F75">
      <w:pPr>
        <w:widowControl w:val="0"/>
        <w:autoSpaceDE w:val="0"/>
        <w:autoSpaceDN w:val="0"/>
        <w:adjustRightInd w:val="0"/>
        <w:ind w:left="360"/>
        <w:jc w:val="both"/>
        <w:rPr>
          <w:rFonts w:ascii="Arial" w:hAnsi="Arial" w:cs="Arial"/>
          <w:sz w:val="22"/>
          <w:szCs w:val="22"/>
        </w:rPr>
      </w:pPr>
    </w:p>
    <w:p w:rsidR="00946A95" w:rsidRPr="00A66F75" w:rsidRDefault="002E7FFD" w:rsidP="00946A95">
      <w:pPr>
        <w:ind w:left="360"/>
        <w:rPr>
          <w:rFonts w:ascii="Arial" w:hAnsi="Arial" w:cs="Arial"/>
          <w:sz w:val="22"/>
          <w:szCs w:val="22"/>
        </w:rPr>
      </w:pPr>
      <w:r w:rsidRPr="00A66F75">
        <w:rPr>
          <w:rFonts w:ascii="Arial" w:hAnsi="Arial" w:cs="Arial"/>
          <w:sz w:val="22"/>
          <w:szCs w:val="22"/>
        </w:rPr>
        <w:t>The study will consist of a series of focus groups with youth aged 12 to 17. Focus group discussions and activities will be designed to answer the following questions:</w:t>
      </w:r>
    </w:p>
    <w:p w:rsidR="0094153E" w:rsidRPr="00A66F75" w:rsidRDefault="0094153E" w:rsidP="00946A95">
      <w:pPr>
        <w:ind w:left="360"/>
        <w:rPr>
          <w:rFonts w:ascii="Arial" w:hAnsi="Arial" w:cs="Arial"/>
          <w:sz w:val="22"/>
          <w:szCs w:val="22"/>
        </w:rPr>
      </w:pPr>
    </w:p>
    <w:p w:rsidR="002E7FFD" w:rsidRPr="00A66F75" w:rsidRDefault="002E7FFD" w:rsidP="001D743D">
      <w:pPr>
        <w:numPr>
          <w:ilvl w:val="0"/>
          <w:numId w:val="6"/>
        </w:numPr>
        <w:rPr>
          <w:rFonts w:ascii="Arial" w:hAnsi="Arial" w:cs="Arial"/>
          <w:sz w:val="22"/>
          <w:szCs w:val="22"/>
        </w:rPr>
      </w:pPr>
      <w:r w:rsidRPr="00A66F75">
        <w:rPr>
          <w:rFonts w:ascii="Arial" w:hAnsi="Arial" w:cs="Arial"/>
          <w:sz w:val="22"/>
          <w:szCs w:val="22"/>
        </w:rPr>
        <w:t>Which social peer crowds are most common among multicultural teens and what characteristics uniquely define them?</w:t>
      </w:r>
    </w:p>
    <w:p w:rsidR="005A5A20" w:rsidRPr="00A66F75" w:rsidRDefault="005A5A20" w:rsidP="001D743D">
      <w:pPr>
        <w:numPr>
          <w:ilvl w:val="0"/>
          <w:numId w:val="6"/>
        </w:numPr>
        <w:rPr>
          <w:rFonts w:ascii="Arial" w:hAnsi="Arial" w:cs="Arial"/>
          <w:sz w:val="22"/>
          <w:szCs w:val="22"/>
        </w:rPr>
      </w:pPr>
      <w:r w:rsidRPr="00A66F75">
        <w:rPr>
          <w:rFonts w:ascii="Arial" w:hAnsi="Arial" w:cs="Arial"/>
          <w:sz w:val="22"/>
          <w:szCs w:val="22"/>
        </w:rPr>
        <w:t>Is</w:t>
      </w:r>
      <w:r w:rsidR="002E7FFD" w:rsidRPr="00A66F75">
        <w:rPr>
          <w:rFonts w:ascii="Arial" w:hAnsi="Arial" w:cs="Arial"/>
          <w:sz w:val="22"/>
          <w:szCs w:val="22"/>
        </w:rPr>
        <w:t xml:space="preserve"> identification with particular peer crowds a risk or protective factor in the context of youth tobacco use</w:t>
      </w:r>
      <w:r w:rsidRPr="00A66F75">
        <w:rPr>
          <w:rFonts w:ascii="Arial" w:hAnsi="Arial" w:cs="Arial"/>
          <w:sz w:val="22"/>
          <w:szCs w:val="22"/>
        </w:rPr>
        <w:t>, and if so, how</w:t>
      </w:r>
      <w:r w:rsidR="002E7FFD" w:rsidRPr="00A66F75">
        <w:rPr>
          <w:rFonts w:ascii="Arial" w:hAnsi="Arial" w:cs="Arial"/>
          <w:sz w:val="22"/>
          <w:szCs w:val="22"/>
        </w:rPr>
        <w:t>?</w:t>
      </w:r>
    </w:p>
    <w:p w:rsidR="005A5A20" w:rsidRPr="00A66F75" w:rsidRDefault="005A5A20" w:rsidP="001D743D">
      <w:pPr>
        <w:numPr>
          <w:ilvl w:val="0"/>
          <w:numId w:val="6"/>
        </w:numPr>
        <w:rPr>
          <w:rFonts w:ascii="Arial" w:hAnsi="Arial" w:cs="Arial"/>
          <w:sz w:val="22"/>
          <w:szCs w:val="22"/>
        </w:rPr>
      </w:pPr>
      <w:r w:rsidRPr="00A66F75">
        <w:rPr>
          <w:rFonts w:ascii="Arial" w:hAnsi="Arial" w:cs="Arial"/>
          <w:sz w:val="22"/>
          <w:szCs w:val="22"/>
        </w:rPr>
        <w:t>Which pictures represent each social peer crowd?</w:t>
      </w:r>
    </w:p>
    <w:p w:rsidR="005A5A20" w:rsidRPr="00A66F75" w:rsidRDefault="005A5A20" w:rsidP="001D743D">
      <w:pPr>
        <w:numPr>
          <w:ilvl w:val="0"/>
          <w:numId w:val="6"/>
        </w:numPr>
        <w:rPr>
          <w:rFonts w:ascii="Arial" w:hAnsi="Arial" w:cs="Arial"/>
          <w:sz w:val="22"/>
          <w:szCs w:val="22"/>
        </w:rPr>
      </w:pPr>
      <w:r w:rsidRPr="00A66F75">
        <w:rPr>
          <w:rFonts w:ascii="Arial" w:hAnsi="Arial" w:cs="Arial"/>
          <w:sz w:val="22"/>
          <w:szCs w:val="22"/>
        </w:rPr>
        <w:t>How do youth react to various tobacco-related facts?</w:t>
      </w:r>
    </w:p>
    <w:p w:rsidR="005A5A20" w:rsidRDefault="005A5A20" w:rsidP="001D743D">
      <w:pPr>
        <w:numPr>
          <w:ilvl w:val="0"/>
          <w:numId w:val="6"/>
        </w:numPr>
        <w:rPr>
          <w:rFonts w:ascii="Arial" w:hAnsi="Arial" w:cs="Arial"/>
          <w:sz w:val="22"/>
          <w:szCs w:val="22"/>
        </w:rPr>
      </w:pPr>
      <w:r w:rsidRPr="00A66F75">
        <w:rPr>
          <w:rFonts w:ascii="Arial" w:hAnsi="Arial" w:cs="Arial"/>
          <w:sz w:val="22"/>
          <w:szCs w:val="22"/>
        </w:rPr>
        <w:t>How do youth evaluate and perceiv</w:t>
      </w:r>
      <w:r>
        <w:rPr>
          <w:rFonts w:ascii="Arial" w:hAnsi="Arial" w:cs="Arial"/>
          <w:sz w:val="22"/>
          <w:szCs w:val="22"/>
        </w:rPr>
        <w:t>e campaign brand elements?</w:t>
      </w:r>
    </w:p>
    <w:p w:rsidR="00055AAB" w:rsidRPr="0072181A" w:rsidRDefault="005A5A20" w:rsidP="001D743D">
      <w:pPr>
        <w:numPr>
          <w:ilvl w:val="0"/>
          <w:numId w:val="6"/>
        </w:numPr>
        <w:rPr>
          <w:rFonts w:ascii="Arial" w:hAnsi="Arial" w:cs="Arial"/>
          <w:sz w:val="22"/>
          <w:szCs w:val="22"/>
        </w:rPr>
      </w:pPr>
      <w:r>
        <w:rPr>
          <w:rFonts w:ascii="Arial" w:hAnsi="Arial" w:cs="Arial"/>
          <w:sz w:val="22"/>
          <w:szCs w:val="22"/>
        </w:rPr>
        <w:t>How do youth evaluate and perceive preliminary campaign creative concepts?</w:t>
      </w:r>
    </w:p>
    <w:p w:rsidR="002E7FFD" w:rsidRDefault="002E7FFD" w:rsidP="00C76356">
      <w:pPr>
        <w:widowControl w:val="0"/>
        <w:autoSpaceDE w:val="0"/>
        <w:autoSpaceDN w:val="0"/>
        <w:adjustRightInd w:val="0"/>
        <w:ind w:left="360"/>
        <w:jc w:val="both"/>
        <w:rPr>
          <w:rFonts w:ascii="Arial" w:hAnsi="Arial" w:cs="Arial"/>
          <w:sz w:val="22"/>
          <w:szCs w:val="22"/>
        </w:rPr>
      </w:pPr>
    </w:p>
    <w:p w:rsidR="00C844C5" w:rsidRDefault="00C844C5">
      <w:pPr>
        <w:rPr>
          <w:rFonts w:ascii="Arial" w:hAnsi="Arial" w:cs="Arial"/>
          <w:sz w:val="22"/>
          <w:szCs w:val="22"/>
        </w:rPr>
      </w:pPr>
      <w:r>
        <w:rPr>
          <w:rFonts w:ascii="Arial" w:hAnsi="Arial" w:cs="Arial"/>
          <w:sz w:val="22"/>
          <w:szCs w:val="22"/>
        </w:rPr>
        <w:br w:type="page"/>
      </w:r>
    </w:p>
    <w:p w:rsidR="00C41205" w:rsidRPr="0072181A" w:rsidRDefault="00C41205" w:rsidP="00C76356">
      <w:pPr>
        <w:widowControl w:val="0"/>
        <w:autoSpaceDE w:val="0"/>
        <w:autoSpaceDN w:val="0"/>
        <w:adjustRightInd w:val="0"/>
        <w:ind w:left="360"/>
        <w:jc w:val="both"/>
        <w:rPr>
          <w:rFonts w:ascii="Arial" w:hAnsi="Arial" w:cs="Arial"/>
          <w:sz w:val="22"/>
          <w:szCs w:val="22"/>
        </w:rPr>
      </w:pPr>
    </w:p>
    <w:p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respondents:</w:t>
      </w:r>
    </w:p>
    <w:p w:rsidR="00C844C5" w:rsidRDefault="00C844C5" w:rsidP="00C844C5">
      <w:pPr>
        <w:widowControl w:val="0"/>
        <w:autoSpaceDE w:val="0"/>
        <w:autoSpaceDN w:val="0"/>
        <w:adjustRightInd w:val="0"/>
        <w:ind w:left="360"/>
        <w:jc w:val="both"/>
        <w:rPr>
          <w:rFonts w:ascii="Arial" w:hAnsi="Arial" w:cs="Arial"/>
          <w:sz w:val="22"/>
          <w:szCs w:val="22"/>
        </w:rPr>
      </w:pPr>
    </w:p>
    <w:p w:rsidR="008B28AC" w:rsidRPr="0072181A" w:rsidRDefault="005A5A20" w:rsidP="007020D0">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 xml:space="preserve">Two </w:t>
      </w:r>
      <w:r w:rsidR="00F06EB6">
        <w:rPr>
          <w:rFonts w:ascii="Arial" w:hAnsi="Arial" w:cs="Arial"/>
          <w:sz w:val="22"/>
          <w:szCs w:val="22"/>
        </w:rPr>
        <w:t>phases of research will be conducted</w:t>
      </w:r>
      <w:r>
        <w:rPr>
          <w:rFonts w:ascii="Arial" w:hAnsi="Arial" w:cs="Arial"/>
          <w:sz w:val="22"/>
          <w:szCs w:val="22"/>
        </w:rPr>
        <w:t xml:space="preserve"> – Strategy Development and Creative Development. Two hundred</w:t>
      </w:r>
      <w:r w:rsidR="00CB73F3">
        <w:rPr>
          <w:rFonts w:ascii="Arial" w:hAnsi="Arial" w:cs="Arial"/>
          <w:sz w:val="22"/>
          <w:szCs w:val="22"/>
        </w:rPr>
        <w:t xml:space="preserve"> (200)</w:t>
      </w:r>
      <w:r>
        <w:rPr>
          <w:rFonts w:ascii="Arial" w:hAnsi="Arial" w:cs="Arial"/>
          <w:sz w:val="22"/>
          <w:szCs w:val="22"/>
        </w:rPr>
        <w:t xml:space="preserve"> youth aged 12-17 will participate in the Strategy Development focus groups, and 360 youth </w:t>
      </w:r>
      <w:r w:rsidR="00EC4B29">
        <w:rPr>
          <w:rFonts w:ascii="Arial" w:hAnsi="Arial" w:cs="Arial"/>
          <w:sz w:val="22"/>
          <w:szCs w:val="22"/>
        </w:rPr>
        <w:t xml:space="preserve">aged 12-17 </w:t>
      </w:r>
      <w:r>
        <w:rPr>
          <w:rFonts w:ascii="Arial" w:hAnsi="Arial" w:cs="Arial"/>
          <w:sz w:val="22"/>
          <w:szCs w:val="22"/>
        </w:rPr>
        <w:t xml:space="preserve">will participate in the Creative Development focus groups, for a total sample size of 560. </w:t>
      </w:r>
      <w:r w:rsidR="00376D2D" w:rsidRPr="0072181A">
        <w:rPr>
          <w:rFonts w:ascii="Arial" w:hAnsi="Arial" w:cs="Arial"/>
          <w:sz w:val="22"/>
          <w:szCs w:val="22"/>
        </w:rPr>
        <w:t>Study</w:t>
      </w:r>
      <w:r w:rsidR="00F86559" w:rsidRPr="0072181A">
        <w:rPr>
          <w:rFonts w:ascii="Arial" w:hAnsi="Arial" w:cs="Arial"/>
          <w:sz w:val="22"/>
          <w:szCs w:val="22"/>
        </w:rPr>
        <w:t xml:space="preserve"> </w:t>
      </w:r>
      <w:r w:rsidR="00DF0672" w:rsidRPr="0072181A">
        <w:rPr>
          <w:rFonts w:ascii="Arial" w:hAnsi="Arial" w:cs="Arial"/>
          <w:sz w:val="22"/>
          <w:szCs w:val="22"/>
        </w:rPr>
        <w:t>participants</w:t>
      </w:r>
      <w:r w:rsidR="00376D2D" w:rsidRPr="0072181A">
        <w:rPr>
          <w:rFonts w:ascii="Arial" w:hAnsi="Arial" w:cs="Arial"/>
          <w:sz w:val="22"/>
          <w:szCs w:val="22"/>
        </w:rPr>
        <w:t xml:space="preserve"> </w:t>
      </w:r>
      <w:r w:rsidR="005C2F1B" w:rsidRPr="0072181A">
        <w:rPr>
          <w:rFonts w:ascii="Arial" w:hAnsi="Arial" w:cs="Arial"/>
          <w:sz w:val="22"/>
          <w:szCs w:val="22"/>
        </w:rPr>
        <w:t xml:space="preserve">will </w:t>
      </w:r>
      <w:r w:rsidR="00376D2D" w:rsidRPr="0072181A">
        <w:rPr>
          <w:rFonts w:ascii="Arial" w:hAnsi="Arial" w:cs="Arial"/>
          <w:sz w:val="22"/>
          <w:szCs w:val="22"/>
        </w:rPr>
        <w:t xml:space="preserve">consist of </w:t>
      </w:r>
      <w:r w:rsidR="00EB5929">
        <w:rPr>
          <w:rFonts w:ascii="Arial" w:hAnsi="Arial" w:cs="Arial"/>
          <w:sz w:val="22"/>
          <w:szCs w:val="22"/>
        </w:rPr>
        <w:t xml:space="preserve">youth who </w:t>
      </w:r>
      <w:r w:rsidR="00F06EB6">
        <w:rPr>
          <w:rFonts w:ascii="Arial" w:hAnsi="Arial" w:cs="Arial"/>
          <w:sz w:val="22"/>
          <w:szCs w:val="22"/>
        </w:rPr>
        <w:t xml:space="preserve">either </w:t>
      </w:r>
      <w:r w:rsidR="00EB5929">
        <w:rPr>
          <w:rFonts w:ascii="Arial" w:hAnsi="Arial" w:cs="Arial"/>
          <w:sz w:val="22"/>
          <w:szCs w:val="22"/>
        </w:rPr>
        <w:t>self-report as experimenters</w:t>
      </w:r>
      <w:r w:rsidR="00F06EB6">
        <w:rPr>
          <w:rFonts w:ascii="Arial" w:hAnsi="Arial" w:cs="Arial"/>
          <w:sz w:val="22"/>
          <w:szCs w:val="22"/>
        </w:rPr>
        <w:t xml:space="preserve"> or at-risk non-triers. </w:t>
      </w:r>
      <w:r>
        <w:rPr>
          <w:rFonts w:ascii="Arial" w:hAnsi="Arial" w:cs="Arial"/>
          <w:sz w:val="22"/>
          <w:szCs w:val="22"/>
        </w:rPr>
        <w:t xml:space="preserve">Approximately </w:t>
      </w:r>
      <w:r w:rsidR="00CC1EB5">
        <w:rPr>
          <w:rFonts w:ascii="Arial" w:hAnsi="Arial" w:cs="Arial"/>
          <w:sz w:val="22"/>
          <w:szCs w:val="22"/>
        </w:rPr>
        <w:t xml:space="preserve">1,680 </w:t>
      </w:r>
      <w:r>
        <w:rPr>
          <w:rFonts w:ascii="Arial" w:hAnsi="Arial" w:cs="Arial"/>
          <w:sz w:val="22"/>
          <w:szCs w:val="22"/>
        </w:rPr>
        <w:t xml:space="preserve">youth will be screened in order to obtain a sample size of 560. </w:t>
      </w:r>
    </w:p>
    <w:p w:rsidR="005F220F" w:rsidRPr="0072181A" w:rsidRDefault="005F220F" w:rsidP="00AD107F">
      <w:pPr>
        <w:rPr>
          <w:rFonts w:ascii="Arial" w:hAnsi="Arial" w:cs="Arial"/>
          <w:b/>
          <w:sz w:val="22"/>
          <w:szCs w:val="22"/>
        </w:rPr>
      </w:pPr>
    </w:p>
    <w:p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Date(s) to be </w:t>
      </w:r>
      <w:r w:rsidR="0094153E">
        <w:rPr>
          <w:rFonts w:ascii="Arial" w:hAnsi="Arial" w:cs="Arial"/>
          <w:b/>
          <w:sz w:val="22"/>
          <w:szCs w:val="22"/>
        </w:rPr>
        <w:t>conducted</w:t>
      </w:r>
      <w:r w:rsidRPr="0072181A">
        <w:rPr>
          <w:rFonts w:ascii="Arial" w:hAnsi="Arial" w:cs="Arial"/>
          <w:b/>
          <w:sz w:val="22"/>
          <w:szCs w:val="22"/>
        </w:rPr>
        <w:t>:</w:t>
      </w:r>
    </w:p>
    <w:p w:rsidR="00F110E1" w:rsidRPr="0072181A" w:rsidRDefault="00F110E1" w:rsidP="00526507">
      <w:pPr>
        <w:pStyle w:val="ListParagraph"/>
        <w:ind w:left="360"/>
        <w:jc w:val="both"/>
        <w:rPr>
          <w:rFonts w:ascii="Arial" w:hAnsi="Arial" w:cs="Arial"/>
          <w:b/>
          <w:sz w:val="22"/>
          <w:szCs w:val="22"/>
        </w:rPr>
      </w:pPr>
    </w:p>
    <w:p w:rsidR="007020D0" w:rsidRPr="0072181A" w:rsidRDefault="00773181" w:rsidP="007020D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The study</w:t>
      </w:r>
      <w:r w:rsidR="00016D90" w:rsidRPr="0072181A">
        <w:rPr>
          <w:rFonts w:ascii="Arial" w:hAnsi="Arial" w:cs="Arial"/>
          <w:sz w:val="22"/>
          <w:szCs w:val="22"/>
        </w:rPr>
        <w:t xml:space="preserve"> </w:t>
      </w:r>
      <w:r w:rsidR="00DF0672" w:rsidRPr="0072181A">
        <w:rPr>
          <w:rFonts w:ascii="Arial" w:hAnsi="Arial" w:cs="Arial"/>
          <w:sz w:val="22"/>
          <w:szCs w:val="22"/>
        </w:rPr>
        <w:t xml:space="preserve">is projected to occur </w:t>
      </w:r>
      <w:r w:rsidR="00857CBD" w:rsidRPr="0072181A">
        <w:rPr>
          <w:rFonts w:ascii="Arial" w:hAnsi="Arial" w:cs="Arial"/>
          <w:sz w:val="22"/>
          <w:szCs w:val="22"/>
        </w:rPr>
        <w:t xml:space="preserve">between </w:t>
      </w:r>
      <w:r w:rsidR="00EB5929">
        <w:rPr>
          <w:rFonts w:ascii="Arial" w:hAnsi="Arial" w:cs="Arial"/>
          <w:sz w:val="22"/>
          <w:szCs w:val="22"/>
        </w:rPr>
        <w:t xml:space="preserve">December </w:t>
      </w:r>
      <w:r w:rsidR="00B669D9" w:rsidRPr="0072181A">
        <w:rPr>
          <w:rFonts w:ascii="Arial" w:hAnsi="Arial" w:cs="Arial"/>
          <w:sz w:val="22"/>
          <w:szCs w:val="22"/>
        </w:rPr>
        <w:t>1,</w:t>
      </w:r>
      <w:r w:rsidR="00C76356" w:rsidRPr="0072181A">
        <w:rPr>
          <w:rFonts w:ascii="Arial" w:hAnsi="Arial" w:cs="Arial"/>
          <w:sz w:val="22"/>
          <w:szCs w:val="22"/>
        </w:rPr>
        <w:t xml:space="preserve"> </w:t>
      </w:r>
      <w:r w:rsidR="00016D90" w:rsidRPr="0072181A">
        <w:rPr>
          <w:rFonts w:ascii="Arial" w:hAnsi="Arial" w:cs="Arial"/>
          <w:sz w:val="22"/>
          <w:szCs w:val="22"/>
        </w:rPr>
        <w:t>2014</w:t>
      </w:r>
      <w:r w:rsidR="00E85ACC" w:rsidRPr="0072181A">
        <w:rPr>
          <w:rFonts w:ascii="Arial" w:hAnsi="Arial" w:cs="Arial"/>
          <w:sz w:val="22"/>
          <w:szCs w:val="22"/>
        </w:rPr>
        <w:t xml:space="preserve"> and</w:t>
      </w:r>
      <w:r w:rsidR="00C76356" w:rsidRPr="0072181A">
        <w:rPr>
          <w:rFonts w:ascii="Arial" w:hAnsi="Arial" w:cs="Arial"/>
          <w:sz w:val="22"/>
          <w:szCs w:val="22"/>
        </w:rPr>
        <w:t xml:space="preserve"> </w:t>
      </w:r>
      <w:r w:rsidR="00EB5929">
        <w:rPr>
          <w:rFonts w:ascii="Arial" w:hAnsi="Arial" w:cs="Arial"/>
          <w:sz w:val="22"/>
          <w:szCs w:val="22"/>
        </w:rPr>
        <w:t xml:space="preserve">November </w:t>
      </w:r>
      <w:r w:rsidR="00A24D45" w:rsidRPr="0072181A">
        <w:rPr>
          <w:rFonts w:ascii="Arial" w:hAnsi="Arial" w:cs="Arial"/>
          <w:sz w:val="22"/>
          <w:szCs w:val="22"/>
        </w:rPr>
        <w:t>3</w:t>
      </w:r>
      <w:r w:rsidR="00EB5929">
        <w:rPr>
          <w:rFonts w:ascii="Arial" w:hAnsi="Arial" w:cs="Arial"/>
          <w:sz w:val="22"/>
          <w:szCs w:val="22"/>
        </w:rPr>
        <w:t>0</w:t>
      </w:r>
      <w:r w:rsidR="00C76356" w:rsidRPr="0072181A">
        <w:rPr>
          <w:rFonts w:ascii="Arial" w:hAnsi="Arial" w:cs="Arial"/>
          <w:sz w:val="22"/>
          <w:szCs w:val="22"/>
        </w:rPr>
        <w:t xml:space="preserve">, </w:t>
      </w:r>
      <w:r w:rsidR="00E85ACC" w:rsidRPr="0072181A">
        <w:rPr>
          <w:rFonts w:ascii="Arial" w:hAnsi="Arial" w:cs="Arial"/>
          <w:sz w:val="22"/>
          <w:szCs w:val="22"/>
        </w:rPr>
        <w:t>2015</w:t>
      </w:r>
      <w:r w:rsidR="0094153E">
        <w:rPr>
          <w:rFonts w:ascii="Arial" w:hAnsi="Arial" w:cs="Arial"/>
          <w:sz w:val="22"/>
          <w:szCs w:val="22"/>
        </w:rPr>
        <w:t>.</w:t>
      </w:r>
      <w:r w:rsidR="00B679F7" w:rsidRPr="0072181A">
        <w:rPr>
          <w:rFonts w:ascii="Arial" w:hAnsi="Arial" w:cs="Arial"/>
          <w:sz w:val="22"/>
          <w:szCs w:val="22"/>
        </w:rPr>
        <w:t xml:space="preserve"> </w:t>
      </w:r>
    </w:p>
    <w:p w:rsidR="00DF1834" w:rsidRDefault="00DF1834" w:rsidP="007020D0">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How the information is being collected: </w:t>
      </w:r>
    </w:p>
    <w:p w:rsidR="00F110E1" w:rsidRPr="0072181A" w:rsidRDefault="00F110E1" w:rsidP="00526507">
      <w:pPr>
        <w:pStyle w:val="ListParagraph"/>
        <w:ind w:left="360"/>
        <w:jc w:val="both"/>
        <w:rPr>
          <w:rFonts w:ascii="Arial" w:hAnsi="Arial" w:cs="Arial"/>
          <w:b/>
          <w:sz w:val="22"/>
          <w:szCs w:val="22"/>
        </w:rPr>
      </w:pPr>
    </w:p>
    <w:p w:rsidR="00A24D45" w:rsidRDefault="00CB73F3" w:rsidP="00B857C0">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 xml:space="preserve">The information is being collected using a </w:t>
      </w:r>
      <w:r w:rsidR="00A24D45">
        <w:rPr>
          <w:rFonts w:ascii="Arial" w:hAnsi="Arial" w:cs="Arial"/>
          <w:sz w:val="22"/>
          <w:szCs w:val="22"/>
        </w:rPr>
        <w:t xml:space="preserve">professional moderator and up to three research assistants with experience leading youth focus groups. The moderator and assistants will engage participants in a series of activities and questions using </w:t>
      </w:r>
      <w:r w:rsidR="00EC4B29">
        <w:rPr>
          <w:rFonts w:ascii="Arial" w:hAnsi="Arial" w:cs="Arial"/>
          <w:sz w:val="22"/>
          <w:szCs w:val="22"/>
        </w:rPr>
        <w:t>s</w:t>
      </w:r>
      <w:r w:rsidR="00A24D45">
        <w:rPr>
          <w:rFonts w:ascii="Arial" w:hAnsi="Arial" w:cs="Arial"/>
          <w:sz w:val="22"/>
          <w:szCs w:val="22"/>
        </w:rPr>
        <w:t>emi-structured discussion guide</w:t>
      </w:r>
      <w:r w:rsidR="00EC4B29">
        <w:rPr>
          <w:rFonts w:ascii="Arial" w:hAnsi="Arial" w:cs="Arial"/>
          <w:sz w:val="22"/>
          <w:szCs w:val="22"/>
        </w:rPr>
        <w:t>s</w:t>
      </w:r>
      <w:r w:rsidR="00A24D45">
        <w:rPr>
          <w:rFonts w:ascii="Arial" w:hAnsi="Arial" w:cs="Arial"/>
          <w:sz w:val="22"/>
          <w:szCs w:val="22"/>
        </w:rPr>
        <w:t>, surveys, and picture activities; encourage participants to respond openly and spontaneously; and, with participants’ permission, audio-record participants’ answers and reactions to those answers.</w:t>
      </w:r>
      <w:r w:rsidR="00B857C0" w:rsidRPr="00B857C0">
        <w:rPr>
          <w:rFonts w:ascii="Arial" w:hAnsi="Arial" w:cs="Arial"/>
          <w:sz w:val="22"/>
          <w:szCs w:val="22"/>
        </w:rPr>
        <w:t xml:space="preserve"> </w:t>
      </w:r>
      <w:r w:rsidR="00B857C0" w:rsidRPr="0072181A">
        <w:rPr>
          <w:rFonts w:ascii="Arial" w:hAnsi="Arial" w:cs="Arial"/>
          <w:sz w:val="22"/>
          <w:szCs w:val="22"/>
        </w:rPr>
        <w:t>Data will be collected in school settings.</w:t>
      </w:r>
      <w:r>
        <w:rPr>
          <w:rFonts w:ascii="Arial" w:hAnsi="Arial" w:cs="Arial"/>
          <w:sz w:val="22"/>
          <w:szCs w:val="22"/>
        </w:rPr>
        <w:t xml:space="preserve">  Each focus group will last 90 minutes.</w:t>
      </w:r>
    </w:p>
    <w:p w:rsidR="00A24D45" w:rsidRDefault="00A24D45" w:rsidP="0076013C">
      <w:pPr>
        <w:widowControl w:val="0"/>
        <w:autoSpaceDE w:val="0"/>
        <w:autoSpaceDN w:val="0"/>
        <w:adjustRightInd w:val="0"/>
        <w:spacing w:after="240"/>
        <w:ind w:left="360"/>
        <w:jc w:val="both"/>
        <w:rPr>
          <w:rFonts w:ascii="Arial" w:hAnsi="Arial" w:cs="Arial"/>
          <w:sz w:val="22"/>
          <w:szCs w:val="22"/>
          <w:u w:val="single"/>
        </w:rPr>
      </w:pPr>
      <w:r>
        <w:rPr>
          <w:rFonts w:ascii="Arial" w:hAnsi="Arial" w:cs="Arial"/>
          <w:sz w:val="22"/>
          <w:szCs w:val="22"/>
          <w:u w:val="single"/>
        </w:rPr>
        <w:t>Strategy Development Focus Groups</w:t>
      </w:r>
      <w:r w:rsidR="00CB73F3">
        <w:rPr>
          <w:rFonts w:ascii="Arial" w:hAnsi="Arial" w:cs="Arial"/>
          <w:sz w:val="22"/>
          <w:szCs w:val="22"/>
          <w:u w:val="single"/>
        </w:rPr>
        <w:t>: 90 minutes</w:t>
      </w:r>
    </w:p>
    <w:p w:rsidR="00A24D45" w:rsidRPr="001D743D" w:rsidRDefault="00A24D45" w:rsidP="0076013C">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After a study introduction</w:t>
      </w:r>
      <w:r w:rsidR="00CB73F3">
        <w:rPr>
          <w:rFonts w:ascii="Arial" w:hAnsi="Arial" w:cs="Arial"/>
          <w:sz w:val="22"/>
          <w:szCs w:val="22"/>
        </w:rPr>
        <w:t xml:space="preserve"> (5 min.)</w:t>
      </w:r>
      <w:r>
        <w:rPr>
          <w:rFonts w:ascii="Arial" w:hAnsi="Arial" w:cs="Arial"/>
          <w:sz w:val="22"/>
          <w:szCs w:val="22"/>
        </w:rPr>
        <w:t xml:space="preserve">, the first activity will consist of a </w:t>
      </w:r>
      <w:r>
        <w:rPr>
          <w:rFonts w:ascii="Arial" w:hAnsi="Arial" w:cs="Arial"/>
          <w:i/>
          <w:sz w:val="22"/>
          <w:szCs w:val="22"/>
        </w:rPr>
        <w:t>Check-In Survey</w:t>
      </w:r>
      <w:r w:rsidR="00CB73F3">
        <w:rPr>
          <w:rFonts w:ascii="Arial" w:hAnsi="Arial" w:cs="Arial"/>
          <w:i/>
          <w:sz w:val="22"/>
          <w:szCs w:val="22"/>
        </w:rPr>
        <w:t xml:space="preserve"> </w:t>
      </w:r>
      <w:r w:rsidR="00CB73F3">
        <w:rPr>
          <w:rFonts w:ascii="Arial" w:hAnsi="Arial" w:cs="Arial"/>
          <w:sz w:val="22"/>
          <w:szCs w:val="22"/>
        </w:rPr>
        <w:t>(5 min.)</w:t>
      </w:r>
      <w:r>
        <w:rPr>
          <w:rFonts w:ascii="Arial" w:hAnsi="Arial" w:cs="Arial"/>
          <w:i/>
          <w:sz w:val="22"/>
          <w:szCs w:val="22"/>
        </w:rPr>
        <w:t xml:space="preserve"> </w:t>
      </w:r>
      <w:r>
        <w:rPr>
          <w:rFonts w:ascii="Arial" w:hAnsi="Arial" w:cs="Arial"/>
          <w:sz w:val="22"/>
          <w:szCs w:val="22"/>
        </w:rPr>
        <w:t xml:space="preserve">that includes questions regarding demographics, tobacco use, social media use, and peer crowd affiliation. This survey will be completed individually by each participant. Next, participants will complete the </w:t>
      </w:r>
      <w:r>
        <w:rPr>
          <w:rFonts w:ascii="Arial" w:hAnsi="Arial" w:cs="Arial"/>
          <w:i/>
          <w:sz w:val="22"/>
          <w:szCs w:val="22"/>
        </w:rPr>
        <w:t>Individual Picture Sort &amp; Interview</w:t>
      </w:r>
      <w:r w:rsidR="00CB73F3">
        <w:rPr>
          <w:rFonts w:ascii="Arial" w:hAnsi="Arial" w:cs="Arial"/>
          <w:sz w:val="22"/>
          <w:szCs w:val="22"/>
        </w:rPr>
        <w:t xml:space="preserve"> (60 min.)</w:t>
      </w:r>
      <w:r w:rsidR="00B857C0">
        <w:rPr>
          <w:rFonts w:ascii="Arial" w:hAnsi="Arial" w:cs="Arial"/>
          <w:i/>
          <w:sz w:val="22"/>
          <w:szCs w:val="22"/>
        </w:rPr>
        <w:t xml:space="preserve">, </w:t>
      </w:r>
      <w:r w:rsidR="00B857C0">
        <w:rPr>
          <w:rFonts w:ascii="Arial" w:hAnsi="Arial" w:cs="Arial"/>
          <w:sz w:val="22"/>
          <w:szCs w:val="22"/>
        </w:rPr>
        <w:t xml:space="preserve">which will be completed individually by each participant. This activity will provide information about prevalent peer crowds among multicultural youth, peer crowd preferences, and peer crowd tobacco use. Youth will then complete the </w:t>
      </w:r>
      <w:r w:rsidR="00B857C0">
        <w:rPr>
          <w:rFonts w:ascii="Arial" w:hAnsi="Arial" w:cs="Arial"/>
          <w:i/>
          <w:sz w:val="22"/>
          <w:szCs w:val="22"/>
        </w:rPr>
        <w:t>Identity Projection</w:t>
      </w:r>
      <w:r w:rsidR="00CB73F3">
        <w:rPr>
          <w:rFonts w:ascii="Arial" w:hAnsi="Arial" w:cs="Arial"/>
          <w:sz w:val="22"/>
          <w:szCs w:val="22"/>
        </w:rPr>
        <w:t xml:space="preserve"> (15 min.)</w:t>
      </w:r>
      <w:r w:rsidR="00B857C0">
        <w:rPr>
          <w:rFonts w:ascii="Arial" w:hAnsi="Arial" w:cs="Arial"/>
          <w:i/>
          <w:sz w:val="22"/>
          <w:szCs w:val="22"/>
        </w:rPr>
        <w:t xml:space="preserve"> </w:t>
      </w:r>
      <w:r w:rsidR="00B857C0">
        <w:rPr>
          <w:rFonts w:ascii="Arial" w:hAnsi="Arial" w:cs="Arial"/>
          <w:sz w:val="22"/>
          <w:szCs w:val="22"/>
        </w:rPr>
        <w:t xml:space="preserve">activity as a group to identify peer crowd-specific cultural </w:t>
      </w:r>
      <w:r w:rsidR="00EC4B29">
        <w:rPr>
          <w:rFonts w:ascii="Arial" w:hAnsi="Arial" w:cs="Arial"/>
          <w:sz w:val="22"/>
          <w:szCs w:val="22"/>
        </w:rPr>
        <w:t xml:space="preserve">identifiers </w:t>
      </w:r>
      <w:r w:rsidR="00B857C0">
        <w:rPr>
          <w:rFonts w:ascii="Arial" w:hAnsi="Arial" w:cs="Arial"/>
          <w:sz w:val="22"/>
          <w:szCs w:val="22"/>
        </w:rPr>
        <w:t>and tobacco use etiology. Finally, the moderator and research assistants will end the focus group and assist participants with collecting their incentives and checking out of the focus group</w:t>
      </w:r>
      <w:r w:rsidR="00CB73F3">
        <w:rPr>
          <w:rFonts w:ascii="Arial" w:hAnsi="Arial" w:cs="Arial"/>
          <w:sz w:val="22"/>
          <w:szCs w:val="22"/>
        </w:rPr>
        <w:t xml:space="preserve"> (5 min.)</w:t>
      </w:r>
      <w:r w:rsidR="00B857C0">
        <w:rPr>
          <w:rFonts w:ascii="Arial" w:hAnsi="Arial" w:cs="Arial"/>
          <w:sz w:val="22"/>
          <w:szCs w:val="22"/>
        </w:rPr>
        <w:t>.</w:t>
      </w:r>
    </w:p>
    <w:p w:rsidR="00A24D45" w:rsidRDefault="00A24D45" w:rsidP="0076013C">
      <w:pPr>
        <w:widowControl w:val="0"/>
        <w:autoSpaceDE w:val="0"/>
        <w:autoSpaceDN w:val="0"/>
        <w:adjustRightInd w:val="0"/>
        <w:spacing w:after="240"/>
        <w:ind w:left="360"/>
        <w:jc w:val="both"/>
        <w:rPr>
          <w:rFonts w:ascii="Arial" w:hAnsi="Arial" w:cs="Arial"/>
          <w:sz w:val="22"/>
          <w:szCs w:val="22"/>
          <w:u w:val="single"/>
        </w:rPr>
      </w:pPr>
      <w:r>
        <w:rPr>
          <w:rFonts w:ascii="Arial" w:hAnsi="Arial" w:cs="Arial"/>
          <w:sz w:val="22"/>
          <w:szCs w:val="22"/>
          <w:u w:val="single"/>
        </w:rPr>
        <w:t>Creative Development Focus Groups</w:t>
      </w:r>
      <w:r w:rsidR="00CB73F3">
        <w:rPr>
          <w:rFonts w:ascii="Arial" w:hAnsi="Arial" w:cs="Arial"/>
          <w:sz w:val="22"/>
          <w:szCs w:val="22"/>
          <w:u w:val="single"/>
        </w:rPr>
        <w:t>: 90 minutes</w:t>
      </w:r>
    </w:p>
    <w:p w:rsidR="00B857C0" w:rsidRPr="00B857C0" w:rsidRDefault="00B857C0" w:rsidP="00C408BD">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After a study introduction</w:t>
      </w:r>
      <w:r w:rsidR="00CB73F3">
        <w:rPr>
          <w:rFonts w:ascii="Arial" w:hAnsi="Arial" w:cs="Arial"/>
          <w:sz w:val="22"/>
          <w:szCs w:val="22"/>
        </w:rPr>
        <w:t xml:space="preserve"> (5 min.)</w:t>
      </w:r>
      <w:r>
        <w:rPr>
          <w:rFonts w:ascii="Arial" w:hAnsi="Arial" w:cs="Arial"/>
          <w:sz w:val="22"/>
          <w:szCs w:val="22"/>
        </w:rPr>
        <w:t xml:space="preserve">, the first activity will consist of a </w:t>
      </w:r>
      <w:r>
        <w:rPr>
          <w:rFonts w:ascii="Arial" w:hAnsi="Arial" w:cs="Arial"/>
          <w:i/>
          <w:sz w:val="22"/>
          <w:szCs w:val="22"/>
        </w:rPr>
        <w:t>Check-In Survey</w:t>
      </w:r>
      <w:r w:rsidR="00CB73F3">
        <w:rPr>
          <w:rFonts w:ascii="Arial" w:hAnsi="Arial" w:cs="Arial"/>
          <w:sz w:val="22"/>
          <w:szCs w:val="22"/>
        </w:rPr>
        <w:t xml:space="preserve"> (5 min.)</w:t>
      </w:r>
      <w:r>
        <w:rPr>
          <w:rFonts w:ascii="Arial" w:hAnsi="Arial" w:cs="Arial"/>
          <w:i/>
          <w:sz w:val="22"/>
          <w:szCs w:val="22"/>
        </w:rPr>
        <w:t xml:space="preserve"> </w:t>
      </w:r>
      <w:r>
        <w:rPr>
          <w:rFonts w:ascii="Arial" w:hAnsi="Arial" w:cs="Arial"/>
          <w:sz w:val="22"/>
          <w:szCs w:val="22"/>
        </w:rPr>
        <w:t xml:space="preserve">that includes questions regarding demographics, tobacco use, </w:t>
      </w:r>
      <w:r w:rsidR="00C408BD">
        <w:rPr>
          <w:rFonts w:ascii="Arial" w:hAnsi="Arial" w:cs="Arial"/>
          <w:sz w:val="22"/>
          <w:szCs w:val="22"/>
        </w:rPr>
        <w:t xml:space="preserve">and </w:t>
      </w:r>
      <w:r>
        <w:rPr>
          <w:rFonts w:ascii="Arial" w:hAnsi="Arial" w:cs="Arial"/>
          <w:sz w:val="22"/>
          <w:szCs w:val="22"/>
        </w:rPr>
        <w:t>social media use</w:t>
      </w:r>
      <w:r w:rsidR="00C408BD">
        <w:rPr>
          <w:rFonts w:ascii="Arial" w:hAnsi="Arial" w:cs="Arial"/>
          <w:sz w:val="22"/>
          <w:szCs w:val="22"/>
        </w:rPr>
        <w:t>.</w:t>
      </w:r>
      <w:r>
        <w:rPr>
          <w:rFonts w:ascii="Arial" w:hAnsi="Arial" w:cs="Arial"/>
          <w:sz w:val="22"/>
          <w:szCs w:val="22"/>
        </w:rPr>
        <w:t xml:space="preserve"> This survey will be completed individually by each participant.</w:t>
      </w:r>
      <w:r w:rsidR="00C408BD">
        <w:rPr>
          <w:rFonts w:ascii="Arial" w:hAnsi="Arial" w:cs="Arial"/>
          <w:sz w:val="22"/>
          <w:szCs w:val="22"/>
        </w:rPr>
        <w:t xml:space="preserve"> </w:t>
      </w:r>
      <w:r w:rsidR="00C408BD">
        <w:rPr>
          <w:rFonts w:ascii="Arial" w:hAnsi="Arial"/>
          <w:sz w:val="22"/>
          <w:szCs w:val="22"/>
        </w:rPr>
        <w:t xml:space="preserve">Next, participants will complete </w:t>
      </w:r>
      <w:r w:rsidR="00C408BD" w:rsidRPr="00E95CFC">
        <w:rPr>
          <w:rFonts w:ascii="Arial" w:hAnsi="Arial"/>
          <w:i/>
          <w:sz w:val="22"/>
          <w:szCs w:val="22"/>
        </w:rPr>
        <w:t>Campaign Brand Testing</w:t>
      </w:r>
      <w:r w:rsidR="00CB73F3">
        <w:rPr>
          <w:rFonts w:ascii="Arial" w:hAnsi="Arial"/>
          <w:i/>
          <w:sz w:val="22"/>
          <w:szCs w:val="22"/>
        </w:rPr>
        <w:t xml:space="preserve"> </w:t>
      </w:r>
      <w:r w:rsidR="00CB73F3">
        <w:rPr>
          <w:rFonts w:ascii="Arial" w:hAnsi="Arial"/>
          <w:sz w:val="22"/>
          <w:szCs w:val="22"/>
        </w:rPr>
        <w:t>(20 min.)</w:t>
      </w:r>
      <w:r w:rsidR="00C408BD">
        <w:rPr>
          <w:rFonts w:ascii="Arial" w:hAnsi="Arial"/>
          <w:sz w:val="22"/>
          <w:szCs w:val="22"/>
        </w:rPr>
        <w:t xml:space="preserve">. This involves a </w:t>
      </w:r>
      <w:r w:rsidR="00C408BD" w:rsidRPr="00E95CFC">
        <w:rPr>
          <w:rFonts w:ascii="Arial" w:hAnsi="Arial"/>
          <w:i/>
          <w:sz w:val="22"/>
          <w:szCs w:val="22"/>
        </w:rPr>
        <w:t>Brand Test Survey</w:t>
      </w:r>
      <w:r w:rsidR="00C408BD">
        <w:rPr>
          <w:rFonts w:ascii="Arial" w:hAnsi="Arial"/>
          <w:sz w:val="22"/>
          <w:szCs w:val="22"/>
        </w:rPr>
        <w:t xml:space="preserve"> (Version A and Version B both have same content but presented in different order for counterbalancing purposes) and group discussion. After participants complete each brand-related question on the </w:t>
      </w:r>
      <w:r w:rsidR="00C408BD" w:rsidRPr="00E95CFC">
        <w:rPr>
          <w:rFonts w:ascii="Arial" w:hAnsi="Arial"/>
          <w:i/>
          <w:sz w:val="22"/>
          <w:szCs w:val="22"/>
        </w:rPr>
        <w:t>Brand Test Survey</w:t>
      </w:r>
      <w:r w:rsidR="00C408BD">
        <w:rPr>
          <w:rFonts w:ascii="Arial" w:hAnsi="Arial"/>
          <w:sz w:val="22"/>
          <w:szCs w:val="22"/>
        </w:rPr>
        <w:t xml:space="preserve"> individually, the moderator will ask a series of questions to obtain qualitative feedback from the group. </w:t>
      </w:r>
      <w:r w:rsidR="00EC4B29">
        <w:rPr>
          <w:rFonts w:ascii="Arial" w:hAnsi="Arial"/>
          <w:sz w:val="22"/>
          <w:szCs w:val="22"/>
        </w:rPr>
        <w:t>Then</w:t>
      </w:r>
      <w:r w:rsidR="00C408BD">
        <w:rPr>
          <w:rFonts w:ascii="Arial" w:hAnsi="Arial"/>
          <w:sz w:val="22"/>
          <w:szCs w:val="22"/>
        </w:rPr>
        <w:t>, participants will engage in</w:t>
      </w:r>
      <w:r w:rsidR="00C408BD" w:rsidRPr="00E95CFC">
        <w:rPr>
          <w:rFonts w:ascii="Arial" w:hAnsi="Arial"/>
          <w:i/>
          <w:sz w:val="22"/>
          <w:szCs w:val="22"/>
        </w:rPr>
        <w:t xml:space="preserve"> Creative Concept Testing</w:t>
      </w:r>
      <w:r w:rsidR="00CB73F3">
        <w:rPr>
          <w:rFonts w:ascii="Arial" w:hAnsi="Arial"/>
          <w:sz w:val="22"/>
          <w:szCs w:val="22"/>
        </w:rPr>
        <w:t xml:space="preserve"> (45 min.)</w:t>
      </w:r>
      <w:r w:rsidR="00C408BD">
        <w:rPr>
          <w:rFonts w:ascii="Arial" w:hAnsi="Arial"/>
          <w:sz w:val="22"/>
          <w:szCs w:val="22"/>
        </w:rPr>
        <w:t xml:space="preserve"> where they will be shown campaign creative concept storyboards. Similar to the </w:t>
      </w:r>
      <w:r w:rsidR="00C408BD" w:rsidRPr="00E95CFC">
        <w:rPr>
          <w:rFonts w:ascii="Arial" w:hAnsi="Arial"/>
          <w:i/>
          <w:sz w:val="22"/>
          <w:szCs w:val="22"/>
        </w:rPr>
        <w:t>Brand Test Survey</w:t>
      </w:r>
      <w:r w:rsidR="00C408BD">
        <w:rPr>
          <w:rFonts w:ascii="Arial" w:hAnsi="Arial"/>
          <w:sz w:val="22"/>
          <w:szCs w:val="22"/>
        </w:rPr>
        <w:t xml:space="preserve">, the order in which the creative concepts are shown will be reversed between focus groups for counterbalancing purposes. After each creative concept </w:t>
      </w:r>
      <w:r w:rsidR="00C408BD">
        <w:rPr>
          <w:rFonts w:ascii="Arial" w:hAnsi="Arial"/>
          <w:sz w:val="22"/>
          <w:szCs w:val="22"/>
        </w:rPr>
        <w:lastRenderedPageBreak/>
        <w:t xml:space="preserve">is shown, participants will individually complete the relevant portion on the </w:t>
      </w:r>
      <w:r w:rsidR="00C408BD" w:rsidRPr="00E95CFC">
        <w:rPr>
          <w:rFonts w:ascii="Arial" w:hAnsi="Arial"/>
          <w:i/>
          <w:sz w:val="22"/>
          <w:szCs w:val="22"/>
        </w:rPr>
        <w:t>Creative Concept Survey</w:t>
      </w:r>
      <w:r w:rsidR="00C408BD">
        <w:rPr>
          <w:rFonts w:ascii="Arial" w:hAnsi="Arial"/>
          <w:sz w:val="22"/>
          <w:szCs w:val="22"/>
        </w:rPr>
        <w:t xml:space="preserve">, and the moderator will ask a series of questions specific to the creative concept to obtain qualitative feedback from the group. </w:t>
      </w:r>
      <w:r w:rsidR="00EC4B29">
        <w:rPr>
          <w:rFonts w:ascii="Arial" w:hAnsi="Arial"/>
          <w:sz w:val="22"/>
          <w:szCs w:val="22"/>
        </w:rPr>
        <w:t xml:space="preserve">After completing the Creative Concept Survey, the moderator will lead youth through a discussion of the relevance of select tobacco facts </w:t>
      </w:r>
      <w:r w:rsidR="00CB73F3">
        <w:rPr>
          <w:rFonts w:ascii="Arial" w:hAnsi="Arial"/>
          <w:sz w:val="22"/>
          <w:szCs w:val="22"/>
        </w:rPr>
        <w:t xml:space="preserve">(10 min.) </w:t>
      </w:r>
      <w:r w:rsidR="00EC4B29">
        <w:rPr>
          <w:rFonts w:ascii="Arial" w:hAnsi="Arial"/>
          <w:sz w:val="22"/>
          <w:szCs w:val="22"/>
        </w:rPr>
        <w:t xml:space="preserve">to the youth. </w:t>
      </w:r>
      <w:r w:rsidR="00C408BD">
        <w:rPr>
          <w:rFonts w:ascii="Arial" w:hAnsi="Arial" w:cs="Arial"/>
          <w:sz w:val="22"/>
          <w:szCs w:val="22"/>
        </w:rPr>
        <w:t>Finally, the moderator and research assistants will end the focus group and assist participants with collecting their incentives and checking out of the focus group</w:t>
      </w:r>
      <w:r w:rsidR="00CB73F3">
        <w:rPr>
          <w:rFonts w:ascii="Arial" w:hAnsi="Arial" w:cs="Arial"/>
          <w:sz w:val="22"/>
          <w:szCs w:val="22"/>
        </w:rPr>
        <w:t xml:space="preserve"> (5 min.)</w:t>
      </w:r>
      <w:r w:rsidR="00C408BD">
        <w:rPr>
          <w:rFonts w:ascii="Arial" w:hAnsi="Arial" w:cs="Arial"/>
          <w:sz w:val="22"/>
          <w:szCs w:val="22"/>
        </w:rPr>
        <w:t>.</w:t>
      </w:r>
    </w:p>
    <w:p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Confidentiality of respondents: </w:t>
      </w:r>
    </w:p>
    <w:p w:rsidR="00F110E1" w:rsidRPr="0072181A" w:rsidRDefault="00F110E1" w:rsidP="00526507">
      <w:pPr>
        <w:pStyle w:val="ListParagraph"/>
        <w:ind w:left="360"/>
        <w:jc w:val="both"/>
        <w:rPr>
          <w:rFonts w:ascii="Arial" w:hAnsi="Arial" w:cs="Arial"/>
          <w:b/>
          <w:sz w:val="22"/>
          <w:szCs w:val="22"/>
        </w:rPr>
      </w:pPr>
    </w:p>
    <w:p w:rsidR="006A44AE" w:rsidRPr="0072181A" w:rsidRDefault="00DD1510" w:rsidP="008E49EA">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All data will be collected with an assurance that the respondents' responses will remain private </w:t>
      </w:r>
      <w:r w:rsidR="008E49EA">
        <w:rPr>
          <w:rFonts w:ascii="Arial" w:hAnsi="Arial" w:cs="Arial"/>
          <w:sz w:val="22"/>
          <w:szCs w:val="22"/>
        </w:rPr>
        <w:t>to the extent allowable by law.</w:t>
      </w:r>
    </w:p>
    <w:p w:rsidR="00DD1510" w:rsidRPr="0072181A" w:rsidRDefault="006A44AE" w:rsidP="006A44AE">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Researchers will inform youth in the assent form </w:t>
      </w:r>
      <w:r w:rsidR="001D743D">
        <w:rPr>
          <w:rFonts w:ascii="Arial" w:hAnsi="Arial" w:cs="Arial"/>
          <w:sz w:val="22"/>
          <w:szCs w:val="22"/>
        </w:rPr>
        <w:t xml:space="preserve">and parents in the consent/opt-out form </w:t>
      </w:r>
      <w:r w:rsidRPr="0072181A">
        <w:rPr>
          <w:rFonts w:ascii="Arial" w:hAnsi="Arial" w:cs="Arial"/>
          <w:sz w:val="22"/>
          <w:szCs w:val="22"/>
        </w:rPr>
        <w:t>that the i</w:t>
      </w:r>
      <w:r w:rsidR="0094153E">
        <w:rPr>
          <w:rFonts w:ascii="Arial" w:hAnsi="Arial" w:cs="Arial"/>
          <w:sz w:val="22"/>
          <w:szCs w:val="22"/>
        </w:rPr>
        <w:t>nformation they provide in the s</w:t>
      </w:r>
      <w:r w:rsidRPr="0072181A">
        <w:rPr>
          <w:rFonts w:ascii="Arial" w:hAnsi="Arial" w:cs="Arial"/>
          <w:sz w:val="22"/>
          <w:szCs w:val="22"/>
        </w:rPr>
        <w:t>creener for recruitment will only be viewed by the researchers.</w:t>
      </w:r>
      <w:r w:rsidR="007020D0" w:rsidRPr="0072181A">
        <w:rPr>
          <w:rFonts w:ascii="Arial" w:hAnsi="Arial" w:cs="Arial"/>
          <w:sz w:val="22"/>
          <w:szCs w:val="22"/>
        </w:rPr>
        <w:t xml:space="preserve"> </w:t>
      </w:r>
      <w:r w:rsidR="00DD1510" w:rsidRPr="0072181A">
        <w:rPr>
          <w:rFonts w:ascii="Arial" w:hAnsi="Arial" w:cs="Arial"/>
          <w:sz w:val="22"/>
          <w:szCs w:val="22"/>
        </w:rPr>
        <w:t xml:space="preserve">Additionally, </w:t>
      </w:r>
      <w:r w:rsidR="00EC4B29">
        <w:rPr>
          <w:rFonts w:ascii="Arial" w:hAnsi="Arial" w:cs="Arial"/>
          <w:sz w:val="22"/>
          <w:szCs w:val="22"/>
        </w:rPr>
        <w:t>focus group</w:t>
      </w:r>
      <w:r w:rsidR="00EC4B29" w:rsidRPr="0072181A">
        <w:rPr>
          <w:rFonts w:ascii="Arial" w:hAnsi="Arial" w:cs="Arial"/>
          <w:sz w:val="22"/>
          <w:szCs w:val="22"/>
        </w:rPr>
        <w:t xml:space="preserve"> </w:t>
      </w:r>
      <w:r w:rsidR="00DD1510" w:rsidRPr="0072181A">
        <w:rPr>
          <w:rFonts w:ascii="Arial" w:hAnsi="Arial" w:cs="Arial"/>
          <w:sz w:val="22"/>
          <w:szCs w:val="22"/>
        </w:rPr>
        <w:t xml:space="preserve">questions will not ask participants to provide identifying information as part of their responses, and no identifying information will be included in the data files delivered by contractors to the agency. </w:t>
      </w:r>
    </w:p>
    <w:p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Identifying information will not be included in the reports delivered to the agency. All data received by FDA will remain in a secured area or on a password-protected computer. No data will contain identifying information.</w:t>
      </w:r>
    </w:p>
    <w:p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Neither the contractor nor subcontractors associated with this study will share personal information regarding research participants with any third party without the participants’ permission unless it is required by law to protect their rights or to comply with judicial proceedings, a court order, or another legal process.</w:t>
      </w:r>
    </w:p>
    <w:p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Amount and justification for any proposed incentive: </w:t>
      </w:r>
    </w:p>
    <w:p w:rsidR="00F110E1" w:rsidRPr="0072181A" w:rsidRDefault="00F110E1" w:rsidP="00526507">
      <w:pPr>
        <w:pStyle w:val="ListParagraph"/>
        <w:ind w:left="360"/>
        <w:jc w:val="both"/>
        <w:rPr>
          <w:rFonts w:ascii="Arial" w:hAnsi="Arial" w:cs="Arial"/>
          <w:b/>
          <w:sz w:val="22"/>
          <w:szCs w:val="22"/>
        </w:rPr>
      </w:pPr>
    </w:p>
    <w:p w:rsidR="003401C4" w:rsidRPr="0072181A" w:rsidRDefault="003401C4"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The amount of the incentive </w:t>
      </w:r>
      <w:r w:rsidR="002A1BD0" w:rsidRPr="0072181A">
        <w:rPr>
          <w:rFonts w:ascii="Arial" w:hAnsi="Arial" w:cs="Arial"/>
          <w:sz w:val="22"/>
          <w:szCs w:val="22"/>
        </w:rPr>
        <w:t>as a token of appreciation</w:t>
      </w:r>
      <w:r w:rsidR="002A1BD0" w:rsidRPr="0072181A" w:rsidDel="002A1BD0">
        <w:rPr>
          <w:rFonts w:ascii="Arial" w:hAnsi="Arial" w:cs="Arial"/>
          <w:sz w:val="22"/>
          <w:szCs w:val="22"/>
        </w:rPr>
        <w:t xml:space="preserve"> </w:t>
      </w:r>
      <w:r w:rsidRPr="0072181A">
        <w:rPr>
          <w:rFonts w:ascii="Arial" w:hAnsi="Arial" w:cs="Arial"/>
          <w:sz w:val="22"/>
          <w:szCs w:val="22"/>
        </w:rPr>
        <w:t>is a $2</w:t>
      </w:r>
      <w:r w:rsidR="00C408BD">
        <w:rPr>
          <w:rFonts w:ascii="Arial" w:hAnsi="Arial" w:cs="Arial"/>
          <w:sz w:val="22"/>
          <w:szCs w:val="22"/>
        </w:rPr>
        <w:t>5</w:t>
      </w:r>
      <w:r w:rsidRPr="0072181A">
        <w:rPr>
          <w:rFonts w:ascii="Arial" w:hAnsi="Arial" w:cs="Arial"/>
          <w:sz w:val="22"/>
          <w:szCs w:val="22"/>
        </w:rPr>
        <w:t xml:space="preserve"> </w:t>
      </w:r>
      <w:r w:rsidR="00F61323" w:rsidRPr="0072181A">
        <w:rPr>
          <w:rFonts w:ascii="Arial" w:hAnsi="Arial" w:cs="Arial"/>
          <w:sz w:val="22"/>
          <w:szCs w:val="22"/>
        </w:rPr>
        <w:t xml:space="preserve">non-retailer specific </w:t>
      </w:r>
      <w:r w:rsidR="002A1BD0" w:rsidRPr="0072181A">
        <w:rPr>
          <w:rFonts w:ascii="Arial" w:hAnsi="Arial" w:cs="Arial"/>
          <w:sz w:val="22"/>
          <w:szCs w:val="22"/>
        </w:rPr>
        <w:t xml:space="preserve">electronic </w:t>
      </w:r>
      <w:r w:rsidRPr="0072181A">
        <w:rPr>
          <w:rFonts w:ascii="Arial" w:hAnsi="Arial" w:cs="Arial"/>
          <w:sz w:val="22"/>
          <w:szCs w:val="22"/>
        </w:rPr>
        <w:t>gift card.</w:t>
      </w:r>
    </w:p>
    <w:p w:rsidR="00007CAA" w:rsidRDefault="00007CAA" w:rsidP="00007CAA">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T</w:t>
      </w:r>
      <w:r w:rsidRPr="00007CAA">
        <w:rPr>
          <w:rFonts w:ascii="Arial" w:hAnsi="Arial" w:cs="Arial"/>
          <w:sz w:val="22"/>
          <w:szCs w:val="22"/>
        </w:rPr>
        <w:t>his study requires participants to comment on an activity that may be sensitive subject matter to the participants and could cause them to be reluctant to participate. Thus, it is critical to provide adequate incentives to encourage and retain participation among potential youth respondents.</w:t>
      </w:r>
    </w:p>
    <w:p w:rsidR="006925FC" w:rsidRPr="0072181A" w:rsidRDefault="00007CAA" w:rsidP="00817EE2">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 xml:space="preserve">Additionally, </w:t>
      </w:r>
      <w:r w:rsidR="006925FC" w:rsidRPr="0072181A">
        <w:rPr>
          <w:rFonts w:ascii="Arial" w:hAnsi="Arial" w:cs="Arial"/>
          <w:sz w:val="22"/>
          <w:szCs w:val="22"/>
        </w:rPr>
        <w:t xml:space="preserve">participants often have competing demands for their time, incentives are used to encourage participation in research. The use of incentives treats participants justly and with respect by recognizing and acknowledging the effort they expend to participate. In this particular research, we are asking respondents to provide thought-intensive, </w:t>
      </w:r>
      <w:r w:rsidR="00C408BD" w:rsidRPr="006925FC">
        <w:rPr>
          <w:rFonts w:ascii="Arial" w:hAnsi="Arial"/>
          <w:sz w:val="22"/>
          <w:szCs w:val="22"/>
        </w:rPr>
        <w:t xml:space="preserve">open-ended feedback on </w:t>
      </w:r>
      <w:r w:rsidR="00C408BD">
        <w:rPr>
          <w:rFonts w:ascii="Arial" w:hAnsi="Arial"/>
          <w:sz w:val="22"/>
          <w:szCs w:val="22"/>
        </w:rPr>
        <w:t xml:space="preserve">peer crowds, </w:t>
      </w:r>
      <w:r w:rsidR="00C408BD" w:rsidRPr="006925FC">
        <w:rPr>
          <w:rFonts w:ascii="Arial" w:hAnsi="Arial"/>
          <w:sz w:val="22"/>
          <w:szCs w:val="22"/>
        </w:rPr>
        <w:t>brand</w:t>
      </w:r>
      <w:r w:rsidR="00C408BD">
        <w:rPr>
          <w:rFonts w:ascii="Arial" w:hAnsi="Arial"/>
          <w:sz w:val="22"/>
          <w:szCs w:val="22"/>
        </w:rPr>
        <w:t>s,</w:t>
      </w:r>
      <w:r w:rsidR="00C408BD" w:rsidRPr="006925FC">
        <w:rPr>
          <w:rFonts w:ascii="Arial" w:hAnsi="Arial"/>
          <w:sz w:val="22"/>
          <w:szCs w:val="22"/>
        </w:rPr>
        <w:t xml:space="preserve"> and creative concepts that require a high level of </w:t>
      </w:r>
      <w:r w:rsidR="00C408BD">
        <w:rPr>
          <w:rFonts w:ascii="Arial" w:hAnsi="Arial"/>
          <w:sz w:val="22"/>
          <w:szCs w:val="22"/>
        </w:rPr>
        <w:t>engagement</w:t>
      </w:r>
      <w:r w:rsidR="00F61323" w:rsidRPr="0072181A">
        <w:rPr>
          <w:rFonts w:ascii="Arial" w:hAnsi="Arial" w:cs="Arial"/>
          <w:sz w:val="22"/>
          <w:szCs w:val="22"/>
        </w:rPr>
        <w:t>. This incentive amount is considered an adequate compensation for time spent participating in the study, and not an inducement for participation.</w:t>
      </w:r>
      <w:r w:rsidR="00AD107F" w:rsidRPr="0072181A">
        <w:rPr>
          <w:rFonts w:ascii="Arial" w:hAnsi="Arial" w:cs="Arial"/>
          <w:sz w:val="22"/>
          <w:szCs w:val="22"/>
        </w:rPr>
        <w:t xml:space="preserve"> </w:t>
      </w:r>
      <w:r w:rsidR="003401C4" w:rsidRPr="0072181A">
        <w:rPr>
          <w:rFonts w:ascii="Arial" w:hAnsi="Arial" w:cs="Arial"/>
          <w:sz w:val="22"/>
          <w:szCs w:val="22"/>
        </w:rPr>
        <w:t>When applied in a reasonable manner, incentives are not an unjust inducement and are an approach that acknowledges respondents for their participation</w:t>
      </w:r>
      <w:r w:rsidR="00C76356" w:rsidRPr="0072181A">
        <w:rPr>
          <w:rStyle w:val="FootnoteReference"/>
          <w:rFonts w:ascii="Arial" w:hAnsi="Arial" w:cs="Arial"/>
          <w:lang w:val="en"/>
        </w:rPr>
        <w:footnoteReference w:id="1"/>
      </w:r>
      <w:r w:rsidR="003401C4" w:rsidRPr="0072181A">
        <w:rPr>
          <w:rFonts w:ascii="Arial" w:hAnsi="Arial" w:cs="Arial"/>
          <w:sz w:val="22"/>
          <w:szCs w:val="22"/>
        </w:rPr>
        <w:t xml:space="preserve">.   </w:t>
      </w:r>
    </w:p>
    <w:p w:rsidR="006925FC" w:rsidRPr="0072181A"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Incentives must be high enough to equalize the burden placed on participants with respect </w:t>
      </w:r>
      <w:r w:rsidRPr="0072181A">
        <w:rPr>
          <w:rFonts w:ascii="Arial" w:hAnsi="Arial" w:cs="Arial"/>
          <w:sz w:val="22"/>
          <w:szCs w:val="22"/>
        </w:rPr>
        <w:lastRenderedPageBreak/>
        <w:t>to their time and cost of participation,</w:t>
      </w:r>
      <w:r w:rsidR="0060746B" w:rsidRPr="0072181A">
        <w:rPr>
          <w:rStyle w:val="FootnoteReference"/>
          <w:rFonts w:ascii="Arial" w:hAnsi="Arial" w:cs="Arial"/>
          <w:sz w:val="22"/>
          <w:szCs w:val="22"/>
        </w:rPr>
        <w:footnoteReference w:id="2"/>
      </w:r>
      <w:r w:rsidRPr="0072181A">
        <w:rPr>
          <w:rFonts w:ascii="Arial" w:hAnsi="Arial" w:cs="Arial"/>
          <w:sz w:val="22"/>
          <w:szCs w:val="22"/>
        </w:rPr>
        <w:t xml:space="preserve"> as well as provide enough motivation for them to participate in the study rather than another activity. Inadequate compensation for time spent participating in a study may result in a difficult and lengthy recruitment process and/or participants who agree to participate and then drop out early.</w:t>
      </w:r>
      <w:r w:rsidR="0060746B" w:rsidRPr="0072181A">
        <w:rPr>
          <w:rFonts w:ascii="Arial" w:hAnsi="Arial" w:cs="Arial"/>
          <w:sz w:val="22"/>
          <w:szCs w:val="22"/>
        </w:rPr>
        <w:t xml:space="preserve"> Low participation may result in inadequate data collection or, in the worst cases, loss of government funds associated with facility rental and </w:t>
      </w:r>
      <w:r w:rsidR="00F61323" w:rsidRPr="0072181A">
        <w:rPr>
          <w:rFonts w:ascii="Arial" w:hAnsi="Arial" w:cs="Arial"/>
          <w:sz w:val="22"/>
          <w:szCs w:val="22"/>
        </w:rPr>
        <w:t xml:space="preserve">facilitator </w:t>
      </w:r>
      <w:r w:rsidR="0060746B" w:rsidRPr="0072181A">
        <w:rPr>
          <w:rFonts w:ascii="Arial" w:hAnsi="Arial" w:cs="Arial"/>
          <w:sz w:val="22"/>
          <w:szCs w:val="22"/>
        </w:rPr>
        <w:t>and observer time</w:t>
      </w:r>
      <w:r w:rsidR="004C6D0C" w:rsidRPr="0072181A">
        <w:rPr>
          <w:rFonts w:ascii="Arial" w:hAnsi="Arial" w:cs="Arial"/>
          <w:sz w:val="22"/>
          <w:szCs w:val="22"/>
        </w:rPr>
        <w:t>.</w:t>
      </w:r>
      <w:r w:rsidR="0060746B" w:rsidRPr="0072181A">
        <w:rPr>
          <w:rStyle w:val="FootnoteReference"/>
          <w:rFonts w:ascii="Arial" w:hAnsi="Arial" w:cs="Arial"/>
          <w:sz w:val="22"/>
          <w:szCs w:val="22"/>
        </w:rPr>
        <w:footnoteReference w:id="3"/>
      </w:r>
      <w:r w:rsidR="0060746B" w:rsidRPr="0072181A">
        <w:rPr>
          <w:rFonts w:ascii="Arial" w:hAnsi="Arial" w:cs="Arial"/>
          <w:sz w:val="22"/>
          <w:szCs w:val="22"/>
        </w:rPr>
        <w:t xml:space="preserve"> Additionally, this can cause a difficult and lengthy recruitment process that, in turn, can cause delays in launching the research</w:t>
      </w:r>
      <w:r w:rsidR="00F61323" w:rsidRPr="0072181A">
        <w:rPr>
          <w:rFonts w:ascii="Arial" w:hAnsi="Arial" w:cs="Arial"/>
          <w:sz w:val="22"/>
          <w:szCs w:val="22"/>
        </w:rPr>
        <w:t>,</w:t>
      </w:r>
      <w:r w:rsidR="0060746B" w:rsidRPr="0072181A">
        <w:rPr>
          <w:rFonts w:ascii="Arial" w:hAnsi="Arial" w:cs="Arial"/>
          <w:sz w:val="22"/>
          <w:szCs w:val="22"/>
        </w:rPr>
        <w:t xml:space="preserve"> both of which lead to increased costs. Incentives are also necessary to ensure adequate representation among harder-to-recruit populations such as youth, low socio-economic groups and high-risk populations (</w:t>
      </w:r>
      <w:r w:rsidR="00F61323" w:rsidRPr="0072181A">
        <w:rPr>
          <w:rFonts w:ascii="Arial" w:hAnsi="Arial" w:cs="Arial"/>
          <w:sz w:val="22"/>
          <w:szCs w:val="22"/>
        </w:rPr>
        <w:t>experimenters</w:t>
      </w:r>
      <w:r w:rsidR="0060746B" w:rsidRPr="0072181A">
        <w:rPr>
          <w:rFonts w:ascii="Arial" w:hAnsi="Arial" w:cs="Arial"/>
          <w:sz w:val="22"/>
          <w:szCs w:val="22"/>
        </w:rPr>
        <w:t xml:space="preserve"> and </w:t>
      </w:r>
      <w:r w:rsidR="00364B32" w:rsidRPr="0072181A">
        <w:rPr>
          <w:rFonts w:ascii="Arial" w:hAnsi="Arial" w:cs="Arial"/>
          <w:sz w:val="22"/>
          <w:szCs w:val="22"/>
        </w:rPr>
        <w:t>at-risk non-triers</w:t>
      </w:r>
      <w:r w:rsidR="00165995" w:rsidRPr="0072181A">
        <w:rPr>
          <w:rFonts w:ascii="Arial" w:hAnsi="Arial" w:cs="Arial"/>
          <w:sz w:val="22"/>
          <w:szCs w:val="22"/>
        </w:rPr>
        <w:t>).</w:t>
      </w:r>
      <w:r w:rsidR="00165995" w:rsidRPr="0072181A">
        <w:rPr>
          <w:rStyle w:val="FootnoteReference"/>
          <w:rFonts w:ascii="Arial" w:hAnsi="Arial" w:cs="Arial"/>
          <w:sz w:val="22"/>
          <w:szCs w:val="22"/>
        </w:rPr>
        <w:footnoteReference w:id="4"/>
      </w:r>
    </w:p>
    <w:p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Questions of a sensitive nature:</w:t>
      </w:r>
    </w:p>
    <w:p w:rsidR="00F110E1" w:rsidRPr="0072181A" w:rsidRDefault="00F110E1" w:rsidP="00526507">
      <w:pPr>
        <w:pStyle w:val="ListParagraph"/>
        <w:ind w:left="360"/>
        <w:jc w:val="both"/>
        <w:rPr>
          <w:rFonts w:ascii="Arial" w:hAnsi="Arial" w:cs="Arial"/>
          <w:b/>
          <w:sz w:val="22"/>
          <w:szCs w:val="22"/>
        </w:rPr>
      </w:pPr>
    </w:p>
    <w:p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Some studies require the inclusion of people who match selected characteristics of the target audience that the FDA is trying to reach. This may require asking questions about race/ethnicity, 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hyperlink r:id="rId9" w:history="1">
        <w:r w:rsidR="008E49EA" w:rsidRPr="00957D58">
          <w:rPr>
            <w:rStyle w:val="Hyperlink"/>
            <w:rFonts w:ascii="Arial" w:hAnsi="Arial" w:cs="Arial"/>
            <w:sz w:val="22"/>
            <w:szCs w:val="22"/>
          </w:rPr>
          <w:t>http://www.whitehouse.gov/omb/fedreg/1997standards.html</w:t>
        </w:r>
      </w:hyperlink>
      <w:r w:rsidRPr="0072181A">
        <w:rPr>
          <w:rFonts w:ascii="Arial" w:hAnsi="Arial" w:cs="Arial"/>
          <w:sz w:val="22"/>
          <w:szCs w:val="22"/>
        </w:rPr>
        <w:t xml:space="preserve">). </w:t>
      </w:r>
    </w:p>
    <w:p w:rsidR="00B17132" w:rsidRPr="0072181A" w:rsidRDefault="00B17132" w:rsidP="00817EE2">
      <w:pPr>
        <w:pStyle w:val="Default"/>
        <w:jc w:val="both"/>
        <w:rPr>
          <w:rFonts w:ascii="Arial" w:hAnsi="Arial" w:cs="Arial"/>
          <w:sz w:val="22"/>
          <w:szCs w:val="22"/>
        </w:rPr>
      </w:pPr>
    </w:p>
    <w:p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so that the messages, strategies</w:t>
      </w:r>
      <w:r w:rsidR="00421DE8" w:rsidRPr="0072181A">
        <w:rPr>
          <w:rFonts w:ascii="Arial" w:hAnsi="Arial" w:cs="Arial"/>
          <w:sz w:val="22"/>
          <w:szCs w:val="22"/>
        </w:rPr>
        <w:t>,</w:t>
      </w:r>
      <w:r w:rsidRPr="0072181A">
        <w:rPr>
          <w:rFonts w:ascii="Arial" w:hAnsi="Arial" w:cs="Arial"/>
          <w:sz w:val="22"/>
          <w:szCs w:val="22"/>
        </w:rPr>
        <w:t xml:space="preserve"> and materials designed will be appropriate and sensitive. Questions of this nature, while not as personal as those about sexual behavior or religious beliefs, for instance, still require some sensitivity in how they are worded and approached. Participants are informed prior to actual participation about the nature of the activity and the voluntary nature of their participation. </w:t>
      </w:r>
    </w:p>
    <w:p w:rsidR="00B17132" w:rsidRPr="0072181A" w:rsidRDefault="00B17132" w:rsidP="00817EE2">
      <w:pPr>
        <w:pStyle w:val="Default"/>
        <w:jc w:val="both"/>
        <w:rPr>
          <w:rFonts w:ascii="Arial" w:hAnsi="Arial" w:cs="Arial"/>
          <w:sz w:val="22"/>
          <w:szCs w:val="22"/>
        </w:rPr>
      </w:pPr>
    </w:p>
    <w:p w:rsidR="00B17132" w:rsidRPr="0072181A" w:rsidRDefault="00B17132" w:rsidP="00817EE2">
      <w:pPr>
        <w:ind w:left="360"/>
        <w:jc w:val="both"/>
        <w:rPr>
          <w:rFonts w:ascii="Arial" w:hAnsi="Arial" w:cs="Arial"/>
          <w:color w:val="000000"/>
          <w:sz w:val="22"/>
          <w:szCs w:val="22"/>
          <w:lang w:eastAsia="ja-JP"/>
        </w:rPr>
      </w:pPr>
      <w:r w:rsidRPr="0072181A">
        <w:rPr>
          <w:rFonts w:ascii="Arial" w:hAnsi="Arial" w:cs="Arial"/>
          <w:sz w:val="22"/>
          <w:szCs w:val="22"/>
        </w:rPr>
        <w:t xml:space="preserve">FDA tobacco communications may also be concerned with discouraging tobacco use by youth before they start. </w:t>
      </w:r>
      <w:r w:rsidR="0086073F" w:rsidRPr="0072181A">
        <w:rPr>
          <w:rFonts w:ascii="Arial" w:hAnsi="Arial" w:cs="Arial"/>
          <w:sz w:val="22"/>
          <w:szCs w:val="22"/>
        </w:rPr>
        <w:t xml:space="preserve">It is important to understand perceptions about smoking from </w:t>
      </w:r>
      <w:r w:rsidR="003401C4" w:rsidRPr="0072181A">
        <w:rPr>
          <w:rFonts w:ascii="Arial" w:hAnsi="Arial" w:cs="Arial"/>
          <w:sz w:val="22"/>
          <w:szCs w:val="22"/>
        </w:rPr>
        <w:t>youth</w:t>
      </w:r>
      <w:r w:rsidR="0086073F" w:rsidRPr="0072181A">
        <w:rPr>
          <w:rFonts w:ascii="Arial" w:hAnsi="Arial" w:cs="Arial"/>
          <w:sz w:val="22"/>
          <w:szCs w:val="22"/>
        </w:rPr>
        <w:t xml:space="preserve"> who use tobacco or who are susceptible </w:t>
      </w:r>
      <w:r w:rsidR="003401C4" w:rsidRPr="0072181A">
        <w:rPr>
          <w:rFonts w:ascii="Arial" w:hAnsi="Arial" w:cs="Arial"/>
          <w:sz w:val="22"/>
          <w:szCs w:val="22"/>
        </w:rPr>
        <w:t>to use</w:t>
      </w:r>
      <w:r w:rsidR="0086073F" w:rsidRPr="0072181A">
        <w:rPr>
          <w:rFonts w:ascii="Arial" w:hAnsi="Arial" w:cs="Arial"/>
          <w:sz w:val="22"/>
          <w:szCs w:val="22"/>
        </w:rPr>
        <w:t xml:space="preserve"> because their opinions are valuable in informing campaign development. In order to identify </w:t>
      </w:r>
      <w:r w:rsidR="003401C4" w:rsidRPr="0072181A">
        <w:rPr>
          <w:rFonts w:ascii="Arial" w:hAnsi="Arial" w:cs="Arial"/>
          <w:sz w:val="22"/>
          <w:szCs w:val="22"/>
        </w:rPr>
        <w:t>youth</w:t>
      </w:r>
      <w:r w:rsidR="0086073F" w:rsidRPr="0072181A">
        <w:rPr>
          <w:rFonts w:ascii="Arial" w:hAnsi="Arial" w:cs="Arial"/>
          <w:sz w:val="22"/>
          <w:szCs w:val="22"/>
        </w:rPr>
        <w:t xml:space="preserve"> who have </w:t>
      </w:r>
      <w:r w:rsidR="003401C4" w:rsidRPr="0072181A">
        <w:rPr>
          <w:rFonts w:ascii="Arial" w:hAnsi="Arial" w:cs="Arial"/>
          <w:sz w:val="22"/>
          <w:szCs w:val="22"/>
        </w:rPr>
        <w:t>used</w:t>
      </w:r>
      <w:r w:rsidR="0086073F" w:rsidRPr="0072181A">
        <w:rPr>
          <w:rFonts w:ascii="Arial" w:hAnsi="Arial" w:cs="Arial"/>
          <w:sz w:val="22"/>
          <w:szCs w:val="22"/>
        </w:rPr>
        <w:t xml:space="preserve"> tobacco, </w:t>
      </w:r>
      <w:r w:rsidR="00AD0758" w:rsidRPr="0072181A">
        <w:rPr>
          <w:rFonts w:ascii="Arial" w:hAnsi="Arial" w:cs="Arial"/>
          <w:sz w:val="22"/>
          <w:szCs w:val="22"/>
        </w:rPr>
        <w:t>researchers</w:t>
      </w:r>
      <w:r w:rsidR="0086073F" w:rsidRPr="0072181A">
        <w:rPr>
          <w:rFonts w:ascii="Arial" w:hAnsi="Arial" w:cs="Arial"/>
          <w:sz w:val="22"/>
          <w:szCs w:val="22"/>
        </w:rPr>
        <w:t xml:space="preserve"> need to ask sensitive survey-based questions about current tobacco use. The</w:t>
      </w:r>
      <w:r w:rsidR="00421DE8" w:rsidRPr="0072181A">
        <w:rPr>
          <w:rFonts w:ascii="Arial" w:hAnsi="Arial" w:cs="Arial"/>
          <w:sz w:val="22"/>
          <w:szCs w:val="22"/>
        </w:rPr>
        <w:t xml:space="preserve"> FDA acknowledges</w:t>
      </w:r>
      <w:r w:rsidR="0086073F" w:rsidRPr="0072181A">
        <w:rPr>
          <w:rFonts w:ascii="Arial" w:hAnsi="Arial" w:cs="Arial"/>
          <w:sz w:val="22"/>
          <w:szCs w:val="22"/>
        </w:rPr>
        <w:t xml:space="preserve"> </w:t>
      </w:r>
      <w:r w:rsidR="00AD0758" w:rsidRPr="0072181A">
        <w:rPr>
          <w:rFonts w:ascii="Arial" w:hAnsi="Arial" w:cs="Arial"/>
          <w:sz w:val="22"/>
          <w:szCs w:val="22"/>
        </w:rPr>
        <w:t xml:space="preserve">such </w:t>
      </w:r>
      <w:r w:rsidR="0086073F" w:rsidRPr="0072181A">
        <w:rPr>
          <w:rFonts w:ascii="Arial" w:hAnsi="Arial" w:cs="Arial"/>
          <w:sz w:val="22"/>
          <w:szCs w:val="22"/>
        </w:rPr>
        <w:t xml:space="preserve">questions are potentially sensitive since tobacco use among </w:t>
      </w:r>
      <w:r w:rsidR="003401C4" w:rsidRPr="0072181A">
        <w:rPr>
          <w:rFonts w:ascii="Arial" w:hAnsi="Arial" w:cs="Arial"/>
          <w:sz w:val="22"/>
          <w:szCs w:val="22"/>
        </w:rPr>
        <w:t>youth</w:t>
      </w:r>
      <w:r w:rsidR="0086073F" w:rsidRPr="0072181A">
        <w:rPr>
          <w:rFonts w:ascii="Arial" w:hAnsi="Arial" w:cs="Arial"/>
          <w:sz w:val="22"/>
          <w:szCs w:val="22"/>
        </w:rPr>
        <w:t xml:space="preserve"> under 18 years of age is illegal in some states and </w:t>
      </w:r>
      <w:r w:rsidR="003401C4" w:rsidRPr="0072181A">
        <w:rPr>
          <w:rFonts w:ascii="Arial" w:hAnsi="Arial" w:cs="Arial"/>
          <w:sz w:val="22"/>
          <w:szCs w:val="22"/>
        </w:rPr>
        <w:t>selling tobacco use to minors is</w:t>
      </w:r>
      <w:r w:rsidR="0086073F" w:rsidRPr="0072181A">
        <w:rPr>
          <w:rFonts w:ascii="Arial" w:hAnsi="Arial" w:cs="Arial"/>
          <w:sz w:val="22"/>
          <w:szCs w:val="22"/>
        </w:rPr>
        <w:t xml:space="preserve"> illegal in all states.</w:t>
      </w:r>
      <w:r w:rsidR="00AD0758" w:rsidRPr="0072181A">
        <w:rPr>
          <w:rFonts w:ascii="Arial" w:hAnsi="Arial" w:cs="Arial"/>
          <w:sz w:val="22"/>
          <w:szCs w:val="22"/>
        </w:rPr>
        <w:t xml:space="preserve"> </w:t>
      </w:r>
    </w:p>
    <w:p w:rsidR="0086073F" w:rsidRPr="0072181A" w:rsidRDefault="0086073F" w:rsidP="00817EE2">
      <w:pPr>
        <w:jc w:val="both"/>
        <w:rPr>
          <w:rFonts w:ascii="Arial" w:hAnsi="Arial" w:cs="Arial"/>
          <w:sz w:val="22"/>
          <w:szCs w:val="22"/>
        </w:rPr>
      </w:pPr>
    </w:p>
    <w:p w:rsidR="00B17132" w:rsidRPr="0072181A" w:rsidRDefault="002A1BD0" w:rsidP="00817EE2">
      <w:pPr>
        <w:ind w:left="360"/>
        <w:jc w:val="both"/>
        <w:rPr>
          <w:rFonts w:ascii="Arial" w:hAnsi="Arial" w:cs="Arial"/>
          <w:b/>
          <w:sz w:val="22"/>
          <w:szCs w:val="22"/>
        </w:rPr>
      </w:pPr>
      <w:r w:rsidRPr="0072181A">
        <w:rPr>
          <w:rFonts w:ascii="Arial" w:hAnsi="Arial" w:cs="Arial"/>
          <w:sz w:val="22"/>
          <w:szCs w:val="22"/>
        </w:rPr>
        <w:t xml:space="preserve">Raw </w:t>
      </w:r>
      <w:r w:rsidR="00B17132" w:rsidRPr="0072181A">
        <w:rPr>
          <w:rFonts w:ascii="Arial" w:hAnsi="Arial" w:cs="Arial"/>
          <w:sz w:val="22"/>
          <w:szCs w:val="22"/>
        </w:rPr>
        <w:t xml:space="preserve">data that include sensitive information (e.g., </w:t>
      </w:r>
      <w:r w:rsidRPr="0072181A">
        <w:rPr>
          <w:rFonts w:ascii="Arial" w:hAnsi="Arial" w:cs="Arial"/>
          <w:sz w:val="22"/>
          <w:szCs w:val="22"/>
        </w:rPr>
        <w:t>screening questionnaires</w:t>
      </w:r>
      <w:r w:rsidR="0060599C" w:rsidRPr="0072181A">
        <w:rPr>
          <w:rFonts w:ascii="Arial" w:hAnsi="Arial" w:cs="Arial"/>
          <w:sz w:val="22"/>
          <w:szCs w:val="22"/>
        </w:rPr>
        <w:t>, youth or parent contact information</w:t>
      </w:r>
      <w:r w:rsidR="00B17132" w:rsidRPr="0072181A">
        <w:rPr>
          <w:rFonts w:ascii="Arial" w:hAnsi="Arial" w:cs="Arial"/>
          <w:sz w:val="22"/>
          <w:szCs w:val="22"/>
        </w:rPr>
        <w:t>) are not retained once the data have been extracted and aggregated. The information never becomes part of a system of records containing permanent identifiers that can be used for retrieval.</w:t>
      </w:r>
      <w:r w:rsidR="00816B54" w:rsidRPr="0072181A">
        <w:rPr>
          <w:rFonts w:ascii="Arial" w:hAnsi="Arial" w:cs="Arial"/>
          <w:sz w:val="22"/>
          <w:szCs w:val="22"/>
        </w:rPr>
        <w:t xml:space="preserve"> </w:t>
      </w:r>
    </w:p>
    <w:p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lastRenderedPageBreak/>
        <w:t>Description of statistical methods:</w:t>
      </w:r>
    </w:p>
    <w:p w:rsidR="005C44B0" w:rsidRPr="0072181A" w:rsidRDefault="005C44B0" w:rsidP="00C76356">
      <w:pPr>
        <w:jc w:val="both"/>
        <w:rPr>
          <w:rFonts w:ascii="Arial" w:hAnsi="Arial" w:cs="Arial"/>
          <w:sz w:val="22"/>
          <w:szCs w:val="22"/>
        </w:rPr>
      </w:pPr>
    </w:p>
    <w:p w:rsidR="002A1BD0" w:rsidRPr="0072181A" w:rsidRDefault="002A1BD0" w:rsidP="002A1BD0">
      <w:pPr>
        <w:ind w:left="360"/>
        <w:jc w:val="both"/>
        <w:rPr>
          <w:rFonts w:ascii="Arial" w:hAnsi="Arial" w:cs="Arial"/>
          <w:sz w:val="22"/>
          <w:szCs w:val="22"/>
        </w:rPr>
      </w:pPr>
      <w:r w:rsidRPr="0072181A">
        <w:rPr>
          <w:rFonts w:ascii="Arial" w:hAnsi="Arial" w:cs="Arial"/>
          <w:sz w:val="22"/>
          <w:szCs w:val="22"/>
        </w:rPr>
        <w:t xml:space="preserve">This research relies on </w:t>
      </w:r>
      <w:r w:rsidR="00526507">
        <w:rPr>
          <w:rFonts w:ascii="Arial" w:hAnsi="Arial" w:cs="Arial"/>
          <w:sz w:val="22"/>
          <w:szCs w:val="22"/>
        </w:rPr>
        <w:t>q</w:t>
      </w:r>
      <w:r w:rsidR="00C408BD">
        <w:rPr>
          <w:rFonts w:ascii="Arial" w:hAnsi="Arial" w:cs="Arial"/>
          <w:sz w:val="22"/>
          <w:szCs w:val="22"/>
        </w:rPr>
        <w:t xml:space="preserve">ualitative </w:t>
      </w:r>
      <w:r w:rsidRPr="0072181A">
        <w:rPr>
          <w:rFonts w:ascii="Arial" w:hAnsi="Arial" w:cs="Arial"/>
          <w:sz w:val="22"/>
          <w:szCs w:val="22"/>
        </w:rPr>
        <w:t xml:space="preserve">methods </w:t>
      </w:r>
      <w:r w:rsidR="00C408BD">
        <w:rPr>
          <w:rFonts w:ascii="Arial" w:hAnsi="Arial" w:cs="Arial"/>
          <w:sz w:val="22"/>
          <w:szCs w:val="22"/>
        </w:rPr>
        <w:t>to collect data</w:t>
      </w:r>
      <w:r w:rsidRPr="0072181A">
        <w:rPr>
          <w:rFonts w:ascii="Arial" w:hAnsi="Arial" w:cs="Arial"/>
          <w:sz w:val="22"/>
          <w:szCs w:val="22"/>
        </w:rPr>
        <w:t xml:space="preserve">. This research is not intended to yield results that are statistically projectable, nationally representative, or precise estimates of population parameters.  </w:t>
      </w:r>
    </w:p>
    <w:p w:rsidR="002A1BD0" w:rsidRPr="0072181A" w:rsidRDefault="002A1BD0" w:rsidP="002A1BD0">
      <w:pPr>
        <w:ind w:left="360"/>
        <w:jc w:val="both"/>
        <w:rPr>
          <w:rFonts w:ascii="Arial" w:hAnsi="Arial" w:cs="Arial"/>
          <w:sz w:val="22"/>
          <w:szCs w:val="22"/>
        </w:rPr>
      </w:pPr>
    </w:p>
    <w:p w:rsidR="00C544BD" w:rsidRDefault="002A1BD0" w:rsidP="008E49EA">
      <w:pPr>
        <w:ind w:left="360"/>
        <w:jc w:val="both"/>
        <w:rPr>
          <w:rFonts w:ascii="Arial" w:hAnsi="Arial" w:cs="Arial"/>
          <w:sz w:val="22"/>
          <w:szCs w:val="22"/>
        </w:rPr>
      </w:pPr>
      <w:r w:rsidRPr="0072181A">
        <w:rPr>
          <w:rFonts w:ascii="Arial" w:hAnsi="Arial" w:cs="Arial"/>
          <w:sz w:val="22"/>
          <w:szCs w:val="22"/>
        </w:rPr>
        <w:t xml:space="preserve">Youth participants will be directly identified using </w:t>
      </w:r>
      <w:r w:rsidR="005C7437" w:rsidRPr="0072181A">
        <w:rPr>
          <w:rFonts w:ascii="Arial" w:hAnsi="Arial" w:cs="Arial"/>
          <w:sz w:val="22"/>
          <w:szCs w:val="22"/>
        </w:rPr>
        <w:t>school-based</w:t>
      </w:r>
      <w:r w:rsidRPr="0072181A">
        <w:rPr>
          <w:rFonts w:ascii="Arial" w:hAnsi="Arial" w:cs="Arial"/>
          <w:sz w:val="22"/>
          <w:szCs w:val="22"/>
        </w:rPr>
        <w:t xml:space="preserve"> intercept recruitment procedures that employ screening questions about age; current, past, and intended tobacco use; race and ethnicity; gender</w:t>
      </w:r>
      <w:r w:rsidR="00C408BD">
        <w:rPr>
          <w:rFonts w:ascii="Arial" w:hAnsi="Arial" w:cs="Arial"/>
          <w:sz w:val="22"/>
          <w:szCs w:val="22"/>
        </w:rPr>
        <w:t>; and peer crowd affiliation</w:t>
      </w:r>
      <w:r w:rsidRPr="0072181A">
        <w:rPr>
          <w:rFonts w:ascii="Arial" w:hAnsi="Arial" w:cs="Arial"/>
          <w:sz w:val="22"/>
          <w:szCs w:val="22"/>
        </w:rPr>
        <w:t>. Recruitment will continue until a sample of the required number of participants</w:t>
      </w:r>
      <w:r w:rsidR="00CB73F3">
        <w:rPr>
          <w:rFonts w:ascii="Arial" w:hAnsi="Arial" w:cs="Arial"/>
          <w:sz w:val="22"/>
          <w:szCs w:val="22"/>
        </w:rPr>
        <w:t xml:space="preserve"> for each focus group (200 strategy development and 360 creative </w:t>
      </w:r>
      <w:proofErr w:type="gramStart"/>
      <w:r w:rsidR="00CB73F3">
        <w:rPr>
          <w:rFonts w:ascii="Arial" w:hAnsi="Arial" w:cs="Arial"/>
          <w:sz w:val="22"/>
          <w:szCs w:val="22"/>
        </w:rPr>
        <w:t>development</w:t>
      </w:r>
      <w:proofErr w:type="gramEnd"/>
      <w:r w:rsidR="00CB73F3">
        <w:rPr>
          <w:rFonts w:ascii="Arial" w:hAnsi="Arial" w:cs="Arial"/>
          <w:sz w:val="22"/>
          <w:szCs w:val="22"/>
        </w:rPr>
        <w:t>)</w:t>
      </w:r>
      <w:r w:rsidRPr="0072181A">
        <w:rPr>
          <w:rFonts w:ascii="Arial" w:hAnsi="Arial" w:cs="Arial"/>
          <w:sz w:val="22"/>
          <w:szCs w:val="22"/>
        </w:rPr>
        <w:t xml:space="preserve"> is obtained.</w:t>
      </w:r>
    </w:p>
    <w:p w:rsidR="00E72134" w:rsidRPr="008E49EA" w:rsidRDefault="00E72134" w:rsidP="008E49EA">
      <w:pPr>
        <w:ind w:left="360"/>
        <w:jc w:val="both"/>
        <w:rPr>
          <w:rFonts w:ascii="Arial" w:hAnsi="Arial" w:cs="Arial"/>
          <w:sz w:val="22"/>
          <w:szCs w:val="22"/>
        </w:rPr>
      </w:pPr>
    </w:p>
    <w:p w:rsidR="00E17BCB" w:rsidRDefault="00975FE6" w:rsidP="00C76356">
      <w:pPr>
        <w:jc w:val="both"/>
        <w:rPr>
          <w:rFonts w:ascii="Arial" w:hAnsi="Arial" w:cs="Arial"/>
          <w:i/>
          <w:sz w:val="22"/>
          <w:szCs w:val="22"/>
        </w:rPr>
      </w:pPr>
      <w:r w:rsidRPr="0072181A">
        <w:rPr>
          <w:rFonts w:ascii="Arial" w:hAnsi="Arial" w:cs="Arial"/>
          <w:b/>
          <w:sz w:val="22"/>
          <w:szCs w:val="22"/>
        </w:rPr>
        <w:t xml:space="preserve">BURDEN HOUR COMPUTATION </w:t>
      </w:r>
      <w:r w:rsidR="00C8599B" w:rsidRPr="0072181A">
        <w:rPr>
          <w:rFonts w:ascii="Arial" w:hAnsi="Arial" w:cs="Arial"/>
          <w:i/>
          <w:sz w:val="22"/>
          <w:szCs w:val="22"/>
        </w:rPr>
        <w:t>Number of respondents (X) estimated response or participation time in minutes (/</w:t>
      </w:r>
      <w:r w:rsidR="00394F93">
        <w:rPr>
          <w:rFonts w:ascii="Arial" w:hAnsi="Arial" w:cs="Arial"/>
          <w:i/>
          <w:sz w:val="22"/>
          <w:szCs w:val="22"/>
        </w:rPr>
        <w:t>6</w:t>
      </w:r>
      <w:r w:rsidR="00341B5B" w:rsidRPr="0072181A">
        <w:rPr>
          <w:rFonts w:ascii="Arial" w:hAnsi="Arial" w:cs="Arial"/>
          <w:i/>
          <w:sz w:val="22"/>
          <w:szCs w:val="22"/>
        </w:rPr>
        <w:t>0</w:t>
      </w:r>
      <w:r w:rsidR="00C8599B" w:rsidRPr="0072181A">
        <w:rPr>
          <w:rFonts w:ascii="Arial" w:hAnsi="Arial" w:cs="Arial"/>
          <w:i/>
          <w:sz w:val="22"/>
          <w:szCs w:val="22"/>
        </w:rPr>
        <w:t xml:space="preserve">) = annual burden hours: </w:t>
      </w:r>
    </w:p>
    <w:p w:rsidR="00C844C5" w:rsidRPr="00C844C5" w:rsidRDefault="00C844C5" w:rsidP="00C76356">
      <w:pPr>
        <w:jc w:val="both"/>
        <w:rPr>
          <w:rFonts w:ascii="Arial" w:hAnsi="Arial" w:cs="Arial"/>
          <w:i/>
          <w:sz w:val="10"/>
          <w:szCs w:val="22"/>
        </w:rPr>
      </w:pPr>
    </w:p>
    <w:p w:rsidR="00E17BCB" w:rsidRPr="00C844C5" w:rsidRDefault="004450E0" w:rsidP="00E17BCB">
      <w:pPr>
        <w:tabs>
          <w:tab w:val="left" w:pos="1440"/>
          <w:tab w:val="left" w:pos="4320"/>
        </w:tabs>
        <w:ind w:left="450"/>
        <w:rPr>
          <w:rFonts w:ascii="Arial" w:hAnsi="Arial" w:cs="Arial"/>
          <w:b/>
          <w:i/>
          <w:sz w:val="16"/>
          <w:szCs w:val="18"/>
        </w:rPr>
      </w:pPr>
      <w:r w:rsidRPr="00C844C5">
        <w:rPr>
          <w:rFonts w:ascii="Arial" w:hAnsi="Arial" w:cs="Arial"/>
          <w:b/>
          <w:i/>
          <w:sz w:val="16"/>
          <w:szCs w:val="18"/>
        </w:rPr>
        <w:t xml:space="preserve">Youth </w:t>
      </w:r>
      <w:r w:rsidR="00E17BCB" w:rsidRPr="00C844C5">
        <w:rPr>
          <w:rFonts w:ascii="Arial" w:hAnsi="Arial" w:cs="Arial"/>
          <w:b/>
          <w:i/>
          <w:sz w:val="16"/>
          <w:szCs w:val="18"/>
        </w:rPr>
        <w:t xml:space="preserve">Screener </w:t>
      </w:r>
      <w:r w:rsidRPr="00C844C5">
        <w:rPr>
          <w:rFonts w:ascii="Arial" w:hAnsi="Arial" w:cs="Arial"/>
          <w:b/>
          <w:i/>
          <w:sz w:val="16"/>
          <w:szCs w:val="18"/>
        </w:rPr>
        <w:t>and Assent</w:t>
      </w:r>
      <w:r w:rsidR="001C7062" w:rsidRPr="00C844C5">
        <w:rPr>
          <w:rFonts w:ascii="Arial" w:hAnsi="Arial" w:cs="Arial"/>
          <w:b/>
          <w:i/>
          <w:sz w:val="16"/>
          <w:szCs w:val="18"/>
        </w:rPr>
        <w:t xml:space="preserve"> </w:t>
      </w:r>
      <w:r w:rsidR="00E17BCB" w:rsidRPr="00C844C5">
        <w:rPr>
          <w:rFonts w:ascii="Arial" w:hAnsi="Arial" w:cs="Arial"/>
          <w:b/>
          <w:i/>
          <w:sz w:val="16"/>
          <w:szCs w:val="18"/>
        </w:rPr>
        <w:t xml:space="preserve">| estimated participation time: </w:t>
      </w:r>
      <w:r w:rsidR="00E71FBE" w:rsidRPr="00C844C5">
        <w:rPr>
          <w:rFonts w:ascii="Arial" w:hAnsi="Arial" w:cs="Arial"/>
          <w:b/>
          <w:i/>
          <w:sz w:val="16"/>
          <w:szCs w:val="18"/>
        </w:rPr>
        <w:t xml:space="preserve">10 </w:t>
      </w:r>
      <w:r w:rsidR="00E17BCB" w:rsidRPr="00C844C5">
        <w:rPr>
          <w:rFonts w:ascii="Arial" w:hAnsi="Arial" w:cs="Arial"/>
          <w:b/>
          <w:i/>
          <w:sz w:val="16"/>
          <w:szCs w:val="18"/>
        </w:rPr>
        <w:t>minutes</w:t>
      </w:r>
    </w:p>
    <w:p w:rsidR="00341B5B" w:rsidRPr="00C844C5" w:rsidRDefault="00341B5B" w:rsidP="00E17BCB">
      <w:pPr>
        <w:tabs>
          <w:tab w:val="left" w:pos="1440"/>
          <w:tab w:val="left" w:pos="4320"/>
        </w:tabs>
        <w:ind w:left="450"/>
        <w:rPr>
          <w:rFonts w:ascii="Arial" w:hAnsi="Arial" w:cs="Arial"/>
          <w:b/>
          <w:i/>
          <w:sz w:val="16"/>
          <w:szCs w:val="18"/>
        </w:rPr>
      </w:pPr>
      <w:r w:rsidRPr="00C844C5">
        <w:rPr>
          <w:rFonts w:ascii="Arial" w:hAnsi="Arial" w:cs="Arial"/>
          <w:b/>
          <w:i/>
          <w:sz w:val="16"/>
          <w:szCs w:val="18"/>
        </w:rPr>
        <w:t>Parental Opt-Out/Consent | estimated participation time: 5 minutes</w:t>
      </w:r>
    </w:p>
    <w:p w:rsidR="00E17BCB" w:rsidRPr="00C844C5" w:rsidRDefault="00341B5B" w:rsidP="00E17BCB">
      <w:pPr>
        <w:tabs>
          <w:tab w:val="left" w:pos="1440"/>
          <w:tab w:val="left" w:pos="4320"/>
        </w:tabs>
        <w:ind w:left="450"/>
        <w:rPr>
          <w:rFonts w:ascii="Arial" w:hAnsi="Arial" w:cs="Arial"/>
          <w:b/>
          <w:i/>
          <w:sz w:val="16"/>
          <w:szCs w:val="18"/>
        </w:rPr>
      </w:pPr>
      <w:r w:rsidRPr="00C844C5">
        <w:rPr>
          <w:rFonts w:ascii="Arial" w:hAnsi="Arial" w:cs="Arial"/>
          <w:b/>
          <w:i/>
          <w:sz w:val="16"/>
          <w:szCs w:val="18"/>
        </w:rPr>
        <w:t>Youth Participants</w:t>
      </w:r>
      <w:r w:rsidR="00E17BCB" w:rsidRPr="00C844C5">
        <w:rPr>
          <w:rFonts w:ascii="Arial" w:hAnsi="Arial" w:cs="Arial"/>
          <w:b/>
          <w:i/>
          <w:sz w:val="16"/>
          <w:szCs w:val="18"/>
        </w:rPr>
        <w:t xml:space="preserve"> </w:t>
      </w:r>
      <w:r w:rsidRPr="00C844C5">
        <w:rPr>
          <w:rFonts w:ascii="Arial" w:hAnsi="Arial" w:cs="Arial"/>
          <w:b/>
          <w:i/>
          <w:sz w:val="16"/>
          <w:szCs w:val="18"/>
        </w:rPr>
        <w:t>| estimated</w:t>
      </w:r>
      <w:r w:rsidR="00E17BCB" w:rsidRPr="00C844C5">
        <w:rPr>
          <w:rFonts w:ascii="Arial" w:hAnsi="Arial" w:cs="Arial"/>
          <w:b/>
          <w:i/>
          <w:sz w:val="16"/>
          <w:szCs w:val="18"/>
        </w:rPr>
        <w:t xml:space="preserve"> participation time: </w:t>
      </w:r>
      <w:r w:rsidR="00C408BD" w:rsidRPr="00C844C5">
        <w:rPr>
          <w:rFonts w:ascii="Arial" w:hAnsi="Arial" w:cs="Arial"/>
          <w:b/>
          <w:i/>
          <w:sz w:val="16"/>
          <w:szCs w:val="18"/>
        </w:rPr>
        <w:t>90</w:t>
      </w:r>
      <w:r w:rsidRPr="00C844C5">
        <w:rPr>
          <w:rFonts w:ascii="Arial" w:hAnsi="Arial" w:cs="Arial"/>
          <w:b/>
          <w:i/>
          <w:sz w:val="16"/>
          <w:szCs w:val="18"/>
        </w:rPr>
        <w:t xml:space="preserve"> </w:t>
      </w:r>
      <w:r w:rsidR="00E17BCB" w:rsidRPr="00C844C5">
        <w:rPr>
          <w:rFonts w:ascii="Arial" w:hAnsi="Arial" w:cs="Arial"/>
          <w:b/>
          <w:i/>
          <w:sz w:val="16"/>
          <w:szCs w:val="18"/>
        </w:rPr>
        <w:t>minutes</w:t>
      </w:r>
    </w:p>
    <w:p w:rsidR="00733779" w:rsidRPr="00C844C5" w:rsidRDefault="00733779" w:rsidP="00C76356">
      <w:pPr>
        <w:jc w:val="both"/>
        <w:rPr>
          <w:rFonts w:ascii="Arial" w:hAnsi="Arial" w:cs="Arial"/>
          <w:i/>
          <w:sz w:val="10"/>
          <w:szCs w:val="22"/>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26"/>
        <w:gridCol w:w="2135"/>
        <w:gridCol w:w="2160"/>
        <w:gridCol w:w="2153"/>
      </w:tblGrid>
      <w:tr w:rsidR="00E17BCB" w:rsidRPr="0072181A" w:rsidTr="00C844C5">
        <w:trPr>
          <w:trHeight w:val="275"/>
          <w:jc w:val="center"/>
        </w:trPr>
        <w:tc>
          <w:tcPr>
            <w:tcW w:w="3079" w:type="dxa"/>
            <w:gridSpan w:val="2"/>
            <w:tcBorders>
              <w:bottom w:val="single" w:sz="4" w:space="0" w:color="auto"/>
            </w:tcBorders>
            <w:shd w:val="clear" w:color="auto" w:fill="E0E0E0"/>
            <w:vAlign w:val="center"/>
          </w:tcPr>
          <w:p w:rsidR="00E17BCB" w:rsidRPr="0072181A" w:rsidRDefault="00E17BCB" w:rsidP="002E7FFD">
            <w:pPr>
              <w:rPr>
                <w:rFonts w:ascii="Arial" w:hAnsi="Arial" w:cs="Arial"/>
                <w:b/>
              </w:rPr>
            </w:pPr>
            <w:r w:rsidRPr="0072181A">
              <w:rPr>
                <w:rFonts w:ascii="Arial" w:hAnsi="Arial" w:cs="Arial"/>
                <w:b/>
              </w:rPr>
              <w:t>Type/Category of Respondent</w:t>
            </w:r>
          </w:p>
        </w:tc>
        <w:tc>
          <w:tcPr>
            <w:tcW w:w="2135" w:type="dxa"/>
            <w:tcBorders>
              <w:bottom w:val="single" w:sz="4" w:space="0" w:color="auto"/>
            </w:tcBorders>
            <w:shd w:val="clear" w:color="auto" w:fill="E0E0E0"/>
            <w:vAlign w:val="center"/>
          </w:tcPr>
          <w:p w:rsidR="00E17BCB" w:rsidRPr="0072181A" w:rsidRDefault="00E17BCB" w:rsidP="002E7FFD">
            <w:pPr>
              <w:jc w:val="center"/>
              <w:rPr>
                <w:rFonts w:ascii="Arial" w:hAnsi="Arial" w:cs="Arial"/>
                <w:b/>
              </w:rPr>
            </w:pPr>
            <w:r w:rsidRPr="0072181A">
              <w:rPr>
                <w:rFonts w:ascii="Arial" w:hAnsi="Arial" w:cs="Arial"/>
                <w:b/>
              </w:rPr>
              <w:t>No. of Respondents</w:t>
            </w:r>
          </w:p>
        </w:tc>
        <w:tc>
          <w:tcPr>
            <w:tcW w:w="2160" w:type="dxa"/>
            <w:tcBorders>
              <w:bottom w:val="single" w:sz="4" w:space="0" w:color="auto"/>
            </w:tcBorders>
            <w:shd w:val="clear" w:color="auto" w:fill="E0E0E0"/>
            <w:vAlign w:val="center"/>
          </w:tcPr>
          <w:p w:rsidR="00E17BCB" w:rsidRPr="0072181A" w:rsidRDefault="00E17BCB" w:rsidP="002E7FFD">
            <w:pPr>
              <w:jc w:val="center"/>
              <w:rPr>
                <w:rFonts w:ascii="Arial" w:hAnsi="Arial" w:cs="Arial"/>
                <w:b/>
              </w:rPr>
            </w:pPr>
            <w:r w:rsidRPr="0072181A">
              <w:rPr>
                <w:rFonts w:ascii="Arial" w:hAnsi="Arial" w:cs="Arial"/>
                <w:b/>
              </w:rPr>
              <w:t xml:space="preserve">Participation Time </w:t>
            </w:r>
          </w:p>
          <w:p w:rsidR="00E17BCB" w:rsidRPr="0072181A" w:rsidRDefault="00E17BCB" w:rsidP="002E7FFD">
            <w:pPr>
              <w:jc w:val="center"/>
              <w:rPr>
                <w:rFonts w:ascii="Arial" w:hAnsi="Arial" w:cs="Arial"/>
                <w:b/>
              </w:rPr>
            </w:pPr>
            <w:r w:rsidRPr="0072181A">
              <w:rPr>
                <w:rFonts w:ascii="Arial" w:hAnsi="Arial" w:cs="Arial"/>
                <w:b/>
              </w:rPr>
              <w:t>(minutes)</w:t>
            </w:r>
          </w:p>
        </w:tc>
        <w:tc>
          <w:tcPr>
            <w:tcW w:w="2153" w:type="dxa"/>
            <w:tcBorders>
              <w:bottom w:val="single" w:sz="4" w:space="0" w:color="auto"/>
            </w:tcBorders>
            <w:shd w:val="clear" w:color="auto" w:fill="E0E0E0"/>
            <w:vAlign w:val="center"/>
          </w:tcPr>
          <w:p w:rsidR="00E17BCB" w:rsidRPr="0072181A" w:rsidRDefault="00E17BCB" w:rsidP="002E7FFD">
            <w:pPr>
              <w:jc w:val="center"/>
              <w:rPr>
                <w:rFonts w:ascii="Arial" w:hAnsi="Arial" w:cs="Arial"/>
                <w:b/>
              </w:rPr>
            </w:pPr>
            <w:r w:rsidRPr="0072181A">
              <w:rPr>
                <w:rFonts w:ascii="Arial" w:hAnsi="Arial" w:cs="Arial"/>
                <w:b/>
              </w:rPr>
              <w:t>Burden</w:t>
            </w:r>
          </w:p>
          <w:p w:rsidR="00E17BCB" w:rsidRPr="0072181A" w:rsidRDefault="00E17BCB" w:rsidP="002E7FFD">
            <w:pPr>
              <w:jc w:val="center"/>
              <w:rPr>
                <w:rFonts w:ascii="Arial" w:hAnsi="Arial" w:cs="Arial"/>
                <w:b/>
              </w:rPr>
            </w:pPr>
            <w:r w:rsidRPr="0072181A">
              <w:rPr>
                <w:rFonts w:ascii="Arial" w:hAnsi="Arial" w:cs="Arial"/>
                <w:b/>
              </w:rPr>
              <w:t>(hours)</w:t>
            </w:r>
          </w:p>
        </w:tc>
      </w:tr>
      <w:tr w:rsidR="00E17BCB" w:rsidRPr="0072181A" w:rsidTr="00C844C5">
        <w:trPr>
          <w:trHeight w:val="275"/>
          <w:jc w:val="center"/>
        </w:trPr>
        <w:tc>
          <w:tcPr>
            <w:tcW w:w="9527" w:type="dxa"/>
            <w:gridSpan w:val="5"/>
            <w:shd w:val="clear" w:color="auto" w:fill="FFFFFF" w:themeFill="background1"/>
          </w:tcPr>
          <w:p w:rsidR="00E17BCB" w:rsidRPr="0072181A" w:rsidRDefault="00E17BCB" w:rsidP="002E7FFD">
            <w:pPr>
              <w:rPr>
                <w:rFonts w:ascii="Arial" w:hAnsi="Arial" w:cs="Arial"/>
              </w:rPr>
            </w:pPr>
            <w:r w:rsidRPr="0072181A">
              <w:rPr>
                <w:rFonts w:ascii="Arial" w:hAnsi="Arial" w:cs="Arial"/>
              </w:rPr>
              <w:t>Screened Potential Participants</w:t>
            </w:r>
          </w:p>
        </w:tc>
      </w:tr>
      <w:tr w:rsidR="008B579B" w:rsidRPr="0072181A" w:rsidTr="00C844C5">
        <w:trPr>
          <w:trHeight w:val="275"/>
          <w:jc w:val="center"/>
        </w:trPr>
        <w:tc>
          <w:tcPr>
            <w:tcW w:w="3079" w:type="dxa"/>
            <w:gridSpan w:val="2"/>
            <w:shd w:val="clear" w:color="auto" w:fill="FFFFFF" w:themeFill="background1"/>
            <w:vAlign w:val="center"/>
          </w:tcPr>
          <w:p w:rsidR="008B579B" w:rsidRPr="0072181A" w:rsidRDefault="008B579B" w:rsidP="00E17BCB">
            <w:pPr>
              <w:rPr>
                <w:rFonts w:ascii="Arial" w:hAnsi="Arial" w:cs="Arial"/>
              </w:rPr>
            </w:pPr>
            <w:r w:rsidRPr="0072181A">
              <w:rPr>
                <w:rFonts w:ascii="Arial" w:hAnsi="Arial" w:cs="Arial"/>
              </w:rPr>
              <w:t>Youth Screening Questionnaire and Assent</w:t>
            </w:r>
          </w:p>
        </w:tc>
        <w:tc>
          <w:tcPr>
            <w:tcW w:w="2135" w:type="dxa"/>
            <w:vMerge w:val="restart"/>
            <w:shd w:val="clear" w:color="auto" w:fill="FFFFFF" w:themeFill="background1"/>
            <w:vAlign w:val="center"/>
          </w:tcPr>
          <w:p w:rsidR="008B579B" w:rsidRPr="00E13384" w:rsidRDefault="00CC1EB5" w:rsidP="008B579B">
            <w:pPr>
              <w:jc w:val="center"/>
              <w:rPr>
                <w:rFonts w:ascii="Arial" w:hAnsi="Arial" w:cs="Arial"/>
              </w:rPr>
            </w:pPr>
            <w:r>
              <w:rPr>
                <w:rFonts w:ascii="Arial" w:hAnsi="Arial" w:cs="Arial"/>
              </w:rPr>
              <w:t>1,680</w:t>
            </w:r>
          </w:p>
        </w:tc>
        <w:tc>
          <w:tcPr>
            <w:tcW w:w="2160" w:type="dxa"/>
            <w:shd w:val="clear" w:color="auto" w:fill="FFFFFF" w:themeFill="background1"/>
            <w:vAlign w:val="center"/>
          </w:tcPr>
          <w:p w:rsidR="008B579B" w:rsidRPr="00E13384" w:rsidRDefault="00E71FBE" w:rsidP="002E7FFD">
            <w:pPr>
              <w:jc w:val="center"/>
              <w:rPr>
                <w:rFonts w:ascii="Arial" w:hAnsi="Arial" w:cs="Arial"/>
              </w:rPr>
            </w:pPr>
            <w:r>
              <w:rPr>
                <w:rFonts w:ascii="Arial" w:hAnsi="Arial" w:cs="Arial"/>
              </w:rPr>
              <w:t>10</w:t>
            </w:r>
          </w:p>
        </w:tc>
        <w:tc>
          <w:tcPr>
            <w:tcW w:w="2153" w:type="dxa"/>
            <w:shd w:val="clear" w:color="auto" w:fill="FFFFFF" w:themeFill="background1"/>
            <w:vAlign w:val="center"/>
          </w:tcPr>
          <w:p w:rsidR="008B579B" w:rsidRPr="00E13384" w:rsidRDefault="00E71FBE" w:rsidP="002E7FFD">
            <w:pPr>
              <w:jc w:val="center"/>
              <w:rPr>
                <w:rFonts w:ascii="Arial" w:hAnsi="Arial" w:cs="Arial"/>
              </w:rPr>
            </w:pPr>
            <w:r>
              <w:rPr>
                <w:rFonts w:ascii="Arial" w:hAnsi="Arial" w:cs="Arial"/>
              </w:rPr>
              <w:t>280</w:t>
            </w:r>
          </w:p>
        </w:tc>
      </w:tr>
      <w:tr w:rsidR="008B579B" w:rsidRPr="0072181A" w:rsidTr="00C844C5">
        <w:trPr>
          <w:trHeight w:val="275"/>
          <w:jc w:val="center"/>
        </w:trPr>
        <w:tc>
          <w:tcPr>
            <w:tcW w:w="3079" w:type="dxa"/>
            <w:gridSpan w:val="2"/>
            <w:shd w:val="clear" w:color="auto" w:fill="FFFFFF" w:themeFill="background1"/>
            <w:vAlign w:val="center"/>
          </w:tcPr>
          <w:p w:rsidR="008B579B" w:rsidRPr="0072181A" w:rsidRDefault="008B579B" w:rsidP="00E17BCB">
            <w:pPr>
              <w:rPr>
                <w:rFonts w:ascii="Arial" w:hAnsi="Arial" w:cs="Arial"/>
              </w:rPr>
            </w:pPr>
            <w:r w:rsidRPr="0072181A">
              <w:rPr>
                <w:rFonts w:ascii="Arial" w:hAnsi="Arial" w:cs="Arial"/>
              </w:rPr>
              <w:t>Parental Opt-Out / Consent</w:t>
            </w:r>
          </w:p>
        </w:tc>
        <w:tc>
          <w:tcPr>
            <w:tcW w:w="2135" w:type="dxa"/>
            <w:vMerge/>
            <w:shd w:val="clear" w:color="auto" w:fill="FFFFFF" w:themeFill="background1"/>
            <w:vAlign w:val="center"/>
          </w:tcPr>
          <w:p w:rsidR="008B579B" w:rsidRPr="00E13384" w:rsidRDefault="008B579B" w:rsidP="002E7FFD">
            <w:pPr>
              <w:jc w:val="center"/>
              <w:rPr>
                <w:rFonts w:ascii="Arial" w:hAnsi="Arial" w:cs="Arial"/>
              </w:rPr>
            </w:pPr>
          </w:p>
        </w:tc>
        <w:tc>
          <w:tcPr>
            <w:tcW w:w="2160" w:type="dxa"/>
            <w:shd w:val="clear" w:color="auto" w:fill="FFFFFF" w:themeFill="background1"/>
            <w:vAlign w:val="center"/>
          </w:tcPr>
          <w:p w:rsidR="008B579B" w:rsidRPr="00E13384" w:rsidRDefault="008B579B" w:rsidP="002E7FFD">
            <w:pPr>
              <w:jc w:val="center"/>
              <w:rPr>
                <w:rFonts w:ascii="Arial" w:hAnsi="Arial" w:cs="Arial"/>
              </w:rPr>
            </w:pPr>
            <w:r w:rsidRPr="00E13384">
              <w:rPr>
                <w:rFonts w:ascii="Arial" w:hAnsi="Arial" w:cs="Arial"/>
              </w:rPr>
              <w:t>5</w:t>
            </w:r>
          </w:p>
        </w:tc>
        <w:tc>
          <w:tcPr>
            <w:tcW w:w="2153" w:type="dxa"/>
            <w:shd w:val="clear" w:color="auto" w:fill="FFFFFF" w:themeFill="background1"/>
            <w:vAlign w:val="center"/>
          </w:tcPr>
          <w:p w:rsidR="008B579B" w:rsidRPr="00E13384" w:rsidRDefault="00E71FBE" w:rsidP="00767FA5">
            <w:pPr>
              <w:jc w:val="center"/>
              <w:rPr>
                <w:rFonts w:ascii="Arial" w:hAnsi="Arial" w:cs="Arial"/>
              </w:rPr>
            </w:pPr>
            <w:r>
              <w:rPr>
                <w:rFonts w:ascii="Arial" w:hAnsi="Arial" w:cs="Arial"/>
              </w:rPr>
              <w:t>140</w:t>
            </w:r>
          </w:p>
        </w:tc>
      </w:tr>
      <w:tr w:rsidR="00007CAA" w:rsidRPr="0072181A" w:rsidTr="00C844C5">
        <w:trPr>
          <w:trHeight w:hRule="exact" w:val="144"/>
          <w:jc w:val="center"/>
        </w:trPr>
        <w:tc>
          <w:tcPr>
            <w:tcW w:w="3079" w:type="dxa"/>
            <w:gridSpan w:val="2"/>
            <w:shd w:val="clear" w:color="auto" w:fill="A6A6A6" w:themeFill="background1" w:themeFillShade="A6"/>
            <w:vAlign w:val="center"/>
          </w:tcPr>
          <w:p w:rsidR="00007CAA" w:rsidRPr="0072181A" w:rsidRDefault="00007CAA" w:rsidP="00E17BCB">
            <w:pPr>
              <w:rPr>
                <w:rFonts w:ascii="Arial" w:hAnsi="Arial" w:cs="Arial"/>
              </w:rPr>
            </w:pPr>
          </w:p>
        </w:tc>
        <w:tc>
          <w:tcPr>
            <w:tcW w:w="2135" w:type="dxa"/>
            <w:shd w:val="clear" w:color="auto" w:fill="A6A6A6" w:themeFill="background1" w:themeFillShade="A6"/>
            <w:vAlign w:val="center"/>
          </w:tcPr>
          <w:p w:rsidR="00007CAA" w:rsidRPr="00E13384" w:rsidRDefault="00007CAA" w:rsidP="002E7FFD">
            <w:pPr>
              <w:jc w:val="center"/>
              <w:rPr>
                <w:rFonts w:ascii="Arial" w:hAnsi="Arial" w:cs="Arial"/>
              </w:rPr>
            </w:pPr>
          </w:p>
        </w:tc>
        <w:tc>
          <w:tcPr>
            <w:tcW w:w="2160" w:type="dxa"/>
            <w:shd w:val="clear" w:color="auto" w:fill="A6A6A6" w:themeFill="background1" w:themeFillShade="A6"/>
            <w:vAlign w:val="center"/>
          </w:tcPr>
          <w:p w:rsidR="00007CAA" w:rsidRPr="00E13384" w:rsidRDefault="00007CAA" w:rsidP="002E7FFD">
            <w:pPr>
              <w:jc w:val="center"/>
              <w:rPr>
                <w:rFonts w:ascii="Arial" w:hAnsi="Arial" w:cs="Arial"/>
              </w:rPr>
            </w:pPr>
          </w:p>
        </w:tc>
        <w:tc>
          <w:tcPr>
            <w:tcW w:w="2153" w:type="dxa"/>
            <w:shd w:val="clear" w:color="auto" w:fill="A6A6A6" w:themeFill="background1" w:themeFillShade="A6"/>
            <w:vAlign w:val="center"/>
          </w:tcPr>
          <w:p w:rsidR="00007CAA" w:rsidRDefault="00007CAA" w:rsidP="00767FA5">
            <w:pPr>
              <w:jc w:val="center"/>
              <w:rPr>
                <w:rFonts w:ascii="Arial" w:hAnsi="Arial" w:cs="Arial"/>
              </w:rPr>
            </w:pPr>
          </w:p>
        </w:tc>
      </w:tr>
      <w:tr w:rsidR="00E17BCB" w:rsidRPr="0072181A" w:rsidTr="00C844C5">
        <w:trPr>
          <w:trHeight w:val="275"/>
          <w:jc w:val="center"/>
        </w:trPr>
        <w:tc>
          <w:tcPr>
            <w:tcW w:w="3079" w:type="dxa"/>
            <w:gridSpan w:val="2"/>
            <w:tcBorders>
              <w:bottom w:val="single" w:sz="4" w:space="0" w:color="auto"/>
            </w:tcBorders>
            <w:shd w:val="clear" w:color="auto" w:fill="FFFFFF" w:themeFill="background1"/>
            <w:vAlign w:val="center"/>
          </w:tcPr>
          <w:p w:rsidR="00E17BCB" w:rsidRPr="0072181A" w:rsidRDefault="00E71FBE" w:rsidP="000A4B73">
            <w:pPr>
              <w:jc w:val="right"/>
              <w:rPr>
                <w:rFonts w:ascii="Arial" w:hAnsi="Arial" w:cs="Arial"/>
                <w:b/>
                <w:bCs/>
              </w:rPr>
            </w:pPr>
            <w:r>
              <w:rPr>
                <w:rFonts w:ascii="Arial" w:hAnsi="Arial" w:cs="Arial"/>
                <w:b/>
                <w:bCs/>
              </w:rPr>
              <w:t xml:space="preserve">Total </w:t>
            </w:r>
            <w:r w:rsidR="00E17BCB" w:rsidRPr="0072181A">
              <w:rPr>
                <w:rFonts w:ascii="Arial" w:hAnsi="Arial" w:cs="Arial"/>
                <w:b/>
                <w:bCs/>
              </w:rPr>
              <w:t>Screened</w:t>
            </w:r>
          </w:p>
        </w:tc>
        <w:tc>
          <w:tcPr>
            <w:tcW w:w="2135" w:type="dxa"/>
            <w:tcBorders>
              <w:bottom w:val="single" w:sz="4" w:space="0" w:color="auto"/>
            </w:tcBorders>
            <w:shd w:val="clear" w:color="auto" w:fill="FFFFFF" w:themeFill="background1"/>
            <w:vAlign w:val="center"/>
          </w:tcPr>
          <w:p w:rsidR="00E17BCB" w:rsidRPr="00E13384" w:rsidRDefault="00E07816" w:rsidP="002E7FFD">
            <w:pPr>
              <w:jc w:val="center"/>
              <w:rPr>
                <w:rFonts w:ascii="Arial" w:hAnsi="Arial" w:cs="Arial"/>
              </w:rPr>
            </w:pPr>
            <w:r>
              <w:rPr>
                <w:rFonts w:ascii="Arial" w:hAnsi="Arial" w:cs="Arial"/>
              </w:rPr>
              <w:t>1,680</w:t>
            </w:r>
            <w:r w:rsidDel="00C408BD">
              <w:rPr>
                <w:rFonts w:ascii="Arial" w:hAnsi="Arial" w:cs="Arial"/>
              </w:rPr>
              <w:t xml:space="preserve"> </w:t>
            </w:r>
          </w:p>
        </w:tc>
        <w:tc>
          <w:tcPr>
            <w:tcW w:w="2160" w:type="dxa"/>
            <w:tcBorders>
              <w:bottom w:val="single" w:sz="4" w:space="0" w:color="auto"/>
            </w:tcBorders>
            <w:shd w:val="clear" w:color="auto" w:fill="FFFFFF" w:themeFill="background1"/>
            <w:vAlign w:val="center"/>
          </w:tcPr>
          <w:p w:rsidR="00E17BCB" w:rsidRPr="00E13384" w:rsidRDefault="00E71FBE" w:rsidP="002E7FFD">
            <w:pPr>
              <w:jc w:val="center"/>
              <w:rPr>
                <w:rFonts w:ascii="Arial" w:hAnsi="Arial" w:cs="Arial"/>
              </w:rPr>
            </w:pPr>
            <w:r>
              <w:rPr>
                <w:rFonts w:ascii="Arial" w:hAnsi="Arial" w:cs="Arial"/>
              </w:rPr>
              <w:t>15</w:t>
            </w:r>
          </w:p>
        </w:tc>
        <w:tc>
          <w:tcPr>
            <w:tcW w:w="2153" w:type="dxa"/>
            <w:tcBorders>
              <w:bottom w:val="single" w:sz="4" w:space="0" w:color="auto"/>
            </w:tcBorders>
            <w:shd w:val="clear" w:color="auto" w:fill="FFFFFF" w:themeFill="background1"/>
            <w:vAlign w:val="center"/>
          </w:tcPr>
          <w:p w:rsidR="00E17BCB" w:rsidRPr="00216BFD" w:rsidRDefault="00E71FBE" w:rsidP="00767FA5">
            <w:pPr>
              <w:jc w:val="center"/>
              <w:rPr>
                <w:rFonts w:ascii="Arial" w:hAnsi="Arial" w:cs="Arial"/>
                <w:b/>
                <w:bCs/>
              </w:rPr>
            </w:pPr>
            <w:r w:rsidRPr="00216BFD">
              <w:rPr>
                <w:rFonts w:ascii="Arial" w:hAnsi="Arial" w:cs="Arial"/>
                <w:b/>
                <w:bCs/>
              </w:rPr>
              <w:t>420</w:t>
            </w:r>
          </w:p>
        </w:tc>
      </w:tr>
      <w:tr w:rsidR="00E17BCB" w:rsidRPr="0072181A" w:rsidTr="00C844C5">
        <w:trPr>
          <w:trHeight w:hRule="exact" w:val="144"/>
          <w:jc w:val="center"/>
        </w:trPr>
        <w:tc>
          <w:tcPr>
            <w:tcW w:w="9527" w:type="dxa"/>
            <w:gridSpan w:val="5"/>
            <w:shd w:val="clear" w:color="auto" w:fill="A6A6A6" w:themeFill="background1" w:themeFillShade="A6"/>
            <w:vAlign w:val="center"/>
          </w:tcPr>
          <w:p w:rsidR="00E17BCB" w:rsidRPr="0072181A" w:rsidRDefault="00E17BCB" w:rsidP="002E7FFD">
            <w:pPr>
              <w:jc w:val="center"/>
              <w:rPr>
                <w:rFonts w:ascii="Arial" w:hAnsi="Arial" w:cs="Arial"/>
              </w:rPr>
            </w:pPr>
          </w:p>
        </w:tc>
      </w:tr>
      <w:tr w:rsidR="00E17BCB" w:rsidRPr="0072181A" w:rsidTr="00C844C5">
        <w:trPr>
          <w:trHeight w:val="275"/>
          <w:jc w:val="center"/>
        </w:trPr>
        <w:tc>
          <w:tcPr>
            <w:tcW w:w="9527" w:type="dxa"/>
            <w:gridSpan w:val="5"/>
            <w:shd w:val="clear" w:color="auto" w:fill="FFFFFF" w:themeFill="background1"/>
            <w:vAlign w:val="center"/>
          </w:tcPr>
          <w:p w:rsidR="00E17BCB" w:rsidRPr="0072181A" w:rsidRDefault="00341B5B" w:rsidP="00E07816">
            <w:pPr>
              <w:rPr>
                <w:rFonts w:ascii="Arial" w:hAnsi="Arial" w:cs="Arial"/>
              </w:rPr>
            </w:pPr>
            <w:r w:rsidRPr="0072181A">
              <w:rPr>
                <w:rFonts w:ascii="Arial" w:hAnsi="Arial" w:cs="Arial"/>
              </w:rPr>
              <w:t xml:space="preserve">Youth </w:t>
            </w:r>
            <w:r w:rsidR="001D743D">
              <w:rPr>
                <w:rFonts w:ascii="Arial" w:hAnsi="Arial" w:cs="Arial"/>
              </w:rPr>
              <w:t xml:space="preserve">Focus Group </w:t>
            </w:r>
            <w:r w:rsidR="00E17BCB" w:rsidRPr="0072181A">
              <w:rPr>
                <w:rFonts w:ascii="Arial" w:hAnsi="Arial" w:cs="Arial"/>
              </w:rPr>
              <w:t>Participants</w:t>
            </w:r>
          </w:p>
        </w:tc>
      </w:tr>
      <w:tr w:rsidR="00E07816" w:rsidRPr="0072181A" w:rsidTr="00C844C5">
        <w:trPr>
          <w:trHeight w:val="275"/>
          <w:jc w:val="center"/>
        </w:trPr>
        <w:tc>
          <w:tcPr>
            <w:tcW w:w="3053" w:type="dxa"/>
            <w:shd w:val="clear" w:color="auto" w:fill="FFFFFF" w:themeFill="background1"/>
            <w:vAlign w:val="center"/>
          </w:tcPr>
          <w:p w:rsidR="00E07816" w:rsidRPr="0072181A" w:rsidRDefault="00E07816" w:rsidP="00E07816">
            <w:pPr>
              <w:rPr>
                <w:rFonts w:ascii="Arial" w:hAnsi="Arial" w:cs="Arial"/>
              </w:rPr>
            </w:pPr>
            <w:r>
              <w:rPr>
                <w:rFonts w:ascii="Arial" w:hAnsi="Arial" w:cs="Arial"/>
              </w:rPr>
              <w:t xml:space="preserve">Strategy Development </w:t>
            </w:r>
          </w:p>
        </w:tc>
        <w:tc>
          <w:tcPr>
            <w:tcW w:w="2161" w:type="dxa"/>
            <w:gridSpan w:val="2"/>
            <w:shd w:val="clear" w:color="auto" w:fill="FFFFFF" w:themeFill="background1"/>
            <w:vAlign w:val="center"/>
          </w:tcPr>
          <w:p w:rsidR="00E07816" w:rsidRPr="0072181A" w:rsidRDefault="00E07816" w:rsidP="00526507">
            <w:pPr>
              <w:jc w:val="center"/>
              <w:rPr>
                <w:rFonts w:ascii="Arial" w:hAnsi="Arial" w:cs="Arial"/>
              </w:rPr>
            </w:pPr>
            <w:r>
              <w:rPr>
                <w:rFonts w:ascii="Arial" w:hAnsi="Arial" w:cs="Arial"/>
              </w:rPr>
              <w:t>200</w:t>
            </w:r>
          </w:p>
        </w:tc>
        <w:tc>
          <w:tcPr>
            <w:tcW w:w="2160" w:type="dxa"/>
            <w:shd w:val="clear" w:color="auto" w:fill="FFFFFF" w:themeFill="background1"/>
            <w:vAlign w:val="center"/>
          </w:tcPr>
          <w:p w:rsidR="00E07816" w:rsidRPr="0072181A" w:rsidRDefault="00E07816" w:rsidP="00526507">
            <w:pPr>
              <w:jc w:val="center"/>
              <w:rPr>
                <w:rFonts w:ascii="Arial" w:hAnsi="Arial" w:cs="Arial"/>
              </w:rPr>
            </w:pPr>
            <w:r>
              <w:rPr>
                <w:rFonts w:ascii="Arial" w:hAnsi="Arial" w:cs="Arial"/>
              </w:rPr>
              <w:t>90</w:t>
            </w:r>
          </w:p>
        </w:tc>
        <w:tc>
          <w:tcPr>
            <w:tcW w:w="2153" w:type="dxa"/>
            <w:shd w:val="clear" w:color="auto" w:fill="FFFFFF" w:themeFill="background1"/>
            <w:vAlign w:val="center"/>
          </w:tcPr>
          <w:p w:rsidR="00E07816" w:rsidRPr="0072181A" w:rsidRDefault="000F4C67" w:rsidP="00526507">
            <w:pPr>
              <w:jc w:val="center"/>
              <w:rPr>
                <w:rFonts w:ascii="Arial" w:hAnsi="Arial" w:cs="Arial"/>
              </w:rPr>
            </w:pPr>
            <w:r>
              <w:rPr>
                <w:rFonts w:ascii="Arial" w:hAnsi="Arial" w:cs="Arial"/>
              </w:rPr>
              <w:t>300</w:t>
            </w:r>
          </w:p>
        </w:tc>
      </w:tr>
      <w:tr w:rsidR="00E07816" w:rsidRPr="0072181A" w:rsidTr="00C844C5">
        <w:trPr>
          <w:trHeight w:val="275"/>
          <w:jc w:val="center"/>
        </w:trPr>
        <w:tc>
          <w:tcPr>
            <w:tcW w:w="3053" w:type="dxa"/>
            <w:shd w:val="clear" w:color="auto" w:fill="FFFFFF" w:themeFill="background1"/>
            <w:vAlign w:val="center"/>
          </w:tcPr>
          <w:p w:rsidR="00E07816" w:rsidRPr="0072181A" w:rsidRDefault="00E07816" w:rsidP="00E07816">
            <w:pPr>
              <w:rPr>
                <w:rFonts w:ascii="Arial" w:hAnsi="Arial" w:cs="Arial"/>
              </w:rPr>
            </w:pPr>
            <w:r>
              <w:rPr>
                <w:rFonts w:ascii="Arial" w:hAnsi="Arial" w:cs="Arial"/>
              </w:rPr>
              <w:t xml:space="preserve">Creative Development </w:t>
            </w:r>
          </w:p>
        </w:tc>
        <w:tc>
          <w:tcPr>
            <w:tcW w:w="2161" w:type="dxa"/>
            <w:gridSpan w:val="2"/>
            <w:shd w:val="clear" w:color="auto" w:fill="FFFFFF" w:themeFill="background1"/>
            <w:vAlign w:val="center"/>
          </w:tcPr>
          <w:p w:rsidR="00E07816" w:rsidRPr="0072181A" w:rsidRDefault="00E07816" w:rsidP="00526507">
            <w:pPr>
              <w:jc w:val="center"/>
              <w:rPr>
                <w:rFonts w:ascii="Arial" w:hAnsi="Arial" w:cs="Arial"/>
              </w:rPr>
            </w:pPr>
            <w:r>
              <w:rPr>
                <w:rFonts w:ascii="Arial" w:hAnsi="Arial" w:cs="Arial"/>
              </w:rPr>
              <w:t>360</w:t>
            </w:r>
          </w:p>
        </w:tc>
        <w:tc>
          <w:tcPr>
            <w:tcW w:w="2160" w:type="dxa"/>
            <w:shd w:val="clear" w:color="auto" w:fill="FFFFFF" w:themeFill="background1"/>
            <w:vAlign w:val="center"/>
          </w:tcPr>
          <w:p w:rsidR="00E07816" w:rsidRPr="0072181A" w:rsidRDefault="00E07816" w:rsidP="00526507">
            <w:pPr>
              <w:jc w:val="center"/>
              <w:rPr>
                <w:rFonts w:ascii="Arial" w:hAnsi="Arial" w:cs="Arial"/>
              </w:rPr>
            </w:pPr>
            <w:r>
              <w:rPr>
                <w:rFonts w:ascii="Arial" w:hAnsi="Arial" w:cs="Arial"/>
              </w:rPr>
              <w:t>90</w:t>
            </w:r>
          </w:p>
        </w:tc>
        <w:tc>
          <w:tcPr>
            <w:tcW w:w="2153" w:type="dxa"/>
            <w:shd w:val="clear" w:color="auto" w:fill="FFFFFF" w:themeFill="background1"/>
            <w:vAlign w:val="center"/>
          </w:tcPr>
          <w:p w:rsidR="00E07816" w:rsidRPr="0072181A" w:rsidRDefault="000F4C67" w:rsidP="00526507">
            <w:pPr>
              <w:jc w:val="center"/>
              <w:rPr>
                <w:rFonts w:ascii="Arial" w:hAnsi="Arial" w:cs="Arial"/>
              </w:rPr>
            </w:pPr>
            <w:r>
              <w:rPr>
                <w:rFonts w:ascii="Arial" w:hAnsi="Arial" w:cs="Arial"/>
              </w:rPr>
              <w:t>540</w:t>
            </w:r>
          </w:p>
        </w:tc>
      </w:tr>
      <w:tr w:rsidR="00C844C5" w:rsidRPr="0072181A" w:rsidTr="00C844C5">
        <w:trPr>
          <w:trHeight w:hRule="exact" w:val="144"/>
          <w:jc w:val="center"/>
        </w:trPr>
        <w:tc>
          <w:tcPr>
            <w:tcW w:w="9527" w:type="dxa"/>
            <w:gridSpan w:val="5"/>
            <w:shd w:val="clear" w:color="auto" w:fill="A6A6A6" w:themeFill="background1" w:themeFillShade="A6"/>
            <w:vAlign w:val="center"/>
          </w:tcPr>
          <w:p w:rsidR="00C844C5" w:rsidRDefault="00C844C5" w:rsidP="00526507">
            <w:pPr>
              <w:jc w:val="center"/>
              <w:rPr>
                <w:rFonts w:ascii="Arial" w:hAnsi="Arial" w:cs="Arial"/>
              </w:rPr>
            </w:pPr>
          </w:p>
        </w:tc>
      </w:tr>
      <w:tr w:rsidR="00E17BCB" w:rsidRPr="0072181A" w:rsidTr="00C844C5">
        <w:trPr>
          <w:trHeight w:val="275"/>
          <w:jc w:val="center"/>
        </w:trPr>
        <w:tc>
          <w:tcPr>
            <w:tcW w:w="3079" w:type="dxa"/>
            <w:gridSpan w:val="2"/>
            <w:tcBorders>
              <w:bottom w:val="single" w:sz="4" w:space="0" w:color="auto"/>
            </w:tcBorders>
          </w:tcPr>
          <w:p w:rsidR="00E17BCB" w:rsidRPr="001D743D" w:rsidRDefault="00E71FBE" w:rsidP="001D743D">
            <w:pPr>
              <w:jc w:val="right"/>
              <w:rPr>
                <w:rFonts w:ascii="Arial" w:hAnsi="Arial" w:cs="Arial"/>
                <w:b/>
                <w:sz w:val="22"/>
                <w:szCs w:val="22"/>
              </w:rPr>
            </w:pPr>
            <w:r>
              <w:rPr>
                <w:rFonts w:ascii="Arial" w:hAnsi="Arial" w:cs="Arial"/>
                <w:b/>
              </w:rPr>
              <w:t xml:space="preserve">Total </w:t>
            </w:r>
            <w:r w:rsidR="001D743D" w:rsidRPr="001D743D">
              <w:rPr>
                <w:rFonts w:ascii="Arial" w:hAnsi="Arial" w:cs="Arial"/>
                <w:b/>
              </w:rPr>
              <w:t>Participants</w:t>
            </w:r>
            <w:r w:rsidR="00E17BCB" w:rsidRPr="001D743D">
              <w:rPr>
                <w:rFonts w:ascii="Arial" w:hAnsi="Arial" w:cs="Arial"/>
                <w:b/>
                <w:szCs w:val="22"/>
              </w:rPr>
              <w:t xml:space="preserve"> </w:t>
            </w:r>
          </w:p>
        </w:tc>
        <w:tc>
          <w:tcPr>
            <w:tcW w:w="2135" w:type="dxa"/>
            <w:tcBorders>
              <w:bottom w:val="single" w:sz="4" w:space="0" w:color="auto"/>
            </w:tcBorders>
            <w:vAlign w:val="center"/>
          </w:tcPr>
          <w:p w:rsidR="00E17BCB" w:rsidRPr="00E13384" w:rsidRDefault="00922C2F" w:rsidP="002E7FFD">
            <w:pPr>
              <w:jc w:val="center"/>
              <w:rPr>
                <w:rFonts w:ascii="Arial" w:hAnsi="Arial" w:cs="Arial"/>
              </w:rPr>
            </w:pPr>
            <w:r>
              <w:rPr>
                <w:rFonts w:ascii="Arial" w:hAnsi="Arial" w:cs="Arial"/>
              </w:rPr>
              <w:t>560</w:t>
            </w:r>
          </w:p>
        </w:tc>
        <w:tc>
          <w:tcPr>
            <w:tcW w:w="2160" w:type="dxa"/>
            <w:tcBorders>
              <w:bottom w:val="single" w:sz="4" w:space="0" w:color="auto"/>
            </w:tcBorders>
            <w:vAlign w:val="center"/>
          </w:tcPr>
          <w:p w:rsidR="00E17BCB" w:rsidRPr="00E13384" w:rsidRDefault="00E17BCB" w:rsidP="002E7FFD">
            <w:pPr>
              <w:jc w:val="center"/>
              <w:rPr>
                <w:rFonts w:ascii="Arial" w:hAnsi="Arial" w:cs="Arial"/>
              </w:rPr>
            </w:pPr>
          </w:p>
        </w:tc>
        <w:tc>
          <w:tcPr>
            <w:tcW w:w="2153" w:type="dxa"/>
            <w:tcBorders>
              <w:bottom w:val="single" w:sz="4" w:space="0" w:color="auto"/>
            </w:tcBorders>
            <w:vAlign w:val="center"/>
          </w:tcPr>
          <w:p w:rsidR="00E17BCB" w:rsidRPr="00E13384" w:rsidRDefault="000F4C67" w:rsidP="002E7FFD">
            <w:pPr>
              <w:jc w:val="center"/>
              <w:rPr>
                <w:rFonts w:ascii="Arial" w:hAnsi="Arial" w:cs="Arial"/>
              </w:rPr>
            </w:pPr>
            <w:r>
              <w:rPr>
                <w:rFonts w:ascii="Arial" w:hAnsi="Arial" w:cs="Arial"/>
              </w:rPr>
              <w:t>840</w:t>
            </w:r>
          </w:p>
        </w:tc>
      </w:tr>
      <w:tr w:rsidR="00E17BCB" w:rsidRPr="0072181A" w:rsidTr="00C844C5">
        <w:trPr>
          <w:trHeight w:hRule="exact" w:val="144"/>
          <w:jc w:val="center"/>
        </w:trPr>
        <w:tc>
          <w:tcPr>
            <w:tcW w:w="9527" w:type="dxa"/>
            <w:gridSpan w:val="5"/>
            <w:shd w:val="clear" w:color="auto" w:fill="A6A6A6" w:themeFill="background1" w:themeFillShade="A6"/>
          </w:tcPr>
          <w:p w:rsidR="00E17BCB" w:rsidRPr="0072181A" w:rsidRDefault="00E17BCB" w:rsidP="002E7FFD">
            <w:pPr>
              <w:jc w:val="center"/>
              <w:rPr>
                <w:rFonts w:ascii="Arial" w:hAnsi="Arial" w:cs="Arial"/>
                <w:b/>
              </w:rPr>
            </w:pPr>
          </w:p>
        </w:tc>
      </w:tr>
      <w:tr w:rsidR="00E17BCB" w:rsidRPr="0072181A" w:rsidTr="00C844C5">
        <w:trPr>
          <w:trHeight w:val="275"/>
          <w:jc w:val="center"/>
        </w:trPr>
        <w:tc>
          <w:tcPr>
            <w:tcW w:w="3079" w:type="dxa"/>
            <w:gridSpan w:val="2"/>
          </w:tcPr>
          <w:p w:rsidR="00E17BCB" w:rsidRPr="0072181A" w:rsidRDefault="00E17BCB" w:rsidP="000A4B73">
            <w:pPr>
              <w:jc w:val="right"/>
              <w:rPr>
                <w:rFonts w:ascii="Arial" w:hAnsi="Arial" w:cs="Arial"/>
                <w:b/>
              </w:rPr>
            </w:pPr>
            <w:r w:rsidRPr="0072181A">
              <w:rPr>
                <w:rFonts w:ascii="Arial" w:hAnsi="Arial" w:cs="Arial"/>
                <w:b/>
              </w:rPr>
              <w:t>Total</w:t>
            </w:r>
            <w:r w:rsidR="008B579B" w:rsidRPr="008B579B">
              <w:rPr>
                <w:rFonts w:ascii="Arial" w:hAnsi="Arial" w:cs="Arial"/>
                <w:b/>
                <w:vertAlign w:val="superscript"/>
              </w:rPr>
              <w:t>1</w:t>
            </w:r>
            <w:r w:rsidRPr="0072181A">
              <w:rPr>
                <w:rFonts w:ascii="Arial" w:hAnsi="Arial" w:cs="Arial"/>
                <w:b/>
              </w:rPr>
              <w:t xml:space="preserve"> </w:t>
            </w:r>
          </w:p>
        </w:tc>
        <w:tc>
          <w:tcPr>
            <w:tcW w:w="2135" w:type="dxa"/>
            <w:vAlign w:val="center"/>
          </w:tcPr>
          <w:p w:rsidR="00E17BCB" w:rsidRPr="00922C2F" w:rsidRDefault="00CC1EB5" w:rsidP="002E7FFD">
            <w:pPr>
              <w:jc w:val="center"/>
              <w:rPr>
                <w:rFonts w:ascii="Arial" w:hAnsi="Arial" w:cs="Arial"/>
                <w:b/>
              </w:rPr>
            </w:pPr>
            <w:r>
              <w:rPr>
                <w:rFonts w:ascii="Arial" w:hAnsi="Arial" w:cs="Arial"/>
                <w:b/>
              </w:rPr>
              <w:t>1,680</w:t>
            </w:r>
          </w:p>
        </w:tc>
        <w:tc>
          <w:tcPr>
            <w:tcW w:w="2160" w:type="dxa"/>
            <w:vAlign w:val="center"/>
          </w:tcPr>
          <w:p w:rsidR="00E17BCB" w:rsidRPr="0072181A" w:rsidRDefault="00E17BCB" w:rsidP="002E7FFD">
            <w:pPr>
              <w:jc w:val="center"/>
              <w:rPr>
                <w:rFonts w:ascii="Arial" w:hAnsi="Arial" w:cs="Arial"/>
                <w:b/>
              </w:rPr>
            </w:pPr>
          </w:p>
        </w:tc>
        <w:tc>
          <w:tcPr>
            <w:tcW w:w="2153" w:type="dxa"/>
            <w:vAlign w:val="center"/>
          </w:tcPr>
          <w:p w:rsidR="00E17BCB" w:rsidRPr="00922C2F" w:rsidRDefault="00E71FBE" w:rsidP="002E7FFD">
            <w:pPr>
              <w:jc w:val="center"/>
              <w:rPr>
                <w:rFonts w:ascii="Arial" w:hAnsi="Arial" w:cs="Arial"/>
                <w:b/>
              </w:rPr>
            </w:pPr>
            <w:r>
              <w:rPr>
                <w:rFonts w:ascii="Arial" w:hAnsi="Arial" w:cs="Arial"/>
                <w:b/>
              </w:rPr>
              <w:t>1,260</w:t>
            </w:r>
          </w:p>
        </w:tc>
      </w:tr>
    </w:tbl>
    <w:p w:rsidR="008B579B" w:rsidRPr="00413A19" w:rsidRDefault="008B579B" w:rsidP="008B579B">
      <w:pPr>
        <w:rPr>
          <w:b/>
          <w:sz w:val="18"/>
          <w:szCs w:val="18"/>
        </w:rPr>
      </w:pPr>
      <w:r w:rsidRPr="00413A19">
        <w:rPr>
          <w:b/>
          <w:sz w:val="18"/>
          <w:szCs w:val="18"/>
          <w:vertAlign w:val="superscript"/>
        </w:rPr>
        <w:t xml:space="preserve">1 </w:t>
      </w:r>
      <w:r w:rsidRPr="00413A19">
        <w:rPr>
          <w:b/>
          <w:sz w:val="18"/>
          <w:szCs w:val="18"/>
        </w:rPr>
        <w:t xml:space="preserve">The total number of respondents </w:t>
      </w:r>
      <w:r w:rsidR="00C307F2">
        <w:rPr>
          <w:b/>
          <w:sz w:val="18"/>
          <w:szCs w:val="18"/>
        </w:rPr>
        <w:t>is</w:t>
      </w:r>
      <w:r w:rsidR="00C307F2" w:rsidRPr="00413A19">
        <w:rPr>
          <w:b/>
          <w:sz w:val="18"/>
          <w:szCs w:val="18"/>
        </w:rPr>
        <w:t xml:space="preserve"> </w:t>
      </w:r>
      <w:r w:rsidR="00CC1EB5">
        <w:rPr>
          <w:b/>
          <w:sz w:val="18"/>
          <w:szCs w:val="18"/>
        </w:rPr>
        <w:t>1,680</w:t>
      </w:r>
      <w:r>
        <w:rPr>
          <w:b/>
          <w:sz w:val="18"/>
          <w:szCs w:val="18"/>
        </w:rPr>
        <w:t>; one-third of those (</w:t>
      </w:r>
      <w:r w:rsidR="00922C2F">
        <w:rPr>
          <w:b/>
          <w:sz w:val="18"/>
          <w:szCs w:val="18"/>
        </w:rPr>
        <w:t>560</w:t>
      </w:r>
      <w:r w:rsidRPr="00413A19">
        <w:rPr>
          <w:b/>
          <w:sz w:val="18"/>
          <w:szCs w:val="18"/>
        </w:rPr>
        <w:t>) represent the total number of participants in this study.</w:t>
      </w:r>
    </w:p>
    <w:p w:rsidR="00C8599B" w:rsidRDefault="00C8599B" w:rsidP="00C8599B">
      <w:pPr>
        <w:rPr>
          <w:rFonts w:ascii="Arial" w:hAnsi="Arial" w:cs="Arial"/>
          <w:b/>
          <w:sz w:val="22"/>
          <w:szCs w:val="22"/>
        </w:rPr>
      </w:pPr>
    </w:p>
    <w:p w:rsidR="00DF1834" w:rsidRPr="0072181A" w:rsidRDefault="00811962" w:rsidP="00C76356">
      <w:pPr>
        <w:jc w:val="both"/>
        <w:rPr>
          <w:rFonts w:ascii="Arial" w:hAnsi="Arial" w:cs="Arial"/>
          <w:sz w:val="22"/>
          <w:szCs w:val="22"/>
        </w:rPr>
      </w:pPr>
      <w:r w:rsidRPr="0072181A">
        <w:rPr>
          <w:rFonts w:ascii="Arial" w:hAnsi="Arial" w:cs="Arial"/>
          <w:b/>
          <w:sz w:val="22"/>
          <w:szCs w:val="22"/>
        </w:rPr>
        <w:t xml:space="preserve">REQUESTED APPROVAL DATE: </w:t>
      </w:r>
      <w:r w:rsidR="00326050">
        <w:rPr>
          <w:rFonts w:ascii="Arial" w:hAnsi="Arial" w:cs="Arial"/>
          <w:b/>
          <w:sz w:val="22"/>
          <w:szCs w:val="22"/>
        </w:rPr>
        <w:t>11/</w:t>
      </w:r>
      <w:r w:rsidR="00247A12">
        <w:rPr>
          <w:rFonts w:ascii="Arial" w:hAnsi="Arial" w:cs="Arial"/>
          <w:b/>
          <w:sz w:val="22"/>
          <w:szCs w:val="22"/>
        </w:rPr>
        <w:t>14</w:t>
      </w:r>
      <w:r w:rsidR="00FE7F3C" w:rsidRPr="00E71FBE">
        <w:rPr>
          <w:rFonts w:ascii="Arial" w:hAnsi="Arial" w:cs="Arial"/>
          <w:b/>
          <w:sz w:val="22"/>
          <w:szCs w:val="22"/>
        </w:rPr>
        <w:t>/2014</w:t>
      </w:r>
    </w:p>
    <w:p w:rsidR="00811962" w:rsidRPr="0072181A" w:rsidRDefault="00811962" w:rsidP="00C76356">
      <w:pPr>
        <w:jc w:val="both"/>
        <w:rPr>
          <w:rFonts w:ascii="Arial" w:hAnsi="Arial" w:cs="Arial"/>
          <w:b/>
          <w:sz w:val="22"/>
          <w:szCs w:val="22"/>
        </w:rPr>
      </w:pPr>
    </w:p>
    <w:p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NAME OF PRA ANALYST &amp; PROGRAM CONTACT: </w:t>
      </w:r>
    </w:p>
    <w:p w:rsidR="003933E4" w:rsidRPr="0072181A" w:rsidRDefault="003933E4" w:rsidP="00C76356">
      <w:pPr>
        <w:jc w:val="both"/>
        <w:rPr>
          <w:rFonts w:ascii="Arial" w:hAnsi="Arial" w:cs="Arial"/>
          <w:b/>
          <w:sz w:val="22"/>
          <w:szCs w:val="22"/>
        </w:rPr>
      </w:pPr>
    </w:p>
    <w:p w:rsidR="003933E4" w:rsidRPr="0072181A" w:rsidRDefault="003933E4" w:rsidP="00C76356">
      <w:pPr>
        <w:jc w:val="both"/>
        <w:rPr>
          <w:rFonts w:ascii="Arial" w:hAnsi="Arial" w:cs="Arial"/>
          <w:b/>
          <w:sz w:val="22"/>
          <w:szCs w:val="22"/>
        </w:rPr>
      </w:pPr>
      <w:r w:rsidRPr="0072181A">
        <w:rPr>
          <w:rFonts w:ascii="Arial" w:hAnsi="Arial" w:cs="Arial"/>
          <w:b/>
          <w:sz w:val="22"/>
          <w:szCs w:val="22"/>
        </w:rPr>
        <w:t>PRA Analyst</w:t>
      </w:r>
      <w:r w:rsidRPr="0072181A">
        <w:rPr>
          <w:rFonts w:ascii="Arial" w:hAnsi="Arial" w:cs="Arial"/>
          <w:b/>
          <w:sz w:val="22"/>
          <w:szCs w:val="22"/>
        </w:rPr>
        <w:tab/>
      </w:r>
      <w:r w:rsidRPr="0072181A">
        <w:rPr>
          <w:rFonts w:ascii="Arial" w:hAnsi="Arial" w:cs="Arial"/>
          <w:b/>
          <w:sz w:val="22"/>
          <w:szCs w:val="22"/>
        </w:rPr>
        <w:tab/>
      </w:r>
      <w:r w:rsidR="00FE147B">
        <w:rPr>
          <w:rFonts w:ascii="Arial" w:hAnsi="Arial" w:cs="Arial"/>
          <w:b/>
          <w:sz w:val="22"/>
          <w:szCs w:val="22"/>
        </w:rPr>
        <w:t>Amber Sanford</w:t>
      </w:r>
    </w:p>
    <w:p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t>301-796-</w:t>
      </w:r>
      <w:r w:rsidR="00FE147B">
        <w:rPr>
          <w:rFonts w:ascii="Arial" w:hAnsi="Arial" w:cs="Arial"/>
          <w:b/>
          <w:sz w:val="22"/>
          <w:szCs w:val="22"/>
        </w:rPr>
        <w:t>8867</w:t>
      </w:r>
    </w:p>
    <w:p w:rsidR="0028201F" w:rsidRPr="0072181A" w:rsidRDefault="0028201F"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FE147B">
        <w:rPr>
          <w:rFonts w:ascii="Arial" w:hAnsi="Arial" w:cs="Arial"/>
          <w:b/>
          <w:sz w:val="22"/>
          <w:szCs w:val="22"/>
        </w:rPr>
        <w:t>Amber.Sanford</w:t>
      </w:r>
      <w:bookmarkStart w:id="0" w:name="_GoBack"/>
      <w:bookmarkEnd w:id="0"/>
      <w:r w:rsidRPr="0072181A">
        <w:rPr>
          <w:rFonts w:ascii="Arial" w:hAnsi="Arial" w:cs="Arial"/>
          <w:b/>
          <w:sz w:val="22"/>
          <w:szCs w:val="22"/>
        </w:rPr>
        <w:t>@fda.h</w:t>
      </w:r>
      <w:r w:rsidR="00C307F2">
        <w:rPr>
          <w:rFonts w:ascii="Arial" w:hAnsi="Arial" w:cs="Arial"/>
          <w:b/>
          <w:sz w:val="22"/>
          <w:szCs w:val="22"/>
        </w:rPr>
        <w:t>h</w:t>
      </w:r>
      <w:r w:rsidRPr="0072181A">
        <w:rPr>
          <w:rFonts w:ascii="Arial" w:hAnsi="Arial" w:cs="Arial"/>
          <w:b/>
          <w:sz w:val="22"/>
          <w:szCs w:val="22"/>
        </w:rPr>
        <w:t>s.gov</w:t>
      </w:r>
    </w:p>
    <w:p w:rsidR="003933E4" w:rsidRPr="0072181A" w:rsidRDefault="003933E4" w:rsidP="00C76356">
      <w:pPr>
        <w:jc w:val="both"/>
        <w:rPr>
          <w:rFonts w:ascii="Arial" w:hAnsi="Arial" w:cs="Arial"/>
          <w:b/>
          <w:sz w:val="22"/>
          <w:szCs w:val="22"/>
        </w:rPr>
      </w:pPr>
    </w:p>
    <w:p w:rsidR="003933E4" w:rsidRPr="0072181A" w:rsidRDefault="003933E4" w:rsidP="00C76356">
      <w:pPr>
        <w:jc w:val="both"/>
        <w:rPr>
          <w:rFonts w:ascii="Arial" w:hAnsi="Arial" w:cs="Arial"/>
          <w:b/>
          <w:sz w:val="22"/>
          <w:szCs w:val="22"/>
        </w:rPr>
      </w:pPr>
      <w:r w:rsidRPr="0072181A">
        <w:rPr>
          <w:rFonts w:ascii="Arial" w:hAnsi="Arial" w:cs="Arial"/>
          <w:b/>
          <w:sz w:val="22"/>
          <w:szCs w:val="22"/>
        </w:rPr>
        <w:t>Program Contact</w:t>
      </w:r>
      <w:r w:rsidRPr="0072181A">
        <w:rPr>
          <w:rFonts w:ascii="Arial" w:hAnsi="Arial" w:cs="Arial"/>
          <w:b/>
          <w:sz w:val="22"/>
          <w:szCs w:val="22"/>
        </w:rPr>
        <w:tab/>
      </w:r>
      <w:r w:rsidR="00ED09BC" w:rsidRPr="0072181A">
        <w:rPr>
          <w:rFonts w:ascii="Arial" w:hAnsi="Arial" w:cs="Arial"/>
          <w:b/>
          <w:sz w:val="22"/>
          <w:szCs w:val="22"/>
        </w:rPr>
        <w:t>Tesfa Alexander</w:t>
      </w:r>
      <w:r w:rsidR="00ED09BC" w:rsidRPr="0072181A">
        <w:rPr>
          <w:rFonts w:ascii="Arial" w:hAnsi="Arial" w:cs="Arial"/>
          <w:b/>
          <w:sz w:val="22"/>
          <w:szCs w:val="22"/>
        </w:rPr>
        <w:tab/>
      </w:r>
    </w:p>
    <w:p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ED09BC" w:rsidRPr="0072181A">
        <w:rPr>
          <w:rFonts w:ascii="Arial" w:hAnsi="Arial" w:cs="Arial"/>
          <w:b/>
          <w:sz w:val="22"/>
          <w:szCs w:val="22"/>
        </w:rPr>
        <w:t>301</w:t>
      </w:r>
      <w:r w:rsidR="00767FA5" w:rsidRPr="0072181A">
        <w:rPr>
          <w:rFonts w:ascii="Arial" w:hAnsi="Arial" w:cs="Arial"/>
          <w:b/>
          <w:sz w:val="22"/>
          <w:szCs w:val="22"/>
        </w:rPr>
        <w:t>-</w:t>
      </w:r>
      <w:r w:rsidR="00ED09BC" w:rsidRPr="0072181A">
        <w:rPr>
          <w:rFonts w:ascii="Arial" w:hAnsi="Arial" w:cs="Arial"/>
          <w:b/>
          <w:sz w:val="22"/>
          <w:szCs w:val="22"/>
        </w:rPr>
        <w:t>796</w:t>
      </w:r>
      <w:r w:rsidR="00767FA5" w:rsidRPr="0072181A">
        <w:rPr>
          <w:rFonts w:ascii="Arial" w:hAnsi="Arial" w:cs="Arial"/>
          <w:b/>
          <w:sz w:val="22"/>
          <w:szCs w:val="22"/>
        </w:rPr>
        <w:t>-</w:t>
      </w:r>
      <w:r w:rsidR="00ED09BC" w:rsidRPr="0072181A">
        <w:rPr>
          <w:rFonts w:ascii="Arial" w:hAnsi="Arial" w:cs="Arial"/>
          <w:b/>
          <w:sz w:val="22"/>
          <w:szCs w:val="22"/>
        </w:rPr>
        <w:t>9335</w:t>
      </w:r>
    </w:p>
    <w:p w:rsidR="003933E4"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hyperlink r:id="rId10" w:history="1">
        <w:r w:rsidR="00C307F2" w:rsidRPr="00390C5A">
          <w:rPr>
            <w:rStyle w:val="Hyperlink"/>
            <w:rFonts w:ascii="Arial" w:hAnsi="Arial" w:cs="Arial"/>
            <w:b/>
            <w:sz w:val="22"/>
            <w:szCs w:val="22"/>
          </w:rPr>
          <w:t>Tesfa.Alexander@fda.hhs.gov</w:t>
        </w:r>
      </w:hyperlink>
    </w:p>
    <w:p w:rsidR="00C307F2" w:rsidRDefault="00C307F2" w:rsidP="00C76356">
      <w:pPr>
        <w:jc w:val="both"/>
        <w:rPr>
          <w:rFonts w:ascii="Arial" w:hAnsi="Arial" w:cs="Arial"/>
          <w:b/>
          <w:sz w:val="22"/>
          <w:szCs w:val="22"/>
        </w:rPr>
      </w:pPr>
    </w:p>
    <w:p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FDA CENTER: Center for Tobacco Products (FDA/CTP) </w:t>
      </w:r>
    </w:p>
    <w:sectPr w:rsidR="00811962" w:rsidRPr="0072181A" w:rsidSect="005C44B0">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F6" w:rsidRDefault="004A6BF6" w:rsidP="001B49A7">
      <w:r>
        <w:separator/>
      </w:r>
    </w:p>
  </w:endnote>
  <w:endnote w:type="continuationSeparator" w:id="0">
    <w:p w:rsidR="004A6BF6" w:rsidRDefault="004A6BF6"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43D" w:rsidRPr="00C93677" w:rsidRDefault="001D743D" w:rsidP="00C93677">
    <w:pPr>
      <w:pStyle w:val="Footer"/>
      <w:jc w:val="right"/>
      <w:rPr>
        <w:rFonts w:ascii="Arial" w:hAnsi="Arial"/>
        <w:sz w:val="18"/>
        <w:szCs w:val="18"/>
      </w:rPr>
    </w:pPr>
    <w:r w:rsidRPr="00C93677">
      <w:rPr>
        <w:rFonts w:ascii="Arial" w:hAnsi="Arial"/>
        <w:sz w:val="18"/>
        <w:szCs w:val="18"/>
      </w:rPr>
      <w:t xml:space="preserve">Page </w:t>
    </w:r>
    <w:r w:rsidRPr="00C93677">
      <w:rPr>
        <w:rFonts w:ascii="Arial" w:hAnsi="Arial"/>
        <w:sz w:val="18"/>
        <w:szCs w:val="18"/>
      </w:rPr>
      <w:fldChar w:fldCharType="begin"/>
    </w:r>
    <w:r w:rsidRPr="00C93677">
      <w:rPr>
        <w:rFonts w:ascii="Arial" w:hAnsi="Arial"/>
        <w:sz w:val="18"/>
        <w:szCs w:val="18"/>
      </w:rPr>
      <w:instrText xml:space="preserve"> PAGE </w:instrText>
    </w:r>
    <w:r w:rsidRPr="00C93677">
      <w:rPr>
        <w:rFonts w:ascii="Arial" w:hAnsi="Arial"/>
        <w:sz w:val="18"/>
        <w:szCs w:val="18"/>
      </w:rPr>
      <w:fldChar w:fldCharType="separate"/>
    </w:r>
    <w:r w:rsidR="00FE147B">
      <w:rPr>
        <w:rFonts w:ascii="Arial" w:hAnsi="Arial"/>
        <w:noProof/>
        <w:sz w:val="18"/>
        <w:szCs w:val="18"/>
      </w:rPr>
      <w:t>5</w:t>
    </w:r>
    <w:r w:rsidRPr="00C93677">
      <w:rPr>
        <w:rFonts w:ascii="Arial" w:hAnsi="Arial"/>
        <w:sz w:val="18"/>
        <w:szCs w:val="18"/>
      </w:rPr>
      <w:fldChar w:fldCharType="end"/>
    </w:r>
    <w:r w:rsidRPr="00C93677">
      <w:rPr>
        <w:rFonts w:ascii="Arial" w:hAnsi="Arial"/>
        <w:sz w:val="18"/>
        <w:szCs w:val="18"/>
      </w:rPr>
      <w:t xml:space="preserve"> of </w:t>
    </w:r>
    <w:r w:rsidRPr="00C93677">
      <w:rPr>
        <w:rFonts w:ascii="Arial" w:hAnsi="Arial"/>
        <w:sz w:val="18"/>
        <w:szCs w:val="18"/>
      </w:rPr>
      <w:fldChar w:fldCharType="begin"/>
    </w:r>
    <w:r w:rsidRPr="00C93677">
      <w:rPr>
        <w:rFonts w:ascii="Arial" w:hAnsi="Arial"/>
        <w:sz w:val="18"/>
        <w:szCs w:val="18"/>
      </w:rPr>
      <w:instrText xml:space="preserve"> NUMPAGES </w:instrText>
    </w:r>
    <w:r w:rsidRPr="00C93677">
      <w:rPr>
        <w:rFonts w:ascii="Arial" w:hAnsi="Arial"/>
        <w:sz w:val="18"/>
        <w:szCs w:val="18"/>
      </w:rPr>
      <w:fldChar w:fldCharType="separate"/>
    </w:r>
    <w:r w:rsidR="00FE147B">
      <w:rPr>
        <w:rFonts w:ascii="Arial" w:hAnsi="Arial"/>
        <w:noProof/>
        <w:sz w:val="18"/>
        <w:szCs w:val="18"/>
      </w:rPr>
      <w:t>5</w:t>
    </w:r>
    <w:r w:rsidRPr="00C93677">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F6" w:rsidRDefault="004A6BF6" w:rsidP="001B49A7">
      <w:r>
        <w:separator/>
      </w:r>
    </w:p>
  </w:footnote>
  <w:footnote w:type="continuationSeparator" w:id="0">
    <w:p w:rsidR="004A6BF6" w:rsidRDefault="004A6BF6" w:rsidP="001B49A7">
      <w:r>
        <w:continuationSeparator/>
      </w:r>
    </w:p>
  </w:footnote>
  <w:footnote w:id="1">
    <w:p w:rsidR="001D743D" w:rsidRPr="00C804F8" w:rsidRDefault="001D743D" w:rsidP="00C76356">
      <w:pPr>
        <w:pStyle w:val="NormalWeb"/>
        <w:spacing w:before="0" w:beforeAutospacing="0" w:after="0" w:afterAutospacing="0"/>
        <w:rPr>
          <w:rFonts w:ascii="Arial" w:hAnsi="Arial" w:cs="Arial"/>
          <w:color w:val="auto"/>
          <w:sz w:val="16"/>
          <w:szCs w:val="16"/>
          <w:lang w:val="en"/>
        </w:rPr>
      </w:pPr>
      <w:r w:rsidRPr="00C804F8">
        <w:rPr>
          <w:rStyle w:val="FootnoteReference"/>
          <w:rFonts w:ascii="Arial" w:hAnsi="Arial" w:cs="Arial"/>
          <w:sz w:val="16"/>
          <w:szCs w:val="16"/>
        </w:rPr>
        <w:footnoteRef/>
      </w:r>
      <w:r w:rsidRPr="00C804F8">
        <w:rPr>
          <w:rFonts w:ascii="Arial" w:hAnsi="Arial" w:cs="Arial"/>
          <w:sz w:val="16"/>
          <w:szCs w:val="16"/>
        </w:rPr>
        <w:t xml:space="preserve"> </w:t>
      </w:r>
      <w:r w:rsidRPr="00C804F8">
        <w:rPr>
          <w:rFonts w:ascii="Arial" w:hAnsi="Arial" w:cs="Arial"/>
          <w:color w:val="auto"/>
          <w:sz w:val="16"/>
          <w:szCs w:val="16"/>
          <w:lang w:val="en"/>
        </w:rPr>
        <w:t xml:space="preserve">Halpern, SD., </w:t>
      </w:r>
      <w:proofErr w:type="spellStart"/>
      <w:r w:rsidRPr="00C804F8">
        <w:rPr>
          <w:rFonts w:ascii="Arial" w:hAnsi="Arial" w:cs="Arial"/>
          <w:color w:val="auto"/>
          <w:sz w:val="16"/>
          <w:szCs w:val="16"/>
          <w:lang w:val="en"/>
        </w:rPr>
        <w:t>Karlawish</w:t>
      </w:r>
      <w:proofErr w:type="spellEnd"/>
      <w:r w:rsidRPr="00C804F8">
        <w:rPr>
          <w:rFonts w:ascii="Arial" w:hAnsi="Arial" w:cs="Arial"/>
          <w:color w:val="auto"/>
          <w:sz w:val="16"/>
          <w:szCs w:val="16"/>
          <w:lang w:val="en"/>
        </w:rPr>
        <w:t xml:space="preserve">, </w:t>
      </w:r>
      <w:proofErr w:type="gramStart"/>
      <w:r w:rsidRPr="00C804F8">
        <w:rPr>
          <w:rFonts w:ascii="Arial" w:hAnsi="Arial" w:cs="Arial"/>
          <w:color w:val="auto"/>
          <w:sz w:val="16"/>
          <w:szCs w:val="16"/>
          <w:lang w:val="en"/>
        </w:rPr>
        <w:t>JH.,</w:t>
      </w:r>
      <w:proofErr w:type="gramEnd"/>
      <w:r w:rsidRPr="00C804F8">
        <w:rPr>
          <w:rFonts w:ascii="Arial" w:hAnsi="Arial" w:cs="Arial"/>
          <w:color w:val="auto"/>
          <w:sz w:val="16"/>
          <w:szCs w:val="16"/>
          <w:lang w:val="en"/>
        </w:rPr>
        <w:t xml:space="preserve"> </w:t>
      </w:r>
      <w:proofErr w:type="spellStart"/>
      <w:r w:rsidRPr="00C804F8">
        <w:rPr>
          <w:rFonts w:ascii="Arial" w:hAnsi="Arial" w:cs="Arial"/>
          <w:color w:val="auto"/>
          <w:sz w:val="16"/>
          <w:szCs w:val="16"/>
          <w:lang w:val="en"/>
        </w:rPr>
        <w:t>Casarett</w:t>
      </w:r>
      <w:proofErr w:type="spellEnd"/>
      <w:r w:rsidRPr="00C804F8">
        <w:rPr>
          <w:rFonts w:ascii="Arial" w:hAnsi="Arial" w:cs="Arial"/>
          <w:color w:val="auto"/>
          <w:sz w:val="16"/>
          <w:szCs w:val="16"/>
          <w:lang w:val="en"/>
        </w:rPr>
        <w:t xml:space="preserve">, D., Berlin, JA., Asch, DA. Empirical assessment of whether moderate payments are undue or unjust inducements for participation in clinical trials. </w:t>
      </w:r>
      <w:proofErr w:type="gramStart"/>
      <w:r w:rsidRPr="00C804F8">
        <w:rPr>
          <w:rFonts w:ascii="Arial" w:hAnsi="Arial" w:cs="Arial"/>
          <w:i/>
          <w:color w:val="auto"/>
          <w:sz w:val="16"/>
          <w:szCs w:val="16"/>
          <w:lang w:val="en"/>
        </w:rPr>
        <w:t>Archives of Internal Medicine.</w:t>
      </w:r>
      <w:proofErr w:type="gramEnd"/>
      <w:r w:rsidRPr="00C804F8">
        <w:rPr>
          <w:rFonts w:ascii="Arial" w:hAnsi="Arial" w:cs="Arial"/>
          <w:i/>
          <w:color w:val="auto"/>
          <w:sz w:val="16"/>
          <w:szCs w:val="16"/>
          <w:lang w:val="en"/>
        </w:rPr>
        <w:t xml:space="preserve"> </w:t>
      </w:r>
      <w:proofErr w:type="gramStart"/>
      <w:r w:rsidRPr="00C804F8">
        <w:rPr>
          <w:rFonts w:ascii="Arial" w:hAnsi="Arial" w:cs="Arial"/>
          <w:color w:val="auto"/>
          <w:sz w:val="16"/>
          <w:szCs w:val="16"/>
          <w:lang w:val="en"/>
        </w:rPr>
        <w:t>2004; 164(7), 80l-803.</w:t>
      </w:r>
      <w:proofErr w:type="gramEnd"/>
    </w:p>
  </w:footnote>
  <w:footnote w:id="2">
    <w:p w:rsidR="001D743D" w:rsidRPr="00C804F8" w:rsidRDefault="001D743D">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Russell, ML, </w:t>
      </w:r>
      <w:proofErr w:type="spellStart"/>
      <w:r w:rsidRPr="00C804F8">
        <w:rPr>
          <w:rFonts w:ascii="Arial" w:hAnsi="Arial" w:cs="Arial"/>
          <w:sz w:val="16"/>
          <w:szCs w:val="16"/>
        </w:rPr>
        <w:t>Moralejo</w:t>
      </w:r>
      <w:proofErr w:type="spellEnd"/>
      <w:r w:rsidRPr="00C804F8">
        <w:rPr>
          <w:rFonts w:ascii="Arial" w:hAnsi="Arial" w:cs="Arial"/>
          <w:sz w:val="16"/>
          <w:szCs w:val="16"/>
        </w:rPr>
        <w:t xml:space="preserve">, </w:t>
      </w:r>
      <w:proofErr w:type="gramStart"/>
      <w:r w:rsidRPr="00C804F8">
        <w:rPr>
          <w:rFonts w:ascii="Arial" w:hAnsi="Arial" w:cs="Arial"/>
          <w:sz w:val="16"/>
          <w:szCs w:val="16"/>
        </w:rPr>
        <w:t>DG.,</w:t>
      </w:r>
      <w:proofErr w:type="gramEnd"/>
      <w:r w:rsidRPr="00C804F8">
        <w:rPr>
          <w:rFonts w:ascii="Arial" w:hAnsi="Arial" w:cs="Arial"/>
          <w:sz w:val="16"/>
          <w:szCs w:val="16"/>
        </w:rPr>
        <w:t xml:space="preserve"> Burgess, ED. Paying research subjects: Participants’ perspectives. </w:t>
      </w:r>
      <w:proofErr w:type="gramStart"/>
      <w:r w:rsidRPr="00C804F8">
        <w:rPr>
          <w:rFonts w:ascii="Arial" w:hAnsi="Arial" w:cs="Arial"/>
          <w:i/>
          <w:iCs/>
          <w:sz w:val="16"/>
          <w:szCs w:val="16"/>
        </w:rPr>
        <w:t>Journal of Medical Ethics.</w:t>
      </w:r>
      <w:proofErr w:type="gramEnd"/>
      <w:r w:rsidRPr="00C804F8">
        <w:rPr>
          <w:rFonts w:ascii="Arial" w:hAnsi="Arial" w:cs="Arial"/>
          <w:i/>
          <w:iCs/>
          <w:sz w:val="16"/>
          <w:szCs w:val="16"/>
        </w:rPr>
        <w:t xml:space="preserve"> </w:t>
      </w:r>
      <w:r w:rsidRPr="00C804F8">
        <w:rPr>
          <w:rFonts w:ascii="Arial" w:hAnsi="Arial" w:cs="Arial"/>
          <w:sz w:val="16"/>
          <w:szCs w:val="16"/>
        </w:rPr>
        <w:t xml:space="preserve">2000; 26(2), 126-130.  </w:t>
      </w:r>
    </w:p>
  </w:footnote>
  <w:footnote w:id="3">
    <w:p w:rsidR="001D743D" w:rsidRPr="00C804F8" w:rsidRDefault="001D743D">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Morgan, DL, </w:t>
      </w:r>
      <w:proofErr w:type="spellStart"/>
      <w:r w:rsidRPr="00C804F8">
        <w:rPr>
          <w:rFonts w:ascii="Arial" w:hAnsi="Arial" w:cs="Arial"/>
          <w:sz w:val="16"/>
          <w:szCs w:val="16"/>
        </w:rPr>
        <w:t>Scannell</w:t>
      </w:r>
      <w:proofErr w:type="spellEnd"/>
      <w:r w:rsidRPr="00C804F8">
        <w:rPr>
          <w:rFonts w:ascii="Arial" w:hAnsi="Arial" w:cs="Arial"/>
          <w:sz w:val="16"/>
          <w:szCs w:val="16"/>
        </w:rPr>
        <w:t xml:space="preserve">, AU. </w:t>
      </w:r>
      <w:proofErr w:type="gramStart"/>
      <w:r w:rsidRPr="00C804F8">
        <w:rPr>
          <w:rFonts w:ascii="Arial" w:hAnsi="Arial" w:cs="Arial"/>
          <w:sz w:val="16"/>
          <w:szCs w:val="16"/>
        </w:rPr>
        <w:t>Planning Focus Groups.</w:t>
      </w:r>
      <w:proofErr w:type="gramEnd"/>
      <w:r w:rsidRPr="00C804F8">
        <w:rPr>
          <w:rFonts w:ascii="Arial" w:hAnsi="Arial" w:cs="Arial"/>
          <w:sz w:val="16"/>
          <w:szCs w:val="16"/>
        </w:rPr>
        <w:t xml:space="preserve"> Thousand Oaks, CA: Sage, 1998.  </w:t>
      </w:r>
    </w:p>
  </w:footnote>
  <w:footnote w:id="4">
    <w:p w:rsidR="001D743D" w:rsidRDefault="001D743D">
      <w:pPr>
        <w:pStyle w:val="FootnoteText"/>
      </w:pPr>
      <w:r w:rsidRPr="00C804F8">
        <w:rPr>
          <w:rStyle w:val="FootnoteReference"/>
          <w:rFonts w:ascii="Arial" w:hAnsi="Arial" w:cs="Arial"/>
          <w:sz w:val="16"/>
          <w:szCs w:val="16"/>
        </w:rPr>
        <w:footnoteRef/>
      </w:r>
      <w:r w:rsidRPr="00C804F8">
        <w:rPr>
          <w:rFonts w:ascii="Arial" w:hAnsi="Arial" w:cs="Arial"/>
          <w:sz w:val="16"/>
          <w:szCs w:val="16"/>
        </w:rPr>
        <w:t xml:space="preserve"> </w:t>
      </w:r>
      <w:proofErr w:type="spellStart"/>
      <w:r w:rsidRPr="00C804F8">
        <w:rPr>
          <w:rFonts w:ascii="Arial" w:hAnsi="Arial" w:cs="Arial"/>
          <w:sz w:val="16"/>
          <w:szCs w:val="16"/>
        </w:rPr>
        <w:t>Groth</w:t>
      </w:r>
      <w:proofErr w:type="spellEnd"/>
      <w:r w:rsidRPr="00C804F8">
        <w:rPr>
          <w:rFonts w:ascii="Arial" w:hAnsi="Arial" w:cs="Arial"/>
          <w:sz w:val="16"/>
          <w:szCs w:val="16"/>
        </w:rPr>
        <w:t>, SW. Honorarium or coercion: use of incentives for participants in clinical research</w:t>
      </w:r>
      <w:r w:rsidRPr="00C804F8">
        <w:rPr>
          <w:rFonts w:ascii="Arial" w:hAnsi="Arial" w:cs="Arial"/>
          <w:i/>
          <w:iCs/>
          <w:sz w:val="16"/>
          <w:szCs w:val="16"/>
        </w:rPr>
        <w:t xml:space="preserve">. </w:t>
      </w:r>
      <w:proofErr w:type="gramStart"/>
      <w:r w:rsidRPr="00C804F8">
        <w:rPr>
          <w:rFonts w:ascii="Arial" w:hAnsi="Arial" w:cs="Arial"/>
          <w:i/>
          <w:iCs/>
          <w:sz w:val="16"/>
          <w:szCs w:val="16"/>
        </w:rPr>
        <w:t>Journal of the New York State Nurses Association</w:t>
      </w:r>
      <w:r w:rsidRPr="00C804F8">
        <w:rPr>
          <w:rFonts w:ascii="Arial" w:hAnsi="Arial" w:cs="Arial"/>
          <w:sz w:val="16"/>
          <w:szCs w:val="16"/>
        </w:rPr>
        <w:t>.</w:t>
      </w:r>
      <w:proofErr w:type="gramEnd"/>
      <w:r w:rsidRPr="00C804F8">
        <w:rPr>
          <w:rFonts w:ascii="Arial" w:hAnsi="Arial" w:cs="Arial"/>
          <w:sz w:val="16"/>
          <w:szCs w:val="16"/>
        </w:rPr>
        <w:t xml:space="preserve"> 2010.</w:t>
      </w:r>
      <w:r>
        <w:rPr>
          <w:sz w:val="16"/>
          <w:szCs w:val="16"/>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43D" w:rsidRPr="001B49A7" w:rsidRDefault="001D743D" w:rsidP="001B49A7">
    <w:pPr>
      <w:pStyle w:val="Header"/>
      <w:jc w:val="right"/>
      <w:rPr>
        <w:rFonts w:ascii="Arial" w:hAnsi="Arial"/>
        <w:sz w:val="18"/>
        <w:szCs w:val="18"/>
      </w:rPr>
    </w:pPr>
    <w:r>
      <w:rPr>
        <w:rFonts w:ascii="Arial" w:hAnsi="Arial"/>
        <w:sz w:val="18"/>
        <w:szCs w:val="18"/>
      </w:rPr>
      <w:t>Multi-Market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53"/>
    <w:rsid w:val="00007CAA"/>
    <w:rsid w:val="000125A0"/>
    <w:rsid w:val="00013F4D"/>
    <w:rsid w:val="00013FAB"/>
    <w:rsid w:val="000144D1"/>
    <w:rsid w:val="00016D90"/>
    <w:rsid w:val="00027EF4"/>
    <w:rsid w:val="00030FA6"/>
    <w:rsid w:val="000371FC"/>
    <w:rsid w:val="0004670C"/>
    <w:rsid w:val="00055AAB"/>
    <w:rsid w:val="000667EF"/>
    <w:rsid w:val="0009573A"/>
    <w:rsid w:val="000A4B73"/>
    <w:rsid w:val="000B08D1"/>
    <w:rsid w:val="000D7FD4"/>
    <w:rsid w:val="000E7A0C"/>
    <w:rsid w:val="000F4C67"/>
    <w:rsid w:val="000F5C84"/>
    <w:rsid w:val="00111D27"/>
    <w:rsid w:val="00165995"/>
    <w:rsid w:val="001749AC"/>
    <w:rsid w:val="00177737"/>
    <w:rsid w:val="001902A9"/>
    <w:rsid w:val="001A05CB"/>
    <w:rsid w:val="001A7470"/>
    <w:rsid w:val="001B3401"/>
    <w:rsid w:val="001B49A7"/>
    <w:rsid w:val="001C7062"/>
    <w:rsid w:val="001C716B"/>
    <w:rsid w:val="001D743D"/>
    <w:rsid w:val="001F3B36"/>
    <w:rsid w:val="00216BFD"/>
    <w:rsid w:val="00221704"/>
    <w:rsid w:val="00232FF6"/>
    <w:rsid w:val="00233F22"/>
    <w:rsid w:val="00234024"/>
    <w:rsid w:val="00236F75"/>
    <w:rsid w:val="002440EB"/>
    <w:rsid w:val="00247A12"/>
    <w:rsid w:val="00274A62"/>
    <w:rsid w:val="0028201F"/>
    <w:rsid w:val="00293F2F"/>
    <w:rsid w:val="002A1BD0"/>
    <w:rsid w:val="002B427F"/>
    <w:rsid w:val="002D10A2"/>
    <w:rsid w:val="002D2185"/>
    <w:rsid w:val="002D2A6F"/>
    <w:rsid w:val="002E391C"/>
    <w:rsid w:val="002E7FFD"/>
    <w:rsid w:val="0030424B"/>
    <w:rsid w:val="00304AD5"/>
    <w:rsid w:val="00307BCF"/>
    <w:rsid w:val="0031332B"/>
    <w:rsid w:val="00326050"/>
    <w:rsid w:val="003371C8"/>
    <w:rsid w:val="003401C4"/>
    <w:rsid w:val="00341B5B"/>
    <w:rsid w:val="003622BB"/>
    <w:rsid w:val="00364B32"/>
    <w:rsid w:val="00376D2D"/>
    <w:rsid w:val="00377CEB"/>
    <w:rsid w:val="003828F1"/>
    <w:rsid w:val="003832BE"/>
    <w:rsid w:val="00391C35"/>
    <w:rsid w:val="003933E4"/>
    <w:rsid w:val="003946ED"/>
    <w:rsid w:val="00394F93"/>
    <w:rsid w:val="003A7857"/>
    <w:rsid w:val="003B0418"/>
    <w:rsid w:val="003B4BB9"/>
    <w:rsid w:val="003B510E"/>
    <w:rsid w:val="003B6CA0"/>
    <w:rsid w:val="003C0E21"/>
    <w:rsid w:val="003C1D7B"/>
    <w:rsid w:val="003C4BA8"/>
    <w:rsid w:val="003C5D69"/>
    <w:rsid w:val="003D5528"/>
    <w:rsid w:val="003D6DA2"/>
    <w:rsid w:val="003E2313"/>
    <w:rsid w:val="00407ECC"/>
    <w:rsid w:val="00413FDD"/>
    <w:rsid w:val="0041646C"/>
    <w:rsid w:val="00421DE8"/>
    <w:rsid w:val="00431E69"/>
    <w:rsid w:val="004347D0"/>
    <w:rsid w:val="004450E0"/>
    <w:rsid w:val="00451B55"/>
    <w:rsid w:val="004676C7"/>
    <w:rsid w:val="004739D6"/>
    <w:rsid w:val="00482DF5"/>
    <w:rsid w:val="0049126D"/>
    <w:rsid w:val="004A5320"/>
    <w:rsid w:val="004A6BF6"/>
    <w:rsid w:val="004B2C56"/>
    <w:rsid w:val="004C228E"/>
    <w:rsid w:val="004C3734"/>
    <w:rsid w:val="004C6D0C"/>
    <w:rsid w:val="004E1C39"/>
    <w:rsid w:val="004E1D01"/>
    <w:rsid w:val="0050521B"/>
    <w:rsid w:val="00505864"/>
    <w:rsid w:val="00526507"/>
    <w:rsid w:val="00533FE3"/>
    <w:rsid w:val="00543120"/>
    <w:rsid w:val="00560770"/>
    <w:rsid w:val="005A2047"/>
    <w:rsid w:val="005A5A20"/>
    <w:rsid w:val="005A7D6C"/>
    <w:rsid w:val="005B6118"/>
    <w:rsid w:val="005C1C63"/>
    <w:rsid w:val="005C2F1B"/>
    <w:rsid w:val="005C44B0"/>
    <w:rsid w:val="005C7437"/>
    <w:rsid w:val="005D4126"/>
    <w:rsid w:val="005F220F"/>
    <w:rsid w:val="005F66E0"/>
    <w:rsid w:val="0060599C"/>
    <w:rsid w:val="00605A02"/>
    <w:rsid w:val="0060746B"/>
    <w:rsid w:val="006156F9"/>
    <w:rsid w:val="00630D72"/>
    <w:rsid w:val="00630E0C"/>
    <w:rsid w:val="00637268"/>
    <w:rsid w:val="00641BF9"/>
    <w:rsid w:val="00643730"/>
    <w:rsid w:val="00652F6A"/>
    <w:rsid w:val="006654DC"/>
    <w:rsid w:val="0067686A"/>
    <w:rsid w:val="00690C1A"/>
    <w:rsid w:val="00691953"/>
    <w:rsid w:val="006925FC"/>
    <w:rsid w:val="006A0F21"/>
    <w:rsid w:val="006A44AE"/>
    <w:rsid w:val="006C43AE"/>
    <w:rsid w:val="006D4B72"/>
    <w:rsid w:val="006E5517"/>
    <w:rsid w:val="007020D0"/>
    <w:rsid w:val="0072181A"/>
    <w:rsid w:val="00725575"/>
    <w:rsid w:val="00733779"/>
    <w:rsid w:val="00735922"/>
    <w:rsid w:val="0076013C"/>
    <w:rsid w:val="00767FA5"/>
    <w:rsid w:val="00773181"/>
    <w:rsid w:val="00775CAF"/>
    <w:rsid w:val="00783D62"/>
    <w:rsid w:val="007842E6"/>
    <w:rsid w:val="0078730F"/>
    <w:rsid w:val="007A6C17"/>
    <w:rsid w:val="007B2CA2"/>
    <w:rsid w:val="007B5326"/>
    <w:rsid w:val="007D092A"/>
    <w:rsid w:val="007E1745"/>
    <w:rsid w:val="007F4B34"/>
    <w:rsid w:val="00805055"/>
    <w:rsid w:val="00811962"/>
    <w:rsid w:val="00816B54"/>
    <w:rsid w:val="00817EE2"/>
    <w:rsid w:val="00826AF8"/>
    <w:rsid w:val="00854749"/>
    <w:rsid w:val="00857CBD"/>
    <w:rsid w:val="0086073F"/>
    <w:rsid w:val="008732FF"/>
    <w:rsid w:val="008770A4"/>
    <w:rsid w:val="008A01C2"/>
    <w:rsid w:val="008A20C8"/>
    <w:rsid w:val="008A421B"/>
    <w:rsid w:val="008B28AC"/>
    <w:rsid w:val="008B579B"/>
    <w:rsid w:val="008D3C9B"/>
    <w:rsid w:val="008E49EA"/>
    <w:rsid w:val="008F5CD3"/>
    <w:rsid w:val="009024B7"/>
    <w:rsid w:val="00922C2F"/>
    <w:rsid w:val="0094153E"/>
    <w:rsid w:val="009465F1"/>
    <w:rsid w:val="00946A95"/>
    <w:rsid w:val="00947E93"/>
    <w:rsid w:val="00953D5B"/>
    <w:rsid w:val="00960A0E"/>
    <w:rsid w:val="00962018"/>
    <w:rsid w:val="00964003"/>
    <w:rsid w:val="009716BF"/>
    <w:rsid w:val="009741E2"/>
    <w:rsid w:val="00975763"/>
    <w:rsid w:val="00975ECB"/>
    <w:rsid w:val="00975FE6"/>
    <w:rsid w:val="00980559"/>
    <w:rsid w:val="0098216A"/>
    <w:rsid w:val="00983764"/>
    <w:rsid w:val="00995DF0"/>
    <w:rsid w:val="009C1CAE"/>
    <w:rsid w:val="009C5FB5"/>
    <w:rsid w:val="009E38D8"/>
    <w:rsid w:val="009F5BD1"/>
    <w:rsid w:val="00A103CD"/>
    <w:rsid w:val="00A24D45"/>
    <w:rsid w:val="00A5429C"/>
    <w:rsid w:val="00A66F75"/>
    <w:rsid w:val="00A72C58"/>
    <w:rsid w:val="00AC0437"/>
    <w:rsid w:val="00AD0758"/>
    <w:rsid w:val="00AD107F"/>
    <w:rsid w:val="00AD590E"/>
    <w:rsid w:val="00B17132"/>
    <w:rsid w:val="00B51D6F"/>
    <w:rsid w:val="00B5464B"/>
    <w:rsid w:val="00B60AA8"/>
    <w:rsid w:val="00B669D9"/>
    <w:rsid w:val="00B679F7"/>
    <w:rsid w:val="00B71C08"/>
    <w:rsid w:val="00B75884"/>
    <w:rsid w:val="00B830AB"/>
    <w:rsid w:val="00B857C0"/>
    <w:rsid w:val="00BB2CBA"/>
    <w:rsid w:val="00BE7F58"/>
    <w:rsid w:val="00BF0581"/>
    <w:rsid w:val="00C02034"/>
    <w:rsid w:val="00C307F2"/>
    <w:rsid w:val="00C408BD"/>
    <w:rsid w:val="00C41205"/>
    <w:rsid w:val="00C447AD"/>
    <w:rsid w:val="00C51483"/>
    <w:rsid w:val="00C544BD"/>
    <w:rsid w:val="00C57A8E"/>
    <w:rsid w:val="00C63DEA"/>
    <w:rsid w:val="00C76356"/>
    <w:rsid w:val="00C804F8"/>
    <w:rsid w:val="00C844C5"/>
    <w:rsid w:val="00C8599B"/>
    <w:rsid w:val="00C93677"/>
    <w:rsid w:val="00CA4BD6"/>
    <w:rsid w:val="00CB02B6"/>
    <w:rsid w:val="00CB0489"/>
    <w:rsid w:val="00CB73F3"/>
    <w:rsid w:val="00CC1EB5"/>
    <w:rsid w:val="00D336BD"/>
    <w:rsid w:val="00D464F1"/>
    <w:rsid w:val="00D470B2"/>
    <w:rsid w:val="00D50A8A"/>
    <w:rsid w:val="00D5556B"/>
    <w:rsid w:val="00D578C4"/>
    <w:rsid w:val="00D634C2"/>
    <w:rsid w:val="00DA0066"/>
    <w:rsid w:val="00DB6761"/>
    <w:rsid w:val="00DC5164"/>
    <w:rsid w:val="00DD1510"/>
    <w:rsid w:val="00DD2277"/>
    <w:rsid w:val="00DE0C4C"/>
    <w:rsid w:val="00DF0672"/>
    <w:rsid w:val="00DF1834"/>
    <w:rsid w:val="00DF42C5"/>
    <w:rsid w:val="00E06BDE"/>
    <w:rsid w:val="00E07816"/>
    <w:rsid w:val="00E13384"/>
    <w:rsid w:val="00E17BCB"/>
    <w:rsid w:val="00E675CB"/>
    <w:rsid w:val="00E71FBE"/>
    <w:rsid w:val="00E72134"/>
    <w:rsid w:val="00E74E51"/>
    <w:rsid w:val="00E85ACC"/>
    <w:rsid w:val="00E92CA7"/>
    <w:rsid w:val="00E95CFC"/>
    <w:rsid w:val="00EB5929"/>
    <w:rsid w:val="00EC4B29"/>
    <w:rsid w:val="00ED09BC"/>
    <w:rsid w:val="00EE1B2A"/>
    <w:rsid w:val="00EE4DC7"/>
    <w:rsid w:val="00EF3946"/>
    <w:rsid w:val="00F0682C"/>
    <w:rsid w:val="00F06EB6"/>
    <w:rsid w:val="00F110E1"/>
    <w:rsid w:val="00F35539"/>
    <w:rsid w:val="00F520BA"/>
    <w:rsid w:val="00F61323"/>
    <w:rsid w:val="00F6185C"/>
    <w:rsid w:val="00F86559"/>
    <w:rsid w:val="00FA47CC"/>
    <w:rsid w:val="00FE147B"/>
    <w:rsid w:val="00FE7F3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4585">
      <w:bodyDiv w:val="1"/>
      <w:marLeft w:val="0"/>
      <w:marRight w:val="0"/>
      <w:marTop w:val="0"/>
      <w:marBottom w:val="0"/>
      <w:divBdr>
        <w:top w:val="none" w:sz="0" w:space="0" w:color="auto"/>
        <w:left w:val="none" w:sz="0" w:space="0" w:color="auto"/>
        <w:bottom w:val="none" w:sz="0" w:space="0" w:color="auto"/>
        <w:right w:val="none" w:sz="0" w:space="0" w:color="auto"/>
      </w:divBdr>
    </w:div>
    <w:div w:id="669405462">
      <w:bodyDiv w:val="1"/>
      <w:marLeft w:val="0"/>
      <w:marRight w:val="0"/>
      <w:marTop w:val="0"/>
      <w:marBottom w:val="0"/>
      <w:divBdr>
        <w:top w:val="none" w:sz="0" w:space="0" w:color="auto"/>
        <w:left w:val="none" w:sz="0" w:space="0" w:color="auto"/>
        <w:bottom w:val="none" w:sz="0" w:space="0" w:color="auto"/>
        <w:right w:val="none" w:sz="0" w:space="0" w:color="auto"/>
      </w:divBdr>
    </w:div>
    <w:div w:id="1117289577">
      <w:bodyDiv w:val="1"/>
      <w:marLeft w:val="0"/>
      <w:marRight w:val="0"/>
      <w:marTop w:val="0"/>
      <w:marBottom w:val="0"/>
      <w:divBdr>
        <w:top w:val="none" w:sz="0" w:space="0" w:color="auto"/>
        <w:left w:val="none" w:sz="0" w:space="0" w:color="auto"/>
        <w:bottom w:val="none" w:sz="0" w:space="0" w:color="auto"/>
        <w:right w:val="none" w:sz="0" w:space="0" w:color="auto"/>
      </w:divBdr>
    </w:div>
    <w:div w:id="1529947858">
      <w:bodyDiv w:val="1"/>
      <w:marLeft w:val="0"/>
      <w:marRight w:val="0"/>
      <w:marTop w:val="0"/>
      <w:marBottom w:val="0"/>
      <w:divBdr>
        <w:top w:val="none" w:sz="0" w:space="0" w:color="auto"/>
        <w:left w:val="none" w:sz="0" w:space="0" w:color="auto"/>
        <w:bottom w:val="none" w:sz="0" w:space="0" w:color="auto"/>
        <w:right w:val="none" w:sz="0" w:space="0" w:color="auto"/>
      </w:divBdr>
    </w:div>
    <w:div w:id="173508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951B4-7036-4793-A9BE-9F4F0B36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3</cp:revision>
  <cp:lastPrinted>2014-10-17T19:03:00Z</cp:lastPrinted>
  <dcterms:created xsi:type="dcterms:W3CDTF">2014-10-22T17:37:00Z</dcterms:created>
  <dcterms:modified xsi:type="dcterms:W3CDTF">2014-10-24T17:39:00Z</dcterms:modified>
</cp:coreProperties>
</file>