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F2" w:rsidRPr="002A37F2" w:rsidRDefault="002A37F2" w:rsidP="002A37F2">
      <w:pPr>
        <w:keepNext/>
        <w:tabs>
          <w:tab w:val="left" w:pos="900"/>
        </w:tabs>
        <w:spacing w:line="240" w:lineRule="auto"/>
        <w:ind w:right="-180"/>
        <w:jc w:val="center"/>
        <w:outlineLvl w:val="1"/>
        <w:rPr>
          <w:rFonts w:ascii="Times New Roman" w:eastAsia="Times New Roman" w:hAnsi="Times New Roman" w:cs="Times New Roman"/>
          <w:b/>
          <w:bCs/>
          <w:sz w:val="28"/>
          <w:szCs w:val="24"/>
        </w:rPr>
      </w:pPr>
      <w:bookmarkStart w:id="0" w:name="_GoBack"/>
      <w:bookmarkEnd w:id="0"/>
      <w:r w:rsidRPr="002A37F2">
        <w:rPr>
          <w:rFonts w:ascii="Times New Roman" w:eastAsia="Times New Roman" w:hAnsi="Times New Roman" w:cs="Times New Roman"/>
          <w:b/>
          <w:bCs/>
          <w:sz w:val="28"/>
          <w:szCs w:val="24"/>
        </w:rPr>
        <w:t>FDA DOCUMENTATION FOR THE GENERIC CLEARANCE</w:t>
      </w:r>
    </w:p>
    <w:p w:rsidR="002A37F2" w:rsidRPr="002A37F2" w:rsidRDefault="002A37F2" w:rsidP="002A37F2">
      <w:pPr>
        <w:spacing w:line="240" w:lineRule="auto"/>
        <w:jc w:val="center"/>
        <w:rPr>
          <w:rFonts w:ascii="Times New Roman" w:eastAsia="Times New Roman" w:hAnsi="Times New Roman" w:cs="Times New Roman"/>
          <w:b/>
          <w:sz w:val="28"/>
          <w:szCs w:val="24"/>
        </w:rPr>
      </w:pPr>
      <w:r w:rsidRPr="002A37F2">
        <w:rPr>
          <w:rFonts w:ascii="Times New Roman" w:eastAsia="Times New Roman" w:hAnsi="Times New Roman" w:cs="Times New Roman"/>
          <w:b/>
          <w:sz w:val="28"/>
          <w:szCs w:val="24"/>
        </w:rPr>
        <w:t>OF PRETESTING COMMUNICATIONS ON TOBACCO PRODUCTS (0910-0674)</w:t>
      </w:r>
    </w:p>
    <w:p w:rsidR="00957513" w:rsidRDefault="00957513" w:rsidP="0089024B">
      <w:pPr>
        <w:pStyle w:val="Default"/>
        <w:jc w:val="center"/>
      </w:pPr>
      <w:r>
        <w:rPr>
          <w:noProof/>
        </w:rPr>
        <mc:AlternateContent>
          <mc:Choice Requires="wps">
            <w:drawing>
              <wp:anchor distT="0" distB="0" distL="114300" distR="114300" simplePos="0" relativeHeight="251659264" behindDoc="0" locked="0" layoutInCell="1" allowOverlap="1" wp14:anchorId="59EECFBD" wp14:editId="39A4663E">
                <wp:simplePos x="0" y="0"/>
                <wp:positionH relativeFrom="column">
                  <wp:posOffset>22302</wp:posOffset>
                </wp:positionH>
                <wp:positionV relativeFrom="paragraph">
                  <wp:posOffset>39835</wp:posOffset>
                </wp:positionV>
                <wp:extent cx="5831840" cy="0"/>
                <wp:effectExtent l="38100" t="38100" r="54610" b="95250"/>
                <wp:wrapNone/>
                <wp:docPr id="1" name="Straight Connector 1"/>
                <wp:cNvGraphicFramePr/>
                <a:graphic xmlns:a="http://schemas.openxmlformats.org/drawingml/2006/main">
                  <a:graphicData uri="http://schemas.microsoft.com/office/word/2010/wordprocessingShape">
                    <wps:wsp>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3.15pt" to="460.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" strokecolor="black [3200]" strokeweight="2pt">
                <v:shadow on="t" color="black" opacity="24903f" origin=",.5" offset="0,.55556mm"/>
              </v:line>
            </w:pict>
          </mc:Fallback>
        </mc:AlternateContent>
      </w:r>
    </w:p>
    <w:p w:rsidR="00957513" w:rsidRPr="00A0495E" w:rsidRDefault="00957513" w:rsidP="006D6D27">
      <w:pPr>
        <w:spacing w:line="240" w:lineRule="auto"/>
        <w:rPr>
          <w:rFonts w:ascii="Times New Roman" w:hAnsi="Times New Roman" w:cs="Times New Roman"/>
          <w:sz w:val="24"/>
          <w:szCs w:val="24"/>
        </w:rPr>
      </w:pPr>
      <w:proofErr w:type="gramStart"/>
      <w:r w:rsidRPr="00A0495E">
        <w:rPr>
          <w:rFonts w:ascii="Times New Roman" w:hAnsi="Times New Roman" w:cs="Times New Roman"/>
          <w:b/>
          <w:bCs/>
          <w:sz w:val="24"/>
          <w:szCs w:val="24"/>
        </w:rPr>
        <w:t xml:space="preserve">TITLE OF INFORMATION COLLECTION: </w:t>
      </w:r>
      <w:r w:rsidRPr="00A0495E">
        <w:rPr>
          <w:rFonts w:ascii="Times New Roman" w:hAnsi="Times New Roman" w:cs="Times New Roman"/>
          <w:sz w:val="24"/>
          <w:szCs w:val="24"/>
        </w:rPr>
        <w:t xml:space="preserve">Focus Group Study of </w:t>
      </w:r>
      <w:r w:rsidR="00FA66FC">
        <w:rPr>
          <w:rFonts w:ascii="Times New Roman" w:hAnsi="Times New Roman" w:cs="Times New Roman"/>
          <w:sz w:val="24"/>
          <w:szCs w:val="24"/>
        </w:rPr>
        <w:t>Youth</w:t>
      </w:r>
      <w:r w:rsidR="00FA66FC" w:rsidRPr="00A0495E">
        <w:rPr>
          <w:rFonts w:ascii="Times New Roman" w:hAnsi="Times New Roman" w:cs="Times New Roman"/>
          <w:sz w:val="24"/>
          <w:szCs w:val="24"/>
        </w:rPr>
        <w:t xml:space="preserve"> </w:t>
      </w:r>
      <w:r>
        <w:rPr>
          <w:rFonts w:ascii="Times New Roman" w:hAnsi="Times New Roman" w:cs="Times New Roman"/>
          <w:sz w:val="24"/>
          <w:szCs w:val="24"/>
        </w:rPr>
        <w:t xml:space="preserve">Reactions to Creative </w:t>
      </w:r>
      <w:r w:rsidR="00FA66FC">
        <w:rPr>
          <w:rFonts w:ascii="Times New Roman" w:hAnsi="Times New Roman" w:cs="Times New Roman"/>
          <w:sz w:val="24"/>
          <w:szCs w:val="24"/>
        </w:rPr>
        <w:t xml:space="preserve">Advertising </w:t>
      </w:r>
      <w:r>
        <w:rPr>
          <w:rFonts w:ascii="Times New Roman" w:hAnsi="Times New Roman" w:cs="Times New Roman"/>
          <w:sz w:val="24"/>
          <w:szCs w:val="24"/>
        </w:rPr>
        <w:t>Concepts</w:t>
      </w:r>
      <w:r w:rsidR="003D17BE">
        <w:rPr>
          <w:rFonts w:ascii="Times New Roman" w:hAnsi="Times New Roman" w:cs="Times New Roman"/>
          <w:sz w:val="24"/>
          <w:szCs w:val="24"/>
        </w:rPr>
        <w:t xml:space="preserve"> Designed to Reduce </w:t>
      </w:r>
      <w:r w:rsidR="00FA66FC">
        <w:rPr>
          <w:rFonts w:ascii="Times New Roman" w:hAnsi="Times New Roman" w:cs="Times New Roman"/>
          <w:sz w:val="24"/>
          <w:szCs w:val="24"/>
        </w:rPr>
        <w:t>Tobacco Use</w:t>
      </w:r>
      <w:r w:rsidRPr="00A0495E">
        <w:rPr>
          <w:rFonts w:ascii="Times New Roman" w:hAnsi="Times New Roman" w:cs="Times New Roman"/>
          <w:sz w:val="24"/>
          <w:szCs w:val="24"/>
        </w:rPr>
        <w:t xml:space="preserve">; </w:t>
      </w:r>
      <w:r w:rsidRPr="006D6D27">
        <w:rPr>
          <w:rFonts w:ascii="Times New Roman" w:hAnsi="Times New Roman" w:cs="Times New Roman"/>
          <w:sz w:val="24"/>
          <w:szCs w:val="24"/>
        </w:rPr>
        <w:t>OMB Control Number</w:t>
      </w:r>
      <w:r w:rsidR="00374D82" w:rsidRPr="000D5A74">
        <w:rPr>
          <w:rFonts w:ascii="Times New Roman" w:hAnsi="Times New Roman" w:cs="Times New Roman"/>
          <w:sz w:val="24"/>
          <w:szCs w:val="24"/>
        </w:rPr>
        <w:t xml:space="preserve"> </w:t>
      </w:r>
      <w:r w:rsidR="00374D82" w:rsidRPr="006D6D27">
        <w:rPr>
          <w:rFonts w:ascii="Times New Roman" w:hAnsi="Times New Roman" w:cs="Times New Roman"/>
          <w:color w:val="000000"/>
          <w:sz w:val="24"/>
          <w:szCs w:val="24"/>
        </w:rPr>
        <w:t>0910-</w:t>
      </w:r>
      <w:r w:rsidR="00A2694D">
        <w:rPr>
          <w:rFonts w:ascii="Times New Roman" w:hAnsi="Times New Roman" w:cs="Times New Roman"/>
          <w:color w:val="000000"/>
          <w:sz w:val="24"/>
          <w:szCs w:val="24"/>
        </w:rPr>
        <w:t>06</w:t>
      </w:r>
      <w:r w:rsidR="002A37F2">
        <w:rPr>
          <w:rFonts w:ascii="Times New Roman" w:hAnsi="Times New Roman" w:cs="Times New Roman"/>
          <w:color w:val="000000"/>
          <w:sz w:val="24"/>
          <w:szCs w:val="24"/>
        </w:rPr>
        <w:t>74</w:t>
      </w:r>
      <w:r w:rsidR="0089024B">
        <w:rPr>
          <w:rFonts w:ascii="Times New Roman" w:hAnsi="Times New Roman" w:cs="Times New Roman"/>
          <w:color w:val="000000"/>
          <w:sz w:val="24"/>
          <w:szCs w:val="24"/>
        </w:rPr>
        <w:t>.</w:t>
      </w:r>
      <w:proofErr w:type="gramEnd"/>
    </w:p>
    <w:p w:rsidR="00957513" w:rsidRPr="00A0495E" w:rsidRDefault="00957513" w:rsidP="0089024B">
      <w:pPr>
        <w:pStyle w:val="Default"/>
        <w:ind w:firstLine="720"/>
      </w:pPr>
    </w:p>
    <w:p w:rsidR="0048710E" w:rsidRDefault="00957513" w:rsidP="00BD2651">
      <w:pPr>
        <w:pStyle w:val="Default"/>
        <w:spacing w:after="240"/>
        <w:rPr>
          <w:b/>
          <w:bCs/>
        </w:rPr>
      </w:pPr>
      <w:r w:rsidRPr="00A0495E">
        <w:t xml:space="preserve"> </w:t>
      </w:r>
      <w:r w:rsidRPr="00A0495E">
        <w:rPr>
          <w:b/>
          <w:bCs/>
        </w:rPr>
        <w:t>DESCRIPTION OF THIS SPECIFIC COLLECTION</w:t>
      </w:r>
    </w:p>
    <w:p w:rsidR="00957513" w:rsidRPr="00A0495E" w:rsidRDefault="00957513" w:rsidP="00BD2651">
      <w:pPr>
        <w:pStyle w:val="Default"/>
        <w:numPr>
          <w:ilvl w:val="0"/>
          <w:numId w:val="2"/>
        </w:numPr>
        <w:ind w:left="360" w:right="-180"/>
      </w:pPr>
      <w:r w:rsidRPr="00A0495E">
        <w:rPr>
          <w:b/>
          <w:bCs/>
        </w:rPr>
        <w:t xml:space="preserve"> Statement of need: </w:t>
      </w:r>
    </w:p>
    <w:p w:rsidR="000A705F" w:rsidRPr="00A0495E" w:rsidRDefault="00957513" w:rsidP="00BD2651">
      <w:pPr>
        <w:pStyle w:val="Default"/>
        <w:ind w:left="360" w:right="-180"/>
      </w:pPr>
      <w:r w:rsidRPr="00A0495E">
        <w:t>The Food and Drug Administration</w:t>
      </w:r>
      <w:r w:rsidR="00374D82">
        <w:t>’s</w:t>
      </w:r>
      <w:r w:rsidRPr="00A0495E">
        <w:t xml:space="preserve"> (FDA) Center for Tobacco Products (CTP) is seeking OMB approval under </w:t>
      </w:r>
      <w:r w:rsidRPr="006D6D27">
        <w:t xml:space="preserve">generic clearance </w:t>
      </w:r>
      <w:r w:rsidR="00374D82" w:rsidRPr="00591525">
        <w:t>0910-</w:t>
      </w:r>
      <w:r w:rsidR="00A2694D">
        <w:t>06</w:t>
      </w:r>
      <w:r w:rsidR="002A37F2">
        <w:t>74</w:t>
      </w:r>
      <w:r w:rsidR="00A2694D" w:rsidRPr="00591525">
        <w:t xml:space="preserve"> </w:t>
      </w:r>
      <w:r w:rsidRPr="00A0495E">
        <w:t>to</w:t>
      </w:r>
      <w:r>
        <w:t xml:space="preserve"> conduct </w:t>
      </w:r>
      <w:r w:rsidRPr="00A0495E">
        <w:t>focus groups</w:t>
      </w:r>
      <w:r w:rsidR="00740DF6">
        <w:t xml:space="preserve"> with youth aged</w:t>
      </w:r>
      <w:r w:rsidR="0048710E">
        <w:t xml:space="preserve"> 12</w:t>
      </w:r>
      <w:r w:rsidR="0042099B">
        <w:t xml:space="preserve">–17 who have experimented with </w:t>
      </w:r>
      <w:r w:rsidR="004D6EF4">
        <w:t>cigarettes</w:t>
      </w:r>
      <w:r w:rsidR="0048710E">
        <w:t xml:space="preserve"> </w:t>
      </w:r>
      <w:r w:rsidR="008079B8">
        <w:t xml:space="preserve">(i.e., have smoked less than 100 cigarettes) </w:t>
      </w:r>
      <w:r w:rsidRPr="00A0495E">
        <w:t xml:space="preserve">to assess </w:t>
      </w:r>
      <w:r w:rsidR="0048710E">
        <w:t>their</w:t>
      </w:r>
      <w:r w:rsidR="0048710E" w:rsidRPr="00A0495E">
        <w:t xml:space="preserve"> </w:t>
      </w:r>
      <w:r w:rsidRPr="00A0495E">
        <w:t>perceptions about advertising</w:t>
      </w:r>
      <w:r w:rsidR="00A51189">
        <w:t xml:space="preserve"> concepts</w:t>
      </w:r>
      <w:r w:rsidR="00FA66FC">
        <w:t xml:space="preserve"> designed to reduce youth </w:t>
      </w:r>
      <w:r w:rsidR="0048710E">
        <w:t>tobacco use</w:t>
      </w:r>
      <w:r w:rsidRPr="00A0495E">
        <w:t xml:space="preserve">. </w:t>
      </w:r>
    </w:p>
    <w:p w:rsidR="00957513" w:rsidRPr="00A0495E" w:rsidRDefault="00957513" w:rsidP="00BD2651">
      <w:pPr>
        <w:pStyle w:val="Default"/>
        <w:ind w:right="-180"/>
      </w:pPr>
    </w:p>
    <w:p w:rsidR="00957513" w:rsidRPr="00A0495E" w:rsidRDefault="00957513" w:rsidP="00BD2651">
      <w:pPr>
        <w:pStyle w:val="Default"/>
        <w:numPr>
          <w:ilvl w:val="0"/>
          <w:numId w:val="2"/>
        </w:numPr>
        <w:ind w:left="360" w:right="-180"/>
      </w:pPr>
      <w:r w:rsidRPr="00A0495E">
        <w:rPr>
          <w:b/>
          <w:bCs/>
        </w:rPr>
        <w:t xml:space="preserve">Intended use of information: </w:t>
      </w:r>
    </w:p>
    <w:p w:rsidR="00957513" w:rsidRDefault="00957513" w:rsidP="00BD2651">
      <w:pPr>
        <w:pStyle w:val="Default"/>
        <w:ind w:left="360" w:right="-180"/>
      </w:pPr>
      <w:r w:rsidRPr="00A0495E">
        <w:t>T</w:t>
      </w:r>
      <w:r w:rsidR="002C3053">
        <w:t>he information will be used t</w:t>
      </w:r>
      <w:r w:rsidRPr="00A0495E">
        <w:t xml:space="preserve">o inform </w:t>
      </w:r>
      <w:r w:rsidR="0048710E">
        <w:t>CTP’s</w:t>
      </w:r>
      <w:r w:rsidRPr="00A0495E">
        <w:t xml:space="preserve"> efforts to implement </w:t>
      </w:r>
      <w:r w:rsidR="0048710E">
        <w:t>public</w:t>
      </w:r>
      <w:r w:rsidR="0048710E" w:rsidRPr="00A0495E">
        <w:t xml:space="preserve"> </w:t>
      </w:r>
      <w:r w:rsidRPr="00A0495E">
        <w:t xml:space="preserve">education </w:t>
      </w:r>
      <w:r w:rsidR="0048710E">
        <w:t>campaign</w:t>
      </w:r>
      <w:r w:rsidRPr="00A0495E">
        <w:t xml:space="preserve"> messaging related to </w:t>
      </w:r>
      <w:r w:rsidR="0048710E">
        <w:t>reducing tobacco use among</w:t>
      </w:r>
      <w:r w:rsidRPr="00A0495E">
        <w:t xml:space="preserve"> youth</w:t>
      </w:r>
      <w:r w:rsidR="002413C2">
        <w:t xml:space="preserve"> aged 12</w:t>
      </w:r>
      <w:r w:rsidR="002413C2" w:rsidRPr="0034611F">
        <w:t>–</w:t>
      </w:r>
      <w:r w:rsidR="0048710E">
        <w:t>17</w:t>
      </w:r>
      <w:r w:rsidR="0042099B">
        <w:t xml:space="preserve">, with a focus on those who have experimented with </w:t>
      </w:r>
      <w:r w:rsidR="0028495E">
        <w:t xml:space="preserve">non-menthol and/or menthol </w:t>
      </w:r>
      <w:r w:rsidR="00AA5C39">
        <w:t>cigarettes</w:t>
      </w:r>
      <w:r w:rsidRPr="00A0495E">
        <w:t xml:space="preserve">. </w:t>
      </w:r>
    </w:p>
    <w:p w:rsidR="006D6D27" w:rsidRDefault="006D6D27" w:rsidP="00BD2651">
      <w:pPr>
        <w:pStyle w:val="Default"/>
        <w:ind w:left="360" w:right="-180"/>
      </w:pPr>
    </w:p>
    <w:p w:rsidR="005960F7" w:rsidRDefault="006D6D27">
      <w:pPr>
        <w:pStyle w:val="Default"/>
        <w:ind w:left="360" w:right="-180"/>
      </w:pPr>
      <w:r w:rsidRPr="00A0495E">
        <w:t xml:space="preserve">This project </w:t>
      </w:r>
      <w:proofErr w:type="gramStart"/>
      <w:r w:rsidRPr="00A0495E">
        <w:t>is designed</w:t>
      </w:r>
      <w:proofErr w:type="gramEnd"/>
      <w:r w:rsidRPr="00A0495E">
        <w:t xml:space="preserve"> to </w:t>
      </w:r>
      <w:r>
        <w:t xml:space="preserve">evaluate emotional and cognitive reactions to </w:t>
      </w:r>
      <w:r w:rsidRPr="00A0495E">
        <w:t>cr</w:t>
      </w:r>
      <w:r>
        <w:t>eati</w:t>
      </w:r>
      <w:r w:rsidR="002413C2">
        <w:t>ve advertising concepts meant</w:t>
      </w:r>
      <w:r w:rsidRPr="00A0495E">
        <w:t xml:space="preserve"> to</w:t>
      </w:r>
      <w:r>
        <w:t xml:space="preserve"> </w:t>
      </w:r>
      <w:r w:rsidR="00BD0A5D">
        <w:t xml:space="preserve">reduce tobacco use in youth </w:t>
      </w:r>
      <w:r w:rsidR="0042099B">
        <w:t>experimenting</w:t>
      </w:r>
      <w:r w:rsidR="00BD0A5D">
        <w:t xml:space="preserve"> </w:t>
      </w:r>
      <w:r w:rsidR="00DA5BC5">
        <w:t xml:space="preserve">with </w:t>
      </w:r>
      <w:r w:rsidR="00AA5C39">
        <w:t>cigarette</w:t>
      </w:r>
      <w:r w:rsidR="00885F2F">
        <w:t>s</w:t>
      </w:r>
      <w:r w:rsidRPr="00A0495E">
        <w:t xml:space="preserve">. </w:t>
      </w:r>
      <w:r w:rsidR="0042099B">
        <w:t xml:space="preserve">The in-person focus groups will consist of exposing youth to up to five </w:t>
      </w:r>
      <w:r w:rsidR="0003100B">
        <w:t xml:space="preserve">(5) </w:t>
      </w:r>
      <w:r w:rsidR="004D6EF4">
        <w:t>TV advertisement concepts</w:t>
      </w:r>
      <w:r w:rsidR="0042099B">
        <w:t xml:space="preserve"> and four </w:t>
      </w:r>
      <w:r w:rsidR="0003100B">
        <w:t xml:space="preserve">(4) </w:t>
      </w:r>
      <w:r w:rsidR="00AA5C39">
        <w:t>concepts for a</w:t>
      </w:r>
      <w:r w:rsidR="00A2694D">
        <w:t xml:space="preserve"> </w:t>
      </w:r>
      <w:proofErr w:type="gramStart"/>
      <w:r w:rsidR="00A2694D">
        <w:t>youth</w:t>
      </w:r>
      <w:r w:rsidR="00AA5C39">
        <w:t xml:space="preserve"> tobacco use prevention brand</w:t>
      </w:r>
      <w:proofErr w:type="gramEnd"/>
      <w:r w:rsidR="00DA5BC5">
        <w:t xml:space="preserve"> and having them discuss their responses. A moderator will prompt youth </w:t>
      </w:r>
      <w:r w:rsidR="008079B8">
        <w:t xml:space="preserve">participants </w:t>
      </w:r>
      <w:r w:rsidR="00DA5BC5">
        <w:t>to answer questions regarding u</w:t>
      </w:r>
      <w:r w:rsidR="00F3435C">
        <w:t>nderstanding, relevance,</w:t>
      </w:r>
      <w:r w:rsidR="00A2694D">
        <w:t xml:space="preserve"> and</w:t>
      </w:r>
      <w:r w:rsidR="00F3435C">
        <w:t xml:space="preserve"> impact</w:t>
      </w:r>
      <w:r w:rsidR="00DA5BC5">
        <w:t xml:space="preserve"> </w:t>
      </w:r>
      <w:r w:rsidR="00F3435C">
        <w:t>of the shared concepts</w:t>
      </w:r>
      <w:r w:rsidR="00DA5BC5">
        <w:t>. The results</w:t>
      </w:r>
      <w:r>
        <w:t xml:space="preserve"> will </w:t>
      </w:r>
      <w:r w:rsidR="008079B8">
        <w:t>inform the refinement of the</w:t>
      </w:r>
      <w:r>
        <w:t xml:space="preserve"> creative concepts </w:t>
      </w:r>
      <w:r w:rsidR="008079B8">
        <w:t xml:space="preserve">and messages </w:t>
      </w:r>
      <w:r w:rsidR="00DA5BC5">
        <w:t>to guide the creation of advertisements</w:t>
      </w:r>
      <w:r>
        <w:t xml:space="preserve">. </w:t>
      </w:r>
    </w:p>
    <w:p w:rsidR="005960F7" w:rsidRDefault="005960F7" w:rsidP="00BD2651">
      <w:pPr>
        <w:pStyle w:val="Default"/>
        <w:ind w:left="360" w:right="-180"/>
      </w:pPr>
    </w:p>
    <w:p w:rsidR="006D6D27" w:rsidRPr="00A0495E" w:rsidRDefault="002C4956" w:rsidP="00BD2651">
      <w:pPr>
        <w:pStyle w:val="Default"/>
        <w:ind w:left="360" w:right="-180"/>
      </w:pPr>
      <w:r>
        <w:t xml:space="preserve">The study will also assess potential differences between those youth who are menthol users and those who are </w:t>
      </w:r>
      <w:r w:rsidR="005960F7">
        <w:t>non-</w:t>
      </w:r>
      <w:r>
        <w:t>menthol users</w:t>
      </w:r>
      <w:r w:rsidR="00F3435C">
        <w:t>.</w:t>
      </w:r>
    </w:p>
    <w:p w:rsidR="00957513" w:rsidRPr="00A0495E" w:rsidRDefault="00957513" w:rsidP="00BD2651">
      <w:pPr>
        <w:pStyle w:val="Default"/>
        <w:ind w:right="-180"/>
      </w:pPr>
    </w:p>
    <w:p w:rsidR="00957513" w:rsidRPr="00A0495E" w:rsidRDefault="00957513" w:rsidP="00BD2651">
      <w:pPr>
        <w:pStyle w:val="Default"/>
        <w:numPr>
          <w:ilvl w:val="0"/>
          <w:numId w:val="2"/>
        </w:numPr>
        <w:ind w:left="360" w:right="-180"/>
      </w:pPr>
      <w:r w:rsidRPr="00A0495E">
        <w:rPr>
          <w:b/>
          <w:bCs/>
        </w:rPr>
        <w:t xml:space="preserve">Description of respondents: </w:t>
      </w:r>
    </w:p>
    <w:p w:rsidR="00957513" w:rsidRDefault="00957513" w:rsidP="00BD2651">
      <w:pPr>
        <w:pStyle w:val="Default"/>
        <w:ind w:left="360" w:right="-180"/>
      </w:pPr>
      <w:r w:rsidRPr="00A0495E">
        <w:t xml:space="preserve">The study will consist of </w:t>
      </w:r>
      <w:r w:rsidR="00DB4229">
        <w:t>twelve</w:t>
      </w:r>
      <w:r w:rsidRPr="00A0495E">
        <w:t xml:space="preserve"> </w:t>
      </w:r>
      <w:r w:rsidR="00CB0277">
        <w:t>(</w:t>
      </w:r>
      <w:r w:rsidR="00DB4229">
        <w:t>12</w:t>
      </w:r>
      <w:r w:rsidR="00CB0277">
        <w:t xml:space="preserve">) </w:t>
      </w:r>
      <w:r w:rsidRPr="00A0495E">
        <w:t>focus groups</w:t>
      </w:r>
      <w:r w:rsidR="005960F7">
        <w:t>,</w:t>
      </w:r>
      <w:r w:rsidRPr="00A0495E">
        <w:t xml:space="preserve"> </w:t>
      </w:r>
      <w:r w:rsidR="007849C9">
        <w:t xml:space="preserve">each </w:t>
      </w:r>
      <w:r w:rsidRPr="00A0495E">
        <w:t>with</w:t>
      </w:r>
      <w:r w:rsidR="002413C2">
        <w:t xml:space="preserve"> approximately </w:t>
      </w:r>
      <w:r w:rsidR="00DB4229">
        <w:t>six</w:t>
      </w:r>
      <w:r w:rsidRPr="00A0495E">
        <w:t xml:space="preserve"> </w:t>
      </w:r>
      <w:r w:rsidR="005960F7">
        <w:t xml:space="preserve">(6) </w:t>
      </w:r>
      <w:r w:rsidR="00CB0277">
        <w:t>youth aged</w:t>
      </w:r>
      <w:r w:rsidR="002413C2">
        <w:t xml:space="preserve"> 12</w:t>
      </w:r>
      <w:r w:rsidR="002413C2" w:rsidRPr="0034611F">
        <w:t>–</w:t>
      </w:r>
      <w:r w:rsidR="00F37A21">
        <w:t xml:space="preserve">17 who are self-reported </w:t>
      </w:r>
      <w:r w:rsidR="00530034">
        <w:t>experiment</w:t>
      </w:r>
      <w:r w:rsidR="005960F7">
        <w:t>e</w:t>
      </w:r>
      <w:r w:rsidR="00A2694D">
        <w:t>rs</w:t>
      </w:r>
      <w:r w:rsidR="00E54F6D">
        <w:t xml:space="preserve"> </w:t>
      </w:r>
      <w:r w:rsidR="005960F7">
        <w:t>(</w:t>
      </w:r>
      <w:r w:rsidR="00A2694D">
        <w:t xml:space="preserve">i.e., have reported </w:t>
      </w:r>
      <w:r w:rsidR="00EA0EEB">
        <w:t xml:space="preserve">smoking </w:t>
      </w:r>
      <w:r w:rsidR="00A2694D">
        <w:t>between 1 and</w:t>
      </w:r>
      <w:r w:rsidR="005960F7">
        <w:t xml:space="preserve"> 100 cigarettes total)</w:t>
      </w:r>
      <w:r>
        <w:t xml:space="preserve">. </w:t>
      </w:r>
      <w:r w:rsidR="00F37A21">
        <w:t xml:space="preserve">Groups </w:t>
      </w:r>
      <w:proofErr w:type="gramStart"/>
      <w:r w:rsidR="00F37A21">
        <w:t>will be segmented</w:t>
      </w:r>
      <w:proofErr w:type="gramEnd"/>
      <w:r w:rsidR="00F37A21">
        <w:t xml:space="preserve"> by </w:t>
      </w:r>
      <w:r w:rsidR="00663C64">
        <w:t>grade, gender</w:t>
      </w:r>
      <w:r w:rsidR="005960F7">
        <w:t xml:space="preserve"> and </w:t>
      </w:r>
      <w:r w:rsidR="00F37A21">
        <w:t>self-reported menthol preference (i.e., menthol users vs. non-menthol users)</w:t>
      </w:r>
      <w:r w:rsidR="00663C64">
        <w:t>. This</w:t>
      </w:r>
      <w:r w:rsidR="005960F7">
        <w:t xml:space="preserve"> </w:t>
      </w:r>
      <w:r w:rsidR="000606B8">
        <w:t xml:space="preserve">information </w:t>
      </w:r>
      <w:proofErr w:type="gramStart"/>
      <w:r w:rsidR="00663C64">
        <w:t xml:space="preserve">will be </w:t>
      </w:r>
      <w:r w:rsidR="000606B8">
        <w:t>gathered</w:t>
      </w:r>
      <w:proofErr w:type="gramEnd"/>
      <w:r w:rsidR="000606B8">
        <w:t xml:space="preserve"> during the screening process</w:t>
      </w:r>
      <w:r w:rsidR="00F37A21">
        <w:t>.</w:t>
      </w:r>
      <w:r w:rsidR="005960F7">
        <w:t xml:space="preserve"> </w:t>
      </w:r>
      <w:r w:rsidR="004D6EF4">
        <w:t>Two (2)</w:t>
      </w:r>
      <w:r w:rsidR="005960F7">
        <w:t xml:space="preserve"> groups will include only </w:t>
      </w:r>
      <w:r w:rsidR="0052143D">
        <w:t xml:space="preserve">youth </w:t>
      </w:r>
      <w:r w:rsidR="00A2694D">
        <w:t xml:space="preserve">aged 15-17 </w:t>
      </w:r>
      <w:r w:rsidR="0052143D">
        <w:t>who prefer menthol</w:t>
      </w:r>
      <w:r w:rsidR="004D6EF4">
        <w:t xml:space="preserve"> (1 male group and 1 female group)</w:t>
      </w:r>
      <w:r w:rsidR="0052143D">
        <w:t xml:space="preserve">. The other </w:t>
      </w:r>
      <w:r w:rsidR="004D6EF4">
        <w:t>ten (10)</w:t>
      </w:r>
      <w:r w:rsidR="00AE7C20">
        <w:t xml:space="preserve"> groups will be</w:t>
      </w:r>
      <w:r w:rsidR="004D6EF4">
        <w:t xml:space="preserve"> split by gender </w:t>
      </w:r>
      <w:r w:rsidR="00A2694D">
        <w:t>and age</w:t>
      </w:r>
      <w:r w:rsidR="004D6EF4">
        <w:t xml:space="preserve"> and</w:t>
      </w:r>
      <w:r w:rsidR="00F37A21">
        <w:t xml:space="preserve"> </w:t>
      </w:r>
      <w:r w:rsidR="009A7C91">
        <w:t>include</w:t>
      </w:r>
      <w:r w:rsidR="0052143D">
        <w:t xml:space="preserve"> both non-menthol and </w:t>
      </w:r>
      <w:r w:rsidR="004A2DC6">
        <w:t xml:space="preserve">menthol </w:t>
      </w:r>
      <w:r w:rsidR="004D3D53">
        <w:t>users</w:t>
      </w:r>
      <w:r w:rsidR="009A7C91">
        <w:t xml:space="preserve"> (see table for breakdown)</w:t>
      </w:r>
      <w:r w:rsidR="0052143D">
        <w:t>.</w:t>
      </w:r>
      <w:r w:rsidR="002A09C5">
        <w:t xml:space="preserve"> G</w:t>
      </w:r>
      <w:r w:rsidR="002C3053">
        <w:t xml:space="preserve">roups </w:t>
      </w:r>
      <w:r w:rsidR="00F37A21">
        <w:t xml:space="preserve">will be </w:t>
      </w:r>
      <w:r w:rsidR="002C3053">
        <w:t xml:space="preserve">diverse by </w:t>
      </w:r>
      <w:r w:rsidRPr="00A0495E">
        <w:t>race</w:t>
      </w:r>
      <w:r w:rsidR="0052143D">
        <w:t xml:space="preserve">/ethnicity. </w:t>
      </w:r>
      <w:r w:rsidRPr="00A0495E">
        <w:t>For each group</w:t>
      </w:r>
      <w:r w:rsidR="002C3053">
        <w:t>,</w:t>
      </w:r>
      <w:r w:rsidRPr="00A0495E">
        <w:t xml:space="preserve"> </w:t>
      </w:r>
      <w:r w:rsidR="002C4956">
        <w:t>eight (</w:t>
      </w:r>
      <w:r w:rsidR="00AE7C20">
        <w:t>8</w:t>
      </w:r>
      <w:r w:rsidR="002C4956">
        <w:t>)</w:t>
      </w:r>
      <w:r w:rsidRPr="00A0495E">
        <w:t xml:space="preserve"> </w:t>
      </w:r>
      <w:r w:rsidR="002C3053">
        <w:t>youth</w:t>
      </w:r>
      <w:r w:rsidR="002C3053" w:rsidRPr="00A0495E">
        <w:t xml:space="preserve"> </w:t>
      </w:r>
      <w:proofErr w:type="gramStart"/>
      <w:r w:rsidRPr="00A0495E">
        <w:t>will be recruited</w:t>
      </w:r>
      <w:proofErr w:type="gramEnd"/>
      <w:r w:rsidRPr="00A0495E">
        <w:t xml:space="preserve"> </w:t>
      </w:r>
      <w:r w:rsidR="0052143D">
        <w:t xml:space="preserve">in order </w:t>
      </w:r>
      <w:r w:rsidR="002C3053">
        <w:t>to obtain the</w:t>
      </w:r>
      <w:r w:rsidRPr="00A0495E">
        <w:t xml:space="preserve"> desired </w:t>
      </w:r>
      <w:r w:rsidR="002C3053">
        <w:t>number of</w:t>
      </w:r>
      <w:r w:rsidRPr="00A0495E">
        <w:t xml:space="preserve"> participants.</w:t>
      </w:r>
      <w:r w:rsidR="008228B7">
        <w:t xml:space="preserve"> </w:t>
      </w:r>
    </w:p>
    <w:p w:rsidR="000C5E98" w:rsidRDefault="000C5E98" w:rsidP="00BD2651">
      <w:pPr>
        <w:pStyle w:val="Default"/>
        <w:ind w:left="360" w:right="-180"/>
      </w:pPr>
    </w:p>
    <w:p w:rsidR="000D31FC" w:rsidRDefault="000D31FC">
      <w:pPr>
        <w:rPr>
          <w:rFonts w:ascii="Times New Roman" w:hAnsi="Times New Roman" w:cs="Times New Roman"/>
          <w:color w:val="000000"/>
          <w:sz w:val="24"/>
          <w:szCs w:val="24"/>
        </w:rPr>
      </w:pPr>
      <w:r>
        <w:br w:type="page"/>
      </w:r>
    </w:p>
    <w:p w:rsidR="000C5E98" w:rsidRDefault="000C5E98" w:rsidP="00BD2651">
      <w:pPr>
        <w:pStyle w:val="Default"/>
        <w:ind w:left="360" w:right="-180"/>
      </w:pPr>
    </w:p>
    <w:tbl>
      <w:tblPr>
        <w:tblStyle w:val="TableGrid"/>
        <w:tblW w:w="0" w:type="auto"/>
        <w:tblInd w:w="360" w:type="dxa"/>
        <w:tblLook w:val="04A0" w:firstRow="1" w:lastRow="0" w:firstColumn="1" w:lastColumn="0" w:noHBand="0" w:noVBand="1"/>
      </w:tblPr>
      <w:tblGrid>
        <w:gridCol w:w="4788"/>
        <w:gridCol w:w="2160"/>
        <w:gridCol w:w="2268"/>
      </w:tblGrid>
      <w:tr w:rsidR="009A7C91" w:rsidTr="00880788">
        <w:tc>
          <w:tcPr>
            <w:tcW w:w="9216" w:type="dxa"/>
            <w:gridSpan w:val="3"/>
          </w:tcPr>
          <w:p w:rsidR="009A7C91" w:rsidRDefault="009A7C91" w:rsidP="00880788">
            <w:pPr>
              <w:pStyle w:val="Default"/>
              <w:ind w:right="-180"/>
              <w:jc w:val="center"/>
            </w:pPr>
            <w:r>
              <w:t>Summary of Group Distribution</w:t>
            </w:r>
          </w:p>
        </w:tc>
      </w:tr>
      <w:tr w:rsidR="009A7C91" w:rsidTr="00880788">
        <w:tc>
          <w:tcPr>
            <w:tcW w:w="4788" w:type="dxa"/>
          </w:tcPr>
          <w:p w:rsidR="009A7C91" w:rsidRDefault="009A7C91" w:rsidP="00880788">
            <w:pPr>
              <w:pStyle w:val="Default"/>
              <w:ind w:right="-180"/>
            </w:pPr>
          </w:p>
        </w:tc>
        <w:tc>
          <w:tcPr>
            <w:tcW w:w="2160" w:type="dxa"/>
          </w:tcPr>
          <w:p w:rsidR="009A7C91" w:rsidRDefault="009A7C91" w:rsidP="00880788">
            <w:pPr>
              <w:pStyle w:val="Default"/>
              <w:ind w:right="-180"/>
              <w:jc w:val="center"/>
            </w:pPr>
            <w:r>
              <w:t>Male</w:t>
            </w:r>
          </w:p>
        </w:tc>
        <w:tc>
          <w:tcPr>
            <w:tcW w:w="2268" w:type="dxa"/>
          </w:tcPr>
          <w:p w:rsidR="009A7C91" w:rsidRDefault="009A7C91" w:rsidP="00880788">
            <w:pPr>
              <w:pStyle w:val="Default"/>
              <w:ind w:right="-180"/>
              <w:jc w:val="center"/>
            </w:pPr>
            <w:r>
              <w:t>Female</w:t>
            </w:r>
          </w:p>
        </w:tc>
      </w:tr>
      <w:tr w:rsidR="009A7C91" w:rsidTr="00880788">
        <w:tc>
          <w:tcPr>
            <w:tcW w:w="4788" w:type="dxa"/>
          </w:tcPr>
          <w:p w:rsidR="009A7C91" w:rsidRDefault="009A7C91" w:rsidP="009A7C91">
            <w:pPr>
              <w:pStyle w:val="Default"/>
              <w:ind w:right="-180"/>
            </w:pPr>
            <w:r>
              <w:t xml:space="preserve">15-17 year old Experimenters: Menthol-only </w:t>
            </w:r>
          </w:p>
          <w:p w:rsidR="0028495E" w:rsidRDefault="0028495E" w:rsidP="009A7C91">
            <w:pPr>
              <w:pStyle w:val="Default"/>
              <w:ind w:right="-180"/>
            </w:pPr>
          </w:p>
        </w:tc>
        <w:tc>
          <w:tcPr>
            <w:tcW w:w="2160" w:type="dxa"/>
          </w:tcPr>
          <w:p w:rsidR="009A7C91" w:rsidRDefault="009A7C91" w:rsidP="00880788">
            <w:pPr>
              <w:pStyle w:val="Default"/>
              <w:ind w:right="-180"/>
              <w:jc w:val="center"/>
            </w:pPr>
            <w:r>
              <w:t>1 group</w:t>
            </w:r>
          </w:p>
        </w:tc>
        <w:tc>
          <w:tcPr>
            <w:tcW w:w="2268" w:type="dxa"/>
          </w:tcPr>
          <w:p w:rsidR="009A7C91" w:rsidRDefault="009A7C91" w:rsidP="00880788">
            <w:pPr>
              <w:pStyle w:val="Default"/>
              <w:ind w:right="-180"/>
              <w:jc w:val="center"/>
            </w:pPr>
            <w:r>
              <w:t>1 group</w:t>
            </w:r>
          </w:p>
        </w:tc>
      </w:tr>
      <w:tr w:rsidR="009A7C91" w:rsidTr="00880788">
        <w:tc>
          <w:tcPr>
            <w:tcW w:w="4788" w:type="dxa"/>
          </w:tcPr>
          <w:p w:rsidR="009A7C91" w:rsidRDefault="009A7C91" w:rsidP="0028495E">
            <w:pPr>
              <w:pStyle w:val="Default"/>
              <w:ind w:right="-180"/>
            </w:pPr>
            <w:r>
              <w:t xml:space="preserve">15-17 year old Experimenters: </w:t>
            </w:r>
            <w:r w:rsidR="0028495E">
              <w:t>Non-menthol &amp; Menthol</w:t>
            </w:r>
            <w:r>
              <w:t xml:space="preserve"> </w:t>
            </w:r>
          </w:p>
        </w:tc>
        <w:tc>
          <w:tcPr>
            <w:tcW w:w="2160" w:type="dxa"/>
          </w:tcPr>
          <w:p w:rsidR="009A7C91" w:rsidRDefault="009A7C91" w:rsidP="009A7C91">
            <w:pPr>
              <w:pStyle w:val="Default"/>
              <w:ind w:right="-180"/>
              <w:jc w:val="center"/>
            </w:pPr>
            <w:r>
              <w:t>2 groups</w:t>
            </w:r>
          </w:p>
        </w:tc>
        <w:tc>
          <w:tcPr>
            <w:tcW w:w="2268" w:type="dxa"/>
          </w:tcPr>
          <w:p w:rsidR="009A7C91" w:rsidRDefault="009A7C91" w:rsidP="009A7C91">
            <w:pPr>
              <w:pStyle w:val="Default"/>
              <w:ind w:right="-180"/>
              <w:jc w:val="center"/>
            </w:pPr>
            <w:r>
              <w:t>2 groups</w:t>
            </w:r>
          </w:p>
        </w:tc>
      </w:tr>
      <w:tr w:rsidR="009A7C91" w:rsidTr="00880788">
        <w:tc>
          <w:tcPr>
            <w:tcW w:w="4788" w:type="dxa"/>
          </w:tcPr>
          <w:p w:rsidR="009A7C91" w:rsidRDefault="009A7C91" w:rsidP="00880788">
            <w:pPr>
              <w:pStyle w:val="Default"/>
              <w:ind w:right="-180"/>
            </w:pPr>
            <w:r>
              <w:t xml:space="preserve">12-14 year old Experimenters: </w:t>
            </w:r>
            <w:r w:rsidR="0028495E">
              <w:t>Non-menthol &amp; Menthol</w:t>
            </w:r>
          </w:p>
        </w:tc>
        <w:tc>
          <w:tcPr>
            <w:tcW w:w="2160" w:type="dxa"/>
          </w:tcPr>
          <w:p w:rsidR="009A7C91" w:rsidRDefault="009A7C91" w:rsidP="00880788">
            <w:pPr>
              <w:pStyle w:val="Default"/>
              <w:ind w:right="-180"/>
              <w:jc w:val="center"/>
            </w:pPr>
            <w:r>
              <w:t>3 groups</w:t>
            </w:r>
          </w:p>
        </w:tc>
        <w:tc>
          <w:tcPr>
            <w:tcW w:w="2268" w:type="dxa"/>
          </w:tcPr>
          <w:p w:rsidR="009A7C91" w:rsidRDefault="009A7C91" w:rsidP="00880788">
            <w:pPr>
              <w:pStyle w:val="Default"/>
              <w:ind w:right="-180"/>
              <w:jc w:val="center"/>
            </w:pPr>
            <w:r>
              <w:t>3 groups</w:t>
            </w:r>
          </w:p>
        </w:tc>
      </w:tr>
      <w:tr w:rsidR="009A7C91" w:rsidTr="00880788">
        <w:tc>
          <w:tcPr>
            <w:tcW w:w="4788" w:type="dxa"/>
          </w:tcPr>
          <w:p w:rsidR="009A7C91" w:rsidRPr="00D6715D" w:rsidRDefault="009A7C91" w:rsidP="00880788">
            <w:pPr>
              <w:pStyle w:val="Default"/>
              <w:ind w:right="-180"/>
              <w:rPr>
                <w:b/>
              </w:rPr>
            </w:pPr>
            <w:r w:rsidRPr="00D6715D">
              <w:rPr>
                <w:b/>
              </w:rPr>
              <w:t>TOTAL</w:t>
            </w:r>
          </w:p>
        </w:tc>
        <w:tc>
          <w:tcPr>
            <w:tcW w:w="2160" w:type="dxa"/>
          </w:tcPr>
          <w:p w:rsidR="009A7C91" w:rsidRPr="00D6715D" w:rsidRDefault="009A7C91" w:rsidP="00880788">
            <w:pPr>
              <w:pStyle w:val="Default"/>
              <w:ind w:right="-180"/>
              <w:jc w:val="center"/>
              <w:rPr>
                <w:b/>
              </w:rPr>
            </w:pPr>
            <w:r w:rsidRPr="00D6715D">
              <w:rPr>
                <w:b/>
              </w:rPr>
              <w:t>6 groups</w:t>
            </w:r>
          </w:p>
        </w:tc>
        <w:tc>
          <w:tcPr>
            <w:tcW w:w="2268" w:type="dxa"/>
          </w:tcPr>
          <w:p w:rsidR="009A7C91" w:rsidRPr="00D6715D" w:rsidRDefault="009A7C91" w:rsidP="00880788">
            <w:pPr>
              <w:pStyle w:val="Default"/>
              <w:ind w:right="-180"/>
              <w:jc w:val="center"/>
              <w:rPr>
                <w:b/>
              </w:rPr>
            </w:pPr>
            <w:r w:rsidRPr="00D6715D">
              <w:rPr>
                <w:b/>
              </w:rPr>
              <w:t>6 groups</w:t>
            </w:r>
          </w:p>
        </w:tc>
      </w:tr>
    </w:tbl>
    <w:p w:rsidR="002B6165" w:rsidRPr="00A0495E" w:rsidRDefault="002B6165" w:rsidP="00BD2651">
      <w:pPr>
        <w:autoSpaceDE w:val="0"/>
        <w:autoSpaceDN w:val="0"/>
        <w:adjustRightInd w:val="0"/>
        <w:spacing w:line="240" w:lineRule="auto"/>
        <w:ind w:right="-180"/>
        <w:rPr>
          <w:rFonts w:ascii="Times New Roman" w:hAnsi="Times New Roman" w:cs="Times New Roman"/>
          <w:color w:val="000000"/>
          <w:sz w:val="24"/>
          <w:szCs w:val="24"/>
        </w:rPr>
      </w:pPr>
    </w:p>
    <w:p w:rsidR="00957513" w:rsidRPr="00A0495E" w:rsidRDefault="002B6165"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Pr>
          <w:rFonts w:ascii="Times New Roman" w:hAnsi="Times New Roman" w:cs="Times New Roman"/>
          <w:b/>
          <w:bCs/>
          <w:color w:val="000000"/>
          <w:sz w:val="24"/>
          <w:szCs w:val="24"/>
        </w:rPr>
        <w:t>Date(s) t</w:t>
      </w:r>
      <w:r w:rsidR="00957513" w:rsidRPr="00A0495E">
        <w:rPr>
          <w:rFonts w:ascii="Times New Roman" w:hAnsi="Times New Roman" w:cs="Times New Roman"/>
          <w:b/>
          <w:bCs/>
          <w:color w:val="000000"/>
          <w:sz w:val="24"/>
          <w:szCs w:val="24"/>
        </w:rPr>
        <w:t xml:space="preserve">o be conducted and location(s): </w:t>
      </w:r>
    </w:p>
    <w:p w:rsidR="00957513" w:rsidRPr="00A0495E" w:rsidRDefault="00957513" w:rsidP="00BD2651">
      <w:pPr>
        <w:pStyle w:val="Default"/>
        <w:ind w:left="360" w:right="-180"/>
      </w:pPr>
      <w:r w:rsidRPr="00A0495E">
        <w:t xml:space="preserve">The focus </w:t>
      </w:r>
      <w:r w:rsidR="007068C6">
        <w:t xml:space="preserve">groups </w:t>
      </w:r>
      <w:r w:rsidR="007068C6" w:rsidRPr="00A0495E">
        <w:t>will</w:t>
      </w:r>
      <w:r w:rsidRPr="00A0495E">
        <w:t xml:space="preserve"> begin </w:t>
      </w:r>
      <w:r w:rsidR="003C5BA6">
        <w:t>o</w:t>
      </w:r>
      <w:r w:rsidRPr="00A0495E">
        <w:t xml:space="preserve">n </w:t>
      </w:r>
      <w:r w:rsidR="00530A93">
        <w:t>July 29</w:t>
      </w:r>
      <w:r w:rsidR="002A09C5">
        <w:t xml:space="preserve">, </w:t>
      </w:r>
      <w:r w:rsidR="008279EF">
        <w:t xml:space="preserve">2013 </w:t>
      </w:r>
      <w:r w:rsidRPr="00A0495E">
        <w:t>and</w:t>
      </w:r>
      <w:r w:rsidR="002B6165">
        <w:t xml:space="preserve"> </w:t>
      </w:r>
      <w:proofErr w:type="gramStart"/>
      <w:r w:rsidR="002B6165">
        <w:t>will</w:t>
      </w:r>
      <w:r w:rsidRPr="00A0495E">
        <w:t xml:space="preserve"> be completed</w:t>
      </w:r>
      <w:proofErr w:type="gramEnd"/>
      <w:r w:rsidRPr="00A0495E">
        <w:t xml:space="preserve"> by </w:t>
      </w:r>
      <w:r w:rsidR="002A09C5">
        <w:t xml:space="preserve">August </w:t>
      </w:r>
      <w:r w:rsidR="00885F2F">
        <w:t>6</w:t>
      </w:r>
      <w:r w:rsidR="002A09C5">
        <w:t xml:space="preserve">, </w:t>
      </w:r>
      <w:r w:rsidR="008279EF">
        <w:t>2013</w:t>
      </w:r>
      <w:r w:rsidR="00AF17D7">
        <w:t>.</w:t>
      </w:r>
      <w:r w:rsidR="00C247E9">
        <w:rPr>
          <w:rStyle w:val="FootnoteReference"/>
        </w:rPr>
        <w:footnoteReference w:id="1"/>
      </w:r>
      <w:r w:rsidRPr="00A0495E">
        <w:t xml:space="preserve"> The focus groups </w:t>
      </w:r>
      <w:proofErr w:type="gramStart"/>
      <w:r w:rsidRPr="00A0495E">
        <w:t>will be conducted</w:t>
      </w:r>
      <w:proofErr w:type="gramEnd"/>
      <w:r>
        <w:t xml:space="preserve"> in </w:t>
      </w:r>
      <w:r w:rsidR="00EA0EEB">
        <w:t xml:space="preserve">research </w:t>
      </w:r>
      <w:r>
        <w:t>facilities located</w:t>
      </w:r>
      <w:r w:rsidR="000C5E98">
        <w:t xml:space="preserve"> </w:t>
      </w:r>
      <w:r w:rsidR="004D6EF4">
        <w:t>in Morristown, NJ, Knoxville, TN</w:t>
      </w:r>
      <w:r w:rsidR="00885F2F">
        <w:t>,</w:t>
      </w:r>
      <w:r w:rsidR="004D6EF4">
        <w:t xml:space="preserve"> and Milwaukee, WI</w:t>
      </w:r>
      <w:r>
        <w:t>.</w:t>
      </w:r>
      <w:r w:rsidR="00BB25CB">
        <w:t xml:space="preserve"> </w:t>
      </w:r>
      <w:r w:rsidR="004D6EF4">
        <w:t xml:space="preserve">These markets were selected </w:t>
      </w:r>
      <w:r w:rsidR="005F35E8">
        <w:t>for the</w:t>
      </w:r>
      <w:r w:rsidR="00885F2F">
        <w:t>ir</w:t>
      </w:r>
      <w:r w:rsidR="005F35E8">
        <w:t xml:space="preserve"> </w:t>
      </w:r>
      <w:r w:rsidR="004D6EF4">
        <w:t xml:space="preserve">reported </w:t>
      </w:r>
      <w:r w:rsidR="00EA0EEB">
        <w:t xml:space="preserve">higher prevalence of </w:t>
      </w:r>
      <w:r w:rsidR="004D6EF4">
        <w:t>y</w:t>
      </w:r>
      <w:r w:rsidR="005F35E8">
        <w:t xml:space="preserve">outh cigarette smoking, our research partner’s </w:t>
      </w:r>
      <w:r w:rsidR="00885F2F">
        <w:t>past success</w:t>
      </w:r>
      <w:r w:rsidR="005F35E8">
        <w:t xml:space="preserve"> with local recruitment and research facilities, and the absence of recent FDA </w:t>
      </w:r>
      <w:r w:rsidR="0028495E">
        <w:t xml:space="preserve">youth tobacco use </w:t>
      </w:r>
      <w:r w:rsidR="005F35E8">
        <w:t>research in the</w:t>
      </w:r>
      <w:r w:rsidR="0028495E">
        <w:t>se</w:t>
      </w:r>
      <w:r w:rsidR="005F35E8">
        <w:t xml:space="preserve"> area</w:t>
      </w:r>
      <w:r w:rsidR="0028495E">
        <w:t>s</w:t>
      </w:r>
      <w:r w:rsidR="005F35E8">
        <w:t>.</w:t>
      </w:r>
    </w:p>
    <w:p w:rsidR="00957513" w:rsidRPr="00A0495E" w:rsidRDefault="00957513" w:rsidP="00BD2651">
      <w:pPr>
        <w:autoSpaceDE w:val="0"/>
        <w:autoSpaceDN w:val="0"/>
        <w:adjustRightInd w:val="0"/>
        <w:spacing w:line="240" w:lineRule="auto"/>
        <w:ind w:right="-180"/>
        <w:rPr>
          <w:rFonts w:ascii="Times New Roman" w:hAnsi="Times New Roman" w:cs="Times New Roman"/>
          <w:color w:val="000000"/>
          <w:sz w:val="24"/>
          <w:szCs w:val="24"/>
        </w:rPr>
      </w:pPr>
    </w:p>
    <w:p w:rsidR="00957513" w:rsidRPr="00A0495E" w:rsidRDefault="00957513"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b/>
          <w:bCs/>
          <w:color w:val="000000"/>
          <w:sz w:val="24"/>
          <w:szCs w:val="24"/>
        </w:rPr>
        <w:t xml:space="preserve">How the </w:t>
      </w:r>
      <w:r w:rsidR="003766CC">
        <w:rPr>
          <w:rFonts w:ascii="Times New Roman" w:hAnsi="Times New Roman" w:cs="Times New Roman"/>
          <w:b/>
          <w:bCs/>
          <w:color w:val="000000"/>
          <w:sz w:val="24"/>
          <w:szCs w:val="24"/>
        </w:rPr>
        <w:t>i</w:t>
      </w:r>
      <w:r w:rsidRPr="00A0495E">
        <w:rPr>
          <w:rFonts w:ascii="Times New Roman" w:hAnsi="Times New Roman" w:cs="Times New Roman"/>
          <w:b/>
          <w:bCs/>
          <w:color w:val="000000"/>
          <w:sz w:val="24"/>
          <w:szCs w:val="24"/>
        </w:rPr>
        <w:t xml:space="preserve">nformation is being collected: </w:t>
      </w:r>
    </w:p>
    <w:p w:rsidR="00957513" w:rsidRDefault="00C7271C" w:rsidP="00BD2651">
      <w:pPr>
        <w:autoSpaceDE w:val="0"/>
        <w:autoSpaceDN w:val="0"/>
        <w:adjustRightInd w:val="0"/>
        <w:spacing w:line="240" w:lineRule="auto"/>
        <w:ind w:left="360" w:right="-180"/>
        <w:rPr>
          <w:rFonts w:ascii="Times New Roman" w:hAnsi="Times New Roman" w:cs="Times New Roman"/>
          <w:color w:val="000000"/>
          <w:sz w:val="24"/>
          <w:szCs w:val="24"/>
        </w:rPr>
      </w:pPr>
      <w:r>
        <w:rPr>
          <w:rFonts w:ascii="Times New Roman" w:hAnsi="Times New Roman" w:cs="Times New Roman"/>
          <w:color w:val="000000"/>
          <w:sz w:val="24"/>
          <w:szCs w:val="24"/>
        </w:rPr>
        <w:t>A professional moderator</w:t>
      </w:r>
      <w:r w:rsidRPr="00C727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experience leading focus groups with youth will collect the information through </w:t>
      </w:r>
      <w:r w:rsidR="00DB4229">
        <w:rPr>
          <w:rFonts w:ascii="Times New Roman" w:hAnsi="Times New Roman" w:cs="Times New Roman"/>
          <w:color w:val="000000"/>
          <w:sz w:val="24"/>
          <w:szCs w:val="24"/>
        </w:rPr>
        <w:t xml:space="preserve">twelve </w:t>
      </w:r>
      <w:r>
        <w:rPr>
          <w:rFonts w:ascii="Times New Roman" w:hAnsi="Times New Roman" w:cs="Times New Roman"/>
          <w:color w:val="000000"/>
          <w:sz w:val="24"/>
          <w:szCs w:val="24"/>
        </w:rPr>
        <w:t>(</w:t>
      </w:r>
      <w:r w:rsidR="00DB4229">
        <w:rPr>
          <w:rFonts w:ascii="Times New Roman" w:hAnsi="Times New Roman" w:cs="Times New Roman"/>
          <w:color w:val="000000"/>
          <w:sz w:val="24"/>
          <w:szCs w:val="24"/>
        </w:rPr>
        <w:t>12</w:t>
      </w:r>
      <w:r>
        <w:rPr>
          <w:rFonts w:ascii="Times New Roman" w:hAnsi="Times New Roman" w:cs="Times New Roman"/>
          <w:color w:val="000000"/>
          <w:sz w:val="24"/>
          <w:szCs w:val="24"/>
        </w:rPr>
        <w:t>) in-person</w:t>
      </w:r>
      <w:r w:rsidR="005214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51F0C">
        <w:rPr>
          <w:rFonts w:ascii="Times New Roman" w:hAnsi="Times New Roman" w:cs="Times New Roman"/>
          <w:color w:val="000000"/>
          <w:sz w:val="24"/>
          <w:szCs w:val="24"/>
        </w:rPr>
        <w:t xml:space="preserve">moderated </w:t>
      </w:r>
      <w:r>
        <w:rPr>
          <w:rFonts w:ascii="Times New Roman" w:hAnsi="Times New Roman" w:cs="Times New Roman"/>
          <w:color w:val="000000"/>
          <w:sz w:val="24"/>
          <w:szCs w:val="24"/>
        </w:rPr>
        <w:t>focus groups</w:t>
      </w:r>
      <w:r w:rsidR="003C5BA6">
        <w:rPr>
          <w:rFonts w:ascii="Times New Roman" w:hAnsi="Times New Roman" w:cs="Times New Roman"/>
          <w:color w:val="000000"/>
          <w:sz w:val="24"/>
          <w:szCs w:val="24"/>
        </w:rPr>
        <w:t>.</w:t>
      </w:r>
      <w:r w:rsidR="00957513" w:rsidRPr="00A0495E">
        <w:rPr>
          <w:rFonts w:ascii="Times New Roman" w:hAnsi="Times New Roman" w:cs="Times New Roman"/>
          <w:color w:val="000000"/>
          <w:sz w:val="24"/>
          <w:szCs w:val="24"/>
        </w:rPr>
        <w:t xml:space="preserve"> </w:t>
      </w:r>
      <w:r w:rsidR="000A705F" w:rsidRPr="00A0495E">
        <w:rPr>
          <w:rFonts w:ascii="Times New Roman" w:hAnsi="Times New Roman" w:cs="Times New Roman"/>
          <w:color w:val="000000"/>
          <w:sz w:val="24"/>
          <w:szCs w:val="24"/>
        </w:rPr>
        <w:t xml:space="preserve">The </w:t>
      </w:r>
      <w:r w:rsidR="00473190">
        <w:rPr>
          <w:rFonts w:ascii="Times New Roman" w:hAnsi="Times New Roman" w:cs="Times New Roman"/>
          <w:color w:val="000000"/>
          <w:sz w:val="24"/>
          <w:szCs w:val="24"/>
        </w:rPr>
        <w:t>moderator</w:t>
      </w:r>
      <w:r w:rsidR="000A705F" w:rsidRPr="00A0495E">
        <w:rPr>
          <w:rFonts w:ascii="Times New Roman" w:hAnsi="Times New Roman" w:cs="Times New Roman"/>
          <w:color w:val="000000"/>
          <w:sz w:val="24"/>
          <w:szCs w:val="24"/>
        </w:rPr>
        <w:t xml:space="preserve"> will ask a series of questions</w:t>
      </w:r>
      <w:r w:rsidR="000A705F">
        <w:rPr>
          <w:rFonts w:ascii="Times New Roman" w:hAnsi="Times New Roman" w:cs="Times New Roman"/>
          <w:color w:val="000000"/>
          <w:sz w:val="24"/>
          <w:szCs w:val="24"/>
        </w:rPr>
        <w:t xml:space="preserve"> using a </w:t>
      </w:r>
      <w:r w:rsidR="0028495E">
        <w:rPr>
          <w:rFonts w:ascii="Times New Roman" w:hAnsi="Times New Roman" w:cs="Times New Roman"/>
          <w:color w:val="000000"/>
          <w:sz w:val="24"/>
          <w:szCs w:val="24"/>
        </w:rPr>
        <w:t>semi-</w:t>
      </w:r>
      <w:r w:rsidR="000A705F">
        <w:rPr>
          <w:rFonts w:ascii="Times New Roman" w:hAnsi="Times New Roman" w:cs="Times New Roman"/>
          <w:color w:val="000000"/>
          <w:sz w:val="24"/>
          <w:szCs w:val="24"/>
        </w:rPr>
        <w:t>structured discussion guide</w:t>
      </w:r>
      <w:r w:rsidR="000A705F" w:rsidRPr="00A0495E">
        <w:rPr>
          <w:rFonts w:ascii="Times New Roman" w:hAnsi="Times New Roman" w:cs="Times New Roman"/>
          <w:color w:val="000000"/>
          <w:sz w:val="24"/>
          <w:szCs w:val="24"/>
        </w:rPr>
        <w:t>,</w:t>
      </w:r>
      <w:r w:rsidR="000A705F">
        <w:rPr>
          <w:rFonts w:ascii="Times New Roman" w:hAnsi="Times New Roman" w:cs="Times New Roman"/>
          <w:color w:val="000000"/>
          <w:sz w:val="24"/>
          <w:szCs w:val="24"/>
        </w:rPr>
        <w:t xml:space="preserve"> encourage participants to respond openly and spontaneously,</w:t>
      </w:r>
      <w:r w:rsidR="000A705F" w:rsidRPr="00A0495E">
        <w:rPr>
          <w:rFonts w:ascii="Times New Roman" w:hAnsi="Times New Roman" w:cs="Times New Roman"/>
          <w:color w:val="000000"/>
          <w:sz w:val="24"/>
          <w:szCs w:val="24"/>
        </w:rPr>
        <w:t xml:space="preserve"> and record the </w:t>
      </w:r>
      <w:r w:rsidR="0052143D">
        <w:rPr>
          <w:rFonts w:ascii="Times New Roman" w:hAnsi="Times New Roman" w:cs="Times New Roman"/>
          <w:color w:val="000000"/>
          <w:sz w:val="24"/>
          <w:szCs w:val="24"/>
        </w:rPr>
        <w:t>respondents’</w:t>
      </w:r>
      <w:r w:rsidR="0052143D" w:rsidRPr="00A0495E">
        <w:rPr>
          <w:rFonts w:ascii="Times New Roman" w:hAnsi="Times New Roman" w:cs="Times New Roman"/>
          <w:color w:val="000000"/>
          <w:sz w:val="24"/>
          <w:szCs w:val="24"/>
        </w:rPr>
        <w:t xml:space="preserve"> </w:t>
      </w:r>
      <w:r w:rsidR="000A705F" w:rsidRPr="00A0495E">
        <w:rPr>
          <w:rFonts w:ascii="Times New Roman" w:hAnsi="Times New Roman" w:cs="Times New Roman"/>
          <w:color w:val="000000"/>
          <w:sz w:val="24"/>
          <w:szCs w:val="24"/>
        </w:rPr>
        <w:t>answers and reactions to those questions.</w:t>
      </w:r>
      <w:r w:rsidR="0080458F">
        <w:rPr>
          <w:rFonts w:ascii="Times New Roman" w:hAnsi="Times New Roman" w:cs="Times New Roman"/>
          <w:color w:val="000000"/>
          <w:sz w:val="24"/>
          <w:szCs w:val="24"/>
        </w:rPr>
        <w:t xml:space="preserve"> </w:t>
      </w:r>
      <w:r w:rsidR="003C5BA6">
        <w:rPr>
          <w:rFonts w:ascii="Times New Roman" w:hAnsi="Times New Roman" w:cs="Times New Roman"/>
          <w:color w:val="000000"/>
          <w:sz w:val="24"/>
          <w:szCs w:val="24"/>
        </w:rPr>
        <w:t xml:space="preserve">The focus groups </w:t>
      </w:r>
      <w:proofErr w:type="gramStart"/>
      <w:r w:rsidR="00957513" w:rsidRPr="00A0495E">
        <w:rPr>
          <w:rFonts w:ascii="Times New Roman" w:hAnsi="Times New Roman" w:cs="Times New Roman"/>
          <w:color w:val="000000"/>
          <w:sz w:val="24"/>
          <w:szCs w:val="24"/>
        </w:rPr>
        <w:t>may</w:t>
      </w:r>
      <w:r w:rsidR="003C5BA6">
        <w:rPr>
          <w:rFonts w:ascii="Times New Roman" w:hAnsi="Times New Roman" w:cs="Times New Roman"/>
          <w:color w:val="000000"/>
          <w:sz w:val="24"/>
          <w:szCs w:val="24"/>
        </w:rPr>
        <w:t xml:space="preserve"> </w:t>
      </w:r>
      <w:r w:rsidR="00957513" w:rsidRPr="00A0495E">
        <w:rPr>
          <w:rFonts w:ascii="Times New Roman" w:hAnsi="Times New Roman" w:cs="Times New Roman"/>
          <w:color w:val="000000"/>
          <w:sz w:val="24"/>
          <w:szCs w:val="24"/>
        </w:rPr>
        <w:t xml:space="preserve">be </w:t>
      </w:r>
      <w:r w:rsidR="004B7454">
        <w:rPr>
          <w:rFonts w:ascii="Times New Roman" w:hAnsi="Times New Roman" w:cs="Times New Roman"/>
          <w:color w:val="000000"/>
          <w:sz w:val="24"/>
          <w:szCs w:val="24"/>
        </w:rPr>
        <w:t>audiotaped</w:t>
      </w:r>
      <w:proofErr w:type="gramEnd"/>
      <w:r w:rsidR="004B7454">
        <w:rPr>
          <w:rFonts w:ascii="Times New Roman" w:hAnsi="Times New Roman" w:cs="Times New Roman"/>
          <w:color w:val="000000"/>
          <w:sz w:val="24"/>
          <w:szCs w:val="24"/>
        </w:rPr>
        <w:t xml:space="preserve"> </w:t>
      </w:r>
      <w:r w:rsidR="00957513" w:rsidRPr="00A0495E">
        <w:rPr>
          <w:rFonts w:ascii="Times New Roman" w:hAnsi="Times New Roman" w:cs="Times New Roman"/>
          <w:color w:val="000000"/>
          <w:sz w:val="24"/>
          <w:szCs w:val="24"/>
        </w:rPr>
        <w:t xml:space="preserve">if </w:t>
      </w:r>
      <w:r w:rsidR="003C5BA6">
        <w:rPr>
          <w:rFonts w:ascii="Times New Roman" w:hAnsi="Times New Roman" w:cs="Times New Roman"/>
          <w:color w:val="000000"/>
          <w:sz w:val="24"/>
          <w:szCs w:val="24"/>
        </w:rPr>
        <w:t>all participants provide consent</w:t>
      </w:r>
      <w:r w:rsidR="000A705F">
        <w:rPr>
          <w:rFonts w:ascii="Times New Roman" w:hAnsi="Times New Roman" w:cs="Times New Roman"/>
          <w:color w:val="000000"/>
          <w:sz w:val="24"/>
          <w:szCs w:val="24"/>
        </w:rPr>
        <w:t xml:space="preserve"> before discussions begin</w:t>
      </w:r>
      <w:r w:rsidR="00957513" w:rsidRPr="00A0495E">
        <w:rPr>
          <w:rFonts w:ascii="Times New Roman" w:hAnsi="Times New Roman" w:cs="Times New Roman"/>
          <w:color w:val="000000"/>
          <w:sz w:val="24"/>
          <w:szCs w:val="24"/>
        </w:rPr>
        <w:t xml:space="preserve">. </w:t>
      </w:r>
    </w:p>
    <w:p w:rsidR="00F26180" w:rsidRPr="00A0495E" w:rsidRDefault="00F26180" w:rsidP="00BD2651">
      <w:pPr>
        <w:autoSpaceDE w:val="0"/>
        <w:autoSpaceDN w:val="0"/>
        <w:adjustRightInd w:val="0"/>
        <w:spacing w:line="240" w:lineRule="auto"/>
        <w:ind w:left="720" w:right="-180"/>
        <w:rPr>
          <w:rFonts w:ascii="Times New Roman" w:hAnsi="Times New Roman" w:cs="Times New Roman"/>
          <w:color w:val="000000"/>
          <w:sz w:val="24"/>
          <w:szCs w:val="24"/>
        </w:rPr>
      </w:pPr>
    </w:p>
    <w:p w:rsidR="00957513" w:rsidRPr="00A0495E" w:rsidRDefault="009D6933"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Pr>
          <w:rFonts w:ascii="Times New Roman" w:hAnsi="Times New Roman" w:cs="Times New Roman"/>
          <w:b/>
          <w:bCs/>
          <w:color w:val="000000"/>
          <w:sz w:val="24"/>
          <w:szCs w:val="24"/>
        </w:rPr>
        <w:t>Confidentiality of respondents</w:t>
      </w:r>
      <w:r w:rsidR="00957513" w:rsidRPr="00A0495E">
        <w:rPr>
          <w:rFonts w:ascii="Times New Roman" w:hAnsi="Times New Roman" w:cs="Times New Roman"/>
          <w:b/>
          <w:bCs/>
          <w:color w:val="000000"/>
          <w:sz w:val="24"/>
          <w:szCs w:val="24"/>
        </w:rPr>
        <w:t xml:space="preserve">: </w:t>
      </w:r>
    </w:p>
    <w:p w:rsidR="00957513" w:rsidRPr="00A0495E" w:rsidRDefault="007068C6" w:rsidP="00BD2651">
      <w:pPr>
        <w:autoSpaceDE w:val="0"/>
        <w:autoSpaceDN w:val="0"/>
        <w:adjustRightInd w:val="0"/>
        <w:spacing w:line="240" w:lineRule="auto"/>
        <w:ind w:left="360" w:right="-18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will be </w:t>
      </w:r>
      <w:r w:rsidR="002A09C5">
        <w:rPr>
          <w:rFonts w:ascii="Times New Roman" w:hAnsi="Times New Roman" w:cs="Times New Roman"/>
          <w:color w:val="000000"/>
          <w:sz w:val="24"/>
          <w:szCs w:val="24"/>
        </w:rPr>
        <w:t>twelve (</w:t>
      </w:r>
      <w:r w:rsidR="00DB4229">
        <w:rPr>
          <w:rFonts w:ascii="Times New Roman" w:hAnsi="Times New Roman" w:cs="Times New Roman"/>
          <w:color w:val="000000"/>
          <w:sz w:val="24"/>
          <w:szCs w:val="24"/>
        </w:rPr>
        <w:t>12</w:t>
      </w:r>
      <w:r w:rsidR="002A09C5">
        <w:rPr>
          <w:rFonts w:ascii="Times New Roman" w:hAnsi="Times New Roman" w:cs="Times New Roman"/>
          <w:color w:val="000000"/>
          <w:sz w:val="24"/>
          <w:szCs w:val="24"/>
        </w:rPr>
        <w:t>)</w:t>
      </w:r>
      <w:r w:rsidR="00957513" w:rsidRPr="00A0495E">
        <w:rPr>
          <w:rFonts w:ascii="Times New Roman" w:hAnsi="Times New Roman" w:cs="Times New Roman"/>
          <w:color w:val="000000"/>
          <w:sz w:val="24"/>
          <w:szCs w:val="24"/>
        </w:rPr>
        <w:t xml:space="preserve"> focus groups </w:t>
      </w:r>
      <w:r w:rsidR="00D81587">
        <w:rPr>
          <w:rFonts w:ascii="Times New Roman" w:hAnsi="Times New Roman" w:cs="Times New Roman"/>
          <w:color w:val="000000"/>
          <w:sz w:val="24"/>
          <w:szCs w:val="24"/>
        </w:rPr>
        <w:t xml:space="preserve">with up to </w:t>
      </w:r>
      <w:r w:rsidR="002A09C5">
        <w:rPr>
          <w:rFonts w:ascii="Times New Roman" w:hAnsi="Times New Roman" w:cs="Times New Roman"/>
          <w:color w:val="000000"/>
          <w:sz w:val="24"/>
          <w:szCs w:val="24"/>
        </w:rPr>
        <w:t>six (</w:t>
      </w:r>
      <w:r w:rsidR="00DB4229">
        <w:rPr>
          <w:rFonts w:ascii="Times New Roman" w:hAnsi="Times New Roman" w:cs="Times New Roman"/>
          <w:color w:val="000000"/>
          <w:sz w:val="24"/>
          <w:szCs w:val="24"/>
        </w:rPr>
        <w:t>6</w:t>
      </w:r>
      <w:r w:rsidR="002A09C5">
        <w:rPr>
          <w:rFonts w:ascii="Times New Roman" w:hAnsi="Times New Roman" w:cs="Times New Roman"/>
          <w:color w:val="000000"/>
          <w:sz w:val="24"/>
          <w:szCs w:val="24"/>
        </w:rPr>
        <w:t>) youth each</w:t>
      </w:r>
      <w:r w:rsidR="00D81587">
        <w:rPr>
          <w:rFonts w:ascii="Times New Roman" w:hAnsi="Times New Roman" w:cs="Times New Roman"/>
          <w:color w:val="000000"/>
          <w:sz w:val="24"/>
          <w:szCs w:val="24"/>
        </w:rPr>
        <w:t xml:space="preserve"> for </w:t>
      </w:r>
      <w:proofErr w:type="gramStart"/>
      <w:r w:rsidR="00D81587">
        <w:rPr>
          <w:rFonts w:ascii="Times New Roman" w:hAnsi="Times New Roman" w:cs="Times New Roman"/>
          <w:color w:val="000000"/>
          <w:sz w:val="24"/>
          <w:szCs w:val="24"/>
        </w:rPr>
        <w:t xml:space="preserve">a total of </w:t>
      </w:r>
      <w:r w:rsidR="00DB4229">
        <w:rPr>
          <w:rFonts w:ascii="Times New Roman" w:hAnsi="Times New Roman" w:cs="Times New Roman"/>
          <w:color w:val="000000"/>
          <w:sz w:val="24"/>
          <w:szCs w:val="24"/>
        </w:rPr>
        <w:t>72</w:t>
      </w:r>
      <w:proofErr w:type="gramEnd"/>
      <w:r w:rsidR="00D81587">
        <w:rPr>
          <w:rFonts w:ascii="Times New Roman" w:hAnsi="Times New Roman" w:cs="Times New Roman"/>
          <w:color w:val="000000"/>
          <w:sz w:val="24"/>
          <w:szCs w:val="24"/>
        </w:rPr>
        <w:t xml:space="preserve"> respondents </w:t>
      </w:r>
      <w:r w:rsidR="00957513" w:rsidRPr="00A0495E">
        <w:rPr>
          <w:rFonts w:ascii="Times New Roman" w:hAnsi="Times New Roman" w:cs="Times New Roman"/>
          <w:color w:val="000000"/>
          <w:sz w:val="24"/>
          <w:szCs w:val="24"/>
        </w:rPr>
        <w:t>representing a diverse population</w:t>
      </w:r>
      <w:r w:rsidR="00D81587">
        <w:rPr>
          <w:rFonts w:ascii="Times New Roman" w:hAnsi="Times New Roman" w:cs="Times New Roman"/>
          <w:color w:val="000000"/>
          <w:sz w:val="24"/>
          <w:szCs w:val="24"/>
        </w:rPr>
        <w:t>.</w:t>
      </w:r>
    </w:p>
    <w:p w:rsidR="00AC4DEB" w:rsidRPr="003D07D4" w:rsidRDefault="00AC4DEB" w:rsidP="00A842E5">
      <w:pPr>
        <w:spacing w:line="240" w:lineRule="auto"/>
        <w:rPr>
          <w:rFonts w:ascii="Times New Roman" w:eastAsia="Times New Roman" w:hAnsi="Times New Roman" w:cs="Times New Roman"/>
          <w:sz w:val="24"/>
          <w:szCs w:val="24"/>
          <w:highlight w:val="yellow"/>
        </w:rPr>
      </w:pPr>
    </w:p>
    <w:p w:rsidR="00AC4DEB" w:rsidRPr="00AC4DEB" w:rsidRDefault="00AC4DEB" w:rsidP="00A842E5">
      <w:pPr>
        <w:autoSpaceDE w:val="0"/>
        <w:autoSpaceDN w:val="0"/>
        <w:adjustRightInd w:val="0"/>
        <w:spacing w:line="240" w:lineRule="auto"/>
        <w:ind w:left="360" w:right="-180"/>
        <w:rPr>
          <w:rFonts w:ascii="Times New Roman" w:eastAsia="Calibri" w:hAnsi="Times New Roman" w:cs="Times New Roman"/>
          <w:color w:val="000000"/>
          <w:sz w:val="24"/>
          <w:szCs w:val="24"/>
        </w:rPr>
      </w:pPr>
      <w:r w:rsidRPr="00AC4DEB">
        <w:rPr>
          <w:rFonts w:ascii="Times New Roman" w:eastAsia="Calibri" w:hAnsi="Times New Roman" w:cs="Times New Roman"/>
          <w:color w:val="000000"/>
          <w:sz w:val="24"/>
          <w:szCs w:val="24"/>
        </w:rPr>
        <w:t xml:space="preserve">Before each group begins, the moderator will obtain verbal consent from the participants to audiotape the session. In the event consent is not given, the contractor will refrain from audiotaping the session. </w:t>
      </w:r>
    </w:p>
    <w:p w:rsidR="00AC4DEB" w:rsidRPr="00AC4DEB" w:rsidRDefault="00AC4DEB" w:rsidP="00A842E5">
      <w:pPr>
        <w:autoSpaceDE w:val="0"/>
        <w:autoSpaceDN w:val="0"/>
        <w:adjustRightInd w:val="0"/>
        <w:spacing w:line="240" w:lineRule="auto"/>
        <w:ind w:left="720" w:right="-180"/>
        <w:rPr>
          <w:rFonts w:ascii="Times New Roman" w:eastAsia="Calibri" w:hAnsi="Times New Roman" w:cs="Times New Roman"/>
          <w:color w:val="000000"/>
          <w:sz w:val="24"/>
          <w:szCs w:val="24"/>
        </w:rPr>
      </w:pPr>
    </w:p>
    <w:p w:rsidR="00AC4DEB" w:rsidRPr="00AC4DEB" w:rsidRDefault="00AC4DEB" w:rsidP="00A842E5">
      <w:pPr>
        <w:autoSpaceDE w:val="0"/>
        <w:autoSpaceDN w:val="0"/>
        <w:adjustRightInd w:val="0"/>
        <w:spacing w:line="240" w:lineRule="auto"/>
        <w:ind w:left="360" w:right="-180"/>
        <w:rPr>
          <w:rFonts w:ascii="Times New Roman" w:eastAsia="Calibri" w:hAnsi="Times New Roman" w:cs="Times New Roman"/>
          <w:color w:val="000000"/>
          <w:sz w:val="24"/>
          <w:szCs w:val="24"/>
        </w:rPr>
      </w:pPr>
      <w:r w:rsidRPr="00AC4DEB">
        <w:rPr>
          <w:rFonts w:ascii="Times New Roman" w:eastAsia="Calibri" w:hAnsi="Times New Roman" w:cs="Times New Roman"/>
          <w:color w:val="000000"/>
          <w:sz w:val="24"/>
          <w:szCs w:val="24"/>
        </w:rPr>
        <w:t xml:space="preserve">The contractor will produce transcriptions of the tapes to assist in report writing and to provide the FDA with a written record of the sessions. One paper and one electronic copy of the transcripts </w:t>
      </w:r>
      <w:proofErr w:type="gramStart"/>
      <w:r w:rsidRPr="00AC4DEB">
        <w:rPr>
          <w:rFonts w:ascii="Times New Roman" w:eastAsia="Calibri" w:hAnsi="Times New Roman" w:cs="Times New Roman"/>
          <w:color w:val="000000"/>
          <w:sz w:val="24"/>
          <w:szCs w:val="24"/>
        </w:rPr>
        <w:t>will be supplied</w:t>
      </w:r>
      <w:proofErr w:type="gramEnd"/>
      <w:r w:rsidRPr="00AC4DEB">
        <w:rPr>
          <w:rFonts w:ascii="Times New Roman" w:eastAsia="Calibri" w:hAnsi="Times New Roman" w:cs="Times New Roman"/>
          <w:color w:val="000000"/>
          <w:sz w:val="24"/>
          <w:szCs w:val="24"/>
        </w:rPr>
        <w:t xml:space="preserve">. The audiotape and transcript for a given group will be available to the FDA within two weeks of the completion of that data collection. To ensure participant privacy, the contractor will redact the recordings and transcripts. </w:t>
      </w:r>
    </w:p>
    <w:p w:rsidR="00AC4DEB" w:rsidRPr="00AC4DEB" w:rsidRDefault="00AC4DEB" w:rsidP="00A842E5">
      <w:pPr>
        <w:autoSpaceDE w:val="0"/>
        <w:autoSpaceDN w:val="0"/>
        <w:adjustRightInd w:val="0"/>
        <w:spacing w:line="240" w:lineRule="auto"/>
        <w:ind w:left="720" w:right="-180"/>
        <w:rPr>
          <w:rFonts w:ascii="Times New Roman" w:eastAsia="Calibri" w:hAnsi="Times New Roman" w:cs="Times New Roman"/>
          <w:color w:val="000000"/>
          <w:sz w:val="24"/>
          <w:szCs w:val="24"/>
        </w:rPr>
      </w:pPr>
    </w:p>
    <w:p w:rsidR="00AC4DEB" w:rsidRPr="00AC4DEB" w:rsidRDefault="00AC4DEB" w:rsidP="00A842E5">
      <w:pPr>
        <w:autoSpaceDE w:val="0"/>
        <w:autoSpaceDN w:val="0"/>
        <w:adjustRightInd w:val="0"/>
        <w:spacing w:line="240" w:lineRule="auto"/>
        <w:ind w:left="360" w:right="-180"/>
        <w:rPr>
          <w:rFonts w:ascii="Times New Roman" w:eastAsia="Calibri" w:hAnsi="Times New Roman" w:cs="Times New Roman"/>
          <w:color w:val="000000"/>
          <w:sz w:val="24"/>
          <w:szCs w:val="24"/>
        </w:rPr>
      </w:pPr>
      <w:r w:rsidRPr="00AC4DEB">
        <w:rPr>
          <w:rFonts w:ascii="Times New Roman" w:eastAsia="Calibri" w:hAnsi="Times New Roman" w:cs="Times New Roman"/>
          <w:color w:val="000000"/>
          <w:sz w:val="24"/>
          <w:szCs w:val="24"/>
        </w:rPr>
        <w:t xml:space="preserve">All data </w:t>
      </w:r>
      <w:proofErr w:type="gramStart"/>
      <w:r w:rsidRPr="00AC4DEB">
        <w:rPr>
          <w:rFonts w:ascii="Times New Roman" w:eastAsia="Calibri" w:hAnsi="Times New Roman" w:cs="Times New Roman"/>
          <w:color w:val="000000"/>
          <w:sz w:val="24"/>
          <w:szCs w:val="24"/>
        </w:rPr>
        <w:t>will be collected</w:t>
      </w:r>
      <w:proofErr w:type="gramEnd"/>
      <w:r w:rsidRPr="00AC4DEB">
        <w:rPr>
          <w:rFonts w:ascii="Times New Roman" w:eastAsia="Calibri" w:hAnsi="Times New Roman" w:cs="Times New Roman"/>
          <w:color w:val="000000"/>
          <w:sz w:val="24"/>
          <w:szCs w:val="24"/>
        </w:rPr>
        <w:t xml:space="preserve"> with an assurance that the respondents’ discussions will remain private to the extent provided by law. The study moderator’s guide and consent form will contain a statement that no one</w:t>
      </w:r>
      <w:r w:rsidR="005206E5">
        <w:rPr>
          <w:rFonts w:ascii="Times New Roman" w:eastAsia="Calibri" w:hAnsi="Times New Roman" w:cs="Times New Roman"/>
          <w:color w:val="000000"/>
          <w:sz w:val="24"/>
          <w:szCs w:val="24"/>
        </w:rPr>
        <w:t xml:space="preserve"> outside of the discussion group</w:t>
      </w:r>
      <w:r w:rsidRPr="00AC4DEB">
        <w:rPr>
          <w:rFonts w:ascii="Times New Roman" w:eastAsia="Calibri" w:hAnsi="Times New Roman" w:cs="Times New Roman"/>
          <w:color w:val="000000"/>
          <w:sz w:val="24"/>
          <w:szCs w:val="24"/>
        </w:rPr>
        <w:t xml:space="preserve"> will be able to link the respondent’s identity to his/her responses. Identifying information will not be included in the data files delivered by contractors to the agency. </w:t>
      </w:r>
    </w:p>
    <w:p w:rsidR="009D6933" w:rsidRDefault="009D6933" w:rsidP="009D6933">
      <w:pPr>
        <w:spacing w:line="240" w:lineRule="auto"/>
        <w:ind w:left="360"/>
        <w:rPr>
          <w:rFonts w:ascii="Times New Roman" w:eastAsia="Times New Roman" w:hAnsi="Times New Roman" w:cs="Times New Roman"/>
          <w:sz w:val="24"/>
          <w:szCs w:val="24"/>
          <w:highlight w:val="yellow"/>
        </w:rPr>
      </w:pPr>
    </w:p>
    <w:p w:rsidR="00AC4DEB" w:rsidRPr="00AC4DEB" w:rsidRDefault="00AC4DEB" w:rsidP="00A842E5">
      <w:pPr>
        <w:autoSpaceDE w:val="0"/>
        <w:autoSpaceDN w:val="0"/>
        <w:adjustRightInd w:val="0"/>
        <w:spacing w:line="240" w:lineRule="auto"/>
        <w:ind w:left="360" w:right="-180"/>
        <w:rPr>
          <w:rFonts w:ascii="Times New Roman" w:eastAsia="MS Mincho" w:hAnsi="Times New Roman" w:cs="Times New Roman"/>
          <w:color w:val="000000"/>
          <w:sz w:val="24"/>
          <w:szCs w:val="24"/>
          <w:lang w:eastAsia="ja-JP"/>
        </w:rPr>
      </w:pPr>
      <w:r w:rsidRPr="00AC4DEB">
        <w:rPr>
          <w:rFonts w:ascii="Times New Roman" w:eastAsia="MS Mincho" w:hAnsi="Times New Roman" w:cs="Times New Roman"/>
          <w:color w:val="000000"/>
          <w:sz w:val="24"/>
          <w:szCs w:val="24"/>
          <w:lang w:eastAsia="ja-JP"/>
        </w:rPr>
        <w:t xml:space="preserve">Neither independent contractors nor focus group agencies will share personal information regarding panel members with any third party without the participant’s permission unless it </w:t>
      </w:r>
      <w:proofErr w:type="gramStart"/>
      <w:r w:rsidRPr="00AC4DEB">
        <w:rPr>
          <w:rFonts w:ascii="Times New Roman" w:eastAsia="MS Mincho" w:hAnsi="Times New Roman" w:cs="Times New Roman"/>
          <w:color w:val="000000"/>
          <w:sz w:val="24"/>
          <w:szCs w:val="24"/>
          <w:lang w:eastAsia="ja-JP"/>
        </w:rPr>
        <w:t>is required</w:t>
      </w:r>
      <w:proofErr w:type="gramEnd"/>
      <w:r w:rsidRPr="00AC4DEB">
        <w:rPr>
          <w:rFonts w:ascii="Times New Roman" w:eastAsia="MS Mincho" w:hAnsi="Times New Roman" w:cs="Times New Roman"/>
          <w:color w:val="000000"/>
          <w:sz w:val="24"/>
          <w:szCs w:val="24"/>
          <w:lang w:eastAsia="ja-JP"/>
        </w:rPr>
        <w:t xml:space="preserve"> by law to protect their rights or to comply with judicial proceedings, a court order, or other legal process. Identifying information will not be included in the transcripts and digital recordings delivered to the agency. All data collected through the study, including transcripts and digital recordings, will be kept on a password-protected computer and/or in locked cabinets for a period of three years, and then will be destroyed either by the secure shredding of documents or the permanent deletion of electronic information.  </w:t>
      </w:r>
    </w:p>
    <w:p w:rsidR="00AC4DEB" w:rsidRPr="00AC4DEB" w:rsidRDefault="00AC4DEB" w:rsidP="00A842E5">
      <w:pPr>
        <w:autoSpaceDE w:val="0"/>
        <w:autoSpaceDN w:val="0"/>
        <w:adjustRightInd w:val="0"/>
        <w:spacing w:line="240" w:lineRule="auto"/>
        <w:ind w:left="360"/>
        <w:rPr>
          <w:rFonts w:ascii="Times New Roman" w:eastAsia="MS Mincho" w:hAnsi="Times New Roman" w:cs="Times New Roman"/>
          <w:color w:val="000000"/>
          <w:sz w:val="24"/>
          <w:szCs w:val="24"/>
          <w:lang w:eastAsia="ja-JP"/>
        </w:rPr>
      </w:pPr>
    </w:p>
    <w:p w:rsidR="00AC4DEB" w:rsidRPr="00AC4DEB" w:rsidRDefault="00AC4DEB" w:rsidP="00A842E5">
      <w:pPr>
        <w:autoSpaceDE w:val="0"/>
        <w:autoSpaceDN w:val="0"/>
        <w:adjustRightInd w:val="0"/>
        <w:spacing w:line="240" w:lineRule="auto"/>
        <w:ind w:left="360"/>
        <w:rPr>
          <w:rFonts w:ascii="Times New Roman" w:eastAsia="Times New Roman" w:hAnsi="Times New Roman" w:cs="Times New Roman"/>
          <w:sz w:val="24"/>
          <w:szCs w:val="24"/>
        </w:rPr>
      </w:pPr>
      <w:r w:rsidRPr="00AC4DEB">
        <w:rPr>
          <w:rFonts w:ascii="Times New Roman" w:eastAsia="Times New Roman" w:hAnsi="Times New Roman" w:cs="Times New Roman"/>
          <w:sz w:val="24"/>
          <w:szCs w:val="24"/>
        </w:rPr>
        <w:t xml:space="preserve">All participants </w:t>
      </w:r>
      <w:proofErr w:type="gramStart"/>
      <w:r w:rsidRPr="00AC4DEB">
        <w:rPr>
          <w:rFonts w:ascii="Times New Roman" w:eastAsia="Times New Roman" w:hAnsi="Times New Roman" w:cs="Times New Roman"/>
          <w:sz w:val="24"/>
          <w:szCs w:val="24"/>
        </w:rPr>
        <w:t>will be asked</w:t>
      </w:r>
      <w:proofErr w:type="gramEnd"/>
      <w:r w:rsidRPr="00AC4DEB">
        <w:rPr>
          <w:rFonts w:ascii="Times New Roman" w:eastAsia="Times New Roman" w:hAnsi="Times New Roman" w:cs="Times New Roman"/>
          <w:sz w:val="24"/>
          <w:szCs w:val="24"/>
        </w:rPr>
        <w:t xml:space="preserve"> to respect the privacy of the other focus group members. Everyone </w:t>
      </w:r>
      <w:proofErr w:type="gramStart"/>
      <w:r w:rsidRPr="00AC4DEB">
        <w:rPr>
          <w:rFonts w:ascii="Times New Roman" w:eastAsia="Times New Roman" w:hAnsi="Times New Roman" w:cs="Times New Roman"/>
          <w:sz w:val="24"/>
          <w:szCs w:val="24"/>
        </w:rPr>
        <w:t>will be asked</w:t>
      </w:r>
      <w:proofErr w:type="gramEnd"/>
      <w:r w:rsidRPr="00AC4DEB">
        <w:rPr>
          <w:rFonts w:ascii="Times New Roman" w:eastAsia="Times New Roman" w:hAnsi="Times New Roman" w:cs="Times New Roman"/>
          <w:sz w:val="24"/>
          <w:szCs w:val="24"/>
        </w:rPr>
        <w:t xml:space="preserve"> to not discuss/reveal anything said during the discussion.</w:t>
      </w:r>
    </w:p>
    <w:p w:rsidR="00957513" w:rsidRPr="00A0495E" w:rsidRDefault="00957513" w:rsidP="00BD2651">
      <w:pPr>
        <w:autoSpaceDE w:val="0"/>
        <w:autoSpaceDN w:val="0"/>
        <w:adjustRightInd w:val="0"/>
        <w:spacing w:line="240" w:lineRule="auto"/>
        <w:ind w:right="-180"/>
        <w:rPr>
          <w:rFonts w:ascii="Times New Roman" w:hAnsi="Times New Roman" w:cs="Times New Roman"/>
          <w:color w:val="000000"/>
          <w:sz w:val="24"/>
          <w:szCs w:val="24"/>
        </w:rPr>
      </w:pPr>
    </w:p>
    <w:p w:rsidR="00957513" w:rsidRPr="00A0495E" w:rsidRDefault="00957513"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b/>
          <w:bCs/>
          <w:color w:val="000000"/>
          <w:sz w:val="24"/>
          <w:szCs w:val="24"/>
        </w:rPr>
        <w:t xml:space="preserve">Amount and justification for any proposed incentive: </w:t>
      </w:r>
    </w:p>
    <w:p w:rsidR="00D81587" w:rsidRDefault="00D81587" w:rsidP="00BD2651">
      <w:pPr>
        <w:pStyle w:val="Default"/>
        <w:ind w:left="360" w:right="-180"/>
      </w:pPr>
      <w:r w:rsidRPr="0034611F">
        <w:t xml:space="preserve">As participants often have competing demands for their time, incentives </w:t>
      </w:r>
      <w:proofErr w:type="gramStart"/>
      <w:r w:rsidRPr="0034611F">
        <w:t>are used</w:t>
      </w:r>
      <w:proofErr w:type="gramEnd"/>
      <w:r w:rsidRPr="0034611F">
        <w:t xml:space="preserve"> to encourage participation in </w:t>
      </w:r>
      <w:r>
        <w:t>research</w:t>
      </w:r>
      <w:r w:rsidRPr="0034611F">
        <w:t>.</w:t>
      </w:r>
      <w:r>
        <w:t xml:space="preserve"> </w:t>
      </w:r>
      <w:r>
        <w:rPr>
          <w:lang w:val="en"/>
        </w:rPr>
        <w:t>The use of incentives treats participants justly and with respect by recognizing</w:t>
      </w:r>
      <w:r w:rsidR="002A09C5">
        <w:rPr>
          <w:lang w:val="en"/>
        </w:rPr>
        <w:t>,</w:t>
      </w:r>
      <w:r>
        <w:rPr>
          <w:lang w:val="en"/>
        </w:rPr>
        <w:t xml:space="preserve"> and acknowledging the effort they expend to participate.</w:t>
      </w:r>
      <w:r w:rsidRPr="005360A2">
        <w:rPr>
          <w:lang w:val="en"/>
        </w:rPr>
        <w:t xml:space="preserve"> </w:t>
      </w:r>
      <w:r>
        <w:rPr>
          <w:lang w:val="en"/>
        </w:rPr>
        <w:t xml:space="preserve">In this particular </w:t>
      </w:r>
      <w:proofErr w:type="gramStart"/>
      <w:r>
        <w:rPr>
          <w:lang w:val="en"/>
        </w:rPr>
        <w:t>research</w:t>
      </w:r>
      <w:proofErr w:type="gramEnd"/>
      <w:r>
        <w:rPr>
          <w:lang w:val="en"/>
        </w:rPr>
        <w:t xml:space="preserve"> we are asking respondents to provide thought-intensive open-ended feedback on concepts that require a high level of participation. </w:t>
      </w:r>
      <w:r>
        <w:t xml:space="preserve">When applied in a reasonable manner, incentives are </w:t>
      </w:r>
      <w:proofErr w:type="gramStart"/>
      <w:r>
        <w:t>not an unjust</w:t>
      </w:r>
      <w:proofErr w:type="gramEnd"/>
      <w:r>
        <w:t xml:space="preserve"> inducement and are an approach that acknowledges respondents for their participation.</w:t>
      </w:r>
      <w:r>
        <w:rPr>
          <w:rStyle w:val="FootnoteReference"/>
          <w:lang w:val="en"/>
        </w:rPr>
        <w:footnoteReference w:id="2"/>
      </w:r>
      <w:r w:rsidR="000C5E98">
        <w:t xml:space="preserve"> </w:t>
      </w:r>
    </w:p>
    <w:p w:rsidR="00D81587" w:rsidRDefault="00D81587" w:rsidP="00BD2651">
      <w:pPr>
        <w:pStyle w:val="Default"/>
        <w:ind w:left="360" w:right="-180"/>
      </w:pPr>
    </w:p>
    <w:p w:rsidR="00D81587" w:rsidRPr="004F6F47" w:rsidRDefault="00D81587" w:rsidP="00BD2651">
      <w:pPr>
        <w:pStyle w:val="Default"/>
        <w:ind w:left="360" w:right="-180"/>
        <w:rPr>
          <w:lang w:val="en"/>
        </w:rPr>
      </w:pPr>
      <w:r w:rsidRPr="0034611F">
        <w:t xml:space="preserve">Incentives must be high enough to </w:t>
      </w:r>
      <w:r>
        <w:rPr>
          <w:lang w:val="en"/>
        </w:rPr>
        <w:t xml:space="preserve">equalize the burden placed on respondents </w:t>
      </w:r>
      <w:r w:rsidR="00051F0C">
        <w:rPr>
          <w:lang w:val="en"/>
        </w:rPr>
        <w:t xml:space="preserve">with </w:t>
      </w:r>
      <w:r>
        <w:rPr>
          <w:lang w:val="en"/>
        </w:rPr>
        <w:t>respect to their</w:t>
      </w:r>
      <w:r w:rsidRPr="00E33AC4">
        <w:rPr>
          <w:lang w:val="en"/>
        </w:rPr>
        <w:t xml:space="preserve"> time and cost of participation</w:t>
      </w:r>
      <w:r>
        <w:rPr>
          <w:lang w:val="en"/>
        </w:rPr>
        <w:t>,</w:t>
      </w:r>
      <w:r>
        <w:rPr>
          <w:rStyle w:val="FootnoteReference"/>
          <w:lang w:val="en"/>
        </w:rPr>
        <w:footnoteReference w:id="3"/>
      </w:r>
      <w:r>
        <w:rPr>
          <w:lang w:val="en"/>
        </w:rPr>
        <w:t xml:space="preserve"> </w:t>
      </w:r>
      <w:r>
        <w:t xml:space="preserve">as well as </w:t>
      </w:r>
      <w:r w:rsidRPr="0034611F">
        <w:t xml:space="preserve">provide enough </w:t>
      </w:r>
      <w:r>
        <w:t>motivation for them</w:t>
      </w:r>
      <w:r w:rsidRPr="0034611F">
        <w:t xml:space="preserve"> to </w:t>
      </w:r>
      <w:r>
        <w:t>participate in the study</w:t>
      </w:r>
      <w:r w:rsidRPr="0034611F">
        <w:t xml:space="preserve"> rather than another activity. If the incentive is not adequate, participants may agree to participate and then not show up </w:t>
      </w:r>
      <w:r>
        <w:t>or drop out early</w:t>
      </w:r>
      <w:r w:rsidRPr="0034611F">
        <w:t xml:space="preserve">. Low participation may result in inadequate data collection or, in the worst cases, loss of </w:t>
      </w:r>
      <w:r>
        <w:t xml:space="preserve">government </w:t>
      </w:r>
      <w:r w:rsidRPr="0034611F">
        <w:t xml:space="preserve">funds associated with </w:t>
      </w:r>
      <w:r>
        <w:t xml:space="preserve">facility rental and </w:t>
      </w:r>
      <w:r w:rsidRPr="0034611F">
        <w:t>moderator and observer time</w:t>
      </w:r>
      <w:r>
        <w:t>.</w:t>
      </w:r>
      <w:r>
        <w:rPr>
          <w:rStyle w:val="FootnoteReference"/>
        </w:rPr>
        <w:footnoteReference w:id="4"/>
      </w:r>
      <w:r>
        <w:t xml:space="preserve"> Additionally, this can cause a difficult and lengthy recruitment process that, in turn, can cause delays in launching the research both of which lead to increased cost</w:t>
      </w:r>
      <w:r w:rsidR="002A09C5">
        <w:t>s</w:t>
      </w:r>
      <w:r>
        <w:t xml:space="preserve">. </w:t>
      </w:r>
      <w:r>
        <w:rPr>
          <w:lang w:val="en"/>
        </w:rPr>
        <w:t>Incentives</w:t>
      </w:r>
      <w:r>
        <w:t xml:space="preserve"> are also necessary</w:t>
      </w:r>
      <w:r>
        <w:rPr>
          <w:lang w:val="en"/>
        </w:rPr>
        <w:t xml:space="preserve"> to ensure adequate representation among</w:t>
      </w:r>
      <w:r>
        <w:t xml:space="preserve"> harder-to-recruit populations such as youth, </w:t>
      </w:r>
      <w:r w:rsidRPr="008C0271">
        <w:t xml:space="preserve">low socio-economic </w:t>
      </w:r>
      <w:r>
        <w:t>groups</w:t>
      </w:r>
      <w:r w:rsidRPr="008C0271">
        <w:t xml:space="preserve"> </w:t>
      </w:r>
      <w:r>
        <w:t xml:space="preserve">and </w:t>
      </w:r>
      <w:r w:rsidR="002A09C5">
        <w:t>high-</w:t>
      </w:r>
      <w:r w:rsidRPr="008C0271">
        <w:t xml:space="preserve">risk populations (current or former </w:t>
      </w:r>
      <w:r>
        <w:t>tobacco users</w:t>
      </w:r>
      <w:r w:rsidRPr="008C0271">
        <w:t xml:space="preserve"> </w:t>
      </w:r>
      <w:r>
        <w:t>and those susceptible to tobacco use).</w:t>
      </w:r>
      <w:r>
        <w:rPr>
          <w:rStyle w:val="FootnoteReference"/>
          <w:lang w:val="en"/>
        </w:rPr>
        <w:footnoteReference w:id="5"/>
      </w:r>
      <w:r w:rsidRPr="0034611F">
        <w:t xml:space="preserve"> </w:t>
      </w:r>
    </w:p>
    <w:p w:rsidR="00D81587" w:rsidRPr="0034611F" w:rsidRDefault="00D81587" w:rsidP="00BD2651">
      <w:pPr>
        <w:pStyle w:val="Default"/>
        <w:ind w:left="360" w:right="-180"/>
      </w:pPr>
    </w:p>
    <w:p w:rsidR="00D81587" w:rsidRDefault="00D81587" w:rsidP="00BD2651">
      <w:pPr>
        <w:pStyle w:val="Default"/>
        <w:ind w:left="360" w:right="-180"/>
      </w:pPr>
      <w:r>
        <w:t xml:space="preserve">In the context of this study, the target population </w:t>
      </w:r>
      <w:proofErr w:type="gramStart"/>
      <w:r>
        <w:t>is considered</w:t>
      </w:r>
      <w:proofErr w:type="gramEnd"/>
      <w:r>
        <w:t xml:space="preserve"> a harder-to-recruit population (youth aged 1</w:t>
      </w:r>
      <w:r w:rsidR="003F2554">
        <w:t>2</w:t>
      </w:r>
      <w:r w:rsidR="001A64CD">
        <w:t>–</w:t>
      </w:r>
      <w:r w:rsidR="003F2554">
        <w:t>17 who are also experimenting with</w:t>
      </w:r>
      <w:r>
        <w:t xml:space="preserve"> </w:t>
      </w:r>
      <w:r w:rsidR="004D6EF4">
        <w:t>cigarettes</w:t>
      </w:r>
      <w:r>
        <w:t xml:space="preserve">). The study also requires respondents to </w:t>
      </w:r>
      <w:proofErr w:type="gramStart"/>
      <w:r>
        <w:t>comment on an activity that is a sensitive subject matter</w:t>
      </w:r>
      <w:proofErr w:type="gramEnd"/>
      <w:r>
        <w:t xml:space="preserve"> and could cause them to be reluctant to participate. Additionally, the nature of the study requires </w:t>
      </w:r>
      <w:r w:rsidR="009326F8">
        <w:t>participants to incur costs to travel to the research facility and participate</w:t>
      </w:r>
      <w:r>
        <w:t>.</w:t>
      </w:r>
      <w:r w:rsidRPr="0034611F">
        <w:t xml:space="preserve"> </w:t>
      </w:r>
      <w:r>
        <w:t xml:space="preserve">Thus, it is </w:t>
      </w:r>
      <w:r w:rsidRPr="0034611F">
        <w:t xml:space="preserve">critical to provide adequate incentives to encourage </w:t>
      </w:r>
      <w:r>
        <w:t xml:space="preserve">and retain </w:t>
      </w:r>
      <w:r w:rsidRPr="0034611F">
        <w:t xml:space="preserve">participation among the limited number of potential youth respondents. </w:t>
      </w:r>
    </w:p>
    <w:p w:rsidR="00D81587" w:rsidRDefault="00D81587" w:rsidP="00BD2651">
      <w:pPr>
        <w:pStyle w:val="Default"/>
        <w:ind w:left="360" w:right="-180"/>
      </w:pPr>
    </w:p>
    <w:p w:rsidR="00D81587" w:rsidRPr="0034611F" w:rsidRDefault="00D81587" w:rsidP="00BD2651">
      <w:pPr>
        <w:pStyle w:val="Default"/>
        <w:ind w:left="360" w:right="-180"/>
      </w:pPr>
      <w:r>
        <w:lastRenderedPageBreak/>
        <w:t>In the market research community, incentives are standard practice for all work conducted</w:t>
      </w:r>
      <w:r w:rsidRPr="00CB2092">
        <w:t xml:space="preserve"> </w:t>
      </w:r>
      <w:r>
        <w:t xml:space="preserve">and are suggested by organizations that set the standards for conducting ethical market research among human subjects (CASRO Code of Standards and Ethics for Survey Research). </w:t>
      </w:r>
      <w:r w:rsidRPr="00F31854">
        <w:t xml:space="preserve">In </w:t>
      </w:r>
      <w:r w:rsidR="0059326E" w:rsidRPr="00F31854">
        <w:t>similar focus groups</w:t>
      </w:r>
      <w:r w:rsidRPr="00F31854">
        <w:t xml:space="preserve"> conducted by our research partner in the past year, the </w:t>
      </w:r>
      <w:r w:rsidR="009326F8" w:rsidRPr="00F31854">
        <w:t>average incentive value was $100</w:t>
      </w:r>
      <w:r w:rsidR="0028686D">
        <w:t xml:space="preserve"> (</w:t>
      </w:r>
      <w:r w:rsidRPr="00F31854">
        <w:t>the recomm</w:t>
      </w:r>
      <w:r w:rsidR="0059326E" w:rsidRPr="00F31854">
        <w:t>ended incentive for this study</w:t>
      </w:r>
      <w:r w:rsidR="0028686D">
        <w:t>)</w:t>
      </w:r>
      <w:r w:rsidR="00C23462">
        <w:t xml:space="preserve">, </w:t>
      </w:r>
      <w:r w:rsidR="009A7C91">
        <w:t xml:space="preserve">and the lowest incentive was </w:t>
      </w:r>
      <w:r w:rsidR="00C23462">
        <w:t>$75</w:t>
      </w:r>
      <w:r w:rsidR="0059326E" w:rsidRPr="00F31854">
        <w:t xml:space="preserve">. </w:t>
      </w:r>
      <w:r w:rsidR="009A7C91" w:rsidRPr="009A7C91">
        <w:t xml:space="preserve"> </w:t>
      </w:r>
      <w:r w:rsidR="009A7C91">
        <w:t>D</w:t>
      </w:r>
      <w:r w:rsidR="009A7C91" w:rsidRPr="00F31854">
        <w:t>ue to the difficult nature of this recruit</w:t>
      </w:r>
      <w:r w:rsidR="009A7C91">
        <w:t>, the research vendor has cautioned FDA that</w:t>
      </w:r>
      <w:r w:rsidR="0033171E">
        <w:t xml:space="preserve"> </w:t>
      </w:r>
      <w:r w:rsidR="00885F2F">
        <w:t xml:space="preserve">the research </w:t>
      </w:r>
      <w:proofErr w:type="gramStart"/>
      <w:r w:rsidR="009A7C91">
        <w:t xml:space="preserve">will be </w:t>
      </w:r>
      <w:r w:rsidR="00885F2F">
        <w:t>delayed</w:t>
      </w:r>
      <w:proofErr w:type="gramEnd"/>
      <w:r w:rsidR="00885F2F">
        <w:t xml:space="preserve"> </w:t>
      </w:r>
      <w:r w:rsidR="009A7C91">
        <w:t xml:space="preserve">if an insufficient incentive is offered, with </w:t>
      </w:r>
      <w:r w:rsidR="009177E1">
        <w:t xml:space="preserve">costs of up to $10,000 </w:t>
      </w:r>
      <w:r w:rsidR="00885F2F">
        <w:t>for each day of delay.</w:t>
      </w:r>
      <w:r w:rsidR="009A7C91">
        <w:t xml:space="preserve"> Additionally, </w:t>
      </w:r>
      <w:r w:rsidR="009A7C91" w:rsidRPr="00F31854">
        <w:t xml:space="preserve">the research partner will refuse to conduct the study </w:t>
      </w:r>
      <w:r w:rsidR="009A7C91">
        <w:t xml:space="preserve">if no incentive </w:t>
      </w:r>
      <w:proofErr w:type="gramStart"/>
      <w:r w:rsidR="009A7C91">
        <w:t>is provided</w:t>
      </w:r>
      <w:proofErr w:type="gramEnd"/>
      <w:r w:rsidR="009A7C91">
        <w:t xml:space="preserve">. </w:t>
      </w:r>
      <w:r w:rsidR="00885F2F">
        <w:t xml:space="preserve"> </w:t>
      </w:r>
      <w:r w:rsidR="009177E1">
        <w:t xml:space="preserve">For these </w:t>
      </w:r>
      <w:proofErr w:type="gramStart"/>
      <w:r w:rsidR="009177E1">
        <w:t>reasons</w:t>
      </w:r>
      <w:proofErr w:type="gramEnd"/>
      <w:r w:rsidR="009177E1">
        <w:t xml:space="preserve"> the minimum incentive fee requested </w:t>
      </w:r>
      <w:r w:rsidR="0028686D">
        <w:t xml:space="preserve">for this research </w:t>
      </w:r>
      <w:r w:rsidR="009177E1">
        <w:t>is $50 per respondent.</w:t>
      </w:r>
    </w:p>
    <w:p w:rsidR="00957513" w:rsidRPr="00A0495E" w:rsidRDefault="00957513" w:rsidP="00BD2651">
      <w:pPr>
        <w:autoSpaceDE w:val="0"/>
        <w:autoSpaceDN w:val="0"/>
        <w:adjustRightInd w:val="0"/>
        <w:spacing w:line="240" w:lineRule="auto"/>
        <w:ind w:right="-180"/>
        <w:rPr>
          <w:rFonts w:ascii="Times New Roman" w:hAnsi="Times New Roman" w:cs="Times New Roman"/>
          <w:color w:val="000000"/>
          <w:sz w:val="24"/>
          <w:szCs w:val="24"/>
        </w:rPr>
      </w:pPr>
    </w:p>
    <w:p w:rsidR="00957513" w:rsidRPr="00A0495E" w:rsidRDefault="00957513"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b/>
          <w:bCs/>
          <w:color w:val="000000"/>
          <w:sz w:val="24"/>
          <w:szCs w:val="24"/>
        </w:rPr>
        <w:t xml:space="preserve">Questions of a </w:t>
      </w:r>
      <w:r w:rsidR="004D3D53">
        <w:rPr>
          <w:rFonts w:ascii="Times New Roman" w:hAnsi="Times New Roman" w:cs="Times New Roman"/>
          <w:b/>
          <w:bCs/>
          <w:color w:val="000000"/>
          <w:sz w:val="24"/>
          <w:szCs w:val="24"/>
        </w:rPr>
        <w:t>s</w:t>
      </w:r>
      <w:r w:rsidRPr="00A0495E">
        <w:rPr>
          <w:rFonts w:ascii="Times New Roman" w:hAnsi="Times New Roman" w:cs="Times New Roman"/>
          <w:b/>
          <w:bCs/>
          <w:color w:val="000000"/>
          <w:sz w:val="24"/>
          <w:szCs w:val="24"/>
        </w:rPr>
        <w:t xml:space="preserve">ensitive </w:t>
      </w:r>
      <w:r w:rsidR="004D3D53">
        <w:rPr>
          <w:rFonts w:ascii="Times New Roman" w:hAnsi="Times New Roman" w:cs="Times New Roman"/>
          <w:b/>
          <w:bCs/>
          <w:color w:val="000000"/>
          <w:sz w:val="24"/>
          <w:szCs w:val="24"/>
        </w:rPr>
        <w:t>n</w:t>
      </w:r>
      <w:r w:rsidRPr="00A0495E">
        <w:rPr>
          <w:rFonts w:ascii="Times New Roman" w:hAnsi="Times New Roman" w:cs="Times New Roman"/>
          <w:b/>
          <w:bCs/>
          <w:color w:val="000000"/>
          <w:sz w:val="24"/>
          <w:szCs w:val="24"/>
        </w:rPr>
        <w:t xml:space="preserve">ature: </w:t>
      </w:r>
    </w:p>
    <w:p w:rsidR="00F52D8C" w:rsidRPr="0034611F" w:rsidRDefault="00F52D8C" w:rsidP="00BD2651">
      <w:pPr>
        <w:pStyle w:val="Default"/>
        <w:ind w:left="360" w:right="-180"/>
      </w:pPr>
      <w:r w:rsidRPr="0034611F">
        <w:t>Some studies require the inclusion of people who match selected characteristics of the target audience that the FDA is trying to r</w:t>
      </w:r>
      <w:r>
        <w:t xml:space="preserve">each. This may require asking </w:t>
      </w:r>
      <w:r w:rsidRPr="0034611F">
        <w:t>question</w:t>
      </w:r>
      <w:r>
        <w:t>s</w:t>
      </w:r>
      <w:r w:rsidRPr="0034611F">
        <w:t xml:space="preserve"> about race/ethnicity, incom</w:t>
      </w:r>
      <w:r w:rsidR="00F24041">
        <w:t xml:space="preserve">e, education, health behaviors </w:t>
      </w:r>
      <w:r w:rsidRPr="0034611F">
        <w:t xml:space="preserve">and/or health status on the initial screening questionnaire used for recruiting. Potential participants </w:t>
      </w:r>
      <w:proofErr w:type="gramStart"/>
      <w:r w:rsidRPr="0034611F">
        <w:t>are informed</w:t>
      </w:r>
      <w:proofErr w:type="gramEnd"/>
      <w:r w:rsidRPr="0034611F">
        <w:t xml:space="preserve"> that this is being done to make sure that the FDA speaks with the kinds of people for whom its messages are intended. Respondents </w:t>
      </w:r>
      <w:proofErr w:type="gramStart"/>
      <w:r w:rsidRPr="0034611F">
        <w:t>are assured</w:t>
      </w:r>
      <w:proofErr w:type="gramEnd"/>
      <w:r w:rsidRPr="0034611F">
        <w:t xml:space="preserve"> that the information is voluntary and will be treated as private </w:t>
      </w:r>
      <w:r>
        <w:t>to the extent allowable by law</w:t>
      </w:r>
      <w:r w:rsidRPr="0034611F">
        <w:t>. All information on race/ethnicity will fully comply with the standards of OMB Statistical Policy Directive No. 15, October 1997 (</w:t>
      </w:r>
      <w:r w:rsidRPr="00735052">
        <w:t>http://www.whitehouse.gov/omb/fedreg/1997standards.html</w:t>
      </w:r>
      <w:r w:rsidRPr="0034611F">
        <w:t>).</w:t>
      </w:r>
    </w:p>
    <w:p w:rsidR="00F52D8C" w:rsidRPr="0034611F" w:rsidRDefault="00F52D8C" w:rsidP="00BD2651">
      <w:pPr>
        <w:pStyle w:val="Default"/>
        <w:ind w:left="360" w:right="-180"/>
      </w:pPr>
    </w:p>
    <w:p w:rsidR="00F52D8C" w:rsidRPr="0034611F" w:rsidRDefault="00F52D8C" w:rsidP="00BD2651">
      <w:pPr>
        <w:pStyle w:val="Default"/>
        <w:ind w:left="360" w:right="-180"/>
      </w:pPr>
      <w:r w:rsidRPr="0034611F">
        <w:t>FDA tobacco</w:t>
      </w:r>
      <w:r>
        <w:t xml:space="preserve"> use</w:t>
      </w:r>
      <w:r w:rsidRPr="0034611F">
        <w:t xml:space="preserve"> communications may be concerned with the prevention of premature mortality from heart disease and oral and respiratory cancers</w:t>
      </w:r>
      <w:r>
        <w:t>,</w:t>
      </w:r>
      <w:r w:rsidRPr="0034611F">
        <w:t xml:space="preserve"> and some projects may involve asking questions about (or discussing) how one perceives his/her own personal risk for serious illness. This information </w:t>
      </w:r>
      <w:proofErr w:type="gramStart"/>
      <w:r w:rsidRPr="0034611F">
        <w:t>is needed</w:t>
      </w:r>
      <w:proofErr w:type="gramEnd"/>
      <w:r w:rsidRPr="0034611F">
        <w:t xml:space="preserve"> to gain a better understanding of the target audience s</w:t>
      </w:r>
      <w:r w:rsidR="00F24041">
        <w:t>o that the messages, strategies</w:t>
      </w:r>
      <w:r w:rsidRPr="0034611F">
        <w:t xml:space="preserve"> and materials designed will be appropriate and sensitive. Questions of this nature, while not as personal as those about sexual behavior or religious beliefs</w:t>
      </w:r>
      <w:r>
        <w:t>,</w:t>
      </w:r>
      <w:r w:rsidRPr="0034611F">
        <w:t xml:space="preserve"> for instance, still require some sensitivity in how they </w:t>
      </w:r>
      <w:proofErr w:type="gramStart"/>
      <w:r w:rsidRPr="0034611F">
        <w:t>are worded and approached</w:t>
      </w:r>
      <w:proofErr w:type="gramEnd"/>
      <w:r w:rsidRPr="0034611F">
        <w:t xml:space="preserve">. In face-to-face data collections, questions of this kind </w:t>
      </w:r>
      <w:proofErr w:type="gramStart"/>
      <w:r w:rsidRPr="0034611F">
        <w:t>are generally asked</w:t>
      </w:r>
      <w:proofErr w:type="gramEnd"/>
      <w:r w:rsidRPr="0034611F">
        <w:t xml:space="preserve"> later in the interview or group discussion, when respondents are more comfortable with the interview situation and are more at ease with the interviewer/moderator. Participants </w:t>
      </w:r>
      <w:proofErr w:type="gramStart"/>
      <w:r w:rsidRPr="0034611F">
        <w:t>are informed</w:t>
      </w:r>
      <w:proofErr w:type="gramEnd"/>
      <w:r w:rsidRPr="0034611F">
        <w:t xml:space="preserve"> prior to actual participation about the nature of the activity and the voluntary nature of their participation. The interviewer/moderator makes it clear that they do not have to respond to any question that makes them uncomfortable. </w:t>
      </w:r>
    </w:p>
    <w:p w:rsidR="00F52D8C" w:rsidRPr="0034611F" w:rsidRDefault="00F52D8C" w:rsidP="00BD2651">
      <w:pPr>
        <w:pStyle w:val="Default"/>
        <w:ind w:left="360" w:right="-180"/>
      </w:pPr>
    </w:p>
    <w:p w:rsidR="00F52D8C" w:rsidRPr="0034611F" w:rsidRDefault="00F52D8C" w:rsidP="00BD2651">
      <w:pPr>
        <w:pStyle w:val="Default"/>
        <w:ind w:left="360" w:right="-180"/>
      </w:pPr>
      <w:r w:rsidRPr="0034611F">
        <w:t xml:space="preserve">FDA tobacco communications may also be concerned with discouraging tobacco use by youth before they start. The FDA acknowledges the sensitivity of questions about the purchase and use of tobacco, which is illegal for minors in </w:t>
      </w:r>
      <w:r>
        <w:t>most</w:t>
      </w:r>
      <w:r w:rsidRPr="0034611F">
        <w:t xml:space="preserve"> states. Because questions are being asked of youth aged 12–17, </w:t>
      </w:r>
      <w:proofErr w:type="gramStart"/>
      <w:r w:rsidRPr="0034611F">
        <w:t>interviews will be conducted by moderators specifically trained for interactions with youth</w:t>
      </w:r>
      <w:proofErr w:type="gramEnd"/>
      <w:r w:rsidRPr="0034611F">
        <w:t xml:space="preserve">. </w:t>
      </w:r>
    </w:p>
    <w:p w:rsidR="00F52D8C" w:rsidRPr="0034611F" w:rsidRDefault="00F52D8C" w:rsidP="00BD2651">
      <w:pPr>
        <w:pStyle w:val="Default"/>
        <w:ind w:left="360" w:right="-180"/>
      </w:pPr>
    </w:p>
    <w:p w:rsidR="00F52D8C" w:rsidRPr="0034611F" w:rsidRDefault="00F52D8C" w:rsidP="00BD2651">
      <w:pPr>
        <w:pStyle w:val="Default"/>
        <w:ind w:left="360" w:right="-180"/>
      </w:pPr>
      <w:r w:rsidRPr="0034611F">
        <w:t xml:space="preserve">Raw data from data collections that include sensitive information (e.g., screening questionnaires and audiotapes) </w:t>
      </w:r>
      <w:proofErr w:type="gramStart"/>
      <w:r w:rsidRPr="0034611F">
        <w:t>are not retained</w:t>
      </w:r>
      <w:proofErr w:type="gramEnd"/>
      <w:r w:rsidRPr="0034611F">
        <w:t xml:space="preserve"> once the data have been extracted and aggregated. The information never becomes part of a system of records containing permanent identifiers that </w:t>
      </w:r>
      <w:proofErr w:type="gramStart"/>
      <w:r w:rsidRPr="0034611F">
        <w:t>can be used</w:t>
      </w:r>
      <w:proofErr w:type="gramEnd"/>
      <w:r w:rsidRPr="0034611F">
        <w:t xml:space="preserve"> for retrieval.</w:t>
      </w:r>
    </w:p>
    <w:p w:rsidR="00957513" w:rsidRPr="00F24041" w:rsidRDefault="00957513" w:rsidP="00BD2651">
      <w:p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color w:val="000000"/>
          <w:sz w:val="24"/>
          <w:szCs w:val="24"/>
        </w:rPr>
        <w:t xml:space="preserve"> </w:t>
      </w:r>
    </w:p>
    <w:p w:rsidR="00957513" w:rsidRPr="00A0495E" w:rsidRDefault="00957513" w:rsidP="00BD2651">
      <w:pPr>
        <w:pStyle w:val="ListParagraph"/>
        <w:numPr>
          <w:ilvl w:val="0"/>
          <w:numId w:val="2"/>
        </w:num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b/>
          <w:bCs/>
          <w:color w:val="000000"/>
          <w:sz w:val="24"/>
          <w:szCs w:val="24"/>
        </w:rPr>
        <w:lastRenderedPageBreak/>
        <w:t xml:space="preserve">Assurance of </w:t>
      </w:r>
      <w:r w:rsidR="004D3D53">
        <w:rPr>
          <w:rFonts w:ascii="Times New Roman" w:hAnsi="Times New Roman" w:cs="Times New Roman"/>
          <w:b/>
          <w:bCs/>
          <w:color w:val="000000"/>
          <w:sz w:val="24"/>
          <w:szCs w:val="24"/>
        </w:rPr>
        <w:t>p</w:t>
      </w:r>
      <w:r w:rsidRPr="00A0495E">
        <w:rPr>
          <w:rFonts w:ascii="Times New Roman" w:hAnsi="Times New Roman" w:cs="Times New Roman"/>
          <w:b/>
          <w:bCs/>
          <w:color w:val="000000"/>
          <w:sz w:val="24"/>
          <w:szCs w:val="24"/>
        </w:rPr>
        <w:t xml:space="preserve">rivacy </w:t>
      </w:r>
      <w:r w:rsidR="004D3D53">
        <w:rPr>
          <w:rFonts w:ascii="Times New Roman" w:hAnsi="Times New Roman" w:cs="Times New Roman"/>
          <w:b/>
          <w:bCs/>
          <w:color w:val="000000"/>
          <w:sz w:val="24"/>
          <w:szCs w:val="24"/>
        </w:rPr>
        <w:t>p</w:t>
      </w:r>
      <w:r w:rsidRPr="00A0495E">
        <w:rPr>
          <w:rFonts w:ascii="Times New Roman" w:hAnsi="Times New Roman" w:cs="Times New Roman"/>
          <w:b/>
          <w:bCs/>
          <w:color w:val="000000"/>
          <w:sz w:val="24"/>
          <w:szCs w:val="24"/>
        </w:rPr>
        <w:t xml:space="preserve">rovided to </w:t>
      </w:r>
      <w:r w:rsidR="004D3D53">
        <w:rPr>
          <w:rFonts w:ascii="Times New Roman" w:hAnsi="Times New Roman" w:cs="Times New Roman"/>
          <w:b/>
          <w:bCs/>
          <w:color w:val="000000"/>
          <w:sz w:val="24"/>
          <w:szCs w:val="24"/>
        </w:rPr>
        <w:t>r</w:t>
      </w:r>
      <w:r w:rsidRPr="00A0495E">
        <w:rPr>
          <w:rFonts w:ascii="Times New Roman" w:hAnsi="Times New Roman" w:cs="Times New Roman"/>
          <w:b/>
          <w:bCs/>
          <w:color w:val="000000"/>
          <w:sz w:val="24"/>
          <w:szCs w:val="24"/>
        </w:rPr>
        <w:t>espondents</w:t>
      </w:r>
      <w:r w:rsidR="004D3D53">
        <w:rPr>
          <w:rFonts w:ascii="Times New Roman" w:hAnsi="Times New Roman" w:cs="Times New Roman"/>
          <w:b/>
          <w:bCs/>
          <w:color w:val="000000"/>
          <w:sz w:val="24"/>
          <w:szCs w:val="24"/>
        </w:rPr>
        <w:t>:</w:t>
      </w:r>
      <w:r w:rsidRPr="00A0495E">
        <w:rPr>
          <w:rFonts w:ascii="Times New Roman" w:hAnsi="Times New Roman" w:cs="Times New Roman"/>
          <w:b/>
          <w:bCs/>
          <w:color w:val="000000"/>
          <w:sz w:val="24"/>
          <w:szCs w:val="24"/>
        </w:rPr>
        <w:t xml:space="preserve"> </w:t>
      </w:r>
    </w:p>
    <w:p w:rsidR="00957513" w:rsidRDefault="00957513" w:rsidP="00BD2651">
      <w:p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color w:val="000000"/>
          <w:sz w:val="24"/>
          <w:szCs w:val="24"/>
        </w:rPr>
        <w:t xml:space="preserve">Before each group begins, the moderator will obtain verbal consent from the participants to </w:t>
      </w:r>
      <w:r w:rsidR="004B7454">
        <w:rPr>
          <w:rFonts w:ascii="Times New Roman" w:hAnsi="Times New Roman" w:cs="Times New Roman"/>
          <w:color w:val="000000"/>
          <w:sz w:val="24"/>
          <w:szCs w:val="24"/>
        </w:rPr>
        <w:t xml:space="preserve">audiotape </w:t>
      </w:r>
      <w:r w:rsidR="002B6165">
        <w:rPr>
          <w:rFonts w:ascii="Times New Roman" w:hAnsi="Times New Roman" w:cs="Times New Roman"/>
          <w:color w:val="000000"/>
          <w:sz w:val="24"/>
          <w:szCs w:val="24"/>
        </w:rPr>
        <w:t>the session</w:t>
      </w:r>
      <w:r w:rsidRPr="00A0495E">
        <w:rPr>
          <w:rFonts w:ascii="Times New Roman" w:hAnsi="Times New Roman" w:cs="Times New Roman"/>
          <w:color w:val="000000"/>
          <w:sz w:val="24"/>
          <w:szCs w:val="24"/>
        </w:rPr>
        <w:t>. In the e</w:t>
      </w:r>
      <w:r w:rsidR="002B6165">
        <w:rPr>
          <w:rFonts w:ascii="Times New Roman" w:hAnsi="Times New Roman" w:cs="Times New Roman"/>
          <w:color w:val="000000"/>
          <w:sz w:val="24"/>
          <w:szCs w:val="24"/>
        </w:rPr>
        <w:t>vent consent is not given, the c</w:t>
      </w:r>
      <w:r w:rsidRPr="00A0495E">
        <w:rPr>
          <w:rFonts w:ascii="Times New Roman" w:hAnsi="Times New Roman" w:cs="Times New Roman"/>
          <w:color w:val="000000"/>
          <w:sz w:val="24"/>
          <w:szCs w:val="24"/>
        </w:rPr>
        <w:t xml:space="preserve">ontractor will refrain from </w:t>
      </w:r>
      <w:r w:rsidR="006F46F8">
        <w:rPr>
          <w:rFonts w:ascii="Times New Roman" w:hAnsi="Times New Roman" w:cs="Times New Roman"/>
          <w:color w:val="000000"/>
          <w:sz w:val="24"/>
          <w:szCs w:val="24"/>
        </w:rPr>
        <w:t xml:space="preserve">audiotaping </w:t>
      </w:r>
      <w:r w:rsidRPr="00A0495E">
        <w:rPr>
          <w:rFonts w:ascii="Times New Roman" w:hAnsi="Times New Roman" w:cs="Times New Roman"/>
          <w:color w:val="000000"/>
          <w:sz w:val="24"/>
          <w:szCs w:val="24"/>
        </w:rPr>
        <w:t xml:space="preserve">the session. </w:t>
      </w:r>
    </w:p>
    <w:p w:rsidR="00F26180" w:rsidRPr="00A0495E" w:rsidRDefault="00F26180" w:rsidP="00BD2651">
      <w:pPr>
        <w:autoSpaceDE w:val="0"/>
        <w:autoSpaceDN w:val="0"/>
        <w:adjustRightInd w:val="0"/>
        <w:spacing w:line="240" w:lineRule="auto"/>
        <w:ind w:left="360" w:right="-180"/>
        <w:rPr>
          <w:rFonts w:ascii="Times New Roman" w:hAnsi="Times New Roman" w:cs="Times New Roman"/>
          <w:color w:val="000000"/>
          <w:sz w:val="24"/>
          <w:szCs w:val="24"/>
        </w:rPr>
      </w:pPr>
    </w:p>
    <w:p w:rsidR="00957513" w:rsidRPr="00A0495E" w:rsidRDefault="004D3D53" w:rsidP="00BD2651">
      <w:pPr>
        <w:autoSpaceDE w:val="0"/>
        <w:autoSpaceDN w:val="0"/>
        <w:adjustRightInd w:val="0"/>
        <w:spacing w:line="240" w:lineRule="auto"/>
        <w:ind w:left="360" w:right="-180"/>
        <w:rPr>
          <w:rFonts w:ascii="Times New Roman" w:hAnsi="Times New Roman" w:cs="Times New Roman"/>
          <w:color w:val="000000"/>
          <w:sz w:val="24"/>
          <w:szCs w:val="24"/>
        </w:rPr>
      </w:pPr>
      <w:r>
        <w:rPr>
          <w:rFonts w:ascii="Times New Roman" w:hAnsi="Times New Roman" w:cs="Times New Roman"/>
          <w:color w:val="000000"/>
          <w:sz w:val="24"/>
          <w:szCs w:val="24"/>
        </w:rPr>
        <w:t>The contractor</w:t>
      </w:r>
      <w:r w:rsidRPr="00A0495E">
        <w:rPr>
          <w:rFonts w:ascii="Times New Roman" w:hAnsi="Times New Roman" w:cs="Times New Roman"/>
          <w:color w:val="000000"/>
          <w:sz w:val="24"/>
          <w:szCs w:val="24"/>
        </w:rPr>
        <w:t xml:space="preserve"> </w:t>
      </w:r>
      <w:r w:rsidR="00957513" w:rsidRPr="00A0495E">
        <w:rPr>
          <w:rFonts w:ascii="Times New Roman" w:hAnsi="Times New Roman" w:cs="Times New Roman"/>
          <w:color w:val="000000"/>
          <w:sz w:val="24"/>
          <w:szCs w:val="24"/>
        </w:rPr>
        <w:t xml:space="preserve">will produce transcriptions of the tapes to assist in report writing and to provide the FDA with a written record of the sessions. One paper and one electronic copy of the transcripts </w:t>
      </w:r>
      <w:proofErr w:type="gramStart"/>
      <w:r w:rsidR="002B6165">
        <w:rPr>
          <w:rFonts w:ascii="Times New Roman" w:hAnsi="Times New Roman" w:cs="Times New Roman"/>
          <w:color w:val="000000"/>
          <w:sz w:val="24"/>
          <w:szCs w:val="24"/>
        </w:rPr>
        <w:t>will be supplied</w:t>
      </w:r>
      <w:proofErr w:type="gramEnd"/>
      <w:r w:rsidR="002B6165">
        <w:rPr>
          <w:rFonts w:ascii="Times New Roman" w:hAnsi="Times New Roman" w:cs="Times New Roman"/>
          <w:color w:val="000000"/>
          <w:sz w:val="24"/>
          <w:szCs w:val="24"/>
        </w:rPr>
        <w:t>. The audiotape and transcript</w:t>
      </w:r>
      <w:r w:rsidR="00957513" w:rsidRPr="00A0495E">
        <w:rPr>
          <w:rFonts w:ascii="Times New Roman" w:hAnsi="Times New Roman" w:cs="Times New Roman"/>
          <w:color w:val="000000"/>
          <w:sz w:val="24"/>
          <w:szCs w:val="24"/>
        </w:rPr>
        <w:t xml:space="preserve"> for a given group will be available to the FDA within two weeks of the completion of that data collection. To ensure participant privacy, the contractor will redact the recordings and transcripts. </w:t>
      </w:r>
    </w:p>
    <w:p w:rsidR="00957513" w:rsidRPr="00A0495E" w:rsidRDefault="00957513" w:rsidP="00BD2651">
      <w:pPr>
        <w:autoSpaceDE w:val="0"/>
        <w:autoSpaceDN w:val="0"/>
        <w:adjustRightInd w:val="0"/>
        <w:spacing w:line="240" w:lineRule="auto"/>
        <w:ind w:left="360" w:right="-180"/>
        <w:rPr>
          <w:rFonts w:ascii="Times New Roman" w:hAnsi="Times New Roman" w:cs="Times New Roman"/>
          <w:color w:val="000000"/>
          <w:sz w:val="24"/>
          <w:szCs w:val="24"/>
        </w:rPr>
      </w:pPr>
    </w:p>
    <w:p w:rsidR="00957513" w:rsidRPr="00A0495E" w:rsidRDefault="00957513" w:rsidP="00BD2651">
      <w:pPr>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color w:val="000000"/>
          <w:sz w:val="24"/>
          <w:szCs w:val="24"/>
        </w:rPr>
        <w:t xml:space="preserve">All data </w:t>
      </w:r>
      <w:proofErr w:type="gramStart"/>
      <w:r w:rsidRPr="00A0495E">
        <w:rPr>
          <w:rFonts w:ascii="Times New Roman" w:hAnsi="Times New Roman" w:cs="Times New Roman"/>
          <w:color w:val="000000"/>
          <w:sz w:val="24"/>
          <w:szCs w:val="24"/>
        </w:rPr>
        <w:t>will be collected</w:t>
      </w:r>
      <w:proofErr w:type="gramEnd"/>
      <w:r w:rsidRPr="00A0495E">
        <w:rPr>
          <w:rFonts w:ascii="Times New Roman" w:hAnsi="Times New Roman" w:cs="Times New Roman"/>
          <w:color w:val="000000"/>
          <w:sz w:val="24"/>
          <w:szCs w:val="24"/>
        </w:rPr>
        <w:t xml:space="preserve"> with an assurance that the respondent</w:t>
      </w:r>
      <w:r w:rsidR="002B6165">
        <w:rPr>
          <w:rFonts w:ascii="Times New Roman" w:hAnsi="Times New Roman" w:cs="Times New Roman"/>
          <w:color w:val="000000"/>
          <w:sz w:val="24"/>
          <w:szCs w:val="24"/>
        </w:rPr>
        <w:t>s’</w:t>
      </w:r>
      <w:r w:rsidRPr="00A0495E">
        <w:rPr>
          <w:rFonts w:ascii="Times New Roman" w:hAnsi="Times New Roman" w:cs="Times New Roman"/>
          <w:color w:val="000000"/>
          <w:sz w:val="24"/>
          <w:szCs w:val="24"/>
        </w:rPr>
        <w:t xml:space="preserve"> discussions will remain private to the extent provided by law. The study moderator’s guide and consent form will contain a statement that no one will be able to link the</w:t>
      </w:r>
      <w:r w:rsidR="002B6165">
        <w:rPr>
          <w:rFonts w:ascii="Times New Roman" w:hAnsi="Times New Roman" w:cs="Times New Roman"/>
          <w:color w:val="000000"/>
          <w:sz w:val="24"/>
          <w:szCs w:val="24"/>
        </w:rPr>
        <w:t xml:space="preserve"> respondent’s identity to his/her </w:t>
      </w:r>
      <w:r w:rsidRPr="00A0495E">
        <w:rPr>
          <w:rFonts w:ascii="Times New Roman" w:hAnsi="Times New Roman" w:cs="Times New Roman"/>
          <w:color w:val="000000"/>
          <w:sz w:val="24"/>
          <w:szCs w:val="24"/>
        </w:rPr>
        <w:t xml:space="preserve">responses. Identifying information will not be included in the data files delivered by contractors to the agency. </w:t>
      </w:r>
    </w:p>
    <w:p w:rsidR="00957513" w:rsidRPr="00A0495E" w:rsidRDefault="00957513" w:rsidP="00BD2651">
      <w:pPr>
        <w:pStyle w:val="Default"/>
        <w:ind w:left="360" w:right="-180"/>
      </w:pPr>
    </w:p>
    <w:p w:rsidR="004D3D53" w:rsidRPr="003534E9" w:rsidRDefault="00957513" w:rsidP="00BD2651">
      <w:pPr>
        <w:pStyle w:val="Default"/>
        <w:ind w:left="360" w:right="-180"/>
      </w:pPr>
      <w:r w:rsidRPr="00A0495E">
        <w:t>Neither independent contractor</w:t>
      </w:r>
      <w:r w:rsidR="004D3D53">
        <w:t>s</w:t>
      </w:r>
      <w:r w:rsidRPr="00A0495E">
        <w:t xml:space="preserve"> nor focus group agencies will share personal information regarding panel members with any third party without the participant’s permission unless it </w:t>
      </w:r>
      <w:proofErr w:type="gramStart"/>
      <w:r w:rsidRPr="00A0495E">
        <w:t>is required</w:t>
      </w:r>
      <w:proofErr w:type="gramEnd"/>
      <w:r w:rsidRPr="00A0495E">
        <w:t xml:space="preserve"> by law to protect their rights or to comply with judicial proceedings, </w:t>
      </w:r>
      <w:r w:rsidR="002B6165">
        <w:t xml:space="preserve">a </w:t>
      </w:r>
      <w:r w:rsidRPr="00A0495E">
        <w:t xml:space="preserve">court order, or other legal process. Identifying information will not be included in the transcripts and digital recordings delivered to the agency. Upon final delivery to </w:t>
      </w:r>
      <w:r w:rsidR="002B6165">
        <w:t xml:space="preserve">the </w:t>
      </w:r>
      <w:r w:rsidRPr="00A0495E">
        <w:t xml:space="preserve">FDA, transcripts and digital recordings </w:t>
      </w:r>
      <w:proofErr w:type="gramStart"/>
      <w:r w:rsidRPr="00A0495E">
        <w:t>will be destroyed</w:t>
      </w:r>
      <w:proofErr w:type="gramEnd"/>
      <w:r w:rsidRPr="00A0495E">
        <w:t xml:space="preserve">. All data received by </w:t>
      </w:r>
      <w:r w:rsidR="002B6165">
        <w:t xml:space="preserve">the </w:t>
      </w:r>
      <w:r w:rsidRPr="00A0495E">
        <w:t xml:space="preserve">FDA will remain in a secured area. No data will contain identifying information. </w:t>
      </w:r>
    </w:p>
    <w:p w:rsidR="004D3D53" w:rsidRDefault="004D3D53" w:rsidP="00BD2651">
      <w:pPr>
        <w:autoSpaceDE w:val="0"/>
        <w:autoSpaceDN w:val="0"/>
        <w:adjustRightInd w:val="0"/>
        <w:spacing w:line="240" w:lineRule="auto"/>
        <w:ind w:right="-180"/>
        <w:rPr>
          <w:rFonts w:ascii="Times New Roman" w:hAnsi="Times New Roman" w:cs="Times New Roman"/>
          <w:b/>
          <w:bCs/>
          <w:color w:val="000000"/>
          <w:sz w:val="24"/>
          <w:szCs w:val="24"/>
        </w:rPr>
      </w:pPr>
    </w:p>
    <w:p w:rsidR="00957513" w:rsidRPr="00A0495E" w:rsidRDefault="00957513" w:rsidP="00BD2651">
      <w:pPr>
        <w:pStyle w:val="ListParagraph"/>
        <w:numPr>
          <w:ilvl w:val="0"/>
          <w:numId w:val="2"/>
        </w:numPr>
        <w:tabs>
          <w:tab w:val="left" w:pos="360"/>
        </w:tabs>
        <w:autoSpaceDE w:val="0"/>
        <w:autoSpaceDN w:val="0"/>
        <w:adjustRightInd w:val="0"/>
        <w:spacing w:line="240" w:lineRule="auto"/>
        <w:ind w:left="360" w:right="-180"/>
        <w:rPr>
          <w:rFonts w:ascii="Times New Roman" w:hAnsi="Times New Roman" w:cs="Times New Roman"/>
          <w:color w:val="000000"/>
          <w:sz w:val="24"/>
          <w:szCs w:val="24"/>
        </w:rPr>
      </w:pPr>
      <w:r w:rsidRPr="00A0495E">
        <w:rPr>
          <w:rFonts w:ascii="Times New Roman" w:hAnsi="Times New Roman" w:cs="Times New Roman"/>
          <w:b/>
          <w:bCs/>
          <w:color w:val="000000"/>
          <w:sz w:val="24"/>
          <w:szCs w:val="24"/>
        </w:rPr>
        <w:t xml:space="preserve">Description of </w:t>
      </w:r>
      <w:r w:rsidR="004D3D53">
        <w:rPr>
          <w:rFonts w:ascii="Times New Roman" w:hAnsi="Times New Roman" w:cs="Times New Roman"/>
          <w:b/>
          <w:bCs/>
          <w:color w:val="000000"/>
          <w:sz w:val="24"/>
          <w:szCs w:val="24"/>
        </w:rPr>
        <w:t>s</w:t>
      </w:r>
      <w:r w:rsidRPr="00A0495E">
        <w:rPr>
          <w:rFonts w:ascii="Times New Roman" w:hAnsi="Times New Roman" w:cs="Times New Roman"/>
          <w:b/>
          <w:bCs/>
          <w:color w:val="000000"/>
          <w:sz w:val="24"/>
          <w:szCs w:val="24"/>
        </w:rPr>
        <w:t xml:space="preserve">tatistical </w:t>
      </w:r>
      <w:r w:rsidR="004D3D53">
        <w:rPr>
          <w:rFonts w:ascii="Times New Roman" w:hAnsi="Times New Roman" w:cs="Times New Roman"/>
          <w:b/>
          <w:bCs/>
          <w:color w:val="000000"/>
          <w:sz w:val="24"/>
          <w:szCs w:val="24"/>
        </w:rPr>
        <w:t>m</w:t>
      </w:r>
      <w:r w:rsidR="003534E9">
        <w:rPr>
          <w:rFonts w:ascii="Times New Roman" w:hAnsi="Times New Roman" w:cs="Times New Roman"/>
          <w:b/>
          <w:bCs/>
          <w:color w:val="000000"/>
          <w:sz w:val="24"/>
          <w:szCs w:val="24"/>
        </w:rPr>
        <w:t>ethods (</w:t>
      </w:r>
      <w:r w:rsidR="002B6165">
        <w:rPr>
          <w:rFonts w:ascii="Times New Roman" w:hAnsi="Times New Roman" w:cs="Times New Roman"/>
          <w:b/>
          <w:bCs/>
          <w:color w:val="000000"/>
          <w:sz w:val="24"/>
          <w:szCs w:val="24"/>
        </w:rPr>
        <w:t>e.g</w:t>
      </w:r>
      <w:r w:rsidR="004D3D53">
        <w:rPr>
          <w:rFonts w:ascii="Times New Roman" w:hAnsi="Times New Roman" w:cs="Times New Roman"/>
          <w:b/>
          <w:bCs/>
          <w:color w:val="000000"/>
          <w:sz w:val="24"/>
          <w:szCs w:val="24"/>
        </w:rPr>
        <w:t>.,</w:t>
      </w:r>
      <w:r w:rsidRPr="00A0495E">
        <w:rPr>
          <w:rFonts w:ascii="Times New Roman" w:hAnsi="Times New Roman" w:cs="Times New Roman"/>
          <w:b/>
          <w:bCs/>
          <w:color w:val="000000"/>
          <w:sz w:val="24"/>
          <w:szCs w:val="24"/>
        </w:rPr>
        <w:t xml:space="preserve"> </w:t>
      </w:r>
      <w:r w:rsidR="004D3D53">
        <w:rPr>
          <w:rFonts w:ascii="Times New Roman" w:hAnsi="Times New Roman" w:cs="Times New Roman"/>
          <w:b/>
          <w:bCs/>
          <w:color w:val="000000"/>
          <w:sz w:val="24"/>
          <w:szCs w:val="24"/>
        </w:rPr>
        <w:t>s</w:t>
      </w:r>
      <w:r w:rsidRPr="00A0495E">
        <w:rPr>
          <w:rFonts w:ascii="Times New Roman" w:hAnsi="Times New Roman" w:cs="Times New Roman"/>
          <w:b/>
          <w:bCs/>
          <w:color w:val="000000"/>
          <w:sz w:val="24"/>
          <w:szCs w:val="24"/>
        </w:rPr>
        <w:t xml:space="preserve">ample </w:t>
      </w:r>
      <w:r w:rsidR="004D3D53">
        <w:rPr>
          <w:rFonts w:ascii="Times New Roman" w:hAnsi="Times New Roman" w:cs="Times New Roman"/>
          <w:b/>
          <w:bCs/>
          <w:color w:val="000000"/>
          <w:sz w:val="24"/>
          <w:szCs w:val="24"/>
        </w:rPr>
        <w:t>s</w:t>
      </w:r>
      <w:r w:rsidRPr="00A0495E">
        <w:rPr>
          <w:rFonts w:ascii="Times New Roman" w:hAnsi="Times New Roman" w:cs="Times New Roman"/>
          <w:b/>
          <w:bCs/>
          <w:color w:val="000000"/>
          <w:sz w:val="24"/>
          <w:szCs w:val="24"/>
        </w:rPr>
        <w:t xml:space="preserve">ize </w:t>
      </w:r>
      <w:r w:rsidR="004D3D53">
        <w:rPr>
          <w:rFonts w:ascii="Times New Roman" w:hAnsi="Times New Roman" w:cs="Times New Roman"/>
          <w:b/>
          <w:bCs/>
          <w:color w:val="000000"/>
          <w:sz w:val="24"/>
          <w:szCs w:val="24"/>
        </w:rPr>
        <w:t>and</w:t>
      </w:r>
      <w:r w:rsidRPr="00A0495E">
        <w:rPr>
          <w:rFonts w:ascii="Times New Roman" w:hAnsi="Times New Roman" w:cs="Times New Roman"/>
          <w:b/>
          <w:bCs/>
          <w:color w:val="000000"/>
          <w:sz w:val="24"/>
          <w:szCs w:val="24"/>
        </w:rPr>
        <w:t xml:space="preserve"> </w:t>
      </w:r>
      <w:r w:rsidR="004D3D53">
        <w:rPr>
          <w:rFonts w:ascii="Times New Roman" w:hAnsi="Times New Roman" w:cs="Times New Roman"/>
          <w:b/>
          <w:bCs/>
          <w:color w:val="000000"/>
          <w:sz w:val="24"/>
          <w:szCs w:val="24"/>
        </w:rPr>
        <w:t>m</w:t>
      </w:r>
      <w:r w:rsidRPr="00A0495E">
        <w:rPr>
          <w:rFonts w:ascii="Times New Roman" w:hAnsi="Times New Roman" w:cs="Times New Roman"/>
          <w:b/>
          <w:bCs/>
          <w:color w:val="000000"/>
          <w:sz w:val="24"/>
          <w:szCs w:val="24"/>
        </w:rPr>
        <w:t xml:space="preserve">ethod of </w:t>
      </w:r>
      <w:r w:rsidR="004D3D53">
        <w:rPr>
          <w:rFonts w:ascii="Times New Roman" w:hAnsi="Times New Roman" w:cs="Times New Roman"/>
          <w:b/>
          <w:bCs/>
          <w:color w:val="000000"/>
          <w:sz w:val="24"/>
          <w:szCs w:val="24"/>
        </w:rPr>
        <w:t>s</w:t>
      </w:r>
      <w:r w:rsidRPr="00A0495E">
        <w:rPr>
          <w:rFonts w:ascii="Times New Roman" w:hAnsi="Times New Roman" w:cs="Times New Roman"/>
          <w:b/>
          <w:bCs/>
          <w:color w:val="000000"/>
          <w:sz w:val="24"/>
          <w:szCs w:val="24"/>
        </w:rPr>
        <w:t xml:space="preserve">election): </w:t>
      </w:r>
    </w:p>
    <w:p w:rsidR="00957513" w:rsidRDefault="003F2554" w:rsidP="00BD2651">
      <w:pPr>
        <w:spacing w:line="240" w:lineRule="auto"/>
        <w:ind w:left="360" w:right="-180"/>
        <w:rPr>
          <w:rFonts w:ascii="Times New Roman" w:hAnsi="Times New Roman" w:cs="Times New Roman"/>
          <w:color w:val="000000"/>
          <w:sz w:val="24"/>
          <w:szCs w:val="24"/>
        </w:rPr>
      </w:pPr>
      <w:r w:rsidRPr="003F2554">
        <w:rPr>
          <w:rFonts w:ascii="Times New Roman" w:hAnsi="Times New Roman" w:cs="Times New Roman"/>
          <w:color w:val="000000"/>
          <w:sz w:val="24"/>
          <w:szCs w:val="24"/>
        </w:rPr>
        <w:t xml:space="preserve">This research relies on qualitative methods and </w:t>
      </w:r>
      <w:proofErr w:type="gramStart"/>
      <w:r w:rsidRPr="003F2554">
        <w:rPr>
          <w:rFonts w:ascii="Times New Roman" w:hAnsi="Times New Roman" w:cs="Times New Roman"/>
          <w:color w:val="000000"/>
          <w:sz w:val="24"/>
          <w:szCs w:val="24"/>
        </w:rPr>
        <w:t>is not intended</w:t>
      </w:r>
      <w:proofErr w:type="gramEnd"/>
      <w:r w:rsidRPr="003F2554">
        <w:rPr>
          <w:rFonts w:ascii="Times New Roman" w:hAnsi="Times New Roman" w:cs="Times New Roman"/>
          <w:color w:val="000000"/>
          <w:sz w:val="24"/>
          <w:szCs w:val="24"/>
        </w:rPr>
        <w:t xml:space="preserve"> to yield results that are statistically projectable. Participants </w:t>
      </w:r>
      <w:proofErr w:type="gramStart"/>
      <w:r w:rsidRPr="003F2554">
        <w:rPr>
          <w:rFonts w:ascii="Times New Roman" w:hAnsi="Times New Roman" w:cs="Times New Roman"/>
          <w:color w:val="000000"/>
          <w:sz w:val="24"/>
          <w:szCs w:val="24"/>
        </w:rPr>
        <w:t>will be identified</w:t>
      </w:r>
      <w:proofErr w:type="gramEnd"/>
      <w:r w:rsidRPr="003F2554">
        <w:rPr>
          <w:rFonts w:ascii="Times New Roman" w:hAnsi="Times New Roman" w:cs="Times New Roman"/>
          <w:color w:val="000000"/>
          <w:sz w:val="24"/>
          <w:szCs w:val="24"/>
        </w:rPr>
        <w:t xml:space="preserve"> using standard telephone recruitment procedures that employ screening ques</w:t>
      </w:r>
      <w:r w:rsidR="00F24041">
        <w:rPr>
          <w:rFonts w:ascii="Times New Roman" w:hAnsi="Times New Roman" w:cs="Times New Roman"/>
          <w:color w:val="000000"/>
          <w:sz w:val="24"/>
          <w:szCs w:val="24"/>
        </w:rPr>
        <w:t xml:space="preserve">tions about age; current, past </w:t>
      </w:r>
      <w:r w:rsidRPr="003F2554">
        <w:rPr>
          <w:rFonts w:ascii="Times New Roman" w:hAnsi="Times New Roman" w:cs="Times New Roman"/>
          <w:color w:val="000000"/>
          <w:sz w:val="24"/>
          <w:szCs w:val="24"/>
        </w:rPr>
        <w:t xml:space="preserve">and intended </w:t>
      </w:r>
      <w:r w:rsidR="00AA5C39">
        <w:rPr>
          <w:rFonts w:ascii="Times New Roman" w:hAnsi="Times New Roman" w:cs="Times New Roman"/>
          <w:color w:val="000000"/>
          <w:sz w:val="24"/>
          <w:szCs w:val="24"/>
        </w:rPr>
        <w:t>cigarette smoking</w:t>
      </w:r>
      <w:r w:rsidRPr="003F2554">
        <w:rPr>
          <w:rFonts w:ascii="Times New Roman" w:hAnsi="Times New Roman" w:cs="Times New Roman"/>
          <w:color w:val="000000"/>
          <w:sz w:val="24"/>
          <w:szCs w:val="24"/>
        </w:rPr>
        <w:t xml:space="preserve">; race and ethnicity; and gender. Recruitment will continue until a representative sample of the required number of participants for each </w:t>
      </w:r>
      <w:r w:rsidR="00D776F7">
        <w:rPr>
          <w:rFonts w:ascii="Times New Roman" w:hAnsi="Times New Roman" w:cs="Times New Roman"/>
          <w:color w:val="000000"/>
          <w:sz w:val="24"/>
          <w:szCs w:val="24"/>
        </w:rPr>
        <w:t>group</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is obtained</w:t>
      </w:r>
      <w:proofErr w:type="gramEnd"/>
      <w:r>
        <w:rPr>
          <w:rFonts w:ascii="Times New Roman" w:hAnsi="Times New Roman" w:cs="Times New Roman"/>
          <w:color w:val="000000"/>
          <w:sz w:val="24"/>
          <w:szCs w:val="24"/>
        </w:rPr>
        <w:t>.</w:t>
      </w:r>
    </w:p>
    <w:p w:rsidR="00AF17D7" w:rsidRPr="003F2554" w:rsidRDefault="00AF17D7" w:rsidP="003F2554">
      <w:pPr>
        <w:spacing w:line="240" w:lineRule="auto"/>
        <w:ind w:left="360"/>
        <w:rPr>
          <w:rFonts w:ascii="Times New Roman" w:hAnsi="Times New Roman" w:cs="Times New Roman"/>
          <w:color w:val="000000"/>
          <w:sz w:val="24"/>
          <w:szCs w:val="24"/>
        </w:rPr>
      </w:pPr>
    </w:p>
    <w:p w:rsidR="00957513" w:rsidRPr="00A0495E" w:rsidRDefault="00957513" w:rsidP="006D6D27">
      <w:pPr>
        <w:spacing w:after="120" w:line="240" w:lineRule="auto"/>
        <w:rPr>
          <w:rFonts w:ascii="Times New Roman" w:hAnsi="Times New Roman" w:cs="Times New Roman"/>
          <w:color w:val="1F497D"/>
          <w:sz w:val="24"/>
          <w:szCs w:val="24"/>
          <w:u w:val="single"/>
        </w:rPr>
      </w:pPr>
      <w:r w:rsidRPr="00A0495E">
        <w:rPr>
          <w:rFonts w:ascii="Times New Roman" w:hAnsi="Times New Roman" w:cs="Times New Roman"/>
          <w:b/>
          <w:bCs/>
          <w:color w:val="000000"/>
          <w:sz w:val="24"/>
          <w:szCs w:val="24"/>
        </w:rPr>
        <w:t xml:space="preserve">BURDEN HOUR COMPUTATION </w:t>
      </w:r>
      <w:r w:rsidR="004B7454">
        <w:rPr>
          <w:rFonts w:ascii="Times New Roman" w:hAnsi="Times New Roman" w:cs="Times New Roman"/>
          <w:i/>
          <w:iCs/>
          <w:color w:val="000000"/>
          <w:sz w:val="24"/>
          <w:szCs w:val="24"/>
        </w:rPr>
        <w:t>Number of respondents</w:t>
      </w:r>
      <w:r w:rsidRPr="00A0495E">
        <w:rPr>
          <w:rFonts w:ascii="Times New Roman" w:hAnsi="Times New Roman" w:cs="Times New Roman"/>
          <w:i/>
          <w:iCs/>
          <w:color w:val="000000"/>
          <w:sz w:val="24"/>
          <w:szCs w:val="24"/>
        </w:rPr>
        <w:t xml:space="preserve"> (X) estimated response or participation time in min</w:t>
      </w:r>
      <w:r w:rsidR="002B6165">
        <w:rPr>
          <w:rFonts w:ascii="Times New Roman" w:hAnsi="Times New Roman" w:cs="Times New Roman"/>
          <w:i/>
          <w:iCs/>
          <w:color w:val="000000"/>
          <w:sz w:val="24"/>
          <w:szCs w:val="24"/>
        </w:rPr>
        <w:t>utes (/60) = annual burden hours</w:t>
      </w:r>
      <w:r w:rsidRPr="00A0495E">
        <w:rPr>
          <w:rFonts w:ascii="Times New Roman" w:hAnsi="Times New Roman" w:cs="Times New Roman"/>
          <w:i/>
          <w:iCs/>
          <w:color w:val="000000"/>
          <w:sz w:val="24"/>
          <w:szCs w:val="24"/>
        </w:rPr>
        <w:t>:</w:t>
      </w:r>
    </w:p>
    <w:tbl>
      <w:tblPr>
        <w:tblStyle w:val="TableGrid"/>
        <w:tblW w:w="0" w:type="auto"/>
        <w:tblLook w:val="04A0" w:firstRow="1" w:lastRow="0" w:firstColumn="1" w:lastColumn="0" w:noHBand="0" w:noVBand="1"/>
      </w:tblPr>
      <w:tblGrid>
        <w:gridCol w:w="3528"/>
        <w:gridCol w:w="2250"/>
        <w:gridCol w:w="2250"/>
        <w:gridCol w:w="1548"/>
      </w:tblGrid>
      <w:tr w:rsidR="00957513" w:rsidRPr="00A0495E" w:rsidTr="00BD2651">
        <w:tc>
          <w:tcPr>
            <w:tcW w:w="3528" w:type="dxa"/>
          </w:tcPr>
          <w:p w:rsidR="00957513" w:rsidRPr="00A0495E" w:rsidRDefault="00957513" w:rsidP="0089024B">
            <w:pPr>
              <w:rPr>
                <w:rFonts w:ascii="Times New Roman" w:hAnsi="Times New Roman" w:cs="Times New Roman"/>
                <w:sz w:val="24"/>
                <w:szCs w:val="24"/>
              </w:rPr>
            </w:pPr>
            <w:r w:rsidRPr="00A0495E">
              <w:rPr>
                <w:rFonts w:ascii="Times New Roman" w:hAnsi="Times New Roman" w:cs="Times New Roman"/>
                <w:sz w:val="24"/>
                <w:szCs w:val="24"/>
              </w:rPr>
              <w:t>Type/Category of Respondent</w:t>
            </w:r>
          </w:p>
        </w:tc>
        <w:tc>
          <w:tcPr>
            <w:tcW w:w="2250" w:type="dxa"/>
          </w:tcPr>
          <w:p w:rsidR="00957513" w:rsidRPr="00A0495E" w:rsidRDefault="00957513" w:rsidP="0089024B">
            <w:pPr>
              <w:rPr>
                <w:rFonts w:ascii="Times New Roman" w:hAnsi="Times New Roman" w:cs="Times New Roman"/>
                <w:sz w:val="24"/>
                <w:szCs w:val="24"/>
              </w:rPr>
            </w:pPr>
            <w:r w:rsidRPr="00A0495E">
              <w:rPr>
                <w:rFonts w:ascii="Times New Roman" w:hAnsi="Times New Roman" w:cs="Times New Roman"/>
                <w:sz w:val="24"/>
                <w:szCs w:val="24"/>
              </w:rPr>
              <w:t>No. of Respondents</w:t>
            </w:r>
          </w:p>
        </w:tc>
        <w:tc>
          <w:tcPr>
            <w:tcW w:w="2250" w:type="dxa"/>
          </w:tcPr>
          <w:p w:rsidR="00957513" w:rsidRPr="00A0495E" w:rsidRDefault="00957513" w:rsidP="0089024B">
            <w:pPr>
              <w:rPr>
                <w:rFonts w:ascii="Times New Roman" w:hAnsi="Times New Roman" w:cs="Times New Roman"/>
                <w:sz w:val="24"/>
                <w:szCs w:val="24"/>
              </w:rPr>
            </w:pPr>
            <w:r w:rsidRPr="00A0495E">
              <w:rPr>
                <w:rFonts w:ascii="Times New Roman" w:hAnsi="Times New Roman" w:cs="Times New Roman"/>
                <w:sz w:val="24"/>
                <w:szCs w:val="24"/>
              </w:rPr>
              <w:t>Participation Time (minutes)</w:t>
            </w:r>
          </w:p>
        </w:tc>
        <w:tc>
          <w:tcPr>
            <w:tcW w:w="1548" w:type="dxa"/>
          </w:tcPr>
          <w:p w:rsidR="00BD2651" w:rsidRDefault="00957513" w:rsidP="00BD2651">
            <w:pPr>
              <w:rPr>
                <w:rFonts w:ascii="Times New Roman" w:hAnsi="Times New Roman" w:cs="Times New Roman"/>
                <w:sz w:val="24"/>
                <w:szCs w:val="24"/>
              </w:rPr>
            </w:pPr>
            <w:r w:rsidRPr="00A0495E">
              <w:rPr>
                <w:rFonts w:ascii="Times New Roman" w:hAnsi="Times New Roman" w:cs="Times New Roman"/>
                <w:sz w:val="24"/>
                <w:szCs w:val="24"/>
              </w:rPr>
              <w:t>Burden</w:t>
            </w:r>
          </w:p>
          <w:p w:rsidR="00957513" w:rsidRPr="00A0495E" w:rsidRDefault="00957513" w:rsidP="00BD2651">
            <w:pPr>
              <w:rPr>
                <w:rFonts w:ascii="Times New Roman" w:hAnsi="Times New Roman" w:cs="Times New Roman"/>
                <w:sz w:val="24"/>
                <w:szCs w:val="24"/>
              </w:rPr>
            </w:pPr>
            <w:r w:rsidRPr="00A0495E">
              <w:rPr>
                <w:rFonts w:ascii="Times New Roman" w:hAnsi="Times New Roman" w:cs="Times New Roman"/>
                <w:sz w:val="24"/>
                <w:szCs w:val="24"/>
              </w:rPr>
              <w:t>(hours)</w:t>
            </w:r>
          </w:p>
        </w:tc>
      </w:tr>
      <w:tr w:rsidR="00CF3DA0" w:rsidRPr="00A0495E" w:rsidTr="00BD2651">
        <w:tc>
          <w:tcPr>
            <w:tcW w:w="3528" w:type="dxa"/>
          </w:tcPr>
          <w:p w:rsidR="00CF3DA0" w:rsidRPr="006704B0" w:rsidRDefault="00CF3DA0" w:rsidP="006704B0">
            <w:pPr>
              <w:rPr>
                <w:rFonts w:ascii="Times New Roman" w:hAnsi="Times New Roman" w:cs="Times New Roman"/>
                <w:sz w:val="24"/>
                <w:szCs w:val="24"/>
              </w:rPr>
            </w:pPr>
            <w:r>
              <w:rPr>
                <w:rFonts w:ascii="Times New Roman" w:hAnsi="Times New Roman" w:cs="Times New Roman"/>
                <w:sz w:val="24"/>
                <w:szCs w:val="24"/>
              </w:rPr>
              <w:t>15-17 year old Experimenter Screener: Menthol Only</w:t>
            </w:r>
          </w:p>
        </w:tc>
        <w:tc>
          <w:tcPr>
            <w:tcW w:w="2250" w:type="dxa"/>
          </w:tcPr>
          <w:p w:rsidR="00CF3DA0" w:rsidRDefault="00CF3DA0" w:rsidP="007447A6">
            <w:pPr>
              <w:rPr>
                <w:rFonts w:ascii="Times New Roman" w:hAnsi="Times New Roman" w:cs="Times New Roman"/>
                <w:sz w:val="24"/>
                <w:szCs w:val="24"/>
              </w:rPr>
            </w:pPr>
            <w:r>
              <w:rPr>
                <w:rFonts w:ascii="Times New Roman" w:hAnsi="Times New Roman" w:cs="Times New Roman"/>
                <w:sz w:val="24"/>
                <w:szCs w:val="24"/>
              </w:rPr>
              <w:t>36</w:t>
            </w:r>
          </w:p>
        </w:tc>
        <w:tc>
          <w:tcPr>
            <w:tcW w:w="2250" w:type="dxa"/>
          </w:tcPr>
          <w:p w:rsidR="00CF3DA0" w:rsidRPr="00A0495E" w:rsidRDefault="00CF3DA0" w:rsidP="0089024B">
            <w:pPr>
              <w:rPr>
                <w:rFonts w:ascii="Times New Roman" w:hAnsi="Times New Roman" w:cs="Times New Roman"/>
                <w:sz w:val="24"/>
                <w:szCs w:val="24"/>
              </w:rPr>
            </w:pPr>
            <w:r>
              <w:rPr>
                <w:rFonts w:ascii="Times New Roman" w:hAnsi="Times New Roman" w:cs="Times New Roman"/>
                <w:sz w:val="24"/>
                <w:szCs w:val="24"/>
              </w:rPr>
              <w:t>5</w:t>
            </w:r>
          </w:p>
        </w:tc>
        <w:tc>
          <w:tcPr>
            <w:tcW w:w="1548" w:type="dxa"/>
          </w:tcPr>
          <w:p w:rsidR="00CF3DA0" w:rsidRDefault="00CF3DA0" w:rsidP="0089024B">
            <w:pPr>
              <w:rPr>
                <w:rFonts w:ascii="Times New Roman" w:hAnsi="Times New Roman" w:cs="Times New Roman"/>
                <w:sz w:val="24"/>
                <w:szCs w:val="24"/>
              </w:rPr>
            </w:pPr>
            <w:r>
              <w:rPr>
                <w:rFonts w:ascii="Times New Roman" w:hAnsi="Times New Roman" w:cs="Times New Roman"/>
                <w:sz w:val="24"/>
                <w:szCs w:val="24"/>
              </w:rPr>
              <w:t>3</w:t>
            </w:r>
          </w:p>
        </w:tc>
      </w:tr>
      <w:tr w:rsidR="00957513" w:rsidRPr="00A0495E" w:rsidTr="00BD2651">
        <w:tc>
          <w:tcPr>
            <w:tcW w:w="3528" w:type="dxa"/>
          </w:tcPr>
          <w:p w:rsidR="00957513" w:rsidRPr="00A0495E" w:rsidRDefault="006704B0" w:rsidP="006704B0">
            <w:pPr>
              <w:rPr>
                <w:rFonts w:ascii="Times New Roman" w:hAnsi="Times New Roman" w:cs="Times New Roman"/>
                <w:sz w:val="24"/>
                <w:szCs w:val="24"/>
              </w:rPr>
            </w:pPr>
            <w:r w:rsidRPr="006704B0">
              <w:rPr>
                <w:rFonts w:ascii="Times New Roman" w:hAnsi="Times New Roman" w:cs="Times New Roman"/>
                <w:sz w:val="24"/>
                <w:szCs w:val="24"/>
              </w:rPr>
              <w:t xml:space="preserve">15-17 year old Experimenters: </w:t>
            </w:r>
            <w:r>
              <w:rPr>
                <w:rFonts w:ascii="Times New Roman" w:hAnsi="Times New Roman" w:cs="Times New Roman"/>
                <w:sz w:val="24"/>
                <w:szCs w:val="24"/>
              </w:rPr>
              <w:t>Menthol-Only</w:t>
            </w:r>
          </w:p>
        </w:tc>
        <w:tc>
          <w:tcPr>
            <w:tcW w:w="2250" w:type="dxa"/>
          </w:tcPr>
          <w:p w:rsidR="00957513" w:rsidRPr="00A0495E" w:rsidRDefault="007447A6" w:rsidP="007447A6">
            <w:pPr>
              <w:rPr>
                <w:rFonts w:ascii="Times New Roman" w:hAnsi="Times New Roman" w:cs="Times New Roman"/>
                <w:sz w:val="24"/>
                <w:szCs w:val="24"/>
              </w:rPr>
            </w:pPr>
            <w:r>
              <w:rPr>
                <w:rFonts w:ascii="Times New Roman" w:hAnsi="Times New Roman" w:cs="Times New Roman"/>
                <w:sz w:val="24"/>
                <w:szCs w:val="24"/>
              </w:rPr>
              <w:t>2</w:t>
            </w:r>
            <w:r w:rsidR="006704B0" w:rsidRPr="00A0495E">
              <w:rPr>
                <w:rFonts w:ascii="Times New Roman" w:hAnsi="Times New Roman" w:cs="Times New Roman"/>
                <w:sz w:val="24"/>
                <w:szCs w:val="24"/>
              </w:rPr>
              <w:t xml:space="preserve"> </w:t>
            </w:r>
            <w:r w:rsidR="00957513" w:rsidRPr="00A0495E">
              <w:rPr>
                <w:rFonts w:ascii="Times New Roman" w:hAnsi="Times New Roman" w:cs="Times New Roman"/>
                <w:sz w:val="24"/>
                <w:szCs w:val="24"/>
              </w:rPr>
              <w:t xml:space="preserve">groups of </w:t>
            </w:r>
            <w:r w:rsidR="00DB4229">
              <w:rPr>
                <w:rFonts w:ascii="Times New Roman" w:hAnsi="Times New Roman" w:cs="Times New Roman"/>
                <w:sz w:val="24"/>
                <w:szCs w:val="24"/>
              </w:rPr>
              <w:t>6</w:t>
            </w:r>
            <w:r w:rsidR="00CB0277">
              <w:rPr>
                <w:rFonts w:ascii="Times New Roman" w:hAnsi="Times New Roman" w:cs="Times New Roman"/>
                <w:sz w:val="24"/>
                <w:szCs w:val="24"/>
              </w:rPr>
              <w:t xml:space="preserve"> </w:t>
            </w:r>
            <w:r w:rsidR="00957513" w:rsidRPr="00A0495E">
              <w:rPr>
                <w:rFonts w:ascii="Times New Roman" w:hAnsi="Times New Roman" w:cs="Times New Roman"/>
                <w:sz w:val="24"/>
                <w:szCs w:val="24"/>
              </w:rPr>
              <w:t>=</w:t>
            </w:r>
            <w:r w:rsidR="00CB0277">
              <w:rPr>
                <w:rFonts w:ascii="Times New Roman" w:hAnsi="Times New Roman" w:cs="Times New Roman"/>
                <w:sz w:val="24"/>
                <w:szCs w:val="24"/>
              </w:rPr>
              <w:t xml:space="preserve"> </w:t>
            </w:r>
            <w:r>
              <w:rPr>
                <w:rFonts w:ascii="Times New Roman" w:hAnsi="Times New Roman" w:cs="Times New Roman"/>
                <w:sz w:val="24"/>
                <w:szCs w:val="24"/>
              </w:rPr>
              <w:t>12</w:t>
            </w:r>
          </w:p>
        </w:tc>
        <w:tc>
          <w:tcPr>
            <w:tcW w:w="2250" w:type="dxa"/>
          </w:tcPr>
          <w:p w:rsidR="00957513" w:rsidRPr="00A0495E" w:rsidRDefault="00957513" w:rsidP="0089024B">
            <w:pPr>
              <w:rPr>
                <w:rFonts w:ascii="Times New Roman" w:hAnsi="Times New Roman" w:cs="Times New Roman"/>
                <w:sz w:val="24"/>
                <w:szCs w:val="24"/>
              </w:rPr>
            </w:pPr>
            <w:r w:rsidRPr="00A0495E">
              <w:rPr>
                <w:rFonts w:ascii="Times New Roman" w:hAnsi="Times New Roman" w:cs="Times New Roman"/>
                <w:sz w:val="24"/>
                <w:szCs w:val="24"/>
              </w:rPr>
              <w:t>90</w:t>
            </w:r>
          </w:p>
        </w:tc>
        <w:tc>
          <w:tcPr>
            <w:tcW w:w="1548" w:type="dxa"/>
          </w:tcPr>
          <w:p w:rsidR="00957513" w:rsidRPr="00A0495E" w:rsidRDefault="007447A6" w:rsidP="0089024B">
            <w:pPr>
              <w:rPr>
                <w:rFonts w:ascii="Times New Roman" w:hAnsi="Times New Roman" w:cs="Times New Roman"/>
                <w:sz w:val="24"/>
                <w:szCs w:val="24"/>
              </w:rPr>
            </w:pPr>
            <w:r>
              <w:rPr>
                <w:rFonts w:ascii="Times New Roman" w:hAnsi="Times New Roman" w:cs="Times New Roman"/>
                <w:sz w:val="24"/>
                <w:szCs w:val="24"/>
              </w:rPr>
              <w:t>18</w:t>
            </w:r>
          </w:p>
        </w:tc>
      </w:tr>
      <w:tr w:rsidR="00CF3DA0" w:rsidRPr="00A0495E" w:rsidTr="00BD2651">
        <w:tc>
          <w:tcPr>
            <w:tcW w:w="3528" w:type="dxa"/>
          </w:tcPr>
          <w:p w:rsidR="00CF3DA0" w:rsidRPr="006704B0" w:rsidRDefault="00CF3DA0" w:rsidP="00CF3DA0">
            <w:pPr>
              <w:rPr>
                <w:rFonts w:ascii="Times New Roman" w:hAnsi="Times New Roman" w:cs="Times New Roman"/>
                <w:sz w:val="24"/>
                <w:szCs w:val="24"/>
              </w:rPr>
            </w:pPr>
            <w:r>
              <w:rPr>
                <w:rFonts w:ascii="Times New Roman" w:hAnsi="Times New Roman" w:cs="Times New Roman"/>
                <w:sz w:val="24"/>
                <w:szCs w:val="24"/>
              </w:rPr>
              <w:t>15-17 year old Experimenter Screener: Non-menthol &amp; Menthol</w:t>
            </w:r>
          </w:p>
        </w:tc>
        <w:tc>
          <w:tcPr>
            <w:tcW w:w="2250" w:type="dxa"/>
          </w:tcPr>
          <w:p w:rsidR="00CF3DA0" w:rsidRDefault="00CF3DA0" w:rsidP="002E51F8">
            <w:pPr>
              <w:rPr>
                <w:rFonts w:ascii="Times New Roman" w:hAnsi="Times New Roman" w:cs="Times New Roman"/>
                <w:sz w:val="24"/>
                <w:szCs w:val="24"/>
              </w:rPr>
            </w:pPr>
            <w:r>
              <w:rPr>
                <w:rFonts w:ascii="Times New Roman" w:hAnsi="Times New Roman" w:cs="Times New Roman"/>
                <w:sz w:val="24"/>
                <w:szCs w:val="24"/>
              </w:rPr>
              <w:t>72</w:t>
            </w:r>
          </w:p>
        </w:tc>
        <w:tc>
          <w:tcPr>
            <w:tcW w:w="2250" w:type="dxa"/>
          </w:tcPr>
          <w:p w:rsidR="00CF3DA0" w:rsidRPr="00A0495E" w:rsidRDefault="00CF3DA0" w:rsidP="0089024B">
            <w:pPr>
              <w:rPr>
                <w:rFonts w:ascii="Times New Roman" w:hAnsi="Times New Roman" w:cs="Times New Roman"/>
                <w:sz w:val="24"/>
                <w:szCs w:val="24"/>
              </w:rPr>
            </w:pPr>
            <w:r>
              <w:rPr>
                <w:rFonts w:ascii="Times New Roman" w:hAnsi="Times New Roman" w:cs="Times New Roman"/>
                <w:sz w:val="24"/>
                <w:szCs w:val="24"/>
              </w:rPr>
              <w:t>5</w:t>
            </w:r>
          </w:p>
        </w:tc>
        <w:tc>
          <w:tcPr>
            <w:tcW w:w="1548" w:type="dxa"/>
          </w:tcPr>
          <w:p w:rsidR="00CF3DA0" w:rsidRDefault="00CF3DA0" w:rsidP="0089024B">
            <w:pPr>
              <w:rPr>
                <w:rFonts w:ascii="Times New Roman" w:hAnsi="Times New Roman" w:cs="Times New Roman"/>
                <w:sz w:val="24"/>
                <w:szCs w:val="24"/>
              </w:rPr>
            </w:pPr>
            <w:r>
              <w:rPr>
                <w:rFonts w:ascii="Times New Roman" w:hAnsi="Times New Roman" w:cs="Times New Roman"/>
                <w:sz w:val="24"/>
                <w:szCs w:val="24"/>
              </w:rPr>
              <w:t>6</w:t>
            </w:r>
          </w:p>
        </w:tc>
      </w:tr>
      <w:tr w:rsidR="006704B0" w:rsidRPr="00A0495E" w:rsidTr="00BD2651">
        <w:tc>
          <w:tcPr>
            <w:tcW w:w="3528" w:type="dxa"/>
          </w:tcPr>
          <w:p w:rsidR="006704B0" w:rsidDel="006704B0" w:rsidRDefault="006704B0" w:rsidP="001A64CD">
            <w:pPr>
              <w:rPr>
                <w:rFonts w:ascii="Times New Roman" w:hAnsi="Times New Roman" w:cs="Times New Roman"/>
                <w:sz w:val="24"/>
                <w:szCs w:val="24"/>
              </w:rPr>
            </w:pPr>
            <w:r w:rsidRPr="006704B0">
              <w:rPr>
                <w:rFonts w:ascii="Times New Roman" w:hAnsi="Times New Roman" w:cs="Times New Roman"/>
                <w:sz w:val="24"/>
                <w:szCs w:val="24"/>
              </w:rPr>
              <w:t xml:space="preserve">15-17 year old Experimenters: </w:t>
            </w:r>
            <w:r w:rsidR="0028495E" w:rsidRPr="00D6715D">
              <w:rPr>
                <w:rFonts w:ascii="Times New Roman" w:hAnsi="Times New Roman" w:cs="Times New Roman"/>
                <w:sz w:val="24"/>
                <w:szCs w:val="24"/>
              </w:rPr>
              <w:t>Non-menthol &amp; Menthol</w:t>
            </w:r>
          </w:p>
        </w:tc>
        <w:tc>
          <w:tcPr>
            <w:tcW w:w="2250" w:type="dxa"/>
          </w:tcPr>
          <w:p w:rsidR="006704B0" w:rsidRDefault="0028495E" w:rsidP="002E51F8">
            <w:pPr>
              <w:rPr>
                <w:rFonts w:ascii="Times New Roman" w:hAnsi="Times New Roman" w:cs="Times New Roman"/>
                <w:sz w:val="24"/>
                <w:szCs w:val="24"/>
              </w:rPr>
            </w:pPr>
            <w:r>
              <w:rPr>
                <w:rFonts w:ascii="Times New Roman" w:hAnsi="Times New Roman" w:cs="Times New Roman"/>
                <w:sz w:val="24"/>
                <w:szCs w:val="24"/>
              </w:rPr>
              <w:t>4</w:t>
            </w:r>
            <w:r w:rsidR="006704B0" w:rsidRPr="00A0495E">
              <w:rPr>
                <w:rFonts w:ascii="Times New Roman" w:hAnsi="Times New Roman" w:cs="Times New Roman"/>
                <w:sz w:val="24"/>
                <w:szCs w:val="24"/>
              </w:rPr>
              <w:t xml:space="preserve"> groups of </w:t>
            </w:r>
            <w:r w:rsidR="006704B0">
              <w:rPr>
                <w:rFonts w:ascii="Times New Roman" w:hAnsi="Times New Roman" w:cs="Times New Roman"/>
                <w:sz w:val="24"/>
                <w:szCs w:val="24"/>
              </w:rPr>
              <w:t xml:space="preserve">6 </w:t>
            </w:r>
            <w:r w:rsidR="006704B0" w:rsidRPr="00A0495E">
              <w:rPr>
                <w:rFonts w:ascii="Times New Roman" w:hAnsi="Times New Roman" w:cs="Times New Roman"/>
                <w:sz w:val="24"/>
                <w:szCs w:val="24"/>
              </w:rPr>
              <w:t>=</w:t>
            </w:r>
            <w:r w:rsidR="006704B0">
              <w:rPr>
                <w:rFonts w:ascii="Times New Roman" w:hAnsi="Times New Roman" w:cs="Times New Roman"/>
                <w:sz w:val="24"/>
                <w:szCs w:val="24"/>
              </w:rPr>
              <w:t xml:space="preserve"> </w:t>
            </w:r>
            <w:r w:rsidR="002E51F8">
              <w:rPr>
                <w:rFonts w:ascii="Times New Roman" w:hAnsi="Times New Roman" w:cs="Times New Roman"/>
                <w:sz w:val="24"/>
                <w:szCs w:val="24"/>
              </w:rPr>
              <w:t>24</w:t>
            </w:r>
          </w:p>
        </w:tc>
        <w:tc>
          <w:tcPr>
            <w:tcW w:w="2250" w:type="dxa"/>
          </w:tcPr>
          <w:p w:rsidR="006704B0" w:rsidRPr="00A0495E" w:rsidRDefault="006704B0" w:rsidP="0089024B">
            <w:pPr>
              <w:rPr>
                <w:rFonts w:ascii="Times New Roman" w:hAnsi="Times New Roman" w:cs="Times New Roman"/>
                <w:sz w:val="24"/>
                <w:szCs w:val="24"/>
              </w:rPr>
            </w:pPr>
            <w:r w:rsidRPr="00A0495E">
              <w:rPr>
                <w:rFonts w:ascii="Times New Roman" w:hAnsi="Times New Roman" w:cs="Times New Roman"/>
                <w:sz w:val="24"/>
                <w:szCs w:val="24"/>
              </w:rPr>
              <w:t>90</w:t>
            </w:r>
          </w:p>
        </w:tc>
        <w:tc>
          <w:tcPr>
            <w:tcW w:w="1548" w:type="dxa"/>
          </w:tcPr>
          <w:p w:rsidR="006704B0" w:rsidRDefault="002E51F8" w:rsidP="0089024B">
            <w:pPr>
              <w:rPr>
                <w:rFonts w:ascii="Times New Roman" w:hAnsi="Times New Roman" w:cs="Times New Roman"/>
                <w:sz w:val="24"/>
                <w:szCs w:val="24"/>
              </w:rPr>
            </w:pPr>
            <w:r>
              <w:rPr>
                <w:rFonts w:ascii="Times New Roman" w:hAnsi="Times New Roman" w:cs="Times New Roman"/>
                <w:sz w:val="24"/>
                <w:szCs w:val="24"/>
              </w:rPr>
              <w:t>36</w:t>
            </w:r>
          </w:p>
        </w:tc>
      </w:tr>
      <w:tr w:rsidR="00CF3DA0" w:rsidRPr="00A0495E" w:rsidTr="00BD2651">
        <w:tc>
          <w:tcPr>
            <w:tcW w:w="3528" w:type="dxa"/>
          </w:tcPr>
          <w:p w:rsidR="00CF3DA0" w:rsidRDefault="00CF3DA0" w:rsidP="001A64CD">
            <w:pPr>
              <w:rPr>
                <w:rFonts w:ascii="Times New Roman" w:hAnsi="Times New Roman" w:cs="Times New Roman"/>
                <w:sz w:val="24"/>
                <w:szCs w:val="24"/>
              </w:rPr>
            </w:pPr>
            <w:r>
              <w:rPr>
                <w:rFonts w:ascii="Times New Roman" w:hAnsi="Times New Roman" w:cs="Times New Roman"/>
                <w:sz w:val="24"/>
                <w:szCs w:val="24"/>
              </w:rPr>
              <w:t xml:space="preserve">12-14 year old Experimenter </w:t>
            </w:r>
            <w:r>
              <w:rPr>
                <w:rFonts w:ascii="Times New Roman" w:hAnsi="Times New Roman" w:cs="Times New Roman"/>
                <w:sz w:val="24"/>
                <w:szCs w:val="24"/>
              </w:rPr>
              <w:lastRenderedPageBreak/>
              <w:t>Screener: Non-menthol &amp; Menthol</w:t>
            </w:r>
          </w:p>
        </w:tc>
        <w:tc>
          <w:tcPr>
            <w:tcW w:w="2250" w:type="dxa"/>
          </w:tcPr>
          <w:p w:rsidR="00CF3DA0" w:rsidRDefault="00CF3DA0" w:rsidP="0028495E">
            <w:pPr>
              <w:rPr>
                <w:rFonts w:ascii="Times New Roman" w:hAnsi="Times New Roman" w:cs="Times New Roman"/>
                <w:sz w:val="24"/>
                <w:szCs w:val="24"/>
              </w:rPr>
            </w:pPr>
            <w:r>
              <w:rPr>
                <w:rFonts w:ascii="Times New Roman" w:hAnsi="Times New Roman" w:cs="Times New Roman"/>
                <w:sz w:val="24"/>
                <w:szCs w:val="24"/>
              </w:rPr>
              <w:lastRenderedPageBreak/>
              <w:t>108</w:t>
            </w:r>
          </w:p>
        </w:tc>
        <w:tc>
          <w:tcPr>
            <w:tcW w:w="2250" w:type="dxa"/>
          </w:tcPr>
          <w:p w:rsidR="00CF3DA0" w:rsidRPr="00A0495E" w:rsidRDefault="00CF3DA0" w:rsidP="0089024B">
            <w:pPr>
              <w:rPr>
                <w:rFonts w:ascii="Times New Roman" w:hAnsi="Times New Roman" w:cs="Times New Roman"/>
                <w:sz w:val="24"/>
                <w:szCs w:val="24"/>
              </w:rPr>
            </w:pPr>
            <w:r>
              <w:rPr>
                <w:rFonts w:ascii="Times New Roman" w:hAnsi="Times New Roman" w:cs="Times New Roman"/>
                <w:sz w:val="24"/>
                <w:szCs w:val="24"/>
              </w:rPr>
              <w:t>5</w:t>
            </w:r>
          </w:p>
        </w:tc>
        <w:tc>
          <w:tcPr>
            <w:tcW w:w="1548" w:type="dxa"/>
          </w:tcPr>
          <w:p w:rsidR="00CF3DA0" w:rsidRDefault="00CF3DA0" w:rsidP="002E51F8">
            <w:pPr>
              <w:rPr>
                <w:rFonts w:ascii="Times New Roman" w:hAnsi="Times New Roman" w:cs="Times New Roman"/>
                <w:sz w:val="24"/>
                <w:szCs w:val="24"/>
              </w:rPr>
            </w:pPr>
            <w:r>
              <w:rPr>
                <w:rFonts w:ascii="Times New Roman" w:hAnsi="Times New Roman" w:cs="Times New Roman"/>
                <w:sz w:val="24"/>
                <w:szCs w:val="24"/>
              </w:rPr>
              <w:t>9</w:t>
            </w:r>
          </w:p>
        </w:tc>
      </w:tr>
      <w:tr w:rsidR="006704B0" w:rsidRPr="00A0495E" w:rsidTr="00BD2651">
        <w:tc>
          <w:tcPr>
            <w:tcW w:w="3528" w:type="dxa"/>
          </w:tcPr>
          <w:p w:rsidR="006704B0" w:rsidRPr="00A0495E" w:rsidRDefault="007447A6" w:rsidP="001A64CD">
            <w:pPr>
              <w:rPr>
                <w:rFonts w:ascii="Times New Roman" w:hAnsi="Times New Roman" w:cs="Times New Roman"/>
                <w:sz w:val="24"/>
                <w:szCs w:val="24"/>
              </w:rPr>
            </w:pPr>
            <w:r>
              <w:rPr>
                <w:rFonts w:ascii="Times New Roman" w:hAnsi="Times New Roman" w:cs="Times New Roman"/>
                <w:sz w:val="24"/>
                <w:szCs w:val="24"/>
              </w:rPr>
              <w:lastRenderedPageBreak/>
              <w:t>12-14</w:t>
            </w:r>
            <w:r w:rsidRPr="006704B0">
              <w:rPr>
                <w:rFonts w:ascii="Times New Roman" w:hAnsi="Times New Roman" w:cs="Times New Roman"/>
                <w:sz w:val="24"/>
                <w:szCs w:val="24"/>
              </w:rPr>
              <w:t xml:space="preserve"> year old Experimenters: </w:t>
            </w:r>
            <w:r w:rsidR="0028495E" w:rsidRPr="00574AF5">
              <w:rPr>
                <w:rFonts w:ascii="Times New Roman" w:hAnsi="Times New Roman" w:cs="Times New Roman"/>
                <w:sz w:val="24"/>
                <w:szCs w:val="24"/>
              </w:rPr>
              <w:t>Non-menthol &amp; Menthol</w:t>
            </w:r>
            <w:r w:rsidR="0028495E" w:rsidRPr="006704B0" w:rsidDel="0028495E">
              <w:rPr>
                <w:rFonts w:ascii="Times New Roman" w:hAnsi="Times New Roman" w:cs="Times New Roman"/>
                <w:sz w:val="24"/>
                <w:szCs w:val="24"/>
              </w:rPr>
              <w:t xml:space="preserve"> </w:t>
            </w:r>
          </w:p>
        </w:tc>
        <w:tc>
          <w:tcPr>
            <w:tcW w:w="2250" w:type="dxa"/>
          </w:tcPr>
          <w:p w:rsidR="006704B0" w:rsidRPr="00A0495E" w:rsidRDefault="0028495E" w:rsidP="0028495E">
            <w:pPr>
              <w:rPr>
                <w:rFonts w:ascii="Times New Roman" w:hAnsi="Times New Roman" w:cs="Times New Roman"/>
                <w:sz w:val="24"/>
                <w:szCs w:val="24"/>
              </w:rPr>
            </w:pPr>
            <w:r>
              <w:rPr>
                <w:rFonts w:ascii="Times New Roman" w:hAnsi="Times New Roman" w:cs="Times New Roman"/>
                <w:sz w:val="24"/>
                <w:szCs w:val="24"/>
              </w:rPr>
              <w:t>6</w:t>
            </w:r>
            <w:r w:rsidR="007447A6" w:rsidRPr="00A0495E">
              <w:rPr>
                <w:rFonts w:ascii="Times New Roman" w:hAnsi="Times New Roman" w:cs="Times New Roman"/>
                <w:sz w:val="24"/>
                <w:szCs w:val="24"/>
              </w:rPr>
              <w:t xml:space="preserve"> </w:t>
            </w:r>
            <w:r w:rsidR="006704B0" w:rsidRPr="00A0495E">
              <w:rPr>
                <w:rFonts w:ascii="Times New Roman" w:hAnsi="Times New Roman" w:cs="Times New Roman"/>
                <w:sz w:val="24"/>
                <w:szCs w:val="24"/>
              </w:rPr>
              <w:t xml:space="preserve">groups of </w:t>
            </w:r>
            <w:r w:rsidR="006704B0">
              <w:rPr>
                <w:rFonts w:ascii="Times New Roman" w:hAnsi="Times New Roman" w:cs="Times New Roman"/>
                <w:sz w:val="24"/>
                <w:szCs w:val="24"/>
              </w:rPr>
              <w:t xml:space="preserve">6 </w:t>
            </w:r>
            <w:r w:rsidR="006704B0" w:rsidRPr="00A0495E">
              <w:rPr>
                <w:rFonts w:ascii="Times New Roman" w:hAnsi="Times New Roman" w:cs="Times New Roman"/>
                <w:sz w:val="24"/>
                <w:szCs w:val="24"/>
              </w:rPr>
              <w:t>=</w:t>
            </w:r>
            <w:r w:rsidR="006704B0">
              <w:rPr>
                <w:rFonts w:ascii="Times New Roman" w:hAnsi="Times New Roman" w:cs="Times New Roman"/>
                <w:sz w:val="24"/>
                <w:szCs w:val="24"/>
              </w:rPr>
              <w:t xml:space="preserve"> </w:t>
            </w:r>
            <w:r w:rsidR="007447A6">
              <w:rPr>
                <w:rFonts w:ascii="Times New Roman" w:hAnsi="Times New Roman" w:cs="Times New Roman"/>
                <w:sz w:val="24"/>
                <w:szCs w:val="24"/>
              </w:rPr>
              <w:t>3</w:t>
            </w:r>
            <w:r w:rsidR="002E51F8">
              <w:rPr>
                <w:rFonts w:ascii="Times New Roman" w:hAnsi="Times New Roman" w:cs="Times New Roman"/>
                <w:sz w:val="24"/>
                <w:szCs w:val="24"/>
              </w:rPr>
              <w:t>6</w:t>
            </w:r>
          </w:p>
        </w:tc>
        <w:tc>
          <w:tcPr>
            <w:tcW w:w="2250" w:type="dxa"/>
          </w:tcPr>
          <w:p w:rsidR="006704B0" w:rsidRPr="00A0495E" w:rsidRDefault="006704B0" w:rsidP="0089024B">
            <w:pPr>
              <w:rPr>
                <w:rFonts w:ascii="Times New Roman" w:hAnsi="Times New Roman" w:cs="Times New Roman"/>
                <w:sz w:val="24"/>
                <w:szCs w:val="24"/>
              </w:rPr>
            </w:pPr>
            <w:r w:rsidRPr="00A0495E">
              <w:rPr>
                <w:rFonts w:ascii="Times New Roman" w:hAnsi="Times New Roman" w:cs="Times New Roman"/>
                <w:sz w:val="24"/>
                <w:szCs w:val="24"/>
              </w:rPr>
              <w:t>90</w:t>
            </w:r>
          </w:p>
        </w:tc>
        <w:tc>
          <w:tcPr>
            <w:tcW w:w="1548" w:type="dxa"/>
          </w:tcPr>
          <w:p w:rsidR="006704B0" w:rsidRPr="00A0495E" w:rsidRDefault="002E51F8" w:rsidP="002E51F8">
            <w:pPr>
              <w:rPr>
                <w:rFonts w:ascii="Times New Roman" w:hAnsi="Times New Roman" w:cs="Times New Roman"/>
                <w:sz w:val="24"/>
                <w:szCs w:val="24"/>
              </w:rPr>
            </w:pPr>
            <w:r>
              <w:rPr>
                <w:rFonts w:ascii="Times New Roman" w:hAnsi="Times New Roman" w:cs="Times New Roman"/>
                <w:sz w:val="24"/>
                <w:szCs w:val="24"/>
              </w:rPr>
              <w:t>54</w:t>
            </w:r>
          </w:p>
        </w:tc>
      </w:tr>
      <w:tr w:rsidR="006704B0" w:rsidRPr="00A0495E" w:rsidTr="00BD2651">
        <w:tc>
          <w:tcPr>
            <w:tcW w:w="3528" w:type="dxa"/>
          </w:tcPr>
          <w:p w:rsidR="006704B0" w:rsidRPr="00A0495E" w:rsidRDefault="006704B0" w:rsidP="0089024B">
            <w:pPr>
              <w:rPr>
                <w:rFonts w:ascii="Times New Roman" w:hAnsi="Times New Roman" w:cs="Times New Roman"/>
                <w:sz w:val="24"/>
                <w:szCs w:val="24"/>
              </w:rPr>
            </w:pPr>
            <w:r w:rsidRPr="00A0495E">
              <w:rPr>
                <w:rFonts w:ascii="Times New Roman" w:hAnsi="Times New Roman" w:cs="Times New Roman"/>
                <w:sz w:val="24"/>
                <w:szCs w:val="24"/>
              </w:rPr>
              <w:t>Total</w:t>
            </w:r>
          </w:p>
        </w:tc>
        <w:tc>
          <w:tcPr>
            <w:tcW w:w="2250" w:type="dxa"/>
          </w:tcPr>
          <w:p w:rsidR="006704B0" w:rsidRPr="00A0495E" w:rsidRDefault="00CF3DA0" w:rsidP="0089024B">
            <w:pPr>
              <w:rPr>
                <w:rFonts w:ascii="Times New Roman" w:hAnsi="Times New Roman" w:cs="Times New Roman"/>
                <w:sz w:val="24"/>
                <w:szCs w:val="24"/>
              </w:rPr>
            </w:pPr>
            <w:r>
              <w:rPr>
                <w:rFonts w:ascii="Times New Roman" w:hAnsi="Times New Roman" w:cs="Times New Roman"/>
                <w:sz w:val="24"/>
                <w:szCs w:val="24"/>
              </w:rPr>
              <w:t>288</w:t>
            </w:r>
          </w:p>
        </w:tc>
        <w:tc>
          <w:tcPr>
            <w:tcW w:w="2250" w:type="dxa"/>
          </w:tcPr>
          <w:p w:rsidR="006704B0" w:rsidRPr="00A0495E" w:rsidRDefault="006704B0" w:rsidP="0089024B">
            <w:pPr>
              <w:rPr>
                <w:rFonts w:ascii="Times New Roman" w:hAnsi="Times New Roman" w:cs="Times New Roman"/>
                <w:sz w:val="24"/>
                <w:szCs w:val="24"/>
              </w:rPr>
            </w:pPr>
            <w:r w:rsidRPr="00A0495E">
              <w:rPr>
                <w:rFonts w:ascii="Times New Roman" w:hAnsi="Times New Roman" w:cs="Times New Roman"/>
                <w:sz w:val="24"/>
                <w:szCs w:val="24"/>
              </w:rPr>
              <w:t>90</w:t>
            </w:r>
          </w:p>
        </w:tc>
        <w:tc>
          <w:tcPr>
            <w:tcW w:w="1548" w:type="dxa"/>
          </w:tcPr>
          <w:p w:rsidR="006704B0" w:rsidRPr="00A0495E" w:rsidRDefault="00CF3DA0" w:rsidP="0089024B">
            <w:pPr>
              <w:rPr>
                <w:rFonts w:ascii="Times New Roman" w:hAnsi="Times New Roman" w:cs="Times New Roman"/>
                <w:sz w:val="24"/>
                <w:szCs w:val="24"/>
              </w:rPr>
            </w:pPr>
            <w:r>
              <w:rPr>
                <w:rFonts w:ascii="Times New Roman" w:hAnsi="Times New Roman" w:cs="Times New Roman"/>
                <w:sz w:val="24"/>
                <w:szCs w:val="24"/>
              </w:rPr>
              <w:t>126</w:t>
            </w:r>
          </w:p>
        </w:tc>
      </w:tr>
    </w:tbl>
    <w:p w:rsidR="00D80104" w:rsidRPr="00A842E5" w:rsidRDefault="00D80104" w:rsidP="00BD2651">
      <w:pPr>
        <w:spacing w:line="240" w:lineRule="auto"/>
        <w:rPr>
          <w:rFonts w:ascii="Times New Roman" w:hAnsi="Times New Roman" w:cs="Times New Roman"/>
        </w:rPr>
      </w:pPr>
    </w:p>
    <w:p w:rsidR="002A37F2" w:rsidRDefault="002A37F2" w:rsidP="002A37F2">
      <w:pPr>
        <w:spacing w:line="240" w:lineRule="auto"/>
        <w:rPr>
          <w:rFonts w:ascii="Times New Roman" w:hAnsi="Times New Roman" w:cs="Times New Roman"/>
        </w:rPr>
      </w:pPr>
    </w:p>
    <w:p w:rsidR="00A842E5" w:rsidRPr="00A842E5" w:rsidRDefault="00A842E5" w:rsidP="002A37F2">
      <w:pPr>
        <w:spacing w:line="240" w:lineRule="auto"/>
        <w:rPr>
          <w:rFonts w:ascii="Times New Roman" w:hAnsi="Times New Roman" w:cs="Times New Roman"/>
        </w:rPr>
      </w:pPr>
    </w:p>
    <w:p w:rsidR="002A37F2" w:rsidRPr="00A842E5" w:rsidRDefault="002A37F2" w:rsidP="002A37F2">
      <w:pPr>
        <w:spacing w:line="240" w:lineRule="auto"/>
        <w:rPr>
          <w:rFonts w:ascii="Times New Roman" w:hAnsi="Times New Roman" w:cs="Times New Roman"/>
        </w:rPr>
      </w:pPr>
      <w:r w:rsidRPr="00A842E5">
        <w:rPr>
          <w:rFonts w:ascii="Times New Roman" w:hAnsi="Times New Roman" w:cs="Times New Roman"/>
          <w:b/>
        </w:rPr>
        <w:t xml:space="preserve">REQUESTED APPROVAL DATE:  </w:t>
      </w:r>
      <w:r w:rsidRPr="00A842E5">
        <w:rPr>
          <w:rFonts w:ascii="Times New Roman" w:hAnsi="Times New Roman" w:cs="Times New Roman"/>
        </w:rPr>
        <w:t>Ju</w:t>
      </w:r>
      <w:r w:rsidR="00C068EF">
        <w:rPr>
          <w:rFonts w:ascii="Times New Roman" w:hAnsi="Times New Roman" w:cs="Times New Roman"/>
        </w:rPr>
        <w:t>ly</w:t>
      </w:r>
      <w:r w:rsidRPr="00A842E5">
        <w:rPr>
          <w:rFonts w:ascii="Times New Roman" w:hAnsi="Times New Roman" w:cs="Times New Roman"/>
        </w:rPr>
        <w:t xml:space="preserve"> 25, 2013</w:t>
      </w:r>
    </w:p>
    <w:p w:rsidR="002A37F2" w:rsidRPr="00A842E5" w:rsidRDefault="002A37F2" w:rsidP="002A37F2">
      <w:pPr>
        <w:spacing w:line="240" w:lineRule="auto"/>
        <w:rPr>
          <w:rFonts w:ascii="Times New Roman" w:hAnsi="Times New Roman" w:cs="Times New Roman"/>
          <w:b/>
        </w:rPr>
      </w:pP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 xml:space="preserve">NAME OF PRA ANALYST &amp; PROGRAM CONTACT:  </w:t>
      </w:r>
    </w:p>
    <w:p w:rsidR="002A37F2" w:rsidRPr="00A842E5" w:rsidRDefault="002A37F2" w:rsidP="002A37F2">
      <w:pPr>
        <w:spacing w:line="240" w:lineRule="auto"/>
        <w:rPr>
          <w:rFonts w:ascii="Times New Roman" w:hAnsi="Times New Roman" w:cs="Times New Roman"/>
          <w:b/>
        </w:rPr>
      </w:pP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PRA Analyst</w:t>
      </w:r>
      <w:r w:rsidRPr="00A842E5">
        <w:rPr>
          <w:rFonts w:ascii="Times New Roman" w:hAnsi="Times New Roman" w:cs="Times New Roman"/>
          <w:b/>
        </w:rPr>
        <w:tab/>
      </w:r>
      <w:r w:rsidRPr="00A842E5">
        <w:rPr>
          <w:rFonts w:ascii="Times New Roman" w:hAnsi="Times New Roman" w:cs="Times New Roman"/>
          <w:b/>
        </w:rPr>
        <w:tab/>
      </w:r>
      <w:r w:rsidRPr="00A842E5">
        <w:rPr>
          <w:rFonts w:ascii="Times New Roman" w:hAnsi="Times New Roman" w:cs="Times New Roman"/>
          <w:b/>
        </w:rPr>
        <w:tab/>
        <w:t>Daniel Gittleson</w:t>
      </w:r>
    </w:p>
    <w:p w:rsidR="002A37F2" w:rsidRPr="00A842E5" w:rsidRDefault="002A37F2" w:rsidP="00A842E5">
      <w:pPr>
        <w:spacing w:line="240" w:lineRule="auto"/>
        <w:ind w:left="2160" w:firstLine="720"/>
        <w:rPr>
          <w:rFonts w:ascii="Times New Roman" w:hAnsi="Times New Roman" w:cs="Times New Roman"/>
          <w:b/>
        </w:rPr>
      </w:pPr>
      <w:r w:rsidRPr="00A842E5">
        <w:rPr>
          <w:rFonts w:ascii="Times New Roman" w:hAnsi="Times New Roman" w:cs="Times New Roman"/>
          <w:b/>
        </w:rPr>
        <w:t>301-796-5156</w:t>
      </w:r>
    </w:p>
    <w:p w:rsidR="002A37F2" w:rsidRPr="00A842E5" w:rsidRDefault="00A301A8" w:rsidP="00A842E5">
      <w:pPr>
        <w:spacing w:line="240" w:lineRule="auto"/>
        <w:ind w:left="2160" w:firstLine="720"/>
        <w:rPr>
          <w:rFonts w:ascii="Times New Roman" w:hAnsi="Times New Roman" w:cs="Times New Roman"/>
          <w:b/>
        </w:rPr>
      </w:pPr>
      <w:hyperlink r:id="rId9" w:history="1">
        <w:r w:rsidR="002A37F2" w:rsidRPr="00A842E5">
          <w:rPr>
            <w:rStyle w:val="Hyperlink"/>
            <w:rFonts w:ascii="Times New Roman" w:hAnsi="Times New Roman" w:cs="Times New Roman"/>
            <w:b/>
          </w:rPr>
          <w:t>Daniel.Gittleson@fda.hhs.gov</w:t>
        </w:r>
      </w:hyperlink>
    </w:p>
    <w:p w:rsidR="002A37F2" w:rsidRPr="00A842E5" w:rsidRDefault="002A37F2" w:rsidP="002A37F2">
      <w:pPr>
        <w:spacing w:line="240" w:lineRule="auto"/>
        <w:rPr>
          <w:rFonts w:ascii="Times New Roman" w:hAnsi="Times New Roman" w:cs="Times New Roman"/>
          <w:b/>
        </w:rPr>
      </w:pP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Program Contact</w:t>
      </w:r>
      <w:r w:rsidRPr="00A842E5">
        <w:rPr>
          <w:rFonts w:ascii="Times New Roman" w:hAnsi="Times New Roman" w:cs="Times New Roman"/>
          <w:b/>
        </w:rPr>
        <w:tab/>
      </w:r>
      <w:r w:rsidRPr="00A842E5">
        <w:rPr>
          <w:rFonts w:ascii="Times New Roman" w:hAnsi="Times New Roman" w:cs="Times New Roman"/>
          <w:b/>
        </w:rPr>
        <w:tab/>
      </w:r>
      <w:r w:rsidR="00C068EF">
        <w:rPr>
          <w:rFonts w:ascii="Times New Roman" w:hAnsi="Times New Roman" w:cs="Times New Roman"/>
          <w:b/>
        </w:rPr>
        <w:t>Tesfa Alexander</w:t>
      </w: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ab/>
      </w:r>
      <w:r w:rsidRPr="00A842E5">
        <w:rPr>
          <w:rFonts w:ascii="Times New Roman" w:hAnsi="Times New Roman" w:cs="Times New Roman"/>
          <w:b/>
        </w:rPr>
        <w:tab/>
      </w:r>
      <w:r w:rsidRPr="00A842E5">
        <w:rPr>
          <w:rFonts w:ascii="Times New Roman" w:hAnsi="Times New Roman" w:cs="Times New Roman"/>
          <w:b/>
        </w:rPr>
        <w:tab/>
      </w:r>
      <w:r w:rsidRPr="00A842E5">
        <w:rPr>
          <w:rFonts w:ascii="Times New Roman" w:hAnsi="Times New Roman" w:cs="Times New Roman"/>
          <w:b/>
        </w:rPr>
        <w:tab/>
        <w:t>301-796-9</w:t>
      </w:r>
      <w:r w:rsidR="00C068EF">
        <w:rPr>
          <w:rFonts w:ascii="Times New Roman" w:hAnsi="Times New Roman" w:cs="Times New Roman"/>
          <w:b/>
        </w:rPr>
        <w:t>335</w:t>
      </w: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ab/>
      </w:r>
      <w:r w:rsidRPr="00A842E5">
        <w:rPr>
          <w:rFonts w:ascii="Times New Roman" w:hAnsi="Times New Roman" w:cs="Times New Roman"/>
          <w:b/>
        </w:rPr>
        <w:tab/>
      </w:r>
      <w:r w:rsidRPr="00A842E5">
        <w:rPr>
          <w:rFonts w:ascii="Times New Roman" w:hAnsi="Times New Roman" w:cs="Times New Roman"/>
          <w:b/>
        </w:rPr>
        <w:tab/>
      </w:r>
      <w:r w:rsidRPr="00A842E5">
        <w:rPr>
          <w:rFonts w:ascii="Times New Roman" w:hAnsi="Times New Roman" w:cs="Times New Roman"/>
          <w:b/>
        </w:rPr>
        <w:tab/>
      </w:r>
      <w:r w:rsidR="00A842E5">
        <w:rPr>
          <w:rFonts w:ascii="Times New Roman" w:hAnsi="Times New Roman" w:cs="Times New Roman"/>
          <w:b/>
        </w:rPr>
        <w:t>Tesfa.Alexander@fda.hhs.gov</w:t>
      </w:r>
      <w:r w:rsidRPr="00A842E5">
        <w:rPr>
          <w:rFonts w:ascii="Times New Roman" w:hAnsi="Times New Roman" w:cs="Times New Roman"/>
          <w:b/>
        </w:rPr>
        <w:t xml:space="preserve"> </w:t>
      </w:r>
    </w:p>
    <w:p w:rsidR="002A37F2" w:rsidRPr="00A842E5" w:rsidRDefault="002A37F2" w:rsidP="002A37F2">
      <w:pPr>
        <w:spacing w:line="240" w:lineRule="auto"/>
        <w:rPr>
          <w:rFonts w:ascii="Times New Roman" w:hAnsi="Times New Roman" w:cs="Times New Roman"/>
          <w:b/>
        </w:rPr>
      </w:pPr>
    </w:p>
    <w:p w:rsidR="002A37F2" w:rsidRPr="00A842E5" w:rsidRDefault="002A37F2" w:rsidP="002A37F2">
      <w:pPr>
        <w:spacing w:line="240" w:lineRule="auto"/>
        <w:rPr>
          <w:rFonts w:ascii="Times New Roman" w:hAnsi="Times New Roman" w:cs="Times New Roman"/>
          <w:b/>
        </w:rPr>
      </w:pPr>
      <w:r w:rsidRPr="00A842E5">
        <w:rPr>
          <w:rFonts w:ascii="Times New Roman" w:hAnsi="Times New Roman" w:cs="Times New Roman"/>
          <w:b/>
        </w:rPr>
        <w:t>FDA CENTER: Center for Tobacco Products (FDA/CTP)</w:t>
      </w:r>
    </w:p>
    <w:p w:rsidR="002A37F2" w:rsidRPr="00A842E5" w:rsidRDefault="002A37F2" w:rsidP="002A37F2">
      <w:pPr>
        <w:spacing w:line="240" w:lineRule="auto"/>
        <w:rPr>
          <w:rFonts w:ascii="Times New Roman" w:hAnsi="Times New Roman" w:cs="Times New Roman"/>
        </w:rPr>
      </w:pPr>
    </w:p>
    <w:p w:rsidR="002A37F2" w:rsidRPr="00A842E5" w:rsidRDefault="002A37F2" w:rsidP="00BD2651">
      <w:pPr>
        <w:spacing w:line="240" w:lineRule="auto"/>
        <w:rPr>
          <w:rFonts w:ascii="Times New Roman" w:hAnsi="Times New Roman" w:cs="Times New Roman"/>
        </w:rPr>
      </w:pPr>
    </w:p>
    <w:sectPr w:rsidR="002A37F2" w:rsidRPr="00A842E5" w:rsidSect="00BD2651">
      <w:headerReference w:type="default" r:id="rId10"/>
      <w:foot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B9" w:rsidRDefault="00BD4FB9" w:rsidP="007F414A">
      <w:pPr>
        <w:spacing w:line="240" w:lineRule="auto"/>
      </w:pPr>
      <w:r>
        <w:separator/>
      </w:r>
    </w:p>
  </w:endnote>
  <w:endnote w:type="continuationSeparator" w:id="0">
    <w:p w:rsidR="00BD4FB9" w:rsidRDefault="00BD4FB9" w:rsidP="007F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12481845"/>
      <w:docPartObj>
        <w:docPartGallery w:val="Page Numbers (Bottom of Page)"/>
        <w:docPartUnique/>
      </w:docPartObj>
    </w:sdtPr>
    <w:sdtEndPr>
      <w:rPr>
        <w:noProof/>
      </w:rPr>
    </w:sdtEndPr>
    <w:sdtContent>
      <w:p w:rsidR="000C5E98" w:rsidRPr="00BD2651" w:rsidRDefault="000C5E98">
        <w:pPr>
          <w:pStyle w:val="Footer"/>
          <w:jc w:val="right"/>
          <w:rPr>
            <w:rFonts w:ascii="Times New Roman" w:hAnsi="Times New Roman" w:cs="Times New Roman"/>
          </w:rPr>
        </w:pPr>
        <w:r w:rsidRPr="00BD2651">
          <w:rPr>
            <w:rFonts w:ascii="Times New Roman" w:hAnsi="Times New Roman" w:cs="Times New Roman"/>
          </w:rPr>
          <w:fldChar w:fldCharType="begin"/>
        </w:r>
        <w:r w:rsidRPr="00BD2651">
          <w:rPr>
            <w:rFonts w:ascii="Times New Roman" w:hAnsi="Times New Roman" w:cs="Times New Roman"/>
          </w:rPr>
          <w:instrText xml:space="preserve"> PAGE   \* MERGEFORMAT </w:instrText>
        </w:r>
        <w:r w:rsidRPr="00BD2651">
          <w:rPr>
            <w:rFonts w:ascii="Times New Roman" w:hAnsi="Times New Roman" w:cs="Times New Roman"/>
          </w:rPr>
          <w:fldChar w:fldCharType="separate"/>
        </w:r>
        <w:r w:rsidR="00A301A8">
          <w:rPr>
            <w:rFonts w:ascii="Times New Roman" w:hAnsi="Times New Roman" w:cs="Times New Roman"/>
            <w:noProof/>
          </w:rPr>
          <w:t>1</w:t>
        </w:r>
        <w:r w:rsidRPr="00BD2651">
          <w:rPr>
            <w:rFonts w:ascii="Times New Roman" w:hAnsi="Times New Roman" w:cs="Times New Roman"/>
            <w:noProof/>
          </w:rPr>
          <w:fldChar w:fldCharType="end"/>
        </w:r>
      </w:p>
    </w:sdtContent>
  </w:sdt>
  <w:p w:rsidR="000C5E98" w:rsidRDefault="000C5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B9" w:rsidRDefault="00BD4FB9" w:rsidP="007F414A">
      <w:pPr>
        <w:spacing w:line="240" w:lineRule="auto"/>
      </w:pPr>
      <w:r>
        <w:separator/>
      </w:r>
    </w:p>
  </w:footnote>
  <w:footnote w:type="continuationSeparator" w:id="0">
    <w:p w:rsidR="00BD4FB9" w:rsidRDefault="00BD4FB9" w:rsidP="007F414A">
      <w:pPr>
        <w:spacing w:line="240" w:lineRule="auto"/>
      </w:pPr>
      <w:r>
        <w:continuationSeparator/>
      </w:r>
    </w:p>
  </w:footnote>
  <w:footnote w:id="1">
    <w:p w:rsidR="000C5E98" w:rsidRDefault="000C5E98">
      <w:pPr>
        <w:pStyle w:val="FootnoteText"/>
      </w:pPr>
      <w:r w:rsidRPr="00126E70">
        <w:rPr>
          <w:rStyle w:val="FootnoteReference"/>
          <w:sz w:val="16"/>
          <w:szCs w:val="16"/>
        </w:rPr>
        <w:footnoteRef/>
      </w:r>
      <w:r w:rsidRPr="00126E70">
        <w:rPr>
          <w:sz w:val="16"/>
          <w:szCs w:val="16"/>
        </w:rPr>
        <w:t xml:space="preserve"> </w:t>
      </w:r>
      <w:proofErr w:type="gramStart"/>
      <w:r>
        <w:rPr>
          <w:rFonts w:ascii="Times New Roman" w:hAnsi="Times New Roman" w:cs="Times New Roman"/>
          <w:sz w:val="16"/>
          <w:szCs w:val="16"/>
        </w:rPr>
        <w:t>P</w:t>
      </w:r>
      <w:r w:rsidRPr="00C247E9">
        <w:rPr>
          <w:rFonts w:ascii="Times New Roman" w:hAnsi="Times New Roman" w:cs="Times New Roman"/>
          <w:sz w:val="16"/>
          <w:szCs w:val="16"/>
        </w:rPr>
        <w:t>ending approval dates and recruitment time.</w:t>
      </w:r>
      <w:proofErr w:type="gramEnd"/>
    </w:p>
  </w:footnote>
  <w:footnote w:id="2">
    <w:p w:rsidR="000C5E98" w:rsidRPr="004F6F47" w:rsidRDefault="000C5E98" w:rsidP="00D81587">
      <w:pPr>
        <w:pStyle w:val="NormalWeb"/>
        <w:spacing w:before="0" w:beforeAutospacing="0" w:after="0" w:afterAutospacing="0"/>
        <w:rPr>
          <w:color w:val="auto"/>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Halpern, SD., </w:t>
      </w:r>
      <w:proofErr w:type="spellStart"/>
      <w:r>
        <w:rPr>
          <w:color w:val="auto"/>
          <w:sz w:val="16"/>
          <w:szCs w:val="16"/>
          <w:lang w:val="en"/>
        </w:rPr>
        <w:t>Karlawish</w:t>
      </w:r>
      <w:proofErr w:type="spellEnd"/>
      <w:r>
        <w:rPr>
          <w:color w:val="auto"/>
          <w:sz w:val="16"/>
          <w:szCs w:val="16"/>
          <w:lang w:val="en"/>
        </w:rPr>
        <w:t xml:space="preserve">, </w:t>
      </w:r>
      <w:proofErr w:type="gramStart"/>
      <w:r>
        <w:rPr>
          <w:color w:val="auto"/>
          <w:sz w:val="16"/>
          <w:szCs w:val="16"/>
          <w:lang w:val="en"/>
        </w:rPr>
        <w:t>J</w:t>
      </w:r>
      <w:r w:rsidRPr="004F6F47">
        <w:rPr>
          <w:color w:val="auto"/>
          <w:sz w:val="16"/>
          <w:szCs w:val="16"/>
          <w:lang w:val="en"/>
        </w:rPr>
        <w:t>H.</w:t>
      </w:r>
      <w:r>
        <w:rPr>
          <w:color w:val="auto"/>
          <w:sz w:val="16"/>
          <w:szCs w:val="16"/>
          <w:lang w:val="en"/>
        </w:rPr>
        <w:t>,</w:t>
      </w:r>
      <w:proofErr w:type="gramEnd"/>
      <w:r>
        <w:rPr>
          <w:color w:val="auto"/>
          <w:sz w:val="16"/>
          <w:szCs w:val="16"/>
          <w:lang w:val="en"/>
        </w:rPr>
        <w:t xml:space="preserve"> </w:t>
      </w:r>
      <w:proofErr w:type="spellStart"/>
      <w:r>
        <w:rPr>
          <w:color w:val="auto"/>
          <w:sz w:val="16"/>
          <w:szCs w:val="16"/>
          <w:lang w:val="en"/>
        </w:rPr>
        <w:t>Casarett</w:t>
      </w:r>
      <w:proofErr w:type="spellEnd"/>
      <w:r>
        <w:rPr>
          <w:color w:val="auto"/>
          <w:sz w:val="16"/>
          <w:szCs w:val="16"/>
          <w:lang w:val="en"/>
        </w:rPr>
        <w:t xml:space="preserve">, D., Berlin, JA., Asch, DA. </w:t>
      </w:r>
      <w:r w:rsidRPr="004F6F47">
        <w:rPr>
          <w:color w:val="auto"/>
          <w:sz w:val="16"/>
          <w:szCs w:val="16"/>
          <w:lang w:val="en"/>
        </w:rPr>
        <w:t xml:space="preserve">Empirical assessment of whether moderate payments are undue or unjust inducements for participation in clinical trials. </w:t>
      </w:r>
      <w:proofErr w:type="gramStart"/>
      <w:r>
        <w:rPr>
          <w:i/>
          <w:color w:val="auto"/>
          <w:sz w:val="16"/>
          <w:szCs w:val="16"/>
          <w:lang w:val="en"/>
        </w:rPr>
        <w:t>Archives of Internal Medicine.</w:t>
      </w:r>
      <w:proofErr w:type="gramEnd"/>
      <w:r>
        <w:rPr>
          <w:i/>
          <w:color w:val="auto"/>
          <w:sz w:val="16"/>
          <w:szCs w:val="16"/>
          <w:lang w:val="en"/>
        </w:rPr>
        <w:t xml:space="preserve"> </w:t>
      </w:r>
      <w:proofErr w:type="gramStart"/>
      <w:r>
        <w:rPr>
          <w:color w:val="auto"/>
          <w:sz w:val="16"/>
          <w:szCs w:val="16"/>
          <w:lang w:val="en"/>
        </w:rPr>
        <w:t>2004; 164(7),</w:t>
      </w:r>
      <w:r w:rsidRPr="004F6F47">
        <w:rPr>
          <w:color w:val="auto"/>
          <w:sz w:val="16"/>
          <w:szCs w:val="16"/>
          <w:lang w:val="en"/>
        </w:rPr>
        <w:t xml:space="preserve"> 80l-803.</w:t>
      </w:r>
      <w:proofErr w:type="gramEnd"/>
    </w:p>
  </w:footnote>
  <w:footnote w:id="3">
    <w:p w:rsidR="000C5E98" w:rsidRPr="004F6F47" w:rsidRDefault="000C5E98" w:rsidP="00D81587">
      <w:pPr>
        <w:pStyle w:val="NormalWeb"/>
        <w:spacing w:before="0" w:beforeAutospacing="0" w:after="0" w:afterAutospacing="0"/>
        <w:rPr>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Russell, </w:t>
      </w:r>
      <w:proofErr w:type="gramStart"/>
      <w:r>
        <w:rPr>
          <w:color w:val="auto"/>
          <w:sz w:val="16"/>
          <w:szCs w:val="16"/>
          <w:lang w:val="en"/>
        </w:rPr>
        <w:t>ML.,</w:t>
      </w:r>
      <w:proofErr w:type="gramEnd"/>
      <w:r>
        <w:rPr>
          <w:color w:val="auto"/>
          <w:sz w:val="16"/>
          <w:szCs w:val="16"/>
          <w:lang w:val="en"/>
        </w:rPr>
        <w:t xml:space="preserve"> </w:t>
      </w:r>
      <w:proofErr w:type="spellStart"/>
      <w:r>
        <w:rPr>
          <w:color w:val="auto"/>
          <w:sz w:val="16"/>
          <w:szCs w:val="16"/>
          <w:lang w:val="en"/>
        </w:rPr>
        <w:t>Moralejo</w:t>
      </w:r>
      <w:proofErr w:type="spellEnd"/>
      <w:r>
        <w:rPr>
          <w:color w:val="auto"/>
          <w:sz w:val="16"/>
          <w:szCs w:val="16"/>
          <w:lang w:val="en"/>
        </w:rPr>
        <w:t xml:space="preserve">, DG., Burgess, ED. </w:t>
      </w:r>
      <w:r w:rsidRPr="004F6F47">
        <w:rPr>
          <w:color w:val="auto"/>
          <w:sz w:val="16"/>
          <w:szCs w:val="16"/>
          <w:lang w:val="en"/>
        </w:rPr>
        <w:t xml:space="preserve">Paying </w:t>
      </w:r>
      <w:r>
        <w:rPr>
          <w:color w:val="auto"/>
          <w:sz w:val="16"/>
          <w:szCs w:val="16"/>
          <w:lang w:val="en"/>
        </w:rPr>
        <w:t>research subjects: Participants’</w:t>
      </w:r>
      <w:r w:rsidRPr="004F6F47">
        <w:rPr>
          <w:color w:val="auto"/>
          <w:sz w:val="16"/>
          <w:szCs w:val="16"/>
          <w:lang w:val="en"/>
        </w:rPr>
        <w:t xml:space="preserve"> perspectives. </w:t>
      </w:r>
      <w:proofErr w:type="gramStart"/>
      <w:r>
        <w:rPr>
          <w:i/>
          <w:color w:val="auto"/>
          <w:sz w:val="16"/>
          <w:szCs w:val="16"/>
          <w:lang w:val="en"/>
        </w:rPr>
        <w:t>Journal of Medical Ethics.</w:t>
      </w:r>
      <w:proofErr w:type="gramEnd"/>
      <w:r>
        <w:rPr>
          <w:i/>
          <w:color w:val="auto"/>
          <w:sz w:val="16"/>
          <w:szCs w:val="16"/>
          <w:lang w:val="en"/>
        </w:rPr>
        <w:t xml:space="preserve"> </w:t>
      </w:r>
      <w:r>
        <w:rPr>
          <w:color w:val="auto"/>
          <w:sz w:val="16"/>
          <w:szCs w:val="16"/>
          <w:lang w:val="en"/>
        </w:rPr>
        <w:t>2000</w:t>
      </w:r>
      <w:proofErr w:type="gramStart"/>
      <w:r>
        <w:rPr>
          <w:color w:val="auto"/>
          <w:sz w:val="16"/>
          <w:szCs w:val="16"/>
          <w:lang w:val="en"/>
        </w:rPr>
        <w:t>;26</w:t>
      </w:r>
      <w:proofErr w:type="gramEnd"/>
      <w:r>
        <w:rPr>
          <w:color w:val="auto"/>
          <w:sz w:val="16"/>
          <w:szCs w:val="16"/>
          <w:lang w:val="en"/>
        </w:rPr>
        <w:t>(2)</w:t>
      </w:r>
      <w:r w:rsidRPr="004F6F47">
        <w:rPr>
          <w:color w:val="auto"/>
          <w:sz w:val="16"/>
          <w:szCs w:val="16"/>
          <w:lang w:val="en"/>
        </w:rPr>
        <w:t>, 126-130.</w:t>
      </w:r>
    </w:p>
  </w:footnote>
  <w:footnote w:id="4">
    <w:p w:rsidR="000C5E98" w:rsidRPr="000377E5" w:rsidRDefault="000C5E98" w:rsidP="00D81587">
      <w:pPr>
        <w:spacing w:line="240" w:lineRule="auto"/>
      </w:pPr>
      <w:r w:rsidRPr="004F6F47">
        <w:rPr>
          <w:rStyle w:val="FootnoteReference"/>
          <w:rFonts w:ascii="Times New Roman" w:hAnsi="Times New Roman" w:cs="Times New Roman"/>
          <w:sz w:val="16"/>
          <w:szCs w:val="16"/>
        </w:rPr>
        <w:footnoteRef/>
      </w:r>
      <w:r w:rsidRPr="004F6F47">
        <w:rPr>
          <w:rFonts w:ascii="Times New Roman" w:hAnsi="Times New Roman" w:cs="Times New Roman"/>
          <w:sz w:val="16"/>
          <w:szCs w:val="16"/>
        </w:rPr>
        <w:t xml:space="preserve"> </w:t>
      </w:r>
      <w:r>
        <w:rPr>
          <w:rFonts w:ascii="Times New Roman" w:hAnsi="Times New Roman" w:cs="Times New Roman"/>
          <w:sz w:val="16"/>
          <w:szCs w:val="16"/>
        </w:rPr>
        <w:t xml:space="preserve">Morgan, DL, </w:t>
      </w:r>
      <w:proofErr w:type="spellStart"/>
      <w:r w:rsidRPr="00C00810">
        <w:rPr>
          <w:rFonts w:ascii="Times New Roman" w:hAnsi="Times New Roman" w:cs="Times New Roman"/>
          <w:sz w:val="16"/>
          <w:szCs w:val="16"/>
        </w:rPr>
        <w:t>Scannell</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AU</w:t>
      </w:r>
      <w:proofErr w:type="gramStart"/>
      <w:r>
        <w:rPr>
          <w:rFonts w:ascii="Times New Roman" w:hAnsi="Times New Roman" w:cs="Times New Roman"/>
          <w:sz w:val="16"/>
          <w:szCs w:val="16"/>
        </w:rPr>
        <w:t>..</w:t>
      </w:r>
      <w:r w:rsidRPr="00C00810">
        <w:rPr>
          <w:rFonts w:ascii="Times New Roman" w:hAnsi="Times New Roman" w:cs="Times New Roman"/>
          <w:sz w:val="16"/>
          <w:szCs w:val="16"/>
        </w:rPr>
        <w:t>Planning</w:t>
      </w:r>
      <w:proofErr w:type="spellEnd"/>
      <w:r w:rsidRPr="00C00810">
        <w:rPr>
          <w:rFonts w:ascii="Times New Roman" w:hAnsi="Times New Roman" w:cs="Times New Roman"/>
          <w:sz w:val="16"/>
          <w:szCs w:val="16"/>
        </w:rPr>
        <w:t xml:space="preserve"> Focus Groups.</w:t>
      </w:r>
      <w:proofErr w:type="gramEnd"/>
      <w:r w:rsidRPr="00C00810">
        <w:rPr>
          <w:rFonts w:ascii="Times New Roman" w:hAnsi="Times New Roman" w:cs="Times New Roman"/>
          <w:sz w:val="16"/>
          <w:szCs w:val="16"/>
        </w:rPr>
        <w:t xml:space="preserve"> Thousand Oaks, CA: Sage, 1998.</w:t>
      </w:r>
    </w:p>
  </w:footnote>
  <w:footnote w:id="5">
    <w:p w:rsidR="000C5E98" w:rsidRPr="00B14F0C" w:rsidRDefault="000C5E98" w:rsidP="00D81587">
      <w:pPr>
        <w:pStyle w:val="Heading1"/>
        <w:ind w:right="0"/>
        <w:rPr>
          <w:b w:val="0"/>
          <w:sz w:val="16"/>
          <w:szCs w:val="16"/>
          <w:lang w:val="en"/>
        </w:rPr>
      </w:pPr>
      <w:r w:rsidRPr="004F6F47">
        <w:rPr>
          <w:rStyle w:val="FootnoteReference"/>
          <w:b w:val="0"/>
          <w:sz w:val="16"/>
          <w:szCs w:val="16"/>
        </w:rPr>
        <w:footnoteRef/>
      </w:r>
      <w:r>
        <w:rPr>
          <w:b w:val="0"/>
          <w:sz w:val="16"/>
          <w:szCs w:val="16"/>
        </w:rPr>
        <w:t xml:space="preserve"> </w:t>
      </w:r>
      <w:proofErr w:type="spellStart"/>
      <w:proofErr w:type="gramStart"/>
      <w:r>
        <w:rPr>
          <w:b w:val="0"/>
          <w:sz w:val="16"/>
          <w:szCs w:val="16"/>
        </w:rPr>
        <w:t>Groth</w:t>
      </w:r>
      <w:proofErr w:type="spellEnd"/>
      <w:r>
        <w:rPr>
          <w:b w:val="0"/>
          <w:sz w:val="16"/>
          <w:szCs w:val="16"/>
        </w:rPr>
        <w:t xml:space="preserve">, SW. </w:t>
      </w:r>
      <w:r w:rsidRPr="004F6F47">
        <w:rPr>
          <w:b w:val="0"/>
          <w:sz w:val="16"/>
          <w:szCs w:val="16"/>
          <w:lang w:val="en"/>
        </w:rPr>
        <w:t>Honorarium or coercion: use of incentives for participants in clinical research</w:t>
      </w:r>
      <w:r w:rsidRPr="004F6F47">
        <w:rPr>
          <w:b w:val="0"/>
          <w:i/>
          <w:sz w:val="16"/>
          <w:szCs w:val="16"/>
          <w:lang w:val="en"/>
        </w:rPr>
        <w:t>.</w:t>
      </w:r>
      <w:proofErr w:type="gramEnd"/>
      <w:r w:rsidRPr="004F6F47">
        <w:rPr>
          <w:b w:val="0"/>
          <w:i/>
          <w:sz w:val="16"/>
          <w:szCs w:val="16"/>
          <w:lang w:val="en"/>
        </w:rPr>
        <w:t xml:space="preserve"> </w:t>
      </w:r>
      <w:proofErr w:type="gramStart"/>
      <w:r w:rsidRPr="004F6F47">
        <w:rPr>
          <w:rStyle w:val="int"/>
          <w:b w:val="0"/>
          <w:i/>
          <w:sz w:val="16"/>
          <w:szCs w:val="16"/>
          <w:lang w:val="en"/>
        </w:rPr>
        <w:t>Journal of the New York State Nurses Association</w:t>
      </w:r>
      <w:r>
        <w:rPr>
          <w:rStyle w:val="int"/>
          <w:b w:val="0"/>
          <w:sz w:val="16"/>
          <w:szCs w:val="16"/>
          <w:lang w:val="en"/>
        </w:rPr>
        <w:t>.</w:t>
      </w:r>
      <w:proofErr w:type="gramEnd"/>
      <w:r>
        <w:rPr>
          <w:rStyle w:val="int"/>
          <w:b w:val="0"/>
          <w:sz w:val="16"/>
          <w:szCs w:val="16"/>
          <w:lang w:val="en"/>
        </w:rPr>
        <w:t xml:space="preserv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98" w:rsidRPr="007F414A" w:rsidRDefault="000C5E98" w:rsidP="007F414A">
    <w:pPr>
      <w:pStyle w:val="Header"/>
      <w:jc w:val="right"/>
      <w:rPr>
        <w:rFonts w:ascii="Times New Roman" w:hAnsi="Times New Roman" w:cs="Times New Roman"/>
      </w:rPr>
    </w:pPr>
    <w:r>
      <w:rPr>
        <w:rFonts w:ascii="Times New Roman" w:hAnsi="Times New Roman" w:cs="Times New Roman"/>
      </w:rPr>
      <w:t>EXPERIMENTER</w:t>
    </w:r>
    <w:r w:rsidRPr="007F414A">
      <w:rPr>
        <w:rFonts w:ascii="Times New Roman" w:hAnsi="Times New Roman" w:cs="Times New Roman"/>
      </w:rPr>
      <w:t xml:space="preserve"> PHASE 1 RESEARCH</w:t>
    </w:r>
  </w:p>
  <w:p w:rsidR="000C5E98" w:rsidRDefault="000C5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3100B"/>
    <w:rsid w:val="00042580"/>
    <w:rsid w:val="00051F0C"/>
    <w:rsid w:val="000606B8"/>
    <w:rsid w:val="00073668"/>
    <w:rsid w:val="00074F09"/>
    <w:rsid w:val="000A705F"/>
    <w:rsid w:val="000B0CA5"/>
    <w:rsid w:val="000C5E98"/>
    <w:rsid w:val="000D2613"/>
    <w:rsid w:val="000D31FC"/>
    <w:rsid w:val="00126E70"/>
    <w:rsid w:val="001653AC"/>
    <w:rsid w:val="001A64CD"/>
    <w:rsid w:val="002413C2"/>
    <w:rsid w:val="002423B0"/>
    <w:rsid w:val="00265C6B"/>
    <w:rsid w:val="0028495E"/>
    <w:rsid w:val="0028666D"/>
    <w:rsid w:val="0028686D"/>
    <w:rsid w:val="002A09C5"/>
    <w:rsid w:val="002A37F2"/>
    <w:rsid w:val="002B6165"/>
    <w:rsid w:val="002C1221"/>
    <w:rsid w:val="002C3053"/>
    <w:rsid w:val="002C4956"/>
    <w:rsid w:val="002E2C04"/>
    <w:rsid w:val="002E51F8"/>
    <w:rsid w:val="002F1F1C"/>
    <w:rsid w:val="0033171E"/>
    <w:rsid w:val="003534E9"/>
    <w:rsid w:val="00374D82"/>
    <w:rsid w:val="003766CC"/>
    <w:rsid w:val="003C5BA6"/>
    <w:rsid w:val="003D17BE"/>
    <w:rsid w:val="003F2554"/>
    <w:rsid w:val="00412836"/>
    <w:rsid w:val="0042099B"/>
    <w:rsid w:val="00473190"/>
    <w:rsid w:val="0048710E"/>
    <w:rsid w:val="004A2DC6"/>
    <w:rsid w:val="004B7454"/>
    <w:rsid w:val="004D3D53"/>
    <w:rsid w:val="004D6EF4"/>
    <w:rsid w:val="004F504F"/>
    <w:rsid w:val="005206E5"/>
    <w:rsid w:val="0052143D"/>
    <w:rsid w:val="00530034"/>
    <w:rsid w:val="00530A93"/>
    <w:rsid w:val="00554991"/>
    <w:rsid w:val="00575153"/>
    <w:rsid w:val="0059326E"/>
    <w:rsid w:val="005960F7"/>
    <w:rsid w:val="005B32CF"/>
    <w:rsid w:val="005E400F"/>
    <w:rsid w:val="005F35E8"/>
    <w:rsid w:val="00651F6B"/>
    <w:rsid w:val="00663C64"/>
    <w:rsid w:val="006704B0"/>
    <w:rsid w:val="00671775"/>
    <w:rsid w:val="006A64B5"/>
    <w:rsid w:val="006D6D27"/>
    <w:rsid w:val="006F46F8"/>
    <w:rsid w:val="007068C6"/>
    <w:rsid w:val="00735052"/>
    <w:rsid w:val="00740DF6"/>
    <w:rsid w:val="007447A6"/>
    <w:rsid w:val="007849C9"/>
    <w:rsid w:val="00795EE2"/>
    <w:rsid w:val="007E551C"/>
    <w:rsid w:val="007E69B3"/>
    <w:rsid w:val="007F414A"/>
    <w:rsid w:val="0080458F"/>
    <w:rsid w:val="008079B8"/>
    <w:rsid w:val="008175EF"/>
    <w:rsid w:val="008228B7"/>
    <w:rsid w:val="008279EF"/>
    <w:rsid w:val="00885F2F"/>
    <w:rsid w:val="0089024B"/>
    <w:rsid w:val="008C1944"/>
    <w:rsid w:val="009177E1"/>
    <w:rsid w:val="009326F8"/>
    <w:rsid w:val="009503DB"/>
    <w:rsid w:val="0095164A"/>
    <w:rsid w:val="00957513"/>
    <w:rsid w:val="009951F9"/>
    <w:rsid w:val="009A7C91"/>
    <w:rsid w:val="009D074E"/>
    <w:rsid w:val="009D6933"/>
    <w:rsid w:val="00A076FE"/>
    <w:rsid w:val="00A2694D"/>
    <w:rsid w:val="00A301A8"/>
    <w:rsid w:val="00A50B00"/>
    <w:rsid w:val="00A51189"/>
    <w:rsid w:val="00A842E5"/>
    <w:rsid w:val="00AA2CBA"/>
    <w:rsid w:val="00AA5C39"/>
    <w:rsid w:val="00AC4DEB"/>
    <w:rsid w:val="00AE181C"/>
    <w:rsid w:val="00AE7C20"/>
    <w:rsid w:val="00AF17D7"/>
    <w:rsid w:val="00B00DB9"/>
    <w:rsid w:val="00B14F0C"/>
    <w:rsid w:val="00B6282E"/>
    <w:rsid w:val="00B73BF9"/>
    <w:rsid w:val="00BA4A4D"/>
    <w:rsid w:val="00BB2014"/>
    <w:rsid w:val="00BB25CB"/>
    <w:rsid w:val="00BB4671"/>
    <w:rsid w:val="00BB58BD"/>
    <w:rsid w:val="00BD0A5D"/>
    <w:rsid w:val="00BD2651"/>
    <w:rsid w:val="00BD4FB9"/>
    <w:rsid w:val="00C041EB"/>
    <w:rsid w:val="00C068EF"/>
    <w:rsid w:val="00C139F1"/>
    <w:rsid w:val="00C23462"/>
    <w:rsid w:val="00C247E9"/>
    <w:rsid w:val="00C25637"/>
    <w:rsid w:val="00C548AF"/>
    <w:rsid w:val="00C60072"/>
    <w:rsid w:val="00C7271C"/>
    <w:rsid w:val="00CB0277"/>
    <w:rsid w:val="00CB03E9"/>
    <w:rsid w:val="00CC412A"/>
    <w:rsid w:val="00CF3DA0"/>
    <w:rsid w:val="00D6715D"/>
    <w:rsid w:val="00D776F7"/>
    <w:rsid w:val="00D80104"/>
    <w:rsid w:val="00D81587"/>
    <w:rsid w:val="00DA5BC5"/>
    <w:rsid w:val="00DB4229"/>
    <w:rsid w:val="00E54F6D"/>
    <w:rsid w:val="00E641F5"/>
    <w:rsid w:val="00E71C0D"/>
    <w:rsid w:val="00EA0EEB"/>
    <w:rsid w:val="00EA2E63"/>
    <w:rsid w:val="00ED6BB1"/>
    <w:rsid w:val="00EE23FE"/>
    <w:rsid w:val="00EF5B31"/>
    <w:rsid w:val="00F02FD1"/>
    <w:rsid w:val="00F24041"/>
    <w:rsid w:val="00F24AEF"/>
    <w:rsid w:val="00F26180"/>
    <w:rsid w:val="00F27B33"/>
    <w:rsid w:val="00F31854"/>
    <w:rsid w:val="00F3435C"/>
    <w:rsid w:val="00F37A21"/>
    <w:rsid w:val="00F52D8C"/>
    <w:rsid w:val="00FA3DD0"/>
    <w:rsid w:val="00FA66FC"/>
    <w:rsid w:val="00FB41C0"/>
    <w:rsid w:val="00FC20F7"/>
    <w:rsid w:val="00FC5827"/>
    <w:rsid w:val="00FF46B0"/>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A3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7513"/>
    <w:rPr>
      <w:color w:val="0000FF" w:themeColor="hyperlink"/>
      <w:u w:val="single"/>
    </w:rPr>
  </w:style>
  <w:style w:type="table" w:styleId="TableGrid">
    <w:name w:val="Table Grid"/>
    <w:basedOn w:val="TableNormal"/>
    <w:uiPriority w:val="59"/>
    <w:rsid w:val="0095751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14A"/>
    <w:pPr>
      <w:tabs>
        <w:tab w:val="center" w:pos="4680"/>
        <w:tab w:val="right" w:pos="9360"/>
      </w:tabs>
      <w:spacing w:line="240" w:lineRule="auto"/>
    </w:pPr>
  </w:style>
  <w:style w:type="character" w:customStyle="1" w:styleId="HeaderChar">
    <w:name w:val="Header Char"/>
    <w:basedOn w:val="DefaultParagraphFont"/>
    <w:link w:val="Header"/>
    <w:uiPriority w:val="99"/>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4A"/>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semiHidden/>
    <w:unhideWhenUsed/>
    <w:rsid w:val="0048710E"/>
    <w:pPr>
      <w:spacing w:line="240" w:lineRule="auto"/>
    </w:pPr>
    <w:rPr>
      <w:sz w:val="20"/>
      <w:szCs w:val="20"/>
    </w:rPr>
  </w:style>
  <w:style w:type="character" w:customStyle="1" w:styleId="CommentTextChar">
    <w:name w:val="Comment Text Char"/>
    <w:basedOn w:val="DefaultParagraphFont"/>
    <w:link w:val="CommentText"/>
    <w:uiPriority w:val="99"/>
    <w:semiHidden/>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sz w:val="20"/>
      <w:szCs w:val="20"/>
    </w:rPr>
  </w:style>
  <w:style w:type="paragraph" w:styleId="Revision">
    <w:name w:val="Revision"/>
    <w:hidden/>
    <w:uiPriority w:val="99"/>
    <w:semiHidden/>
    <w:rsid w:val="0048710E"/>
    <w:pPr>
      <w:spacing w:line="240" w:lineRule="auto"/>
    </w:p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basedOn w:val="DefaultParagraphFont"/>
    <w:link w:val="FootnoteText"/>
    <w:uiPriority w:val="99"/>
    <w:semiHidden/>
    <w:rsid w:val="00C041EB"/>
    <w:rPr>
      <w:sz w:val="20"/>
      <w:szCs w:val="20"/>
    </w:rPr>
  </w:style>
  <w:style w:type="character" w:styleId="FootnoteReference">
    <w:name w:val="footnote reference"/>
    <w:basedOn w:val="DefaultParagraphFont"/>
    <w:uiPriority w:val="99"/>
    <w:semiHidden/>
    <w:unhideWhenUsed/>
    <w:rsid w:val="00C041EB"/>
    <w:rPr>
      <w:vertAlign w:val="superscript"/>
    </w:rPr>
  </w:style>
  <w:style w:type="character" w:customStyle="1" w:styleId="Heading1Char">
    <w:name w:val="Heading 1 Char"/>
    <w:basedOn w:val="DefaultParagraphFont"/>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2A37F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A3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7513"/>
    <w:rPr>
      <w:color w:val="0000FF" w:themeColor="hyperlink"/>
      <w:u w:val="single"/>
    </w:rPr>
  </w:style>
  <w:style w:type="table" w:styleId="TableGrid">
    <w:name w:val="Table Grid"/>
    <w:basedOn w:val="TableNormal"/>
    <w:uiPriority w:val="59"/>
    <w:rsid w:val="0095751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14A"/>
    <w:pPr>
      <w:tabs>
        <w:tab w:val="center" w:pos="4680"/>
        <w:tab w:val="right" w:pos="9360"/>
      </w:tabs>
      <w:spacing w:line="240" w:lineRule="auto"/>
    </w:pPr>
  </w:style>
  <w:style w:type="character" w:customStyle="1" w:styleId="HeaderChar">
    <w:name w:val="Header Char"/>
    <w:basedOn w:val="DefaultParagraphFont"/>
    <w:link w:val="Header"/>
    <w:uiPriority w:val="99"/>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14A"/>
    <w:rPr>
      <w:rFonts w:ascii="Tahoma" w:hAnsi="Tahoma" w:cs="Tahoma"/>
      <w:sz w:val="16"/>
      <w:szCs w:val="16"/>
    </w:rPr>
  </w:style>
  <w:style w:type="character" w:styleId="CommentReference">
    <w:name w:val="annotation reference"/>
    <w:basedOn w:val="DefaultParagraphFont"/>
    <w:uiPriority w:val="99"/>
    <w:semiHidden/>
    <w:unhideWhenUsed/>
    <w:rsid w:val="0048710E"/>
    <w:rPr>
      <w:sz w:val="16"/>
      <w:szCs w:val="16"/>
    </w:rPr>
  </w:style>
  <w:style w:type="paragraph" w:styleId="CommentText">
    <w:name w:val="annotation text"/>
    <w:basedOn w:val="Normal"/>
    <w:link w:val="CommentTextChar"/>
    <w:uiPriority w:val="99"/>
    <w:semiHidden/>
    <w:unhideWhenUsed/>
    <w:rsid w:val="0048710E"/>
    <w:pPr>
      <w:spacing w:line="240" w:lineRule="auto"/>
    </w:pPr>
    <w:rPr>
      <w:sz w:val="20"/>
      <w:szCs w:val="20"/>
    </w:rPr>
  </w:style>
  <w:style w:type="character" w:customStyle="1" w:styleId="CommentTextChar">
    <w:name w:val="Comment Text Char"/>
    <w:basedOn w:val="DefaultParagraphFont"/>
    <w:link w:val="CommentText"/>
    <w:uiPriority w:val="99"/>
    <w:semiHidden/>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basedOn w:val="CommentTextChar"/>
    <w:link w:val="CommentSubject"/>
    <w:uiPriority w:val="99"/>
    <w:semiHidden/>
    <w:rsid w:val="0048710E"/>
    <w:rPr>
      <w:b/>
      <w:bCs/>
      <w:sz w:val="20"/>
      <w:szCs w:val="20"/>
    </w:rPr>
  </w:style>
  <w:style w:type="paragraph" w:styleId="Revision">
    <w:name w:val="Revision"/>
    <w:hidden/>
    <w:uiPriority w:val="99"/>
    <w:semiHidden/>
    <w:rsid w:val="0048710E"/>
    <w:pPr>
      <w:spacing w:line="240" w:lineRule="auto"/>
    </w:p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basedOn w:val="DefaultParagraphFont"/>
    <w:link w:val="FootnoteText"/>
    <w:uiPriority w:val="99"/>
    <w:semiHidden/>
    <w:rsid w:val="00C041EB"/>
    <w:rPr>
      <w:sz w:val="20"/>
      <w:szCs w:val="20"/>
    </w:rPr>
  </w:style>
  <w:style w:type="character" w:styleId="FootnoteReference">
    <w:name w:val="footnote reference"/>
    <w:basedOn w:val="DefaultParagraphFont"/>
    <w:uiPriority w:val="99"/>
    <w:semiHidden/>
    <w:unhideWhenUsed/>
    <w:rsid w:val="00C041EB"/>
    <w:rPr>
      <w:vertAlign w:val="superscript"/>
    </w:rPr>
  </w:style>
  <w:style w:type="character" w:customStyle="1" w:styleId="Heading1Char">
    <w:name w:val="Heading 1 Char"/>
    <w:basedOn w:val="DefaultParagraphFont"/>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2A37F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Gittleson@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4F65-342D-421D-80B0-D7F96E4E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Gittleson, Daniel</cp:lastModifiedBy>
  <cp:revision>5</cp:revision>
  <cp:lastPrinted>2013-06-18T15:44:00Z</cp:lastPrinted>
  <dcterms:created xsi:type="dcterms:W3CDTF">2013-06-29T22:40:00Z</dcterms:created>
  <dcterms:modified xsi:type="dcterms:W3CDTF">2013-07-12T11:34:00Z</dcterms:modified>
</cp:coreProperties>
</file>