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3B" w:rsidRPr="00476104" w:rsidRDefault="00021C3B">
      <w:pPr>
        <w:pStyle w:val="Title"/>
        <w:rPr>
          <w:b/>
          <w:caps/>
          <w:sz w:val="26"/>
          <w:szCs w:val="26"/>
        </w:rPr>
      </w:pPr>
      <w:r w:rsidRPr="00476104">
        <w:rPr>
          <w:b/>
          <w:caps/>
          <w:sz w:val="26"/>
          <w:szCs w:val="26"/>
        </w:rPr>
        <w:t xml:space="preserve">Supporting Statement </w:t>
      </w:r>
    </w:p>
    <w:p w:rsidR="00021C3B" w:rsidRPr="00F53C82" w:rsidRDefault="00021C3B">
      <w:pPr>
        <w:jc w:val="center"/>
        <w:rPr>
          <w:sz w:val="26"/>
          <w:szCs w:val="26"/>
        </w:rPr>
      </w:pPr>
    </w:p>
    <w:p w:rsidR="00021C3B" w:rsidRPr="00F53C82" w:rsidRDefault="00021C3B" w:rsidP="002042F1">
      <w:pPr>
        <w:jc w:val="center"/>
        <w:rPr>
          <w:sz w:val="26"/>
          <w:szCs w:val="26"/>
        </w:rPr>
      </w:pPr>
      <w:r w:rsidRPr="00F53C82">
        <w:rPr>
          <w:sz w:val="26"/>
          <w:szCs w:val="26"/>
        </w:rPr>
        <w:t>OMB No. 0730-</w:t>
      </w:r>
      <w:r w:rsidR="007C207E">
        <w:rPr>
          <w:sz w:val="26"/>
          <w:szCs w:val="26"/>
        </w:rPr>
        <w:t>0014</w:t>
      </w:r>
      <w:r w:rsidRPr="00F53C82">
        <w:rPr>
          <w:sz w:val="26"/>
          <w:szCs w:val="26"/>
        </w:rPr>
        <w:t xml:space="preserve">, </w:t>
      </w:r>
      <w:r w:rsidR="007C207E">
        <w:rPr>
          <w:i/>
          <w:sz w:val="26"/>
          <w:szCs w:val="26"/>
        </w:rPr>
        <w:t>Dependency Statements (DD 137-3 – DD 137-7)</w:t>
      </w:r>
    </w:p>
    <w:p w:rsidR="00021C3B" w:rsidRPr="00F53C82" w:rsidRDefault="00021C3B">
      <w:pPr>
        <w:jc w:val="center"/>
        <w:rPr>
          <w:sz w:val="26"/>
          <w:szCs w:val="26"/>
        </w:rPr>
      </w:pPr>
    </w:p>
    <w:p w:rsidR="00021C3B" w:rsidRPr="006F593B" w:rsidRDefault="00021C3B" w:rsidP="00C312EE">
      <w:pPr>
        <w:rPr>
          <w:szCs w:val="24"/>
        </w:rPr>
      </w:pPr>
      <w:r w:rsidRPr="006F593B">
        <w:rPr>
          <w:szCs w:val="24"/>
        </w:rPr>
        <w:t>A.  JUSTIFICATION</w:t>
      </w:r>
    </w:p>
    <w:p w:rsidR="00F53C82" w:rsidRDefault="00F53C82">
      <w:pPr>
        <w:rPr>
          <w:b/>
          <w:sz w:val="26"/>
          <w:szCs w:val="26"/>
        </w:rPr>
      </w:pPr>
    </w:p>
    <w:p w:rsidR="00021C3B" w:rsidRDefault="00C312EE">
      <w:pPr>
        <w:rPr>
          <w:sz w:val="26"/>
          <w:szCs w:val="26"/>
          <w:u w:val="single"/>
        </w:rPr>
      </w:pPr>
      <w:r>
        <w:rPr>
          <w:sz w:val="26"/>
          <w:szCs w:val="26"/>
        </w:rPr>
        <w:t xml:space="preserve">      1.  </w:t>
      </w:r>
      <w:r>
        <w:rPr>
          <w:sz w:val="26"/>
          <w:szCs w:val="26"/>
          <w:u w:val="single"/>
        </w:rPr>
        <w:t>Need for the Information</w:t>
      </w:r>
    </w:p>
    <w:p w:rsidR="00C312EE" w:rsidRPr="00C312EE" w:rsidRDefault="00C312EE">
      <w:pPr>
        <w:rPr>
          <w:sz w:val="26"/>
          <w:szCs w:val="26"/>
          <w:u w:val="single"/>
        </w:rPr>
      </w:pPr>
    </w:p>
    <w:p w:rsidR="00021C3B" w:rsidRDefault="007C207E" w:rsidP="006A067C">
      <w:pPr>
        <w:ind w:firstLine="720"/>
        <w:rPr>
          <w:sz w:val="26"/>
          <w:szCs w:val="26"/>
        </w:rPr>
      </w:pPr>
      <w:r>
        <w:rPr>
          <w:sz w:val="26"/>
          <w:szCs w:val="26"/>
        </w:rPr>
        <w:t xml:space="preserve">This information collection allows the Government to determine the degree of financial support a military member provides a dependent and, if adequate, authorizes the benefits.  Pursuant to 37 U.S.C. 401, 403, 406 and 10 U.S.C. 1072 and 1076 the member must provide at least one-half of claimed dependents’ monthly expenses.  The </w:t>
      </w:r>
      <w:proofErr w:type="spellStart"/>
      <w:r>
        <w:rPr>
          <w:sz w:val="26"/>
          <w:szCs w:val="26"/>
        </w:rPr>
        <w:t>DoDFMR</w:t>
      </w:r>
      <w:proofErr w:type="spellEnd"/>
      <w:r>
        <w:rPr>
          <w:sz w:val="26"/>
          <w:szCs w:val="26"/>
        </w:rPr>
        <w:t xml:space="preserve"> 7000.14, Volume 7A defines the definition of dependent, directs the requirement to prove in fact dependency, and also prescribes the forms to be used.  To prevent abuse of these benefits, and to comply with the above cited statutes, the information requested is needed to substantiate the receipt of the benefit.</w:t>
      </w:r>
      <w:r w:rsidR="00021C3B" w:rsidRPr="00F53C82">
        <w:rPr>
          <w:sz w:val="26"/>
          <w:szCs w:val="26"/>
        </w:rPr>
        <w:t xml:space="preserve"> </w:t>
      </w:r>
    </w:p>
    <w:p w:rsidR="00F53C82" w:rsidRDefault="00F53C82">
      <w:pPr>
        <w:rPr>
          <w:sz w:val="26"/>
          <w:szCs w:val="26"/>
        </w:rPr>
      </w:pPr>
    </w:p>
    <w:p w:rsidR="00021C3B" w:rsidRDefault="00C312EE" w:rsidP="00C312EE">
      <w:pPr>
        <w:tabs>
          <w:tab w:val="left" w:pos="450"/>
        </w:tabs>
        <w:rPr>
          <w:sz w:val="26"/>
          <w:szCs w:val="26"/>
          <w:u w:val="single"/>
        </w:rPr>
      </w:pPr>
      <w:r>
        <w:rPr>
          <w:sz w:val="26"/>
          <w:szCs w:val="26"/>
        </w:rPr>
        <w:tab/>
        <w:t xml:space="preserve">2.  </w:t>
      </w:r>
      <w:r>
        <w:rPr>
          <w:sz w:val="26"/>
          <w:szCs w:val="26"/>
          <w:u w:val="single"/>
        </w:rPr>
        <w:t>Use of the Information</w:t>
      </w:r>
    </w:p>
    <w:p w:rsidR="00C312EE" w:rsidRPr="00C312EE" w:rsidRDefault="00C312EE" w:rsidP="00C312EE">
      <w:pPr>
        <w:tabs>
          <w:tab w:val="left" w:pos="450"/>
        </w:tabs>
        <w:rPr>
          <w:sz w:val="26"/>
          <w:szCs w:val="26"/>
          <w:u w:val="single"/>
        </w:rPr>
      </w:pPr>
    </w:p>
    <w:p w:rsidR="007C207E" w:rsidRDefault="00021C3B" w:rsidP="006A067C">
      <w:pPr>
        <w:ind w:firstLine="720"/>
        <w:rPr>
          <w:sz w:val="26"/>
          <w:szCs w:val="26"/>
        </w:rPr>
      </w:pPr>
      <w:r w:rsidRPr="00F53C82">
        <w:rPr>
          <w:sz w:val="26"/>
          <w:szCs w:val="26"/>
        </w:rPr>
        <w:t xml:space="preserve">DD Form </w:t>
      </w:r>
      <w:r w:rsidR="007C207E">
        <w:rPr>
          <w:sz w:val="26"/>
          <w:szCs w:val="26"/>
        </w:rPr>
        <w:t>137-3, Dependency Statement – Parent, DD Form 137-4, Dependency Statement – Child Born Out of Wedlock, DD Form 137-5, Dependency Statement – Incapacitated Child Over Age 21, DD Form 137-6, Dependency Statement – Full-Time Student 21-22 Years of Age, and DD Form 137-7, Dependency Statement – Ward of a Court</w:t>
      </w:r>
      <w:r w:rsidR="003044D0">
        <w:rPr>
          <w:sz w:val="26"/>
          <w:szCs w:val="26"/>
        </w:rPr>
        <w:t xml:space="preserve"> are submitted by members to apply for benefits.  They must complete the appropriate “Dependency Statement.”  Dependency claims the degree of financial support a member provides a dependent and, if adequate, authorizes the benefits.  Without this information, it would be uncertain if an entitlement to a benefit exists.  This collection of information decreases the possibility of monetary allowances and Uniformed Services Identification (USIP) card benefits being approved </w:t>
      </w:r>
      <w:r w:rsidR="005374EE">
        <w:rPr>
          <w:sz w:val="26"/>
          <w:szCs w:val="26"/>
        </w:rPr>
        <w:t>o</w:t>
      </w:r>
      <w:r w:rsidR="003044D0">
        <w:rPr>
          <w:sz w:val="26"/>
          <w:szCs w:val="26"/>
        </w:rPr>
        <w:t xml:space="preserve">n behalf of ineligible dependents.  The requirement to complete these forms helps alleviate the opportunity for fraud, waste, and abuse of dependent benefits.  The DD Form 137-3, “Dependency Statement – Parent,” is submitted by the member to claim a parent, parent-in-law, stepparent, in-loco-parentis, or parent by adoption for monetary allowance and or a USIP card.  The DD Form 137-4, “Dependency Statement – Child Born </w:t>
      </w:r>
      <w:proofErr w:type="gramStart"/>
      <w:r w:rsidR="003044D0">
        <w:rPr>
          <w:sz w:val="26"/>
          <w:szCs w:val="26"/>
        </w:rPr>
        <w:t>Out of Wedlock Under</w:t>
      </w:r>
      <w:proofErr w:type="gramEnd"/>
      <w:r w:rsidR="003044D0">
        <w:rPr>
          <w:sz w:val="26"/>
          <w:szCs w:val="26"/>
        </w:rPr>
        <w:t xml:space="preserve"> Age 21,” is submitted to claim a child born out of wedlock for a USIP card.  The DD Form 137-5, “Dependency Statement – Incapacitated Child </w:t>
      </w:r>
      <w:proofErr w:type="gramStart"/>
      <w:r w:rsidR="003044D0">
        <w:rPr>
          <w:sz w:val="26"/>
          <w:szCs w:val="26"/>
        </w:rPr>
        <w:t>Over</w:t>
      </w:r>
      <w:proofErr w:type="gramEnd"/>
      <w:r w:rsidR="003044D0">
        <w:rPr>
          <w:sz w:val="26"/>
          <w:szCs w:val="26"/>
        </w:rPr>
        <w:t xml:space="preserve"> Age 21,”</w:t>
      </w:r>
      <w:r w:rsidR="00FB1E30">
        <w:rPr>
          <w:sz w:val="26"/>
          <w:szCs w:val="26"/>
        </w:rPr>
        <w:t xml:space="preserve"> is submitted to claim an incapacitated child over age 21 for monetary allowances or a USIP card.  The </w:t>
      </w:r>
      <w:r w:rsidR="005374EE">
        <w:rPr>
          <w:sz w:val="26"/>
          <w:szCs w:val="26"/>
        </w:rPr>
        <w:t xml:space="preserve">DD Form 137-6, “Dependency Statement – Full Time Student 21-22 Years of Age,” is submitted to claim a student for monetary allowances.  The DD Form 137-7, “Dependency Statement – Ward of a Court,” is submitted to claim a minor designated as a Ward of a Court for monetary allowance.  </w:t>
      </w:r>
    </w:p>
    <w:p w:rsidR="00F53C82" w:rsidRDefault="00F53C82">
      <w:pPr>
        <w:rPr>
          <w:sz w:val="26"/>
          <w:szCs w:val="26"/>
        </w:rPr>
      </w:pPr>
    </w:p>
    <w:p w:rsidR="00F53C82" w:rsidRPr="00C312EE" w:rsidRDefault="00C312EE" w:rsidP="00C312EE">
      <w:pPr>
        <w:tabs>
          <w:tab w:val="left" w:pos="450"/>
        </w:tabs>
        <w:rPr>
          <w:sz w:val="26"/>
          <w:szCs w:val="26"/>
          <w:u w:val="single"/>
        </w:rPr>
      </w:pPr>
      <w:r>
        <w:rPr>
          <w:b/>
          <w:sz w:val="26"/>
          <w:szCs w:val="26"/>
        </w:rPr>
        <w:tab/>
      </w:r>
      <w:r>
        <w:rPr>
          <w:sz w:val="26"/>
          <w:szCs w:val="26"/>
        </w:rPr>
        <w:t xml:space="preserve">3.  </w:t>
      </w:r>
      <w:r>
        <w:rPr>
          <w:sz w:val="26"/>
          <w:szCs w:val="26"/>
          <w:u w:val="single"/>
        </w:rPr>
        <w:t xml:space="preserve">Use of Information </w:t>
      </w:r>
      <w:r w:rsidR="00B341C5">
        <w:rPr>
          <w:sz w:val="26"/>
          <w:szCs w:val="26"/>
          <w:u w:val="single"/>
        </w:rPr>
        <w:t>Technology</w:t>
      </w:r>
    </w:p>
    <w:p w:rsidR="00021C3B" w:rsidRPr="00F53C82" w:rsidRDefault="00021C3B">
      <w:pPr>
        <w:rPr>
          <w:sz w:val="26"/>
          <w:szCs w:val="26"/>
        </w:rPr>
      </w:pPr>
    </w:p>
    <w:p w:rsidR="00021C3B" w:rsidRDefault="005374EE" w:rsidP="006A067C">
      <w:pPr>
        <w:ind w:firstLine="720"/>
        <w:rPr>
          <w:sz w:val="26"/>
          <w:szCs w:val="26"/>
        </w:rPr>
      </w:pPr>
      <w:r>
        <w:rPr>
          <w:sz w:val="26"/>
          <w:szCs w:val="26"/>
        </w:rPr>
        <w:t xml:space="preserve">The DD 137 series forms are available in fillable PDF format versions from the DoD Forms Repository on the World Wide Web.  Respondents may complete the form online and print and mail the completed form for processing.  The Department of Defense requires a witnessed signature and hard copy certification of these documents.  Thus, </w:t>
      </w:r>
      <w:r>
        <w:rPr>
          <w:sz w:val="26"/>
          <w:szCs w:val="26"/>
        </w:rPr>
        <w:lastRenderedPageBreak/>
        <w:t>currently, there is no effective way to apply information technology to this collection process.</w:t>
      </w:r>
    </w:p>
    <w:p w:rsidR="00F53C82" w:rsidRDefault="00F53C82">
      <w:pPr>
        <w:rPr>
          <w:sz w:val="26"/>
          <w:szCs w:val="26"/>
        </w:rPr>
      </w:pPr>
    </w:p>
    <w:p w:rsidR="00F53C82" w:rsidRPr="00B341C5" w:rsidRDefault="00B341C5" w:rsidP="00B341C5">
      <w:pPr>
        <w:tabs>
          <w:tab w:val="left" w:pos="450"/>
        </w:tabs>
        <w:rPr>
          <w:sz w:val="26"/>
          <w:szCs w:val="26"/>
          <w:u w:val="single"/>
        </w:rPr>
      </w:pPr>
      <w:r>
        <w:rPr>
          <w:sz w:val="26"/>
          <w:szCs w:val="26"/>
        </w:rPr>
        <w:tab/>
        <w:t xml:space="preserve">4.  </w:t>
      </w:r>
      <w:r>
        <w:rPr>
          <w:sz w:val="26"/>
          <w:szCs w:val="26"/>
          <w:u w:val="single"/>
        </w:rPr>
        <w:t>Non-duplication</w:t>
      </w:r>
    </w:p>
    <w:p w:rsidR="00021C3B" w:rsidRPr="00F53C82" w:rsidRDefault="00021C3B">
      <w:pPr>
        <w:rPr>
          <w:sz w:val="26"/>
          <w:szCs w:val="26"/>
        </w:rPr>
      </w:pPr>
    </w:p>
    <w:p w:rsidR="00021C3B" w:rsidRPr="00F53C82" w:rsidRDefault="00FC725B" w:rsidP="00FC725B">
      <w:pPr>
        <w:tabs>
          <w:tab w:val="left" w:pos="450"/>
        </w:tabs>
        <w:rPr>
          <w:sz w:val="26"/>
          <w:szCs w:val="26"/>
        </w:rPr>
      </w:pPr>
      <w:r>
        <w:rPr>
          <w:sz w:val="26"/>
          <w:szCs w:val="26"/>
        </w:rPr>
        <w:tab/>
      </w:r>
      <w:r w:rsidR="006A067C">
        <w:rPr>
          <w:sz w:val="26"/>
          <w:szCs w:val="26"/>
        </w:rPr>
        <w:tab/>
      </w:r>
      <w:r w:rsidR="00021C3B" w:rsidRPr="00F53C82">
        <w:rPr>
          <w:sz w:val="26"/>
          <w:szCs w:val="26"/>
        </w:rPr>
        <w:t>Investigation resulted in no findings of duplication of reporting or records.  No similar information or verification procedures currently exist that can be used for this information collection.</w:t>
      </w:r>
    </w:p>
    <w:p w:rsidR="00021C3B" w:rsidRDefault="00021C3B">
      <w:pPr>
        <w:rPr>
          <w:sz w:val="26"/>
          <w:szCs w:val="26"/>
        </w:rPr>
      </w:pPr>
    </w:p>
    <w:p w:rsidR="00F11492" w:rsidRDefault="00B341C5" w:rsidP="00B341C5">
      <w:pPr>
        <w:tabs>
          <w:tab w:val="left" w:pos="450"/>
        </w:tabs>
        <w:rPr>
          <w:sz w:val="26"/>
          <w:szCs w:val="26"/>
          <w:u w:val="single"/>
        </w:rPr>
      </w:pPr>
      <w:r>
        <w:rPr>
          <w:sz w:val="26"/>
          <w:szCs w:val="26"/>
        </w:rPr>
        <w:tab/>
        <w:t xml:space="preserve">5.  </w:t>
      </w:r>
      <w:r>
        <w:rPr>
          <w:sz w:val="26"/>
          <w:szCs w:val="26"/>
          <w:u w:val="single"/>
        </w:rPr>
        <w:t>Burden on Small Business</w:t>
      </w:r>
    </w:p>
    <w:p w:rsidR="00B341C5" w:rsidRPr="00B341C5" w:rsidRDefault="00B341C5" w:rsidP="00B341C5">
      <w:pPr>
        <w:tabs>
          <w:tab w:val="left" w:pos="450"/>
        </w:tabs>
        <w:rPr>
          <w:sz w:val="26"/>
          <w:szCs w:val="26"/>
          <w:u w:val="single"/>
        </w:rPr>
      </w:pPr>
    </w:p>
    <w:p w:rsidR="00021C3B" w:rsidRPr="00F53C82" w:rsidRDefault="00021C3B" w:rsidP="006A067C">
      <w:pPr>
        <w:ind w:firstLine="720"/>
        <w:rPr>
          <w:sz w:val="26"/>
          <w:szCs w:val="26"/>
        </w:rPr>
      </w:pPr>
      <w:r w:rsidRPr="00F53C82">
        <w:rPr>
          <w:sz w:val="26"/>
          <w:szCs w:val="26"/>
        </w:rPr>
        <w:t>This collection of information does not have a significant impact on small businesses or other entities.</w:t>
      </w:r>
    </w:p>
    <w:p w:rsidR="00F11492" w:rsidRDefault="00F11492">
      <w:pPr>
        <w:rPr>
          <w:sz w:val="26"/>
          <w:szCs w:val="26"/>
        </w:rPr>
      </w:pPr>
    </w:p>
    <w:p w:rsidR="00F11492" w:rsidRDefault="00B341C5" w:rsidP="00B341C5">
      <w:pPr>
        <w:tabs>
          <w:tab w:val="left" w:pos="450"/>
        </w:tabs>
        <w:rPr>
          <w:sz w:val="26"/>
          <w:szCs w:val="26"/>
          <w:u w:val="single"/>
        </w:rPr>
      </w:pPr>
      <w:r>
        <w:rPr>
          <w:sz w:val="26"/>
          <w:szCs w:val="26"/>
        </w:rPr>
        <w:tab/>
        <w:t xml:space="preserve">6.  </w:t>
      </w:r>
      <w:r w:rsidRPr="00B341C5">
        <w:rPr>
          <w:sz w:val="26"/>
          <w:szCs w:val="26"/>
          <w:u w:val="single"/>
        </w:rPr>
        <w:t>Less Frequent Collection</w:t>
      </w:r>
    </w:p>
    <w:p w:rsidR="00B341C5" w:rsidRDefault="00B341C5" w:rsidP="00B341C5">
      <w:pPr>
        <w:tabs>
          <w:tab w:val="left" w:pos="450"/>
        </w:tabs>
        <w:rPr>
          <w:sz w:val="26"/>
          <w:szCs w:val="26"/>
        </w:rPr>
      </w:pPr>
    </w:p>
    <w:p w:rsidR="00021C3B" w:rsidRPr="00F53C82" w:rsidRDefault="005374EE" w:rsidP="006A067C">
      <w:pPr>
        <w:ind w:firstLine="720"/>
        <w:rPr>
          <w:sz w:val="26"/>
          <w:szCs w:val="26"/>
        </w:rPr>
      </w:pPr>
      <w:r>
        <w:rPr>
          <w:sz w:val="26"/>
          <w:szCs w:val="26"/>
        </w:rPr>
        <w:t>Financial information and living arrangements change frequently; therefore, new dependency statements must be completed on a regular basis.  Current requirement is annually and members are advised of the responsibility to re-accomplish as the n</w:t>
      </w:r>
      <w:r w:rsidR="00D06CA0">
        <w:rPr>
          <w:sz w:val="26"/>
          <w:szCs w:val="26"/>
        </w:rPr>
        <w:t xml:space="preserve">eed arises rather than on an annual basis.  Less frequent collection of information could result in ineligible members receiving benefits. </w:t>
      </w:r>
    </w:p>
    <w:p w:rsidR="00021C3B" w:rsidRDefault="00021C3B">
      <w:pPr>
        <w:rPr>
          <w:sz w:val="26"/>
          <w:szCs w:val="26"/>
        </w:rPr>
      </w:pPr>
    </w:p>
    <w:p w:rsidR="00F11492" w:rsidRDefault="00D0056A" w:rsidP="00D0056A">
      <w:pPr>
        <w:tabs>
          <w:tab w:val="left" w:pos="450"/>
        </w:tabs>
        <w:rPr>
          <w:sz w:val="26"/>
          <w:szCs w:val="26"/>
          <w:u w:val="single"/>
        </w:rPr>
      </w:pPr>
      <w:r>
        <w:rPr>
          <w:sz w:val="26"/>
          <w:szCs w:val="26"/>
        </w:rPr>
        <w:tab/>
        <w:t xml:space="preserve">7.  </w:t>
      </w:r>
      <w:r>
        <w:rPr>
          <w:sz w:val="26"/>
          <w:szCs w:val="26"/>
          <w:u w:val="single"/>
        </w:rPr>
        <w:t>Paperwork Reduction Act Guidelines</w:t>
      </w:r>
    </w:p>
    <w:p w:rsidR="00D0056A" w:rsidRPr="00D0056A" w:rsidRDefault="00D0056A" w:rsidP="00D0056A">
      <w:pPr>
        <w:tabs>
          <w:tab w:val="left" w:pos="450"/>
        </w:tabs>
        <w:rPr>
          <w:sz w:val="26"/>
          <w:szCs w:val="26"/>
          <w:u w:val="single"/>
        </w:rPr>
      </w:pPr>
    </w:p>
    <w:p w:rsidR="00021C3B" w:rsidRPr="00F53C82" w:rsidRDefault="006A067C" w:rsidP="00D0056A">
      <w:pPr>
        <w:tabs>
          <w:tab w:val="left" w:pos="450"/>
        </w:tabs>
        <w:rPr>
          <w:sz w:val="26"/>
          <w:szCs w:val="26"/>
        </w:rPr>
      </w:pPr>
      <w:r>
        <w:rPr>
          <w:sz w:val="26"/>
          <w:szCs w:val="26"/>
        </w:rPr>
        <w:tab/>
      </w:r>
      <w:r>
        <w:rPr>
          <w:sz w:val="26"/>
          <w:szCs w:val="26"/>
        </w:rPr>
        <w:tab/>
      </w:r>
      <w:r w:rsidR="00021C3B" w:rsidRPr="00F53C82">
        <w:rPr>
          <w:sz w:val="26"/>
          <w:szCs w:val="26"/>
        </w:rPr>
        <w:t>There are no special circumstances that would require this collection to be conducted in a manner inconsistent with 5 CFR 1320.5(d</w:t>
      </w:r>
      <w:proofErr w:type="gramStart"/>
      <w:r w:rsidR="00021C3B" w:rsidRPr="00F53C82">
        <w:rPr>
          <w:sz w:val="26"/>
          <w:szCs w:val="26"/>
        </w:rPr>
        <w:t>)(</w:t>
      </w:r>
      <w:proofErr w:type="gramEnd"/>
      <w:r w:rsidR="00021C3B" w:rsidRPr="00F53C82">
        <w:rPr>
          <w:sz w:val="26"/>
          <w:szCs w:val="26"/>
        </w:rPr>
        <w:t xml:space="preserve">2). </w:t>
      </w:r>
    </w:p>
    <w:p w:rsidR="00021C3B" w:rsidRDefault="00021C3B">
      <w:pPr>
        <w:rPr>
          <w:sz w:val="26"/>
          <w:szCs w:val="26"/>
        </w:rPr>
      </w:pPr>
    </w:p>
    <w:p w:rsidR="00F11492" w:rsidRDefault="00D0056A" w:rsidP="00D0056A">
      <w:pPr>
        <w:tabs>
          <w:tab w:val="left" w:pos="450"/>
        </w:tabs>
        <w:rPr>
          <w:sz w:val="26"/>
          <w:szCs w:val="26"/>
          <w:u w:val="single"/>
        </w:rPr>
      </w:pPr>
      <w:r>
        <w:rPr>
          <w:sz w:val="26"/>
          <w:szCs w:val="26"/>
        </w:rPr>
        <w:tab/>
        <w:t xml:space="preserve">8.  </w:t>
      </w:r>
      <w:r>
        <w:rPr>
          <w:sz w:val="26"/>
          <w:szCs w:val="26"/>
          <w:u w:val="single"/>
        </w:rPr>
        <w:t>Consultation and Comments</w:t>
      </w:r>
    </w:p>
    <w:p w:rsidR="00D0056A" w:rsidRPr="00D0056A" w:rsidRDefault="00D0056A" w:rsidP="00D0056A">
      <w:pPr>
        <w:tabs>
          <w:tab w:val="left" w:pos="450"/>
        </w:tabs>
        <w:rPr>
          <w:sz w:val="26"/>
          <w:szCs w:val="26"/>
          <w:u w:val="single"/>
        </w:rPr>
      </w:pPr>
    </w:p>
    <w:p w:rsidR="00021C3B" w:rsidRPr="00343968" w:rsidRDefault="00021C3B" w:rsidP="006A067C">
      <w:pPr>
        <w:ind w:firstLine="720"/>
        <w:rPr>
          <w:color w:val="000000"/>
          <w:sz w:val="26"/>
          <w:szCs w:val="26"/>
        </w:rPr>
      </w:pPr>
      <w:r w:rsidRPr="00343968">
        <w:rPr>
          <w:color w:val="000000"/>
          <w:sz w:val="26"/>
          <w:szCs w:val="26"/>
        </w:rPr>
        <w:t xml:space="preserve">The Federal Register notice for this collection of information was published on </w:t>
      </w:r>
      <w:r w:rsidR="00D06CA0">
        <w:rPr>
          <w:color w:val="000000"/>
          <w:sz w:val="26"/>
          <w:szCs w:val="26"/>
        </w:rPr>
        <w:t>June 11, 2013</w:t>
      </w:r>
      <w:r w:rsidR="00343968">
        <w:rPr>
          <w:color w:val="000000"/>
          <w:sz w:val="26"/>
          <w:szCs w:val="26"/>
        </w:rPr>
        <w:t>, Volume 7</w:t>
      </w:r>
      <w:r w:rsidR="00D06CA0">
        <w:rPr>
          <w:color w:val="000000"/>
          <w:sz w:val="26"/>
          <w:szCs w:val="26"/>
        </w:rPr>
        <w:t>8</w:t>
      </w:r>
      <w:r w:rsidR="00343968">
        <w:rPr>
          <w:color w:val="000000"/>
          <w:sz w:val="26"/>
          <w:szCs w:val="26"/>
        </w:rPr>
        <w:t xml:space="preserve">, No. </w:t>
      </w:r>
      <w:r w:rsidR="00D06CA0">
        <w:rPr>
          <w:color w:val="000000"/>
          <w:sz w:val="26"/>
          <w:szCs w:val="26"/>
        </w:rPr>
        <w:t>112</w:t>
      </w:r>
      <w:r w:rsidRPr="00343968">
        <w:rPr>
          <w:color w:val="000000"/>
          <w:sz w:val="26"/>
          <w:szCs w:val="26"/>
        </w:rPr>
        <w:t xml:space="preserve"> No public comments were received.</w:t>
      </w:r>
    </w:p>
    <w:p w:rsidR="00426133" w:rsidRDefault="00426133" w:rsidP="00426133">
      <w:pPr>
        <w:rPr>
          <w:b/>
          <w:sz w:val="26"/>
          <w:szCs w:val="26"/>
        </w:rPr>
      </w:pPr>
    </w:p>
    <w:p w:rsidR="00D0056A" w:rsidRPr="00D0056A" w:rsidRDefault="00D0056A" w:rsidP="00D0056A">
      <w:pPr>
        <w:tabs>
          <w:tab w:val="left" w:pos="450"/>
        </w:tabs>
        <w:rPr>
          <w:sz w:val="26"/>
          <w:szCs w:val="26"/>
          <w:u w:val="single"/>
        </w:rPr>
      </w:pPr>
      <w:r>
        <w:rPr>
          <w:sz w:val="26"/>
          <w:szCs w:val="26"/>
        </w:rPr>
        <w:tab/>
        <w:t xml:space="preserve">9.  </w:t>
      </w:r>
      <w:r>
        <w:rPr>
          <w:sz w:val="26"/>
          <w:szCs w:val="26"/>
          <w:u w:val="single"/>
        </w:rPr>
        <w:t>Gifts or Payments</w:t>
      </w:r>
    </w:p>
    <w:p w:rsidR="00D0056A" w:rsidRDefault="00D0056A">
      <w:pPr>
        <w:rPr>
          <w:sz w:val="26"/>
          <w:szCs w:val="26"/>
        </w:rPr>
      </w:pPr>
    </w:p>
    <w:p w:rsidR="00021C3B" w:rsidRPr="00F53C82" w:rsidRDefault="00021C3B" w:rsidP="006A067C">
      <w:pPr>
        <w:ind w:firstLine="720"/>
        <w:rPr>
          <w:sz w:val="26"/>
          <w:szCs w:val="26"/>
        </w:rPr>
      </w:pPr>
      <w:r w:rsidRPr="00F53C82">
        <w:rPr>
          <w:sz w:val="26"/>
          <w:szCs w:val="26"/>
        </w:rPr>
        <w:t>No payment</w:t>
      </w:r>
      <w:r w:rsidR="00D06CA0">
        <w:rPr>
          <w:sz w:val="26"/>
          <w:szCs w:val="26"/>
        </w:rPr>
        <w:t>s</w:t>
      </w:r>
      <w:r w:rsidRPr="00F53C82">
        <w:rPr>
          <w:sz w:val="26"/>
          <w:szCs w:val="26"/>
        </w:rPr>
        <w:t xml:space="preserve"> or gift</w:t>
      </w:r>
      <w:r w:rsidR="00D06CA0">
        <w:rPr>
          <w:sz w:val="26"/>
          <w:szCs w:val="26"/>
        </w:rPr>
        <w:t>s</w:t>
      </w:r>
      <w:r w:rsidRPr="00F53C82">
        <w:rPr>
          <w:sz w:val="26"/>
          <w:szCs w:val="26"/>
        </w:rPr>
        <w:t xml:space="preserve"> will be provided to respondents</w:t>
      </w:r>
      <w:r w:rsidR="00D06CA0">
        <w:rPr>
          <w:sz w:val="26"/>
          <w:szCs w:val="26"/>
        </w:rPr>
        <w:t>, other than payment paid as benefits resulting from meeting eligibility requirements</w:t>
      </w:r>
      <w:r w:rsidRPr="00F53C82">
        <w:rPr>
          <w:sz w:val="26"/>
          <w:szCs w:val="26"/>
        </w:rPr>
        <w:t>.</w:t>
      </w:r>
    </w:p>
    <w:p w:rsidR="00021C3B" w:rsidRDefault="00021C3B">
      <w:pPr>
        <w:rPr>
          <w:sz w:val="26"/>
          <w:szCs w:val="26"/>
        </w:rPr>
      </w:pPr>
    </w:p>
    <w:p w:rsidR="00BF3A81" w:rsidRPr="00BF3A81" w:rsidRDefault="00BF3A81" w:rsidP="00BF3A81">
      <w:pPr>
        <w:tabs>
          <w:tab w:val="left" w:pos="450"/>
        </w:tabs>
        <w:rPr>
          <w:sz w:val="26"/>
          <w:szCs w:val="26"/>
          <w:u w:val="single"/>
        </w:rPr>
      </w:pPr>
      <w:r>
        <w:rPr>
          <w:sz w:val="26"/>
          <w:szCs w:val="26"/>
        </w:rPr>
        <w:tab/>
        <w:t xml:space="preserve">10.  </w:t>
      </w:r>
      <w:r>
        <w:rPr>
          <w:sz w:val="26"/>
          <w:szCs w:val="26"/>
          <w:u w:val="single"/>
        </w:rPr>
        <w:t>Confidentiality</w:t>
      </w:r>
    </w:p>
    <w:p w:rsidR="00BF3A81" w:rsidRDefault="00BF3A81">
      <w:pPr>
        <w:rPr>
          <w:sz w:val="26"/>
          <w:szCs w:val="26"/>
        </w:rPr>
      </w:pPr>
    </w:p>
    <w:p w:rsidR="00DD7A2D" w:rsidRDefault="006A067C" w:rsidP="006A067C">
      <w:pPr>
        <w:tabs>
          <w:tab w:val="left" w:pos="810"/>
        </w:tabs>
        <w:ind w:firstLine="720"/>
        <w:rPr>
          <w:sz w:val="26"/>
          <w:szCs w:val="26"/>
        </w:rPr>
      </w:pPr>
      <w:r>
        <w:rPr>
          <w:sz w:val="26"/>
          <w:szCs w:val="26"/>
        </w:rPr>
        <w:t xml:space="preserve"> </w:t>
      </w:r>
      <w:r w:rsidR="008E3DE2">
        <w:rPr>
          <w:sz w:val="26"/>
          <w:szCs w:val="26"/>
        </w:rPr>
        <w:t xml:space="preserve">The “Routine Uses” section of the Privacy Act Statement indicates who may be furnished information as required by the Privacy Act. </w:t>
      </w:r>
      <w:r w:rsidR="00A33A41">
        <w:rPr>
          <w:sz w:val="26"/>
          <w:szCs w:val="26"/>
        </w:rPr>
        <w:t xml:space="preserve"> The Privacy Act Statement was also updated to include links to the below referenced SORNs.</w:t>
      </w:r>
      <w:r w:rsidR="008E3DE2">
        <w:rPr>
          <w:sz w:val="26"/>
          <w:szCs w:val="26"/>
        </w:rPr>
        <w:t xml:space="preserve"> The Defense Finance and Accounting Service (DFAS) certifies that the information collection is maintained in accordance with the Privacy Act of 1974; OMB Circular A-130, Management of Federal Information Resources; and FIRMR Bulletin B-1 and is covered under DFAS Privacy Act System of Records Notice</w:t>
      </w:r>
      <w:r w:rsidR="00DD7A2D">
        <w:rPr>
          <w:sz w:val="26"/>
          <w:szCs w:val="26"/>
        </w:rPr>
        <w:t>:</w:t>
      </w:r>
    </w:p>
    <w:p w:rsidR="00DD7A2D" w:rsidRDefault="00DD7A2D" w:rsidP="00DD7A2D">
      <w:pPr>
        <w:tabs>
          <w:tab w:val="left" w:pos="810"/>
        </w:tabs>
        <w:rPr>
          <w:sz w:val="26"/>
          <w:szCs w:val="26"/>
        </w:rPr>
      </w:pPr>
    </w:p>
    <w:p w:rsidR="00DD7A2D" w:rsidRDefault="008E3DE2" w:rsidP="00DD7A2D">
      <w:pPr>
        <w:tabs>
          <w:tab w:val="left" w:pos="810"/>
        </w:tabs>
        <w:rPr>
          <w:sz w:val="26"/>
          <w:szCs w:val="26"/>
        </w:rPr>
      </w:pPr>
      <w:r>
        <w:rPr>
          <w:sz w:val="26"/>
          <w:szCs w:val="26"/>
        </w:rPr>
        <w:lastRenderedPageBreak/>
        <w:t>T7340, D</w:t>
      </w:r>
      <w:r w:rsidR="00DD7A2D">
        <w:rPr>
          <w:sz w:val="26"/>
          <w:szCs w:val="26"/>
        </w:rPr>
        <w:t xml:space="preserve">efense </w:t>
      </w:r>
      <w:r>
        <w:rPr>
          <w:sz w:val="26"/>
          <w:szCs w:val="26"/>
        </w:rPr>
        <w:t>J</w:t>
      </w:r>
      <w:r w:rsidR="00DD7A2D">
        <w:rPr>
          <w:sz w:val="26"/>
          <w:szCs w:val="26"/>
        </w:rPr>
        <w:t xml:space="preserve">oint </w:t>
      </w:r>
      <w:r>
        <w:rPr>
          <w:sz w:val="26"/>
          <w:szCs w:val="26"/>
        </w:rPr>
        <w:t>M</w:t>
      </w:r>
      <w:r w:rsidR="00DD7A2D">
        <w:rPr>
          <w:sz w:val="26"/>
          <w:szCs w:val="26"/>
        </w:rPr>
        <w:t xml:space="preserve">ilitary </w:t>
      </w:r>
      <w:r>
        <w:rPr>
          <w:sz w:val="26"/>
          <w:szCs w:val="26"/>
        </w:rPr>
        <w:t>S</w:t>
      </w:r>
      <w:r w:rsidR="00DD7A2D">
        <w:rPr>
          <w:sz w:val="26"/>
          <w:szCs w:val="26"/>
        </w:rPr>
        <w:t>ervice</w:t>
      </w:r>
      <w:r>
        <w:rPr>
          <w:sz w:val="26"/>
          <w:szCs w:val="26"/>
        </w:rPr>
        <w:t xml:space="preserve"> – Active Component</w:t>
      </w:r>
      <w:r w:rsidR="00DD7A2D">
        <w:rPr>
          <w:sz w:val="26"/>
          <w:szCs w:val="26"/>
        </w:rPr>
        <w:t xml:space="preserve"> at </w:t>
      </w:r>
      <w:hyperlink r:id="rId6" w:history="1">
        <w:r w:rsidR="00DD7A2D" w:rsidRPr="006D5993">
          <w:rPr>
            <w:rStyle w:val="Hyperlink"/>
            <w:sz w:val="26"/>
            <w:szCs w:val="26"/>
          </w:rPr>
          <w:t>http://dpclo.defense.gov/Privacy/SORNsIndex/DODwideSORNArticleView/tabid/6797/Article/6277/t7340.aspx</w:t>
        </w:r>
      </w:hyperlink>
      <w:r w:rsidR="00DD7A2D">
        <w:rPr>
          <w:sz w:val="26"/>
          <w:szCs w:val="26"/>
        </w:rPr>
        <w:t>;</w:t>
      </w:r>
    </w:p>
    <w:p w:rsidR="00DD7A2D" w:rsidRDefault="00DD7A2D" w:rsidP="00DD7A2D">
      <w:pPr>
        <w:tabs>
          <w:tab w:val="left" w:pos="810"/>
        </w:tabs>
        <w:rPr>
          <w:sz w:val="26"/>
          <w:szCs w:val="26"/>
        </w:rPr>
      </w:pPr>
    </w:p>
    <w:p w:rsidR="00DD7A2D" w:rsidRDefault="008E3DE2" w:rsidP="00DD7A2D">
      <w:pPr>
        <w:tabs>
          <w:tab w:val="left" w:pos="810"/>
        </w:tabs>
        <w:rPr>
          <w:sz w:val="26"/>
          <w:szCs w:val="26"/>
        </w:rPr>
      </w:pPr>
      <w:r>
        <w:rPr>
          <w:sz w:val="26"/>
          <w:szCs w:val="26"/>
        </w:rPr>
        <w:t>T734</w:t>
      </w:r>
      <w:r w:rsidR="00DD7A2D">
        <w:rPr>
          <w:sz w:val="26"/>
          <w:szCs w:val="26"/>
        </w:rPr>
        <w:t>4</w:t>
      </w:r>
      <w:r>
        <w:rPr>
          <w:sz w:val="26"/>
          <w:szCs w:val="26"/>
        </w:rPr>
        <w:t>, D</w:t>
      </w:r>
      <w:r w:rsidR="00DD7A2D">
        <w:rPr>
          <w:sz w:val="26"/>
          <w:szCs w:val="26"/>
        </w:rPr>
        <w:t xml:space="preserve">efense </w:t>
      </w:r>
      <w:r>
        <w:rPr>
          <w:sz w:val="26"/>
          <w:szCs w:val="26"/>
        </w:rPr>
        <w:t>J</w:t>
      </w:r>
      <w:r w:rsidR="00DD7A2D">
        <w:rPr>
          <w:sz w:val="26"/>
          <w:szCs w:val="26"/>
        </w:rPr>
        <w:t xml:space="preserve">oint </w:t>
      </w:r>
      <w:r>
        <w:rPr>
          <w:sz w:val="26"/>
          <w:szCs w:val="26"/>
        </w:rPr>
        <w:t>M</w:t>
      </w:r>
      <w:r w:rsidR="00DD7A2D">
        <w:rPr>
          <w:sz w:val="26"/>
          <w:szCs w:val="26"/>
        </w:rPr>
        <w:t xml:space="preserve">ilitary </w:t>
      </w:r>
      <w:r>
        <w:rPr>
          <w:sz w:val="26"/>
          <w:szCs w:val="26"/>
        </w:rPr>
        <w:t>S</w:t>
      </w:r>
      <w:r w:rsidR="00DD7A2D">
        <w:rPr>
          <w:sz w:val="26"/>
          <w:szCs w:val="26"/>
        </w:rPr>
        <w:t>ervice</w:t>
      </w:r>
      <w:r>
        <w:rPr>
          <w:sz w:val="26"/>
          <w:szCs w:val="26"/>
        </w:rPr>
        <w:t xml:space="preserve"> – Reserve Component</w:t>
      </w:r>
      <w:r w:rsidR="00DD7A2D">
        <w:rPr>
          <w:sz w:val="26"/>
          <w:szCs w:val="26"/>
        </w:rPr>
        <w:t xml:space="preserve"> at </w:t>
      </w:r>
      <w:hyperlink r:id="rId7" w:history="1">
        <w:r w:rsidR="00DD7A2D" w:rsidRPr="006D5993">
          <w:rPr>
            <w:rStyle w:val="Hyperlink"/>
            <w:sz w:val="26"/>
            <w:szCs w:val="26"/>
          </w:rPr>
          <w:t>http://dpclo.defense.gov/Privacy/SORNsIndex/DODwideSORNArticleView/tabid/6797/Article/6281/t7344.aspx</w:t>
        </w:r>
      </w:hyperlink>
      <w:r w:rsidR="00DD7A2D">
        <w:rPr>
          <w:sz w:val="26"/>
          <w:szCs w:val="26"/>
        </w:rPr>
        <w:t>;</w:t>
      </w:r>
    </w:p>
    <w:p w:rsidR="00DD7A2D" w:rsidRDefault="00DD7A2D" w:rsidP="00DD7A2D">
      <w:pPr>
        <w:tabs>
          <w:tab w:val="left" w:pos="810"/>
        </w:tabs>
        <w:rPr>
          <w:sz w:val="26"/>
          <w:szCs w:val="26"/>
        </w:rPr>
      </w:pPr>
    </w:p>
    <w:p w:rsidR="00B45467" w:rsidRDefault="008E3DE2" w:rsidP="00DD7A2D">
      <w:pPr>
        <w:tabs>
          <w:tab w:val="left" w:pos="810"/>
        </w:tabs>
        <w:rPr>
          <w:sz w:val="26"/>
          <w:szCs w:val="26"/>
        </w:rPr>
      </w:pPr>
      <w:r>
        <w:rPr>
          <w:sz w:val="26"/>
          <w:szCs w:val="26"/>
        </w:rPr>
        <w:t>T7347b, Retired and Annuitant Pay</w:t>
      </w:r>
      <w:r w:rsidR="00B45467">
        <w:rPr>
          <w:sz w:val="26"/>
          <w:szCs w:val="26"/>
        </w:rPr>
        <w:t xml:space="preserve"> at </w:t>
      </w:r>
      <w:hyperlink r:id="rId8" w:history="1">
        <w:r w:rsidR="00B45467" w:rsidRPr="006D5993">
          <w:rPr>
            <w:rStyle w:val="Hyperlink"/>
            <w:sz w:val="26"/>
            <w:szCs w:val="26"/>
          </w:rPr>
          <w:t>http://dpclo.defense.gov/Privacy/SORNsIndex/DODwideSORNArticleView/tabid/6797/Article/6282/t7347b.aspx</w:t>
        </w:r>
      </w:hyperlink>
      <w:r w:rsidR="00B45467">
        <w:rPr>
          <w:sz w:val="26"/>
          <w:szCs w:val="26"/>
        </w:rPr>
        <w:t>;</w:t>
      </w:r>
    </w:p>
    <w:p w:rsidR="00B45467" w:rsidRDefault="00B45467" w:rsidP="00DD7A2D">
      <w:pPr>
        <w:tabs>
          <w:tab w:val="left" w:pos="810"/>
        </w:tabs>
        <w:rPr>
          <w:sz w:val="26"/>
          <w:szCs w:val="26"/>
        </w:rPr>
      </w:pPr>
    </w:p>
    <w:p w:rsidR="00B45467" w:rsidRDefault="008E3DE2" w:rsidP="00DD7A2D">
      <w:pPr>
        <w:tabs>
          <w:tab w:val="left" w:pos="810"/>
        </w:tabs>
        <w:rPr>
          <w:sz w:val="26"/>
          <w:szCs w:val="26"/>
        </w:rPr>
      </w:pPr>
      <w:r>
        <w:rPr>
          <w:sz w:val="26"/>
          <w:szCs w:val="26"/>
        </w:rPr>
        <w:t>M01040-3 – Marine Corps Total Forces System</w:t>
      </w:r>
      <w:r w:rsidR="00B45467">
        <w:rPr>
          <w:sz w:val="26"/>
          <w:szCs w:val="26"/>
        </w:rPr>
        <w:t xml:space="preserve"> at </w:t>
      </w:r>
      <w:hyperlink r:id="rId9" w:history="1">
        <w:r w:rsidR="00B45467" w:rsidRPr="006D5993">
          <w:rPr>
            <w:rStyle w:val="Hyperlink"/>
            <w:sz w:val="26"/>
            <w:szCs w:val="26"/>
          </w:rPr>
          <w:t>http://dpclo.defense.gov/Privacy/SORNsIndex/DODwideSORNArticleView/tabid/6797/Article/6774/m01040-3.aspx</w:t>
        </w:r>
      </w:hyperlink>
      <w:r w:rsidR="00B45467">
        <w:rPr>
          <w:sz w:val="26"/>
          <w:szCs w:val="26"/>
        </w:rPr>
        <w:t>.</w:t>
      </w:r>
    </w:p>
    <w:p w:rsidR="00B45467" w:rsidRDefault="00B45467" w:rsidP="00DD7A2D">
      <w:pPr>
        <w:tabs>
          <w:tab w:val="left" w:pos="810"/>
        </w:tabs>
        <w:rPr>
          <w:sz w:val="26"/>
          <w:szCs w:val="26"/>
        </w:rPr>
      </w:pPr>
    </w:p>
    <w:p w:rsidR="00B45467" w:rsidRDefault="008E3DE2" w:rsidP="00DD7A2D">
      <w:pPr>
        <w:tabs>
          <w:tab w:val="left" w:pos="810"/>
        </w:tabs>
        <w:rPr>
          <w:sz w:val="26"/>
          <w:szCs w:val="26"/>
        </w:rPr>
      </w:pPr>
      <w:r>
        <w:rPr>
          <w:sz w:val="26"/>
          <w:szCs w:val="26"/>
        </w:rPr>
        <w:t>The SSN and other identifying information for the member and dependents are needed to pay the proper person, ensure entitlement to pay, and for tax purposes.  Without the SSN, identifyi</w:t>
      </w:r>
      <w:r w:rsidR="00326402">
        <w:rPr>
          <w:sz w:val="26"/>
          <w:szCs w:val="26"/>
        </w:rPr>
        <w:t>ng information, payments for BAH</w:t>
      </w:r>
      <w:r>
        <w:rPr>
          <w:sz w:val="26"/>
          <w:szCs w:val="26"/>
        </w:rPr>
        <w:t xml:space="preserve"> with dependents could not be processed.</w:t>
      </w:r>
      <w:r w:rsidR="00F13495">
        <w:rPr>
          <w:sz w:val="26"/>
          <w:szCs w:val="26"/>
        </w:rPr>
        <w:t xml:space="preserve">  </w:t>
      </w:r>
    </w:p>
    <w:p w:rsidR="00B45467" w:rsidRDefault="00B45467" w:rsidP="00DD7A2D">
      <w:pPr>
        <w:tabs>
          <w:tab w:val="left" w:pos="810"/>
        </w:tabs>
        <w:rPr>
          <w:sz w:val="26"/>
          <w:szCs w:val="26"/>
        </w:rPr>
      </w:pPr>
    </w:p>
    <w:p w:rsidR="00F13495" w:rsidRDefault="00F13495" w:rsidP="00B45467">
      <w:pPr>
        <w:tabs>
          <w:tab w:val="left" w:pos="810"/>
        </w:tabs>
        <w:rPr>
          <w:sz w:val="26"/>
          <w:szCs w:val="26"/>
        </w:rPr>
      </w:pPr>
      <w:r>
        <w:rPr>
          <w:sz w:val="26"/>
          <w:szCs w:val="26"/>
        </w:rPr>
        <w:t xml:space="preserve">The Privacy Act Assessment (PIA) for DJMS-AC, DJMS-RC, and DRAS can be found at: </w:t>
      </w:r>
      <w:hyperlink r:id="rId10" w:history="1">
        <w:r w:rsidRPr="00696244">
          <w:rPr>
            <w:rStyle w:val="Hyperlink"/>
            <w:sz w:val="26"/>
            <w:szCs w:val="26"/>
          </w:rPr>
          <w:t>http://www.dfas.mil/foia/privacyimpactassessments.html</w:t>
        </w:r>
      </w:hyperlink>
    </w:p>
    <w:p w:rsidR="00F13495" w:rsidRDefault="00F13495">
      <w:pPr>
        <w:rPr>
          <w:sz w:val="26"/>
          <w:szCs w:val="26"/>
        </w:rPr>
      </w:pPr>
    </w:p>
    <w:p w:rsidR="00A33A41" w:rsidRDefault="00F13495" w:rsidP="00B45467">
      <w:pPr>
        <w:rPr>
          <w:sz w:val="26"/>
          <w:szCs w:val="26"/>
        </w:rPr>
      </w:pPr>
      <w:r>
        <w:rPr>
          <w:sz w:val="26"/>
          <w:szCs w:val="26"/>
        </w:rPr>
        <w:t>The PIA for MCTFS can be found at:</w:t>
      </w:r>
      <w:r w:rsidR="00001385">
        <w:rPr>
          <w:sz w:val="26"/>
          <w:szCs w:val="26"/>
        </w:rPr>
        <w:t xml:space="preserve">  </w:t>
      </w:r>
      <w:hyperlink r:id="rId11" w:history="1">
        <w:r w:rsidR="00377F81" w:rsidRPr="004A1090">
          <w:rPr>
            <w:rStyle w:val="Hyperlink"/>
            <w:sz w:val="26"/>
            <w:szCs w:val="26"/>
          </w:rPr>
          <w:t>http://www.doncio.navy.mil/ContentView.aspx?ID=678</w:t>
        </w:r>
      </w:hyperlink>
    </w:p>
    <w:p w:rsidR="00A33A41" w:rsidRDefault="00A33A41" w:rsidP="00B45467">
      <w:pPr>
        <w:rPr>
          <w:sz w:val="26"/>
          <w:szCs w:val="26"/>
        </w:rPr>
      </w:pPr>
    </w:p>
    <w:p w:rsidR="00BF3A81" w:rsidRPr="00BF3A81" w:rsidRDefault="00BF3A81" w:rsidP="00B45467">
      <w:pPr>
        <w:rPr>
          <w:sz w:val="26"/>
          <w:szCs w:val="26"/>
          <w:u w:val="single"/>
        </w:rPr>
      </w:pPr>
      <w:r>
        <w:rPr>
          <w:sz w:val="26"/>
          <w:szCs w:val="26"/>
        </w:rPr>
        <w:t xml:space="preserve">11.  </w:t>
      </w:r>
      <w:r>
        <w:rPr>
          <w:sz w:val="26"/>
          <w:szCs w:val="26"/>
          <w:u w:val="single"/>
        </w:rPr>
        <w:t xml:space="preserve">Sensitive Questions </w:t>
      </w:r>
    </w:p>
    <w:p w:rsidR="00BF3A81" w:rsidRDefault="00BF3A81">
      <w:pPr>
        <w:rPr>
          <w:sz w:val="26"/>
          <w:szCs w:val="26"/>
        </w:rPr>
      </w:pPr>
    </w:p>
    <w:p w:rsidR="00021C3B" w:rsidRPr="00F53C82" w:rsidRDefault="00476104" w:rsidP="00B45467">
      <w:pPr>
        <w:rPr>
          <w:sz w:val="26"/>
          <w:szCs w:val="26"/>
        </w:rPr>
      </w:pPr>
      <w:r>
        <w:rPr>
          <w:sz w:val="26"/>
          <w:szCs w:val="26"/>
        </w:rPr>
        <w:t>No sensitive questions are asked of the respondents.</w:t>
      </w:r>
    </w:p>
    <w:p w:rsidR="00021C3B" w:rsidRDefault="00021C3B">
      <w:pPr>
        <w:rPr>
          <w:sz w:val="26"/>
          <w:szCs w:val="26"/>
        </w:rPr>
      </w:pPr>
    </w:p>
    <w:p w:rsidR="00BF3A81" w:rsidRPr="00BF3A81" w:rsidRDefault="00BF3A81" w:rsidP="00BF3A81">
      <w:pPr>
        <w:tabs>
          <w:tab w:val="left" w:pos="450"/>
        </w:tabs>
        <w:rPr>
          <w:sz w:val="26"/>
          <w:szCs w:val="26"/>
          <w:u w:val="single"/>
        </w:rPr>
      </w:pPr>
      <w:r>
        <w:rPr>
          <w:sz w:val="26"/>
          <w:szCs w:val="26"/>
        </w:rPr>
        <w:t xml:space="preserve">12.  </w:t>
      </w:r>
      <w:r>
        <w:rPr>
          <w:sz w:val="26"/>
          <w:szCs w:val="26"/>
          <w:u w:val="single"/>
        </w:rPr>
        <w:t>Respondent Burden, and its Labor Costs</w:t>
      </w:r>
    </w:p>
    <w:p w:rsidR="00BF3A81" w:rsidRDefault="00BF3A81">
      <w:pPr>
        <w:rPr>
          <w:sz w:val="26"/>
          <w:szCs w:val="26"/>
        </w:rPr>
      </w:pPr>
    </w:p>
    <w:p w:rsidR="00021C3B" w:rsidRPr="00F53C82" w:rsidRDefault="0080440E" w:rsidP="00B45467">
      <w:pPr>
        <w:ind w:firstLine="450"/>
        <w:rPr>
          <w:sz w:val="26"/>
          <w:szCs w:val="26"/>
        </w:rPr>
      </w:pPr>
      <w:r>
        <w:rPr>
          <w:sz w:val="26"/>
          <w:szCs w:val="26"/>
        </w:rPr>
        <w:t xml:space="preserve">a. </w:t>
      </w:r>
      <w:r w:rsidR="00546BFA" w:rsidRPr="00546BFA">
        <w:rPr>
          <w:sz w:val="26"/>
          <w:szCs w:val="26"/>
          <w:u w:val="single"/>
        </w:rPr>
        <w:t xml:space="preserve">Estimation of </w:t>
      </w:r>
      <w:r w:rsidR="00021C3B" w:rsidRPr="0080440E">
        <w:rPr>
          <w:sz w:val="26"/>
          <w:szCs w:val="26"/>
          <w:u w:val="single"/>
        </w:rPr>
        <w:t>Respondent Burden</w:t>
      </w:r>
      <w:r w:rsidR="00021C3B" w:rsidRPr="00F53C82">
        <w:rPr>
          <w:sz w:val="26"/>
          <w:szCs w:val="26"/>
        </w:rPr>
        <w:t>:</w:t>
      </w:r>
    </w:p>
    <w:p w:rsidR="00021C3B" w:rsidRPr="00F53C82" w:rsidRDefault="00021C3B" w:rsidP="0080440E">
      <w:pPr>
        <w:rPr>
          <w:sz w:val="26"/>
          <w:szCs w:val="26"/>
        </w:rPr>
      </w:pPr>
      <w:r w:rsidRPr="00F53C82">
        <w:rPr>
          <w:sz w:val="26"/>
          <w:szCs w:val="26"/>
        </w:rPr>
        <w:tab/>
        <w:t>Number of Respondents</w:t>
      </w:r>
      <w:r w:rsidRPr="00F53C82">
        <w:rPr>
          <w:sz w:val="26"/>
          <w:szCs w:val="26"/>
        </w:rPr>
        <w:tab/>
      </w:r>
      <w:r w:rsidRPr="00F53C82">
        <w:rPr>
          <w:sz w:val="26"/>
          <w:szCs w:val="26"/>
        </w:rPr>
        <w:tab/>
      </w:r>
      <w:r w:rsidR="008E3DE2">
        <w:rPr>
          <w:sz w:val="26"/>
          <w:szCs w:val="26"/>
        </w:rPr>
        <w:t>15,766</w:t>
      </w:r>
    </w:p>
    <w:p w:rsidR="00021C3B" w:rsidRDefault="00021C3B">
      <w:pPr>
        <w:rPr>
          <w:sz w:val="26"/>
          <w:szCs w:val="26"/>
        </w:rPr>
      </w:pPr>
      <w:r w:rsidRPr="00F53C82">
        <w:rPr>
          <w:sz w:val="26"/>
          <w:szCs w:val="26"/>
        </w:rPr>
        <w:tab/>
        <w:t>Responses per Respondent</w:t>
      </w:r>
      <w:r w:rsidRPr="00F53C82">
        <w:rPr>
          <w:sz w:val="26"/>
          <w:szCs w:val="26"/>
        </w:rPr>
        <w:tab/>
      </w:r>
      <w:r w:rsidRPr="00F53C82">
        <w:rPr>
          <w:sz w:val="26"/>
          <w:szCs w:val="26"/>
        </w:rPr>
        <w:tab/>
        <w:t>1</w:t>
      </w:r>
      <w:r w:rsidR="008E3DE2">
        <w:rPr>
          <w:sz w:val="26"/>
          <w:szCs w:val="26"/>
        </w:rPr>
        <w:t>.33</w:t>
      </w:r>
    </w:p>
    <w:p w:rsidR="00887CA3" w:rsidRPr="00F53C82" w:rsidRDefault="00887CA3">
      <w:pPr>
        <w:rPr>
          <w:sz w:val="26"/>
          <w:szCs w:val="26"/>
        </w:rPr>
      </w:pPr>
      <w:r>
        <w:rPr>
          <w:sz w:val="26"/>
          <w:szCs w:val="26"/>
        </w:rPr>
        <w:tab/>
        <w:t>Annual Responses:</w:t>
      </w:r>
      <w:r>
        <w:rPr>
          <w:sz w:val="26"/>
          <w:szCs w:val="26"/>
        </w:rPr>
        <w:tab/>
      </w:r>
      <w:r>
        <w:rPr>
          <w:sz w:val="26"/>
          <w:szCs w:val="26"/>
        </w:rPr>
        <w:tab/>
      </w:r>
      <w:r>
        <w:rPr>
          <w:sz w:val="26"/>
          <w:szCs w:val="26"/>
        </w:rPr>
        <w:tab/>
        <w:t>20,969</w:t>
      </w:r>
    </w:p>
    <w:p w:rsidR="00021C3B" w:rsidRPr="00F53C82" w:rsidRDefault="00021C3B">
      <w:pPr>
        <w:rPr>
          <w:sz w:val="26"/>
          <w:szCs w:val="26"/>
        </w:rPr>
      </w:pPr>
      <w:r w:rsidRPr="00F53C82">
        <w:rPr>
          <w:sz w:val="26"/>
          <w:szCs w:val="26"/>
        </w:rPr>
        <w:tab/>
        <w:t>Time Required per Response</w:t>
      </w:r>
      <w:r w:rsidRPr="00F53C82">
        <w:rPr>
          <w:sz w:val="26"/>
          <w:szCs w:val="26"/>
        </w:rPr>
        <w:tab/>
      </w:r>
      <w:r w:rsidR="007117DA">
        <w:rPr>
          <w:sz w:val="26"/>
          <w:szCs w:val="26"/>
        </w:rPr>
        <w:t>5</w:t>
      </w:r>
      <w:r w:rsidR="008E3DE2">
        <w:rPr>
          <w:sz w:val="26"/>
          <w:szCs w:val="26"/>
        </w:rPr>
        <w:t>0</w:t>
      </w:r>
      <w:r w:rsidRPr="00F53C82">
        <w:rPr>
          <w:sz w:val="26"/>
          <w:szCs w:val="26"/>
        </w:rPr>
        <w:t xml:space="preserve"> minutes</w:t>
      </w:r>
    </w:p>
    <w:p w:rsidR="00021C3B" w:rsidRDefault="00021C3B">
      <w:pPr>
        <w:rPr>
          <w:sz w:val="26"/>
          <w:szCs w:val="26"/>
        </w:rPr>
      </w:pPr>
      <w:r w:rsidRPr="00F53C82">
        <w:rPr>
          <w:sz w:val="26"/>
          <w:szCs w:val="26"/>
        </w:rPr>
        <w:tab/>
        <w:t>Total Burden Hour</w:t>
      </w:r>
      <w:r w:rsidRPr="00F53C82">
        <w:rPr>
          <w:sz w:val="26"/>
          <w:szCs w:val="26"/>
        </w:rPr>
        <w:tab/>
      </w:r>
      <w:r w:rsidRPr="00F53C82">
        <w:rPr>
          <w:sz w:val="26"/>
          <w:szCs w:val="26"/>
        </w:rPr>
        <w:tab/>
      </w:r>
      <w:r w:rsidRPr="00F53C82">
        <w:rPr>
          <w:sz w:val="26"/>
          <w:szCs w:val="26"/>
        </w:rPr>
        <w:tab/>
      </w:r>
      <w:r w:rsidR="008E3DE2">
        <w:rPr>
          <w:sz w:val="26"/>
          <w:szCs w:val="26"/>
        </w:rPr>
        <w:t>17,474</w:t>
      </w:r>
      <w:r w:rsidRPr="00F53C82">
        <w:rPr>
          <w:sz w:val="26"/>
          <w:szCs w:val="26"/>
        </w:rPr>
        <w:t xml:space="preserve"> hours</w:t>
      </w:r>
    </w:p>
    <w:p w:rsidR="00A32F15" w:rsidRDefault="00A32F15" w:rsidP="0080440E">
      <w:pPr>
        <w:tabs>
          <w:tab w:val="left" w:pos="450"/>
        </w:tabs>
        <w:rPr>
          <w:sz w:val="26"/>
          <w:szCs w:val="26"/>
        </w:rPr>
      </w:pPr>
      <w:r>
        <w:rPr>
          <w:sz w:val="26"/>
          <w:szCs w:val="26"/>
        </w:rPr>
        <w:t xml:space="preserve">      </w:t>
      </w:r>
      <w:r w:rsidR="0080440E">
        <w:rPr>
          <w:sz w:val="26"/>
          <w:szCs w:val="26"/>
        </w:rPr>
        <w:tab/>
      </w:r>
      <w:r w:rsidR="0080440E">
        <w:rPr>
          <w:sz w:val="26"/>
          <w:szCs w:val="26"/>
        </w:rPr>
        <w:tab/>
      </w:r>
    </w:p>
    <w:p w:rsidR="0080440E" w:rsidRDefault="0080440E" w:rsidP="00687DF1">
      <w:pPr>
        <w:tabs>
          <w:tab w:val="left" w:pos="450"/>
        </w:tabs>
        <w:rPr>
          <w:sz w:val="26"/>
          <w:szCs w:val="26"/>
        </w:rPr>
      </w:pPr>
      <w:r>
        <w:rPr>
          <w:sz w:val="26"/>
          <w:szCs w:val="26"/>
        </w:rPr>
        <w:tab/>
        <w:t xml:space="preserve">b. </w:t>
      </w:r>
      <w:r w:rsidR="00546BFA" w:rsidRPr="00546BFA">
        <w:rPr>
          <w:sz w:val="26"/>
          <w:szCs w:val="26"/>
          <w:u w:val="single"/>
        </w:rPr>
        <w:t xml:space="preserve">Labor Cost of </w:t>
      </w:r>
      <w:r w:rsidRPr="0080440E">
        <w:rPr>
          <w:sz w:val="26"/>
          <w:szCs w:val="26"/>
          <w:u w:val="single"/>
        </w:rPr>
        <w:t xml:space="preserve">Respondent </w:t>
      </w:r>
      <w:r w:rsidR="00546BFA">
        <w:rPr>
          <w:sz w:val="26"/>
          <w:szCs w:val="26"/>
          <w:u w:val="single"/>
        </w:rPr>
        <w:t>Burden</w:t>
      </w:r>
      <w:r>
        <w:rPr>
          <w:sz w:val="26"/>
          <w:szCs w:val="26"/>
        </w:rPr>
        <w:t>:</w:t>
      </w:r>
    </w:p>
    <w:p w:rsidR="00687DF1" w:rsidRDefault="00687DF1" w:rsidP="00687DF1">
      <w:pPr>
        <w:tabs>
          <w:tab w:val="left" w:pos="450"/>
        </w:tabs>
        <w:rPr>
          <w:sz w:val="26"/>
          <w:szCs w:val="26"/>
        </w:rPr>
      </w:pPr>
    </w:p>
    <w:p w:rsidR="0080440E" w:rsidRDefault="00687DF1" w:rsidP="00687DF1">
      <w:pPr>
        <w:tabs>
          <w:tab w:val="left" w:pos="450"/>
        </w:tabs>
        <w:rPr>
          <w:sz w:val="26"/>
          <w:szCs w:val="26"/>
        </w:rPr>
      </w:pPr>
      <w:r>
        <w:rPr>
          <w:sz w:val="26"/>
          <w:szCs w:val="26"/>
        </w:rPr>
        <w:tab/>
      </w:r>
      <w:r w:rsidR="0080440E">
        <w:rPr>
          <w:sz w:val="26"/>
          <w:szCs w:val="26"/>
        </w:rPr>
        <w:t>Cost to each respondent involves approximately 50</w:t>
      </w:r>
      <w:r w:rsidR="00B45467">
        <w:rPr>
          <w:sz w:val="26"/>
          <w:szCs w:val="26"/>
        </w:rPr>
        <w:t xml:space="preserve"> minutes</w:t>
      </w:r>
      <w:r w:rsidR="0080440E">
        <w:rPr>
          <w:sz w:val="26"/>
          <w:szCs w:val="26"/>
        </w:rPr>
        <w:t xml:space="preserve"> of time for       completion of each form</w:t>
      </w:r>
      <w:r>
        <w:rPr>
          <w:sz w:val="26"/>
          <w:szCs w:val="26"/>
        </w:rPr>
        <w:t>.  B</w:t>
      </w:r>
      <w:r w:rsidR="0080440E">
        <w:rPr>
          <w:sz w:val="26"/>
          <w:szCs w:val="26"/>
        </w:rPr>
        <w:t>ased on a GS-8</w:t>
      </w:r>
      <w:r>
        <w:rPr>
          <w:sz w:val="26"/>
          <w:szCs w:val="26"/>
        </w:rPr>
        <w:t>/5</w:t>
      </w:r>
      <w:r w:rsidR="0080440E">
        <w:rPr>
          <w:sz w:val="26"/>
          <w:szCs w:val="26"/>
        </w:rPr>
        <w:t xml:space="preserve"> hourly wage</w:t>
      </w:r>
      <w:r>
        <w:rPr>
          <w:sz w:val="26"/>
          <w:szCs w:val="26"/>
        </w:rPr>
        <w:t xml:space="preserve"> of $20.64 = $360,663</w:t>
      </w:r>
      <w:r w:rsidR="00F06319">
        <w:rPr>
          <w:sz w:val="26"/>
          <w:szCs w:val="26"/>
        </w:rPr>
        <w:t>.36</w:t>
      </w:r>
      <w:r w:rsidR="0080440E">
        <w:rPr>
          <w:sz w:val="26"/>
          <w:szCs w:val="26"/>
        </w:rPr>
        <w:t>.</w:t>
      </w:r>
    </w:p>
    <w:p w:rsidR="00687DF1" w:rsidRDefault="0080440E" w:rsidP="00687DF1">
      <w:pPr>
        <w:tabs>
          <w:tab w:val="left" w:pos="450"/>
        </w:tabs>
        <w:rPr>
          <w:sz w:val="26"/>
          <w:szCs w:val="26"/>
        </w:rPr>
      </w:pPr>
      <w:r>
        <w:rPr>
          <w:sz w:val="26"/>
          <w:szCs w:val="26"/>
        </w:rPr>
        <w:tab/>
      </w:r>
      <w:r>
        <w:rPr>
          <w:sz w:val="26"/>
          <w:szCs w:val="26"/>
        </w:rPr>
        <w:tab/>
      </w:r>
    </w:p>
    <w:p w:rsidR="00546BFA" w:rsidRDefault="00546BFA" w:rsidP="00687DF1">
      <w:pPr>
        <w:tabs>
          <w:tab w:val="left" w:pos="450"/>
        </w:tabs>
        <w:rPr>
          <w:sz w:val="26"/>
          <w:szCs w:val="26"/>
        </w:rPr>
      </w:pPr>
    </w:p>
    <w:p w:rsidR="00546BFA" w:rsidRDefault="00546BFA" w:rsidP="00687DF1">
      <w:pPr>
        <w:tabs>
          <w:tab w:val="left" w:pos="450"/>
        </w:tabs>
        <w:rPr>
          <w:sz w:val="26"/>
          <w:szCs w:val="26"/>
        </w:rPr>
      </w:pPr>
    </w:p>
    <w:p w:rsidR="00546BFA" w:rsidRDefault="00546BFA" w:rsidP="00687DF1">
      <w:pPr>
        <w:tabs>
          <w:tab w:val="left" w:pos="450"/>
        </w:tabs>
        <w:rPr>
          <w:sz w:val="26"/>
          <w:szCs w:val="26"/>
        </w:rPr>
      </w:pPr>
    </w:p>
    <w:p w:rsidR="00546BFA" w:rsidRDefault="00546BFA" w:rsidP="00687DF1">
      <w:pPr>
        <w:tabs>
          <w:tab w:val="left" w:pos="450"/>
        </w:tabs>
        <w:rPr>
          <w:sz w:val="26"/>
          <w:szCs w:val="26"/>
        </w:rPr>
      </w:pPr>
    </w:p>
    <w:p w:rsidR="00BF3A81" w:rsidRPr="00687DF1" w:rsidRDefault="00BF3A81" w:rsidP="00687DF1">
      <w:pPr>
        <w:tabs>
          <w:tab w:val="left" w:pos="450"/>
        </w:tabs>
        <w:rPr>
          <w:sz w:val="26"/>
          <w:szCs w:val="26"/>
        </w:rPr>
      </w:pPr>
      <w:r>
        <w:rPr>
          <w:sz w:val="26"/>
          <w:szCs w:val="26"/>
        </w:rPr>
        <w:lastRenderedPageBreak/>
        <w:t xml:space="preserve">13.  </w:t>
      </w:r>
      <w:r w:rsidR="00C80609">
        <w:rPr>
          <w:sz w:val="26"/>
          <w:szCs w:val="26"/>
          <w:u w:val="single"/>
        </w:rPr>
        <w:t xml:space="preserve">Respondent Costs Other </w:t>
      </w:r>
      <w:proofErr w:type="gramStart"/>
      <w:r w:rsidR="00C80609">
        <w:rPr>
          <w:sz w:val="26"/>
          <w:szCs w:val="26"/>
          <w:u w:val="single"/>
        </w:rPr>
        <w:t>Than</w:t>
      </w:r>
      <w:proofErr w:type="gramEnd"/>
      <w:r w:rsidR="00C80609">
        <w:rPr>
          <w:sz w:val="26"/>
          <w:szCs w:val="26"/>
          <w:u w:val="single"/>
        </w:rPr>
        <w:t xml:space="preserve"> Burden Hour Costs</w:t>
      </w:r>
    </w:p>
    <w:p w:rsidR="00687DF1" w:rsidRDefault="00687DF1" w:rsidP="00687DF1">
      <w:pPr>
        <w:rPr>
          <w:sz w:val="26"/>
          <w:szCs w:val="26"/>
        </w:rPr>
      </w:pPr>
    </w:p>
    <w:p w:rsidR="004A0B42" w:rsidRDefault="00021C3B" w:rsidP="00687DF1">
      <w:pPr>
        <w:ind w:firstLine="450"/>
        <w:rPr>
          <w:sz w:val="26"/>
          <w:szCs w:val="26"/>
        </w:rPr>
      </w:pPr>
      <w:r w:rsidRPr="00F53C82">
        <w:rPr>
          <w:sz w:val="26"/>
          <w:szCs w:val="26"/>
        </w:rPr>
        <w:t xml:space="preserve">There are no </w:t>
      </w:r>
      <w:r w:rsidR="004336A3">
        <w:rPr>
          <w:sz w:val="26"/>
          <w:szCs w:val="26"/>
        </w:rPr>
        <w:t>capital or start-up costs associated with this information collection.  Postage is negligible and a notary public is available at no charge to military personnel through their legal offices.</w:t>
      </w:r>
      <w:r w:rsidR="008D194E">
        <w:rPr>
          <w:sz w:val="26"/>
          <w:szCs w:val="26"/>
        </w:rPr>
        <w:t xml:space="preserve">  </w:t>
      </w:r>
    </w:p>
    <w:p w:rsidR="00021C3B" w:rsidRDefault="00021C3B">
      <w:pPr>
        <w:rPr>
          <w:sz w:val="26"/>
          <w:szCs w:val="26"/>
        </w:rPr>
      </w:pPr>
    </w:p>
    <w:p w:rsidR="00546BFA" w:rsidRDefault="00546BFA" w:rsidP="00C80609">
      <w:pPr>
        <w:tabs>
          <w:tab w:val="left" w:pos="450"/>
        </w:tabs>
        <w:rPr>
          <w:sz w:val="26"/>
          <w:szCs w:val="26"/>
        </w:rPr>
      </w:pPr>
    </w:p>
    <w:p w:rsidR="00C80609" w:rsidRDefault="00546BFA" w:rsidP="00C80609">
      <w:pPr>
        <w:tabs>
          <w:tab w:val="left" w:pos="450"/>
        </w:tabs>
        <w:rPr>
          <w:sz w:val="26"/>
          <w:szCs w:val="26"/>
        </w:rPr>
      </w:pPr>
      <w:r>
        <w:rPr>
          <w:sz w:val="26"/>
          <w:szCs w:val="26"/>
        </w:rPr>
        <w:t xml:space="preserve">14.  </w:t>
      </w:r>
      <w:r w:rsidR="00C80609" w:rsidRPr="00C80609">
        <w:rPr>
          <w:sz w:val="26"/>
          <w:szCs w:val="26"/>
          <w:u w:val="single"/>
        </w:rPr>
        <w:t>Cost to the Federal Government</w:t>
      </w:r>
    </w:p>
    <w:p w:rsidR="00C80609" w:rsidRDefault="00C80609">
      <w:pPr>
        <w:rPr>
          <w:sz w:val="26"/>
          <w:szCs w:val="26"/>
        </w:rPr>
      </w:pPr>
    </w:p>
    <w:p w:rsidR="004336A3" w:rsidRDefault="00A32F15" w:rsidP="00546BFA">
      <w:pPr>
        <w:ind w:firstLine="720"/>
        <w:rPr>
          <w:sz w:val="26"/>
          <w:szCs w:val="26"/>
        </w:rPr>
      </w:pPr>
      <w:r>
        <w:rPr>
          <w:sz w:val="26"/>
          <w:szCs w:val="26"/>
        </w:rPr>
        <w:t>The estimated annualized cost to the Federal Government associated with collecting this information is</w:t>
      </w:r>
      <w:r w:rsidR="00546BFA">
        <w:rPr>
          <w:sz w:val="26"/>
          <w:szCs w:val="26"/>
        </w:rPr>
        <w:t xml:space="preserve"> $360,663</w:t>
      </w:r>
      <w:r w:rsidR="00F06319">
        <w:rPr>
          <w:sz w:val="26"/>
          <w:szCs w:val="26"/>
        </w:rPr>
        <w:t>.36</w:t>
      </w:r>
      <w:r w:rsidR="00546BFA">
        <w:rPr>
          <w:sz w:val="26"/>
          <w:szCs w:val="26"/>
        </w:rPr>
        <w:t>.  Based on GS-8, Step 5</w:t>
      </w:r>
      <w:r w:rsidR="00F06319">
        <w:rPr>
          <w:sz w:val="26"/>
          <w:szCs w:val="26"/>
        </w:rPr>
        <w:t xml:space="preserve"> as published in the Federal Civil Service 2014 Pay Structure</w:t>
      </w:r>
      <w:r w:rsidR="00546BFA">
        <w:rPr>
          <w:sz w:val="26"/>
          <w:szCs w:val="26"/>
        </w:rPr>
        <w:t xml:space="preserve"> ($20.64 x 17,474 hours =  </w:t>
      </w:r>
      <w:r w:rsidR="00F06319">
        <w:rPr>
          <w:sz w:val="26"/>
          <w:szCs w:val="26"/>
        </w:rPr>
        <w:t>$360,663.36).</w:t>
      </w:r>
    </w:p>
    <w:p w:rsidR="009D0BB2" w:rsidRDefault="009D0BB2" w:rsidP="009D0BB2">
      <w:pPr>
        <w:rPr>
          <w:sz w:val="26"/>
          <w:szCs w:val="26"/>
        </w:rPr>
      </w:pPr>
    </w:p>
    <w:p w:rsidR="009D0BB2" w:rsidRDefault="009D0BB2" w:rsidP="009D0BB2">
      <w:pPr>
        <w:rPr>
          <w:sz w:val="26"/>
          <w:szCs w:val="26"/>
        </w:rPr>
      </w:pPr>
      <w:r>
        <w:rPr>
          <w:sz w:val="26"/>
          <w:szCs w:val="26"/>
        </w:rPr>
        <w:t>Printing</w:t>
      </w:r>
      <w:r>
        <w:rPr>
          <w:sz w:val="26"/>
          <w:szCs w:val="26"/>
        </w:rPr>
        <w:tab/>
        <w:t>20,969 forms per yr. @ $0.10</w:t>
      </w:r>
      <w:r>
        <w:rPr>
          <w:sz w:val="26"/>
          <w:szCs w:val="26"/>
        </w:rPr>
        <w:tab/>
        <w:t>=</w:t>
      </w:r>
      <w:r>
        <w:rPr>
          <w:sz w:val="26"/>
          <w:szCs w:val="26"/>
        </w:rPr>
        <w:tab/>
        <w:t>$     2,096.90</w:t>
      </w:r>
    </w:p>
    <w:p w:rsidR="009D0BB2" w:rsidRDefault="009D0BB2" w:rsidP="009D0BB2">
      <w:pPr>
        <w:rPr>
          <w:sz w:val="26"/>
          <w:szCs w:val="26"/>
        </w:rPr>
      </w:pPr>
      <w:r>
        <w:rPr>
          <w:sz w:val="26"/>
          <w:szCs w:val="26"/>
        </w:rPr>
        <w:t>Mailing</w:t>
      </w:r>
      <w:r>
        <w:rPr>
          <w:sz w:val="26"/>
          <w:szCs w:val="26"/>
        </w:rPr>
        <w:tab/>
        <w:t xml:space="preserve">20,969 forms per yr. @ $0.49 </w:t>
      </w:r>
      <w:r>
        <w:rPr>
          <w:sz w:val="26"/>
          <w:szCs w:val="26"/>
        </w:rPr>
        <w:tab/>
        <w:t>=</w:t>
      </w:r>
      <w:r>
        <w:rPr>
          <w:sz w:val="26"/>
          <w:szCs w:val="26"/>
        </w:rPr>
        <w:tab/>
        <w:t xml:space="preserve">     </w:t>
      </w:r>
      <w:r w:rsidRPr="00687DF1">
        <w:rPr>
          <w:sz w:val="26"/>
          <w:szCs w:val="26"/>
          <w:u w:val="single"/>
        </w:rPr>
        <w:t>10,274.81</w:t>
      </w:r>
    </w:p>
    <w:p w:rsidR="009D0BB2" w:rsidRPr="00F53C82" w:rsidRDefault="009D0BB2" w:rsidP="009D0BB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$12,371.71</w:t>
      </w:r>
    </w:p>
    <w:p w:rsidR="00A32F15" w:rsidRPr="00F53C82" w:rsidRDefault="009D0BB2" w:rsidP="008D194E">
      <w:pPr>
        <w:rPr>
          <w:sz w:val="26"/>
          <w:szCs w:val="26"/>
        </w:rPr>
      </w:pPr>
      <w:r>
        <w:rPr>
          <w:sz w:val="26"/>
          <w:szCs w:val="26"/>
        </w:rPr>
        <w:t>TOTAL: $373,035.07</w:t>
      </w:r>
      <w:r w:rsidR="00A32F15">
        <w:rPr>
          <w:sz w:val="26"/>
          <w:szCs w:val="26"/>
        </w:rPr>
        <w:tab/>
      </w:r>
      <w:r w:rsidR="00185892">
        <w:rPr>
          <w:sz w:val="26"/>
          <w:szCs w:val="26"/>
        </w:rPr>
        <w:t xml:space="preserve">  </w:t>
      </w:r>
    </w:p>
    <w:p w:rsidR="004A0B42" w:rsidRDefault="004A0B42">
      <w:pPr>
        <w:rPr>
          <w:b/>
          <w:sz w:val="26"/>
          <w:szCs w:val="26"/>
        </w:rPr>
      </w:pPr>
    </w:p>
    <w:p w:rsidR="00C80609" w:rsidRPr="00C80609" w:rsidRDefault="00C80609" w:rsidP="00C80609">
      <w:pPr>
        <w:tabs>
          <w:tab w:val="left" w:pos="450"/>
        </w:tabs>
        <w:rPr>
          <w:sz w:val="26"/>
          <w:szCs w:val="26"/>
          <w:u w:val="single"/>
        </w:rPr>
      </w:pPr>
      <w:r>
        <w:rPr>
          <w:sz w:val="26"/>
          <w:szCs w:val="26"/>
        </w:rPr>
        <w:t xml:space="preserve">15.  </w:t>
      </w:r>
      <w:r>
        <w:rPr>
          <w:sz w:val="26"/>
          <w:szCs w:val="26"/>
          <w:u w:val="single"/>
        </w:rPr>
        <w:t>Reasons for change in Burden</w:t>
      </w:r>
    </w:p>
    <w:p w:rsidR="00C80609" w:rsidRDefault="00C80609" w:rsidP="00F53C82">
      <w:pPr>
        <w:rPr>
          <w:sz w:val="26"/>
          <w:szCs w:val="26"/>
        </w:rPr>
      </w:pPr>
    </w:p>
    <w:p w:rsidR="00021C3B" w:rsidRPr="00F53C82" w:rsidRDefault="00F06319" w:rsidP="006A067C">
      <w:pPr>
        <w:ind w:firstLine="720"/>
        <w:rPr>
          <w:sz w:val="26"/>
          <w:szCs w:val="26"/>
        </w:rPr>
      </w:pPr>
      <w:r>
        <w:rPr>
          <w:sz w:val="26"/>
          <w:szCs w:val="26"/>
        </w:rPr>
        <w:t xml:space="preserve">Burden has decreased due to a decrease in eligible dependents.  This number fluctuates with member needs. </w:t>
      </w:r>
      <w:r w:rsidR="00A33A41">
        <w:rPr>
          <w:sz w:val="26"/>
          <w:szCs w:val="26"/>
        </w:rPr>
        <w:t>The only change on the form was an update on the Privacy Act Statement to include the links to SORNs referenced in Section 10 above.</w:t>
      </w:r>
      <w:bookmarkStart w:id="0" w:name="_GoBack"/>
      <w:bookmarkEnd w:id="0"/>
    </w:p>
    <w:p w:rsidR="00021C3B" w:rsidRDefault="00021C3B">
      <w:pPr>
        <w:rPr>
          <w:sz w:val="26"/>
          <w:szCs w:val="26"/>
        </w:rPr>
      </w:pPr>
    </w:p>
    <w:p w:rsidR="00C80609" w:rsidRPr="00C80609" w:rsidRDefault="00C80609" w:rsidP="00C80609">
      <w:pPr>
        <w:tabs>
          <w:tab w:val="left" w:pos="450"/>
        </w:tabs>
        <w:rPr>
          <w:sz w:val="26"/>
          <w:szCs w:val="26"/>
          <w:u w:val="single"/>
        </w:rPr>
      </w:pPr>
      <w:r>
        <w:rPr>
          <w:sz w:val="26"/>
          <w:szCs w:val="26"/>
        </w:rPr>
        <w:t xml:space="preserve">16.  </w:t>
      </w:r>
      <w:r>
        <w:rPr>
          <w:sz w:val="26"/>
          <w:szCs w:val="26"/>
          <w:u w:val="single"/>
        </w:rPr>
        <w:t>Publication of Results</w:t>
      </w:r>
    </w:p>
    <w:p w:rsidR="00C80609" w:rsidRDefault="00C80609" w:rsidP="00F53C82">
      <w:pPr>
        <w:rPr>
          <w:sz w:val="26"/>
          <w:szCs w:val="26"/>
        </w:rPr>
      </w:pPr>
    </w:p>
    <w:p w:rsidR="00021C3B" w:rsidRPr="00F53C82" w:rsidRDefault="00021C3B" w:rsidP="006A067C">
      <w:pPr>
        <w:ind w:firstLine="720"/>
        <w:rPr>
          <w:sz w:val="26"/>
          <w:szCs w:val="26"/>
        </w:rPr>
      </w:pPr>
      <w:r w:rsidRPr="00F53C82">
        <w:rPr>
          <w:sz w:val="26"/>
          <w:szCs w:val="26"/>
        </w:rPr>
        <w:t>The information collected will not be published or tabulated.</w:t>
      </w:r>
    </w:p>
    <w:p w:rsidR="00021C3B" w:rsidRDefault="00021C3B">
      <w:pPr>
        <w:rPr>
          <w:sz w:val="26"/>
          <w:szCs w:val="26"/>
        </w:rPr>
      </w:pPr>
    </w:p>
    <w:p w:rsidR="00C80609" w:rsidRPr="00C80609" w:rsidRDefault="00C80609" w:rsidP="00C80609">
      <w:pPr>
        <w:tabs>
          <w:tab w:val="left" w:pos="450"/>
        </w:tabs>
        <w:rPr>
          <w:sz w:val="26"/>
          <w:szCs w:val="26"/>
          <w:u w:val="single"/>
        </w:rPr>
      </w:pPr>
      <w:r>
        <w:rPr>
          <w:sz w:val="26"/>
          <w:szCs w:val="26"/>
        </w:rPr>
        <w:t xml:space="preserve">17.  </w:t>
      </w:r>
      <w:r>
        <w:rPr>
          <w:sz w:val="26"/>
          <w:szCs w:val="26"/>
          <w:u w:val="single"/>
        </w:rPr>
        <w:t>Non-Display of OMB Expiration Date</w:t>
      </w:r>
    </w:p>
    <w:p w:rsidR="00C80609" w:rsidRDefault="00C80609">
      <w:pPr>
        <w:rPr>
          <w:sz w:val="26"/>
          <w:szCs w:val="26"/>
        </w:rPr>
      </w:pPr>
    </w:p>
    <w:p w:rsidR="00021C3B" w:rsidRPr="00F53C82" w:rsidRDefault="00021C3B" w:rsidP="006A067C">
      <w:pPr>
        <w:ind w:firstLine="720"/>
        <w:rPr>
          <w:sz w:val="26"/>
          <w:szCs w:val="26"/>
        </w:rPr>
      </w:pPr>
      <w:r w:rsidRPr="00F53C82">
        <w:rPr>
          <w:sz w:val="26"/>
          <w:szCs w:val="26"/>
        </w:rPr>
        <w:t>Approval is not sought to avoid display of the expiration date for OMB approval of the information collection.</w:t>
      </w:r>
    </w:p>
    <w:p w:rsidR="00021C3B" w:rsidRDefault="00021C3B">
      <w:pPr>
        <w:rPr>
          <w:sz w:val="26"/>
          <w:szCs w:val="26"/>
        </w:rPr>
      </w:pPr>
    </w:p>
    <w:p w:rsidR="00C80609" w:rsidRPr="00C80609" w:rsidRDefault="00C80609" w:rsidP="00C80609">
      <w:pPr>
        <w:tabs>
          <w:tab w:val="left" w:pos="450"/>
        </w:tabs>
        <w:rPr>
          <w:sz w:val="26"/>
          <w:szCs w:val="26"/>
          <w:u w:val="single"/>
        </w:rPr>
      </w:pPr>
      <w:r>
        <w:rPr>
          <w:sz w:val="26"/>
          <w:szCs w:val="26"/>
        </w:rPr>
        <w:t xml:space="preserve">18.  </w:t>
      </w:r>
      <w:r w:rsidR="00844965">
        <w:rPr>
          <w:sz w:val="26"/>
          <w:szCs w:val="26"/>
          <w:u w:val="single"/>
        </w:rPr>
        <w:t xml:space="preserve">Exceptions to “Certification for Paperwork submissions” </w:t>
      </w:r>
    </w:p>
    <w:p w:rsidR="00C80609" w:rsidRDefault="00C80609">
      <w:pPr>
        <w:rPr>
          <w:sz w:val="26"/>
          <w:szCs w:val="26"/>
        </w:rPr>
      </w:pPr>
    </w:p>
    <w:p w:rsidR="00021C3B" w:rsidRPr="00F53C82" w:rsidRDefault="00021C3B" w:rsidP="006A067C">
      <w:pPr>
        <w:ind w:firstLine="720"/>
        <w:rPr>
          <w:sz w:val="26"/>
          <w:szCs w:val="26"/>
        </w:rPr>
      </w:pPr>
      <w:r w:rsidRPr="00F53C82">
        <w:rPr>
          <w:sz w:val="26"/>
          <w:szCs w:val="26"/>
        </w:rPr>
        <w:t>There are no exceptions to the certification statement identified in Item 19 of the OMB Form 83-I.</w:t>
      </w:r>
    </w:p>
    <w:p w:rsidR="00021C3B" w:rsidRDefault="00021C3B">
      <w:pPr>
        <w:rPr>
          <w:sz w:val="26"/>
          <w:szCs w:val="26"/>
        </w:rPr>
      </w:pPr>
    </w:p>
    <w:p w:rsidR="00B4116A" w:rsidRPr="00F53C82" w:rsidRDefault="00B4116A">
      <w:pPr>
        <w:rPr>
          <w:sz w:val="26"/>
          <w:szCs w:val="26"/>
        </w:rPr>
      </w:pPr>
    </w:p>
    <w:p w:rsidR="00887CA3" w:rsidRPr="00887CA3" w:rsidRDefault="00887CA3" w:rsidP="00887CA3">
      <w:pPr>
        <w:ind w:left="720"/>
        <w:rPr>
          <w:b/>
          <w:color w:val="FF0000"/>
          <w:sz w:val="26"/>
          <w:szCs w:val="26"/>
        </w:rPr>
      </w:pPr>
    </w:p>
    <w:sectPr w:rsidR="00887CA3" w:rsidRPr="00887CA3">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4D4"/>
    <w:multiLevelType w:val="singleLevel"/>
    <w:tmpl w:val="6E1C88C2"/>
    <w:lvl w:ilvl="0">
      <w:start w:val="1"/>
      <w:numFmt w:val="upperLetter"/>
      <w:lvlText w:val="%1."/>
      <w:lvlJc w:val="left"/>
      <w:pPr>
        <w:tabs>
          <w:tab w:val="num" w:pos="360"/>
        </w:tabs>
        <w:ind w:left="360" w:hanging="360"/>
      </w:pPr>
      <w:rPr>
        <w:rFonts w:hint="default"/>
      </w:rPr>
    </w:lvl>
  </w:abstractNum>
  <w:abstractNum w:abstractNumId="1">
    <w:nsid w:val="0C682D4F"/>
    <w:multiLevelType w:val="singleLevel"/>
    <w:tmpl w:val="8AEC0D7C"/>
    <w:lvl w:ilvl="0">
      <w:start w:val="15"/>
      <w:numFmt w:val="decimal"/>
      <w:lvlText w:val="%1."/>
      <w:lvlJc w:val="left"/>
      <w:pPr>
        <w:tabs>
          <w:tab w:val="num" w:pos="420"/>
        </w:tabs>
        <w:ind w:left="420" w:hanging="420"/>
      </w:pPr>
      <w:rPr>
        <w:rFonts w:hint="default"/>
      </w:rPr>
    </w:lvl>
  </w:abstractNum>
  <w:abstractNum w:abstractNumId="2">
    <w:nsid w:val="18EA7BB0"/>
    <w:multiLevelType w:val="singleLevel"/>
    <w:tmpl w:val="B88EB9C4"/>
    <w:lvl w:ilvl="0">
      <w:start w:val="1667"/>
      <w:numFmt w:val="decimal"/>
      <w:lvlText w:val="%1"/>
      <w:lvlJc w:val="left"/>
      <w:pPr>
        <w:tabs>
          <w:tab w:val="num" w:pos="2640"/>
        </w:tabs>
        <w:ind w:left="2640" w:hanging="480"/>
      </w:pPr>
      <w:rPr>
        <w:rFonts w:hint="default"/>
      </w:rPr>
    </w:lvl>
  </w:abstractNum>
  <w:abstractNum w:abstractNumId="3">
    <w:nsid w:val="1DAA4BF6"/>
    <w:multiLevelType w:val="hybridMultilevel"/>
    <w:tmpl w:val="609CD764"/>
    <w:lvl w:ilvl="0" w:tplc="1BE6BA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8768A"/>
    <w:multiLevelType w:val="singleLevel"/>
    <w:tmpl w:val="0409000F"/>
    <w:lvl w:ilvl="0">
      <w:start w:val="1"/>
      <w:numFmt w:val="decimal"/>
      <w:lvlText w:val="%1."/>
      <w:lvlJc w:val="left"/>
      <w:pPr>
        <w:tabs>
          <w:tab w:val="num" w:pos="360"/>
        </w:tabs>
        <w:ind w:left="360" w:hanging="360"/>
      </w:pPr>
    </w:lvl>
  </w:abstractNum>
  <w:abstractNum w:abstractNumId="5">
    <w:nsid w:val="44E4153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4D6E2B0A"/>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58D76E63"/>
    <w:multiLevelType w:val="singleLevel"/>
    <w:tmpl w:val="0409000F"/>
    <w:lvl w:ilvl="0">
      <w:start w:val="13"/>
      <w:numFmt w:val="decimal"/>
      <w:lvlText w:val="%1."/>
      <w:lvlJc w:val="left"/>
      <w:pPr>
        <w:tabs>
          <w:tab w:val="num" w:pos="360"/>
        </w:tabs>
        <w:ind w:left="360" w:hanging="360"/>
      </w:pPr>
      <w:rPr>
        <w:rFonts w:hint="default"/>
      </w:rPr>
    </w:lvl>
  </w:abstractNum>
  <w:abstractNum w:abstractNumId="8">
    <w:nsid w:val="5CF56F32"/>
    <w:multiLevelType w:val="singleLevel"/>
    <w:tmpl w:val="0409000F"/>
    <w:lvl w:ilvl="0">
      <w:start w:val="9"/>
      <w:numFmt w:val="decimal"/>
      <w:lvlText w:val="%1."/>
      <w:lvlJc w:val="left"/>
      <w:pPr>
        <w:tabs>
          <w:tab w:val="num" w:pos="360"/>
        </w:tabs>
        <w:ind w:left="360" w:hanging="360"/>
      </w:pPr>
      <w:rPr>
        <w:rFonts w:hint="default"/>
      </w:rPr>
    </w:lvl>
  </w:abstractNum>
  <w:abstractNum w:abstractNumId="9">
    <w:nsid w:val="603C36B7"/>
    <w:multiLevelType w:val="singleLevel"/>
    <w:tmpl w:val="85628C02"/>
    <w:lvl w:ilvl="0">
      <w:start w:val="10"/>
      <w:numFmt w:val="decimal"/>
      <w:lvlText w:val="%1."/>
      <w:lvlJc w:val="left"/>
      <w:pPr>
        <w:tabs>
          <w:tab w:val="num" w:pos="585"/>
        </w:tabs>
        <w:ind w:left="585" w:hanging="585"/>
      </w:pPr>
      <w:rPr>
        <w:rFonts w:hint="default"/>
      </w:rPr>
    </w:lvl>
  </w:abstractNum>
  <w:abstractNum w:abstractNumId="10">
    <w:nsid w:val="64AF4CFF"/>
    <w:multiLevelType w:val="singleLevel"/>
    <w:tmpl w:val="54745772"/>
    <w:lvl w:ilvl="0">
      <w:start w:val="10"/>
      <w:numFmt w:val="decimal"/>
      <w:lvlText w:val="%1."/>
      <w:lvlJc w:val="left"/>
      <w:pPr>
        <w:tabs>
          <w:tab w:val="num" w:pos="735"/>
        </w:tabs>
        <w:ind w:left="735" w:hanging="735"/>
      </w:pPr>
      <w:rPr>
        <w:rFonts w:hint="default"/>
      </w:rPr>
    </w:lvl>
  </w:abstractNum>
  <w:num w:numId="1">
    <w:abstractNumId w:val="5"/>
  </w:num>
  <w:num w:numId="2">
    <w:abstractNumId w:val="6"/>
  </w:num>
  <w:num w:numId="3">
    <w:abstractNumId w:val="8"/>
  </w:num>
  <w:num w:numId="4">
    <w:abstractNumId w:val="4"/>
  </w:num>
  <w:num w:numId="5">
    <w:abstractNumId w:val="7"/>
  </w:num>
  <w:num w:numId="6">
    <w:abstractNumId w:val="2"/>
  </w:num>
  <w:num w:numId="7">
    <w:abstractNumId w:val="1"/>
  </w:num>
  <w:num w:numId="8">
    <w:abstractNumId w:val="9"/>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17"/>
    <w:rsid w:val="00001385"/>
    <w:rsid w:val="00021C3B"/>
    <w:rsid w:val="00022468"/>
    <w:rsid w:val="000E0A0D"/>
    <w:rsid w:val="00164A10"/>
    <w:rsid w:val="00185892"/>
    <w:rsid w:val="002042F1"/>
    <w:rsid w:val="00273C00"/>
    <w:rsid w:val="002D7413"/>
    <w:rsid w:val="002E0864"/>
    <w:rsid w:val="003044D0"/>
    <w:rsid w:val="00326402"/>
    <w:rsid w:val="00343968"/>
    <w:rsid w:val="00361B89"/>
    <w:rsid w:val="003732FC"/>
    <w:rsid w:val="00377F81"/>
    <w:rsid w:val="00420EFD"/>
    <w:rsid w:val="00426133"/>
    <w:rsid w:val="004336A3"/>
    <w:rsid w:val="00476104"/>
    <w:rsid w:val="004A0B42"/>
    <w:rsid w:val="005374EE"/>
    <w:rsid w:val="00543D17"/>
    <w:rsid w:val="00546BFA"/>
    <w:rsid w:val="005803F8"/>
    <w:rsid w:val="00606E66"/>
    <w:rsid w:val="00687DF1"/>
    <w:rsid w:val="006A067C"/>
    <w:rsid w:val="006F593B"/>
    <w:rsid w:val="007117DA"/>
    <w:rsid w:val="007C207E"/>
    <w:rsid w:val="007D7AF7"/>
    <w:rsid w:val="00803309"/>
    <w:rsid w:val="0080440E"/>
    <w:rsid w:val="00844965"/>
    <w:rsid w:val="008673DD"/>
    <w:rsid w:val="00875A96"/>
    <w:rsid w:val="00887CA3"/>
    <w:rsid w:val="008A00FD"/>
    <w:rsid w:val="008D194E"/>
    <w:rsid w:val="008E3DE2"/>
    <w:rsid w:val="00900843"/>
    <w:rsid w:val="0095224B"/>
    <w:rsid w:val="00967343"/>
    <w:rsid w:val="009D0BB2"/>
    <w:rsid w:val="00A036F8"/>
    <w:rsid w:val="00A32F15"/>
    <w:rsid w:val="00A33A41"/>
    <w:rsid w:val="00A723F4"/>
    <w:rsid w:val="00AA6BAC"/>
    <w:rsid w:val="00AC15DA"/>
    <w:rsid w:val="00AD7308"/>
    <w:rsid w:val="00B341C5"/>
    <w:rsid w:val="00B4116A"/>
    <w:rsid w:val="00B45467"/>
    <w:rsid w:val="00BB0F4E"/>
    <w:rsid w:val="00BC0C1E"/>
    <w:rsid w:val="00BE4FEA"/>
    <w:rsid w:val="00BF3A81"/>
    <w:rsid w:val="00C22006"/>
    <w:rsid w:val="00C27B5F"/>
    <w:rsid w:val="00C312EE"/>
    <w:rsid w:val="00C34EF7"/>
    <w:rsid w:val="00C80609"/>
    <w:rsid w:val="00C8120B"/>
    <w:rsid w:val="00C86035"/>
    <w:rsid w:val="00D0056A"/>
    <w:rsid w:val="00D06CA0"/>
    <w:rsid w:val="00D326C9"/>
    <w:rsid w:val="00D72881"/>
    <w:rsid w:val="00DC4665"/>
    <w:rsid w:val="00DD7A2D"/>
    <w:rsid w:val="00DE63A8"/>
    <w:rsid w:val="00E35138"/>
    <w:rsid w:val="00EE06F9"/>
    <w:rsid w:val="00F06319"/>
    <w:rsid w:val="00F11492"/>
    <w:rsid w:val="00F13495"/>
    <w:rsid w:val="00F53C82"/>
    <w:rsid w:val="00FB1E30"/>
    <w:rsid w:val="00FC3A7D"/>
    <w:rsid w:val="00FC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alloonText">
    <w:name w:val="Balloon Text"/>
    <w:basedOn w:val="Normal"/>
    <w:semiHidden/>
    <w:rsid w:val="00B4116A"/>
    <w:rPr>
      <w:rFonts w:ascii="Tahoma" w:hAnsi="Tahoma" w:cs="Tahoma"/>
      <w:sz w:val="16"/>
      <w:szCs w:val="16"/>
    </w:rPr>
  </w:style>
  <w:style w:type="character" w:styleId="CommentReference">
    <w:name w:val="annotation reference"/>
    <w:basedOn w:val="DefaultParagraphFont"/>
    <w:rsid w:val="00887CA3"/>
    <w:rPr>
      <w:sz w:val="16"/>
      <w:szCs w:val="16"/>
    </w:rPr>
  </w:style>
  <w:style w:type="paragraph" w:styleId="CommentText">
    <w:name w:val="annotation text"/>
    <w:basedOn w:val="Normal"/>
    <w:link w:val="CommentTextChar"/>
    <w:rsid w:val="00887CA3"/>
    <w:rPr>
      <w:sz w:val="20"/>
    </w:rPr>
  </w:style>
  <w:style w:type="character" w:customStyle="1" w:styleId="CommentTextChar">
    <w:name w:val="Comment Text Char"/>
    <w:basedOn w:val="DefaultParagraphFont"/>
    <w:link w:val="CommentText"/>
    <w:rsid w:val="00887CA3"/>
  </w:style>
  <w:style w:type="paragraph" w:styleId="CommentSubject">
    <w:name w:val="annotation subject"/>
    <w:basedOn w:val="CommentText"/>
    <w:next w:val="CommentText"/>
    <w:link w:val="CommentSubjectChar"/>
    <w:rsid w:val="00887CA3"/>
    <w:rPr>
      <w:b/>
      <w:bCs/>
    </w:rPr>
  </w:style>
  <w:style w:type="character" w:customStyle="1" w:styleId="CommentSubjectChar">
    <w:name w:val="Comment Subject Char"/>
    <w:basedOn w:val="CommentTextChar"/>
    <w:link w:val="CommentSubject"/>
    <w:rsid w:val="00887CA3"/>
    <w:rPr>
      <w:b/>
      <w:bCs/>
    </w:rPr>
  </w:style>
  <w:style w:type="character" w:styleId="Hyperlink">
    <w:name w:val="Hyperlink"/>
    <w:basedOn w:val="DefaultParagraphFont"/>
    <w:rsid w:val="00F13495"/>
    <w:rPr>
      <w:color w:val="0000FF" w:themeColor="hyperlink"/>
      <w:u w:val="single"/>
    </w:rPr>
  </w:style>
  <w:style w:type="character" w:styleId="FollowedHyperlink">
    <w:name w:val="FollowedHyperlink"/>
    <w:basedOn w:val="DefaultParagraphFont"/>
    <w:rsid w:val="00DE63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alloonText">
    <w:name w:val="Balloon Text"/>
    <w:basedOn w:val="Normal"/>
    <w:semiHidden/>
    <w:rsid w:val="00B4116A"/>
    <w:rPr>
      <w:rFonts w:ascii="Tahoma" w:hAnsi="Tahoma" w:cs="Tahoma"/>
      <w:sz w:val="16"/>
      <w:szCs w:val="16"/>
    </w:rPr>
  </w:style>
  <w:style w:type="character" w:styleId="CommentReference">
    <w:name w:val="annotation reference"/>
    <w:basedOn w:val="DefaultParagraphFont"/>
    <w:rsid w:val="00887CA3"/>
    <w:rPr>
      <w:sz w:val="16"/>
      <w:szCs w:val="16"/>
    </w:rPr>
  </w:style>
  <w:style w:type="paragraph" w:styleId="CommentText">
    <w:name w:val="annotation text"/>
    <w:basedOn w:val="Normal"/>
    <w:link w:val="CommentTextChar"/>
    <w:rsid w:val="00887CA3"/>
    <w:rPr>
      <w:sz w:val="20"/>
    </w:rPr>
  </w:style>
  <w:style w:type="character" w:customStyle="1" w:styleId="CommentTextChar">
    <w:name w:val="Comment Text Char"/>
    <w:basedOn w:val="DefaultParagraphFont"/>
    <w:link w:val="CommentText"/>
    <w:rsid w:val="00887CA3"/>
  </w:style>
  <w:style w:type="paragraph" w:styleId="CommentSubject">
    <w:name w:val="annotation subject"/>
    <w:basedOn w:val="CommentText"/>
    <w:next w:val="CommentText"/>
    <w:link w:val="CommentSubjectChar"/>
    <w:rsid w:val="00887CA3"/>
    <w:rPr>
      <w:b/>
      <w:bCs/>
    </w:rPr>
  </w:style>
  <w:style w:type="character" w:customStyle="1" w:styleId="CommentSubjectChar">
    <w:name w:val="Comment Subject Char"/>
    <w:basedOn w:val="CommentTextChar"/>
    <w:link w:val="CommentSubject"/>
    <w:rsid w:val="00887CA3"/>
    <w:rPr>
      <w:b/>
      <w:bCs/>
    </w:rPr>
  </w:style>
  <w:style w:type="character" w:styleId="Hyperlink">
    <w:name w:val="Hyperlink"/>
    <w:basedOn w:val="DefaultParagraphFont"/>
    <w:rsid w:val="00F13495"/>
    <w:rPr>
      <w:color w:val="0000FF" w:themeColor="hyperlink"/>
      <w:u w:val="single"/>
    </w:rPr>
  </w:style>
  <w:style w:type="character" w:styleId="FollowedHyperlink">
    <w:name w:val="FollowedHyperlink"/>
    <w:basedOn w:val="DefaultParagraphFont"/>
    <w:rsid w:val="00DE63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Index/DODwideSORNArticleView/tabid/6797/Article/6282/t7347b.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pclo.defense.gov/Privacy/SORNsIndex/DODwideSORNArticleView/tabid/6797/Article/6281/t7344.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clo.defense.gov/Privacy/SORNsIndex/DODwideSORNArticleView/tabid/6797/Article/6277/t7340.aspx" TargetMode="External"/><Relationship Id="rId11" Type="http://schemas.openxmlformats.org/officeDocument/2006/relationships/hyperlink" Target="http://www.doncio.navy.mil/ContentView.aspx?ID=678" TargetMode="External"/><Relationship Id="rId5" Type="http://schemas.openxmlformats.org/officeDocument/2006/relationships/webSettings" Target="webSettings.xml"/><Relationship Id="rId10" Type="http://schemas.openxmlformats.org/officeDocument/2006/relationships/hyperlink" Target="http://www.dfas.mil/foia/privacyimpactassessments.html" TargetMode="External"/><Relationship Id="rId4" Type="http://schemas.openxmlformats.org/officeDocument/2006/relationships/settings" Target="settings.xml"/><Relationship Id="rId9" Type="http://schemas.openxmlformats.org/officeDocument/2006/relationships/hyperlink" Target="http://dpclo.defense.gov/Privacy/SORNsIndex/DODwideSORNArticleView/tabid/6797/Article/6774/m0104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DIOR</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Bob Cushing</dc:creator>
  <cp:lastModifiedBy>Shelly Finke</cp:lastModifiedBy>
  <cp:revision>2</cp:revision>
  <cp:lastPrinted>2014-05-30T17:21:00Z</cp:lastPrinted>
  <dcterms:created xsi:type="dcterms:W3CDTF">2014-07-25T15:17:00Z</dcterms:created>
  <dcterms:modified xsi:type="dcterms:W3CDTF">2014-07-25T15:17:00Z</dcterms:modified>
</cp:coreProperties>
</file>