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44C" w:rsidRPr="009B1145" w:rsidRDefault="009B1145" w:rsidP="00E67C1C">
      <w:pPr>
        <w:tabs>
          <w:tab w:val="center" w:pos="4680"/>
        </w:tabs>
        <w:suppressAutoHyphens/>
        <w:jc w:val="center"/>
        <w:rPr>
          <w:b/>
          <w:bCs/>
          <w:sz w:val="28"/>
          <w:szCs w:val="28"/>
        </w:rPr>
      </w:pPr>
      <w:r w:rsidRPr="009B1145">
        <w:rPr>
          <w:b/>
          <w:bCs/>
          <w:sz w:val="28"/>
          <w:szCs w:val="28"/>
        </w:rPr>
        <w:t>Supporting Statement</w:t>
      </w:r>
    </w:p>
    <w:p w:rsidR="0049044C" w:rsidRPr="009B1145" w:rsidRDefault="0049044C" w:rsidP="00E67C1C">
      <w:pPr>
        <w:tabs>
          <w:tab w:val="center" w:pos="4680"/>
        </w:tabs>
        <w:suppressAutoHyphens/>
        <w:jc w:val="center"/>
        <w:rPr>
          <w:b/>
          <w:bCs/>
          <w:sz w:val="28"/>
          <w:szCs w:val="28"/>
        </w:rPr>
      </w:pPr>
    </w:p>
    <w:p w:rsidR="0049044C" w:rsidRPr="009B1145" w:rsidRDefault="001F745D" w:rsidP="009B1145">
      <w:pPr>
        <w:tabs>
          <w:tab w:val="center" w:pos="4680"/>
        </w:tabs>
        <w:suppressAutoHyphens/>
        <w:jc w:val="center"/>
        <w:rPr>
          <w:b/>
          <w:bCs/>
          <w:sz w:val="28"/>
          <w:szCs w:val="28"/>
        </w:rPr>
      </w:pPr>
      <w:r w:rsidRPr="009B1145">
        <w:rPr>
          <w:b/>
          <w:bCs/>
          <w:sz w:val="28"/>
          <w:szCs w:val="28"/>
        </w:rPr>
        <w:t xml:space="preserve">OMB Control No: </w:t>
      </w:r>
      <w:r w:rsidR="008F3A64">
        <w:rPr>
          <w:b/>
          <w:bCs/>
          <w:sz w:val="28"/>
          <w:szCs w:val="28"/>
        </w:rPr>
        <w:t xml:space="preserve"> </w:t>
      </w:r>
      <w:r w:rsidRPr="009B1145">
        <w:rPr>
          <w:b/>
          <w:bCs/>
          <w:sz w:val="28"/>
          <w:szCs w:val="28"/>
        </w:rPr>
        <w:t>3090-0290</w:t>
      </w:r>
      <w:r w:rsidR="009B1145" w:rsidRPr="009B1145">
        <w:rPr>
          <w:b/>
          <w:bCs/>
          <w:sz w:val="28"/>
          <w:szCs w:val="28"/>
        </w:rPr>
        <w:t xml:space="preserve">; </w:t>
      </w:r>
      <w:r w:rsidR="00FA3AA2">
        <w:rPr>
          <w:b/>
          <w:sz w:val="28"/>
          <w:szCs w:val="28"/>
        </w:rPr>
        <w:t>System for Award Management</w:t>
      </w:r>
      <w:r w:rsidR="0049044C" w:rsidRPr="009B1145">
        <w:rPr>
          <w:b/>
          <w:sz w:val="28"/>
          <w:szCs w:val="28"/>
        </w:rPr>
        <w:t xml:space="preserve"> </w:t>
      </w:r>
      <w:r w:rsidR="00404E39">
        <w:rPr>
          <w:b/>
          <w:sz w:val="28"/>
          <w:szCs w:val="28"/>
        </w:rPr>
        <w:t xml:space="preserve">Registration </w:t>
      </w:r>
      <w:r w:rsidR="0049044C" w:rsidRPr="009B1145">
        <w:rPr>
          <w:b/>
          <w:sz w:val="28"/>
          <w:szCs w:val="28"/>
        </w:rPr>
        <w:t>Requirements for Prime Grant Recipients</w:t>
      </w:r>
    </w:p>
    <w:p w:rsidR="0049044C" w:rsidRDefault="0049044C" w:rsidP="00E67C1C">
      <w:pPr>
        <w:jc w:val="both"/>
        <w:rPr>
          <w:b/>
          <w:szCs w:val="24"/>
        </w:rPr>
      </w:pPr>
    </w:p>
    <w:p w:rsidR="0049044C" w:rsidRPr="0003381F" w:rsidRDefault="009B1145" w:rsidP="00E67C1C">
      <w:pPr>
        <w:jc w:val="both"/>
        <w:rPr>
          <w:b/>
          <w:szCs w:val="24"/>
        </w:rPr>
      </w:pPr>
      <w:r w:rsidRPr="0003381F">
        <w:rPr>
          <w:b/>
          <w:szCs w:val="24"/>
        </w:rPr>
        <w:t>A.  Justification</w:t>
      </w:r>
      <w:r w:rsidR="0003381F">
        <w:rPr>
          <w:b/>
          <w:szCs w:val="24"/>
        </w:rPr>
        <w:t>.</w:t>
      </w:r>
    </w:p>
    <w:p w:rsidR="0049044C" w:rsidRPr="00E67C1C" w:rsidRDefault="0049044C" w:rsidP="00E67C1C">
      <w:pPr>
        <w:jc w:val="both"/>
        <w:rPr>
          <w:szCs w:val="24"/>
        </w:rPr>
      </w:pPr>
    </w:p>
    <w:p w:rsidR="0049044C" w:rsidRPr="00E67C1C" w:rsidRDefault="0049044C" w:rsidP="00E67C1C">
      <w:pPr>
        <w:jc w:val="both"/>
        <w:rPr>
          <w:szCs w:val="24"/>
        </w:rPr>
      </w:pPr>
      <w:r w:rsidRPr="0003381F">
        <w:rPr>
          <w:b/>
          <w:szCs w:val="24"/>
        </w:rPr>
        <w:t>1.</w:t>
      </w:r>
      <w:r w:rsidRPr="00E67C1C">
        <w:rPr>
          <w:szCs w:val="24"/>
        </w:rPr>
        <w:t xml:space="preserve">  </w:t>
      </w:r>
      <w:r w:rsidR="0003381F" w:rsidRPr="00E67C1C">
        <w:rPr>
          <w:b/>
          <w:szCs w:val="24"/>
        </w:rPr>
        <w:t>Administrative requirements</w:t>
      </w:r>
      <w:r w:rsidR="0003381F" w:rsidRPr="00E67C1C">
        <w:rPr>
          <w:szCs w:val="24"/>
        </w:rPr>
        <w:t xml:space="preserve">.  </w:t>
      </w:r>
    </w:p>
    <w:p w:rsidR="0049044C" w:rsidRDefault="0049044C" w:rsidP="00E67C1C">
      <w:pPr>
        <w:tabs>
          <w:tab w:val="left" w:pos="-720"/>
          <w:tab w:val="left" w:pos="0"/>
        </w:tabs>
        <w:suppressAutoHyphens/>
        <w:jc w:val="both"/>
        <w:rPr>
          <w:rFonts w:eastAsia="Arial Unicode MS"/>
          <w:szCs w:val="24"/>
        </w:rPr>
      </w:pPr>
    </w:p>
    <w:p w:rsidR="0049044C" w:rsidRPr="000E3EAC" w:rsidRDefault="00D36ECE" w:rsidP="009329C6">
      <w:pPr>
        <w:rPr>
          <w:szCs w:val="24"/>
        </w:rPr>
      </w:pPr>
      <w:r>
        <w:rPr>
          <w:szCs w:val="24"/>
        </w:rPr>
        <w:t>In late July 2012, t</w:t>
      </w:r>
      <w:r w:rsidR="0049044C" w:rsidRPr="000E3EAC">
        <w:rPr>
          <w:szCs w:val="24"/>
        </w:rPr>
        <w:t>he</w:t>
      </w:r>
      <w:r w:rsidR="00FA3AA2">
        <w:rPr>
          <w:szCs w:val="24"/>
        </w:rPr>
        <w:t xml:space="preserve"> System for Award Management (SAM</w:t>
      </w:r>
      <w:r w:rsidR="0049044C" w:rsidRPr="000E3EAC">
        <w:rPr>
          <w:szCs w:val="24"/>
        </w:rPr>
        <w:t xml:space="preserve">) </w:t>
      </w:r>
      <w:r>
        <w:rPr>
          <w:szCs w:val="24"/>
        </w:rPr>
        <w:t>replaced the Central Contractor Registration (CCR) system as</w:t>
      </w:r>
      <w:r w:rsidR="0049044C" w:rsidRPr="000E3EAC">
        <w:rPr>
          <w:szCs w:val="24"/>
        </w:rPr>
        <w:t xml:space="preserve"> the primary </w:t>
      </w:r>
      <w:r>
        <w:rPr>
          <w:szCs w:val="24"/>
        </w:rPr>
        <w:t xml:space="preserve">registration </w:t>
      </w:r>
      <w:r w:rsidR="0049044C" w:rsidRPr="000E3EAC">
        <w:rPr>
          <w:szCs w:val="24"/>
        </w:rPr>
        <w:t>database for the U.S. Federal Government</w:t>
      </w:r>
      <w:r>
        <w:rPr>
          <w:szCs w:val="24"/>
        </w:rPr>
        <w:t>. SAM</w:t>
      </w:r>
      <w:r w:rsidR="0049044C">
        <w:rPr>
          <w:szCs w:val="24"/>
        </w:rPr>
        <w:t xml:space="preserve"> currently collects, validates, stores, and disseminates data</w:t>
      </w:r>
      <w:r w:rsidR="0049044C" w:rsidRPr="000E3EAC">
        <w:rPr>
          <w:szCs w:val="24"/>
        </w:rPr>
        <w:t xml:space="preserve"> in support of agency acquisition </w:t>
      </w:r>
      <w:r w:rsidR="0049044C">
        <w:rPr>
          <w:szCs w:val="24"/>
        </w:rPr>
        <w:t xml:space="preserve">and financial assistance </w:t>
      </w:r>
      <w:r w:rsidR="0049044C" w:rsidRPr="000E3EAC">
        <w:rPr>
          <w:szCs w:val="24"/>
        </w:rPr>
        <w:t>missions.</w:t>
      </w:r>
      <w:r>
        <w:rPr>
          <w:szCs w:val="24"/>
        </w:rPr>
        <w:t xml:space="preserve">  </w:t>
      </w:r>
      <w:r w:rsidR="00FA3AA2">
        <w:rPr>
          <w:szCs w:val="24"/>
        </w:rPr>
        <w:t>SAM</w:t>
      </w:r>
      <w:r w:rsidR="0049044C">
        <w:rPr>
          <w:szCs w:val="24"/>
        </w:rPr>
        <w:t xml:space="preserve"> validates </w:t>
      </w:r>
      <w:r w:rsidR="007A7E12">
        <w:rPr>
          <w:szCs w:val="24"/>
        </w:rPr>
        <w:t xml:space="preserve">entity registration </w:t>
      </w:r>
      <w:r w:rsidR="0049044C">
        <w:rPr>
          <w:szCs w:val="24"/>
        </w:rPr>
        <w:t>inform</w:t>
      </w:r>
      <w:r w:rsidR="0049044C" w:rsidRPr="000E3EAC">
        <w:rPr>
          <w:szCs w:val="24"/>
        </w:rPr>
        <w:t>ation and electronically shares the secure and encrypted data with Federal agency finance offices to facilitate paperless payments through electronic funds t</w:t>
      </w:r>
      <w:r w:rsidR="00FA3AA2">
        <w:rPr>
          <w:szCs w:val="24"/>
        </w:rPr>
        <w:t>ransfer (EFT).</w:t>
      </w:r>
      <w:r w:rsidR="000A1427">
        <w:rPr>
          <w:szCs w:val="24"/>
        </w:rPr>
        <w:t xml:space="preserve"> </w:t>
      </w:r>
      <w:r w:rsidR="00FA3AA2">
        <w:rPr>
          <w:szCs w:val="24"/>
        </w:rPr>
        <w:t xml:space="preserve"> Additionally, SAM</w:t>
      </w:r>
      <w:r w:rsidR="0049044C" w:rsidRPr="000E3EAC">
        <w:rPr>
          <w:szCs w:val="24"/>
        </w:rPr>
        <w:t xml:space="preserve"> shares the data with F</w:t>
      </w:r>
      <w:r w:rsidR="0049044C">
        <w:rPr>
          <w:szCs w:val="24"/>
        </w:rPr>
        <w:t>ederal Government procurement, grant,</w:t>
      </w:r>
      <w:r w:rsidR="0049044C" w:rsidRPr="000E3EAC">
        <w:rPr>
          <w:szCs w:val="24"/>
        </w:rPr>
        <w:t xml:space="preserve"> and electronic business systems.</w:t>
      </w:r>
    </w:p>
    <w:p w:rsidR="0049044C" w:rsidRPr="000E3EAC" w:rsidRDefault="0049044C" w:rsidP="003E76F4">
      <w:pPr>
        <w:rPr>
          <w:szCs w:val="24"/>
        </w:rPr>
      </w:pPr>
    </w:p>
    <w:p w:rsidR="0049044C" w:rsidRPr="000E3EAC" w:rsidRDefault="0049044C" w:rsidP="003E76F4">
      <w:pPr>
        <w:rPr>
          <w:szCs w:val="24"/>
        </w:rPr>
      </w:pPr>
      <w:r w:rsidRPr="000E3EAC">
        <w:rPr>
          <w:szCs w:val="24"/>
        </w:rPr>
        <w:t xml:space="preserve">Both current and potential Federal Government </w:t>
      </w:r>
      <w:r w:rsidR="00404E39">
        <w:rPr>
          <w:szCs w:val="24"/>
        </w:rPr>
        <w:t>awardees</w:t>
      </w:r>
      <w:r w:rsidRPr="000E3EAC">
        <w:rPr>
          <w:szCs w:val="24"/>
        </w:rPr>
        <w:t xml:space="preserve"> are required to register in </w:t>
      </w:r>
      <w:r w:rsidR="00FA3AA2">
        <w:rPr>
          <w:szCs w:val="24"/>
        </w:rPr>
        <w:t>SAM</w:t>
      </w:r>
      <w:r w:rsidRPr="000E3EAC">
        <w:rPr>
          <w:szCs w:val="24"/>
        </w:rPr>
        <w:t xml:space="preserve"> </w:t>
      </w:r>
      <w:r w:rsidR="00F8178B">
        <w:rPr>
          <w:szCs w:val="24"/>
        </w:rPr>
        <w:t>pursuant to the</w:t>
      </w:r>
      <w:r w:rsidR="00D36ECE">
        <w:rPr>
          <w:szCs w:val="24"/>
        </w:rPr>
        <w:t xml:space="preserve"> Federal Acquisition Regulation (FAR) and Title 2 of the Code of Federal Regulations (CFR) </w:t>
      </w:r>
      <w:r w:rsidR="00D36ECE" w:rsidRPr="000E3EAC">
        <w:rPr>
          <w:szCs w:val="24"/>
        </w:rPr>
        <w:t xml:space="preserve">in order </w:t>
      </w:r>
      <w:r w:rsidR="00D36ECE">
        <w:rPr>
          <w:szCs w:val="24"/>
        </w:rPr>
        <w:t>receive specified Federal awards.</w:t>
      </w:r>
      <w:r w:rsidRPr="000E3EAC">
        <w:rPr>
          <w:szCs w:val="24"/>
        </w:rPr>
        <w:t xml:space="preserve"> </w:t>
      </w:r>
      <w:r w:rsidR="00F8178B">
        <w:rPr>
          <w:szCs w:val="24"/>
        </w:rPr>
        <w:t xml:space="preserve">Entities </w:t>
      </w:r>
      <w:r w:rsidR="007A7E12">
        <w:rPr>
          <w:szCs w:val="24"/>
        </w:rPr>
        <w:t xml:space="preserve">complete a one-time registration process to provide basic </w:t>
      </w:r>
      <w:r w:rsidRPr="000E3EAC">
        <w:rPr>
          <w:szCs w:val="24"/>
        </w:rPr>
        <w:t xml:space="preserve">information relevant to procurement and </w:t>
      </w:r>
      <w:r w:rsidR="007A7E12">
        <w:rPr>
          <w:szCs w:val="24"/>
        </w:rPr>
        <w:t xml:space="preserve">Federal </w:t>
      </w:r>
      <w:r w:rsidRPr="000E3EAC">
        <w:rPr>
          <w:szCs w:val="24"/>
        </w:rPr>
        <w:t>financial</w:t>
      </w:r>
      <w:r w:rsidR="007A7E12">
        <w:rPr>
          <w:szCs w:val="24"/>
        </w:rPr>
        <w:t xml:space="preserve"> assistance</w:t>
      </w:r>
      <w:r w:rsidRPr="000E3EAC">
        <w:rPr>
          <w:szCs w:val="24"/>
        </w:rPr>
        <w:t xml:space="preserve"> transactions.</w:t>
      </w:r>
      <w:r w:rsidR="000A1427">
        <w:rPr>
          <w:szCs w:val="24"/>
        </w:rPr>
        <w:t xml:space="preserve"> </w:t>
      </w:r>
      <w:r w:rsidRPr="000E3EAC">
        <w:rPr>
          <w:szCs w:val="24"/>
        </w:rPr>
        <w:t xml:space="preserve"> </w:t>
      </w:r>
      <w:r w:rsidR="007A7E12">
        <w:rPr>
          <w:szCs w:val="24"/>
        </w:rPr>
        <w:t>Entities</w:t>
      </w:r>
      <w:r w:rsidR="007A7E12" w:rsidRPr="000E3EAC">
        <w:rPr>
          <w:szCs w:val="24"/>
        </w:rPr>
        <w:t xml:space="preserve"> </w:t>
      </w:r>
      <w:r w:rsidRPr="000E3EAC">
        <w:rPr>
          <w:szCs w:val="24"/>
        </w:rPr>
        <w:t xml:space="preserve">must update or renew their </w:t>
      </w:r>
      <w:r w:rsidR="007A7E12">
        <w:rPr>
          <w:szCs w:val="24"/>
        </w:rPr>
        <w:t xml:space="preserve">SAM </w:t>
      </w:r>
      <w:r w:rsidRPr="000E3EAC">
        <w:rPr>
          <w:szCs w:val="24"/>
        </w:rPr>
        <w:t>registration at least once per year to maintain an active status.</w:t>
      </w:r>
      <w:r>
        <w:rPr>
          <w:szCs w:val="24"/>
        </w:rPr>
        <w:t xml:space="preserve">  In addition, any recipients of Recovery Act funds, for all types of financial assistance, to include grants, a</w:t>
      </w:r>
      <w:r w:rsidR="00FA3AA2">
        <w:rPr>
          <w:szCs w:val="24"/>
        </w:rPr>
        <w:t>re required to register into SAM</w:t>
      </w:r>
      <w:r>
        <w:rPr>
          <w:szCs w:val="24"/>
        </w:rPr>
        <w:t>.</w:t>
      </w:r>
    </w:p>
    <w:p w:rsidR="0049044C" w:rsidRPr="00E67C1C" w:rsidDel="001511F7" w:rsidRDefault="0049044C" w:rsidP="00E67C1C">
      <w:pPr>
        <w:tabs>
          <w:tab w:val="left" w:pos="-720"/>
          <w:tab w:val="left" w:pos="0"/>
        </w:tabs>
        <w:suppressAutoHyphens/>
        <w:jc w:val="both"/>
        <w:rPr>
          <w:rFonts w:eastAsia="Arial Unicode MS"/>
          <w:szCs w:val="24"/>
        </w:rPr>
      </w:pPr>
    </w:p>
    <w:p w:rsidR="0049044C" w:rsidRDefault="0049044C" w:rsidP="001511F7">
      <w:pPr>
        <w:tabs>
          <w:tab w:val="left" w:pos="-720"/>
          <w:tab w:val="left" w:pos="0"/>
        </w:tabs>
        <w:suppressAutoHyphens/>
        <w:jc w:val="both"/>
        <w:rPr>
          <w:rFonts w:eastAsia="Arial Unicode MS"/>
          <w:szCs w:val="24"/>
        </w:rPr>
      </w:pPr>
      <w:r w:rsidRPr="00E67C1C">
        <w:rPr>
          <w:rFonts w:eastAsia="Arial Unicode MS"/>
          <w:szCs w:val="24"/>
        </w:rPr>
        <w:t>GSA</w:t>
      </w:r>
      <w:r w:rsidR="00FA3AA2">
        <w:rPr>
          <w:rFonts w:eastAsia="Arial Unicode MS"/>
          <w:szCs w:val="24"/>
        </w:rPr>
        <w:t xml:space="preserve"> requests OMB’s </w:t>
      </w:r>
      <w:r w:rsidR="00F8178B">
        <w:rPr>
          <w:rFonts w:eastAsia="Arial Unicode MS"/>
          <w:szCs w:val="24"/>
        </w:rPr>
        <w:t xml:space="preserve">expedited </w:t>
      </w:r>
      <w:r w:rsidR="00FA3AA2">
        <w:rPr>
          <w:rFonts w:eastAsia="Arial Unicode MS"/>
          <w:szCs w:val="24"/>
        </w:rPr>
        <w:t>review</w:t>
      </w:r>
      <w:r w:rsidRPr="00E67C1C">
        <w:rPr>
          <w:rFonts w:eastAsia="Arial Unicode MS"/>
          <w:szCs w:val="24"/>
        </w:rPr>
        <w:t xml:space="preserve"> and </w:t>
      </w:r>
      <w:r w:rsidR="00D36ECE">
        <w:rPr>
          <w:rFonts w:eastAsia="Arial Unicode MS"/>
          <w:szCs w:val="24"/>
        </w:rPr>
        <w:t>approval</w:t>
      </w:r>
      <w:r w:rsidR="00D36ECE" w:rsidRPr="00E67C1C">
        <w:rPr>
          <w:rFonts w:eastAsia="Arial Unicode MS"/>
          <w:szCs w:val="24"/>
        </w:rPr>
        <w:t xml:space="preserve"> </w:t>
      </w:r>
      <w:r w:rsidRPr="00E67C1C">
        <w:rPr>
          <w:rFonts w:eastAsia="Arial Unicode MS"/>
          <w:szCs w:val="24"/>
        </w:rPr>
        <w:t xml:space="preserve">of </w:t>
      </w:r>
      <w:r w:rsidR="007A7E12">
        <w:rPr>
          <w:rFonts w:eastAsia="Arial Unicode MS"/>
          <w:szCs w:val="24"/>
        </w:rPr>
        <w:t xml:space="preserve">the administrative modifications to this currently approved </w:t>
      </w:r>
      <w:r w:rsidRPr="00E67C1C">
        <w:rPr>
          <w:rFonts w:eastAsia="Arial Unicode MS"/>
          <w:szCs w:val="24"/>
        </w:rPr>
        <w:t>information collection</w:t>
      </w:r>
      <w:r w:rsidR="00F8178B">
        <w:rPr>
          <w:rFonts w:eastAsia="Arial Unicode MS"/>
          <w:szCs w:val="24"/>
        </w:rPr>
        <w:t xml:space="preserve"> in order to meet the public notification requirements before the </w:t>
      </w:r>
      <w:r w:rsidR="00E17002">
        <w:rPr>
          <w:rFonts w:eastAsia="Arial Unicode MS"/>
          <w:szCs w:val="24"/>
        </w:rPr>
        <w:t xml:space="preserve">collection’s </w:t>
      </w:r>
      <w:r w:rsidR="00F8178B">
        <w:rPr>
          <w:rFonts w:eastAsia="Arial Unicode MS"/>
          <w:szCs w:val="24"/>
        </w:rPr>
        <w:t>expiration date of March 31, 2014.</w:t>
      </w:r>
      <w:r w:rsidRPr="00E67C1C">
        <w:rPr>
          <w:rFonts w:eastAsia="Arial Unicode MS"/>
          <w:szCs w:val="24"/>
        </w:rPr>
        <w:t xml:space="preserve"> </w:t>
      </w:r>
      <w:r w:rsidR="000A1427">
        <w:rPr>
          <w:rFonts w:eastAsia="Arial Unicode MS"/>
          <w:szCs w:val="24"/>
        </w:rPr>
        <w:t xml:space="preserve"> </w:t>
      </w:r>
      <w:r>
        <w:rPr>
          <w:rFonts w:eastAsia="Arial Unicode MS"/>
          <w:szCs w:val="24"/>
        </w:rPr>
        <w:t>This information collection</w:t>
      </w:r>
      <w:r w:rsidR="00D36ECE">
        <w:rPr>
          <w:rFonts w:eastAsia="Arial Unicode MS"/>
          <w:szCs w:val="24"/>
        </w:rPr>
        <w:t xml:space="preserve"> requires prime applicants and recipients, excepting individuals, of Federal financial assistance to register in SAM and maintain an active SAM registration with current information at all times during which they have an active Federal award or an application or plan under consideration by an agency pursuant to 2CFR Subtitle A, Chapter I, and Part 25 (</w:t>
      </w:r>
      <w:r w:rsidR="005913CD">
        <w:rPr>
          <w:rFonts w:eastAsia="Arial Unicode MS"/>
          <w:szCs w:val="24"/>
        </w:rPr>
        <w:t xml:space="preserve">75 </w:t>
      </w:r>
      <w:r w:rsidR="00D36ECE">
        <w:rPr>
          <w:rFonts w:eastAsia="Arial Unicode MS"/>
          <w:szCs w:val="24"/>
        </w:rPr>
        <w:t>FR</w:t>
      </w:r>
      <w:r w:rsidR="005913CD">
        <w:rPr>
          <w:rFonts w:eastAsia="Arial Unicode MS"/>
          <w:szCs w:val="24"/>
        </w:rPr>
        <w:t xml:space="preserve"> </w:t>
      </w:r>
      <w:r w:rsidR="00D36ECE">
        <w:rPr>
          <w:rFonts w:eastAsia="Arial Unicode MS"/>
          <w:szCs w:val="24"/>
        </w:rPr>
        <w:t xml:space="preserve">5672). </w:t>
      </w:r>
      <w:r w:rsidR="000A1427">
        <w:rPr>
          <w:rFonts w:eastAsia="Arial Unicode MS"/>
          <w:szCs w:val="24"/>
        </w:rPr>
        <w:t xml:space="preserve"> </w:t>
      </w:r>
      <w:r w:rsidR="00FA3AA2">
        <w:rPr>
          <w:rFonts w:eastAsia="Arial Unicode MS"/>
          <w:szCs w:val="24"/>
        </w:rPr>
        <w:t>R</w:t>
      </w:r>
      <w:r w:rsidRPr="00E67C1C">
        <w:rPr>
          <w:rFonts w:eastAsia="Arial Unicode MS"/>
          <w:szCs w:val="24"/>
        </w:rPr>
        <w:t xml:space="preserve">eview and </w:t>
      </w:r>
      <w:r w:rsidR="00D36ECE">
        <w:rPr>
          <w:rFonts w:eastAsia="Arial Unicode MS"/>
          <w:szCs w:val="24"/>
        </w:rPr>
        <w:t>approval</w:t>
      </w:r>
      <w:r w:rsidR="00D36ECE" w:rsidRPr="00E67C1C">
        <w:rPr>
          <w:rFonts w:eastAsia="Arial Unicode MS"/>
          <w:szCs w:val="24"/>
        </w:rPr>
        <w:t xml:space="preserve"> </w:t>
      </w:r>
      <w:r w:rsidRPr="00E67C1C">
        <w:rPr>
          <w:rFonts w:eastAsia="Arial Unicode MS"/>
          <w:szCs w:val="24"/>
        </w:rPr>
        <w:t xml:space="preserve">of this Paperwork Reduction Act </w:t>
      </w:r>
      <w:r w:rsidR="00E17002">
        <w:rPr>
          <w:rFonts w:eastAsia="Arial Unicode MS"/>
          <w:szCs w:val="24"/>
        </w:rPr>
        <w:t xml:space="preserve">submission </w:t>
      </w:r>
      <w:r w:rsidRPr="00E67C1C">
        <w:rPr>
          <w:rFonts w:eastAsia="Arial Unicode MS"/>
          <w:szCs w:val="24"/>
        </w:rPr>
        <w:t xml:space="preserve">is essential to the </w:t>
      </w:r>
      <w:r w:rsidR="00D36ECE">
        <w:rPr>
          <w:rFonts w:eastAsia="Arial Unicode MS"/>
          <w:szCs w:val="24"/>
        </w:rPr>
        <w:t xml:space="preserve">sustained </w:t>
      </w:r>
      <w:r w:rsidRPr="00E67C1C">
        <w:rPr>
          <w:rFonts w:eastAsia="Arial Unicode MS"/>
          <w:szCs w:val="24"/>
        </w:rPr>
        <w:t>implementation of the Federal Funding Accountability and Transparency Act</w:t>
      </w:r>
      <w:r w:rsidR="00B102B1">
        <w:rPr>
          <w:rFonts w:eastAsia="Arial Unicode MS"/>
          <w:szCs w:val="24"/>
        </w:rPr>
        <w:t xml:space="preserve"> (P.L.109-282, as amended by section 6202(a) of P.L.110-252) hereafter known as FFATA or the Transparency Act. </w:t>
      </w:r>
      <w:r w:rsidR="00F8178B">
        <w:rPr>
          <w:rFonts w:eastAsia="Arial Unicode MS"/>
          <w:szCs w:val="24"/>
        </w:rPr>
        <w:t xml:space="preserve"> </w:t>
      </w:r>
      <w:r>
        <w:rPr>
          <w:rFonts w:eastAsia="Arial Unicode MS"/>
          <w:szCs w:val="24"/>
        </w:rPr>
        <w:t xml:space="preserve">This information collection requirement </w:t>
      </w:r>
      <w:r w:rsidR="006C3602">
        <w:rPr>
          <w:rFonts w:eastAsia="Arial Unicode MS"/>
          <w:szCs w:val="24"/>
        </w:rPr>
        <w:t>was captured in the revision to 2CFR Subtitle A, Chapter I, and Part 25 (</w:t>
      </w:r>
      <w:r w:rsidR="005913CD">
        <w:rPr>
          <w:rFonts w:eastAsia="Arial Unicode MS"/>
          <w:szCs w:val="24"/>
        </w:rPr>
        <w:t xml:space="preserve">75 </w:t>
      </w:r>
      <w:r w:rsidR="006C3602">
        <w:rPr>
          <w:rFonts w:eastAsia="Arial Unicode MS"/>
          <w:szCs w:val="24"/>
        </w:rPr>
        <w:t>FR</w:t>
      </w:r>
      <w:r w:rsidR="005913CD">
        <w:rPr>
          <w:rFonts w:eastAsia="Arial Unicode MS"/>
          <w:szCs w:val="24"/>
        </w:rPr>
        <w:t xml:space="preserve"> </w:t>
      </w:r>
      <w:r w:rsidR="006C3602">
        <w:rPr>
          <w:rFonts w:eastAsia="Arial Unicode MS"/>
          <w:szCs w:val="24"/>
        </w:rPr>
        <w:t>5672)</w:t>
      </w:r>
      <w:r w:rsidRPr="001D6D97">
        <w:rPr>
          <w:szCs w:val="24"/>
        </w:rPr>
        <w:t>, as guidance to agencies on the requirement</w:t>
      </w:r>
      <w:r w:rsidR="00FA3AA2">
        <w:rPr>
          <w:szCs w:val="24"/>
        </w:rPr>
        <w:t xml:space="preserve"> for prime grant </w:t>
      </w:r>
      <w:r w:rsidR="00F8178B">
        <w:rPr>
          <w:szCs w:val="24"/>
        </w:rPr>
        <w:t xml:space="preserve">applicant and </w:t>
      </w:r>
      <w:r w:rsidR="00FA3AA2">
        <w:rPr>
          <w:szCs w:val="24"/>
        </w:rPr>
        <w:t>recipients’ SAM</w:t>
      </w:r>
      <w:r w:rsidRPr="001D6D97">
        <w:rPr>
          <w:szCs w:val="24"/>
        </w:rPr>
        <w:t xml:space="preserve"> registration.  </w:t>
      </w:r>
      <w:r w:rsidR="00F8178B">
        <w:rPr>
          <w:rFonts w:eastAsia="Arial Unicode MS"/>
          <w:szCs w:val="24"/>
        </w:rPr>
        <w:t>Expedited a</w:t>
      </w:r>
      <w:r w:rsidRPr="001D6D97">
        <w:rPr>
          <w:rFonts w:eastAsia="Arial Unicode MS"/>
          <w:szCs w:val="24"/>
        </w:rPr>
        <w:t xml:space="preserve">pproval will allow </w:t>
      </w:r>
      <w:r w:rsidR="00F8178B">
        <w:rPr>
          <w:rFonts w:eastAsia="Arial Unicode MS"/>
          <w:szCs w:val="24"/>
        </w:rPr>
        <w:t xml:space="preserve">SAM to continue collecting this information and providing it in support of authorized Federal agency missions. </w:t>
      </w:r>
    </w:p>
    <w:p w:rsidR="00741B6E" w:rsidRDefault="00741B6E" w:rsidP="001511F7">
      <w:pPr>
        <w:tabs>
          <w:tab w:val="left" w:pos="-720"/>
          <w:tab w:val="left" w:pos="0"/>
        </w:tabs>
        <w:suppressAutoHyphens/>
        <w:jc w:val="both"/>
        <w:rPr>
          <w:rFonts w:eastAsia="Arial Unicode MS"/>
          <w:szCs w:val="24"/>
        </w:rPr>
      </w:pPr>
    </w:p>
    <w:p w:rsidR="0049044C" w:rsidRPr="00363393" w:rsidRDefault="0003381F" w:rsidP="00DA0DD8">
      <w:pPr>
        <w:pStyle w:val="pbody"/>
        <w:ind w:firstLine="0"/>
        <w:rPr>
          <w:rFonts w:ascii="Times New Roman" w:hAnsi="Times New Roman" w:cs="Times New Roman"/>
          <w:b/>
          <w:sz w:val="24"/>
          <w:szCs w:val="24"/>
        </w:rPr>
      </w:pPr>
      <w:r w:rsidRPr="0003381F">
        <w:rPr>
          <w:rFonts w:ascii="Times New Roman" w:hAnsi="Times New Roman" w:cs="Times New Roman"/>
          <w:b/>
          <w:sz w:val="24"/>
          <w:szCs w:val="24"/>
        </w:rPr>
        <w:t>2.</w:t>
      </w:r>
      <w:r w:rsidRPr="00DA0DD8">
        <w:rPr>
          <w:rFonts w:ascii="Times New Roman" w:hAnsi="Times New Roman" w:cs="Times New Roman"/>
          <w:sz w:val="24"/>
          <w:szCs w:val="24"/>
        </w:rPr>
        <w:t xml:space="preserve">  </w:t>
      </w:r>
      <w:r w:rsidRPr="00DA0DD8">
        <w:rPr>
          <w:rFonts w:ascii="Times New Roman" w:hAnsi="Times New Roman" w:cs="Times New Roman"/>
          <w:b/>
          <w:sz w:val="24"/>
          <w:szCs w:val="24"/>
        </w:rPr>
        <w:t>Uses of information</w:t>
      </w:r>
      <w:r w:rsidRPr="00DA0DD8">
        <w:rPr>
          <w:rFonts w:ascii="Times New Roman" w:hAnsi="Times New Roman" w:cs="Times New Roman"/>
          <w:sz w:val="24"/>
          <w:szCs w:val="24"/>
        </w:rPr>
        <w:t xml:space="preserve">.  </w:t>
      </w:r>
    </w:p>
    <w:p w:rsidR="0049044C" w:rsidRPr="00DA0DD8" w:rsidRDefault="0049044C" w:rsidP="00E67C1C">
      <w:pPr>
        <w:pStyle w:val="BodyText"/>
        <w:jc w:val="both"/>
        <w:rPr>
          <w:rFonts w:ascii="Times New Roman" w:hAnsi="Times New Roman"/>
          <w:strike/>
          <w:szCs w:val="24"/>
        </w:rPr>
      </w:pPr>
      <w:bookmarkStart w:id="0" w:name="wp1073572"/>
      <w:bookmarkEnd w:id="0"/>
    </w:p>
    <w:p w:rsidR="0049044C" w:rsidRPr="007719C2" w:rsidRDefault="0049044C" w:rsidP="00B102B1">
      <w:pPr>
        <w:tabs>
          <w:tab w:val="left" w:pos="-720"/>
          <w:tab w:val="left" w:pos="0"/>
        </w:tabs>
        <w:suppressAutoHyphens/>
        <w:jc w:val="both"/>
        <w:rPr>
          <w:szCs w:val="24"/>
        </w:rPr>
      </w:pPr>
      <w:r w:rsidRPr="00E67C1C">
        <w:rPr>
          <w:szCs w:val="24"/>
        </w:rPr>
        <w:t xml:space="preserve">This revision reflects the </w:t>
      </w:r>
      <w:r w:rsidR="00D36ECE">
        <w:rPr>
          <w:szCs w:val="24"/>
        </w:rPr>
        <w:t xml:space="preserve">administrative </w:t>
      </w:r>
      <w:r w:rsidR="00F8178B">
        <w:rPr>
          <w:szCs w:val="24"/>
        </w:rPr>
        <w:t>changes to the title, captures the system n</w:t>
      </w:r>
      <w:r w:rsidR="00B102B1">
        <w:rPr>
          <w:szCs w:val="24"/>
        </w:rPr>
        <w:t>ame change from CCR to SAM</w:t>
      </w:r>
      <w:r w:rsidR="00F8178B">
        <w:rPr>
          <w:szCs w:val="24"/>
        </w:rPr>
        <w:t>,</w:t>
      </w:r>
      <w:r w:rsidR="00B102B1">
        <w:rPr>
          <w:szCs w:val="24"/>
        </w:rPr>
        <w:t xml:space="preserve"> and incorporates updates in the registration process. </w:t>
      </w:r>
      <w:r w:rsidR="000A1427">
        <w:rPr>
          <w:szCs w:val="24"/>
        </w:rPr>
        <w:t xml:space="preserve"> </w:t>
      </w:r>
      <w:r w:rsidR="00B102B1">
        <w:rPr>
          <w:szCs w:val="24"/>
        </w:rPr>
        <w:t xml:space="preserve">It sustains the </w:t>
      </w:r>
      <w:r w:rsidRPr="00E67C1C">
        <w:rPr>
          <w:szCs w:val="24"/>
        </w:rPr>
        <w:t>requirement for all prime grant</w:t>
      </w:r>
      <w:r w:rsidR="00FA3AA2">
        <w:rPr>
          <w:szCs w:val="24"/>
        </w:rPr>
        <w:t xml:space="preserve"> awardees to register in the SAM</w:t>
      </w:r>
      <w:r w:rsidRPr="00E67C1C">
        <w:rPr>
          <w:szCs w:val="24"/>
        </w:rPr>
        <w:t xml:space="preserve"> database </w:t>
      </w:r>
      <w:r>
        <w:rPr>
          <w:szCs w:val="24"/>
        </w:rPr>
        <w:t>as a term of the award</w:t>
      </w:r>
      <w:r w:rsidR="00B102B1">
        <w:rPr>
          <w:szCs w:val="24"/>
        </w:rPr>
        <w:t xml:space="preserve"> pursuant to </w:t>
      </w:r>
      <w:r w:rsidR="00B102B1">
        <w:rPr>
          <w:rFonts w:eastAsia="Arial Unicode MS"/>
          <w:szCs w:val="24"/>
        </w:rPr>
        <w:t>2</w:t>
      </w:r>
      <w:r w:rsidR="00504BB0">
        <w:rPr>
          <w:rFonts w:eastAsia="Arial Unicode MS"/>
          <w:szCs w:val="24"/>
        </w:rPr>
        <w:t xml:space="preserve"> </w:t>
      </w:r>
      <w:r w:rsidR="00B102B1">
        <w:rPr>
          <w:rFonts w:eastAsia="Arial Unicode MS"/>
          <w:szCs w:val="24"/>
        </w:rPr>
        <w:t>CFR Subtitle A, Chapter I, and Part 25 (</w:t>
      </w:r>
      <w:r w:rsidR="005913CD">
        <w:rPr>
          <w:rFonts w:eastAsia="Arial Unicode MS"/>
          <w:szCs w:val="24"/>
        </w:rPr>
        <w:t xml:space="preserve">75 </w:t>
      </w:r>
      <w:r w:rsidR="00B102B1">
        <w:rPr>
          <w:rFonts w:eastAsia="Arial Unicode MS"/>
          <w:szCs w:val="24"/>
        </w:rPr>
        <w:t>FR</w:t>
      </w:r>
      <w:r w:rsidR="005913CD">
        <w:rPr>
          <w:rFonts w:eastAsia="Arial Unicode MS"/>
          <w:szCs w:val="24"/>
        </w:rPr>
        <w:t xml:space="preserve"> </w:t>
      </w:r>
      <w:r w:rsidR="00B102B1">
        <w:rPr>
          <w:rFonts w:eastAsia="Arial Unicode MS"/>
          <w:szCs w:val="24"/>
        </w:rPr>
        <w:t>5672)</w:t>
      </w:r>
      <w:r>
        <w:rPr>
          <w:szCs w:val="24"/>
        </w:rPr>
        <w:t xml:space="preserve">, where such awardees are </w:t>
      </w:r>
      <w:r>
        <w:rPr>
          <w:szCs w:val="24"/>
        </w:rPr>
        <w:lastRenderedPageBreak/>
        <w:t>subject to the reporting requirements under the Transparency Act</w:t>
      </w:r>
      <w:r w:rsidRPr="00E67C1C">
        <w:rPr>
          <w:szCs w:val="24"/>
        </w:rPr>
        <w:t xml:space="preserve">.  </w:t>
      </w:r>
      <w:r w:rsidR="00FA3AA2">
        <w:rPr>
          <w:szCs w:val="24"/>
        </w:rPr>
        <w:t>The information required for SAM</w:t>
      </w:r>
      <w:r>
        <w:rPr>
          <w:szCs w:val="24"/>
        </w:rPr>
        <w:t xml:space="preserve"> registration </w:t>
      </w:r>
      <w:r w:rsidR="00B102B1">
        <w:rPr>
          <w:szCs w:val="24"/>
        </w:rPr>
        <w:t xml:space="preserve">for Federal financial assistance purposes </w:t>
      </w:r>
      <w:r>
        <w:rPr>
          <w:szCs w:val="24"/>
        </w:rPr>
        <w:t>include</w:t>
      </w:r>
      <w:r w:rsidR="000F6807">
        <w:rPr>
          <w:szCs w:val="24"/>
        </w:rPr>
        <w:t>s</w:t>
      </w:r>
      <w:r>
        <w:rPr>
          <w:szCs w:val="24"/>
        </w:rPr>
        <w:t xml:space="preserve"> </w:t>
      </w:r>
      <w:r w:rsidR="00B102B1">
        <w:rPr>
          <w:szCs w:val="24"/>
        </w:rPr>
        <w:t xml:space="preserve">completing </w:t>
      </w:r>
      <w:r>
        <w:rPr>
          <w:szCs w:val="24"/>
        </w:rPr>
        <w:t xml:space="preserve">the </w:t>
      </w:r>
      <w:r w:rsidR="00B102B1">
        <w:rPr>
          <w:szCs w:val="24"/>
        </w:rPr>
        <w:t xml:space="preserve">Core Data and Points of Contact sections to provide, among other things, the registering </w:t>
      </w:r>
      <w:r>
        <w:rPr>
          <w:szCs w:val="24"/>
        </w:rPr>
        <w:t xml:space="preserve">entity’s </w:t>
      </w:r>
      <w:r w:rsidR="00B102B1">
        <w:rPr>
          <w:szCs w:val="24"/>
        </w:rPr>
        <w:t xml:space="preserve">legal business </w:t>
      </w:r>
      <w:r>
        <w:rPr>
          <w:szCs w:val="24"/>
        </w:rPr>
        <w:t>name, address, DUNS number, and type of organization</w:t>
      </w:r>
      <w:r w:rsidR="00B102B1">
        <w:rPr>
          <w:szCs w:val="24"/>
        </w:rPr>
        <w:t>, as well as critical point of contact information (specific guidance for registrants is found at www.sam.gov)</w:t>
      </w:r>
      <w:r>
        <w:rPr>
          <w:szCs w:val="24"/>
        </w:rPr>
        <w:t xml:space="preserve"> </w:t>
      </w:r>
      <w:r w:rsidRPr="00E67C1C">
        <w:rPr>
          <w:szCs w:val="24"/>
        </w:rPr>
        <w:t xml:space="preserve">This </w:t>
      </w:r>
      <w:r>
        <w:rPr>
          <w:szCs w:val="24"/>
        </w:rPr>
        <w:t xml:space="preserve">information collection </w:t>
      </w:r>
      <w:r w:rsidRPr="00E67C1C">
        <w:rPr>
          <w:szCs w:val="24"/>
        </w:rPr>
        <w:t xml:space="preserve">will facilitate </w:t>
      </w:r>
      <w:r w:rsidR="00B102B1">
        <w:rPr>
          <w:szCs w:val="24"/>
        </w:rPr>
        <w:t xml:space="preserve">transparency of Federal financial assistance award spending by enabling </w:t>
      </w:r>
      <w:r w:rsidRPr="00E67C1C">
        <w:rPr>
          <w:szCs w:val="24"/>
        </w:rPr>
        <w:t>reporting of sub</w:t>
      </w:r>
      <w:r w:rsidR="00A02D12">
        <w:rPr>
          <w:szCs w:val="24"/>
        </w:rPr>
        <w:t>-</w:t>
      </w:r>
      <w:r w:rsidRPr="00E67C1C">
        <w:rPr>
          <w:szCs w:val="24"/>
        </w:rPr>
        <w:t xml:space="preserve">award and executive compensation pursuant to the Transparency Act. </w:t>
      </w:r>
      <w:r>
        <w:rPr>
          <w:szCs w:val="24"/>
        </w:rPr>
        <w:t xml:space="preserve"> </w:t>
      </w:r>
      <w:r w:rsidR="00B102B1">
        <w:rPr>
          <w:szCs w:val="24"/>
        </w:rPr>
        <w:t xml:space="preserve"> </w:t>
      </w:r>
      <w:r w:rsidRPr="007719C2">
        <w:rPr>
          <w:szCs w:val="24"/>
        </w:rPr>
        <w:t xml:space="preserve">  </w:t>
      </w:r>
    </w:p>
    <w:p w:rsidR="0049044C" w:rsidRPr="00E67C1C" w:rsidRDefault="0049044C" w:rsidP="00E67C1C">
      <w:pPr>
        <w:pStyle w:val="BodyText"/>
        <w:jc w:val="both"/>
        <w:rPr>
          <w:rFonts w:ascii="Times New Roman" w:hAnsi="Times New Roman"/>
          <w:szCs w:val="24"/>
        </w:rPr>
      </w:pPr>
    </w:p>
    <w:p w:rsidR="009B1145" w:rsidRDefault="0049044C" w:rsidP="00E67C1C">
      <w:pPr>
        <w:jc w:val="both"/>
      </w:pPr>
      <w:r w:rsidRPr="0003381F">
        <w:rPr>
          <w:b/>
          <w:szCs w:val="24"/>
        </w:rPr>
        <w:t>3.</w:t>
      </w:r>
      <w:r w:rsidRPr="00E67C1C">
        <w:rPr>
          <w:szCs w:val="24"/>
        </w:rPr>
        <w:t xml:space="preserve">  </w:t>
      </w:r>
      <w:r w:rsidR="0003381F" w:rsidRPr="00E67C1C">
        <w:rPr>
          <w:b/>
          <w:szCs w:val="24"/>
        </w:rPr>
        <w:t>Consideration of information technology</w:t>
      </w:r>
      <w:r w:rsidR="0003381F" w:rsidRPr="00E67C1C">
        <w:rPr>
          <w:szCs w:val="24"/>
        </w:rPr>
        <w:t>.</w:t>
      </w:r>
    </w:p>
    <w:p w:rsidR="009B1145" w:rsidRDefault="009B1145" w:rsidP="00E67C1C">
      <w:pPr>
        <w:jc w:val="both"/>
        <w:rPr>
          <w:szCs w:val="24"/>
        </w:rPr>
      </w:pPr>
    </w:p>
    <w:p w:rsidR="0049044C" w:rsidRPr="00E67C1C" w:rsidRDefault="0049044C" w:rsidP="00E67C1C">
      <w:pPr>
        <w:jc w:val="both"/>
        <w:rPr>
          <w:szCs w:val="24"/>
        </w:rPr>
      </w:pPr>
      <w:r w:rsidRPr="00E67C1C">
        <w:rPr>
          <w:szCs w:val="24"/>
        </w:rPr>
        <w:t xml:space="preserve">We use improved information technology to the maximum extent practicable.  </w:t>
      </w:r>
      <w:r w:rsidR="004B47B0">
        <w:rPr>
          <w:szCs w:val="24"/>
        </w:rPr>
        <w:t xml:space="preserve">SAM is an Internet-based platform easily accessed from any computer enabling the registrant to submit the information electronically. </w:t>
      </w:r>
    </w:p>
    <w:p w:rsidR="0049044C" w:rsidRPr="00E67C1C" w:rsidRDefault="0049044C" w:rsidP="00E67C1C">
      <w:pPr>
        <w:jc w:val="both"/>
        <w:rPr>
          <w:szCs w:val="24"/>
        </w:rPr>
      </w:pPr>
    </w:p>
    <w:p w:rsidR="009B1145" w:rsidRDefault="0049044C" w:rsidP="00E67C1C">
      <w:pPr>
        <w:jc w:val="both"/>
        <w:rPr>
          <w:szCs w:val="24"/>
        </w:rPr>
      </w:pPr>
      <w:r w:rsidRPr="0003381F">
        <w:rPr>
          <w:b/>
          <w:szCs w:val="24"/>
        </w:rPr>
        <w:t>4.</w:t>
      </w:r>
      <w:r w:rsidRPr="00E67C1C">
        <w:rPr>
          <w:szCs w:val="24"/>
        </w:rPr>
        <w:t xml:space="preserve">  </w:t>
      </w:r>
      <w:r w:rsidR="0003381F" w:rsidRPr="00E67C1C">
        <w:rPr>
          <w:b/>
          <w:szCs w:val="24"/>
        </w:rPr>
        <w:t>Efforts to identify duplication</w:t>
      </w:r>
      <w:r w:rsidR="0003381F" w:rsidRPr="00E67C1C">
        <w:rPr>
          <w:szCs w:val="24"/>
        </w:rPr>
        <w:t>.</w:t>
      </w:r>
    </w:p>
    <w:p w:rsidR="009B1145" w:rsidRDefault="009B1145" w:rsidP="00E67C1C">
      <w:pPr>
        <w:jc w:val="both"/>
        <w:rPr>
          <w:szCs w:val="24"/>
        </w:rPr>
      </w:pPr>
    </w:p>
    <w:p w:rsidR="0049044C" w:rsidRPr="00E67C1C" w:rsidRDefault="004B47B0" w:rsidP="00E67C1C">
      <w:pPr>
        <w:jc w:val="both"/>
        <w:rPr>
          <w:szCs w:val="24"/>
        </w:rPr>
      </w:pPr>
      <w:r>
        <w:rPr>
          <w:szCs w:val="24"/>
        </w:rPr>
        <w:t>SAM</w:t>
      </w:r>
      <w:r w:rsidR="0049044C" w:rsidRPr="00E67C1C">
        <w:rPr>
          <w:szCs w:val="24"/>
        </w:rPr>
        <w:t xml:space="preserve"> was developed to centralize </w:t>
      </w:r>
      <w:proofErr w:type="spellStart"/>
      <w:r w:rsidR="0049044C">
        <w:rPr>
          <w:szCs w:val="24"/>
        </w:rPr>
        <w:t>awardee</w:t>
      </w:r>
      <w:proofErr w:type="spellEnd"/>
      <w:r w:rsidR="0049044C">
        <w:rPr>
          <w:szCs w:val="24"/>
        </w:rPr>
        <w:t xml:space="preserve"> </w:t>
      </w:r>
      <w:r w:rsidR="0049044C" w:rsidRPr="00E67C1C">
        <w:rPr>
          <w:szCs w:val="24"/>
        </w:rPr>
        <w:t>information</w:t>
      </w:r>
      <w:r w:rsidR="0049044C">
        <w:rPr>
          <w:szCs w:val="24"/>
        </w:rPr>
        <w:t>.  This collection leverage</w:t>
      </w:r>
      <w:r w:rsidR="00F8178B">
        <w:rPr>
          <w:szCs w:val="24"/>
        </w:rPr>
        <w:t>s</w:t>
      </w:r>
      <w:r w:rsidR="0049044C">
        <w:rPr>
          <w:szCs w:val="24"/>
        </w:rPr>
        <w:t xml:space="preserve"> the centr</w:t>
      </w:r>
      <w:r w:rsidR="00FA3AA2">
        <w:rPr>
          <w:szCs w:val="24"/>
        </w:rPr>
        <w:t>al clearinghouse capacity of SAM</w:t>
      </w:r>
      <w:r w:rsidR="0049044C">
        <w:rPr>
          <w:szCs w:val="24"/>
        </w:rPr>
        <w:t xml:space="preserve"> to ensure that prime grant awardees have minimal burden in providing the Federal Government with </w:t>
      </w:r>
      <w:r w:rsidR="00F8178B">
        <w:rPr>
          <w:szCs w:val="24"/>
        </w:rPr>
        <w:t>their</w:t>
      </w:r>
      <w:r w:rsidR="0049044C">
        <w:rPr>
          <w:szCs w:val="24"/>
        </w:rPr>
        <w:t xml:space="preserve"> identifying information.  This </w:t>
      </w:r>
      <w:r w:rsidR="0049044C" w:rsidRPr="00E67C1C">
        <w:rPr>
          <w:szCs w:val="24"/>
        </w:rPr>
        <w:t>will ensure that the information provided to the Federal Government</w:t>
      </w:r>
      <w:r w:rsidR="0049044C" w:rsidRPr="00DA0DD8">
        <w:rPr>
          <w:b/>
          <w:szCs w:val="24"/>
        </w:rPr>
        <w:t xml:space="preserve"> once </w:t>
      </w:r>
      <w:r w:rsidR="0049044C" w:rsidRPr="00E67C1C">
        <w:rPr>
          <w:szCs w:val="24"/>
        </w:rPr>
        <w:t>will be used multiple times to facilitate multiple reporting requirements for prime grant awardees pursuant to the Transparency Act.</w:t>
      </w:r>
    </w:p>
    <w:p w:rsidR="0049044C" w:rsidRPr="00E67C1C" w:rsidRDefault="0049044C" w:rsidP="00E67C1C">
      <w:pPr>
        <w:jc w:val="both"/>
        <w:rPr>
          <w:szCs w:val="24"/>
        </w:rPr>
      </w:pPr>
    </w:p>
    <w:p w:rsidR="009B1145" w:rsidRDefault="0049044C" w:rsidP="00E67C1C">
      <w:pPr>
        <w:jc w:val="both"/>
        <w:rPr>
          <w:b/>
          <w:szCs w:val="24"/>
        </w:rPr>
      </w:pPr>
      <w:r w:rsidRPr="00E342EB">
        <w:rPr>
          <w:b/>
          <w:szCs w:val="24"/>
        </w:rPr>
        <w:t>5.</w:t>
      </w:r>
      <w:r w:rsidRPr="00E67C1C">
        <w:rPr>
          <w:szCs w:val="24"/>
        </w:rPr>
        <w:t xml:space="preserve">  </w:t>
      </w:r>
      <w:r w:rsidR="00E342EB" w:rsidRPr="00E67C1C">
        <w:rPr>
          <w:b/>
          <w:szCs w:val="24"/>
        </w:rPr>
        <w:t>If the collection of information impacts small businesses or other entities, describe methods used to minimize burden.</w:t>
      </w:r>
    </w:p>
    <w:p w:rsidR="009B1145" w:rsidRDefault="009B1145" w:rsidP="00E67C1C">
      <w:pPr>
        <w:jc w:val="both"/>
        <w:rPr>
          <w:b/>
          <w:szCs w:val="24"/>
        </w:rPr>
      </w:pPr>
    </w:p>
    <w:p w:rsidR="0049044C" w:rsidRPr="00E67C1C" w:rsidRDefault="0049044C" w:rsidP="00E67C1C">
      <w:pPr>
        <w:jc w:val="both"/>
        <w:rPr>
          <w:szCs w:val="24"/>
        </w:rPr>
      </w:pPr>
      <w:r w:rsidRPr="00E67C1C">
        <w:rPr>
          <w:szCs w:val="24"/>
        </w:rPr>
        <w:t xml:space="preserve">The burden applied to small businesses </w:t>
      </w:r>
      <w:r w:rsidR="006C3602">
        <w:rPr>
          <w:szCs w:val="24"/>
        </w:rPr>
        <w:t xml:space="preserve">pursuing Federal financial assistance awards only </w:t>
      </w:r>
      <w:r w:rsidRPr="00E67C1C">
        <w:rPr>
          <w:szCs w:val="24"/>
        </w:rPr>
        <w:t>is the minimum consistent with applicable laws, Executive orders, regulations and prudent business practices.</w:t>
      </w:r>
      <w:r w:rsidR="00FA3AA2">
        <w:rPr>
          <w:szCs w:val="24"/>
        </w:rPr>
        <w:t xml:space="preserve">  Required registration into SAM</w:t>
      </w:r>
      <w:r w:rsidRPr="00E67C1C">
        <w:rPr>
          <w:szCs w:val="24"/>
        </w:rPr>
        <w:t xml:space="preserve"> will ensure that small businesses will not be required to provide the same entity identifying information to the Federal Government multiple times unnecessarily.  </w:t>
      </w:r>
      <w:r w:rsidR="006C3602">
        <w:rPr>
          <w:szCs w:val="24"/>
        </w:rPr>
        <w:t>If they are already registered in SAM with the intent to pursue Federal contract awards, there is no new burden.</w:t>
      </w:r>
    </w:p>
    <w:p w:rsidR="0049044C" w:rsidRPr="00E67C1C" w:rsidRDefault="0049044C" w:rsidP="00E67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9B1145" w:rsidRDefault="0049044C" w:rsidP="00E67C1C">
      <w:pPr>
        <w:jc w:val="both"/>
        <w:rPr>
          <w:b/>
          <w:szCs w:val="24"/>
        </w:rPr>
      </w:pPr>
      <w:r w:rsidRPr="00E342EB">
        <w:rPr>
          <w:b/>
          <w:szCs w:val="24"/>
        </w:rPr>
        <w:t>6.</w:t>
      </w:r>
      <w:r w:rsidRPr="00E67C1C">
        <w:rPr>
          <w:szCs w:val="24"/>
        </w:rPr>
        <w:t xml:space="preserve">  </w:t>
      </w:r>
      <w:r w:rsidR="00E342EB" w:rsidRPr="00E67C1C">
        <w:rPr>
          <w:b/>
          <w:szCs w:val="24"/>
        </w:rPr>
        <w:t xml:space="preserve">Describe consequence to Federal program or policy activities if the collection is not conducted or is conducted less frequently.  </w:t>
      </w:r>
    </w:p>
    <w:p w:rsidR="009B1145" w:rsidRDefault="009B1145" w:rsidP="00E67C1C">
      <w:pPr>
        <w:jc w:val="both"/>
        <w:rPr>
          <w:b/>
          <w:szCs w:val="24"/>
        </w:rPr>
      </w:pPr>
    </w:p>
    <w:p w:rsidR="0049044C" w:rsidRDefault="0049044C" w:rsidP="00E67C1C">
      <w:pPr>
        <w:jc w:val="both"/>
        <w:rPr>
          <w:szCs w:val="24"/>
        </w:rPr>
      </w:pPr>
      <w:r w:rsidRPr="00E67C1C">
        <w:rPr>
          <w:szCs w:val="24"/>
        </w:rPr>
        <w:t xml:space="preserve">If the collection of this </w:t>
      </w:r>
      <w:r w:rsidR="00F8178B">
        <w:rPr>
          <w:szCs w:val="24"/>
        </w:rPr>
        <w:t xml:space="preserve">registration </w:t>
      </w:r>
      <w:r w:rsidRPr="00E67C1C">
        <w:rPr>
          <w:szCs w:val="24"/>
        </w:rPr>
        <w:t xml:space="preserve">data from Federal prime grant awardees is </w:t>
      </w:r>
      <w:r w:rsidR="005367E3">
        <w:rPr>
          <w:szCs w:val="24"/>
        </w:rPr>
        <w:t>allowed to expire</w:t>
      </w:r>
      <w:r w:rsidRPr="00E67C1C">
        <w:rPr>
          <w:szCs w:val="24"/>
        </w:rPr>
        <w:t>,</w:t>
      </w:r>
      <w:r w:rsidR="005367E3">
        <w:rPr>
          <w:szCs w:val="24"/>
        </w:rPr>
        <w:t xml:space="preserve"> current registrants will not be able to update and renew their registration information and new applicants will not be able to create their registrations in SAM. </w:t>
      </w:r>
      <w:r w:rsidRPr="00E67C1C">
        <w:rPr>
          <w:szCs w:val="24"/>
        </w:rPr>
        <w:t xml:space="preserve"> </w:t>
      </w:r>
      <w:r w:rsidR="00F8178B">
        <w:rPr>
          <w:szCs w:val="24"/>
        </w:rPr>
        <w:t xml:space="preserve">Federal agencies will not be able to award new Federal financial assistance opportunities to unregistered entities. </w:t>
      </w:r>
      <w:r w:rsidR="005367E3">
        <w:rPr>
          <w:szCs w:val="24"/>
        </w:rPr>
        <w:t xml:space="preserve">This could prevent award of critical Federal financial assistance funding and impact dozens of </w:t>
      </w:r>
      <w:proofErr w:type="spellStart"/>
      <w:r w:rsidR="005367E3">
        <w:rPr>
          <w:szCs w:val="24"/>
        </w:rPr>
        <w:t>governmentwide</w:t>
      </w:r>
      <w:proofErr w:type="spellEnd"/>
      <w:r w:rsidR="005367E3">
        <w:rPr>
          <w:szCs w:val="24"/>
        </w:rPr>
        <w:t xml:space="preserve"> financial assistance programs. </w:t>
      </w:r>
    </w:p>
    <w:p w:rsidR="00741B6E" w:rsidRPr="00E67C1C" w:rsidRDefault="00741B6E" w:rsidP="00E67C1C">
      <w:pPr>
        <w:jc w:val="both"/>
        <w:rPr>
          <w:szCs w:val="24"/>
        </w:rPr>
      </w:pPr>
    </w:p>
    <w:p w:rsidR="009B1145" w:rsidRDefault="0049044C" w:rsidP="00E67C1C">
      <w:pPr>
        <w:jc w:val="both"/>
        <w:rPr>
          <w:szCs w:val="24"/>
        </w:rPr>
      </w:pPr>
      <w:r w:rsidRPr="00E342EB">
        <w:rPr>
          <w:b/>
          <w:szCs w:val="24"/>
        </w:rPr>
        <w:t>7.</w:t>
      </w:r>
      <w:r w:rsidRPr="00E67C1C">
        <w:rPr>
          <w:szCs w:val="24"/>
        </w:rPr>
        <w:t xml:space="preserve"> </w:t>
      </w:r>
      <w:r w:rsidR="00E342EB">
        <w:rPr>
          <w:szCs w:val="24"/>
        </w:rPr>
        <w:t xml:space="preserve">  </w:t>
      </w:r>
      <w:r w:rsidR="00E342EB" w:rsidRPr="00E67C1C">
        <w:rPr>
          <w:b/>
          <w:szCs w:val="24"/>
        </w:rPr>
        <w:t>Special circumstances for collection</w:t>
      </w:r>
      <w:r w:rsidR="00E342EB" w:rsidRPr="00E67C1C">
        <w:rPr>
          <w:szCs w:val="24"/>
        </w:rPr>
        <w:t xml:space="preserve">.  </w:t>
      </w:r>
    </w:p>
    <w:p w:rsidR="009B1145" w:rsidRDefault="009B1145" w:rsidP="00E67C1C">
      <w:pPr>
        <w:jc w:val="both"/>
        <w:rPr>
          <w:szCs w:val="24"/>
        </w:rPr>
      </w:pPr>
    </w:p>
    <w:p w:rsidR="0049044C" w:rsidRPr="00E67C1C" w:rsidRDefault="0049044C" w:rsidP="00E67C1C">
      <w:pPr>
        <w:jc w:val="both"/>
        <w:rPr>
          <w:szCs w:val="24"/>
        </w:rPr>
      </w:pPr>
      <w:r w:rsidRPr="00E67C1C">
        <w:rPr>
          <w:szCs w:val="24"/>
        </w:rPr>
        <w:t>Collection is consistent with guidelines in 5 CFR 1320.6.</w:t>
      </w:r>
    </w:p>
    <w:p w:rsidR="0049044C" w:rsidRPr="00E67C1C" w:rsidRDefault="0049044C" w:rsidP="00E67C1C">
      <w:pPr>
        <w:jc w:val="both"/>
        <w:rPr>
          <w:szCs w:val="24"/>
        </w:rPr>
      </w:pPr>
    </w:p>
    <w:p w:rsidR="0049044C" w:rsidRPr="00E67C1C" w:rsidRDefault="0049044C" w:rsidP="00E67C1C">
      <w:pPr>
        <w:jc w:val="both"/>
        <w:rPr>
          <w:szCs w:val="24"/>
        </w:rPr>
      </w:pPr>
      <w:r w:rsidRPr="00E342EB">
        <w:rPr>
          <w:b/>
          <w:szCs w:val="24"/>
        </w:rPr>
        <w:t>8.</w:t>
      </w:r>
      <w:r w:rsidRPr="00E67C1C">
        <w:rPr>
          <w:szCs w:val="24"/>
        </w:rPr>
        <w:t xml:space="preserve">  </w:t>
      </w:r>
      <w:r w:rsidR="00E342EB">
        <w:rPr>
          <w:szCs w:val="24"/>
        </w:rPr>
        <w:t xml:space="preserve"> </w:t>
      </w:r>
      <w:r w:rsidR="00E342EB" w:rsidRPr="00E67C1C">
        <w:rPr>
          <w:b/>
          <w:szCs w:val="24"/>
        </w:rPr>
        <w:t>Efforts to consult with person outside the agency.</w:t>
      </w:r>
      <w:r w:rsidR="00E342EB" w:rsidRPr="00E67C1C">
        <w:rPr>
          <w:szCs w:val="24"/>
        </w:rPr>
        <w:t xml:space="preserve">  </w:t>
      </w:r>
    </w:p>
    <w:p w:rsidR="005913CD" w:rsidRDefault="005913CD" w:rsidP="00E67C1C">
      <w:pPr>
        <w:jc w:val="both"/>
        <w:rPr>
          <w:szCs w:val="24"/>
        </w:rPr>
      </w:pPr>
    </w:p>
    <w:p w:rsidR="00BA42AE" w:rsidRPr="00182CF8" w:rsidRDefault="00BA42AE" w:rsidP="00BA42AE">
      <w:pPr>
        <w:rPr>
          <w:rFonts w:eastAsia="Arial Unicode MS"/>
        </w:rPr>
      </w:pPr>
      <w:r w:rsidRPr="007A4BF1">
        <w:rPr>
          <w:rFonts w:eastAsia="Arial Unicode MS"/>
        </w:rPr>
        <w:t xml:space="preserve">Outreach and solicitation of comments will continue to ensure that the requirements are implemented in the least burdensome manner possible while adhering to the requirements under the Transparency Act.  </w:t>
      </w:r>
      <w:r w:rsidR="00880D2A">
        <w:rPr>
          <w:rFonts w:eastAsia="Arial Unicode MS"/>
        </w:rPr>
        <w:t xml:space="preserve">A 60 day notice was published in the </w:t>
      </w:r>
      <w:r w:rsidR="00880D2A">
        <w:rPr>
          <w:rFonts w:eastAsia="Arial Unicode MS"/>
          <w:i/>
        </w:rPr>
        <w:t xml:space="preserve">Federal Register </w:t>
      </w:r>
      <w:r w:rsidR="00880D2A">
        <w:rPr>
          <w:rFonts w:eastAsia="Arial Unicode MS"/>
        </w:rPr>
        <w:t xml:space="preserve">at 78 FR 16332, on December 30, 2013, no comments were received.  </w:t>
      </w:r>
      <w:r w:rsidRPr="007A4BF1">
        <w:rPr>
          <w:rFonts w:eastAsia="Arial Unicode MS"/>
        </w:rPr>
        <w:t xml:space="preserve">A </w:t>
      </w:r>
      <w:r w:rsidR="00182CF8">
        <w:rPr>
          <w:rFonts w:eastAsia="Arial Unicode MS"/>
        </w:rPr>
        <w:t xml:space="preserve">30 day </w:t>
      </w:r>
      <w:r w:rsidRPr="007A4BF1">
        <w:rPr>
          <w:rFonts w:eastAsia="Arial Unicode MS"/>
        </w:rPr>
        <w:t xml:space="preserve">notice was published in the </w:t>
      </w:r>
      <w:r w:rsidRPr="007A4BF1">
        <w:rPr>
          <w:rFonts w:eastAsia="Arial Unicode MS"/>
          <w:i/>
        </w:rPr>
        <w:t>Federal Register</w:t>
      </w:r>
      <w:r w:rsidR="00523683">
        <w:rPr>
          <w:rFonts w:eastAsia="Arial Unicode MS"/>
        </w:rPr>
        <w:t xml:space="preserve"> at 79 FR 1633</w:t>
      </w:r>
      <w:r w:rsidR="006D2197">
        <w:rPr>
          <w:rFonts w:eastAsia="Arial Unicode MS"/>
        </w:rPr>
        <w:t>2</w:t>
      </w:r>
      <w:r w:rsidRPr="007A4BF1">
        <w:rPr>
          <w:rFonts w:eastAsia="Arial Unicode MS"/>
        </w:rPr>
        <w:t xml:space="preserve"> on </w:t>
      </w:r>
      <w:r w:rsidR="00262111">
        <w:rPr>
          <w:rFonts w:eastAsia="Arial Unicode MS"/>
        </w:rPr>
        <w:t>March 25</w:t>
      </w:r>
      <w:r w:rsidRPr="007A4BF1">
        <w:rPr>
          <w:rFonts w:eastAsia="Arial Unicode MS"/>
        </w:rPr>
        <w:t>, 201</w:t>
      </w:r>
      <w:r w:rsidR="00262111">
        <w:rPr>
          <w:rFonts w:eastAsia="Arial Unicode MS"/>
        </w:rPr>
        <w:t>4</w:t>
      </w:r>
      <w:r w:rsidRPr="007A4BF1">
        <w:rPr>
          <w:rFonts w:eastAsia="Arial Unicode MS"/>
        </w:rPr>
        <w:t>, no comments were received.</w:t>
      </w:r>
      <w:r w:rsidR="00182CF8">
        <w:rPr>
          <w:rFonts w:eastAsia="Arial Unicode MS"/>
        </w:rPr>
        <w:t xml:space="preserve">  </w:t>
      </w:r>
    </w:p>
    <w:p w:rsidR="00BA42AE" w:rsidRDefault="00BA42AE" w:rsidP="00E67C1C">
      <w:pPr>
        <w:jc w:val="both"/>
        <w:rPr>
          <w:szCs w:val="24"/>
        </w:rPr>
      </w:pPr>
    </w:p>
    <w:p w:rsidR="009B1145" w:rsidRDefault="0049044C" w:rsidP="00E342EB">
      <w:pPr>
        <w:pStyle w:val="norm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59"/>
      </w:pPr>
      <w:r w:rsidRPr="00E342EB">
        <w:rPr>
          <w:b/>
          <w:szCs w:val="24"/>
        </w:rPr>
        <w:t>9.</w:t>
      </w:r>
      <w:r w:rsidRPr="00E67C1C">
        <w:rPr>
          <w:szCs w:val="24"/>
        </w:rPr>
        <w:t xml:space="preserve">  </w:t>
      </w:r>
      <w:r w:rsidR="00E342EB" w:rsidRPr="00E67C1C">
        <w:rPr>
          <w:b/>
          <w:szCs w:val="24"/>
        </w:rPr>
        <w:t xml:space="preserve">Explanation of any decision to provide any payment or </w:t>
      </w:r>
      <w:r w:rsidR="00E342EB">
        <w:rPr>
          <w:b/>
          <w:szCs w:val="24"/>
        </w:rPr>
        <w:t xml:space="preserve">gift to respondents, other than </w:t>
      </w:r>
      <w:r w:rsidR="00E342EB" w:rsidRPr="00E67C1C">
        <w:rPr>
          <w:b/>
          <w:szCs w:val="24"/>
        </w:rPr>
        <w:t xml:space="preserve">remuneration of </w:t>
      </w:r>
      <w:r w:rsidR="00E342EB">
        <w:rPr>
          <w:b/>
          <w:szCs w:val="24"/>
        </w:rPr>
        <w:t>awardees</w:t>
      </w:r>
      <w:r w:rsidR="00E342EB" w:rsidRPr="00E67C1C">
        <w:rPr>
          <w:szCs w:val="24"/>
        </w:rPr>
        <w:t xml:space="preserve">.  </w:t>
      </w:r>
    </w:p>
    <w:p w:rsidR="009B1145" w:rsidRDefault="009B1145" w:rsidP="00E67C1C">
      <w:pPr>
        <w:jc w:val="both"/>
        <w:rPr>
          <w:szCs w:val="24"/>
        </w:rPr>
      </w:pPr>
    </w:p>
    <w:p w:rsidR="0049044C" w:rsidRPr="00E67C1C" w:rsidRDefault="0049044C" w:rsidP="00E67C1C">
      <w:pPr>
        <w:jc w:val="both"/>
        <w:rPr>
          <w:szCs w:val="24"/>
        </w:rPr>
      </w:pPr>
      <w:r w:rsidRPr="00E67C1C">
        <w:rPr>
          <w:szCs w:val="24"/>
        </w:rPr>
        <w:t xml:space="preserve">  Not applicable.</w:t>
      </w:r>
    </w:p>
    <w:p w:rsidR="0049044C" w:rsidRPr="00E67C1C" w:rsidRDefault="0049044C" w:rsidP="00E67C1C">
      <w:pPr>
        <w:jc w:val="both"/>
        <w:rPr>
          <w:szCs w:val="24"/>
        </w:rPr>
      </w:pPr>
    </w:p>
    <w:p w:rsidR="0049044C" w:rsidRDefault="0049044C" w:rsidP="00E67C1C">
      <w:pPr>
        <w:pStyle w:val="BodyText"/>
        <w:jc w:val="both"/>
        <w:rPr>
          <w:rFonts w:ascii="Times New Roman" w:hAnsi="Times New Roman"/>
          <w:b/>
          <w:szCs w:val="24"/>
        </w:rPr>
      </w:pPr>
      <w:r w:rsidRPr="00E342EB">
        <w:rPr>
          <w:rFonts w:ascii="Times New Roman" w:hAnsi="Times New Roman"/>
          <w:b/>
          <w:szCs w:val="24"/>
        </w:rPr>
        <w:t>10.</w:t>
      </w:r>
      <w:r w:rsidRPr="00E67C1C">
        <w:rPr>
          <w:rFonts w:ascii="Times New Roman" w:hAnsi="Times New Roman"/>
          <w:szCs w:val="24"/>
        </w:rPr>
        <w:t xml:space="preserve">  </w:t>
      </w:r>
      <w:r w:rsidR="00E342EB" w:rsidRPr="00E67C1C">
        <w:rPr>
          <w:rFonts w:ascii="Times New Roman" w:hAnsi="Times New Roman"/>
          <w:b/>
          <w:szCs w:val="24"/>
        </w:rPr>
        <w:t xml:space="preserve">Describe assurance of confidentiality provided to respondents.  </w:t>
      </w:r>
    </w:p>
    <w:p w:rsidR="00E342EB" w:rsidRDefault="00E342EB" w:rsidP="00E67C1C">
      <w:pPr>
        <w:pStyle w:val="BodyText"/>
        <w:jc w:val="both"/>
        <w:rPr>
          <w:rFonts w:ascii="Times New Roman" w:hAnsi="Times New Roman"/>
          <w:szCs w:val="24"/>
        </w:rPr>
      </w:pPr>
    </w:p>
    <w:p w:rsidR="0049044C" w:rsidRPr="00E67C1C" w:rsidRDefault="0049044C" w:rsidP="00E67C1C">
      <w:pPr>
        <w:pStyle w:val="BodyText"/>
        <w:jc w:val="both"/>
        <w:rPr>
          <w:rFonts w:ascii="Times New Roman" w:hAnsi="Times New Roman"/>
          <w:szCs w:val="24"/>
        </w:rPr>
      </w:pPr>
      <w:r>
        <w:rPr>
          <w:rFonts w:ascii="Times New Roman" w:hAnsi="Times New Roman"/>
          <w:szCs w:val="24"/>
        </w:rPr>
        <w:t>The information is disclosed only to the extent consistent with prudent business practices and current regulations.</w:t>
      </w:r>
    </w:p>
    <w:p w:rsidR="0049044C" w:rsidRPr="00E67C1C" w:rsidRDefault="0049044C" w:rsidP="00E67C1C">
      <w:pPr>
        <w:jc w:val="both"/>
        <w:rPr>
          <w:szCs w:val="24"/>
        </w:rPr>
      </w:pPr>
    </w:p>
    <w:p w:rsidR="009B1145" w:rsidRDefault="0049044C" w:rsidP="00E67C1C">
      <w:pPr>
        <w:jc w:val="both"/>
        <w:rPr>
          <w:szCs w:val="24"/>
        </w:rPr>
      </w:pPr>
      <w:r w:rsidRPr="00E342EB">
        <w:rPr>
          <w:b/>
          <w:szCs w:val="24"/>
        </w:rPr>
        <w:t>11.</w:t>
      </w:r>
      <w:r w:rsidRPr="00E67C1C">
        <w:rPr>
          <w:szCs w:val="24"/>
        </w:rPr>
        <w:t xml:space="preserve">  </w:t>
      </w:r>
      <w:r w:rsidR="00E342EB">
        <w:rPr>
          <w:szCs w:val="24"/>
        </w:rPr>
        <w:t xml:space="preserve"> </w:t>
      </w:r>
      <w:r w:rsidR="00E342EB" w:rsidRPr="00E67C1C">
        <w:rPr>
          <w:b/>
          <w:szCs w:val="24"/>
        </w:rPr>
        <w:t>Additional justification for questions of a sensitive nature.</w:t>
      </w:r>
      <w:r w:rsidR="00E342EB" w:rsidRPr="00E67C1C">
        <w:rPr>
          <w:szCs w:val="24"/>
        </w:rPr>
        <w:t xml:space="preserve">  </w:t>
      </w:r>
    </w:p>
    <w:p w:rsidR="009B1145" w:rsidRDefault="009B1145" w:rsidP="00E67C1C">
      <w:pPr>
        <w:jc w:val="both"/>
        <w:rPr>
          <w:szCs w:val="24"/>
        </w:rPr>
      </w:pPr>
    </w:p>
    <w:p w:rsidR="0049044C" w:rsidRPr="00E67C1C" w:rsidRDefault="0049044C" w:rsidP="00E67C1C">
      <w:pPr>
        <w:jc w:val="both"/>
        <w:rPr>
          <w:szCs w:val="24"/>
        </w:rPr>
      </w:pPr>
      <w:r w:rsidRPr="00E67C1C">
        <w:rPr>
          <w:szCs w:val="24"/>
        </w:rPr>
        <w:t>No sensitive questions are involved.</w:t>
      </w:r>
    </w:p>
    <w:p w:rsidR="0049044C" w:rsidRPr="00E67C1C" w:rsidRDefault="0049044C" w:rsidP="00E67C1C">
      <w:pPr>
        <w:jc w:val="both"/>
        <w:rPr>
          <w:szCs w:val="24"/>
        </w:rPr>
      </w:pPr>
    </w:p>
    <w:p w:rsidR="00461576" w:rsidRDefault="0049044C" w:rsidP="00E67C1C">
      <w:pPr>
        <w:jc w:val="both"/>
        <w:rPr>
          <w:b/>
          <w:szCs w:val="24"/>
        </w:rPr>
      </w:pPr>
      <w:proofErr w:type="gramStart"/>
      <w:r w:rsidRPr="00E342EB">
        <w:rPr>
          <w:b/>
          <w:szCs w:val="24"/>
        </w:rPr>
        <w:t>12 &amp; 13.</w:t>
      </w:r>
      <w:proofErr w:type="gramEnd"/>
      <w:r w:rsidRPr="00E67C1C">
        <w:rPr>
          <w:szCs w:val="24"/>
        </w:rPr>
        <w:t xml:space="preserve">  </w:t>
      </w:r>
      <w:r w:rsidR="00E342EB">
        <w:rPr>
          <w:szCs w:val="24"/>
        </w:rPr>
        <w:t xml:space="preserve"> </w:t>
      </w:r>
      <w:r w:rsidR="00E342EB" w:rsidRPr="00E67C1C">
        <w:rPr>
          <w:b/>
          <w:szCs w:val="24"/>
        </w:rPr>
        <w:t>Estimated total annual public hours and cost burden.</w:t>
      </w:r>
    </w:p>
    <w:p w:rsidR="00E342EB" w:rsidRDefault="00E342EB" w:rsidP="00E67C1C">
      <w:pPr>
        <w:jc w:val="both"/>
        <w:rPr>
          <w:b/>
          <w:szCs w:val="24"/>
        </w:rPr>
      </w:pPr>
    </w:p>
    <w:p w:rsidR="0049044C" w:rsidRPr="0017724F" w:rsidRDefault="0049044C" w:rsidP="004E0127">
      <w:pPr>
        <w:rPr>
          <w:b/>
        </w:rPr>
      </w:pPr>
      <w:r w:rsidRPr="0017724F">
        <w:rPr>
          <w:b/>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31"/>
        <w:gridCol w:w="1556"/>
        <w:gridCol w:w="1883"/>
        <w:gridCol w:w="1267"/>
        <w:gridCol w:w="1716"/>
        <w:gridCol w:w="1723"/>
      </w:tblGrid>
      <w:tr w:rsidR="0049044C" w:rsidTr="004378C3">
        <w:tc>
          <w:tcPr>
            <w:tcW w:w="1499" w:type="dxa"/>
          </w:tcPr>
          <w:p w:rsidR="0049044C" w:rsidRDefault="0049044C" w:rsidP="00921957"/>
        </w:tc>
        <w:tc>
          <w:tcPr>
            <w:tcW w:w="1572" w:type="dxa"/>
          </w:tcPr>
          <w:p w:rsidR="0049044C" w:rsidRPr="004E0127" w:rsidRDefault="0049044C" w:rsidP="00921957">
            <w:pPr>
              <w:rPr>
                <w:b/>
              </w:rPr>
            </w:pPr>
            <w:r w:rsidRPr="004E0127">
              <w:rPr>
                <w:b/>
              </w:rPr>
              <w:t>Respondents</w:t>
            </w:r>
          </w:p>
        </w:tc>
        <w:tc>
          <w:tcPr>
            <w:tcW w:w="1883" w:type="dxa"/>
          </w:tcPr>
          <w:p w:rsidR="0049044C" w:rsidRPr="004E0127" w:rsidRDefault="0049044C" w:rsidP="00921957">
            <w:pPr>
              <w:rPr>
                <w:b/>
              </w:rPr>
            </w:pPr>
            <w:r w:rsidRPr="004E0127">
              <w:rPr>
                <w:b/>
              </w:rPr>
              <w:t>Hours/Response</w:t>
            </w:r>
          </w:p>
        </w:tc>
        <w:tc>
          <w:tcPr>
            <w:tcW w:w="1401" w:type="dxa"/>
          </w:tcPr>
          <w:p w:rsidR="0049044C" w:rsidRPr="004E0127" w:rsidRDefault="0049044C" w:rsidP="00921957">
            <w:pPr>
              <w:rPr>
                <w:b/>
              </w:rPr>
            </w:pPr>
            <w:r w:rsidRPr="004E0127">
              <w:rPr>
                <w:b/>
              </w:rPr>
              <w:t>Total</w:t>
            </w:r>
          </w:p>
          <w:p w:rsidR="0049044C" w:rsidRPr="004E0127" w:rsidRDefault="0049044C" w:rsidP="00921957">
            <w:pPr>
              <w:rPr>
                <w:b/>
              </w:rPr>
            </w:pPr>
            <w:r w:rsidRPr="004E0127">
              <w:rPr>
                <w:b/>
              </w:rPr>
              <w:t>Hours</w:t>
            </w:r>
          </w:p>
        </w:tc>
        <w:tc>
          <w:tcPr>
            <w:tcW w:w="1498" w:type="dxa"/>
          </w:tcPr>
          <w:p w:rsidR="0049044C" w:rsidRPr="004E0127" w:rsidRDefault="0049044C" w:rsidP="00921957">
            <w:pPr>
              <w:rPr>
                <w:b/>
              </w:rPr>
            </w:pPr>
            <w:r w:rsidRPr="004E0127">
              <w:rPr>
                <w:b/>
              </w:rPr>
              <w:t>Total Cost</w:t>
            </w:r>
          </w:p>
        </w:tc>
        <w:tc>
          <w:tcPr>
            <w:tcW w:w="1723" w:type="dxa"/>
          </w:tcPr>
          <w:p w:rsidR="0049044C" w:rsidRPr="004E0127" w:rsidRDefault="0049044C" w:rsidP="00921957">
            <w:pPr>
              <w:rPr>
                <w:b/>
              </w:rPr>
            </w:pPr>
            <w:r w:rsidRPr="004E0127">
              <w:rPr>
                <w:b/>
              </w:rPr>
              <w:t>Cost Calculation</w:t>
            </w:r>
          </w:p>
        </w:tc>
      </w:tr>
      <w:tr w:rsidR="0049044C" w:rsidTr="004378C3">
        <w:tc>
          <w:tcPr>
            <w:tcW w:w="1499" w:type="dxa"/>
          </w:tcPr>
          <w:p w:rsidR="0049044C" w:rsidRDefault="004378C3" w:rsidP="00921957">
            <w:r>
              <w:t>Registrants</w:t>
            </w:r>
          </w:p>
        </w:tc>
        <w:tc>
          <w:tcPr>
            <w:tcW w:w="1572" w:type="dxa"/>
          </w:tcPr>
          <w:p w:rsidR="0049044C" w:rsidRDefault="0049044C" w:rsidP="00921957">
            <w:r>
              <w:t>2</w:t>
            </w:r>
            <w:r w:rsidR="004378C3">
              <w:t>04,726</w:t>
            </w:r>
          </w:p>
        </w:tc>
        <w:tc>
          <w:tcPr>
            <w:tcW w:w="1883" w:type="dxa"/>
          </w:tcPr>
          <w:p w:rsidR="0049044C" w:rsidRDefault="004378C3" w:rsidP="00921957">
            <w:r>
              <w:t>2</w:t>
            </w:r>
            <w:r w:rsidR="0049044C">
              <w:t xml:space="preserve"> hr</w:t>
            </w:r>
            <w:r>
              <w:t>s/registration</w:t>
            </w:r>
          </w:p>
        </w:tc>
        <w:tc>
          <w:tcPr>
            <w:tcW w:w="1401" w:type="dxa"/>
          </w:tcPr>
          <w:p w:rsidR="0049044C" w:rsidRDefault="004378C3" w:rsidP="00921957">
            <w:r>
              <w:t>409,452</w:t>
            </w:r>
          </w:p>
        </w:tc>
        <w:tc>
          <w:tcPr>
            <w:tcW w:w="1498" w:type="dxa"/>
          </w:tcPr>
          <w:p w:rsidR="0049044C" w:rsidRDefault="0049044C" w:rsidP="00921957">
            <w:r>
              <w:t>$</w:t>
            </w:r>
            <w:r w:rsidR="00BE3C21">
              <w:t>14,691,137.76</w:t>
            </w:r>
          </w:p>
        </w:tc>
        <w:tc>
          <w:tcPr>
            <w:tcW w:w="1723" w:type="dxa"/>
          </w:tcPr>
          <w:p w:rsidR="0049044C" w:rsidRDefault="004378C3" w:rsidP="00921957">
            <w:r>
              <w:t>$71.76 cost/respondent x 204,726</w:t>
            </w:r>
            <w:r w:rsidR="0049044C">
              <w:t xml:space="preserve"> respondents</w:t>
            </w:r>
          </w:p>
        </w:tc>
      </w:tr>
      <w:tr w:rsidR="0049044C" w:rsidTr="004378C3">
        <w:tc>
          <w:tcPr>
            <w:tcW w:w="1499" w:type="dxa"/>
          </w:tcPr>
          <w:p w:rsidR="0049044C" w:rsidRPr="004E0127" w:rsidRDefault="0049044C" w:rsidP="00921957">
            <w:pPr>
              <w:rPr>
                <w:b/>
              </w:rPr>
            </w:pPr>
            <w:r w:rsidRPr="004E0127">
              <w:rPr>
                <w:b/>
              </w:rPr>
              <w:t>TOTAL BURDEN</w:t>
            </w:r>
          </w:p>
        </w:tc>
        <w:tc>
          <w:tcPr>
            <w:tcW w:w="1572" w:type="dxa"/>
          </w:tcPr>
          <w:p w:rsidR="0049044C" w:rsidRPr="004E0127" w:rsidRDefault="0049044C" w:rsidP="00921957">
            <w:pPr>
              <w:rPr>
                <w:b/>
              </w:rPr>
            </w:pPr>
            <w:r w:rsidRPr="004E0127">
              <w:rPr>
                <w:b/>
              </w:rPr>
              <w:t>2</w:t>
            </w:r>
            <w:r w:rsidR="004378C3">
              <w:rPr>
                <w:b/>
              </w:rPr>
              <w:t>04,726</w:t>
            </w:r>
          </w:p>
        </w:tc>
        <w:tc>
          <w:tcPr>
            <w:tcW w:w="1883" w:type="dxa"/>
          </w:tcPr>
          <w:p w:rsidR="0049044C" w:rsidRPr="004E0127" w:rsidRDefault="004378C3" w:rsidP="00921957">
            <w:pPr>
              <w:rPr>
                <w:b/>
              </w:rPr>
            </w:pPr>
            <w:r>
              <w:rPr>
                <w:b/>
              </w:rPr>
              <w:t>2</w:t>
            </w:r>
            <w:r w:rsidR="0049044C" w:rsidRPr="004E0127">
              <w:rPr>
                <w:b/>
              </w:rPr>
              <w:t xml:space="preserve"> hr</w:t>
            </w:r>
            <w:r>
              <w:rPr>
                <w:b/>
              </w:rPr>
              <w:t>s</w:t>
            </w:r>
            <w:r w:rsidR="0049044C" w:rsidRPr="004E0127">
              <w:rPr>
                <w:b/>
              </w:rPr>
              <w:t>/response</w:t>
            </w:r>
          </w:p>
        </w:tc>
        <w:tc>
          <w:tcPr>
            <w:tcW w:w="1401" w:type="dxa"/>
          </w:tcPr>
          <w:p w:rsidR="0049044C" w:rsidRPr="004E0127" w:rsidRDefault="004378C3" w:rsidP="00921957">
            <w:pPr>
              <w:rPr>
                <w:b/>
              </w:rPr>
            </w:pPr>
            <w:r>
              <w:rPr>
                <w:b/>
              </w:rPr>
              <w:t>409,452</w:t>
            </w:r>
          </w:p>
        </w:tc>
        <w:tc>
          <w:tcPr>
            <w:tcW w:w="1498" w:type="dxa"/>
          </w:tcPr>
          <w:p w:rsidR="0049044C" w:rsidRPr="004E0127" w:rsidRDefault="0049044C" w:rsidP="00921957">
            <w:pPr>
              <w:rPr>
                <w:b/>
              </w:rPr>
            </w:pPr>
            <w:r w:rsidRPr="004E0127">
              <w:rPr>
                <w:b/>
              </w:rPr>
              <w:t>$</w:t>
            </w:r>
            <w:r w:rsidR="00BE3C21">
              <w:rPr>
                <w:b/>
              </w:rPr>
              <w:t>14,691,137.76</w:t>
            </w:r>
          </w:p>
        </w:tc>
        <w:tc>
          <w:tcPr>
            <w:tcW w:w="1723" w:type="dxa"/>
          </w:tcPr>
          <w:p w:rsidR="0049044C" w:rsidRDefault="0049044C" w:rsidP="00921957"/>
        </w:tc>
      </w:tr>
    </w:tbl>
    <w:p w:rsidR="0049044C" w:rsidRDefault="0049044C" w:rsidP="004E0127"/>
    <w:p w:rsidR="0049044C" w:rsidRDefault="0049044C" w:rsidP="00E67C1C">
      <w:pPr>
        <w:jc w:val="both"/>
        <w:rPr>
          <w:b/>
          <w:szCs w:val="24"/>
        </w:rPr>
      </w:pPr>
    </w:p>
    <w:p w:rsidR="0049044C" w:rsidRDefault="0049044C" w:rsidP="004378C3">
      <w:pPr>
        <w:spacing w:after="120"/>
        <w:jc w:val="both"/>
        <w:rPr>
          <w:szCs w:val="24"/>
        </w:rPr>
      </w:pPr>
      <w:r w:rsidRPr="00E67C1C">
        <w:rPr>
          <w:szCs w:val="24"/>
        </w:rPr>
        <w:t>It i</w:t>
      </w:r>
      <w:r w:rsidR="004378C3">
        <w:rPr>
          <w:szCs w:val="24"/>
        </w:rPr>
        <w:t>s estimated that an average of 2</w:t>
      </w:r>
      <w:r w:rsidRPr="00E67C1C">
        <w:rPr>
          <w:szCs w:val="24"/>
        </w:rPr>
        <w:t xml:space="preserve"> hour</w:t>
      </w:r>
      <w:r w:rsidR="004378C3">
        <w:rPr>
          <w:szCs w:val="24"/>
        </w:rPr>
        <w:t>s</w:t>
      </w:r>
      <w:r w:rsidRPr="00E67C1C">
        <w:rPr>
          <w:szCs w:val="24"/>
        </w:rPr>
        <w:t xml:space="preserve"> will be required for each respondent to review and update </w:t>
      </w:r>
      <w:r w:rsidR="001B469A">
        <w:rPr>
          <w:szCs w:val="24"/>
        </w:rPr>
        <w:t>their current registration</w:t>
      </w:r>
      <w:r w:rsidRPr="00E67C1C">
        <w:rPr>
          <w:szCs w:val="24"/>
        </w:rPr>
        <w:t xml:space="preserve"> </w:t>
      </w:r>
      <w:r w:rsidR="001B469A">
        <w:rPr>
          <w:szCs w:val="24"/>
        </w:rPr>
        <w:t xml:space="preserve">in SAM </w:t>
      </w:r>
      <w:r w:rsidRPr="00E67C1C">
        <w:rPr>
          <w:szCs w:val="24"/>
        </w:rPr>
        <w:t>and to review and, prepare</w:t>
      </w:r>
      <w:r w:rsidR="001B469A">
        <w:rPr>
          <w:szCs w:val="24"/>
        </w:rPr>
        <w:t xml:space="preserve"> for</w:t>
      </w:r>
      <w:r w:rsidRPr="00E67C1C">
        <w:rPr>
          <w:szCs w:val="24"/>
        </w:rPr>
        <w:t xml:space="preserve"> and complete the</w:t>
      </w:r>
      <w:r w:rsidR="001B469A">
        <w:rPr>
          <w:szCs w:val="24"/>
        </w:rPr>
        <w:t xml:space="preserve"> SAM</w:t>
      </w:r>
      <w:r w:rsidRPr="00E67C1C">
        <w:rPr>
          <w:szCs w:val="24"/>
        </w:rPr>
        <w:t xml:space="preserve"> registration for new registrants.  </w:t>
      </w:r>
      <w:r w:rsidR="004378C3">
        <w:rPr>
          <w:szCs w:val="24"/>
        </w:rPr>
        <w:t>The figure of 204,726</w:t>
      </w:r>
      <w:r>
        <w:rPr>
          <w:szCs w:val="24"/>
        </w:rPr>
        <w:t xml:space="preserve"> Grants Respondents was derived fro</w:t>
      </w:r>
      <w:r w:rsidR="004378C3">
        <w:rPr>
          <w:szCs w:val="24"/>
        </w:rPr>
        <w:t xml:space="preserve">m the number of unique DUNS </w:t>
      </w:r>
      <w:r w:rsidR="001B469A">
        <w:rPr>
          <w:szCs w:val="24"/>
        </w:rPr>
        <w:t xml:space="preserve">numbers </w:t>
      </w:r>
      <w:r w:rsidR="004378C3">
        <w:rPr>
          <w:szCs w:val="24"/>
        </w:rPr>
        <w:t>that received Prime Grant Awards in FY2012</w:t>
      </w:r>
      <w:r w:rsidR="001B469A">
        <w:rPr>
          <w:szCs w:val="24"/>
        </w:rPr>
        <w:t xml:space="preserve"> as reported by Federal agencies to USAspending.gov pursuant to the Transparency Act</w:t>
      </w:r>
      <w:r>
        <w:rPr>
          <w:szCs w:val="24"/>
        </w:rPr>
        <w:t>.</w:t>
      </w:r>
      <w:r w:rsidR="001B469A">
        <w:rPr>
          <w:szCs w:val="24"/>
        </w:rPr>
        <w:t xml:space="preserve"> </w:t>
      </w:r>
      <w:r w:rsidR="000A1427">
        <w:rPr>
          <w:szCs w:val="24"/>
        </w:rPr>
        <w:t xml:space="preserve"> </w:t>
      </w:r>
      <w:r>
        <w:rPr>
          <w:szCs w:val="24"/>
        </w:rPr>
        <w:t xml:space="preserve">This figure may be an overestimate, given that </w:t>
      </w:r>
      <w:r w:rsidR="001B469A">
        <w:rPr>
          <w:szCs w:val="24"/>
        </w:rPr>
        <w:t xml:space="preserve">some </w:t>
      </w:r>
      <w:r>
        <w:rPr>
          <w:szCs w:val="24"/>
        </w:rPr>
        <w:t>prime grant awardees may also be Federal contractors, who, under existing collection,</w:t>
      </w:r>
      <w:r w:rsidR="00FA3AA2">
        <w:rPr>
          <w:szCs w:val="24"/>
        </w:rPr>
        <w:t xml:space="preserve"> </w:t>
      </w:r>
      <w:r w:rsidR="001B469A">
        <w:rPr>
          <w:szCs w:val="24"/>
        </w:rPr>
        <w:t xml:space="preserve">were already </w:t>
      </w:r>
      <w:r w:rsidR="00FA3AA2">
        <w:rPr>
          <w:szCs w:val="24"/>
        </w:rPr>
        <w:t>required to register in SAM</w:t>
      </w:r>
      <w:r>
        <w:rPr>
          <w:szCs w:val="24"/>
        </w:rPr>
        <w:t xml:space="preserve">.  This figure may also be an overestimate to the extent that any grant </w:t>
      </w:r>
      <w:proofErr w:type="spellStart"/>
      <w:r>
        <w:rPr>
          <w:szCs w:val="24"/>
        </w:rPr>
        <w:t>awardee</w:t>
      </w:r>
      <w:proofErr w:type="spellEnd"/>
      <w:r>
        <w:rPr>
          <w:szCs w:val="24"/>
        </w:rPr>
        <w:t xml:space="preserve"> whose award amount is reimbursed through the Department of Treasury’s Secure Payment System </w:t>
      </w:r>
      <w:r w:rsidR="001B469A">
        <w:rPr>
          <w:szCs w:val="24"/>
        </w:rPr>
        <w:t>wa</w:t>
      </w:r>
      <w:r>
        <w:rPr>
          <w:szCs w:val="24"/>
        </w:rPr>
        <w:t>s also alr</w:t>
      </w:r>
      <w:r w:rsidR="00FA3AA2">
        <w:rPr>
          <w:szCs w:val="24"/>
        </w:rPr>
        <w:t>eady required to register in SAM</w:t>
      </w:r>
      <w:r>
        <w:rPr>
          <w:szCs w:val="24"/>
        </w:rPr>
        <w:t xml:space="preserve">.   </w:t>
      </w:r>
      <w:r>
        <w:rPr>
          <w:szCs w:val="24"/>
        </w:rPr>
        <w:lastRenderedPageBreak/>
        <w:t>GSA will continue to review and revise these burden estimates as more information becomes available.</w:t>
      </w:r>
    </w:p>
    <w:p w:rsidR="004378C3" w:rsidRPr="00E67C1C" w:rsidRDefault="004378C3" w:rsidP="004378C3">
      <w:pPr>
        <w:spacing w:after="120"/>
        <w:jc w:val="both"/>
        <w:rPr>
          <w:szCs w:val="24"/>
        </w:rPr>
      </w:pPr>
    </w:p>
    <w:p w:rsidR="0049044C" w:rsidRPr="00E67C1C" w:rsidRDefault="0049044C" w:rsidP="00E67C1C">
      <w:pPr>
        <w:jc w:val="both"/>
        <w:rPr>
          <w:szCs w:val="24"/>
          <w:u w:val="single"/>
        </w:rPr>
      </w:pPr>
      <w:r w:rsidRPr="00E67C1C">
        <w:rPr>
          <w:szCs w:val="24"/>
          <w:u w:val="single"/>
        </w:rPr>
        <w:t>Annual Public Burden and Cost</w:t>
      </w:r>
      <w:r>
        <w:rPr>
          <w:szCs w:val="24"/>
          <w:u w:val="single"/>
        </w:rPr>
        <w:t xml:space="preserve"> </w:t>
      </w:r>
    </w:p>
    <w:p w:rsidR="0049044C" w:rsidRPr="00E67C1C" w:rsidRDefault="0049044C" w:rsidP="00E67C1C">
      <w:pPr>
        <w:pStyle w:val="HTMLPreformatted"/>
        <w:jc w:val="both"/>
        <w:rPr>
          <w:rFonts w:ascii="Times New Roman" w:hAnsi="Times New Roman" w:cs="Times New Roman"/>
          <w:sz w:val="24"/>
          <w:szCs w:val="24"/>
        </w:rPr>
      </w:pPr>
    </w:p>
    <w:tbl>
      <w:tblPr>
        <w:tblW w:w="11070" w:type="dxa"/>
        <w:tblInd w:w="558" w:type="dxa"/>
        <w:tblLook w:val="01C0"/>
      </w:tblPr>
      <w:tblGrid>
        <w:gridCol w:w="7470"/>
        <w:gridCol w:w="3600"/>
      </w:tblGrid>
      <w:tr w:rsidR="0049044C" w:rsidRPr="00E67C1C" w:rsidTr="004378C3">
        <w:tc>
          <w:tcPr>
            <w:tcW w:w="7470" w:type="dxa"/>
          </w:tcPr>
          <w:p w:rsidR="0049044C" w:rsidRPr="004378C3" w:rsidRDefault="0049044C" w:rsidP="00E27B2C">
            <w:pPr>
              <w:tabs>
                <w:tab w:val="left" w:pos="7110"/>
              </w:tabs>
              <w:ind w:left="-468" w:firstLine="468"/>
              <w:jc w:val="both"/>
              <w:rPr>
                <w:szCs w:val="24"/>
              </w:rPr>
            </w:pPr>
            <w:r w:rsidRPr="004378C3">
              <w:rPr>
                <w:szCs w:val="24"/>
              </w:rPr>
              <w:t>Respondents</w:t>
            </w:r>
            <w:r w:rsidR="00461576" w:rsidRPr="004378C3">
              <w:rPr>
                <w:szCs w:val="24"/>
              </w:rPr>
              <w:t xml:space="preserve">                                                                                                                       </w:t>
            </w:r>
          </w:p>
        </w:tc>
        <w:tc>
          <w:tcPr>
            <w:tcW w:w="3600" w:type="dxa"/>
          </w:tcPr>
          <w:p w:rsidR="0049044C" w:rsidRPr="004378C3" w:rsidRDefault="00461576" w:rsidP="007C253F">
            <w:pPr>
              <w:tabs>
                <w:tab w:val="left" w:pos="7110"/>
              </w:tabs>
              <w:jc w:val="both"/>
              <w:rPr>
                <w:szCs w:val="24"/>
              </w:rPr>
            </w:pPr>
            <w:r w:rsidRPr="004378C3">
              <w:rPr>
                <w:szCs w:val="24"/>
              </w:rPr>
              <w:t xml:space="preserve"> </w:t>
            </w:r>
            <w:r w:rsidR="00E27B2C" w:rsidRPr="004378C3">
              <w:rPr>
                <w:szCs w:val="24"/>
              </w:rPr>
              <w:t xml:space="preserve">   </w:t>
            </w:r>
            <w:r w:rsidRPr="004378C3">
              <w:rPr>
                <w:szCs w:val="24"/>
              </w:rPr>
              <w:t xml:space="preserve"> </w:t>
            </w:r>
            <w:r w:rsidR="008F3A64">
              <w:rPr>
                <w:szCs w:val="24"/>
              </w:rPr>
              <w:t xml:space="preserve">      </w:t>
            </w:r>
            <w:r w:rsidR="0049044C" w:rsidRPr="004378C3">
              <w:rPr>
                <w:szCs w:val="24"/>
              </w:rPr>
              <w:t>2</w:t>
            </w:r>
            <w:r w:rsidR="004378C3" w:rsidRPr="004378C3">
              <w:rPr>
                <w:szCs w:val="24"/>
              </w:rPr>
              <w:t>04,726</w:t>
            </w:r>
          </w:p>
        </w:tc>
      </w:tr>
      <w:tr w:rsidR="0049044C" w:rsidRPr="00E67C1C" w:rsidTr="004378C3">
        <w:tc>
          <w:tcPr>
            <w:tcW w:w="7470" w:type="dxa"/>
          </w:tcPr>
          <w:p w:rsidR="0049044C" w:rsidRPr="004378C3" w:rsidRDefault="0049044C" w:rsidP="00E67C1C">
            <w:pPr>
              <w:tabs>
                <w:tab w:val="left" w:pos="7110"/>
              </w:tabs>
              <w:jc w:val="both"/>
              <w:rPr>
                <w:szCs w:val="24"/>
              </w:rPr>
            </w:pPr>
            <w:r w:rsidRPr="004378C3">
              <w:rPr>
                <w:szCs w:val="24"/>
              </w:rPr>
              <w:t>Responses per respondent</w:t>
            </w:r>
            <w:r w:rsidR="00461576" w:rsidRPr="004378C3">
              <w:rPr>
                <w:szCs w:val="24"/>
              </w:rPr>
              <w:t xml:space="preserve">                                                                               </w:t>
            </w:r>
            <w:r w:rsidR="008F3A64">
              <w:rPr>
                <w:szCs w:val="24"/>
              </w:rPr>
              <w:t xml:space="preserve">   </w:t>
            </w:r>
            <w:r w:rsidR="00461576" w:rsidRPr="004378C3">
              <w:rPr>
                <w:szCs w:val="24"/>
              </w:rPr>
              <w:t xml:space="preserve">                 </w:t>
            </w:r>
          </w:p>
        </w:tc>
        <w:tc>
          <w:tcPr>
            <w:tcW w:w="3600" w:type="dxa"/>
          </w:tcPr>
          <w:p w:rsidR="0049044C" w:rsidRPr="004378C3" w:rsidRDefault="00461576" w:rsidP="00E67C1C">
            <w:pPr>
              <w:tabs>
                <w:tab w:val="left" w:pos="7110"/>
              </w:tabs>
              <w:jc w:val="both"/>
              <w:rPr>
                <w:szCs w:val="24"/>
                <w:u w:val="single"/>
              </w:rPr>
            </w:pPr>
            <w:r w:rsidRPr="004378C3">
              <w:rPr>
                <w:szCs w:val="24"/>
                <w:u w:val="single"/>
              </w:rPr>
              <w:t xml:space="preserve"> </w:t>
            </w:r>
            <w:r w:rsidR="00E27B2C" w:rsidRPr="004378C3">
              <w:rPr>
                <w:szCs w:val="24"/>
                <w:u w:val="single"/>
              </w:rPr>
              <w:t xml:space="preserve">   </w:t>
            </w:r>
            <w:r w:rsidR="008F3A64">
              <w:rPr>
                <w:szCs w:val="24"/>
                <w:u w:val="single"/>
              </w:rPr>
              <w:t xml:space="preserve">  </w:t>
            </w:r>
            <w:r w:rsidRPr="004378C3">
              <w:rPr>
                <w:szCs w:val="24"/>
                <w:u w:val="single"/>
              </w:rPr>
              <w:t xml:space="preserve"> </w:t>
            </w:r>
            <w:r w:rsidR="008F3A64">
              <w:rPr>
                <w:szCs w:val="24"/>
                <w:u w:val="single"/>
              </w:rPr>
              <w:t xml:space="preserve">      </w:t>
            </w:r>
            <w:r w:rsidRPr="004378C3">
              <w:rPr>
                <w:szCs w:val="24"/>
                <w:u w:val="single"/>
              </w:rPr>
              <w:t xml:space="preserve"> </w:t>
            </w:r>
            <w:r w:rsidR="0049044C" w:rsidRPr="004378C3">
              <w:rPr>
                <w:szCs w:val="24"/>
                <w:u w:val="single"/>
              </w:rPr>
              <w:t>X     1</w:t>
            </w:r>
          </w:p>
        </w:tc>
      </w:tr>
      <w:tr w:rsidR="0049044C" w:rsidRPr="00E67C1C" w:rsidTr="004378C3">
        <w:tc>
          <w:tcPr>
            <w:tcW w:w="7470" w:type="dxa"/>
          </w:tcPr>
          <w:p w:rsidR="0049044C" w:rsidRPr="004378C3" w:rsidRDefault="0049044C" w:rsidP="00E67C1C">
            <w:pPr>
              <w:tabs>
                <w:tab w:val="left" w:pos="7110"/>
              </w:tabs>
              <w:jc w:val="both"/>
              <w:rPr>
                <w:szCs w:val="24"/>
              </w:rPr>
            </w:pPr>
            <w:r w:rsidRPr="004378C3">
              <w:rPr>
                <w:szCs w:val="24"/>
              </w:rPr>
              <w:t>Total responses</w:t>
            </w:r>
            <w:r w:rsidR="00461576" w:rsidRPr="004378C3">
              <w:rPr>
                <w:szCs w:val="24"/>
              </w:rPr>
              <w:t xml:space="preserve">                                                                                                                 </w:t>
            </w:r>
          </w:p>
        </w:tc>
        <w:tc>
          <w:tcPr>
            <w:tcW w:w="3600" w:type="dxa"/>
          </w:tcPr>
          <w:p w:rsidR="0049044C" w:rsidRPr="004378C3" w:rsidRDefault="00461576" w:rsidP="00E67C1C">
            <w:pPr>
              <w:tabs>
                <w:tab w:val="left" w:pos="7110"/>
              </w:tabs>
              <w:jc w:val="both"/>
              <w:rPr>
                <w:szCs w:val="24"/>
              </w:rPr>
            </w:pPr>
            <w:r w:rsidRPr="004378C3">
              <w:rPr>
                <w:szCs w:val="24"/>
              </w:rPr>
              <w:t xml:space="preserve"> </w:t>
            </w:r>
            <w:r w:rsidR="00E27B2C" w:rsidRPr="004378C3">
              <w:rPr>
                <w:szCs w:val="24"/>
              </w:rPr>
              <w:t xml:space="preserve">   </w:t>
            </w:r>
            <w:r w:rsidR="008F3A64">
              <w:rPr>
                <w:szCs w:val="24"/>
              </w:rPr>
              <w:t xml:space="preserve">      </w:t>
            </w:r>
            <w:r w:rsidRPr="004378C3">
              <w:rPr>
                <w:szCs w:val="24"/>
              </w:rPr>
              <w:t xml:space="preserve"> </w:t>
            </w:r>
            <w:r w:rsidR="0049044C" w:rsidRPr="004378C3">
              <w:rPr>
                <w:szCs w:val="24"/>
              </w:rPr>
              <w:t>2</w:t>
            </w:r>
            <w:r w:rsidR="004378C3" w:rsidRPr="004378C3">
              <w:rPr>
                <w:szCs w:val="24"/>
              </w:rPr>
              <w:t xml:space="preserve">04,726 </w:t>
            </w:r>
          </w:p>
        </w:tc>
      </w:tr>
      <w:tr w:rsidR="0049044C" w:rsidRPr="00E67C1C" w:rsidTr="004378C3">
        <w:tc>
          <w:tcPr>
            <w:tcW w:w="7470" w:type="dxa"/>
          </w:tcPr>
          <w:p w:rsidR="0049044C" w:rsidRPr="004378C3" w:rsidRDefault="0049044C" w:rsidP="00E67C1C">
            <w:pPr>
              <w:tabs>
                <w:tab w:val="left" w:pos="7110"/>
              </w:tabs>
              <w:jc w:val="both"/>
              <w:rPr>
                <w:szCs w:val="24"/>
              </w:rPr>
            </w:pPr>
            <w:r w:rsidRPr="004378C3">
              <w:rPr>
                <w:szCs w:val="24"/>
              </w:rPr>
              <w:t>Preparation hours per response</w:t>
            </w:r>
            <w:r w:rsidR="00461576" w:rsidRPr="004378C3">
              <w:rPr>
                <w:szCs w:val="24"/>
              </w:rPr>
              <w:t xml:space="preserve">                                                                                        </w:t>
            </w:r>
          </w:p>
        </w:tc>
        <w:tc>
          <w:tcPr>
            <w:tcW w:w="3600" w:type="dxa"/>
          </w:tcPr>
          <w:p w:rsidR="0049044C" w:rsidRPr="004378C3" w:rsidRDefault="00461576" w:rsidP="00E67C1C">
            <w:pPr>
              <w:tabs>
                <w:tab w:val="left" w:pos="7110"/>
              </w:tabs>
              <w:jc w:val="both"/>
              <w:rPr>
                <w:szCs w:val="24"/>
                <w:u w:val="single"/>
              </w:rPr>
            </w:pPr>
            <w:r w:rsidRPr="004378C3">
              <w:rPr>
                <w:szCs w:val="24"/>
                <w:u w:val="single"/>
              </w:rPr>
              <w:t xml:space="preserve">  </w:t>
            </w:r>
            <w:r w:rsidR="00E27B2C" w:rsidRPr="004378C3">
              <w:rPr>
                <w:szCs w:val="24"/>
                <w:u w:val="single"/>
              </w:rPr>
              <w:t xml:space="preserve">  </w:t>
            </w:r>
            <w:r w:rsidR="008F3A64">
              <w:rPr>
                <w:szCs w:val="24"/>
                <w:u w:val="single"/>
              </w:rPr>
              <w:t xml:space="preserve">  </w:t>
            </w:r>
            <w:r w:rsidR="00E27B2C" w:rsidRPr="004378C3">
              <w:rPr>
                <w:szCs w:val="24"/>
                <w:u w:val="single"/>
              </w:rPr>
              <w:t xml:space="preserve"> </w:t>
            </w:r>
            <w:r w:rsidRPr="004378C3">
              <w:rPr>
                <w:szCs w:val="24"/>
                <w:u w:val="single"/>
              </w:rPr>
              <w:t xml:space="preserve"> </w:t>
            </w:r>
            <w:r w:rsidR="008F3A64">
              <w:rPr>
                <w:szCs w:val="24"/>
                <w:u w:val="single"/>
              </w:rPr>
              <w:t xml:space="preserve">     </w:t>
            </w:r>
            <w:r w:rsidR="0049044C" w:rsidRPr="004378C3">
              <w:rPr>
                <w:szCs w:val="24"/>
                <w:u w:val="single"/>
              </w:rPr>
              <w:t>X</w:t>
            </w:r>
            <w:r w:rsidR="008F3A64">
              <w:rPr>
                <w:szCs w:val="24"/>
                <w:u w:val="single"/>
              </w:rPr>
              <w:t xml:space="preserve">   </w:t>
            </w:r>
            <w:r w:rsidR="0049044C" w:rsidRPr="004378C3">
              <w:rPr>
                <w:szCs w:val="24"/>
                <w:u w:val="single"/>
              </w:rPr>
              <w:t xml:space="preserve">   </w:t>
            </w:r>
            <w:r w:rsidR="004378C3" w:rsidRPr="004378C3">
              <w:rPr>
                <w:szCs w:val="24"/>
                <w:u w:val="single"/>
              </w:rPr>
              <w:t>2</w:t>
            </w:r>
          </w:p>
        </w:tc>
      </w:tr>
      <w:tr w:rsidR="0049044C" w:rsidRPr="00E67C1C" w:rsidTr="004378C3">
        <w:tc>
          <w:tcPr>
            <w:tcW w:w="7470" w:type="dxa"/>
          </w:tcPr>
          <w:p w:rsidR="0049044C" w:rsidRPr="004378C3" w:rsidRDefault="0049044C" w:rsidP="00E67C1C">
            <w:pPr>
              <w:tabs>
                <w:tab w:val="left" w:pos="7110"/>
              </w:tabs>
              <w:jc w:val="both"/>
              <w:rPr>
                <w:szCs w:val="24"/>
              </w:rPr>
            </w:pPr>
            <w:r w:rsidRPr="004378C3">
              <w:rPr>
                <w:szCs w:val="24"/>
              </w:rPr>
              <w:t>Total response burden hours</w:t>
            </w:r>
            <w:r w:rsidR="00461576" w:rsidRPr="004378C3">
              <w:rPr>
                <w:szCs w:val="24"/>
              </w:rPr>
              <w:t xml:space="preserve">                                                                                            </w:t>
            </w:r>
          </w:p>
        </w:tc>
        <w:tc>
          <w:tcPr>
            <w:tcW w:w="3600" w:type="dxa"/>
          </w:tcPr>
          <w:p w:rsidR="0049044C" w:rsidRPr="004378C3" w:rsidRDefault="00461576" w:rsidP="00E67C1C">
            <w:pPr>
              <w:tabs>
                <w:tab w:val="left" w:pos="7110"/>
              </w:tabs>
              <w:jc w:val="both"/>
              <w:rPr>
                <w:szCs w:val="24"/>
              </w:rPr>
            </w:pPr>
            <w:r w:rsidRPr="004378C3">
              <w:rPr>
                <w:szCs w:val="24"/>
              </w:rPr>
              <w:t xml:space="preserve"> </w:t>
            </w:r>
            <w:r w:rsidR="00E27B2C" w:rsidRPr="004378C3">
              <w:rPr>
                <w:szCs w:val="24"/>
              </w:rPr>
              <w:t xml:space="preserve">   </w:t>
            </w:r>
            <w:r w:rsidRPr="004378C3">
              <w:rPr>
                <w:szCs w:val="24"/>
              </w:rPr>
              <w:t xml:space="preserve"> </w:t>
            </w:r>
            <w:r w:rsidR="008F3A64">
              <w:rPr>
                <w:szCs w:val="24"/>
              </w:rPr>
              <w:t xml:space="preserve">      </w:t>
            </w:r>
            <w:r w:rsidR="004378C3" w:rsidRPr="004378C3">
              <w:rPr>
                <w:szCs w:val="24"/>
              </w:rPr>
              <w:t>409,452</w:t>
            </w:r>
          </w:p>
        </w:tc>
      </w:tr>
      <w:tr w:rsidR="0049044C" w:rsidRPr="00E67C1C" w:rsidTr="004378C3">
        <w:tc>
          <w:tcPr>
            <w:tcW w:w="7470" w:type="dxa"/>
          </w:tcPr>
          <w:p w:rsidR="0049044C" w:rsidRPr="004378C3" w:rsidRDefault="0049044C" w:rsidP="00E67C1C">
            <w:pPr>
              <w:tabs>
                <w:tab w:val="left" w:pos="7110"/>
              </w:tabs>
              <w:jc w:val="both"/>
              <w:rPr>
                <w:szCs w:val="24"/>
              </w:rPr>
            </w:pPr>
            <w:r w:rsidRPr="004378C3">
              <w:rPr>
                <w:szCs w:val="24"/>
              </w:rPr>
              <w:t>Hourly rate</w:t>
            </w:r>
            <w:r w:rsidR="00461576" w:rsidRPr="004378C3">
              <w:rPr>
                <w:szCs w:val="24"/>
              </w:rPr>
              <w:t xml:space="preserve">                                                                                                                       </w:t>
            </w:r>
          </w:p>
        </w:tc>
        <w:tc>
          <w:tcPr>
            <w:tcW w:w="3600" w:type="dxa"/>
          </w:tcPr>
          <w:p w:rsidR="0049044C" w:rsidRPr="004378C3" w:rsidRDefault="00E27B2C" w:rsidP="00E67C1C">
            <w:pPr>
              <w:tabs>
                <w:tab w:val="left" w:pos="7110"/>
              </w:tabs>
              <w:jc w:val="both"/>
              <w:rPr>
                <w:szCs w:val="24"/>
                <w:u w:val="single"/>
              </w:rPr>
            </w:pPr>
            <w:r w:rsidRPr="004378C3">
              <w:rPr>
                <w:szCs w:val="24"/>
                <w:u w:val="single"/>
              </w:rPr>
              <w:t xml:space="preserve"> </w:t>
            </w:r>
            <w:r w:rsidR="00461576" w:rsidRPr="004378C3">
              <w:rPr>
                <w:szCs w:val="24"/>
                <w:u w:val="single"/>
              </w:rPr>
              <w:t xml:space="preserve"> </w:t>
            </w:r>
            <w:r w:rsidR="0049044C" w:rsidRPr="004378C3">
              <w:rPr>
                <w:szCs w:val="24"/>
                <w:u w:val="single"/>
              </w:rPr>
              <w:t xml:space="preserve">X  </w:t>
            </w:r>
            <w:r w:rsidR="008F3A64">
              <w:rPr>
                <w:szCs w:val="24"/>
                <w:u w:val="single"/>
              </w:rPr>
              <w:t xml:space="preserve">      </w:t>
            </w:r>
            <w:r w:rsidR="0049044C" w:rsidRPr="004378C3">
              <w:rPr>
                <w:szCs w:val="24"/>
                <w:u w:val="single"/>
              </w:rPr>
              <w:t>$</w:t>
            </w:r>
            <w:r w:rsidR="00BE3C21">
              <w:rPr>
                <w:szCs w:val="24"/>
                <w:u w:val="single"/>
              </w:rPr>
              <w:t>35.88</w:t>
            </w:r>
          </w:p>
        </w:tc>
      </w:tr>
      <w:tr w:rsidR="0049044C" w:rsidRPr="00E67C1C" w:rsidTr="004378C3">
        <w:trPr>
          <w:trHeight w:val="117"/>
        </w:trPr>
        <w:tc>
          <w:tcPr>
            <w:tcW w:w="7470" w:type="dxa"/>
          </w:tcPr>
          <w:p w:rsidR="0049044C" w:rsidRPr="004378C3" w:rsidRDefault="0049044C" w:rsidP="00461576">
            <w:pPr>
              <w:tabs>
                <w:tab w:val="left" w:pos="7110"/>
              </w:tabs>
              <w:ind w:right="-108"/>
              <w:jc w:val="both"/>
              <w:rPr>
                <w:szCs w:val="24"/>
              </w:rPr>
            </w:pPr>
            <w:r w:rsidRPr="004378C3">
              <w:rPr>
                <w:szCs w:val="24"/>
              </w:rPr>
              <w:t>Tot</w:t>
            </w:r>
            <w:r w:rsidR="004378C3">
              <w:rPr>
                <w:szCs w:val="24"/>
              </w:rPr>
              <w:t xml:space="preserve">al Cost to public </w:t>
            </w:r>
            <w:r w:rsidR="00461576" w:rsidRPr="004378C3">
              <w:rPr>
                <w:szCs w:val="24"/>
              </w:rPr>
              <w:t xml:space="preserve">                                                            </w:t>
            </w:r>
            <w:r w:rsidR="00E27B2C" w:rsidRPr="004378C3">
              <w:rPr>
                <w:szCs w:val="24"/>
              </w:rPr>
              <w:t xml:space="preserve">           </w:t>
            </w:r>
            <w:r w:rsidR="00461576" w:rsidRPr="004378C3">
              <w:rPr>
                <w:szCs w:val="24"/>
              </w:rPr>
              <w:t xml:space="preserve">      </w:t>
            </w:r>
          </w:p>
        </w:tc>
        <w:tc>
          <w:tcPr>
            <w:tcW w:w="3600" w:type="dxa"/>
          </w:tcPr>
          <w:p w:rsidR="0049044C" w:rsidRPr="004378C3" w:rsidRDefault="008F3A64" w:rsidP="005913CD">
            <w:pPr>
              <w:tabs>
                <w:tab w:val="left" w:pos="7110"/>
              </w:tabs>
              <w:ind w:left="-198"/>
              <w:jc w:val="both"/>
              <w:rPr>
                <w:szCs w:val="24"/>
              </w:rPr>
            </w:pPr>
            <w:r>
              <w:rPr>
                <w:szCs w:val="24"/>
              </w:rPr>
              <w:t xml:space="preserve">  </w:t>
            </w:r>
            <w:r w:rsidR="004378C3" w:rsidRPr="004378C3">
              <w:rPr>
                <w:szCs w:val="24"/>
              </w:rPr>
              <w:t>$</w:t>
            </w:r>
            <w:r w:rsidR="00BE3C21">
              <w:rPr>
                <w:szCs w:val="24"/>
              </w:rPr>
              <w:t>14,</w:t>
            </w:r>
            <w:r w:rsidR="005913CD">
              <w:rPr>
                <w:szCs w:val="24"/>
              </w:rPr>
              <w:t>691</w:t>
            </w:r>
            <w:r w:rsidR="00BE3C21">
              <w:rPr>
                <w:szCs w:val="24"/>
              </w:rPr>
              <w:t>,137.76</w:t>
            </w:r>
          </w:p>
        </w:tc>
      </w:tr>
    </w:tbl>
    <w:p w:rsidR="0049044C" w:rsidRPr="00E67C1C" w:rsidRDefault="0049044C" w:rsidP="00E67C1C">
      <w:pPr>
        <w:pStyle w:val="BodyText"/>
        <w:jc w:val="both"/>
        <w:rPr>
          <w:rFonts w:ascii="Times New Roman" w:hAnsi="Times New Roman"/>
          <w:szCs w:val="24"/>
        </w:rPr>
      </w:pPr>
    </w:p>
    <w:p w:rsidR="00E27B2C" w:rsidRDefault="0049044C" w:rsidP="00E67C1C">
      <w:pPr>
        <w:jc w:val="both"/>
        <w:rPr>
          <w:szCs w:val="24"/>
        </w:rPr>
      </w:pPr>
      <w:r w:rsidRPr="00E342EB">
        <w:rPr>
          <w:b/>
          <w:szCs w:val="24"/>
        </w:rPr>
        <w:t>14.</w:t>
      </w:r>
      <w:r w:rsidRPr="00E67C1C">
        <w:rPr>
          <w:szCs w:val="24"/>
        </w:rPr>
        <w:t xml:space="preserve"> </w:t>
      </w:r>
      <w:r w:rsidRPr="00E67C1C">
        <w:rPr>
          <w:b/>
          <w:szCs w:val="24"/>
        </w:rPr>
        <w:t xml:space="preserve"> </w:t>
      </w:r>
      <w:r w:rsidR="00E342EB">
        <w:rPr>
          <w:b/>
          <w:szCs w:val="24"/>
        </w:rPr>
        <w:t xml:space="preserve"> </w:t>
      </w:r>
      <w:r w:rsidR="00E342EB" w:rsidRPr="00E67C1C">
        <w:rPr>
          <w:b/>
          <w:szCs w:val="24"/>
        </w:rPr>
        <w:t>Estimated annual cost to the Government</w:t>
      </w:r>
      <w:r w:rsidR="00E342EB" w:rsidRPr="00E67C1C">
        <w:rPr>
          <w:szCs w:val="24"/>
        </w:rPr>
        <w:t>.</w:t>
      </w:r>
    </w:p>
    <w:p w:rsidR="00E27B2C" w:rsidRDefault="00E27B2C" w:rsidP="00E67C1C">
      <w:pPr>
        <w:jc w:val="both"/>
        <w:rPr>
          <w:szCs w:val="24"/>
        </w:rPr>
      </w:pPr>
    </w:p>
    <w:p w:rsidR="0049044C" w:rsidRDefault="0049044C" w:rsidP="00E67C1C">
      <w:pPr>
        <w:jc w:val="both"/>
        <w:rPr>
          <w:szCs w:val="24"/>
        </w:rPr>
      </w:pPr>
      <w:r w:rsidRPr="00E67C1C">
        <w:rPr>
          <w:szCs w:val="24"/>
        </w:rPr>
        <w:t>Time required for Government</w:t>
      </w:r>
      <w:r w:rsidR="000F6807">
        <w:rPr>
          <w:szCs w:val="24"/>
        </w:rPr>
        <w:t>-</w:t>
      </w:r>
      <w:r w:rsidRPr="00E67C1C">
        <w:rPr>
          <w:szCs w:val="24"/>
        </w:rPr>
        <w:t xml:space="preserve">wide review is estimated at 1 hour in receiving, reviewing, and analyzing the information submitted by the respondents. </w:t>
      </w:r>
      <w:r w:rsidR="001B469A">
        <w:rPr>
          <w:szCs w:val="24"/>
        </w:rPr>
        <w:t xml:space="preserve">This estimate attempts to account for Federal agencies working with registrants to answer their questions, burden to supporting help desks, and time spent investigating registration challenges faced by registrants. </w:t>
      </w:r>
    </w:p>
    <w:p w:rsidR="00E27B2C" w:rsidRPr="00E67C1C" w:rsidRDefault="00E27B2C" w:rsidP="00E67C1C">
      <w:pPr>
        <w:jc w:val="both"/>
        <w:rPr>
          <w:szCs w:val="24"/>
        </w:rPr>
      </w:pPr>
    </w:p>
    <w:p w:rsidR="0049044C" w:rsidRPr="00E67C1C" w:rsidRDefault="0049044C" w:rsidP="00E67C1C">
      <w:pPr>
        <w:jc w:val="both"/>
        <w:rPr>
          <w:szCs w:val="24"/>
          <w:u w:val="single"/>
        </w:rPr>
      </w:pPr>
      <w:r w:rsidRPr="00E67C1C">
        <w:rPr>
          <w:szCs w:val="24"/>
          <w:u w:val="single"/>
        </w:rPr>
        <w:t>Annual Government Burden and Cost</w:t>
      </w:r>
    </w:p>
    <w:p w:rsidR="0049044C" w:rsidRPr="00E67C1C" w:rsidRDefault="0049044C" w:rsidP="00E67C1C">
      <w:pPr>
        <w:jc w:val="both"/>
        <w:rPr>
          <w:szCs w:val="24"/>
        </w:rPr>
      </w:pPr>
    </w:p>
    <w:tbl>
      <w:tblPr>
        <w:tblW w:w="9180" w:type="dxa"/>
        <w:tblInd w:w="558" w:type="dxa"/>
        <w:tblLook w:val="01C0"/>
      </w:tblPr>
      <w:tblGrid>
        <w:gridCol w:w="5220"/>
        <w:gridCol w:w="3960"/>
      </w:tblGrid>
      <w:tr w:rsidR="0049044C" w:rsidRPr="006E50BE" w:rsidTr="00127043">
        <w:tc>
          <w:tcPr>
            <w:tcW w:w="5220" w:type="dxa"/>
          </w:tcPr>
          <w:p w:rsidR="0049044C" w:rsidRPr="006E50BE" w:rsidRDefault="000A1427" w:rsidP="00E67C1C">
            <w:pPr>
              <w:tabs>
                <w:tab w:val="left" w:pos="7110"/>
              </w:tabs>
              <w:jc w:val="both"/>
              <w:rPr>
                <w:szCs w:val="24"/>
              </w:rPr>
            </w:pPr>
            <w:r>
              <w:rPr>
                <w:szCs w:val="24"/>
              </w:rPr>
              <w:t>Responses</w:t>
            </w:r>
          </w:p>
        </w:tc>
        <w:tc>
          <w:tcPr>
            <w:tcW w:w="3960" w:type="dxa"/>
          </w:tcPr>
          <w:p w:rsidR="00A40E74" w:rsidRDefault="000A1427">
            <w:pPr>
              <w:tabs>
                <w:tab w:val="left" w:pos="7110"/>
              </w:tabs>
              <w:ind w:left="2952" w:right="-738"/>
              <w:jc w:val="both"/>
              <w:rPr>
                <w:szCs w:val="24"/>
              </w:rPr>
            </w:pPr>
            <w:r>
              <w:rPr>
                <w:szCs w:val="24"/>
              </w:rPr>
              <w:t>204,726</w:t>
            </w:r>
          </w:p>
        </w:tc>
      </w:tr>
      <w:tr w:rsidR="008F3A64" w:rsidRPr="006E50BE" w:rsidTr="00127043">
        <w:tc>
          <w:tcPr>
            <w:tcW w:w="5220" w:type="dxa"/>
          </w:tcPr>
          <w:p w:rsidR="008F3A64" w:rsidRPr="006E50BE" w:rsidRDefault="000A1427" w:rsidP="00E67C1C">
            <w:pPr>
              <w:tabs>
                <w:tab w:val="left" w:pos="7110"/>
              </w:tabs>
              <w:jc w:val="both"/>
              <w:rPr>
                <w:szCs w:val="24"/>
              </w:rPr>
            </w:pPr>
            <w:r w:rsidRPr="006E50BE">
              <w:rPr>
                <w:szCs w:val="24"/>
              </w:rPr>
              <w:t>Reviewing time/hr</w:t>
            </w:r>
            <w:r w:rsidRPr="006E50BE" w:rsidDel="008F3A64">
              <w:rPr>
                <w:szCs w:val="24"/>
              </w:rPr>
              <w:t xml:space="preserve"> </w:t>
            </w:r>
          </w:p>
        </w:tc>
        <w:tc>
          <w:tcPr>
            <w:tcW w:w="3960" w:type="dxa"/>
          </w:tcPr>
          <w:p w:rsidR="00836CF2" w:rsidRDefault="008F3A64">
            <w:pPr>
              <w:tabs>
                <w:tab w:val="left" w:pos="7110"/>
              </w:tabs>
              <w:jc w:val="both"/>
              <w:rPr>
                <w:szCs w:val="24"/>
                <w:u w:val="single"/>
              </w:rPr>
            </w:pPr>
            <w:r w:rsidRPr="006E50BE">
              <w:rPr>
                <w:szCs w:val="24"/>
              </w:rPr>
              <w:t xml:space="preserve">                                               </w:t>
            </w:r>
            <w:r w:rsidR="000A1427">
              <w:rPr>
                <w:szCs w:val="24"/>
              </w:rPr>
              <w:t xml:space="preserve"> </w:t>
            </w:r>
            <w:r w:rsidR="00A763C6" w:rsidRPr="00A763C6">
              <w:rPr>
                <w:szCs w:val="24"/>
                <w:u w:val="single"/>
              </w:rPr>
              <w:t xml:space="preserve">           </w:t>
            </w:r>
            <w:r w:rsidRPr="006E50BE">
              <w:rPr>
                <w:szCs w:val="24"/>
                <w:u w:val="single"/>
              </w:rPr>
              <w:t xml:space="preserve"> </w:t>
            </w:r>
            <w:r w:rsidR="000A1427">
              <w:rPr>
                <w:szCs w:val="24"/>
                <w:u w:val="single"/>
              </w:rPr>
              <w:t>1</w:t>
            </w:r>
          </w:p>
        </w:tc>
      </w:tr>
      <w:tr w:rsidR="008F3A64" w:rsidRPr="006E50BE" w:rsidTr="00127043">
        <w:tc>
          <w:tcPr>
            <w:tcW w:w="5220" w:type="dxa"/>
          </w:tcPr>
          <w:p w:rsidR="008F3A64" w:rsidRPr="006E50BE" w:rsidRDefault="008F3A64" w:rsidP="00E67C1C">
            <w:pPr>
              <w:tabs>
                <w:tab w:val="left" w:pos="7110"/>
              </w:tabs>
              <w:jc w:val="both"/>
              <w:rPr>
                <w:szCs w:val="24"/>
              </w:rPr>
            </w:pPr>
            <w:r w:rsidRPr="006E50BE">
              <w:rPr>
                <w:szCs w:val="24"/>
              </w:rPr>
              <w:t>Review time/yr</w:t>
            </w:r>
          </w:p>
        </w:tc>
        <w:tc>
          <w:tcPr>
            <w:tcW w:w="3960" w:type="dxa"/>
          </w:tcPr>
          <w:p w:rsidR="008F3A64" w:rsidRPr="006E50BE" w:rsidRDefault="008F3A64" w:rsidP="00E67C1C">
            <w:pPr>
              <w:tabs>
                <w:tab w:val="left" w:pos="7110"/>
              </w:tabs>
              <w:jc w:val="both"/>
              <w:rPr>
                <w:szCs w:val="24"/>
              </w:rPr>
            </w:pPr>
            <w:r w:rsidRPr="006E50BE">
              <w:rPr>
                <w:szCs w:val="24"/>
              </w:rPr>
              <w:t xml:space="preserve">                                                 204,726</w:t>
            </w:r>
          </w:p>
        </w:tc>
      </w:tr>
      <w:tr w:rsidR="008F3A64" w:rsidRPr="006E50BE" w:rsidTr="00127043">
        <w:tc>
          <w:tcPr>
            <w:tcW w:w="5220" w:type="dxa"/>
          </w:tcPr>
          <w:p w:rsidR="008F3A64" w:rsidRPr="006E50BE" w:rsidRDefault="008F3A64" w:rsidP="00E64AE9">
            <w:pPr>
              <w:tabs>
                <w:tab w:val="left" w:pos="7110"/>
              </w:tabs>
              <w:jc w:val="both"/>
              <w:rPr>
                <w:szCs w:val="24"/>
              </w:rPr>
            </w:pPr>
            <w:r w:rsidRPr="006E50BE">
              <w:rPr>
                <w:szCs w:val="24"/>
              </w:rPr>
              <w:t>Average wages/hr (GS 12, step 1 hourly rate)</w:t>
            </w:r>
          </w:p>
        </w:tc>
        <w:tc>
          <w:tcPr>
            <w:tcW w:w="3960" w:type="dxa"/>
          </w:tcPr>
          <w:p w:rsidR="008F3A64" w:rsidRPr="006E50BE" w:rsidRDefault="008F3A64" w:rsidP="00E64AE9">
            <w:pPr>
              <w:tabs>
                <w:tab w:val="left" w:pos="7110"/>
              </w:tabs>
              <w:jc w:val="both"/>
              <w:rPr>
                <w:szCs w:val="24"/>
                <w:u w:val="single"/>
              </w:rPr>
            </w:pPr>
            <w:r w:rsidRPr="006E50BE">
              <w:rPr>
                <w:szCs w:val="24"/>
              </w:rPr>
              <w:t xml:space="preserve">                                          </w:t>
            </w:r>
            <w:r w:rsidRPr="006E50BE">
              <w:rPr>
                <w:szCs w:val="24"/>
                <w:u w:val="single"/>
              </w:rPr>
              <w:t>X    $35.88</w:t>
            </w:r>
          </w:p>
        </w:tc>
      </w:tr>
      <w:tr w:rsidR="008F3A64" w:rsidRPr="006E50BE" w:rsidTr="00127043">
        <w:tc>
          <w:tcPr>
            <w:tcW w:w="5220" w:type="dxa"/>
          </w:tcPr>
          <w:p w:rsidR="008F3A64" w:rsidRPr="006E50BE" w:rsidRDefault="008F3A64" w:rsidP="00E67C1C">
            <w:pPr>
              <w:tabs>
                <w:tab w:val="left" w:pos="7110"/>
              </w:tabs>
              <w:jc w:val="both"/>
              <w:rPr>
                <w:szCs w:val="24"/>
              </w:rPr>
            </w:pPr>
            <w:r w:rsidRPr="006E50BE">
              <w:rPr>
                <w:szCs w:val="24"/>
              </w:rPr>
              <w:t>Average wages/yr</w:t>
            </w:r>
          </w:p>
        </w:tc>
        <w:tc>
          <w:tcPr>
            <w:tcW w:w="3960" w:type="dxa"/>
          </w:tcPr>
          <w:p w:rsidR="008F3A64" w:rsidRPr="006E50BE" w:rsidRDefault="008F3A64" w:rsidP="00E67C1C">
            <w:pPr>
              <w:tabs>
                <w:tab w:val="left" w:pos="7110"/>
              </w:tabs>
              <w:jc w:val="both"/>
              <w:rPr>
                <w:szCs w:val="24"/>
              </w:rPr>
            </w:pPr>
            <w:r w:rsidRPr="006E50BE">
              <w:rPr>
                <w:szCs w:val="24"/>
              </w:rPr>
              <w:t xml:space="preserve">                                       $7,345,568.88</w:t>
            </w:r>
          </w:p>
        </w:tc>
      </w:tr>
      <w:tr w:rsidR="008F3A64" w:rsidRPr="006E50BE" w:rsidTr="00127043">
        <w:tc>
          <w:tcPr>
            <w:tcW w:w="5220" w:type="dxa"/>
          </w:tcPr>
          <w:p w:rsidR="008F3A64" w:rsidRPr="006E50BE" w:rsidRDefault="008F3A64" w:rsidP="00E67C1C">
            <w:pPr>
              <w:tabs>
                <w:tab w:val="left" w:pos="7110"/>
              </w:tabs>
              <w:jc w:val="both"/>
              <w:rPr>
                <w:szCs w:val="24"/>
              </w:rPr>
            </w:pPr>
            <w:r w:rsidRPr="006E50BE">
              <w:rPr>
                <w:szCs w:val="24"/>
              </w:rPr>
              <w:t>Benefits and overhead</w:t>
            </w:r>
          </w:p>
        </w:tc>
        <w:tc>
          <w:tcPr>
            <w:tcW w:w="3960" w:type="dxa"/>
          </w:tcPr>
          <w:p w:rsidR="008F3A64" w:rsidRPr="006E50BE" w:rsidRDefault="008F3A64" w:rsidP="00E67C1C">
            <w:pPr>
              <w:tabs>
                <w:tab w:val="left" w:pos="7110"/>
              </w:tabs>
              <w:jc w:val="both"/>
              <w:rPr>
                <w:szCs w:val="24"/>
                <w:u w:val="single"/>
              </w:rPr>
            </w:pPr>
            <w:r w:rsidRPr="006E50BE">
              <w:rPr>
                <w:szCs w:val="24"/>
              </w:rPr>
              <w:t xml:space="preserve">                                                   </w:t>
            </w:r>
            <w:r w:rsidR="00A763C6" w:rsidRPr="00E17A6F">
              <w:rPr>
                <w:szCs w:val="24"/>
                <w:u w:val="single"/>
              </w:rPr>
              <w:t>100%</w:t>
            </w:r>
          </w:p>
        </w:tc>
      </w:tr>
      <w:tr w:rsidR="008F3A64" w:rsidRPr="006E50BE" w:rsidTr="00127043">
        <w:tc>
          <w:tcPr>
            <w:tcW w:w="5220" w:type="dxa"/>
          </w:tcPr>
          <w:p w:rsidR="008F3A64" w:rsidRPr="006E50BE" w:rsidRDefault="008F3A64" w:rsidP="00E67C1C">
            <w:pPr>
              <w:tabs>
                <w:tab w:val="left" w:pos="7110"/>
              </w:tabs>
              <w:jc w:val="both"/>
              <w:rPr>
                <w:szCs w:val="24"/>
              </w:rPr>
            </w:pPr>
            <w:r w:rsidRPr="006E50BE">
              <w:rPr>
                <w:szCs w:val="24"/>
              </w:rPr>
              <w:t>Total Government cost</w:t>
            </w:r>
          </w:p>
        </w:tc>
        <w:tc>
          <w:tcPr>
            <w:tcW w:w="3960" w:type="dxa"/>
          </w:tcPr>
          <w:p w:rsidR="008F3A64" w:rsidRPr="006E50BE" w:rsidRDefault="008F3A64" w:rsidP="001B469A">
            <w:pPr>
              <w:jc w:val="both"/>
              <w:rPr>
                <w:szCs w:val="24"/>
              </w:rPr>
            </w:pPr>
            <w:r w:rsidRPr="006E50BE">
              <w:rPr>
                <w:szCs w:val="24"/>
              </w:rPr>
              <w:t xml:space="preserve">  </w:t>
            </w:r>
            <w:r>
              <w:rPr>
                <w:szCs w:val="24"/>
              </w:rPr>
              <w:t xml:space="preserve">                                     $</w:t>
            </w:r>
            <w:r w:rsidRPr="006E50BE">
              <w:rPr>
                <w:szCs w:val="24"/>
              </w:rPr>
              <w:t>7,345,568.88</w:t>
            </w:r>
          </w:p>
        </w:tc>
      </w:tr>
    </w:tbl>
    <w:p w:rsidR="0049044C" w:rsidRPr="006E50BE" w:rsidRDefault="0049044C" w:rsidP="001A54E0">
      <w:pPr>
        <w:pStyle w:val="BodyText"/>
        <w:rPr>
          <w:rFonts w:ascii="Courier" w:hAnsi="Courier"/>
          <w:szCs w:val="24"/>
        </w:rPr>
      </w:pPr>
    </w:p>
    <w:p w:rsidR="0049044C" w:rsidRPr="00007057" w:rsidRDefault="006E50BE" w:rsidP="001A54E0">
      <w:pPr>
        <w:pStyle w:val="BodyText"/>
        <w:rPr>
          <w:rFonts w:ascii="Times New Roman" w:hAnsi="Times New Roman"/>
          <w:szCs w:val="24"/>
        </w:rPr>
      </w:pPr>
      <w:r w:rsidRPr="006E50BE">
        <w:rPr>
          <w:rFonts w:ascii="Times New Roman" w:hAnsi="Times New Roman"/>
          <w:szCs w:val="24"/>
        </w:rPr>
        <w:t>The cost of $35.88 per hour is based on GS-12, step 1</w:t>
      </w:r>
      <w:r w:rsidR="0049044C" w:rsidRPr="006E50BE">
        <w:rPr>
          <w:rFonts w:ascii="Times New Roman" w:hAnsi="Times New Roman"/>
          <w:szCs w:val="24"/>
        </w:rPr>
        <w:t xml:space="preserve"> s</w:t>
      </w:r>
      <w:r w:rsidRPr="006E50BE">
        <w:rPr>
          <w:rFonts w:ascii="Times New Roman" w:hAnsi="Times New Roman"/>
          <w:szCs w:val="24"/>
        </w:rPr>
        <w:t>alary.</w:t>
      </w:r>
    </w:p>
    <w:p w:rsidR="0049044C" w:rsidRPr="00E67C1C" w:rsidRDefault="0049044C" w:rsidP="00E67C1C">
      <w:pPr>
        <w:tabs>
          <w:tab w:val="left" w:pos="1080"/>
          <w:tab w:val="left" w:pos="1440"/>
          <w:tab w:val="left" w:pos="2160"/>
          <w:tab w:val="left" w:pos="2880"/>
        </w:tabs>
        <w:jc w:val="both"/>
        <w:rPr>
          <w:szCs w:val="24"/>
        </w:rPr>
      </w:pPr>
    </w:p>
    <w:p w:rsidR="00217AD2" w:rsidRDefault="0049044C" w:rsidP="00E67C1C">
      <w:pPr>
        <w:jc w:val="both"/>
        <w:rPr>
          <w:szCs w:val="24"/>
        </w:rPr>
      </w:pPr>
      <w:r w:rsidRPr="00E342EB">
        <w:rPr>
          <w:b/>
          <w:szCs w:val="24"/>
        </w:rPr>
        <w:t>15.</w:t>
      </w:r>
      <w:r w:rsidRPr="00E67C1C">
        <w:rPr>
          <w:szCs w:val="24"/>
        </w:rPr>
        <w:t xml:space="preserve">  </w:t>
      </w:r>
      <w:r w:rsidR="00E342EB">
        <w:rPr>
          <w:b/>
          <w:szCs w:val="24"/>
        </w:rPr>
        <w:t xml:space="preserve"> </w:t>
      </w:r>
      <w:r w:rsidRPr="00E67C1C">
        <w:rPr>
          <w:b/>
          <w:szCs w:val="24"/>
        </w:rPr>
        <w:t>Explain reasons for program changes or adjustments reported in Item 13 or 14</w:t>
      </w:r>
      <w:r w:rsidRPr="00E67C1C">
        <w:rPr>
          <w:szCs w:val="24"/>
        </w:rPr>
        <w:t xml:space="preserve">.  </w:t>
      </w:r>
    </w:p>
    <w:p w:rsidR="00217AD2" w:rsidRDefault="00217AD2" w:rsidP="00E67C1C">
      <w:pPr>
        <w:jc w:val="both"/>
        <w:rPr>
          <w:szCs w:val="24"/>
        </w:rPr>
      </w:pPr>
    </w:p>
    <w:p w:rsidR="0049044C" w:rsidRDefault="0049044C" w:rsidP="00E67C1C">
      <w:pPr>
        <w:jc w:val="both"/>
        <w:rPr>
          <w:szCs w:val="24"/>
        </w:rPr>
      </w:pPr>
      <w:r w:rsidRPr="00E67C1C">
        <w:rPr>
          <w:szCs w:val="24"/>
        </w:rPr>
        <w:t xml:space="preserve">This is </w:t>
      </w:r>
      <w:r w:rsidR="001F745D" w:rsidRPr="00E67C1C">
        <w:rPr>
          <w:szCs w:val="24"/>
        </w:rPr>
        <w:t>a</w:t>
      </w:r>
      <w:r w:rsidRPr="00E67C1C">
        <w:rPr>
          <w:szCs w:val="24"/>
        </w:rPr>
        <w:t xml:space="preserve"> revision of a currently approved public information collection</w:t>
      </w:r>
      <w:r w:rsidR="005913CD">
        <w:rPr>
          <w:szCs w:val="24"/>
        </w:rPr>
        <w:t xml:space="preserve"> based on actual prime grant awards made in FY12 as reported by the awarding agency on USAspending.gov to unique DUNS numbers. Each of the unique DUNS numbers would have had to be registered in SAM in order for the agency to report the grant award.</w:t>
      </w:r>
    </w:p>
    <w:p w:rsidR="00C95E7A" w:rsidRDefault="00C95E7A" w:rsidP="00E67C1C">
      <w:pPr>
        <w:jc w:val="both"/>
        <w:rPr>
          <w:szCs w:val="24"/>
        </w:rPr>
      </w:pPr>
    </w:p>
    <w:p w:rsidR="00C95E7A" w:rsidRDefault="00C95E7A" w:rsidP="00E67C1C">
      <w:pPr>
        <w:jc w:val="both"/>
        <w:rPr>
          <w:szCs w:val="24"/>
        </w:rPr>
      </w:pPr>
      <w:r w:rsidRPr="00C95E7A">
        <w:rPr>
          <w:szCs w:val="24"/>
        </w:rPr>
        <w:t>2</w:t>
      </w:r>
      <w:r>
        <w:rPr>
          <w:szCs w:val="24"/>
        </w:rPr>
        <w:t xml:space="preserve"> </w:t>
      </w:r>
      <w:r w:rsidRPr="00C95E7A">
        <w:rPr>
          <w:szCs w:val="24"/>
        </w:rPr>
        <w:t xml:space="preserve">CFR Subtitle </w:t>
      </w:r>
      <w:proofErr w:type="gramStart"/>
      <w:r w:rsidRPr="00C95E7A">
        <w:rPr>
          <w:szCs w:val="24"/>
        </w:rPr>
        <w:t>A</w:t>
      </w:r>
      <w:proofErr w:type="gramEnd"/>
      <w:r w:rsidRPr="00C95E7A">
        <w:rPr>
          <w:szCs w:val="24"/>
        </w:rPr>
        <w:t xml:space="preserve">, Chapter I, and Part 25 mandates that the Central Contractor Registration (CCR) (now migrated into the System for Award Management) serve as the repository for standard information about applicants and recipients. The burden is relative to the number of applicants for Federal grants and assistance, which was for FY12, 204,726 entities, while when calculated for the original burden there were only 23,358 respondents in the system.  The increase in burden is due to the increased compliance with the CFR requirement to register in the </w:t>
      </w:r>
      <w:r w:rsidRPr="00C95E7A">
        <w:rPr>
          <w:szCs w:val="24"/>
        </w:rPr>
        <w:lastRenderedPageBreak/>
        <w:t>centralized and integrated System as well as the increase in number of entities applying for the grants and assistance available through the Federal government.</w:t>
      </w:r>
    </w:p>
    <w:p w:rsidR="005913CD" w:rsidRPr="00E67C1C" w:rsidRDefault="005913CD" w:rsidP="00E67C1C">
      <w:pPr>
        <w:jc w:val="both"/>
        <w:rPr>
          <w:szCs w:val="24"/>
        </w:rPr>
      </w:pPr>
    </w:p>
    <w:p w:rsidR="0003381F" w:rsidRDefault="00E342EB" w:rsidP="00E342EB">
      <w:pPr>
        <w:jc w:val="both"/>
        <w:rPr>
          <w:szCs w:val="24"/>
        </w:rPr>
      </w:pPr>
      <w:r>
        <w:rPr>
          <w:b/>
          <w:szCs w:val="24"/>
        </w:rPr>
        <w:t xml:space="preserve">16.   </w:t>
      </w:r>
      <w:r w:rsidR="0049044C" w:rsidRPr="00E67C1C">
        <w:rPr>
          <w:b/>
          <w:szCs w:val="24"/>
        </w:rPr>
        <w:t>Outline plans for published results of information collections.</w:t>
      </w:r>
      <w:r w:rsidR="0049044C" w:rsidRPr="00E67C1C">
        <w:rPr>
          <w:szCs w:val="24"/>
        </w:rPr>
        <w:t xml:space="preserve">  </w:t>
      </w:r>
    </w:p>
    <w:p w:rsidR="0003381F" w:rsidRDefault="0003381F" w:rsidP="0003381F">
      <w:pPr>
        <w:jc w:val="both"/>
        <w:rPr>
          <w:szCs w:val="24"/>
        </w:rPr>
      </w:pPr>
    </w:p>
    <w:p w:rsidR="0049044C" w:rsidRPr="00E67C1C" w:rsidRDefault="0049044C" w:rsidP="0003381F">
      <w:pPr>
        <w:jc w:val="both"/>
        <w:rPr>
          <w:szCs w:val="24"/>
        </w:rPr>
      </w:pPr>
      <w:r w:rsidRPr="00E67C1C">
        <w:rPr>
          <w:szCs w:val="24"/>
        </w:rPr>
        <w:t>Results will not be tabulated or published.</w:t>
      </w:r>
    </w:p>
    <w:p w:rsidR="0049044C" w:rsidRPr="00E67C1C" w:rsidRDefault="0049044C" w:rsidP="00E67C1C">
      <w:pPr>
        <w:jc w:val="both"/>
        <w:rPr>
          <w:szCs w:val="24"/>
        </w:rPr>
      </w:pPr>
    </w:p>
    <w:p w:rsidR="0003381F" w:rsidRDefault="0049044C" w:rsidP="00E67C1C">
      <w:pPr>
        <w:jc w:val="both"/>
        <w:rPr>
          <w:szCs w:val="24"/>
        </w:rPr>
      </w:pPr>
      <w:r w:rsidRPr="00E342EB">
        <w:rPr>
          <w:b/>
          <w:szCs w:val="24"/>
        </w:rPr>
        <w:t>17.</w:t>
      </w:r>
      <w:r w:rsidRPr="00E67C1C">
        <w:rPr>
          <w:szCs w:val="24"/>
        </w:rPr>
        <w:t xml:space="preserve">  </w:t>
      </w:r>
      <w:r w:rsidR="00E342EB">
        <w:rPr>
          <w:b/>
          <w:szCs w:val="24"/>
        </w:rPr>
        <w:t xml:space="preserve"> </w:t>
      </w:r>
      <w:r w:rsidRPr="00E67C1C">
        <w:rPr>
          <w:b/>
          <w:szCs w:val="24"/>
        </w:rPr>
        <w:t>Approval not to display expiration date</w:t>
      </w:r>
      <w:r w:rsidRPr="00E67C1C">
        <w:rPr>
          <w:szCs w:val="24"/>
        </w:rPr>
        <w:t xml:space="preserve">.  </w:t>
      </w:r>
    </w:p>
    <w:p w:rsidR="0003381F" w:rsidRDefault="0003381F" w:rsidP="00E67C1C">
      <w:pPr>
        <w:jc w:val="both"/>
        <w:rPr>
          <w:szCs w:val="24"/>
        </w:rPr>
      </w:pPr>
    </w:p>
    <w:p w:rsidR="0049044C" w:rsidRPr="00E67C1C" w:rsidRDefault="0049044C" w:rsidP="00E67C1C">
      <w:pPr>
        <w:jc w:val="both"/>
        <w:rPr>
          <w:szCs w:val="24"/>
        </w:rPr>
      </w:pPr>
      <w:r w:rsidRPr="00E67C1C">
        <w:rPr>
          <w:szCs w:val="24"/>
        </w:rPr>
        <w:t>Not applicable.</w:t>
      </w:r>
    </w:p>
    <w:p w:rsidR="0049044C" w:rsidRPr="00E67C1C" w:rsidRDefault="0049044C" w:rsidP="00E67C1C">
      <w:pPr>
        <w:jc w:val="both"/>
        <w:rPr>
          <w:szCs w:val="24"/>
        </w:rPr>
      </w:pPr>
    </w:p>
    <w:p w:rsidR="0003381F" w:rsidRDefault="0049044C" w:rsidP="00E67C1C">
      <w:pPr>
        <w:jc w:val="both"/>
        <w:rPr>
          <w:szCs w:val="24"/>
        </w:rPr>
      </w:pPr>
      <w:r w:rsidRPr="00E342EB">
        <w:rPr>
          <w:b/>
          <w:szCs w:val="24"/>
        </w:rPr>
        <w:t>18.</w:t>
      </w:r>
      <w:r w:rsidRPr="00E67C1C">
        <w:rPr>
          <w:szCs w:val="24"/>
        </w:rPr>
        <w:t xml:space="preserve">  </w:t>
      </w:r>
      <w:r w:rsidR="00E342EB">
        <w:rPr>
          <w:b/>
          <w:szCs w:val="24"/>
        </w:rPr>
        <w:t xml:space="preserve"> </w:t>
      </w:r>
      <w:r w:rsidRPr="00E67C1C">
        <w:rPr>
          <w:b/>
          <w:szCs w:val="24"/>
        </w:rPr>
        <w:t>Explanation of exception to certification statement</w:t>
      </w:r>
      <w:r w:rsidRPr="00E67C1C">
        <w:rPr>
          <w:szCs w:val="24"/>
        </w:rPr>
        <w:t xml:space="preserve">.  </w:t>
      </w:r>
    </w:p>
    <w:p w:rsidR="0003381F" w:rsidRDefault="0003381F" w:rsidP="00E67C1C">
      <w:pPr>
        <w:jc w:val="both"/>
        <w:rPr>
          <w:szCs w:val="24"/>
        </w:rPr>
      </w:pPr>
    </w:p>
    <w:p w:rsidR="0049044C" w:rsidRPr="00E67C1C" w:rsidRDefault="0049044C" w:rsidP="00E67C1C">
      <w:pPr>
        <w:jc w:val="both"/>
        <w:rPr>
          <w:szCs w:val="24"/>
        </w:rPr>
      </w:pPr>
      <w:r w:rsidRPr="00E67C1C">
        <w:rPr>
          <w:szCs w:val="24"/>
        </w:rPr>
        <w:t>Not applicable.</w:t>
      </w:r>
    </w:p>
    <w:p w:rsidR="0049044C" w:rsidRPr="00E67C1C" w:rsidRDefault="0049044C" w:rsidP="00E67C1C">
      <w:pPr>
        <w:jc w:val="both"/>
        <w:rPr>
          <w:szCs w:val="24"/>
        </w:rPr>
      </w:pPr>
    </w:p>
    <w:p w:rsidR="0049044C" w:rsidRDefault="0049044C" w:rsidP="00E67C1C">
      <w:pPr>
        <w:jc w:val="both"/>
        <w:rPr>
          <w:b/>
          <w:szCs w:val="24"/>
        </w:rPr>
      </w:pPr>
      <w:r w:rsidRPr="00E67C1C">
        <w:rPr>
          <w:b/>
          <w:szCs w:val="24"/>
        </w:rPr>
        <w:t xml:space="preserve">B.  </w:t>
      </w:r>
      <w:r w:rsidR="00E342EB">
        <w:rPr>
          <w:b/>
          <w:szCs w:val="24"/>
        </w:rPr>
        <w:t xml:space="preserve"> </w:t>
      </w:r>
      <w:r w:rsidRPr="00E67C1C">
        <w:rPr>
          <w:b/>
          <w:szCs w:val="24"/>
        </w:rPr>
        <w:t>Collections of Information Employing Statistical Methods.</w:t>
      </w:r>
    </w:p>
    <w:p w:rsidR="0003381F" w:rsidRPr="00E67C1C" w:rsidRDefault="0003381F" w:rsidP="00E67C1C">
      <w:pPr>
        <w:jc w:val="both"/>
        <w:rPr>
          <w:b/>
          <w:szCs w:val="24"/>
        </w:rPr>
      </w:pPr>
    </w:p>
    <w:p w:rsidR="0049044C" w:rsidRPr="00E67C1C" w:rsidRDefault="0049044C" w:rsidP="00E67C1C">
      <w:pPr>
        <w:jc w:val="both"/>
        <w:rPr>
          <w:szCs w:val="24"/>
        </w:rPr>
      </w:pPr>
      <w:r w:rsidRPr="00E67C1C">
        <w:rPr>
          <w:szCs w:val="24"/>
        </w:rPr>
        <w:t>Statistical methods are not used in this information collection.</w:t>
      </w:r>
    </w:p>
    <w:sectPr w:rsidR="0049044C" w:rsidRPr="00E67C1C" w:rsidSect="009B6622">
      <w:footerReference w:type="even" r:id="rId7"/>
      <w:footerReference w:type="default" r:id="rId8"/>
      <w:pgSz w:w="12240" w:h="15840" w:code="1"/>
      <w:pgMar w:top="1440" w:right="1440" w:bottom="1440" w:left="1440" w:header="0" w:footer="432"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CF8" w:rsidRDefault="00182CF8">
      <w:r>
        <w:separator/>
      </w:r>
    </w:p>
  </w:endnote>
  <w:endnote w:type="continuationSeparator" w:id="0">
    <w:p w:rsidR="00182CF8" w:rsidRDefault="00182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elior">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CF8" w:rsidRDefault="009D2D29">
    <w:pPr>
      <w:pStyle w:val="Footer"/>
      <w:framePr w:wrap="around" w:vAnchor="text" w:hAnchor="margin" w:xAlign="center" w:y="1"/>
      <w:rPr>
        <w:rStyle w:val="PageNumber"/>
      </w:rPr>
    </w:pPr>
    <w:r>
      <w:rPr>
        <w:rStyle w:val="PageNumber"/>
      </w:rPr>
      <w:fldChar w:fldCharType="begin"/>
    </w:r>
    <w:r w:rsidR="00182CF8">
      <w:rPr>
        <w:rStyle w:val="PageNumber"/>
      </w:rPr>
      <w:instrText xml:space="preserve">PAGE  </w:instrText>
    </w:r>
    <w:r>
      <w:rPr>
        <w:rStyle w:val="PageNumber"/>
      </w:rPr>
      <w:fldChar w:fldCharType="end"/>
    </w:r>
  </w:p>
  <w:p w:rsidR="00182CF8" w:rsidRDefault="00182C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CF8" w:rsidRDefault="009D2D29">
    <w:pPr>
      <w:pStyle w:val="Footer"/>
      <w:framePr w:wrap="around" w:vAnchor="text" w:hAnchor="margin" w:xAlign="center" w:y="1"/>
      <w:rPr>
        <w:rStyle w:val="PageNumber"/>
      </w:rPr>
    </w:pPr>
    <w:r>
      <w:rPr>
        <w:rStyle w:val="PageNumber"/>
      </w:rPr>
      <w:fldChar w:fldCharType="begin"/>
    </w:r>
    <w:r w:rsidR="00182CF8">
      <w:rPr>
        <w:rStyle w:val="PageNumber"/>
      </w:rPr>
      <w:instrText xml:space="preserve">PAGE  </w:instrText>
    </w:r>
    <w:r>
      <w:rPr>
        <w:rStyle w:val="PageNumber"/>
      </w:rPr>
      <w:fldChar w:fldCharType="separate"/>
    </w:r>
    <w:r w:rsidR="00AB4B26">
      <w:rPr>
        <w:rStyle w:val="PageNumber"/>
        <w:noProof/>
      </w:rPr>
      <w:t>5</w:t>
    </w:r>
    <w:r>
      <w:rPr>
        <w:rStyle w:val="PageNumber"/>
      </w:rPr>
      <w:fldChar w:fldCharType="end"/>
    </w:r>
  </w:p>
  <w:p w:rsidR="00182CF8" w:rsidRDefault="00182CF8"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rsidR="00182CF8" w:rsidRDefault="00182CF8"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rsidR="00182CF8" w:rsidRPr="00222387" w:rsidRDefault="00182CF8" w:rsidP="009B6622">
    <w:pPr>
      <w:pStyle w:val="Footer"/>
      <w:jc w:val="right"/>
      <w:rPr>
        <w:rFonts w:ascii="Courier" w:hAnsi="Courie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CF8" w:rsidRDefault="00182CF8">
      <w:r>
        <w:separator/>
      </w:r>
    </w:p>
  </w:footnote>
  <w:footnote w:type="continuationSeparator" w:id="0">
    <w:p w:rsidR="00182CF8" w:rsidRDefault="00182C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85F"/>
    <w:multiLevelType w:val="hybridMultilevel"/>
    <w:tmpl w:val="1DC46D44"/>
    <w:lvl w:ilvl="0" w:tplc="EE168746">
      <w:start w:val="14"/>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54D0793"/>
    <w:multiLevelType w:val="hybridMultilevel"/>
    <w:tmpl w:val="430441F0"/>
    <w:lvl w:ilvl="0" w:tplc="17FA1F62">
      <w:start w:val="1"/>
      <w:numFmt w:val="upperRoman"/>
      <w:lvlText w:val="%1."/>
      <w:lvlJc w:val="left"/>
      <w:pPr>
        <w:ind w:left="1080" w:hanging="720"/>
      </w:pPr>
      <w:rPr>
        <w:rFonts w:ascii="Melior" w:hAnsi="Melior" w:cs="Melior"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C03B6"/>
    <w:multiLevelType w:val="singleLevel"/>
    <w:tmpl w:val="1C02D212"/>
    <w:lvl w:ilvl="0">
      <w:start w:val="17"/>
      <w:numFmt w:val="decimal"/>
      <w:lvlText w:val="%1."/>
      <w:legacy w:legacy="1" w:legacySpace="0" w:legacyIndent="735"/>
      <w:lvlJc w:val="left"/>
      <w:pPr>
        <w:ind w:left="735" w:hanging="735"/>
      </w:pPr>
      <w:rPr>
        <w:rFonts w:cs="Times New Roman"/>
      </w:rPr>
    </w:lvl>
  </w:abstractNum>
  <w:abstractNum w:abstractNumId="3">
    <w:nsid w:val="7CEB27A4"/>
    <w:multiLevelType w:val="singleLevel"/>
    <w:tmpl w:val="D242AFA0"/>
    <w:lvl w:ilvl="0">
      <w:start w:val="16"/>
      <w:numFmt w:val="decimal"/>
      <w:lvlText w:val="%1."/>
      <w:legacy w:legacy="1" w:legacySpace="0" w:legacyIndent="705"/>
      <w:lvlJc w:val="left"/>
      <w:pPr>
        <w:ind w:left="705" w:hanging="705"/>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E3A35"/>
    <w:rsid w:val="00000C0B"/>
    <w:rsid w:val="00007057"/>
    <w:rsid w:val="00032E15"/>
    <w:rsid w:val="0003381F"/>
    <w:rsid w:val="0006282D"/>
    <w:rsid w:val="000628F4"/>
    <w:rsid w:val="000837CC"/>
    <w:rsid w:val="00085356"/>
    <w:rsid w:val="00096F79"/>
    <w:rsid w:val="000A1427"/>
    <w:rsid w:val="000C051C"/>
    <w:rsid w:val="000C34BC"/>
    <w:rsid w:val="000E3EAC"/>
    <w:rsid w:val="000F6807"/>
    <w:rsid w:val="00103CC7"/>
    <w:rsid w:val="00127043"/>
    <w:rsid w:val="001511F7"/>
    <w:rsid w:val="00157257"/>
    <w:rsid w:val="0017724F"/>
    <w:rsid w:val="00182CF8"/>
    <w:rsid w:val="0018580B"/>
    <w:rsid w:val="00187802"/>
    <w:rsid w:val="001A54E0"/>
    <w:rsid w:val="001B45B5"/>
    <w:rsid w:val="001B469A"/>
    <w:rsid w:val="001D6D97"/>
    <w:rsid w:val="001D748B"/>
    <w:rsid w:val="001E5773"/>
    <w:rsid w:val="001F34A6"/>
    <w:rsid w:val="001F745D"/>
    <w:rsid w:val="0020390D"/>
    <w:rsid w:val="00212EB8"/>
    <w:rsid w:val="00213DD2"/>
    <w:rsid w:val="00217AD2"/>
    <w:rsid w:val="00222387"/>
    <w:rsid w:val="00230EDC"/>
    <w:rsid w:val="0023697B"/>
    <w:rsid w:val="00250A97"/>
    <w:rsid w:val="00262111"/>
    <w:rsid w:val="0027798D"/>
    <w:rsid w:val="002A3591"/>
    <w:rsid w:val="002B5F87"/>
    <w:rsid w:val="002C5A82"/>
    <w:rsid w:val="002F3C18"/>
    <w:rsid w:val="002F49F4"/>
    <w:rsid w:val="003241FB"/>
    <w:rsid w:val="00333F31"/>
    <w:rsid w:val="00344EB3"/>
    <w:rsid w:val="00363393"/>
    <w:rsid w:val="003A728C"/>
    <w:rsid w:val="003B42F4"/>
    <w:rsid w:val="003C2335"/>
    <w:rsid w:val="003E37B0"/>
    <w:rsid w:val="003E76E7"/>
    <w:rsid w:val="003E76F4"/>
    <w:rsid w:val="003F1845"/>
    <w:rsid w:val="003F306B"/>
    <w:rsid w:val="004013F1"/>
    <w:rsid w:val="00404339"/>
    <w:rsid w:val="00404E39"/>
    <w:rsid w:val="00416544"/>
    <w:rsid w:val="004378C3"/>
    <w:rsid w:val="00441685"/>
    <w:rsid w:val="00443E7D"/>
    <w:rsid w:val="00461576"/>
    <w:rsid w:val="004646F0"/>
    <w:rsid w:val="004776A4"/>
    <w:rsid w:val="00485C94"/>
    <w:rsid w:val="0049044C"/>
    <w:rsid w:val="004927CB"/>
    <w:rsid w:val="004B47B0"/>
    <w:rsid w:val="004C102A"/>
    <w:rsid w:val="004C5F91"/>
    <w:rsid w:val="004E0127"/>
    <w:rsid w:val="00501D4C"/>
    <w:rsid w:val="00504BB0"/>
    <w:rsid w:val="00523683"/>
    <w:rsid w:val="005348F4"/>
    <w:rsid w:val="005367E3"/>
    <w:rsid w:val="005401AA"/>
    <w:rsid w:val="00562AF3"/>
    <w:rsid w:val="0056794B"/>
    <w:rsid w:val="005913CD"/>
    <w:rsid w:val="00594F9C"/>
    <w:rsid w:val="005B5799"/>
    <w:rsid w:val="005F19D4"/>
    <w:rsid w:val="006052AB"/>
    <w:rsid w:val="00622CE0"/>
    <w:rsid w:val="0063623F"/>
    <w:rsid w:val="0063723F"/>
    <w:rsid w:val="00640EC9"/>
    <w:rsid w:val="00662764"/>
    <w:rsid w:val="00682F64"/>
    <w:rsid w:val="006B7A22"/>
    <w:rsid w:val="006C3602"/>
    <w:rsid w:val="006D2197"/>
    <w:rsid w:val="006E1E9B"/>
    <w:rsid w:val="006E50BE"/>
    <w:rsid w:val="00704E2F"/>
    <w:rsid w:val="007101DD"/>
    <w:rsid w:val="00727067"/>
    <w:rsid w:val="00741B6E"/>
    <w:rsid w:val="0074300E"/>
    <w:rsid w:val="00754C76"/>
    <w:rsid w:val="00761C0B"/>
    <w:rsid w:val="007704F4"/>
    <w:rsid w:val="007719C2"/>
    <w:rsid w:val="007A7E12"/>
    <w:rsid w:val="007C253F"/>
    <w:rsid w:val="007C3486"/>
    <w:rsid w:val="007E3A35"/>
    <w:rsid w:val="007F528A"/>
    <w:rsid w:val="00806069"/>
    <w:rsid w:val="00831711"/>
    <w:rsid w:val="00836CF2"/>
    <w:rsid w:val="008721CE"/>
    <w:rsid w:val="00880D2A"/>
    <w:rsid w:val="00882CB8"/>
    <w:rsid w:val="008858EB"/>
    <w:rsid w:val="0089656E"/>
    <w:rsid w:val="00896FB2"/>
    <w:rsid w:val="008B1864"/>
    <w:rsid w:val="008C2401"/>
    <w:rsid w:val="008C32BD"/>
    <w:rsid w:val="008C6A82"/>
    <w:rsid w:val="008D31C3"/>
    <w:rsid w:val="008E5C18"/>
    <w:rsid w:val="008F3A64"/>
    <w:rsid w:val="00921957"/>
    <w:rsid w:val="009315EE"/>
    <w:rsid w:val="009329C6"/>
    <w:rsid w:val="00987E85"/>
    <w:rsid w:val="00990628"/>
    <w:rsid w:val="00992073"/>
    <w:rsid w:val="009B1145"/>
    <w:rsid w:val="009B6622"/>
    <w:rsid w:val="009C1E36"/>
    <w:rsid w:val="009D2D29"/>
    <w:rsid w:val="009D2E77"/>
    <w:rsid w:val="009D2EF0"/>
    <w:rsid w:val="009F2F82"/>
    <w:rsid w:val="00A02D12"/>
    <w:rsid w:val="00A11589"/>
    <w:rsid w:val="00A14E86"/>
    <w:rsid w:val="00A25E91"/>
    <w:rsid w:val="00A40E74"/>
    <w:rsid w:val="00A7607A"/>
    <w:rsid w:val="00A763C6"/>
    <w:rsid w:val="00AA4F1E"/>
    <w:rsid w:val="00AB150E"/>
    <w:rsid w:val="00AB4B26"/>
    <w:rsid w:val="00AC6C1B"/>
    <w:rsid w:val="00AC73EE"/>
    <w:rsid w:val="00B04B03"/>
    <w:rsid w:val="00B102B1"/>
    <w:rsid w:val="00B20D7C"/>
    <w:rsid w:val="00B21A1C"/>
    <w:rsid w:val="00B26EB1"/>
    <w:rsid w:val="00B53280"/>
    <w:rsid w:val="00B54936"/>
    <w:rsid w:val="00B70969"/>
    <w:rsid w:val="00B84F6B"/>
    <w:rsid w:val="00B9318C"/>
    <w:rsid w:val="00BA1CD1"/>
    <w:rsid w:val="00BA42AE"/>
    <w:rsid w:val="00BB41D7"/>
    <w:rsid w:val="00BC0C86"/>
    <w:rsid w:val="00BD5241"/>
    <w:rsid w:val="00BE3C21"/>
    <w:rsid w:val="00C047D9"/>
    <w:rsid w:val="00C93669"/>
    <w:rsid w:val="00C95E7A"/>
    <w:rsid w:val="00CF2566"/>
    <w:rsid w:val="00D019E1"/>
    <w:rsid w:val="00D10ABD"/>
    <w:rsid w:val="00D144B0"/>
    <w:rsid w:val="00D14ADC"/>
    <w:rsid w:val="00D36ECE"/>
    <w:rsid w:val="00D421A4"/>
    <w:rsid w:val="00D4640F"/>
    <w:rsid w:val="00D51103"/>
    <w:rsid w:val="00D608AF"/>
    <w:rsid w:val="00D62713"/>
    <w:rsid w:val="00D87761"/>
    <w:rsid w:val="00D90E53"/>
    <w:rsid w:val="00D96565"/>
    <w:rsid w:val="00DA0DD8"/>
    <w:rsid w:val="00DB39DB"/>
    <w:rsid w:val="00DC1956"/>
    <w:rsid w:val="00DC7DFD"/>
    <w:rsid w:val="00DF476D"/>
    <w:rsid w:val="00DF72FB"/>
    <w:rsid w:val="00E167E6"/>
    <w:rsid w:val="00E17002"/>
    <w:rsid w:val="00E17A6F"/>
    <w:rsid w:val="00E211E3"/>
    <w:rsid w:val="00E21201"/>
    <w:rsid w:val="00E2603C"/>
    <w:rsid w:val="00E27B2C"/>
    <w:rsid w:val="00E342EB"/>
    <w:rsid w:val="00E3685E"/>
    <w:rsid w:val="00E41636"/>
    <w:rsid w:val="00E50F4C"/>
    <w:rsid w:val="00E64AE9"/>
    <w:rsid w:val="00E67C1C"/>
    <w:rsid w:val="00E731B5"/>
    <w:rsid w:val="00E77EDD"/>
    <w:rsid w:val="00E90286"/>
    <w:rsid w:val="00E93C6C"/>
    <w:rsid w:val="00EF792B"/>
    <w:rsid w:val="00F576A1"/>
    <w:rsid w:val="00F64FFE"/>
    <w:rsid w:val="00F666E2"/>
    <w:rsid w:val="00F70691"/>
    <w:rsid w:val="00F709C9"/>
    <w:rsid w:val="00F8178B"/>
    <w:rsid w:val="00FA3AA2"/>
    <w:rsid w:val="00FE5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4C"/>
    <w:rPr>
      <w:sz w:val="24"/>
      <w:szCs w:val="20"/>
    </w:rPr>
  </w:style>
  <w:style w:type="paragraph" w:styleId="Heading1">
    <w:name w:val="heading 1"/>
    <w:basedOn w:val="Normal"/>
    <w:next w:val="Normal"/>
    <w:link w:val="Heading1Char"/>
    <w:uiPriority w:val="99"/>
    <w:qFormat/>
    <w:rsid w:val="00E50F4C"/>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280"/>
    <w:rPr>
      <w:rFonts w:ascii="Cambria" w:hAnsi="Cambria" w:cs="Times New Roman"/>
      <w:b/>
      <w:bCs/>
      <w:kern w:val="32"/>
      <w:sz w:val="32"/>
      <w:szCs w:val="32"/>
    </w:rPr>
  </w:style>
  <w:style w:type="paragraph" w:styleId="BalloonText">
    <w:name w:val="Balloon Text"/>
    <w:basedOn w:val="Normal"/>
    <w:link w:val="BalloonTextChar"/>
    <w:uiPriority w:val="99"/>
    <w:semiHidden/>
    <w:rsid w:val="007E3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280"/>
    <w:rPr>
      <w:rFonts w:cs="Times New Roman"/>
      <w:sz w:val="2"/>
    </w:rPr>
  </w:style>
  <w:style w:type="paragraph" w:styleId="FootnoteText">
    <w:name w:val="footnote text"/>
    <w:basedOn w:val="Normal"/>
    <w:link w:val="FootnoteTextChar"/>
    <w:uiPriority w:val="99"/>
    <w:semiHidden/>
    <w:rsid w:val="00E50F4C"/>
    <w:rPr>
      <w:sz w:val="20"/>
    </w:rPr>
  </w:style>
  <w:style w:type="character" w:customStyle="1" w:styleId="FootnoteTextChar">
    <w:name w:val="Footnote Text Char"/>
    <w:basedOn w:val="DefaultParagraphFont"/>
    <w:link w:val="FootnoteText"/>
    <w:uiPriority w:val="99"/>
    <w:semiHidden/>
    <w:locked/>
    <w:rsid w:val="00B53280"/>
    <w:rPr>
      <w:rFonts w:cs="Times New Roman"/>
      <w:sz w:val="20"/>
      <w:szCs w:val="20"/>
    </w:rPr>
  </w:style>
  <w:style w:type="character" w:styleId="FootnoteReference">
    <w:name w:val="footnote reference"/>
    <w:basedOn w:val="DefaultParagraphFont"/>
    <w:uiPriority w:val="99"/>
    <w:semiHidden/>
    <w:rsid w:val="00E50F4C"/>
    <w:rPr>
      <w:rFonts w:cs="Times New Roman"/>
      <w:vertAlign w:val="superscript"/>
    </w:rPr>
  </w:style>
  <w:style w:type="paragraph" w:styleId="BodyText">
    <w:name w:val="Body Text"/>
    <w:basedOn w:val="Normal"/>
    <w:link w:val="BodyTextChar"/>
    <w:uiPriority w:val="99"/>
    <w:rsid w:val="00E50F4C"/>
    <w:rPr>
      <w:rFonts w:ascii="Courier New" w:hAnsi="Courier New"/>
    </w:rPr>
  </w:style>
  <w:style w:type="character" w:customStyle="1" w:styleId="BodyTextChar">
    <w:name w:val="Body Text Char"/>
    <w:basedOn w:val="DefaultParagraphFont"/>
    <w:link w:val="BodyText"/>
    <w:uiPriority w:val="99"/>
    <w:semiHidden/>
    <w:locked/>
    <w:rsid w:val="00B53280"/>
    <w:rPr>
      <w:rFonts w:cs="Times New Roman"/>
      <w:sz w:val="20"/>
      <w:szCs w:val="20"/>
    </w:rPr>
  </w:style>
  <w:style w:type="paragraph" w:styleId="Title">
    <w:name w:val="Title"/>
    <w:basedOn w:val="Normal"/>
    <w:link w:val="TitleChar"/>
    <w:uiPriority w:val="99"/>
    <w:qFormat/>
    <w:rsid w:val="00E50F4C"/>
    <w:pPr>
      <w:jc w:val="center"/>
    </w:pPr>
    <w:rPr>
      <w:rFonts w:ascii="Courier New" w:hAnsi="Courier New"/>
      <w:b/>
      <w:u w:val="single"/>
    </w:rPr>
  </w:style>
  <w:style w:type="character" w:customStyle="1" w:styleId="TitleChar">
    <w:name w:val="Title Char"/>
    <w:basedOn w:val="DefaultParagraphFont"/>
    <w:link w:val="Title"/>
    <w:uiPriority w:val="99"/>
    <w:locked/>
    <w:rsid w:val="00B53280"/>
    <w:rPr>
      <w:rFonts w:ascii="Cambria" w:hAnsi="Cambria" w:cs="Times New Roman"/>
      <w:b/>
      <w:bCs/>
      <w:kern w:val="28"/>
      <w:sz w:val="32"/>
      <w:szCs w:val="32"/>
    </w:rPr>
  </w:style>
  <w:style w:type="paragraph" w:styleId="Footer">
    <w:name w:val="footer"/>
    <w:basedOn w:val="Normal"/>
    <w:link w:val="FooterChar"/>
    <w:uiPriority w:val="99"/>
    <w:rsid w:val="00E50F4C"/>
    <w:pPr>
      <w:tabs>
        <w:tab w:val="center" w:pos="4320"/>
        <w:tab w:val="right" w:pos="8640"/>
      </w:tabs>
    </w:pPr>
  </w:style>
  <w:style w:type="character" w:customStyle="1" w:styleId="FooterChar">
    <w:name w:val="Footer Char"/>
    <w:basedOn w:val="DefaultParagraphFont"/>
    <w:link w:val="Footer"/>
    <w:uiPriority w:val="99"/>
    <w:semiHidden/>
    <w:locked/>
    <w:rsid w:val="00B53280"/>
    <w:rPr>
      <w:rFonts w:cs="Times New Roman"/>
      <w:sz w:val="20"/>
      <w:szCs w:val="20"/>
    </w:rPr>
  </w:style>
  <w:style w:type="character" w:styleId="PageNumber">
    <w:name w:val="page number"/>
    <w:basedOn w:val="DefaultParagraphFont"/>
    <w:uiPriority w:val="99"/>
    <w:rsid w:val="00E50F4C"/>
    <w:rPr>
      <w:rFonts w:cs="Times New Roman"/>
    </w:rPr>
  </w:style>
  <w:style w:type="paragraph" w:styleId="HTMLPreformatted">
    <w:name w:val="HTML Preformatted"/>
    <w:basedOn w:val="Normal"/>
    <w:link w:val="HTMLPreformattedChar"/>
    <w:uiPriority w:val="99"/>
    <w:rsid w:val="00E2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B7A22"/>
    <w:rPr>
      <w:rFonts w:ascii="Courier New" w:hAnsi="Courier New" w:cs="Courier New"/>
    </w:rPr>
  </w:style>
  <w:style w:type="table" w:styleId="TableSimple1">
    <w:name w:val="Table Simple 1"/>
    <w:basedOn w:val="TableNormal"/>
    <w:uiPriority w:val="99"/>
    <w:rsid w:val="00E21201"/>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9B6622"/>
    <w:pPr>
      <w:tabs>
        <w:tab w:val="center" w:pos="4320"/>
        <w:tab w:val="right" w:pos="8640"/>
      </w:tabs>
    </w:pPr>
  </w:style>
  <w:style w:type="character" w:customStyle="1" w:styleId="HeaderChar">
    <w:name w:val="Header Char"/>
    <w:basedOn w:val="DefaultParagraphFont"/>
    <w:link w:val="Header"/>
    <w:uiPriority w:val="99"/>
    <w:semiHidden/>
    <w:locked/>
    <w:rsid w:val="00B53280"/>
    <w:rPr>
      <w:rFonts w:cs="Times New Roman"/>
      <w:sz w:val="20"/>
      <w:szCs w:val="20"/>
    </w:rPr>
  </w:style>
  <w:style w:type="character" w:styleId="CommentReference">
    <w:name w:val="annotation reference"/>
    <w:basedOn w:val="DefaultParagraphFont"/>
    <w:uiPriority w:val="99"/>
    <w:rsid w:val="00E67C1C"/>
    <w:rPr>
      <w:rFonts w:cs="Times New Roman"/>
      <w:sz w:val="16"/>
      <w:szCs w:val="16"/>
    </w:rPr>
  </w:style>
  <w:style w:type="paragraph" w:styleId="CommentText">
    <w:name w:val="annotation text"/>
    <w:basedOn w:val="Normal"/>
    <w:link w:val="CommentTextChar"/>
    <w:uiPriority w:val="99"/>
    <w:rsid w:val="00E67C1C"/>
    <w:rPr>
      <w:sz w:val="20"/>
    </w:rPr>
  </w:style>
  <w:style w:type="character" w:customStyle="1" w:styleId="CommentTextChar">
    <w:name w:val="Comment Text Char"/>
    <w:basedOn w:val="DefaultParagraphFont"/>
    <w:link w:val="CommentText"/>
    <w:uiPriority w:val="99"/>
    <w:locked/>
    <w:rsid w:val="00E67C1C"/>
    <w:rPr>
      <w:rFonts w:cs="Times New Roman"/>
    </w:rPr>
  </w:style>
  <w:style w:type="paragraph" w:styleId="CommentSubject">
    <w:name w:val="annotation subject"/>
    <w:basedOn w:val="CommentText"/>
    <w:next w:val="CommentText"/>
    <w:link w:val="CommentSubjectChar"/>
    <w:uiPriority w:val="99"/>
    <w:rsid w:val="00E67C1C"/>
    <w:rPr>
      <w:b/>
      <w:bCs/>
    </w:rPr>
  </w:style>
  <w:style w:type="character" w:customStyle="1" w:styleId="CommentSubjectChar">
    <w:name w:val="Comment Subject Char"/>
    <w:basedOn w:val="CommentTextChar"/>
    <w:link w:val="CommentSubject"/>
    <w:uiPriority w:val="99"/>
    <w:locked/>
    <w:rsid w:val="00E67C1C"/>
    <w:rPr>
      <w:b/>
      <w:bCs/>
    </w:rPr>
  </w:style>
  <w:style w:type="paragraph" w:customStyle="1" w:styleId="pbody">
    <w:name w:val="pbody"/>
    <w:basedOn w:val="Normal"/>
    <w:uiPriority w:val="99"/>
    <w:rsid w:val="00DA0DD8"/>
    <w:pPr>
      <w:spacing w:line="288" w:lineRule="auto"/>
      <w:ind w:firstLine="240"/>
    </w:pPr>
    <w:rPr>
      <w:rFonts w:ascii="Arial" w:hAnsi="Arial" w:cs="Arial"/>
      <w:color w:val="000000"/>
      <w:sz w:val="20"/>
    </w:rPr>
  </w:style>
  <w:style w:type="character" w:styleId="Hyperlink">
    <w:name w:val="Hyperlink"/>
    <w:basedOn w:val="DefaultParagraphFont"/>
    <w:uiPriority w:val="99"/>
    <w:rsid w:val="00D144B0"/>
    <w:rPr>
      <w:rFonts w:cs="Times New Roman"/>
      <w:color w:val="0000FF"/>
      <w:u w:val="single"/>
    </w:rPr>
  </w:style>
  <w:style w:type="table" w:styleId="TableGrid">
    <w:name w:val="Table Grid"/>
    <w:basedOn w:val="TableNormal"/>
    <w:uiPriority w:val="99"/>
    <w:rsid w:val="004E012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0">
    <w:name w:val="normal"/>
    <w:rsid w:val="009B1145"/>
    <w:rPr>
      <w:color w:val="000000"/>
      <w:sz w:val="24"/>
    </w:rPr>
  </w:style>
  <w:style w:type="paragraph" w:styleId="ListParagraph">
    <w:name w:val="List Paragraph"/>
    <w:basedOn w:val="Normal"/>
    <w:uiPriority w:val="34"/>
    <w:qFormat/>
    <w:rsid w:val="005367E3"/>
    <w:pPr>
      <w:ind w:left="720"/>
      <w:contextualSpacing/>
    </w:pPr>
  </w:style>
</w:styles>
</file>

<file path=word/webSettings.xml><?xml version="1.0" encoding="utf-8"?>
<w:webSettings xmlns:r="http://schemas.openxmlformats.org/officeDocument/2006/relationships" xmlns:w="http://schemas.openxmlformats.org/wordprocessingml/2006/main">
  <w:divs>
    <w:div w:id="106437037">
      <w:marLeft w:val="0"/>
      <w:marRight w:val="0"/>
      <w:marTop w:val="0"/>
      <w:marBottom w:val="0"/>
      <w:divBdr>
        <w:top w:val="none" w:sz="0" w:space="0" w:color="auto"/>
        <w:left w:val="none" w:sz="0" w:space="0" w:color="auto"/>
        <w:bottom w:val="none" w:sz="0" w:space="0" w:color="auto"/>
        <w:right w:val="none" w:sz="0" w:space="0" w:color="auto"/>
      </w:divBdr>
    </w:div>
    <w:div w:id="106437038">
      <w:marLeft w:val="0"/>
      <w:marRight w:val="0"/>
      <w:marTop w:val="0"/>
      <w:marBottom w:val="0"/>
      <w:divBdr>
        <w:top w:val="none" w:sz="0" w:space="0" w:color="auto"/>
        <w:left w:val="none" w:sz="0" w:space="0" w:color="auto"/>
        <w:bottom w:val="none" w:sz="0" w:space="0" w:color="auto"/>
        <w:right w:val="none" w:sz="0" w:space="0" w:color="auto"/>
      </w:divBdr>
    </w:div>
    <w:div w:id="13524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1551</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HadaNFlowers</cp:lastModifiedBy>
  <cp:revision>2</cp:revision>
  <cp:lastPrinted>2013-12-12T16:25:00Z</cp:lastPrinted>
  <dcterms:created xsi:type="dcterms:W3CDTF">2014-06-26T15:00:00Z</dcterms:created>
  <dcterms:modified xsi:type="dcterms:W3CDTF">2014-06-26T15:00:00Z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-1030637235</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2005942147</vt:i4>
  </property>
  <property fmtid="{D5CDD505-2E9C-101B-9397-08002B2CF9AE}" pid="8" name="_ReviewingToolsShownOnce">
    <vt:lpwstr/>
  </property>
</Properties>
</file>