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74A" w:rsidRDefault="0010574A" w:rsidP="0010574A">
      <w:pPr>
        <w:pStyle w:val="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90"/>
          <w:tab w:val="left" w:pos="10080"/>
          <w:tab w:val="left" w:pos="10800"/>
          <w:tab w:val="left" w:pos="11520"/>
          <w:tab w:val="left" w:pos="12240"/>
          <w:tab w:val="left" w:pos="12960"/>
          <w:tab w:val="left" w:pos="13680"/>
          <w:tab w:val="left" w:pos="14400"/>
        </w:tabs>
        <w:ind w:right="-90"/>
        <w:rPr>
          <w:rFonts w:ascii="Helvetica" w:hAnsi="Helvetica"/>
          <w:bCs w:val="0"/>
        </w:rPr>
      </w:pPr>
      <w:r>
        <w:rPr>
          <w:rFonts w:ascii="Helvetica" w:hAnsi="Helvetica"/>
          <w:bCs w:val="0"/>
        </w:rPr>
        <w:t>S</w:t>
      </w:r>
      <w:r>
        <w:rPr>
          <w:rFonts w:ascii="Helvetica" w:hAnsi="Helvetica"/>
          <w:bCs w:val="0"/>
        </w:rPr>
        <w:t>upporting Statement for Paperwork Reduction Act Submissions</w:t>
      </w:r>
    </w:p>
    <w:p w:rsidR="0010574A" w:rsidRDefault="0010574A" w:rsidP="0010574A">
      <w:pPr>
        <w:pStyle w:val="OmniPage1"/>
        <w:tabs>
          <w:tab w:val="left" w:pos="9990"/>
          <w:tab w:val="left" w:pos="10080"/>
          <w:tab w:val="left" w:pos="10800"/>
        </w:tabs>
        <w:spacing w:line="240" w:lineRule="auto"/>
        <w:ind w:left="0" w:right="-90"/>
        <w:jc w:val="left"/>
        <w:rPr>
          <w:b/>
          <w:sz w:val="24"/>
        </w:rPr>
      </w:pPr>
    </w:p>
    <w:p w:rsidR="0010574A" w:rsidRDefault="0010574A" w:rsidP="0010574A">
      <w:pPr>
        <w:pStyle w:val="OmniPage1"/>
        <w:tabs>
          <w:tab w:val="left" w:pos="9990"/>
          <w:tab w:val="left" w:pos="10080"/>
          <w:tab w:val="left" w:pos="10800"/>
        </w:tabs>
        <w:spacing w:line="240" w:lineRule="auto"/>
        <w:ind w:left="0" w:right="-90"/>
        <w:rPr>
          <w:b/>
          <w:sz w:val="22"/>
        </w:rPr>
      </w:pPr>
      <w:r>
        <w:rPr>
          <w:b/>
          <w:sz w:val="22"/>
        </w:rPr>
        <w:t>Housing Counseling Program</w:t>
      </w:r>
      <w:bookmarkStart w:id="0" w:name="_GoBack"/>
      <w:bookmarkEnd w:id="0"/>
    </w:p>
    <w:p w:rsidR="0010574A" w:rsidRDefault="0010574A" w:rsidP="0010574A">
      <w:pPr>
        <w:pStyle w:val="OmniPage2"/>
        <w:tabs>
          <w:tab w:val="left" w:pos="9990"/>
          <w:tab w:val="left" w:pos="10080"/>
          <w:tab w:val="left" w:pos="10800"/>
        </w:tabs>
        <w:spacing w:line="240" w:lineRule="auto"/>
        <w:ind w:left="0" w:right="-90"/>
        <w:jc w:val="center"/>
        <w:rPr>
          <w:b/>
          <w:sz w:val="22"/>
        </w:rPr>
      </w:pPr>
      <w:r>
        <w:rPr>
          <w:b/>
          <w:sz w:val="22"/>
        </w:rPr>
        <w:t>OMB No. 2502</w:t>
      </w:r>
      <w:r>
        <w:rPr>
          <w:b/>
          <w:sz w:val="22"/>
        </w:rPr>
        <w:noBreakHyphen/>
        <w:t>0574</w:t>
      </w:r>
    </w:p>
    <w:p w:rsidR="0010574A" w:rsidRDefault="0010574A" w:rsidP="0010574A">
      <w:pPr>
        <w:pStyle w:val="OmniPage2"/>
        <w:spacing w:line="240" w:lineRule="auto"/>
        <w:ind w:left="0" w:right="0"/>
        <w:jc w:val="center"/>
        <w:rPr>
          <w:b/>
          <w:sz w:val="22"/>
        </w:rPr>
      </w:pPr>
      <w:r>
        <w:rPr>
          <w:b/>
          <w:sz w:val="22"/>
        </w:rPr>
        <w:t>(</w:t>
      </w:r>
      <w:r>
        <w:rPr>
          <w:b/>
          <w:color w:val="000000"/>
          <w:sz w:val="22"/>
        </w:rPr>
        <w:t>HUD-9910</w:t>
      </w:r>
      <w:r>
        <w:rPr>
          <w:b/>
          <w:sz w:val="22"/>
        </w:rPr>
        <w:t>)</w:t>
      </w:r>
    </w:p>
    <w:p w:rsidR="0010574A" w:rsidRDefault="0010574A" w:rsidP="0010574A">
      <w:pPr>
        <w:pStyle w:val="OmniPage2"/>
        <w:tabs>
          <w:tab w:val="left" w:pos="9990"/>
          <w:tab w:val="left" w:pos="10800"/>
        </w:tabs>
        <w:spacing w:line="240" w:lineRule="auto"/>
        <w:ind w:left="0" w:right="-90"/>
        <w:rPr>
          <w:bCs/>
          <w:sz w:val="22"/>
        </w:rPr>
      </w:pPr>
    </w:p>
    <w:p w:rsidR="0010574A" w:rsidRPr="00470C3C" w:rsidRDefault="0010574A" w:rsidP="0010574A">
      <w:pPr>
        <w:tabs>
          <w:tab w:val="left" w:pos="360"/>
          <w:tab w:val="left" w:pos="9990"/>
          <w:tab w:val="left" w:pos="10800"/>
        </w:tabs>
        <w:ind w:right="-90"/>
        <w:rPr>
          <w:b/>
          <w:bCs/>
          <w:sz w:val="24"/>
          <w:szCs w:val="24"/>
        </w:rPr>
      </w:pPr>
      <w:r>
        <w:rPr>
          <w:b/>
          <w:bCs/>
          <w:sz w:val="24"/>
          <w:szCs w:val="24"/>
        </w:rPr>
        <w:t xml:space="preserve">A.  </w:t>
      </w:r>
      <w:r w:rsidRPr="00470C3C">
        <w:rPr>
          <w:b/>
          <w:bCs/>
          <w:sz w:val="24"/>
          <w:szCs w:val="24"/>
        </w:rPr>
        <w:t>Justification:</w:t>
      </w:r>
    </w:p>
    <w:p w:rsidR="0010574A" w:rsidRPr="00470C3C" w:rsidRDefault="0010574A" w:rsidP="0010574A">
      <w:pPr>
        <w:tabs>
          <w:tab w:val="left" w:pos="360"/>
          <w:tab w:val="left" w:pos="9990"/>
          <w:tab w:val="left" w:pos="10800"/>
        </w:tabs>
        <w:ind w:right="-90"/>
        <w:rPr>
          <w:b/>
          <w:bCs/>
          <w:sz w:val="24"/>
          <w:szCs w:val="24"/>
        </w:rPr>
      </w:pPr>
    </w:p>
    <w:p w:rsidR="0010574A" w:rsidRPr="00470C3C" w:rsidRDefault="0010574A" w:rsidP="0010574A">
      <w:pPr>
        <w:pStyle w:val="BodyText"/>
        <w:numPr>
          <w:ilvl w:val="0"/>
          <w:numId w:val="1"/>
        </w:numPr>
        <w:tabs>
          <w:tab w:val="left" w:pos="10800"/>
        </w:tabs>
        <w:rPr>
          <w:szCs w:val="24"/>
        </w:rPr>
      </w:pPr>
      <w:r w:rsidRPr="00470C3C">
        <w:rPr>
          <w:szCs w:val="24"/>
        </w:rPr>
        <w:t xml:space="preserve">The </w:t>
      </w:r>
      <w:r>
        <w:rPr>
          <w:szCs w:val="24"/>
        </w:rPr>
        <w:t>Office of Housing Counseling</w:t>
      </w:r>
      <w:r w:rsidRPr="00470C3C">
        <w:rPr>
          <w:szCs w:val="24"/>
        </w:rPr>
        <w:t xml:space="preserve"> is responsible for administration of the Department’s Housing Counseling Program, authorized by Section 106 of the Housing and Urban Development Act of 1968 (12 U.S.C. 1701w and 1701x).  The Housing Counseling Program supports the delivery of a wide variety of housing counseling services to homebuyers, homeowners, low- to moderate–income renters and the homeless.  The primary objectives of the program are to expand homeownership opportunities</w:t>
      </w:r>
      <w:r>
        <w:rPr>
          <w:szCs w:val="24"/>
        </w:rPr>
        <w:t>, preserve homeownership</w:t>
      </w:r>
      <w:r w:rsidRPr="00470C3C">
        <w:rPr>
          <w:szCs w:val="24"/>
        </w:rPr>
        <w:t xml:space="preserve"> and improve access to affordable housing.  </w:t>
      </w:r>
      <w:r>
        <w:rPr>
          <w:szCs w:val="24"/>
        </w:rPr>
        <w:t>These services are provided by non-profit and government organizations.  The housing c</w:t>
      </w:r>
      <w:r w:rsidRPr="00470C3C">
        <w:rPr>
          <w:szCs w:val="24"/>
        </w:rPr>
        <w:t>ounselors provide guidance and advice to help families and individuals improve their housing conditions and meet the responsibilities of tenancy and homeownership.  Counselors also help borrowers avoid predatory lending practices, such as inflated appraisals, unreasonably high interest rates</w:t>
      </w:r>
      <w:r>
        <w:rPr>
          <w:szCs w:val="24"/>
        </w:rPr>
        <w:t>/mortgages</w:t>
      </w:r>
      <w:r w:rsidRPr="00470C3C">
        <w:rPr>
          <w:szCs w:val="24"/>
        </w:rPr>
        <w:t xml:space="preserve">, unaffordable repayment terms and other conditions that can result in a loss of equity, increased debt, default and foreclosure.  </w:t>
      </w:r>
    </w:p>
    <w:p w:rsidR="0010574A" w:rsidRPr="00470C3C" w:rsidRDefault="0010574A" w:rsidP="0010574A">
      <w:pPr>
        <w:pStyle w:val="BodyText"/>
        <w:ind w:left="360" w:right="-90"/>
        <w:rPr>
          <w:szCs w:val="24"/>
        </w:rPr>
      </w:pPr>
    </w:p>
    <w:p w:rsidR="0010574A" w:rsidRPr="00470C3C" w:rsidRDefault="0010574A" w:rsidP="0010574A">
      <w:pPr>
        <w:pStyle w:val="BodyText"/>
        <w:ind w:left="360" w:right="-90"/>
        <w:rPr>
          <w:szCs w:val="24"/>
        </w:rPr>
      </w:pPr>
      <w:r w:rsidRPr="00470C3C">
        <w:rPr>
          <w:szCs w:val="24"/>
        </w:rPr>
        <w:t>To participate in HUD’s Housing Counseling program, a housing counseling agency must</w:t>
      </w:r>
      <w:r>
        <w:rPr>
          <w:szCs w:val="24"/>
        </w:rPr>
        <w:t xml:space="preserve"> </w:t>
      </w:r>
      <w:r w:rsidRPr="00470C3C">
        <w:rPr>
          <w:szCs w:val="24"/>
        </w:rPr>
        <w:t>be approved by HUD</w:t>
      </w:r>
      <w:r>
        <w:rPr>
          <w:szCs w:val="24"/>
        </w:rPr>
        <w:t xml:space="preserve"> (2502-0573), or designated as a </w:t>
      </w:r>
      <w:proofErr w:type="spellStart"/>
      <w:r>
        <w:rPr>
          <w:szCs w:val="24"/>
        </w:rPr>
        <w:t>subgrantee</w:t>
      </w:r>
      <w:proofErr w:type="spellEnd"/>
      <w:r>
        <w:rPr>
          <w:szCs w:val="24"/>
        </w:rPr>
        <w:t xml:space="preserve"> or affiliate of a HUD-approved intermediary, multi-state organization, or a state housing finance agency.</w:t>
      </w:r>
      <w:r w:rsidRPr="00470C3C">
        <w:rPr>
          <w:szCs w:val="24"/>
        </w:rPr>
        <w:t xml:space="preserve">  Approval entails meeting various requirements relating to experience and capacity, including nonprofit status, a minimum of one year of housing counseling experience in the target community and sufficient resources to implement a housing counseling plan.  In order to maintain approval status housing counseling agencies must remain in compliance with program policies and regulations.</w:t>
      </w:r>
    </w:p>
    <w:p w:rsidR="0010574A" w:rsidRPr="00470C3C" w:rsidRDefault="0010574A" w:rsidP="0010574A">
      <w:pPr>
        <w:pStyle w:val="BodyTextIndent2"/>
        <w:ind w:left="0"/>
        <w:rPr>
          <w:szCs w:val="24"/>
        </w:rPr>
      </w:pPr>
    </w:p>
    <w:p w:rsidR="0010574A" w:rsidRDefault="0010574A" w:rsidP="0010574A">
      <w:pPr>
        <w:pStyle w:val="BodyTextIndent2"/>
        <w:numPr>
          <w:ilvl w:val="0"/>
          <w:numId w:val="1"/>
        </w:numPr>
        <w:tabs>
          <w:tab w:val="left" w:pos="4410"/>
        </w:tabs>
        <w:rPr>
          <w:szCs w:val="24"/>
        </w:rPr>
      </w:pPr>
      <w:r w:rsidRPr="00470C3C">
        <w:rPr>
          <w:color w:val="000000"/>
          <w:szCs w:val="24"/>
        </w:rPr>
        <w:t>HUD</w:t>
      </w:r>
      <w:r>
        <w:rPr>
          <w:color w:val="000000"/>
          <w:szCs w:val="24"/>
        </w:rPr>
        <w:t xml:space="preserve"> participating</w:t>
      </w:r>
      <w:r w:rsidRPr="00470C3C">
        <w:rPr>
          <w:color w:val="000000"/>
          <w:szCs w:val="24"/>
        </w:rPr>
        <w:t xml:space="preserve"> agencies are non-profit and government organizations that provide housing services.  </w:t>
      </w:r>
      <w:r>
        <w:rPr>
          <w:color w:val="000000"/>
          <w:szCs w:val="24"/>
        </w:rPr>
        <w:t>HUD staff perform on-site, or desk/remote monitoring of agencies participating in HUD’s Housing Counseling Program.</w:t>
      </w:r>
      <w:r w:rsidRPr="00470C3C">
        <w:rPr>
          <w:szCs w:val="24"/>
        </w:rPr>
        <w:t xml:space="preserve"> </w:t>
      </w:r>
      <w:r>
        <w:rPr>
          <w:szCs w:val="24"/>
        </w:rPr>
        <w:t xml:space="preserve">Staff uses form HUD-9910, Performance Review, to conduct and document results of performance reviews.  </w:t>
      </w:r>
    </w:p>
    <w:p w:rsidR="0010574A" w:rsidRDefault="0010574A" w:rsidP="0010574A">
      <w:pPr>
        <w:pStyle w:val="BodyTextIndent2"/>
        <w:tabs>
          <w:tab w:val="left" w:pos="4410"/>
        </w:tabs>
        <w:rPr>
          <w:szCs w:val="24"/>
        </w:rPr>
      </w:pPr>
    </w:p>
    <w:p w:rsidR="0010574A" w:rsidRPr="00470C3C" w:rsidRDefault="0010574A" w:rsidP="0010574A">
      <w:pPr>
        <w:pStyle w:val="BodyTextIndent2"/>
        <w:tabs>
          <w:tab w:val="left" w:pos="4410"/>
        </w:tabs>
        <w:rPr>
          <w:szCs w:val="24"/>
        </w:rPr>
      </w:pPr>
      <w:r w:rsidRPr="00470C3C">
        <w:rPr>
          <w:szCs w:val="24"/>
        </w:rPr>
        <w:t xml:space="preserve">The performance reviews are conducted to ensure that agencies are in compliance with </w:t>
      </w:r>
      <w:r>
        <w:rPr>
          <w:szCs w:val="24"/>
        </w:rPr>
        <w:t>all program requirements including applicable civil rights requirements and the agency’s level of success in delivering counseling services.</w:t>
      </w:r>
      <w:r w:rsidRPr="00470C3C">
        <w:rPr>
          <w:szCs w:val="24"/>
        </w:rPr>
        <w:t xml:space="preserve">  Housing Counseling Program requirements are set forth in </w:t>
      </w:r>
      <w:r>
        <w:rPr>
          <w:szCs w:val="24"/>
        </w:rPr>
        <w:t xml:space="preserve">24CFR214, Housing Counseling Program, </w:t>
      </w:r>
      <w:r w:rsidRPr="00470C3C">
        <w:rPr>
          <w:szCs w:val="24"/>
        </w:rPr>
        <w:t>Housing Counseling Program Handbook 7610.1, mortgagee letters and grant agreements (if applicable)</w:t>
      </w:r>
      <w:r>
        <w:rPr>
          <w:szCs w:val="24"/>
        </w:rPr>
        <w:t xml:space="preserve">. </w:t>
      </w:r>
      <w:r w:rsidRPr="00470C3C">
        <w:rPr>
          <w:szCs w:val="24"/>
        </w:rPr>
        <w:t>Findings from performance reviews are used to</w:t>
      </w:r>
      <w:r>
        <w:rPr>
          <w:szCs w:val="24"/>
        </w:rPr>
        <w:t xml:space="preserve"> issue conditional re-approval, if </w:t>
      </w:r>
      <w:proofErr w:type="gramStart"/>
      <w:r>
        <w:rPr>
          <w:szCs w:val="24"/>
        </w:rPr>
        <w:t>applicable,</w:t>
      </w:r>
      <w:proofErr w:type="gramEnd"/>
      <w:r>
        <w:rPr>
          <w:szCs w:val="24"/>
        </w:rPr>
        <w:t xml:space="preserve"> and unconditional re-approval status of the</w:t>
      </w:r>
      <w:r w:rsidRPr="00470C3C">
        <w:rPr>
          <w:szCs w:val="24"/>
        </w:rPr>
        <w:t xml:space="preserve"> housing counseling agencies to </w:t>
      </w:r>
      <w:r>
        <w:rPr>
          <w:szCs w:val="24"/>
        </w:rPr>
        <w:t xml:space="preserve">continued </w:t>
      </w:r>
      <w:r w:rsidRPr="00470C3C">
        <w:rPr>
          <w:szCs w:val="24"/>
        </w:rPr>
        <w:t>participat</w:t>
      </w:r>
      <w:r>
        <w:rPr>
          <w:szCs w:val="24"/>
        </w:rPr>
        <w:t>ion</w:t>
      </w:r>
      <w:r w:rsidRPr="00470C3C">
        <w:rPr>
          <w:szCs w:val="24"/>
        </w:rPr>
        <w:t xml:space="preserve"> in the program.  Additionally, performance review findings are used as past performance indicators in the grant application review scoring process</w:t>
      </w:r>
      <w:r>
        <w:rPr>
          <w:szCs w:val="24"/>
        </w:rPr>
        <w:t>.</w:t>
      </w:r>
      <w:r w:rsidRPr="00470C3C">
        <w:rPr>
          <w:szCs w:val="24"/>
        </w:rPr>
        <w:t xml:space="preserve"> The Form </w:t>
      </w:r>
      <w:r>
        <w:rPr>
          <w:szCs w:val="24"/>
        </w:rPr>
        <w:t xml:space="preserve">HUD-9910 meets program requirements to </w:t>
      </w:r>
      <w:r w:rsidRPr="00470C3C">
        <w:rPr>
          <w:szCs w:val="24"/>
        </w:rPr>
        <w:t>improve the quality and scope of the performance reviews conducted</w:t>
      </w:r>
      <w:r>
        <w:rPr>
          <w:szCs w:val="24"/>
        </w:rPr>
        <w:t>,</w:t>
      </w:r>
      <w:r w:rsidRPr="00470C3C">
        <w:rPr>
          <w:szCs w:val="24"/>
        </w:rPr>
        <w:t xml:space="preserve"> to better monitor the financial and administrative controls that agencies should </w:t>
      </w:r>
      <w:r w:rsidRPr="00470C3C">
        <w:rPr>
          <w:szCs w:val="24"/>
        </w:rPr>
        <w:lastRenderedPageBreak/>
        <w:t>have in place to effectively manage their programs, deter and discover conflicts of interest</w:t>
      </w:r>
      <w:r>
        <w:rPr>
          <w:szCs w:val="24"/>
        </w:rPr>
        <w:t>,</w:t>
      </w:r>
      <w:r w:rsidRPr="00470C3C">
        <w:rPr>
          <w:szCs w:val="24"/>
        </w:rPr>
        <w:t xml:space="preserve"> and to establish improved procedures to monitor the expenditure of HUD grant funds.</w:t>
      </w:r>
    </w:p>
    <w:p w:rsidR="0010574A" w:rsidRPr="00470C3C" w:rsidRDefault="0010574A" w:rsidP="0010574A">
      <w:pPr>
        <w:keepLines/>
        <w:tabs>
          <w:tab w:val="left" w:pos="360"/>
        </w:tabs>
        <w:rPr>
          <w:color w:val="000000"/>
          <w:sz w:val="24"/>
          <w:szCs w:val="24"/>
        </w:rPr>
      </w:pPr>
    </w:p>
    <w:p w:rsidR="0010574A" w:rsidRPr="00470C3C" w:rsidRDefault="0010574A" w:rsidP="0010574A">
      <w:pPr>
        <w:keepLines/>
        <w:tabs>
          <w:tab w:val="left" w:pos="360"/>
        </w:tabs>
        <w:ind w:left="360"/>
        <w:rPr>
          <w:color w:val="000000"/>
          <w:sz w:val="24"/>
          <w:szCs w:val="24"/>
        </w:rPr>
      </w:pPr>
      <w:r w:rsidRPr="00470C3C">
        <w:rPr>
          <w:color w:val="000000"/>
          <w:sz w:val="24"/>
          <w:szCs w:val="24"/>
        </w:rPr>
        <w:t xml:space="preserve">The </w:t>
      </w:r>
      <w:r>
        <w:rPr>
          <w:color w:val="000000"/>
          <w:sz w:val="24"/>
          <w:szCs w:val="24"/>
        </w:rPr>
        <w:t>results of Performance Reviews are</w:t>
      </w:r>
      <w:r w:rsidRPr="00470C3C">
        <w:rPr>
          <w:color w:val="000000"/>
          <w:sz w:val="24"/>
          <w:szCs w:val="24"/>
        </w:rPr>
        <w:t xml:space="preserve"> used to assist HUD in evaluating the managerial and financial capacity of organizations to sustain operations sufficient to implement HUD approved housing counseling programs.  The collection of information assists HUD to reduce its own risk from fraudulent activities or supporting inefficient or ineffective housing counseling programs. </w:t>
      </w:r>
      <w:r>
        <w:rPr>
          <w:color w:val="000000"/>
          <w:sz w:val="24"/>
          <w:szCs w:val="24"/>
        </w:rPr>
        <w:t xml:space="preserve"> </w:t>
      </w:r>
      <w:r w:rsidRPr="00470C3C">
        <w:rPr>
          <w:color w:val="000000"/>
          <w:sz w:val="24"/>
          <w:szCs w:val="24"/>
        </w:rPr>
        <w:t>HUD publishes a web list of HUD approved Housing Counseling Agencies and maintains a toll free housing counseling hotline</w:t>
      </w:r>
      <w:r>
        <w:rPr>
          <w:color w:val="000000"/>
          <w:sz w:val="24"/>
          <w:szCs w:val="24"/>
        </w:rPr>
        <w:t>.  P</w:t>
      </w:r>
      <w:r w:rsidRPr="00470C3C">
        <w:rPr>
          <w:color w:val="000000"/>
          <w:sz w:val="24"/>
          <w:szCs w:val="24"/>
        </w:rPr>
        <w:t xml:space="preserve">erformance reviews help HUD ensure that individuals seeking assistance from these </w:t>
      </w:r>
      <w:r>
        <w:rPr>
          <w:color w:val="000000"/>
          <w:sz w:val="24"/>
          <w:szCs w:val="24"/>
        </w:rPr>
        <w:t xml:space="preserve">participating </w:t>
      </w:r>
      <w:r w:rsidRPr="00470C3C">
        <w:rPr>
          <w:color w:val="000000"/>
          <w:sz w:val="24"/>
          <w:szCs w:val="24"/>
        </w:rPr>
        <w:t xml:space="preserve">agencies can have confidence in the quality of services that they will receive. </w:t>
      </w:r>
    </w:p>
    <w:p w:rsidR="0010574A" w:rsidRPr="00470C3C" w:rsidRDefault="0010574A" w:rsidP="0010574A">
      <w:pPr>
        <w:keepLines/>
        <w:tabs>
          <w:tab w:val="left" w:pos="360"/>
        </w:tabs>
        <w:rPr>
          <w:color w:val="000000"/>
          <w:sz w:val="24"/>
          <w:szCs w:val="24"/>
        </w:rPr>
      </w:pPr>
    </w:p>
    <w:p w:rsidR="0010574A" w:rsidRDefault="0010574A" w:rsidP="0010574A">
      <w:pPr>
        <w:keepLines/>
        <w:tabs>
          <w:tab w:val="left" w:pos="360"/>
        </w:tabs>
        <w:ind w:left="360"/>
        <w:rPr>
          <w:color w:val="000000"/>
          <w:sz w:val="24"/>
          <w:szCs w:val="24"/>
        </w:rPr>
      </w:pPr>
      <w:r w:rsidRPr="00470C3C">
        <w:rPr>
          <w:color w:val="000000"/>
          <w:sz w:val="24"/>
          <w:szCs w:val="24"/>
        </w:rPr>
        <w:t xml:space="preserve">HUD staff uses the information collected </w:t>
      </w:r>
      <w:r>
        <w:rPr>
          <w:color w:val="000000"/>
          <w:sz w:val="24"/>
          <w:szCs w:val="24"/>
        </w:rPr>
        <w:t xml:space="preserve">from Performance Reviews </w:t>
      </w:r>
      <w:r w:rsidRPr="00470C3C">
        <w:rPr>
          <w:color w:val="000000"/>
          <w:sz w:val="24"/>
          <w:szCs w:val="24"/>
        </w:rPr>
        <w:t>to</w:t>
      </w:r>
      <w:r>
        <w:rPr>
          <w:color w:val="000000"/>
          <w:sz w:val="24"/>
          <w:szCs w:val="24"/>
        </w:rPr>
        <w:t>:</w:t>
      </w:r>
    </w:p>
    <w:p w:rsidR="0010574A" w:rsidRDefault="0010574A" w:rsidP="0010574A">
      <w:pPr>
        <w:keepLines/>
        <w:tabs>
          <w:tab w:val="left" w:pos="360"/>
        </w:tabs>
        <w:ind w:left="360"/>
        <w:rPr>
          <w:color w:val="000000"/>
          <w:sz w:val="24"/>
          <w:szCs w:val="24"/>
        </w:rPr>
      </w:pPr>
    </w:p>
    <w:p w:rsidR="0010574A" w:rsidRDefault="0010574A" w:rsidP="0010574A">
      <w:pPr>
        <w:keepLines/>
        <w:numPr>
          <w:ilvl w:val="0"/>
          <w:numId w:val="2"/>
        </w:numPr>
        <w:tabs>
          <w:tab w:val="left" w:pos="360"/>
        </w:tabs>
        <w:rPr>
          <w:color w:val="000000"/>
          <w:sz w:val="24"/>
          <w:szCs w:val="24"/>
        </w:rPr>
      </w:pPr>
      <w:r>
        <w:rPr>
          <w:color w:val="000000"/>
          <w:sz w:val="24"/>
          <w:szCs w:val="24"/>
        </w:rPr>
        <w:t>A</w:t>
      </w:r>
      <w:r w:rsidRPr="00470C3C">
        <w:rPr>
          <w:color w:val="000000"/>
          <w:sz w:val="24"/>
          <w:szCs w:val="24"/>
        </w:rPr>
        <w:t xml:space="preserve">ssess the management and financial capability of approved housing counseling agencies to carry out their missions relative to the HUD Housing Counseling Program.  </w:t>
      </w:r>
    </w:p>
    <w:p w:rsidR="0010574A" w:rsidRDefault="0010574A" w:rsidP="0010574A">
      <w:pPr>
        <w:keepLines/>
        <w:tabs>
          <w:tab w:val="left" w:pos="360"/>
        </w:tabs>
        <w:ind w:left="360"/>
        <w:rPr>
          <w:color w:val="000000"/>
          <w:sz w:val="24"/>
          <w:szCs w:val="24"/>
        </w:rPr>
      </w:pPr>
    </w:p>
    <w:p w:rsidR="0010574A" w:rsidRDefault="0010574A" w:rsidP="0010574A">
      <w:pPr>
        <w:keepLines/>
        <w:numPr>
          <w:ilvl w:val="0"/>
          <w:numId w:val="2"/>
        </w:numPr>
        <w:tabs>
          <w:tab w:val="left" w:pos="360"/>
        </w:tabs>
        <w:rPr>
          <w:color w:val="000000"/>
          <w:sz w:val="24"/>
          <w:szCs w:val="24"/>
        </w:rPr>
      </w:pPr>
      <w:r>
        <w:rPr>
          <w:color w:val="000000"/>
          <w:sz w:val="24"/>
          <w:szCs w:val="24"/>
        </w:rPr>
        <w:t>A</w:t>
      </w:r>
      <w:r w:rsidRPr="00470C3C">
        <w:rPr>
          <w:color w:val="000000"/>
          <w:sz w:val="24"/>
          <w:szCs w:val="24"/>
        </w:rPr>
        <w:t xml:space="preserve">ssists HUD staff to detect any conflicts of interest or activities that may not be permissible. </w:t>
      </w:r>
    </w:p>
    <w:p w:rsidR="0010574A" w:rsidRDefault="0010574A" w:rsidP="0010574A">
      <w:pPr>
        <w:keepLines/>
        <w:tabs>
          <w:tab w:val="left" w:pos="360"/>
        </w:tabs>
        <w:ind w:left="360"/>
        <w:rPr>
          <w:color w:val="000000"/>
          <w:sz w:val="24"/>
          <w:szCs w:val="24"/>
        </w:rPr>
      </w:pPr>
    </w:p>
    <w:p w:rsidR="0010574A" w:rsidRDefault="0010574A" w:rsidP="0010574A">
      <w:pPr>
        <w:keepLines/>
        <w:numPr>
          <w:ilvl w:val="0"/>
          <w:numId w:val="2"/>
        </w:numPr>
        <w:tabs>
          <w:tab w:val="left" w:pos="360"/>
        </w:tabs>
        <w:rPr>
          <w:color w:val="000000"/>
          <w:sz w:val="24"/>
          <w:szCs w:val="24"/>
        </w:rPr>
      </w:pPr>
      <w:r>
        <w:rPr>
          <w:color w:val="000000"/>
          <w:sz w:val="24"/>
          <w:szCs w:val="24"/>
        </w:rPr>
        <w:t xml:space="preserve">Assists </w:t>
      </w:r>
      <w:r w:rsidRPr="00470C3C">
        <w:rPr>
          <w:color w:val="000000"/>
          <w:sz w:val="24"/>
          <w:szCs w:val="24"/>
        </w:rPr>
        <w:t xml:space="preserve">HUD staff to assess whether participating organizations are meeting basic programmatic and grant administrative requirements and maintaining staff with the appropriate experience.  </w:t>
      </w:r>
    </w:p>
    <w:p w:rsidR="0010574A" w:rsidRDefault="0010574A" w:rsidP="0010574A">
      <w:pPr>
        <w:pStyle w:val="ListParagraph"/>
        <w:rPr>
          <w:color w:val="000000"/>
          <w:sz w:val="24"/>
          <w:szCs w:val="24"/>
        </w:rPr>
      </w:pPr>
    </w:p>
    <w:p w:rsidR="0010574A" w:rsidRDefault="0010574A" w:rsidP="0010574A">
      <w:pPr>
        <w:keepLines/>
        <w:numPr>
          <w:ilvl w:val="0"/>
          <w:numId w:val="2"/>
        </w:numPr>
        <w:tabs>
          <w:tab w:val="left" w:pos="360"/>
        </w:tabs>
        <w:rPr>
          <w:color w:val="000000"/>
          <w:sz w:val="24"/>
          <w:szCs w:val="24"/>
        </w:rPr>
      </w:pPr>
      <w:r>
        <w:rPr>
          <w:color w:val="000000"/>
          <w:sz w:val="24"/>
          <w:szCs w:val="24"/>
        </w:rPr>
        <w:t>Periodically, as determined by HUD</w:t>
      </w:r>
      <w:r w:rsidRPr="00470C3C">
        <w:rPr>
          <w:color w:val="000000"/>
          <w:sz w:val="24"/>
          <w:szCs w:val="24"/>
        </w:rPr>
        <w:t xml:space="preserve"> to ensure that they have performed according to plan and to provide HUD with any information on changes that may impact the nonprofit’s performance.  </w:t>
      </w:r>
    </w:p>
    <w:p w:rsidR="0010574A" w:rsidRDefault="0010574A" w:rsidP="0010574A">
      <w:pPr>
        <w:keepLines/>
        <w:tabs>
          <w:tab w:val="left" w:pos="360"/>
        </w:tabs>
        <w:rPr>
          <w:color w:val="000000"/>
          <w:sz w:val="24"/>
          <w:szCs w:val="24"/>
        </w:rPr>
      </w:pPr>
    </w:p>
    <w:p w:rsidR="0010574A" w:rsidRDefault="0010574A" w:rsidP="0010574A">
      <w:pPr>
        <w:keepLines/>
        <w:numPr>
          <w:ilvl w:val="0"/>
          <w:numId w:val="2"/>
        </w:numPr>
        <w:tabs>
          <w:tab w:val="left" w:pos="360"/>
        </w:tabs>
        <w:rPr>
          <w:color w:val="000000"/>
          <w:sz w:val="24"/>
          <w:szCs w:val="24"/>
        </w:rPr>
      </w:pPr>
      <w:r w:rsidRPr="00470C3C">
        <w:rPr>
          <w:color w:val="000000"/>
          <w:sz w:val="24"/>
          <w:szCs w:val="24"/>
        </w:rPr>
        <w:t xml:space="preserve">Quarterly </w:t>
      </w:r>
      <w:r>
        <w:rPr>
          <w:color w:val="000000"/>
          <w:sz w:val="24"/>
          <w:szCs w:val="24"/>
        </w:rPr>
        <w:t xml:space="preserve">HUD </w:t>
      </w:r>
      <w:r w:rsidRPr="00470C3C">
        <w:rPr>
          <w:color w:val="000000"/>
          <w:sz w:val="24"/>
          <w:szCs w:val="24"/>
        </w:rPr>
        <w:t>9902</w:t>
      </w:r>
      <w:r>
        <w:rPr>
          <w:color w:val="000000"/>
          <w:sz w:val="24"/>
          <w:szCs w:val="24"/>
        </w:rPr>
        <w:t>, Housing Counseling Agency Activity</w:t>
      </w:r>
      <w:r w:rsidRPr="00470C3C">
        <w:rPr>
          <w:color w:val="000000"/>
          <w:sz w:val="24"/>
          <w:szCs w:val="24"/>
        </w:rPr>
        <w:t xml:space="preserve"> progress reports </w:t>
      </w:r>
      <w:r>
        <w:rPr>
          <w:color w:val="000000"/>
          <w:sz w:val="24"/>
          <w:szCs w:val="24"/>
        </w:rPr>
        <w:t xml:space="preserve">(2502-0261) </w:t>
      </w:r>
      <w:r w:rsidRPr="00470C3C">
        <w:rPr>
          <w:color w:val="000000"/>
          <w:sz w:val="24"/>
          <w:szCs w:val="24"/>
        </w:rPr>
        <w:t xml:space="preserve">are also required to ensure compliance and monitor activity to keep the risk to the Federal government at a minimum. </w:t>
      </w:r>
    </w:p>
    <w:p w:rsidR="0010574A" w:rsidRDefault="0010574A" w:rsidP="0010574A">
      <w:pPr>
        <w:keepLines/>
        <w:tabs>
          <w:tab w:val="left" w:pos="360"/>
        </w:tabs>
        <w:rPr>
          <w:color w:val="000000"/>
          <w:sz w:val="24"/>
          <w:szCs w:val="24"/>
        </w:rPr>
      </w:pPr>
    </w:p>
    <w:p w:rsidR="0010574A" w:rsidRDefault="0010574A" w:rsidP="0010574A">
      <w:pPr>
        <w:keepLines/>
        <w:numPr>
          <w:ilvl w:val="0"/>
          <w:numId w:val="2"/>
        </w:numPr>
        <w:tabs>
          <w:tab w:val="left" w:pos="360"/>
        </w:tabs>
        <w:rPr>
          <w:color w:val="000000"/>
          <w:sz w:val="24"/>
          <w:szCs w:val="24"/>
        </w:rPr>
      </w:pPr>
      <w:r w:rsidRPr="00470C3C">
        <w:rPr>
          <w:color w:val="000000"/>
          <w:sz w:val="24"/>
          <w:szCs w:val="24"/>
        </w:rPr>
        <w:t>Performance reviews give HUD the opportunity to provide technical assistance to participating housing counseling agencies.</w:t>
      </w:r>
    </w:p>
    <w:p w:rsidR="0010574A" w:rsidRDefault="0010574A" w:rsidP="0010574A">
      <w:pPr>
        <w:keepLines/>
        <w:tabs>
          <w:tab w:val="left" w:pos="360"/>
        </w:tabs>
        <w:ind w:left="360"/>
        <w:rPr>
          <w:color w:val="000000"/>
          <w:sz w:val="24"/>
          <w:szCs w:val="24"/>
        </w:rPr>
      </w:pPr>
    </w:p>
    <w:p w:rsidR="0010574A" w:rsidRPr="00470C3C" w:rsidRDefault="0010574A" w:rsidP="0010574A">
      <w:pPr>
        <w:pStyle w:val="BodyText"/>
        <w:tabs>
          <w:tab w:val="left" w:pos="480"/>
        </w:tabs>
        <w:ind w:left="360"/>
        <w:rPr>
          <w:color w:val="000000"/>
        </w:rPr>
      </w:pPr>
      <w:r w:rsidRPr="00470C3C">
        <w:t>Most of the information required under this information collection is maintained by the affected organizations in the normal course of business</w:t>
      </w:r>
      <w:r>
        <w:t xml:space="preserve"> with HUD and HUD ascribes no burden hours to recordkeeping.</w:t>
      </w:r>
      <w:r w:rsidRPr="00470C3C">
        <w:t xml:space="preserve">  The requirements </w:t>
      </w:r>
      <w:r>
        <w:t xml:space="preserve">for recordkeeping and </w:t>
      </w:r>
      <w:r w:rsidRPr="00470C3C">
        <w:t>what information HUD expects to view when its staff conducts a performance review</w:t>
      </w:r>
      <w:r>
        <w:t xml:space="preserve"> are </w:t>
      </w:r>
      <w:r w:rsidRPr="00470C3C">
        <w:t>set forth in the Housing Counseling Program Handbook 7610.1</w:t>
      </w:r>
      <w:r>
        <w:t xml:space="preserve"> Rev-5, Chapter 5 and 6.</w:t>
      </w:r>
      <w:r w:rsidRPr="00470C3C">
        <w:t xml:space="preserve"> The information cited in the handbook is a tool for the participating organizations to use so that they can be prepared for HUD reviews.  </w:t>
      </w:r>
    </w:p>
    <w:p w:rsidR="0010574A" w:rsidRDefault="0010574A" w:rsidP="0010574A">
      <w:pPr>
        <w:pStyle w:val="BodyText"/>
        <w:tabs>
          <w:tab w:val="left" w:pos="480"/>
        </w:tabs>
        <w:ind w:left="360"/>
      </w:pPr>
    </w:p>
    <w:p w:rsidR="0010574A" w:rsidRPr="00470C3C" w:rsidRDefault="0010574A" w:rsidP="0010574A">
      <w:pPr>
        <w:numPr>
          <w:ilvl w:val="0"/>
          <w:numId w:val="1"/>
        </w:numPr>
        <w:rPr>
          <w:sz w:val="24"/>
          <w:szCs w:val="24"/>
        </w:rPr>
      </w:pPr>
      <w:r>
        <w:rPr>
          <w:sz w:val="24"/>
          <w:szCs w:val="24"/>
        </w:rPr>
        <w:t xml:space="preserve">The rearrangement of the questions on the HUD 9910 allows for an electronic ease of completion.  HUD staff and HUD agencies will be able to complete the electronic form </w:t>
      </w:r>
      <w:r>
        <w:rPr>
          <w:sz w:val="24"/>
          <w:szCs w:val="24"/>
        </w:rPr>
        <w:lastRenderedPageBreak/>
        <w:t>regardless if the review is an</w:t>
      </w:r>
      <w:r w:rsidRPr="00470C3C">
        <w:rPr>
          <w:sz w:val="24"/>
          <w:szCs w:val="24"/>
        </w:rPr>
        <w:t xml:space="preserve"> on-site</w:t>
      </w:r>
      <w:r>
        <w:rPr>
          <w:sz w:val="24"/>
          <w:szCs w:val="24"/>
        </w:rPr>
        <w:t>, or desk/remote monitoring review.</w:t>
      </w:r>
      <w:r w:rsidRPr="00470C3C">
        <w:rPr>
          <w:sz w:val="24"/>
          <w:szCs w:val="24"/>
        </w:rPr>
        <w:t xml:space="preserve"> </w:t>
      </w:r>
      <w:r>
        <w:rPr>
          <w:sz w:val="24"/>
          <w:szCs w:val="24"/>
        </w:rPr>
        <w:t>Agencies will be sent the link to the HUD 9910 on hud.gov, prior to the review.  They will electronically complete Parts B and C (if applicable), sign through a self-certification feature, save and send the electronic version of the form back to the HUD staff.  HUD staff will complete Part A of the electronic form.</w:t>
      </w:r>
      <w:r w:rsidRPr="00470C3C">
        <w:rPr>
          <w:sz w:val="24"/>
          <w:szCs w:val="24"/>
        </w:rPr>
        <w:t xml:space="preserve"> </w:t>
      </w:r>
      <w:r>
        <w:rPr>
          <w:sz w:val="24"/>
          <w:szCs w:val="24"/>
        </w:rPr>
        <w:t>In addition,</w:t>
      </w:r>
      <w:r w:rsidRPr="00470C3C">
        <w:rPr>
          <w:sz w:val="24"/>
          <w:szCs w:val="24"/>
        </w:rPr>
        <w:t xml:space="preserve"> HUD receive</w:t>
      </w:r>
      <w:r>
        <w:rPr>
          <w:sz w:val="24"/>
          <w:szCs w:val="24"/>
        </w:rPr>
        <w:t>s</w:t>
      </w:r>
      <w:r w:rsidRPr="00470C3C">
        <w:rPr>
          <w:sz w:val="24"/>
          <w:szCs w:val="24"/>
        </w:rPr>
        <w:t xml:space="preserve"> OMB approval (2502-0261) to collect client level data through the use of client management systems used by counseling agencies.   </w:t>
      </w:r>
      <w:r>
        <w:rPr>
          <w:sz w:val="24"/>
          <w:szCs w:val="24"/>
        </w:rPr>
        <w:t xml:space="preserve">When remotely monitoring a participating agency, </w:t>
      </w:r>
      <w:r w:rsidRPr="00470C3C">
        <w:rPr>
          <w:sz w:val="24"/>
          <w:szCs w:val="24"/>
        </w:rPr>
        <w:t xml:space="preserve">HUD </w:t>
      </w:r>
      <w:r>
        <w:rPr>
          <w:sz w:val="24"/>
          <w:szCs w:val="24"/>
        </w:rPr>
        <w:t xml:space="preserve">also </w:t>
      </w:r>
      <w:r w:rsidRPr="00470C3C">
        <w:rPr>
          <w:sz w:val="24"/>
          <w:szCs w:val="24"/>
        </w:rPr>
        <w:t>access</w:t>
      </w:r>
      <w:r>
        <w:rPr>
          <w:sz w:val="24"/>
          <w:szCs w:val="24"/>
        </w:rPr>
        <w:t>es</w:t>
      </w:r>
      <w:r w:rsidRPr="00470C3C">
        <w:rPr>
          <w:sz w:val="24"/>
          <w:szCs w:val="24"/>
        </w:rPr>
        <w:t xml:space="preserve"> </w:t>
      </w:r>
      <w:r>
        <w:rPr>
          <w:sz w:val="24"/>
          <w:szCs w:val="24"/>
        </w:rPr>
        <w:t xml:space="preserve">individual client </w:t>
      </w:r>
      <w:r w:rsidRPr="00470C3C">
        <w:rPr>
          <w:sz w:val="24"/>
          <w:szCs w:val="24"/>
        </w:rPr>
        <w:t>electronic files</w:t>
      </w:r>
      <w:r>
        <w:rPr>
          <w:sz w:val="24"/>
          <w:szCs w:val="24"/>
        </w:rPr>
        <w:t xml:space="preserve"> through agency client management systems</w:t>
      </w:r>
      <w:r w:rsidRPr="00470C3C">
        <w:rPr>
          <w:sz w:val="24"/>
          <w:szCs w:val="24"/>
        </w:rPr>
        <w:t>, which allow</w:t>
      </w:r>
      <w:r>
        <w:rPr>
          <w:sz w:val="24"/>
          <w:szCs w:val="24"/>
        </w:rPr>
        <w:t>s</w:t>
      </w:r>
      <w:r w:rsidRPr="00470C3C">
        <w:rPr>
          <w:sz w:val="24"/>
          <w:szCs w:val="24"/>
        </w:rPr>
        <w:t xml:space="preserve"> HUD to decreas</w:t>
      </w:r>
      <w:r>
        <w:rPr>
          <w:sz w:val="24"/>
          <w:szCs w:val="24"/>
        </w:rPr>
        <w:t>e</w:t>
      </w:r>
      <w:r w:rsidRPr="00470C3C">
        <w:rPr>
          <w:sz w:val="24"/>
          <w:szCs w:val="24"/>
        </w:rPr>
        <w:t xml:space="preserve"> costs and </w:t>
      </w:r>
      <w:r>
        <w:rPr>
          <w:sz w:val="24"/>
          <w:szCs w:val="24"/>
        </w:rPr>
        <w:t xml:space="preserve">reduce </w:t>
      </w:r>
      <w:r w:rsidRPr="00470C3C">
        <w:rPr>
          <w:sz w:val="24"/>
          <w:szCs w:val="24"/>
        </w:rPr>
        <w:t xml:space="preserve">the burden to Housing Counseling Agencies. </w:t>
      </w:r>
      <w:r>
        <w:rPr>
          <w:sz w:val="24"/>
          <w:szCs w:val="24"/>
        </w:rPr>
        <w:t>However, HUD must continue to perform on-site and desk monitoring for those agencies using a client management system not remotely accessible by HUD staff.</w:t>
      </w:r>
      <w:r w:rsidRPr="00470C3C">
        <w:rPr>
          <w:sz w:val="24"/>
          <w:szCs w:val="24"/>
        </w:rPr>
        <w:t xml:space="preserve">  </w:t>
      </w:r>
      <w:r>
        <w:rPr>
          <w:sz w:val="24"/>
          <w:szCs w:val="24"/>
        </w:rPr>
        <w:t>It is anticipated, through using the electronic form, future desk/remote performance reviews will increase and save HUD travel funds and in turn save the time and cost burden of the counseling agency.</w:t>
      </w:r>
    </w:p>
    <w:p w:rsidR="0010574A" w:rsidRPr="00470C3C" w:rsidRDefault="0010574A" w:rsidP="0010574A">
      <w:pPr>
        <w:rPr>
          <w:sz w:val="24"/>
          <w:szCs w:val="24"/>
        </w:rPr>
      </w:pPr>
    </w:p>
    <w:p w:rsidR="0010574A" w:rsidRPr="00470C3C" w:rsidRDefault="0010574A" w:rsidP="0010574A">
      <w:pPr>
        <w:pStyle w:val="BodyTextIndent2"/>
        <w:numPr>
          <w:ilvl w:val="0"/>
          <w:numId w:val="1"/>
        </w:numPr>
        <w:rPr>
          <w:bCs/>
          <w:szCs w:val="24"/>
        </w:rPr>
      </w:pPr>
      <w:r w:rsidRPr="00470C3C">
        <w:rPr>
          <w:szCs w:val="24"/>
        </w:rPr>
        <w:t>This information is not collected elsewhere.  HUD makes every effort to assure no duplication of information is required.</w:t>
      </w:r>
    </w:p>
    <w:p w:rsidR="0010574A" w:rsidRPr="00470C3C" w:rsidRDefault="0010574A" w:rsidP="0010574A">
      <w:pPr>
        <w:pStyle w:val="BodyTextIndent2"/>
        <w:ind w:left="0"/>
        <w:rPr>
          <w:szCs w:val="24"/>
        </w:rPr>
      </w:pPr>
    </w:p>
    <w:p w:rsidR="0010574A" w:rsidRPr="00470C3C" w:rsidRDefault="0010574A" w:rsidP="0010574A">
      <w:pPr>
        <w:keepLines/>
        <w:numPr>
          <w:ilvl w:val="0"/>
          <w:numId w:val="1"/>
        </w:numPr>
        <w:rPr>
          <w:color w:val="000000"/>
          <w:sz w:val="24"/>
          <w:szCs w:val="24"/>
        </w:rPr>
      </w:pPr>
      <w:r w:rsidRPr="00470C3C">
        <w:rPr>
          <w:color w:val="000000"/>
          <w:sz w:val="24"/>
          <w:szCs w:val="24"/>
        </w:rPr>
        <w:t xml:space="preserve">HUD makes every effort to minimize the burden of information collection to all organizations participating </w:t>
      </w:r>
      <w:r>
        <w:rPr>
          <w:color w:val="000000"/>
          <w:sz w:val="24"/>
          <w:szCs w:val="24"/>
        </w:rPr>
        <w:t xml:space="preserve">in </w:t>
      </w:r>
      <w:r w:rsidRPr="00470C3C">
        <w:rPr>
          <w:color w:val="000000"/>
          <w:sz w:val="24"/>
          <w:szCs w:val="24"/>
        </w:rPr>
        <w:t xml:space="preserve">the Housing Counseling Program.  Only information critical to evaluating an organization’s compliance with program requirements is collected.  The required information is, for the most part, standard and already available in the organizations’ places of business and may include grant files, client files, financial records, the organization’s internal program policy, program budget and personnel documents and/or legal documents.  Additionally, the use of the electronic file data that will be captured through client management systems will also further reduce the burden.  </w:t>
      </w:r>
    </w:p>
    <w:p w:rsidR="0010574A" w:rsidRPr="00470C3C" w:rsidRDefault="0010574A" w:rsidP="0010574A">
      <w:pPr>
        <w:keepLines/>
        <w:tabs>
          <w:tab w:val="left" w:pos="360"/>
        </w:tabs>
        <w:rPr>
          <w:color w:val="000000"/>
          <w:sz w:val="24"/>
          <w:szCs w:val="24"/>
        </w:rPr>
      </w:pPr>
    </w:p>
    <w:p w:rsidR="0010574A" w:rsidRPr="00470C3C" w:rsidRDefault="0010574A" w:rsidP="0010574A">
      <w:pPr>
        <w:keepLines/>
        <w:numPr>
          <w:ilvl w:val="0"/>
          <w:numId w:val="1"/>
        </w:numPr>
        <w:rPr>
          <w:color w:val="000000"/>
          <w:sz w:val="24"/>
          <w:szCs w:val="24"/>
        </w:rPr>
      </w:pPr>
      <w:r w:rsidRPr="00470C3C">
        <w:rPr>
          <w:sz w:val="24"/>
          <w:szCs w:val="24"/>
        </w:rPr>
        <w:t xml:space="preserve">Ascertaining the professional and management capacity of HUD </w:t>
      </w:r>
      <w:r>
        <w:rPr>
          <w:sz w:val="24"/>
          <w:szCs w:val="24"/>
        </w:rPr>
        <w:t xml:space="preserve">Housing Counseling Program participating </w:t>
      </w:r>
      <w:r w:rsidRPr="00470C3C">
        <w:rPr>
          <w:sz w:val="24"/>
          <w:szCs w:val="24"/>
        </w:rPr>
        <w:t>organizations to provide adequate housing counseling services is necessary to comply with the requirements of the Housing and Urban Development Act and to ensure that grant funded organizations comply with HUD and OMB administrative and financial regulations.  If this information is not collected HUD would be unable to effectively monitor the Housing Counseling Program to guard against waste, fraud, abuse or inappropriate program practices.  This collection provides the means to meet that obligation.</w:t>
      </w:r>
      <w:r>
        <w:rPr>
          <w:color w:val="000000"/>
          <w:sz w:val="24"/>
          <w:szCs w:val="24"/>
        </w:rPr>
        <w:t xml:space="preserve">  </w:t>
      </w:r>
      <w:r w:rsidRPr="00470C3C">
        <w:rPr>
          <w:color w:val="000000"/>
          <w:sz w:val="24"/>
          <w:szCs w:val="24"/>
        </w:rPr>
        <w:t>HUD publishes a web list of HUD approved Housing Counseling Agencies and maintains a toll free housing counseling hotline</w:t>
      </w:r>
      <w:r>
        <w:rPr>
          <w:color w:val="000000"/>
          <w:sz w:val="24"/>
          <w:szCs w:val="24"/>
        </w:rPr>
        <w:t>.  P</w:t>
      </w:r>
      <w:r w:rsidRPr="00470C3C">
        <w:rPr>
          <w:color w:val="000000"/>
          <w:sz w:val="24"/>
          <w:szCs w:val="24"/>
        </w:rPr>
        <w:t xml:space="preserve">erformance reviews help HUD ensure that individuals seeking assistance from these </w:t>
      </w:r>
      <w:r>
        <w:rPr>
          <w:color w:val="000000"/>
          <w:sz w:val="24"/>
          <w:szCs w:val="24"/>
        </w:rPr>
        <w:t xml:space="preserve">participating </w:t>
      </w:r>
      <w:r w:rsidRPr="00470C3C">
        <w:rPr>
          <w:color w:val="000000"/>
          <w:sz w:val="24"/>
          <w:szCs w:val="24"/>
        </w:rPr>
        <w:t xml:space="preserve">agencies can have confidence in the quality of services that they will receive. </w:t>
      </w:r>
    </w:p>
    <w:p w:rsidR="0010574A" w:rsidRPr="00470C3C" w:rsidRDefault="0010574A" w:rsidP="0010574A">
      <w:pPr>
        <w:keepLines/>
        <w:tabs>
          <w:tab w:val="left" w:pos="360"/>
        </w:tabs>
        <w:ind w:left="450"/>
        <w:rPr>
          <w:sz w:val="24"/>
          <w:szCs w:val="24"/>
        </w:rPr>
      </w:pPr>
    </w:p>
    <w:p w:rsidR="0010574A" w:rsidRPr="00470C3C" w:rsidRDefault="0010574A" w:rsidP="0010574A">
      <w:pPr>
        <w:numPr>
          <w:ilvl w:val="0"/>
          <w:numId w:val="1"/>
        </w:numPr>
        <w:tabs>
          <w:tab w:val="left" w:pos="600"/>
        </w:tabs>
        <w:rPr>
          <w:sz w:val="24"/>
          <w:szCs w:val="24"/>
        </w:rPr>
      </w:pPr>
      <w:r w:rsidRPr="00470C3C">
        <w:rPr>
          <w:sz w:val="24"/>
          <w:szCs w:val="24"/>
        </w:rPr>
        <w:t xml:space="preserve">There are no special circumstances that would require HUD to collect information in any manner described in question #7 of this form. </w:t>
      </w:r>
    </w:p>
    <w:p w:rsidR="0010574A" w:rsidRDefault="0010574A" w:rsidP="0010574A">
      <w:pPr>
        <w:tabs>
          <w:tab w:val="left" w:pos="600"/>
        </w:tabs>
        <w:rPr>
          <w:sz w:val="24"/>
          <w:szCs w:val="24"/>
        </w:rPr>
      </w:pPr>
    </w:p>
    <w:p w:rsidR="0010574A" w:rsidRPr="00EC26C5" w:rsidRDefault="0010574A" w:rsidP="0010574A">
      <w:pPr>
        <w:numPr>
          <w:ilvl w:val="0"/>
          <w:numId w:val="1"/>
        </w:numPr>
        <w:rPr>
          <w:sz w:val="24"/>
        </w:rPr>
      </w:pPr>
      <w:r w:rsidRPr="00EC26C5">
        <w:rPr>
          <w:sz w:val="24"/>
        </w:rPr>
        <w:t xml:space="preserve">In accordance with 5 CFR 1320.8(d), this information collection soliciting public comments was announced in the </w:t>
      </w:r>
      <w:r w:rsidRPr="00EC26C5">
        <w:rPr>
          <w:i/>
          <w:iCs/>
          <w:sz w:val="24"/>
        </w:rPr>
        <w:t>Federal Register</w:t>
      </w:r>
      <w:r>
        <w:rPr>
          <w:sz w:val="24"/>
        </w:rPr>
        <w:t xml:space="preserve"> Monday, June 16, 2014 (Volume 79, Number 115, </w:t>
      </w:r>
      <w:proofErr w:type="gramStart"/>
      <w:r>
        <w:rPr>
          <w:sz w:val="24"/>
        </w:rPr>
        <w:t>Page</w:t>
      </w:r>
      <w:proofErr w:type="gramEnd"/>
      <w:r>
        <w:rPr>
          <w:sz w:val="24"/>
        </w:rPr>
        <w:t xml:space="preserve"> 34340).   No </w:t>
      </w:r>
      <w:r w:rsidRPr="00EC26C5">
        <w:rPr>
          <w:sz w:val="24"/>
        </w:rPr>
        <w:t>comments were received.</w:t>
      </w:r>
    </w:p>
    <w:p w:rsidR="0010574A" w:rsidRDefault="0010574A" w:rsidP="0010574A">
      <w:pPr>
        <w:tabs>
          <w:tab w:val="left" w:pos="600"/>
        </w:tabs>
        <w:ind w:left="360"/>
        <w:rPr>
          <w:color w:val="000000"/>
          <w:sz w:val="24"/>
          <w:szCs w:val="24"/>
        </w:rPr>
      </w:pPr>
    </w:p>
    <w:p w:rsidR="0010574A" w:rsidRDefault="0010574A" w:rsidP="0010574A">
      <w:pPr>
        <w:tabs>
          <w:tab w:val="left" w:pos="600"/>
        </w:tabs>
        <w:ind w:left="360"/>
        <w:rPr>
          <w:color w:val="000000"/>
          <w:sz w:val="24"/>
          <w:szCs w:val="24"/>
        </w:rPr>
      </w:pPr>
      <w:r w:rsidRPr="005A6C74">
        <w:rPr>
          <w:color w:val="000000"/>
          <w:sz w:val="24"/>
          <w:szCs w:val="24"/>
        </w:rPr>
        <w:lastRenderedPageBreak/>
        <w:t>HUD staff interviewed five housing counseling agencies that were reviewed by HUD during the first two quarters of Fiscal Year 2011.  Agencies were asked to estimate the time burden for their staff to prepare for the performance review, be interviewed by HUD staff and to retrieve fil</w:t>
      </w:r>
      <w:r>
        <w:rPr>
          <w:color w:val="000000"/>
          <w:sz w:val="24"/>
          <w:szCs w:val="24"/>
        </w:rPr>
        <w:t xml:space="preserve">es requested by HUD staff.  The </w:t>
      </w:r>
      <w:r w:rsidRPr="005A6C74">
        <w:rPr>
          <w:color w:val="000000"/>
          <w:sz w:val="24"/>
          <w:szCs w:val="24"/>
        </w:rPr>
        <w:t>average of these res</w:t>
      </w:r>
      <w:r>
        <w:rPr>
          <w:color w:val="000000"/>
          <w:sz w:val="24"/>
          <w:szCs w:val="24"/>
        </w:rPr>
        <w:t>p</w:t>
      </w:r>
      <w:r w:rsidRPr="005A6C74">
        <w:rPr>
          <w:color w:val="000000"/>
          <w:sz w:val="24"/>
          <w:szCs w:val="24"/>
        </w:rPr>
        <w:t>onses was 9.5 hours total time burden for the performance review.</w:t>
      </w:r>
      <w:r>
        <w:rPr>
          <w:color w:val="000000"/>
          <w:sz w:val="24"/>
          <w:szCs w:val="24"/>
        </w:rPr>
        <w:t xml:space="preserve">  This time commitment remains unchanged.</w:t>
      </w:r>
    </w:p>
    <w:p w:rsidR="0010574A" w:rsidRDefault="0010574A" w:rsidP="0010574A">
      <w:pPr>
        <w:tabs>
          <w:tab w:val="left" w:pos="600"/>
        </w:tabs>
        <w:ind w:left="360"/>
        <w:rPr>
          <w:color w:val="000000"/>
          <w:sz w:val="24"/>
          <w:szCs w:val="24"/>
        </w:rPr>
      </w:pPr>
    </w:p>
    <w:p w:rsidR="0010574A" w:rsidRDefault="0010574A" w:rsidP="0010574A">
      <w:pPr>
        <w:pStyle w:val="BodyTextIndent2"/>
        <w:numPr>
          <w:ilvl w:val="0"/>
          <w:numId w:val="1"/>
        </w:numPr>
        <w:rPr>
          <w:color w:val="000000"/>
          <w:szCs w:val="24"/>
        </w:rPr>
      </w:pPr>
      <w:r w:rsidRPr="005A6C74">
        <w:rPr>
          <w:color w:val="000000"/>
          <w:szCs w:val="24"/>
        </w:rPr>
        <w:t xml:space="preserve">There are no payments or gifts to respondents with respect to this collection. </w:t>
      </w:r>
    </w:p>
    <w:p w:rsidR="0010574A" w:rsidRDefault="0010574A" w:rsidP="0010574A">
      <w:pPr>
        <w:pStyle w:val="BodyTextIndent2"/>
        <w:rPr>
          <w:color w:val="000000"/>
          <w:szCs w:val="24"/>
        </w:rPr>
      </w:pPr>
    </w:p>
    <w:p w:rsidR="0010574A" w:rsidRDefault="0010574A" w:rsidP="0010574A">
      <w:pPr>
        <w:pStyle w:val="BodyTextIndent2"/>
        <w:numPr>
          <w:ilvl w:val="0"/>
          <w:numId w:val="1"/>
        </w:numPr>
        <w:rPr>
          <w:szCs w:val="24"/>
        </w:rPr>
      </w:pPr>
      <w:r w:rsidRPr="005A6C74">
        <w:rPr>
          <w:color w:val="000000"/>
          <w:szCs w:val="24"/>
        </w:rPr>
        <w:t>HUD employees have access to client-level information during the</w:t>
      </w:r>
      <w:r w:rsidRPr="005A6C74">
        <w:rPr>
          <w:szCs w:val="24"/>
        </w:rPr>
        <w:t xml:space="preserve"> course of collecting information to complete this form. Revision-5 of Housing Counseling Program Handbook 7610.1, Paragraphs 5-6 and </w:t>
      </w:r>
      <w:r>
        <w:rPr>
          <w:szCs w:val="24"/>
        </w:rPr>
        <w:t xml:space="preserve">     </w:t>
      </w:r>
      <w:r w:rsidRPr="005A6C74">
        <w:rPr>
          <w:szCs w:val="24"/>
        </w:rPr>
        <w:t>6-3H</w:t>
      </w:r>
      <w:r>
        <w:rPr>
          <w:szCs w:val="24"/>
        </w:rPr>
        <w:t>,</w:t>
      </w:r>
      <w:r w:rsidRPr="005A6C74">
        <w:rPr>
          <w:szCs w:val="24"/>
        </w:rPr>
        <w:t xml:space="preserve"> require HUD staff not </w:t>
      </w:r>
      <w:r>
        <w:rPr>
          <w:szCs w:val="24"/>
        </w:rPr>
        <w:t xml:space="preserve">to </w:t>
      </w:r>
      <w:r w:rsidRPr="005A6C74">
        <w:rPr>
          <w:szCs w:val="24"/>
        </w:rPr>
        <w:t>disclose to anyone except</w:t>
      </w:r>
      <w:r>
        <w:rPr>
          <w:szCs w:val="24"/>
        </w:rPr>
        <w:t>,</w:t>
      </w:r>
      <w:r w:rsidRPr="005A6C74">
        <w:rPr>
          <w:szCs w:val="24"/>
        </w:rPr>
        <w:t xml:space="preserve"> to authorized HUD personnel the information contained in individual case files that may be sampled as part of the monitoring.  Derogatory findings indicating the possibility of falsified records or fraud may be reported by the reviewing HUD office to the appropriate Office of the Inspector General.</w:t>
      </w:r>
    </w:p>
    <w:p w:rsidR="0010574A" w:rsidRDefault="0010574A" w:rsidP="0010574A">
      <w:pPr>
        <w:pStyle w:val="ListParagraph"/>
        <w:rPr>
          <w:szCs w:val="24"/>
        </w:rPr>
      </w:pPr>
    </w:p>
    <w:p w:rsidR="0010574A" w:rsidRPr="00470C3C" w:rsidRDefault="0010574A" w:rsidP="0010574A">
      <w:pPr>
        <w:pStyle w:val="BodyTextIndent2"/>
        <w:numPr>
          <w:ilvl w:val="0"/>
          <w:numId w:val="1"/>
        </w:numPr>
        <w:rPr>
          <w:szCs w:val="24"/>
        </w:rPr>
      </w:pPr>
      <w:r w:rsidRPr="00470C3C">
        <w:rPr>
          <w:szCs w:val="24"/>
        </w:rPr>
        <w:t xml:space="preserve">No information of a sensitive nature is required as part of this collection. </w:t>
      </w:r>
    </w:p>
    <w:p w:rsidR="0010574A" w:rsidRPr="00470C3C" w:rsidRDefault="0010574A" w:rsidP="0010574A">
      <w:pPr>
        <w:pStyle w:val="BodyTextIndent2"/>
        <w:ind w:left="0"/>
        <w:rPr>
          <w:szCs w:val="24"/>
        </w:rPr>
      </w:pPr>
    </w:p>
    <w:p w:rsidR="0010574A" w:rsidRDefault="0010574A" w:rsidP="0010574A">
      <w:pPr>
        <w:pStyle w:val="BodyTextIndent2"/>
        <w:numPr>
          <w:ilvl w:val="0"/>
          <w:numId w:val="1"/>
        </w:numPr>
        <w:rPr>
          <w:szCs w:val="24"/>
        </w:rPr>
      </w:pPr>
      <w:r w:rsidRPr="00470C3C">
        <w:rPr>
          <w:szCs w:val="24"/>
        </w:rPr>
        <w:t>The estimated number of respondents, frequency of response, annual hour burden and estimated cost to the respondents are stated below:</w:t>
      </w:r>
    </w:p>
    <w:p w:rsidR="0010574A" w:rsidRDefault="0010574A" w:rsidP="0010574A">
      <w:pPr>
        <w:pStyle w:val="ListParagraph"/>
        <w:rPr>
          <w:szCs w:val="24"/>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1277"/>
        <w:gridCol w:w="1311"/>
        <w:gridCol w:w="1329"/>
        <w:gridCol w:w="1507"/>
        <w:gridCol w:w="1467"/>
        <w:gridCol w:w="1055"/>
        <w:gridCol w:w="1309"/>
      </w:tblGrid>
      <w:tr w:rsidR="0010574A" w:rsidRPr="0035656C" w:rsidTr="005A6F47">
        <w:trPr>
          <w:cantSplit/>
        </w:trPr>
        <w:tc>
          <w:tcPr>
            <w:tcW w:w="1477" w:type="dxa"/>
            <w:vAlign w:val="center"/>
          </w:tcPr>
          <w:p w:rsidR="0010574A" w:rsidRPr="0035656C" w:rsidRDefault="0010574A" w:rsidP="005A6F47">
            <w:pPr>
              <w:jc w:val="center"/>
              <w:rPr>
                <w:rFonts w:ascii="Arial" w:hAnsi="Arial" w:cs="Arial"/>
                <w:sz w:val="18"/>
                <w:szCs w:val="18"/>
              </w:rPr>
            </w:pPr>
            <w:r w:rsidRPr="0035656C">
              <w:rPr>
                <w:rFonts w:ascii="Arial" w:hAnsi="Arial" w:cs="Arial"/>
                <w:sz w:val="18"/>
                <w:szCs w:val="18"/>
              </w:rPr>
              <w:t>Description of Information Collected</w:t>
            </w:r>
          </w:p>
        </w:tc>
        <w:tc>
          <w:tcPr>
            <w:tcW w:w="1277" w:type="dxa"/>
            <w:vAlign w:val="center"/>
          </w:tcPr>
          <w:p w:rsidR="0010574A" w:rsidRPr="0035656C" w:rsidRDefault="0010574A" w:rsidP="005A6F47">
            <w:pPr>
              <w:jc w:val="center"/>
              <w:rPr>
                <w:rFonts w:ascii="Arial" w:hAnsi="Arial" w:cs="Arial"/>
                <w:sz w:val="18"/>
                <w:szCs w:val="18"/>
              </w:rPr>
            </w:pPr>
            <w:r w:rsidRPr="0035656C">
              <w:rPr>
                <w:rFonts w:ascii="Arial" w:hAnsi="Arial" w:cs="Arial"/>
                <w:sz w:val="18"/>
                <w:szCs w:val="18"/>
              </w:rPr>
              <w:t>Number of Respondents</w:t>
            </w:r>
          </w:p>
        </w:tc>
        <w:tc>
          <w:tcPr>
            <w:tcW w:w="1314" w:type="dxa"/>
            <w:vAlign w:val="center"/>
          </w:tcPr>
          <w:p w:rsidR="0010574A" w:rsidRPr="0035656C" w:rsidRDefault="0010574A" w:rsidP="005A6F47">
            <w:pPr>
              <w:jc w:val="center"/>
              <w:rPr>
                <w:rFonts w:ascii="Arial" w:hAnsi="Arial" w:cs="Arial"/>
                <w:sz w:val="18"/>
                <w:szCs w:val="18"/>
              </w:rPr>
            </w:pPr>
            <w:r w:rsidRPr="0035656C">
              <w:rPr>
                <w:rFonts w:ascii="Arial" w:hAnsi="Arial" w:cs="Arial"/>
                <w:sz w:val="18"/>
                <w:szCs w:val="18"/>
              </w:rPr>
              <w:t>Frequency of Response</w:t>
            </w:r>
          </w:p>
        </w:tc>
        <w:tc>
          <w:tcPr>
            <w:tcW w:w="1332" w:type="dxa"/>
            <w:vAlign w:val="center"/>
          </w:tcPr>
          <w:p w:rsidR="0010574A" w:rsidRPr="0035656C" w:rsidRDefault="0010574A" w:rsidP="005A6F47">
            <w:pPr>
              <w:jc w:val="center"/>
              <w:rPr>
                <w:rFonts w:ascii="Arial" w:hAnsi="Arial" w:cs="Arial"/>
                <w:sz w:val="18"/>
                <w:szCs w:val="18"/>
              </w:rPr>
            </w:pPr>
            <w:r w:rsidRPr="0035656C">
              <w:rPr>
                <w:rFonts w:ascii="Arial" w:hAnsi="Arial" w:cs="Arial"/>
                <w:sz w:val="18"/>
                <w:szCs w:val="18"/>
              </w:rPr>
              <w:t>Total Annual Responses</w:t>
            </w:r>
          </w:p>
        </w:tc>
        <w:tc>
          <w:tcPr>
            <w:tcW w:w="1514" w:type="dxa"/>
            <w:vAlign w:val="center"/>
          </w:tcPr>
          <w:p w:rsidR="0010574A" w:rsidRPr="0035656C" w:rsidRDefault="0010574A" w:rsidP="005A6F47">
            <w:pPr>
              <w:jc w:val="center"/>
              <w:rPr>
                <w:rFonts w:ascii="Arial" w:hAnsi="Arial" w:cs="Arial"/>
                <w:sz w:val="18"/>
                <w:szCs w:val="18"/>
              </w:rPr>
            </w:pPr>
            <w:r w:rsidRPr="0035656C">
              <w:rPr>
                <w:rFonts w:ascii="Arial" w:hAnsi="Arial" w:cs="Arial"/>
                <w:sz w:val="18"/>
                <w:szCs w:val="18"/>
              </w:rPr>
              <w:t>Burden Hours per Response</w:t>
            </w:r>
          </w:p>
        </w:tc>
        <w:tc>
          <w:tcPr>
            <w:tcW w:w="1474" w:type="dxa"/>
            <w:vAlign w:val="center"/>
          </w:tcPr>
          <w:p w:rsidR="0010574A" w:rsidRPr="0035656C" w:rsidRDefault="0010574A" w:rsidP="005A6F47">
            <w:pPr>
              <w:jc w:val="center"/>
              <w:rPr>
                <w:rFonts w:ascii="Arial" w:hAnsi="Arial" w:cs="Arial"/>
                <w:sz w:val="18"/>
                <w:szCs w:val="18"/>
              </w:rPr>
            </w:pPr>
            <w:r w:rsidRPr="0035656C">
              <w:rPr>
                <w:rFonts w:ascii="Arial" w:hAnsi="Arial" w:cs="Arial"/>
                <w:sz w:val="18"/>
                <w:szCs w:val="18"/>
              </w:rPr>
              <w:t>Total</w:t>
            </w:r>
            <w:r>
              <w:rPr>
                <w:rFonts w:ascii="Arial" w:hAnsi="Arial" w:cs="Arial"/>
                <w:sz w:val="18"/>
                <w:szCs w:val="18"/>
              </w:rPr>
              <w:t xml:space="preserve"> Annual</w:t>
            </w:r>
            <w:r w:rsidRPr="0035656C">
              <w:rPr>
                <w:rFonts w:ascii="Arial" w:hAnsi="Arial" w:cs="Arial"/>
                <w:sz w:val="18"/>
                <w:szCs w:val="18"/>
              </w:rPr>
              <w:t xml:space="preserve"> Burden Hours</w:t>
            </w:r>
          </w:p>
        </w:tc>
        <w:tc>
          <w:tcPr>
            <w:tcW w:w="1059" w:type="dxa"/>
            <w:vAlign w:val="center"/>
          </w:tcPr>
          <w:p w:rsidR="0010574A" w:rsidRPr="0035656C" w:rsidRDefault="0010574A" w:rsidP="005A6F47">
            <w:pPr>
              <w:jc w:val="center"/>
              <w:rPr>
                <w:rFonts w:ascii="Arial" w:hAnsi="Arial" w:cs="Arial"/>
                <w:sz w:val="18"/>
                <w:szCs w:val="18"/>
              </w:rPr>
            </w:pPr>
            <w:r w:rsidRPr="0035656C">
              <w:rPr>
                <w:rFonts w:ascii="Arial" w:hAnsi="Arial" w:cs="Arial"/>
                <w:sz w:val="18"/>
                <w:szCs w:val="18"/>
              </w:rPr>
              <w:t>Hourly Rate</w:t>
            </w:r>
          </w:p>
        </w:tc>
        <w:tc>
          <w:tcPr>
            <w:tcW w:w="1281" w:type="dxa"/>
            <w:vAlign w:val="center"/>
          </w:tcPr>
          <w:p w:rsidR="0010574A" w:rsidRPr="0035656C" w:rsidRDefault="0010574A" w:rsidP="005A6F47">
            <w:pPr>
              <w:jc w:val="center"/>
              <w:rPr>
                <w:rFonts w:ascii="Arial" w:hAnsi="Arial" w:cs="Arial"/>
                <w:sz w:val="18"/>
                <w:szCs w:val="18"/>
              </w:rPr>
            </w:pPr>
            <w:r w:rsidRPr="0035656C">
              <w:rPr>
                <w:rFonts w:ascii="Arial" w:hAnsi="Arial" w:cs="Arial"/>
                <w:sz w:val="18"/>
                <w:szCs w:val="18"/>
              </w:rPr>
              <w:t>Total Annual Cost</w:t>
            </w:r>
          </w:p>
        </w:tc>
      </w:tr>
      <w:tr w:rsidR="0010574A" w:rsidRPr="0035656C" w:rsidTr="005A6F47">
        <w:trPr>
          <w:cantSplit/>
        </w:trPr>
        <w:tc>
          <w:tcPr>
            <w:tcW w:w="1477" w:type="dxa"/>
            <w:vAlign w:val="center"/>
          </w:tcPr>
          <w:p w:rsidR="0010574A" w:rsidRPr="0035656C" w:rsidRDefault="0010574A" w:rsidP="005A6F47">
            <w:pPr>
              <w:rPr>
                <w:rFonts w:ascii="Arial" w:hAnsi="Arial" w:cs="Arial"/>
                <w:sz w:val="18"/>
                <w:szCs w:val="18"/>
              </w:rPr>
            </w:pPr>
            <w:r w:rsidRPr="0035656C">
              <w:rPr>
                <w:rFonts w:ascii="Arial" w:hAnsi="Arial" w:cs="Arial"/>
                <w:sz w:val="18"/>
                <w:szCs w:val="18"/>
              </w:rPr>
              <w:t>HUD-9910- Performance Review Form</w:t>
            </w:r>
          </w:p>
        </w:tc>
        <w:tc>
          <w:tcPr>
            <w:tcW w:w="1277" w:type="dxa"/>
            <w:vAlign w:val="center"/>
          </w:tcPr>
          <w:p w:rsidR="0010574A" w:rsidRPr="0035656C" w:rsidRDefault="0010574A" w:rsidP="005A6F47">
            <w:pPr>
              <w:ind w:right="342"/>
              <w:jc w:val="right"/>
              <w:rPr>
                <w:rFonts w:ascii="Arial" w:hAnsi="Arial" w:cs="Arial"/>
                <w:sz w:val="18"/>
                <w:szCs w:val="18"/>
              </w:rPr>
            </w:pPr>
            <w:r>
              <w:rPr>
                <w:rFonts w:ascii="Arial" w:hAnsi="Arial" w:cs="Arial"/>
                <w:sz w:val="18"/>
                <w:szCs w:val="18"/>
              </w:rPr>
              <w:t>455</w:t>
            </w:r>
          </w:p>
        </w:tc>
        <w:tc>
          <w:tcPr>
            <w:tcW w:w="1314" w:type="dxa"/>
            <w:vAlign w:val="center"/>
          </w:tcPr>
          <w:p w:rsidR="0010574A" w:rsidRPr="0035656C" w:rsidRDefault="0010574A" w:rsidP="005A6F47">
            <w:pPr>
              <w:ind w:right="342"/>
              <w:jc w:val="right"/>
              <w:rPr>
                <w:rFonts w:ascii="Arial" w:hAnsi="Arial" w:cs="Arial"/>
                <w:sz w:val="18"/>
                <w:szCs w:val="18"/>
              </w:rPr>
            </w:pPr>
            <w:r w:rsidRPr="0035656C">
              <w:rPr>
                <w:rFonts w:ascii="Arial" w:hAnsi="Arial" w:cs="Arial"/>
                <w:sz w:val="18"/>
                <w:szCs w:val="18"/>
              </w:rPr>
              <w:t>1</w:t>
            </w:r>
          </w:p>
        </w:tc>
        <w:tc>
          <w:tcPr>
            <w:tcW w:w="1332" w:type="dxa"/>
            <w:vAlign w:val="center"/>
          </w:tcPr>
          <w:p w:rsidR="0010574A" w:rsidRPr="0035656C" w:rsidRDefault="0010574A" w:rsidP="005A6F47">
            <w:pPr>
              <w:ind w:right="342"/>
              <w:jc w:val="right"/>
              <w:rPr>
                <w:rFonts w:ascii="Arial" w:hAnsi="Arial" w:cs="Arial"/>
                <w:sz w:val="18"/>
                <w:szCs w:val="18"/>
              </w:rPr>
            </w:pPr>
            <w:r>
              <w:rPr>
                <w:rFonts w:ascii="Arial" w:hAnsi="Arial" w:cs="Arial"/>
                <w:sz w:val="18"/>
                <w:szCs w:val="18"/>
              </w:rPr>
              <w:t>455</w:t>
            </w:r>
          </w:p>
        </w:tc>
        <w:tc>
          <w:tcPr>
            <w:tcW w:w="1514" w:type="dxa"/>
            <w:vAlign w:val="center"/>
          </w:tcPr>
          <w:p w:rsidR="0010574A" w:rsidRPr="0035656C" w:rsidRDefault="0010574A" w:rsidP="005A6F47">
            <w:pPr>
              <w:ind w:right="342"/>
              <w:jc w:val="right"/>
              <w:rPr>
                <w:rFonts w:ascii="Arial" w:hAnsi="Arial" w:cs="Arial"/>
                <w:sz w:val="18"/>
                <w:szCs w:val="18"/>
              </w:rPr>
            </w:pPr>
            <w:r>
              <w:rPr>
                <w:rFonts w:ascii="Arial" w:hAnsi="Arial" w:cs="Arial"/>
                <w:sz w:val="18"/>
                <w:szCs w:val="18"/>
              </w:rPr>
              <w:t>9.5</w:t>
            </w:r>
          </w:p>
        </w:tc>
        <w:tc>
          <w:tcPr>
            <w:tcW w:w="1474" w:type="dxa"/>
            <w:vAlign w:val="center"/>
          </w:tcPr>
          <w:p w:rsidR="0010574A" w:rsidRPr="0035656C" w:rsidRDefault="0010574A" w:rsidP="005A6F47">
            <w:pPr>
              <w:ind w:right="342"/>
              <w:jc w:val="right"/>
              <w:rPr>
                <w:rFonts w:ascii="Arial" w:hAnsi="Arial" w:cs="Arial"/>
                <w:sz w:val="18"/>
                <w:szCs w:val="18"/>
              </w:rPr>
            </w:pPr>
            <w:r>
              <w:rPr>
                <w:rFonts w:ascii="Arial" w:hAnsi="Arial" w:cs="Arial"/>
                <w:sz w:val="18"/>
                <w:szCs w:val="18"/>
              </w:rPr>
              <w:t>4323</w:t>
            </w:r>
          </w:p>
        </w:tc>
        <w:tc>
          <w:tcPr>
            <w:tcW w:w="1059" w:type="dxa"/>
            <w:vAlign w:val="center"/>
          </w:tcPr>
          <w:p w:rsidR="0010574A" w:rsidRPr="0035656C" w:rsidRDefault="0010574A" w:rsidP="005A6F47">
            <w:pPr>
              <w:ind w:right="162"/>
              <w:jc w:val="center"/>
              <w:rPr>
                <w:rFonts w:ascii="Arial" w:hAnsi="Arial" w:cs="Arial"/>
                <w:sz w:val="18"/>
                <w:szCs w:val="18"/>
              </w:rPr>
            </w:pPr>
            <w:r w:rsidRPr="0035656C">
              <w:rPr>
                <w:rFonts w:ascii="Arial" w:hAnsi="Arial" w:cs="Arial"/>
                <w:sz w:val="18"/>
                <w:szCs w:val="18"/>
              </w:rPr>
              <w:t>$25</w:t>
            </w:r>
          </w:p>
        </w:tc>
        <w:tc>
          <w:tcPr>
            <w:tcW w:w="1281" w:type="dxa"/>
            <w:vAlign w:val="center"/>
          </w:tcPr>
          <w:p w:rsidR="0010574A" w:rsidRPr="0035656C" w:rsidRDefault="0010574A" w:rsidP="005A6F47">
            <w:pPr>
              <w:ind w:right="342"/>
              <w:jc w:val="right"/>
              <w:rPr>
                <w:rFonts w:ascii="Arial" w:hAnsi="Arial" w:cs="Arial"/>
                <w:sz w:val="18"/>
                <w:szCs w:val="18"/>
              </w:rPr>
            </w:pPr>
            <w:r>
              <w:rPr>
                <w:rFonts w:ascii="Arial" w:hAnsi="Arial" w:cs="Arial"/>
                <w:sz w:val="18"/>
                <w:szCs w:val="18"/>
              </w:rPr>
              <w:t>$108,075</w:t>
            </w:r>
          </w:p>
        </w:tc>
      </w:tr>
    </w:tbl>
    <w:p w:rsidR="0010574A" w:rsidRPr="00947E5C" w:rsidRDefault="0010574A" w:rsidP="0010574A">
      <w:pPr>
        <w:pStyle w:val="BodyTextIndent2"/>
        <w:ind w:left="0"/>
        <w:rPr>
          <w:sz w:val="20"/>
        </w:rPr>
      </w:pPr>
      <w:r>
        <w:rPr>
          <w:sz w:val="20"/>
        </w:rPr>
        <w:t>The hourly cost is based on an estimate of the average annual salary of respondent staff at $52,000.</w:t>
      </w:r>
    </w:p>
    <w:p w:rsidR="0010574A" w:rsidRPr="00947E5C" w:rsidRDefault="0010574A" w:rsidP="0010574A">
      <w:pPr>
        <w:pStyle w:val="BodyTextIndent2"/>
        <w:rPr>
          <w:szCs w:val="24"/>
        </w:rPr>
      </w:pPr>
    </w:p>
    <w:p w:rsidR="0010574A" w:rsidRPr="00470C3C" w:rsidRDefault="0010574A" w:rsidP="0010574A">
      <w:pPr>
        <w:pStyle w:val="BodyTextIndent2"/>
        <w:numPr>
          <w:ilvl w:val="0"/>
          <w:numId w:val="1"/>
        </w:numPr>
        <w:rPr>
          <w:szCs w:val="24"/>
        </w:rPr>
      </w:pPr>
      <w:r w:rsidRPr="00470C3C">
        <w:rPr>
          <w:szCs w:val="24"/>
        </w:rPr>
        <w:t xml:space="preserve">There is no additional cost to respondents or record keepers.  </w:t>
      </w:r>
    </w:p>
    <w:p w:rsidR="0010574A" w:rsidRPr="00470C3C" w:rsidRDefault="0010574A" w:rsidP="0010574A">
      <w:pPr>
        <w:pStyle w:val="BodyTextIndent2"/>
        <w:ind w:left="0"/>
        <w:rPr>
          <w:color w:val="000000"/>
          <w:szCs w:val="24"/>
        </w:rPr>
      </w:pPr>
    </w:p>
    <w:p w:rsidR="0010574A" w:rsidRDefault="0010574A" w:rsidP="0010574A">
      <w:pPr>
        <w:pStyle w:val="Default"/>
        <w:numPr>
          <w:ilvl w:val="0"/>
          <w:numId w:val="1"/>
        </w:numPr>
      </w:pPr>
      <w:r w:rsidRPr="00470C3C">
        <w:t xml:space="preserve">Estimated annualized costs to the Federal government include approximately </w:t>
      </w:r>
      <w:r>
        <w:t>6,370</w:t>
      </w:r>
      <w:r w:rsidRPr="00470C3C">
        <w:t xml:space="preserve"> hours of staff time needed to complete preparation</w:t>
      </w:r>
      <w:r>
        <w:t xml:space="preserve"> for the performance review,</w:t>
      </w:r>
      <w:r w:rsidRPr="00470C3C">
        <w:t xml:space="preserve"> make travel arrangements, coordinate performance review visits with participating organizations, conduct </w:t>
      </w:r>
      <w:r>
        <w:t xml:space="preserve">and document </w:t>
      </w:r>
      <w:r w:rsidRPr="00470C3C">
        <w:t>performance reviews using the HUD Form</w:t>
      </w:r>
      <w:r>
        <w:t>-</w:t>
      </w:r>
      <w:r w:rsidRPr="00470C3C">
        <w:t>9910.  The federal staff required to administer this process comprise mixture of both administrative and professional personnel.  With an estimated average cost of $</w:t>
      </w:r>
      <w:r>
        <w:t>36.21</w:t>
      </w:r>
      <w:r w:rsidRPr="00470C3C">
        <w:t xml:space="preserve"> per hour for staff, the total annualized cost to the Federal government is estimated to be $</w:t>
      </w:r>
      <w:r>
        <w:t>230,658.</w:t>
      </w:r>
    </w:p>
    <w:p w:rsidR="0010574A" w:rsidRDefault="0010574A" w:rsidP="0010574A">
      <w:pPr>
        <w:pStyle w:val="ListParagraph"/>
      </w:pPr>
    </w:p>
    <w:p w:rsidR="0010574A" w:rsidRPr="00470C3C" w:rsidRDefault="0010574A" w:rsidP="0010574A">
      <w:pPr>
        <w:pStyle w:val="Default"/>
      </w:pPr>
    </w:p>
    <w:p w:rsidR="0010574A" w:rsidRPr="00470C3C" w:rsidRDefault="0010574A" w:rsidP="0010574A">
      <w:pPr>
        <w:pStyle w:val="Default"/>
        <w:ind w:left="360"/>
        <w:jc w:val="center"/>
        <w:rPr>
          <w:b/>
          <w:color w:val="auto"/>
        </w:rPr>
      </w:pPr>
      <w:r w:rsidRPr="00470C3C">
        <w:rPr>
          <w:b/>
          <w:color w:val="auto"/>
        </w:rPr>
        <w:t>COSTS FOR HUD STAFF AND RESOURCES - FISCAL YEARS 20</w:t>
      </w:r>
      <w:r>
        <w:rPr>
          <w:b/>
          <w:color w:val="auto"/>
        </w:rPr>
        <w:t>10</w:t>
      </w:r>
      <w:r w:rsidRPr="00470C3C">
        <w:rPr>
          <w:b/>
          <w:color w:val="auto"/>
        </w:rPr>
        <w:t>/20</w:t>
      </w:r>
      <w:r>
        <w:rPr>
          <w:b/>
          <w:color w:val="auto"/>
        </w:rPr>
        <w:t>11</w:t>
      </w:r>
    </w:p>
    <w:tbl>
      <w:tblPr>
        <w:tblW w:w="10947" w:type="dxa"/>
        <w:tblInd w:w="-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978"/>
        <w:gridCol w:w="1242"/>
        <w:gridCol w:w="1137"/>
        <w:gridCol w:w="1260"/>
        <w:gridCol w:w="894"/>
        <w:gridCol w:w="1176"/>
        <w:gridCol w:w="1260"/>
      </w:tblGrid>
      <w:tr w:rsidR="0010574A" w:rsidRPr="00634AE7" w:rsidTr="005A6F47">
        <w:tblPrEx>
          <w:tblCellMar>
            <w:top w:w="0" w:type="dxa"/>
            <w:bottom w:w="0" w:type="dxa"/>
          </w:tblCellMar>
        </w:tblPrEx>
        <w:trPr>
          <w:cantSplit/>
          <w:trHeight w:val="300"/>
        </w:trPr>
        <w:tc>
          <w:tcPr>
            <w:tcW w:w="3978" w:type="dxa"/>
            <w:tcBorders>
              <w:top w:val="single" w:sz="6" w:space="0" w:color="auto"/>
              <w:left w:val="single" w:sz="6" w:space="0" w:color="auto"/>
              <w:bottom w:val="single" w:sz="6" w:space="0" w:color="auto"/>
              <w:right w:val="single" w:sz="6" w:space="0" w:color="auto"/>
            </w:tcBorders>
            <w:vAlign w:val="center"/>
          </w:tcPr>
          <w:p w:rsidR="0010574A" w:rsidRPr="00634AE7" w:rsidRDefault="0010574A" w:rsidP="005A6F47">
            <w:pPr>
              <w:pStyle w:val="Heading7"/>
              <w:ind w:left="33"/>
              <w:rPr>
                <w:rFonts w:ascii="Arial" w:hAnsi="Arial" w:cs="Arial"/>
                <w:bCs w:val="0"/>
                <w:sz w:val="18"/>
                <w:szCs w:val="18"/>
              </w:rPr>
            </w:pPr>
            <w:r w:rsidRPr="00634AE7">
              <w:rPr>
                <w:rFonts w:ascii="Arial" w:hAnsi="Arial" w:cs="Arial"/>
                <w:bCs w:val="0"/>
                <w:sz w:val="18"/>
                <w:szCs w:val="18"/>
              </w:rPr>
              <w:lastRenderedPageBreak/>
              <w:t>Information Collection</w:t>
            </w:r>
          </w:p>
        </w:tc>
        <w:tc>
          <w:tcPr>
            <w:tcW w:w="1242" w:type="dxa"/>
            <w:tcBorders>
              <w:top w:val="single" w:sz="6" w:space="0" w:color="auto"/>
              <w:left w:val="single" w:sz="6" w:space="0" w:color="auto"/>
              <w:bottom w:val="single" w:sz="6" w:space="0" w:color="auto"/>
              <w:right w:val="single" w:sz="6" w:space="0" w:color="auto"/>
            </w:tcBorders>
          </w:tcPr>
          <w:p w:rsidR="0010574A" w:rsidRPr="00634AE7" w:rsidRDefault="0010574A" w:rsidP="005A6F47">
            <w:pPr>
              <w:widowControl w:val="0"/>
              <w:ind w:left="15" w:hanging="15"/>
              <w:jc w:val="center"/>
              <w:rPr>
                <w:rFonts w:ascii="Arial" w:hAnsi="Arial" w:cs="Arial"/>
                <w:bCs/>
                <w:sz w:val="18"/>
                <w:szCs w:val="18"/>
              </w:rPr>
            </w:pPr>
            <w:r w:rsidRPr="00634AE7">
              <w:rPr>
                <w:rFonts w:ascii="Arial" w:hAnsi="Arial" w:cs="Arial"/>
                <w:bCs/>
                <w:sz w:val="18"/>
                <w:szCs w:val="18"/>
              </w:rPr>
              <w:t>Total</w:t>
            </w:r>
            <w:r>
              <w:rPr>
                <w:rFonts w:ascii="Arial" w:hAnsi="Arial" w:cs="Arial"/>
                <w:bCs/>
                <w:sz w:val="18"/>
                <w:szCs w:val="18"/>
              </w:rPr>
              <w:t xml:space="preserve"> </w:t>
            </w:r>
            <w:r w:rsidRPr="00634AE7">
              <w:rPr>
                <w:rFonts w:ascii="Arial" w:hAnsi="Arial" w:cs="Arial"/>
                <w:bCs/>
                <w:sz w:val="18"/>
                <w:szCs w:val="18"/>
              </w:rPr>
              <w:t>Annual Responses</w:t>
            </w:r>
          </w:p>
        </w:tc>
        <w:tc>
          <w:tcPr>
            <w:tcW w:w="1137" w:type="dxa"/>
            <w:tcBorders>
              <w:top w:val="single" w:sz="6" w:space="0" w:color="auto"/>
              <w:left w:val="single" w:sz="6" w:space="0" w:color="auto"/>
              <w:bottom w:val="single" w:sz="6" w:space="0" w:color="auto"/>
              <w:right w:val="single" w:sz="6" w:space="0" w:color="auto"/>
            </w:tcBorders>
            <w:vAlign w:val="center"/>
          </w:tcPr>
          <w:p w:rsidR="0010574A" w:rsidRPr="00634AE7" w:rsidRDefault="0010574A" w:rsidP="005A6F47">
            <w:pPr>
              <w:widowControl w:val="0"/>
              <w:jc w:val="center"/>
              <w:rPr>
                <w:rFonts w:ascii="Arial" w:hAnsi="Arial" w:cs="Arial"/>
                <w:bCs/>
                <w:sz w:val="18"/>
                <w:szCs w:val="18"/>
              </w:rPr>
            </w:pPr>
            <w:r w:rsidRPr="00634AE7">
              <w:rPr>
                <w:rFonts w:ascii="Arial" w:hAnsi="Arial" w:cs="Arial"/>
                <w:bCs/>
                <w:sz w:val="18"/>
                <w:szCs w:val="18"/>
              </w:rPr>
              <w:t xml:space="preserve">Hours per Response </w:t>
            </w:r>
          </w:p>
        </w:tc>
        <w:tc>
          <w:tcPr>
            <w:tcW w:w="1260" w:type="dxa"/>
            <w:tcBorders>
              <w:top w:val="single" w:sz="6" w:space="0" w:color="auto"/>
              <w:left w:val="single" w:sz="4" w:space="0" w:color="auto"/>
              <w:bottom w:val="single" w:sz="6" w:space="0" w:color="auto"/>
              <w:right w:val="single" w:sz="4" w:space="0" w:color="auto"/>
            </w:tcBorders>
          </w:tcPr>
          <w:p w:rsidR="0010574A" w:rsidRPr="00634AE7" w:rsidRDefault="0010574A" w:rsidP="005A6F47">
            <w:pPr>
              <w:widowControl w:val="0"/>
              <w:ind w:left="33"/>
              <w:jc w:val="center"/>
              <w:rPr>
                <w:rFonts w:ascii="Arial" w:hAnsi="Arial" w:cs="Arial"/>
                <w:bCs/>
                <w:sz w:val="18"/>
                <w:szCs w:val="18"/>
              </w:rPr>
            </w:pPr>
            <w:r w:rsidRPr="00634AE7">
              <w:rPr>
                <w:rFonts w:ascii="Arial" w:hAnsi="Arial" w:cs="Arial"/>
                <w:bCs/>
                <w:sz w:val="18"/>
                <w:szCs w:val="18"/>
              </w:rPr>
              <w:t>Total Annual Hours</w:t>
            </w:r>
          </w:p>
        </w:tc>
        <w:tc>
          <w:tcPr>
            <w:tcW w:w="894" w:type="dxa"/>
            <w:tcBorders>
              <w:top w:val="single" w:sz="6" w:space="0" w:color="auto"/>
              <w:left w:val="single" w:sz="4" w:space="0" w:color="auto"/>
              <w:bottom w:val="single" w:sz="6" w:space="0" w:color="auto"/>
              <w:right w:val="single" w:sz="4" w:space="0" w:color="auto"/>
            </w:tcBorders>
          </w:tcPr>
          <w:p w:rsidR="0010574A" w:rsidRPr="00634AE7" w:rsidRDefault="0010574A" w:rsidP="005A6F47">
            <w:pPr>
              <w:widowControl w:val="0"/>
              <w:jc w:val="center"/>
              <w:rPr>
                <w:rFonts w:ascii="Arial" w:hAnsi="Arial" w:cs="Arial"/>
                <w:bCs/>
                <w:sz w:val="18"/>
                <w:szCs w:val="18"/>
              </w:rPr>
            </w:pPr>
            <w:r w:rsidRPr="00634AE7">
              <w:rPr>
                <w:rFonts w:ascii="Arial" w:hAnsi="Arial" w:cs="Arial"/>
                <w:bCs/>
                <w:sz w:val="18"/>
                <w:szCs w:val="18"/>
              </w:rPr>
              <w:t xml:space="preserve">Hourly Cost </w:t>
            </w:r>
          </w:p>
        </w:tc>
        <w:tc>
          <w:tcPr>
            <w:tcW w:w="1176" w:type="dxa"/>
            <w:tcBorders>
              <w:top w:val="single" w:sz="6" w:space="0" w:color="auto"/>
              <w:left w:val="single" w:sz="4" w:space="0" w:color="auto"/>
              <w:bottom w:val="single" w:sz="6" w:space="0" w:color="auto"/>
              <w:right w:val="single" w:sz="4" w:space="0" w:color="auto"/>
            </w:tcBorders>
          </w:tcPr>
          <w:p w:rsidR="0010574A" w:rsidRPr="00634AE7" w:rsidRDefault="0010574A" w:rsidP="005A6F47">
            <w:pPr>
              <w:widowControl w:val="0"/>
              <w:jc w:val="center"/>
              <w:rPr>
                <w:rFonts w:ascii="Arial" w:hAnsi="Arial" w:cs="Arial"/>
                <w:bCs/>
                <w:sz w:val="18"/>
                <w:szCs w:val="18"/>
              </w:rPr>
            </w:pPr>
            <w:r>
              <w:rPr>
                <w:rFonts w:ascii="Arial" w:hAnsi="Arial" w:cs="Arial"/>
                <w:bCs/>
                <w:sz w:val="18"/>
                <w:szCs w:val="18"/>
              </w:rPr>
              <w:t xml:space="preserve">Travel Cost per </w:t>
            </w:r>
            <w:r w:rsidRPr="00634AE7">
              <w:rPr>
                <w:rFonts w:ascii="Arial" w:hAnsi="Arial" w:cs="Arial"/>
                <w:bCs/>
                <w:sz w:val="18"/>
                <w:szCs w:val="18"/>
              </w:rPr>
              <w:t>review</w:t>
            </w:r>
          </w:p>
        </w:tc>
        <w:tc>
          <w:tcPr>
            <w:tcW w:w="1260" w:type="dxa"/>
            <w:tcBorders>
              <w:top w:val="single" w:sz="6" w:space="0" w:color="auto"/>
              <w:left w:val="single" w:sz="4" w:space="0" w:color="auto"/>
              <w:bottom w:val="single" w:sz="6" w:space="0" w:color="auto"/>
              <w:right w:val="single" w:sz="6" w:space="0" w:color="auto"/>
            </w:tcBorders>
            <w:vAlign w:val="center"/>
          </w:tcPr>
          <w:p w:rsidR="0010574A" w:rsidRPr="00634AE7" w:rsidRDefault="0010574A" w:rsidP="005A6F47">
            <w:pPr>
              <w:widowControl w:val="0"/>
              <w:jc w:val="center"/>
              <w:rPr>
                <w:rFonts w:ascii="Arial" w:hAnsi="Arial" w:cs="Arial"/>
                <w:bCs/>
                <w:sz w:val="18"/>
                <w:szCs w:val="18"/>
              </w:rPr>
            </w:pPr>
            <w:r w:rsidRPr="00634AE7">
              <w:rPr>
                <w:rFonts w:ascii="Arial" w:hAnsi="Arial" w:cs="Arial"/>
                <w:bCs/>
                <w:sz w:val="18"/>
                <w:szCs w:val="18"/>
              </w:rPr>
              <w:t>Total Annual Cost</w:t>
            </w:r>
          </w:p>
        </w:tc>
      </w:tr>
      <w:tr w:rsidR="0010574A" w:rsidRPr="00634AE7" w:rsidTr="005A6F47">
        <w:tblPrEx>
          <w:tblCellMar>
            <w:top w:w="0" w:type="dxa"/>
            <w:bottom w:w="0" w:type="dxa"/>
          </w:tblCellMar>
        </w:tblPrEx>
        <w:trPr>
          <w:cantSplit/>
          <w:trHeight w:val="134"/>
        </w:trPr>
        <w:tc>
          <w:tcPr>
            <w:tcW w:w="3978" w:type="dxa"/>
            <w:tcBorders>
              <w:top w:val="single" w:sz="6" w:space="0" w:color="auto"/>
              <w:left w:val="single" w:sz="6" w:space="0" w:color="auto"/>
              <w:bottom w:val="single" w:sz="6" w:space="0" w:color="auto"/>
              <w:right w:val="single" w:sz="6" w:space="0" w:color="auto"/>
            </w:tcBorders>
            <w:vAlign w:val="center"/>
          </w:tcPr>
          <w:p w:rsidR="0010574A" w:rsidRPr="00634AE7" w:rsidRDefault="0010574A" w:rsidP="005A6F47">
            <w:pPr>
              <w:keepNext/>
              <w:widowControl w:val="0"/>
              <w:ind w:left="33"/>
              <w:rPr>
                <w:rFonts w:ascii="Arial" w:hAnsi="Arial" w:cs="Arial"/>
                <w:sz w:val="18"/>
                <w:szCs w:val="18"/>
              </w:rPr>
            </w:pPr>
            <w:r w:rsidRPr="00634AE7">
              <w:rPr>
                <w:rFonts w:ascii="Arial" w:hAnsi="Arial" w:cs="Arial"/>
                <w:sz w:val="18"/>
                <w:szCs w:val="18"/>
              </w:rPr>
              <w:t>HUD-9910 Performance Review</w:t>
            </w:r>
          </w:p>
          <w:p w:rsidR="0010574A" w:rsidRPr="00634AE7" w:rsidRDefault="0010574A" w:rsidP="005A6F47">
            <w:pPr>
              <w:keepNext/>
              <w:widowControl w:val="0"/>
              <w:ind w:left="33"/>
              <w:rPr>
                <w:rFonts w:ascii="Arial" w:hAnsi="Arial" w:cs="Arial"/>
                <w:sz w:val="18"/>
                <w:szCs w:val="18"/>
              </w:rPr>
            </w:pPr>
            <w:r w:rsidRPr="00634AE7">
              <w:rPr>
                <w:rFonts w:ascii="Arial" w:hAnsi="Arial" w:cs="Arial"/>
                <w:sz w:val="18"/>
                <w:szCs w:val="18"/>
              </w:rPr>
              <w:t>Activities include: Performance review pre-file review, coordinate performance review visits with participating organizations and conduct on-site performance reviews using the HUD Form</w:t>
            </w:r>
            <w:r>
              <w:rPr>
                <w:rFonts w:ascii="Arial" w:hAnsi="Arial" w:cs="Arial"/>
                <w:sz w:val="18"/>
                <w:szCs w:val="18"/>
              </w:rPr>
              <w:t>-</w:t>
            </w:r>
            <w:r w:rsidRPr="00634AE7">
              <w:rPr>
                <w:rFonts w:ascii="Arial" w:hAnsi="Arial" w:cs="Arial"/>
                <w:sz w:val="18"/>
                <w:szCs w:val="18"/>
              </w:rPr>
              <w:t>9910.</w:t>
            </w:r>
          </w:p>
        </w:tc>
        <w:tc>
          <w:tcPr>
            <w:tcW w:w="1242" w:type="dxa"/>
            <w:tcBorders>
              <w:top w:val="single" w:sz="6" w:space="0" w:color="auto"/>
              <w:left w:val="single" w:sz="6" w:space="0" w:color="auto"/>
              <w:right w:val="single" w:sz="6" w:space="0" w:color="auto"/>
            </w:tcBorders>
            <w:vAlign w:val="center"/>
          </w:tcPr>
          <w:p w:rsidR="0010574A" w:rsidRPr="00634AE7" w:rsidRDefault="0010574A" w:rsidP="005A6F47">
            <w:pPr>
              <w:widowControl w:val="0"/>
              <w:ind w:left="15" w:right="123" w:hanging="15"/>
              <w:jc w:val="right"/>
              <w:rPr>
                <w:rFonts w:ascii="Arial" w:hAnsi="Arial" w:cs="Arial"/>
                <w:sz w:val="18"/>
                <w:szCs w:val="18"/>
              </w:rPr>
            </w:pPr>
            <w:r>
              <w:rPr>
                <w:rFonts w:ascii="Arial" w:hAnsi="Arial" w:cs="Arial"/>
                <w:sz w:val="18"/>
                <w:szCs w:val="18"/>
              </w:rPr>
              <w:t>455</w:t>
            </w:r>
          </w:p>
        </w:tc>
        <w:tc>
          <w:tcPr>
            <w:tcW w:w="1137" w:type="dxa"/>
            <w:tcBorders>
              <w:top w:val="single" w:sz="6" w:space="0" w:color="auto"/>
              <w:left w:val="single" w:sz="6" w:space="0" w:color="auto"/>
              <w:right w:val="single" w:sz="6" w:space="0" w:color="auto"/>
            </w:tcBorders>
            <w:vAlign w:val="center"/>
          </w:tcPr>
          <w:p w:rsidR="0010574A" w:rsidRPr="00634AE7" w:rsidRDefault="0010574A" w:rsidP="005A6F47">
            <w:pPr>
              <w:widowControl w:val="0"/>
              <w:ind w:right="123"/>
              <w:jc w:val="right"/>
              <w:rPr>
                <w:rFonts w:ascii="Arial" w:hAnsi="Arial" w:cs="Arial"/>
                <w:sz w:val="18"/>
                <w:szCs w:val="18"/>
              </w:rPr>
            </w:pPr>
            <w:r>
              <w:rPr>
                <w:rFonts w:ascii="Arial" w:hAnsi="Arial" w:cs="Arial"/>
                <w:sz w:val="18"/>
                <w:szCs w:val="18"/>
              </w:rPr>
              <w:t>14</w:t>
            </w:r>
          </w:p>
        </w:tc>
        <w:tc>
          <w:tcPr>
            <w:tcW w:w="1260" w:type="dxa"/>
            <w:tcBorders>
              <w:top w:val="single" w:sz="6" w:space="0" w:color="auto"/>
              <w:left w:val="single" w:sz="4" w:space="0" w:color="auto"/>
              <w:right w:val="single" w:sz="4" w:space="0" w:color="auto"/>
            </w:tcBorders>
            <w:vAlign w:val="center"/>
          </w:tcPr>
          <w:p w:rsidR="0010574A" w:rsidRPr="00634AE7" w:rsidRDefault="0010574A" w:rsidP="005A6F47">
            <w:pPr>
              <w:widowControl w:val="0"/>
              <w:ind w:left="33" w:right="123"/>
              <w:jc w:val="right"/>
              <w:rPr>
                <w:rFonts w:ascii="Arial" w:hAnsi="Arial" w:cs="Arial"/>
                <w:sz w:val="18"/>
                <w:szCs w:val="18"/>
              </w:rPr>
            </w:pPr>
            <w:r>
              <w:rPr>
                <w:rFonts w:ascii="Arial" w:hAnsi="Arial" w:cs="Arial"/>
                <w:sz w:val="18"/>
                <w:szCs w:val="18"/>
              </w:rPr>
              <w:t>6370</w:t>
            </w:r>
          </w:p>
        </w:tc>
        <w:tc>
          <w:tcPr>
            <w:tcW w:w="894" w:type="dxa"/>
            <w:tcBorders>
              <w:top w:val="single" w:sz="6" w:space="0" w:color="auto"/>
              <w:left w:val="single" w:sz="4" w:space="0" w:color="auto"/>
              <w:right w:val="single" w:sz="4" w:space="0" w:color="auto"/>
            </w:tcBorders>
            <w:vAlign w:val="center"/>
          </w:tcPr>
          <w:p w:rsidR="0010574A" w:rsidRPr="00634AE7" w:rsidRDefault="0010574A" w:rsidP="005A6F47">
            <w:pPr>
              <w:widowControl w:val="0"/>
              <w:ind w:right="123"/>
              <w:jc w:val="right"/>
              <w:rPr>
                <w:rFonts w:ascii="Arial" w:hAnsi="Arial" w:cs="Arial"/>
                <w:sz w:val="18"/>
                <w:szCs w:val="18"/>
              </w:rPr>
            </w:pPr>
            <w:r w:rsidRPr="00634AE7">
              <w:rPr>
                <w:rFonts w:ascii="Arial" w:hAnsi="Arial" w:cs="Arial"/>
                <w:sz w:val="18"/>
                <w:szCs w:val="18"/>
              </w:rPr>
              <w:t>$</w:t>
            </w:r>
            <w:r>
              <w:rPr>
                <w:rFonts w:ascii="Arial" w:hAnsi="Arial" w:cs="Arial"/>
                <w:sz w:val="18"/>
                <w:szCs w:val="18"/>
              </w:rPr>
              <w:t>36.21</w:t>
            </w:r>
          </w:p>
        </w:tc>
        <w:tc>
          <w:tcPr>
            <w:tcW w:w="1176" w:type="dxa"/>
            <w:tcBorders>
              <w:top w:val="single" w:sz="6" w:space="0" w:color="auto"/>
              <w:left w:val="single" w:sz="4" w:space="0" w:color="auto"/>
              <w:right w:val="single" w:sz="4" w:space="0" w:color="auto"/>
            </w:tcBorders>
            <w:vAlign w:val="center"/>
          </w:tcPr>
          <w:p w:rsidR="0010574A" w:rsidRPr="00634AE7" w:rsidRDefault="0010574A" w:rsidP="005A6F47">
            <w:pPr>
              <w:widowControl w:val="0"/>
              <w:ind w:right="123"/>
              <w:jc w:val="right"/>
              <w:rPr>
                <w:rFonts w:ascii="Arial" w:hAnsi="Arial" w:cs="Arial"/>
                <w:sz w:val="18"/>
                <w:szCs w:val="18"/>
              </w:rPr>
            </w:pPr>
            <w:r w:rsidRPr="00634AE7">
              <w:rPr>
                <w:rFonts w:ascii="Arial" w:hAnsi="Arial" w:cs="Arial"/>
                <w:sz w:val="18"/>
                <w:szCs w:val="18"/>
              </w:rPr>
              <w:t>N/A</w:t>
            </w:r>
          </w:p>
        </w:tc>
        <w:tc>
          <w:tcPr>
            <w:tcW w:w="1260" w:type="dxa"/>
            <w:tcBorders>
              <w:top w:val="single" w:sz="6" w:space="0" w:color="auto"/>
              <w:left w:val="single" w:sz="4" w:space="0" w:color="auto"/>
              <w:right w:val="single" w:sz="6" w:space="0" w:color="auto"/>
            </w:tcBorders>
            <w:vAlign w:val="center"/>
          </w:tcPr>
          <w:p w:rsidR="0010574A" w:rsidRPr="00634AE7" w:rsidRDefault="0010574A" w:rsidP="005A6F47">
            <w:pPr>
              <w:widowControl w:val="0"/>
              <w:tabs>
                <w:tab w:val="left" w:pos="1146"/>
              </w:tabs>
              <w:ind w:right="123"/>
              <w:jc w:val="right"/>
              <w:rPr>
                <w:rFonts w:ascii="Arial" w:hAnsi="Arial" w:cs="Arial"/>
                <w:sz w:val="18"/>
                <w:szCs w:val="18"/>
              </w:rPr>
            </w:pPr>
            <w:r>
              <w:rPr>
                <w:rFonts w:ascii="Arial" w:hAnsi="Arial" w:cs="Arial"/>
                <w:sz w:val="18"/>
                <w:szCs w:val="18"/>
              </w:rPr>
              <w:t xml:space="preserve"> $230658</w:t>
            </w:r>
          </w:p>
        </w:tc>
      </w:tr>
      <w:tr w:rsidR="0010574A" w:rsidRPr="00634AE7" w:rsidTr="005A6F47">
        <w:tblPrEx>
          <w:tblCellMar>
            <w:top w:w="0" w:type="dxa"/>
            <w:bottom w:w="0" w:type="dxa"/>
          </w:tblCellMar>
        </w:tblPrEx>
        <w:trPr>
          <w:cantSplit/>
          <w:trHeight w:val="134"/>
        </w:trPr>
        <w:tc>
          <w:tcPr>
            <w:tcW w:w="3978" w:type="dxa"/>
            <w:tcBorders>
              <w:top w:val="single" w:sz="6" w:space="0" w:color="auto"/>
              <w:left w:val="single" w:sz="6" w:space="0" w:color="auto"/>
              <w:bottom w:val="single" w:sz="6" w:space="0" w:color="auto"/>
              <w:right w:val="single" w:sz="6" w:space="0" w:color="auto"/>
            </w:tcBorders>
            <w:vAlign w:val="center"/>
          </w:tcPr>
          <w:p w:rsidR="0010574A" w:rsidRPr="00634AE7" w:rsidRDefault="0010574A" w:rsidP="005A6F47">
            <w:pPr>
              <w:keepNext/>
              <w:widowControl w:val="0"/>
              <w:ind w:left="33"/>
              <w:rPr>
                <w:rFonts w:ascii="Arial" w:hAnsi="Arial" w:cs="Arial"/>
                <w:sz w:val="18"/>
                <w:szCs w:val="18"/>
              </w:rPr>
            </w:pPr>
            <w:r w:rsidRPr="00634AE7">
              <w:rPr>
                <w:rFonts w:ascii="Arial" w:hAnsi="Arial" w:cs="Arial"/>
                <w:sz w:val="18"/>
                <w:szCs w:val="18"/>
              </w:rPr>
              <w:t>Travel Costs to conduct performance reviews</w:t>
            </w:r>
          </w:p>
        </w:tc>
        <w:tc>
          <w:tcPr>
            <w:tcW w:w="1242" w:type="dxa"/>
            <w:tcBorders>
              <w:top w:val="single" w:sz="6" w:space="0" w:color="auto"/>
              <w:left w:val="single" w:sz="6" w:space="0" w:color="auto"/>
              <w:right w:val="single" w:sz="6" w:space="0" w:color="auto"/>
            </w:tcBorders>
            <w:vAlign w:val="center"/>
          </w:tcPr>
          <w:p w:rsidR="0010574A" w:rsidRPr="00634AE7" w:rsidRDefault="0010574A" w:rsidP="005A6F47">
            <w:pPr>
              <w:widowControl w:val="0"/>
              <w:ind w:left="15" w:right="123" w:hanging="15"/>
              <w:jc w:val="right"/>
              <w:rPr>
                <w:rFonts w:ascii="Arial" w:hAnsi="Arial" w:cs="Arial"/>
                <w:sz w:val="18"/>
                <w:szCs w:val="18"/>
              </w:rPr>
            </w:pPr>
            <w:r>
              <w:rPr>
                <w:rFonts w:ascii="Arial" w:hAnsi="Arial" w:cs="Arial"/>
                <w:sz w:val="18"/>
                <w:szCs w:val="18"/>
              </w:rPr>
              <w:t>455</w:t>
            </w:r>
          </w:p>
        </w:tc>
        <w:tc>
          <w:tcPr>
            <w:tcW w:w="1137" w:type="dxa"/>
            <w:tcBorders>
              <w:top w:val="single" w:sz="6" w:space="0" w:color="auto"/>
              <w:left w:val="single" w:sz="6" w:space="0" w:color="auto"/>
              <w:right w:val="single" w:sz="6" w:space="0" w:color="auto"/>
            </w:tcBorders>
            <w:vAlign w:val="center"/>
          </w:tcPr>
          <w:p w:rsidR="0010574A" w:rsidRPr="00634AE7" w:rsidRDefault="0010574A" w:rsidP="005A6F47">
            <w:pPr>
              <w:widowControl w:val="0"/>
              <w:ind w:right="123"/>
              <w:jc w:val="right"/>
              <w:rPr>
                <w:rFonts w:ascii="Arial" w:hAnsi="Arial" w:cs="Arial"/>
                <w:sz w:val="18"/>
                <w:szCs w:val="18"/>
              </w:rPr>
            </w:pPr>
          </w:p>
        </w:tc>
        <w:tc>
          <w:tcPr>
            <w:tcW w:w="1260" w:type="dxa"/>
            <w:tcBorders>
              <w:top w:val="single" w:sz="6" w:space="0" w:color="auto"/>
              <w:left w:val="single" w:sz="4" w:space="0" w:color="auto"/>
              <w:right w:val="single" w:sz="4" w:space="0" w:color="auto"/>
            </w:tcBorders>
            <w:vAlign w:val="center"/>
          </w:tcPr>
          <w:p w:rsidR="0010574A" w:rsidRPr="00634AE7" w:rsidRDefault="0010574A" w:rsidP="005A6F47">
            <w:pPr>
              <w:widowControl w:val="0"/>
              <w:ind w:left="33" w:right="123"/>
              <w:jc w:val="right"/>
              <w:rPr>
                <w:rFonts w:ascii="Arial" w:hAnsi="Arial" w:cs="Arial"/>
                <w:sz w:val="18"/>
                <w:szCs w:val="18"/>
              </w:rPr>
            </w:pPr>
          </w:p>
        </w:tc>
        <w:tc>
          <w:tcPr>
            <w:tcW w:w="894" w:type="dxa"/>
            <w:tcBorders>
              <w:top w:val="single" w:sz="6" w:space="0" w:color="auto"/>
              <w:left w:val="single" w:sz="4" w:space="0" w:color="auto"/>
              <w:right w:val="single" w:sz="4" w:space="0" w:color="auto"/>
            </w:tcBorders>
            <w:vAlign w:val="center"/>
          </w:tcPr>
          <w:p w:rsidR="0010574A" w:rsidRPr="00634AE7" w:rsidRDefault="0010574A" w:rsidP="005A6F47">
            <w:pPr>
              <w:widowControl w:val="0"/>
              <w:ind w:right="123"/>
              <w:jc w:val="right"/>
              <w:rPr>
                <w:rFonts w:ascii="Arial" w:hAnsi="Arial" w:cs="Arial"/>
                <w:sz w:val="18"/>
                <w:szCs w:val="18"/>
              </w:rPr>
            </w:pPr>
          </w:p>
        </w:tc>
        <w:tc>
          <w:tcPr>
            <w:tcW w:w="1176" w:type="dxa"/>
            <w:tcBorders>
              <w:top w:val="single" w:sz="6" w:space="0" w:color="auto"/>
              <w:left w:val="single" w:sz="4" w:space="0" w:color="auto"/>
              <w:right w:val="single" w:sz="4" w:space="0" w:color="auto"/>
            </w:tcBorders>
            <w:vAlign w:val="center"/>
          </w:tcPr>
          <w:p w:rsidR="0010574A" w:rsidRPr="00634AE7" w:rsidRDefault="0010574A" w:rsidP="005A6F47">
            <w:pPr>
              <w:widowControl w:val="0"/>
              <w:ind w:right="123"/>
              <w:jc w:val="right"/>
              <w:rPr>
                <w:rFonts w:ascii="Arial" w:hAnsi="Arial" w:cs="Arial"/>
                <w:sz w:val="18"/>
                <w:szCs w:val="18"/>
              </w:rPr>
            </w:pPr>
            <w:r>
              <w:rPr>
                <w:rFonts w:ascii="Arial" w:hAnsi="Arial" w:cs="Arial"/>
                <w:sz w:val="18"/>
                <w:szCs w:val="18"/>
              </w:rPr>
              <w:t>137</w:t>
            </w:r>
          </w:p>
        </w:tc>
        <w:tc>
          <w:tcPr>
            <w:tcW w:w="1260" w:type="dxa"/>
            <w:tcBorders>
              <w:top w:val="single" w:sz="6" w:space="0" w:color="auto"/>
              <w:left w:val="single" w:sz="4" w:space="0" w:color="auto"/>
              <w:right w:val="single" w:sz="6" w:space="0" w:color="auto"/>
            </w:tcBorders>
            <w:vAlign w:val="center"/>
          </w:tcPr>
          <w:p w:rsidR="0010574A" w:rsidRPr="00634AE7" w:rsidRDefault="0010574A" w:rsidP="005A6F47">
            <w:pPr>
              <w:widowControl w:val="0"/>
              <w:tabs>
                <w:tab w:val="left" w:pos="1146"/>
              </w:tabs>
              <w:ind w:right="123"/>
              <w:jc w:val="right"/>
              <w:rPr>
                <w:rFonts w:ascii="Arial" w:hAnsi="Arial" w:cs="Arial"/>
                <w:sz w:val="18"/>
                <w:szCs w:val="18"/>
              </w:rPr>
            </w:pPr>
            <w:r w:rsidRPr="00634AE7">
              <w:rPr>
                <w:rFonts w:ascii="Arial" w:hAnsi="Arial" w:cs="Arial"/>
                <w:sz w:val="18"/>
                <w:szCs w:val="18"/>
              </w:rPr>
              <w:t>$</w:t>
            </w:r>
            <w:r>
              <w:rPr>
                <w:rFonts w:ascii="Arial" w:hAnsi="Arial" w:cs="Arial"/>
                <w:sz w:val="18"/>
                <w:szCs w:val="18"/>
              </w:rPr>
              <w:t xml:space="preserve"> 62,335</w:t>
            </w:r>
          </w:p>
        </w:tc>
      </w:tr>
      <w:tr w:rsidR="0010574A" w:rsidRPr="00634AE7" w:rsidTr="005A6F47">
        <w:tblPrEx>
          <w:tblCellMar>
            <w:top w:w="0" w:type="dxa"/>
            <w:bottom w:w="0" w:type="dxa"/>
          </w:tblCellMar>
        </w:tblPrEx>
        <w:trPr>
          <w:cantSplit/>
          <w:trHeight w:val="134"/>
        </w:trPr>
        <w:tc>
          <w:tcPr>
            <w:tcW w:w="3978" w:type="dxa"/>
            <w:tcBorders>
              <w:top w:val="single" w:sz="6" w:space="0" w:color="auto"/>
              <w:left w:val="single" w:sz="6" w:space="0" w:color="auto"/>
              <w:bottom w:val="single" w:sz="6" w:space="0" w:color="auto"/>
              <w:right w:val="single" w:sz="6" w:space="0" w:color="auto"/>
            </w:tcBorders>
            <w:shd w:val="clear" w:color="auto" w:fill="C0C0C0"/>
            <w:vAlign w:val="center"/>
          </w:tcPr>
          <w:p w:rsidR="0010574A" w:rsidRPr="00634AE7" w:rsidRDefault="0010574A" w:rsidP="005A6F47">
            <w:pPr>
              <w:keepNext/>
              <w:widowControl w:val="0"/>
              <w:ind w:left="33"/>
              <w:rPr>
                <w:rFonts w:ascii="Arial" w:hAnsi="Arial" w:cs="Arial"/>
                <w:b/>
                <w:bCs/>
                <w:sz w:val="18"/>
                <w:szCs w:val="18"/>
              </w:rPr>
            </w:pPr>
            <w:r w:rsidRPr="00634AE7">
              <w:rPr>
                <w:rFonts w:ascii="Arial" w:hAnsi="Arial" w:cs="Arial"/>
                <w:b/>
                <w:bCs/>
                <w:sz w:val="18"/>
                <w:szCs w:val="18"/>
              </w:rPr>
              <w:t>Total for HUD Staff and resources</w:t>
            </w:r>
          </w:p>
        </w:tc>
        <w:tc>
          <w:tcPr>
            <w:tcW w:w="1242" w:type="dxa"/>
            <w:tcBorders>
              <w:left w:val="single" w:sz="6" w:space="0" w:color="auto"/>
              <w:bottom w:val="single" w:sz="6" w:space="0" w:color="auto"/>
              <w:right w:val="single" w:sz="6" w:space="0" w:color="auto"/>
            </w:tcBorders>
            <w:shd w:val="clear" w:color="auto" w:fill="C0C0C0"/>
            <w:vAlign w:val="center"/>
          </w:tcPr>
          <w:p w:rsidR="0010574A" w:rsidRPr="00634AE7" w:rsidRDefault="0010574A" w:rsidP="005A6F47">
            <w:pPr>
              <w:widowControl w:val="0"/>
              <w:ind w:left="15" w:right="123" w:hanging="15"/>
              <w:jc w:val="right"/>
              <w:rPr>
                <w:rFonts w:ascii="Arial" w:hAnsi="Arial" w:cs="Arial"/>
                <w:sz w:val="18"/>
                <w:szCs w:val="18"/>
              </w:rPr>
            </w:pPr>
          </w:p>
        </w:tc>
        <w:tc>
          <w:tcPr>
            <w:tcW w:w="1137" w:type="dxa"/>
            <w:tcBorders>
              <w:left w:val="single" w:sz="6" w:space="0" w:color="auto"/>
              <w:bottom w:val="single" w:sz="6" w:space="0" w:color="auto"/>
              <w:right w:val="single" w:sz="6" w:space="0" w:color="auto"/>
            </w:tcBorders>
            <w:shd w:val="clear" w:color="auto" w:fill="C0C0C0"/>
            <w:vAlign w:val="center"/>
          </w:tcPr>
          <w:p w:rsidR="0010574A" w:rsidRPr="00634AE7" w:rsidRDefault="0010574A" w:rsidP="005A6F47">
            <w:pPr>
              <w:widowControl w:val="0"/>
              <w:ind w:left="360" w:right="123"/>
              <w:jc w:val="right"/>
              <w:rPr>
                <w:rFonts w:ascii="Arial" w:hAnsi="Arial" w:cs="Arial"/>
                <w:sz w:val="18"/>
                <w:szCs w:val="18"/>
              </w:rPr>
            </w:pPr>
          </w:p>
        </w:tc>
        <w:tc>
          <w:tcPr>
            <w:tcW w:w="1260" w:type="dxa"/>
            <w:tcBorders>
              <w:left w:val="single" w:sz="4" w:space="0" w:color="auto"/>
              <w:bottom w:val="single" w:sz="6" w:space="0" w:color="auto"/>
              <w:right w:val="single" w:sz="4" w:space="0" w:color="auto"/>
            </w:tcBorders>
            <w:shd w:val="clear" w:color="auto" w:fill="C0C0C0"/>
            <w:vAlign w:val="center"/>
          </w:tcPr>
          <w:p w:rsidR="0010574A" w:rsidRPr="00634AE7" w:rsidRDefault="0010574A" w:rsidP="005A6F47">
            <w:pPr>
              <w:widowControl w:val="0"/>
              <w:ind w:left="33" w:right="123"/>
              <w:jc w:val="right"/>
              <w:rPr>
                <w:rFonts w:ascii="Arial" w:hAnsi="Arial" w:cs="Arial"/>
                <w:sz w:val="18"/>
                <w:szCs w:val="18"/>
              </w:rPr>
            </w:pPr>
          </w:p>
        </w:tc>
        <w:tc>
          <w:tcPr>
            <w:tcW w:w="894" w:type="dxa"/>
            <w:tcBorders>
              <w:left w:val="single" w:sz="4" w:space="0" w:color="auto"/>
              <w:bottom w:val="single" w:sz="6" w:space="0" w:color="auto"/>
              <w:right w:val="single" w:sz="4" w:space="0" w:color="auto"/>
            </w:tcBorders>
            <w:shd w:val="clear" w:color="auto" w:fill="C0C0C0"/>
            <w:vAlign w:val="center"/>
          </w:tcPr>
          <w:p w:rsidR="0010574A" w:rsidRPr="00634AE7" w:rsidRDefault="0010574A" w:rsidP="005A6F47">
            <w:pPr>
              <w:widowControl w:val="0"/>
              <w:ind w:left="360" w:right="123"/>
              <w:jc w:val="right"/>
              <w:rPr>
                <w:rFonts w:ascii="Arial" w:hAnsi="Arial" w:cs="Arial"/>
                <w:sz w:val="18"/>
                <w:szCs w:val="18"/>
              </w:rPr>
            </w:pPr>
          </w:p>
        </w:tc>
        <w:tc>
          <w:tcPr>
            <w:tcW w:w="1176" w:type="dxa"/>
            <w:tcBorders>
              <w:left w:val="single" w:sz="4" w:space="0" w:color="auto"/>
              <w:bottom w:val="single" w:sz="6" w:space="0" w:color="auto"/>
              <w:right w:val="single" w:sz="4" w:space="0" w:color="auto"/>
            </w:tcBorders>
            <w:shd w:val="clear" w:color="auto" w:fill="C0C0C0"/>
            <w:vAlign w:val="center"/>
          </w:tcPr>
          <w:p w:rsidR="0010574A" w:rsidRPr="00634AE7" w:rsidRDefault="0010574A" w:rsidP="005A6F47">
            <w:pPr>
              <w:widowControl w:val="0"/>
              <w:ind w:right="123"/>
              <w:jc w:val="right"/>
              <w:rPr>
                <w:rFonts w:ascii="Arial" w:hAnsi="Arial" w:cs="Arial"/>
                <w:sz w:val="18"/>
                <w:szCs w:val="18"/>
              </w:rPr>
            </w:pPr>
          </w:p>
        </w:tc>
        <w:tc>
          <w:tcPr>
            <w:tcW w:w="1260" w:type="dxa"/>
            <w:tcBorders>
              <w:left w:val="single" w:sz="4" w:space="0" w:color="auto"/>
              <w:bottom w:val="single" w:sz="6" w:space="0" w:color="auto"/>
              <w:right w:val="single" w:sz="6" w:space="0" w:color="auto"/>
            </w:tcBorders>
            <w:shd w:val="clear" w:color="auto" w:fill="C0C0C0"/>
            <w:vAlign w:val="center"/>
          </w:tcPr>
          <w:p w:rsidR="0010574A" w:rsidRPr="00634AE7" w:rsidRDefault="0010574A" w:rsidP="005A6F47">
            <w:pPr>
              <w:widowControl w:val="0"/>
              <w:tabs>
                <w:tab w:val="left" w:pos="1146"/>
              </w:tabs>
              <w:ind w:right="123"/>
              <w:jc w:val="right"/>
              <w:rPr>
                <w:rFonts w:ascii="Arial" w:hAnsi="Arial" w:cs="Arial"/>
                <w:sz w:val="18"/>
                <w:szCs w:val="18"/>
              </w:rPr>
            </w:pPr>
            <w:r>
              <w:rPr>
                <w:rFonts w:ascii="Arial" w:hAnsi="Arial" w:cs="Arial"/>
                <w:sz w:val="18"/>
                <w:szCs w:val="18"/>
              </w:rPr>
              <w:t>$292,993</w:t>
            </w:r>
          </w:p>
        </w:tc>
      </w:tr>
    </w:tbl>
    <w:p w:rsidR="0010574A" w:rsidRPr="00634AE7" w:rsidRDefault="0010574A" w:rsidP="0010574A">
      <w:pPr>
        <w:pStyle w:val="Default"/>
        <w:rPr>
          <w:color w:val="auto"/>
          <w:sz w:val="20"/>
          <w:szCs w:val="20"/>
        </w:rPr>
      </w:pPr>
      <w:r w:rsidRPr="00634AE7">
        <w:rPr>
          <w:color w:val="auto"/>
          <w:sz w:val="20"/>
          <w:szCs w:val="20"/>
        </w:rPr>
        <w:t>Federal hourly rate is based on the average</w:t>
      </w:r>
      <w:r>
        <w:rPr>
          <w:color w:val="auto"/>
          <w:sz w:val="20"/>
          <w:szCs w:val="20"/>
        </w:rPr>
        <w:t xml:space="preserve"> of </w:t>
      </w:r>
      <w:r w:rsidRPr="00634AE7">
        <w:rPr>
          <w:color w:val="auto"/>
          <w:sz w:val="20"/>
          <w:szCs w:val="20"/>
        </w:rPr>
        <w:t>annual salary of a GS-12, Step 1</w:t>
      </w:r>
      <w:r>
        <w:rPr>
          <w:color w:val="auto"/>
          <w:sz w:val="20"/>
          <w:szCs w:val="20"/>
        </w:rPr>
        <w:t xml:space="preserve"> and GS-13, Step 1 of the US pay rate</w:t>
      </w:r>
    </w:p>
    <w:p w:rsidR="0010574A" w:rsidRPr="00470C3C" w:rsidRDefault="0010574A" w:rsidP="0010574A">
      <w:pPr>
        <w:pStyle w:val="BodyTextIndent2"/>
        <w:ind w:left="810"/>
        <w:rPr>
          <w:szCs w:val="24"/>
        </w:rPr>
      </w:pPr>
    </w:p>
    <w:p w:rsidR="0010574A" w:rsidRDefault="0010574A" w:rsidP="0010574A">
      <w:pPr>
        <w:pStyle w:val="BodyTextIndent2"/>
        <w:numPr>
          <w:ilvl w:val="0"/>
          <w:numId w:val="1"/>
        </w:numPr>
        <w:rPr>
          <w:szCs w:val="24"/>
        </w:rPr>
      </w:pPr>
      <w:r w:rsidRPr="00905EBA">
        <w:rPr>
          <w:szCs w:val="24"/>
        </w:rPr>
        <w:t xml:space="preserve">This is an extension of a currently approved collection.  The Form HUD-9910 received a rearrangement and approval without change on September 11, 2013, to improve the quality and scope of the performance reviews conducted to better monitor the financial and administrative controls that agencies should have in place to effectively manage their programs, deter and discover conflicts of interest and to establish improved procedures to monitor the expenditure of HUD grant funds.  </w:t>
      </w:r>
    </w:p>
    <w:p w:rsidR="0010574A" w:rsidRPr="00905EBA" w:rsidRDefault="0010574A" w:rsidP="0010574A">
      <w:pPr>
        <w:pStyle w:val="BodyTextIndent2"/>
        <w:rPr>
          <w:szCs w:val="24"/>
        </w:rPr>
      </w:pPr>
    </w:p>
    <w:p w:rsidR="0010574A" w:rsidRPr="00470C3C" w:rsidRDefault="0010574A" w:rsidP="0010574A">
      <w:pPr>
        <w:pStyle w:val="BodyTextIndent2"/>
        <w:numPr>
          <w:ilvl w:val="0"/>
          <w:numId w:val="1"/>
        </w:numPr>
        <w:rPr>
          <w:color w:val="000000"/>
          <w:szCs w:val="24"/>
        </w:rPr>
      </w:pPr>
      <w:r w:rsidRPr="00470C3C">
        <w:rPr>
          <w:szCs w:val="24"/>
        </w:rPr>
        <w:t xml:space="preserve">There is no anticipated publication of the information gathered through this collection.  </w:t>
      </w:r>
    </w:p>
    <w:p w:rsidR="0010574A" w:rsidRPr="00470C3C" w:rsidRDefault="0010574A" w:rsidP="0010574A">
      <w:pPr>
        <w:pStyle w:val="BodyTextIndent2"/>
        <w:rPr>
          <w:color w:val="000000"/>
          <w:szCs w:val="24"/>
        </w:rPr>
      </w:pPr>
    </w:p>
    <w:p w:rsidR="0010574A" w:rsidRPr="00470C3C" w:rsidRDefault="0010574A" w:rsidP="0010574A">
      <w:pPr>
        <w:pStyle w:val="BodyTextIndent2"/>
        <w:numPr>
          <w:ilvl w:val="0"/>
          <w:numId w:val="1"/>
        </w:numPr>
        <w:rPr>
          <w:szCs w:val="24"/>
        </w:rPr>
      </w:pPr>
      <w:r w:rsidRPr="00470C3C">
        <w:rPr>
          <w:szCs w:val="24"/>
        </w:rPr>
        <w:t xml:space="preserve">HUD is not requesting approval to avoid displaying the expiration date. </w:t>
      </w:r>
    </w:p>
    <w:p w:rsidR="0010574A" w:rsidRPr="00470C3C" w:rsidRDefault="0010574A" w:rsidP="0010574A">
      <w:pPr>
        <w:pStyle w:val="BodyTextIndent2"/>
        <w:rPr>
          <w:szCs w:val="24"/>
        </w:rPr>
      </w:pPr>
    </w:p>
    <w:p w:rsidR="0010574A" w:rsidRPr="00470C3C" w:rsidRDefault="0010574A" w:rsidP="0010574A">
      <w:pPr>
        <w:pStyle w:val="BodyTextIndent2"/>
        <w:numPr>
          <w:ilvl w:val="0"/>
          <w:numId w:val="1"/>
        </w:numPr>
        <w:rPr>
          <w:szCs w:val="24"/>
        </w:rPr>
      </w:pPr>
      <w:r w:rsidRPr="00470C3C">
        <w:rPr>
          <w:szCs w:val="24"/>
        </w:rPr>
        <w:t>There are no exceptions to the certification statement identified in item #19 Certification of the Paperwork Reduction Act” of the OMB 83-I.</w:t>
      </w:r>
    </w:p>
    <w:p w:rsidR="0010574A" w:rsidRPr="00470C3C" w:rsidRDefault="0010574A" w:rsidP="0010574A">
      <w:pPr>
        <w:keepNext/>
        <w:tabs>
          <w:tab w:val="left" w:pos="360"/>
          <w:tab w:val="left" w:pos="9990"/>
          <w:tab w:val="left" w:pos="10800"/>
        </w:tabs>
        <w:ind w:right="-90"/>
        <w:rPr>
          <w:b/>
          <w:bCs/>
          <w:sz w:val="24"/>
          <w:szCs w:val="24"/>
        </w:rPr>
      </w:pPr>
    </w:p>
    <w:p w:rsidR="0010574A" w:rsidRPr="00470C3C" w:rsidRDefault="0010574A" w:rsidP="0010574A">
      <w:pPr>
        <w:pBdr>
          <w:top w:val="single" w:sz="4" w:space="1" w:color="auto"/>
        </w:pBdr>
        <w:tabs>
          <w:tab w:val="left" w:pos="480"/>
        </w:tabs>
        <w:rPr>
          <w:b/>
          <w:bCs/>
          <w:sz w:val="24"/>
          <w:szCs w:val="24"/>
        </w:rPr>
      </w:pPr>
      <w:r>
        <w:rPr>
          <w:b/>
          <w:bCs/>
          <w:sz w:val="24"/>
          <w:szCs w:val="24"/>
        </w:rPr>
        <w:t xml:space="preserve">B. </w:t>
      </w:r>
      <w:r w:rsidRPr="00470C3C">
        <w:rPr>
          <w:b/>
          <w:bCs/>
          <w:sz w:val="24"/>
          <w:szCs w:val="24"/>
        </w:rPr>
        <w:t>Collections of Information Employing Statistical Methods.</w:t>
      </w:r>
    </w:p>
    <w:p w:rsidR="0010574A" w:rsidRPr="00470C3C" w:rsidRDefault="0010574A" w:rsidP="0010574A">
      <w:pPr>
        <w:pStyle w:val="BodyText"/>
        <w:tabs>
          <w:tab w:val="left" w:pos="480"/>
        </w:tabs>
        <w:ind w:left="480"/>
        <w:rPr>
          <w:szCs w:val="24"/>
        </w:rPr>
      </w:pPr>
    </w:p>
    <w:p w:rsidR="0010574A" w:rsidRPr="00470C3C" w:rsidRDefault="0010574A" w:rsidP="0010574A">
      <w:pPr>
        <w:pStyle w:val="BodyText"/>
        <w:tabs>
          <w:tab w:val="left" w:pos="480"/>
        </w:tabs>
        <w:ind w:left="360"/>
        <w:rPr>
          <w:szCs w:val="24"/>
        </w:rPr>
      </w:pPr>
      <w:r w:rsidRPr="00470C3C">
        <w:rPr>
          <w:szCs w:val="24"/>
        </w:rPr>
        <w:t>The collection of information does not employ statistical methods.</w:t>
      </w:r>
    </w:p>
    <w:p w:rsidR="00E236DC" w:rsidRDefault="00E236DC"/>
    <w:sectPr w:rsidR="00E236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F31DC"/>
    <w:multiLevelType w:val="hybridMultilevel"/>
    <w:tmpl w:val="1A20BF30"/>
    <w:lvl w:ilvl="0" w:tplc="B3844FF2">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5F67C51"/>
    <w:multiLevelType w:val="hybridMultilevel"/>
    <w:tmpl w:val="7BB8B2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74A"/>
    <w:rsid w:val="0010574A"/>
    <w:rsid w:val="00E23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74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10574A"/>
    <w:pPr>
      <w:keepNext/>
      <w:outlineLvl w:val="4"/>
    </w:pPr>
    <w:rPr>
      <w:b/>
      <w:bCs/>
      <w:sz w:val="24"/>
    </w:rPr>
  </w:style>
  <w:style w:type="paragraph" w:styleId="Heading7">
    <w:name w:val="heading 7"/>
    <w:basedOn w:val="Normal"/>
    <w:next w:val="Normal"/>
    <w:link w:val="Heading7Char"/>
    <w:qFormat/>
    <w:rsid w:val="0010574A"/>
    <w:pPr>
      <w:keepNext/>
      <w:outlineLvl w:val="6"/>
    </w:pPr>
    <w:rPr>
      <w:b/>
      <w:bCs/>
      <w:i/>
      <w:i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10574A"/>
    <w:rPr>
      <w:rFonts w:ascii="Times New Roman" w:eastAsia="Times New Roman" w:hAnsi="Times New Roman" w:cs="Times New Roman"/>
      <w:b/>
      <w:bCs/>
      <w:sz w:val="24"/>
      <w:szCs w:val="20"/>
    </w:rPr>
  </w:style>
  <w:style w:type="character" w:customStyle="1" w:styleId="Heading7Char">
    <w:name w:val="Heading 7 Char"/>
    <w:basedOn w:val="DefaultParagraphFont"/>
    <w:link w:val="Heading7"/>
    <w:rsid w:val="0010574A"/>
    <w:rPr>
      <w:rFonts w:ascii="Times New Roman" w:eastAsia="Times New Roman" w:hAnsi="Times New Roman" w:cs="Times New Roman"/>
      <w:b/>
      <w:bCs/>
      <w:i/>
      <w:iCs/>
      <w:color w:val="000000"/>
      <w:sz w:val="24"/>
      <w:szCs w:val="20"/>
    </w:rPr>
  </w:style>
  <w:style w:type="paragraph" w:customStyle="1" w:styleId="OmniPage1">
    <w:name w:val="OmniPage #1"/>
    <w:basedOn w:val="Normal"/>
    <w:rsid w:val="0010574A"/>
    <w:pPr>
      <w:tabs>
        <w:tab w:val="right" w:pos="5876"/>
      </w:tabs>
      <w:spacing w:line="282" w:lineRule="exact"/>
      <w:ind w:left="50" w:right="50"/>
      <w:jc w:val="center"/>
    </w:pPr>
    <w:rPr>
      <w:noProof/>
    </w:rPr>
  </w:style>
  <w:style w:type="paragraph" w:customStyle="1" w:styleId="OmniPage2">
    <w:name w:val="OmniPage #2"/>
    <w:basedOn w:val="Normal"/>
    <w:rsid w:val="0010574A"/>
    <w:pPr>
      <w:tabs>
        <w:tab w:val="right" w:pos="2236"/>
      </w:tabs>
      <w:spacing w:line="268" w:lineRule="exact"/>
      <w:ind w:left="50" w:right="50"/>
    </w:pPr>
    <w:rPr>
      <w:noProof/>
    </w:rPr>
  </w:style>
  <w:style w:type="paragraph" w:styleId="BodyText">
    <w:name w:val="Body Text"/>
    <w:basedOn w:val="Normal"/>
    <w:link w:val="BodyTextChar"/>
    <w:rsid w:val="0010574A"/>
    <w:rPr>
      <w:sz w:val="24"/>
    </w:rPr>
  </w:style>
  <w:style w:type="character" w:customStyle="1" w:styleId="BodyTextChar">
    <w:name w:val="Body Text Char"/>
    <w:basedOn w:val="DefaultParagraphFont"/>
    <w:link w:val="BodyText"/>
    <w:rsid w:val="0010574A"/>
    <w:rPr>
      <w:rFonts w:ascii="Times New Roman" w:eastAsia="Times New Roman" w:hAnsi="Times New Roman" w:cs="Times New Roman"/>
      <w:sz w:val="24"/>
      <w:szCs w:val="20"/>
    </w:rPr>
  </w:style>
  <w:style w:type="paragraph" w:styleId="BodyTextIndent2">
    <w:name w:val="Body Text Indent 2"/>
    <w:basedOn w:val="Normal"/>
    <w:link w:val="BodyTextIndent2Char"/>
    <w:rsid w:val="0010574A"/>
    <w:pPr>
      <w:ind w:left="360"/>
    </w:pPr>
    <w:rPr>
      <w:sz w:val="24"/>
    </w:rPr>
  </w:style>
  <w:style w:type="character" w:customStyle="1" w:styleId="BodyTextIndent2Char">
    <w:name w:val="Body Text Indent 2 Char"/>
    <w:basedOn w:val="DefaultParagraphFont"/>
    <w:link w:val="BodyTextIndent2"/>
    <w:rsid w:val="0010574A"/>
    <w:rPr>
      <w:rFonts w:ascii="Times New Roman" w:eastAsia="Times New Roman" w:hAnsi="Times New Roman" w:cs="Times New Roman"/>
      <w:sz w:val="24"/>
      <w:szCs w:val="20"/>
    </w:rPr>
  </w:style>
  <w:style w:type="paragraph" w:customStyle="1" w:styleId="Default">
    <w:name w:val="Default"/>
    <w:rsid w:val="0010574A"/>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10574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74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10574A"/>
    <w:pPr>
      <w:keepNext/>
      <w:outlineLvl w:val="4"/>
    </w:pPr>
    <w:rPr>
      <w:b/>
      <w:bCs/>
      <w:sz w:val="24"/>
    </w:rPr>
  </w:style>
  <w:style w:type="paragraph" w:styleId="Heading7">
    <w:name w:val="heading 7"/>
    <w:basedOn w:val="Normal"/>
    <w:next w:val="Normal"/>
    <w:link w:val="Heading7Char"/>
    <w:qFormat/>
    <w:rsid w:val="0010574A"/>
    <w:pPr>
      <w:keepNext/>
      <w:outlineLvl w:val="6"/>
    </w:pPr>
    <w:rPr>
      <w:b/>
      <w:bCs/>
      <w:i/>
      <w:i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10574A"/>
    <w:rPr>
      <w:rFonts w:ascii="Times New Roman" w:eastAsia="Times New Roman" w:hAnsi="Times New Roman" w:cs="Times New Roman"/>
      <w:b/>
      <w:bCs/>
      <w:sz w:val="24"/>
      <w:szCs w:val="20"/>
    </w:rPr>
  </w:style>
  <w:style w:type="character" w:customStyle="1" w:styleId="Heading7Char">
    <w:name w:val="Heading 7 Char"/>
    <w:basedOn w:val="DefaultParagraphFont"/>
    <w:link w:val="Heading7"/>
    <w:rsid w:val="0010574A"/>
    <w:rPr>
      <w:rFonts w:ascii="Times New Roman" w:eastAsia="Times New Roman" w:hAnsi="Times New Roman" w:cs="Times New Roman"/>
      <w:b/>
      <w:bCs/>
      <w:i/>
      <w:iCs/>
      <w:color w:val="000000"/>
      <w:sz w:val="24"/>
      <w:szCs w:val="20"/>
    </w:rPr>
  </w:style>
  <w:style w:type="paragraph" w:customStyle="1" w:styleId="OmniPage1">
    <w:name w:val="OmniPage #1"/>
    <w:basedOn w:val="Normal"/>
    <w:rsid w:val="0010574A"/>
    <w:pPr>
      <w:tabs>
        <w:tab w:val="right" w:pos="5876"/>
      </w:tabs>
      <w:spacing w:line="282" w:lineRule="exact"/>
      <w:ind w:left="50" w:right="50"/>
      <w:jc w:val="center"/>
    </w:pPr>
    <w:rPr>
      <w:noProof/>
    </w:rPr>
  </w:style>
  <w:style w:type="paragraph" w:customStyle="1" w:styleId="OmniPage2">
    <w:name w:val="OmniPage #2"/>
    <w:basedOn w:val="Normal"/>
    <w:rsid w:val="0010574A"/>
    <w:pPr>
      <w:tabs>
        <w:tab w:val="right" w:pos="2236"/>
      </w:tabs>
      <w:spacing w:line="268" w:lineRule="exact"/>
      <w:ind w:left="50" w:right="50"/>
    </w:pPr>
    <w:rPr>
      <w:noProof/>
    </w:rPr>
  </w:style>
  <w:style w:type="paragraph" w:styleId="BodyText">
    <w:name w:val="Body Text"/>
    <w:basedOn w:val="Normal"/>
    <w:link w:val="BodyTextChar"/>
    <w:rsid w:val="0010574A"/>
    <w:rPr>
      <w:sz w:val="24"/>
    </w:rPr>
  </w:style>
  <w:style w:type="character" w:customStyle="1" w:styleId="BodyTextChar">
    <w:name w:val="Body Text Char"/>
    <w:basedOn w:val="DefaultParagraphFont"/>
    <w:link w:val="BodyText"/>
    <w:rsid w:val="0010574A"/>
    <w:rPr>
      <w:rFonts w:ascii="Times New Roman" w:eastAsia="Times New Roman" w:hAnsi="Times New Roman" w:cs="Times New Roman"/>
      <w:sz w:val="24"/>
      <w:szCs w:val="20"/>
    </w:rPr>
  </w:style>
  <w:style w:type="paragraph" w:styleId="BodyTextIndent2">
    <w:name w:val="Body Text Indent 2"/>
    <w:basedOn w:val="Normal"/>
    <w:link w:val="BodyTextIndent2Char"/>
    <w:rsid w:val="0010574A"/>
    <w:pPr>
      <w:ind w:left="360"/>
    </w:pPr>
    <w:rPr>
      <w:sz w:val="24"/>
    </w:rPr>
  </w:style>
  <w:style w:type="character" w:customStyle="1" w:styleId="BodyTextIndent2Char">
    <w:name w:val="Body Text Indent 2 Char"/>
    <w:basedOn w:val="DefaultParagraphFont"/>
    <w:link w:val="BodyTextIndent2"/>
    <w:rsid w:val="0010574A"/>
    <w:rPr>
      <w:rFonts w:ascii="Times New Roman" w:eastAsia="Times New Roman" w:hAnsi="Times New Roman" w:cs="Times New Roman"/>
      <w:sz w:val="24"/>
      <w:szCs w:val="20"/>
    </w:rPr>
  </w:style>
  <w:style w:type="paragraph" w:customStyle="1" w:styleId="Default">
    <w:name w:val="Default"/>
    <w:rsid w:val="0010574A"/>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10574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1923</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User</dc:creator>
  <cp:lastModifiedBy>HUD User</cp:lastModifiedBy>
  <cp:revision>1</cp:revision>
  <dcterms:created xsi:type="dcterms:W3CDTF">2014-09-29T14:32:00Z</dcterms:created>
  <dcterms:modified xsi:type="dcterms:W3CDTF">2014-09-29T14:34:00Z</dcterms:modified>
</cp:coreProperties>
</file>