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10" w:rsidRPr="005D177F" w:rsidRDefault="00F72D10" w:rsidP="00A156B1">
      <w:pPr>
        <w:jc w:val="center"/>
        <w:rPr>
          <w:rFonts w:ascii="Times New Roman" w:hAnsi="Times New Roman"/>
          <w:b/>
          <w:noProof w:val="0"/>
          <w:sz w:val="24"/>
          <w:szCs w:val="24"/>
        </w:rPr>
      </w:pPr>
      <w:r w:rsidRPr="005D177F">
        <w:rPr>
          <w:rFonts w:ascii="Times New Roman" w:hAnsi="Times New Roman"/>
          <w:b/>
          <w:noProof w:val="0"/>
          <w:sz w:val="24"/>
          <w:szCs w:val="24"/>
        </w:rPr>
        <w:t>Supporting Statement for Paperwork Reduction Act Submission</w:t>
      </w:r>
    </w:p>
    <w:p w:rsidR="00DF16B1" w:rsidRPr="005D177F" w:rsidRDefault="00B70CE2" w:rsidP="00DF16B1">
      <w:pPr>
        <w:ind w:right="6"/>
        <w:jc w:val="center"/>
        <w:rPr>
          <w:rFonts w:ascii="Times New Roman" w:hAnsi="Times New Roman"/>
          <w:b/>
          <w:sz w:val="24"/>
        </w:rPr>
      </w:pPr>
      <w:r w:rsidRPr="005D177F">
        <w:rPr>
          <w:rFonts w:ascii="Times New Roman" w:hAnsi="Times New Roman"/>
          <w:b/>
          <w:sz w:val="24"/>
        </w:rPr>
        <w:t>Dispensing Records</w:t>
      </w:r>
      <w:r w:rsidR="009F3141" w:rsidRPr="005D177F">
        <w:rPr>
          <w:rFonts w:ascii="Times New Roman" w:hAnsi="Times New Roman"/>
          <w:b/>
          <w:sz w:val="24"/>
        </w:rPr>
        <w:t xml:space="preserve"> of Individual Practitioners</w:t>
      </w:r>
    </w:p>
    <w:p w:rsidR="00CC4093" w:rsidRDefault="00CC4093" w:rsidP="004559D2">
      <w:pPr>
        <w:ind w:right="6"/>
        <w:jc w:val="center"/>
        <w:rPr>
          <w:rFonts w:ascii="Times New Roman" w:hAnsi="Times New Roman"/>
          <w:b/>
          <w:noProof w:val="0"/>
          <w:sz w:val="24"/>
          <w:szCs w:val="24"/>
        </w:rPr>
      </w:pPr>
      <w:bookmarkStart w:id="0" w:name="_GoBack"/>
      <w:r w:rsidRPr="005D177F">
        <w:rPr>
          <w:rFonts w:ascii="Times New Roman" w:hAnsi="Times New Roman"/>
          <w:b/>
          <w:noProof w:val="0"/>
          <w:sz w:val="24"/>
          <w:szCs w:val="24"/>
        </w:rPr>
        <w:t>OMB Number 1117-00</w:t>
      </w:r>
      <w:r w:rsidR="00773BC4" w:rsidRPr="005D177F">
        <w:rPr>
          <w:rFonts w:ascii="Times New Roman" w:hAnsi="Times New Roman"/>
          <w:b/>
          <w:noProof w:val="0"/>
          <w:sz w:val="24"/>
          <w:szCs w:val="24"/>
        </w:rPr>
        <w:t>21</w:t>
      </w:r>
    </w:p>
    <w:bookmarkEnd w:id="0"/>
    <w:p w:rsidR="005D177F" w:rsidRDefault="005D177F" w:rsidP="004559D2">
      <w:pPr>
        <w:ind w:right="6"/>
        <w:jc w:val="center"/>
        <w:rPr>
          <w:rFonts w:ascii="Times New Roman" w:hAnsi="Times New Roman"/>
          <w:b/>
          <w:noProof w:val="0"/>
          <w:sz w:val="24"/>
          <w:szCs w:val="24"/>
        </w:rPr>
      </w:pPr>
    </w:p>
    <w:p w:rsidR="005D177F" w:rsidRPr="005D177F" w:rsidRDefault="005D177F" w:rsidP="002B41CF">
      <w:pPr>
        <w:ind w:right="6"/>
        <w:rPr>
          <w:rFonts w:ascii="Times New Roman" w:hAnsi="Times New Roman"/>
          <w:noProof w:val="0"/>
          <w:sz w:val="24"/>
          <w:szCs w:val="24"/>
        </w:rPr>
      </w:pPr>
      <w:r>
        <w:rPr>
          <w:rFonts w:ascii="Times New Roman" w:hAnsi="Times New Roman"/>
          <w:noProof w:val="0"/>
          <w:sz w:val="24"/>
          <w:szCs w:val="24"/>
        </w:rPr>
        <w:t xml:space="preserve">The Drug Enforcement Administration (DEA) seeks </w:t>
      </w:r>
      <w:r w:rsidR="00A83D0B">
        <w:rPr>
          <w:rFonts w:ascii="Times New Roman" w:hAnsi="Times New Roman"/>
          <w:noProof w:val="0"/>
          <w:sz w:val="24"/>
          <w:szCs w:val="24"/>
        </w:rPr>
        <w:t>Office of Management and Budget (</w:t>
      </w:r>
      <w:r>
        <w:rPr>
          <w:rFonts w:ascii="Times New Roman" w:hAnsi="Times New Roman"/>
          <w:noProof w:val="0"/>
          <w:sz w:val="24"/>
          <w:szCs w:val="24"/>
        </w:rPr>
        <w:t>OMB</w:t>
      </w:r>
      <w:r w:rsidR="00A83D0B">
        <w:rPr>
          <w:rFonts w:ascii="Times New Roman" w:hAnsi="Times New Roman"/>
          <w:noProof w:val="0"/>
          <w:sz w:val="24"/>
          <w:szCs w:val="24"/>
        </w:rPr>
        <w:t>)</w:t>
      </w:r>
      <w:r>
        <w:rPr>
          <w:rFonts w:ascii="Times New Roman" w:hAnsi="Times New Roman"/>
          <w:noProof w:val="0"/>
          <w:sz w:val="24"/>
          <w:szCs w:val="24"/>
        </w:rPr>
        <w:t xml:space="preserve"> approval </w:t>
      </w:r>
      <w:r w:rsidR="00F1007A">
        <w:rPr>
          <w:rFonts w:ascii="Times New Roman" w:hAnsi="Times New Roman"/>
          <w:noProof w:val="0"/>
          <w:sz w:val="24"/>
          <w:szCs w:val="24"/>
        </w:rPr>
        <w:t xml:space="preserve">for revision to </w:t>
      </w:r>
      <w:r>
        <w:rPr>
          <w:rFonts w:ascii="Times New Roman" w:hAnsi="Times New Roman"/>
          <w:noProof w:val="0"/>
          <w:sz w:val="24"/>
          <w:szCs w:val="24"/>
        </w:rPr>
        <w:t xml:space="preserve">an existing collection of </w:t>
      </w:r>
      <w:r w:rsidR="002B41CF">
        <w:rPr>
          <w:rFonts w:ascii="Times New Roman" w:hAnsi="Times New Roman"/>
          <w:noProof w:val="0"/>
          <w:sz w:val="24"/>
          <w:szCs w:val="24"/>
        </w:rPr>
        <w:t xml:space="preserve">information that </w:t>
      </w:r>
      <w:proofErr w:type="gramStart"/>
      <w:r w:rsidR="002B41CF">
        <w:rPr>
          <w:rFonts w:ascii="Times New Roman" w:hAnsi="Times New Roman"/>
          <w:noProof w:val="0"/>
          <w:sz w:val="24"/>
          <w:szCs w:val="24"/>
        </w:rPr>
        <w:t xml:space="preserve">was previously </w:t>
      </w:r>
      <w:r>
        <w:rPr>
          <w:rFonts w:ascii="Times New Roman" w:hAnsi="Times New Roman"/>
          <w:noProof w:val="0"/>
          <w:sz w:val="24"/>
          <w:szCs w:val="24"/>
        </w:rPr>
        <w:t>approved</w:t>
      </w:r>
      <w:proofErr w:type="gramEnd"/>
      <w:r>
        <w:rPr>
          <w:rFonts w:ascii="Times New Roman" w:hAnsi="Times New Roman"/>
          <w:noProof w:val="0"/>
          <w:sz w:val="24"/>
          <w:szCs w:val="24"/>
        </w:rPr>
        <w:t xml:space="preserve"> by OMB – OMB Approval Number 1117-0021, Dispensing Records of Individual Practitioners.</w:t>
      </w:r>
      <w:r w:rsidR="00717E2C">
        <w:rPr>
          <w:rFonts w:ascii="Times New Roman" w:hAnsi="Times New Roman"/>
          <w:noProof w:val="0"/>
          <w:sz w:val="24"/>
          <w:szCs w:val="24"/>
        </w:rPr>
        <w:t xml:space="preserve">  The revised </w:t>
      </w:r>
      <w:r w:rsidR="000D45B5">
        <w:rPr>
          <w:rFonts w:ascii="Times New Roman" w:hAnsi="Times New Roman"/>
          <w:noProof w:val="0"/>
          <w:sz w:val="24"/>
          <w:szCs w:val="24"/>
        </w:rPr>
        <w:t>I</w:t>
      </w:r>
      <w:r w:rsidR="00717E2C">
        <w:rPr>
          <w:rFonts w:ascii="Times New Roman" w:hAnsi="Times New Roman"/>
          <w:noProof w:val="0"/>
          <w:sz w:val="24"/>
          <w:szCs w:val="24"/>
        </w:rPr>
        <w:t xml:space="preserve">nformation </w:t>
      </w:r>
      <w:r w:rsidR="000D45B5">
        <w:rPr>
          <w:rFonts w:ascii="Times New Roman" w:hAnsi="Times New Roman"/>
          <w:noProof w:val="0"/>
          <w:sz w:val="24"/>
          <w:szCs w:val="24"/>
        </w:rPr>
        <w:t>C</w:t>
      </w:r>
      <w:r w:rsidR="00717E2C">
        <w:rPr>
          <w:rFonts w:ascii="Times New Roman" w:hAnsi="Times New Roman"/>
          <w:noProof w:val="0"/>
          <w:sz w:val="24"/>
          <w:szCs w:val="24"/>
        </w:rPr>
        <w:t>ollection is entitled Records of Registrants.</w:t>
      </w:r>
    </w:p>
    <w:p w:rsidR="00F72D10" w:rsidRPr="00E30DDA" w:rsidRDefault="00F72D10" w:rsidP="00CC4093">
      <w:pPr>
        <w:ind w:right="1570"/>
        <w:rPr>
          <w:rFonts w:ascii="Times New Roman" w:hAnsi="Times New Roman"/>
          <w:noProof w:val="0"/>
          <w:sz w:val="24"/>
          <w:szCs w:val="24"/>
        </w:rPr>
      </w:pPr>
    </w:p>
    <w:p w:rsidR="001A734B" w:rsidRDefault="001A734B" w:rsidP="00CC4093">
      <w:pPr>
        <w:ind w:right="1570"/>
        <w:rPr>
          <w:rFonts w:ascii="Times New Roman" w:hAnsi="Times New Roman"/>
          <w:b/>
          <w:noProof w:val="0"/>
          <w:sz w:val="24"/>
          <w:szCs w:val="24"/>
        </w:rPr>
      </w:pPr>
    </w:p>
    <w:p w:rsidR="00F72D10" w:rsidRPr="005D177F" w:rsidRDefault="00F72D10" w:rsidP="00CC4093">
      <w:pPr>
        <w:ind w:right="1570"/>
        <w:rPr>
          <w:rFonts w:ascii="Times New Roman" w:hAnsi="Times New Roman"/>
          <w:b/>
          <w:noProof w:val="0"/>
          <w:sz w:val="24"/>
          <w:szCs w:val="24"/>
        </w:rPr>
      </w:pPr>
      <w:r w:rsidRPr="005D177F">
        <w:rPr>
          <w:rFonts w:ascii="Times New Roman" w:hAnsi="Times New Roman"/>
          <w:b/>
          <w:noProof w:val="0"/>
          <w:sz w:val="24"/>
          <w:szCs w:val="24"/>
        </w:rPr>
        <w:t>A. Justification</w:t>
      </w:r>
    </w:p>
    <w:p w:rsidR="00CC4093" w:rsidRPr="00861E66" w:rsidRDefault="00CC4093" w:rsidP="00CC4093">
      <w:pPr>
        <w:ind w:right="1570"/>
        <w:rPr>
          <w:rFonts w:ascii="Times New Roman" w:hAnsi="Times New Roman"/>
          <w:noProof w:val="0"/>
          <w:sz w:val="24"/>
          <w:szCs w:val="24"/>
        </w:rPr>
      </w:pPr>
    </w:p>
    <w:p w:rsidR="00192749" w:rsidRDefault="00F72D10" w:rsidP="000D45B5">
      <w:pPr>
        <w:rPr>
          <w:rFonts w:ascii="Times New Roman" w:hAnsi="Times New Roman"/>
          <w:sz w:val="24"/>
          <w:szCs w:val="24"/>
        </w:rPr>
      </w:pPr>
      <w:r w:rsidRPr="00861E66">
        <w:rPr>
          <w:rFonts w:ascii="Times New Roman" w:hAnsi="Times New Roman"/>
          <w:sz w:val="24"/>
          <w:szCs w:val="24"/>
        </w:rPr>
        <w:t xml:space="preserve">1.  </w:t>
      </w:r>
      <w:r w:rsidR="00192749" w:rsidRPr="005D177F">
        <w:rPr>
          <w:rFonts w:ascii="Times New Roman" w:hAnsi="Times New Roman"/>
          <w:sz w:val="24"/>
          <w:szCs w:val="24"/>
          <w:u w:val="single"/>
        </w:rPr>
        <w:t>Necessity of Information</w:t>
      </w:r>
    </w:p>
    <w:p w:rsidR="00937C36" w:rsidRDefault="00937C36" w:rsidP="002B41CF">
      <w:pPr>
        <w:rPr>
          <w:rFonts w:ascii="Times New Roman" w:hAnsi="Times New Roman"/>
          <w:sz w:val="24"/>
          <w:szCs w:val="24"/>
        </w:rPr>
      </w:pPr>
    </w:p>
    <w:p w:rsidR="00937C36" w:rsidRDefault="000D45B5" w:rsidP="006814E4">
      <w:pPr>
        <w:widowControl w:val="0"/>
        <w:tabs>
          <w:tab w:val="left" w:pos="450"/>
          <w:tab w:val="left" w:pos="720"/>
        </w:tabs>
        <w:rPr>
          <w:rFonts w:ascii="Times New Roman" w:hAnsi="Times New Roman"/>
          <w:iCs/>
          <w:sz w:val="24"/>
          <w:szCs w:val="24"/>
        </w:rPr>
      </w:pPr>
      <w:r>
        <w:rPr>
          <w:rFonts w:ascii="Times New Roman" w:hAnsi="Times New Roman"/>
          <w:sz w:val="24"/>
          <w:szCs w:val="24"/>
        </w:rPr>
        <w:tab/>
      </w:r>
      <w:r w:rsidR="00937C36" w:rsidRPr="006814E4">
        <w:rPr>
          <w:rFonts w:ascii="Times New Roman" w:hAnsi="Times New Roman"/>
          <w:sz w:val="24"/>
          <w:szCs w:val="24"/>
        </w:rPr>
        <w:t xml:space="preserve">In accordance with the </w:t>
      </w:r>
      <w:r w:rsidR="002F06C0">
        <w:rPr>
          <w:rFonts w:ascii="Times New Roman" w:hAnsi="Times New Roman"/>
          <w:sz w:val="24"/>
          <w:szCs w:val="24"/>
        </w:rPr>
        <w:t>Controlled Substances Act (</w:t>
      </w:r>
      <w:r w:rsidR="00D70FA4">
        <w:rPr>
          <w:rFonts w:ascii="Times New Roman" w:hAnsi="Times New Roman"/>
          <w:sz w:val="24"/>
          <w:szCs w:val="24"/>
        </w:rPr>
        <w:t>CSA</w:t>
      </w:r>
      <w:r w:rsidR="002F06C0">
        <w:rPr>
          <w:rFonts w:ascii="Times New Roman" w:hAnsi="Times New Roman"/>
          <w:sz w:val="24"/>
          <w:szCs w:val="24"/>
        </w:rPr>
        <w:t>)</w:t>
      </w:r>
      <w:r w:rsidR="00D70FA4">
        <w:rPr>
          <w:rFonts w:ascii="Times New Roman" w:hAnsi="Times New Roman"/>
          <w:sz w:val="24"/>
          <w:szCs w:val="24"/>
        </w:rPr>
        <w:t xml:space="preserve">, every DEA </w:t>
      </w:r>
      <w:r w:rsidR="00937C36" w:rsidRPr="006814E4">
        <w:rPr>
          <w:rFonts w:ascii="Times New Roman" w:hAnsi="Times New Roman"/>
          <w:sz w:val="24"/>
          <w:szCs w:val="24"/>
        </w:rPr>
        <w:t xml:space="preserve">registrant must make a biennial inventory and maintain, on a current basis, a complete and accurate record of each controlled substance manufactured, received, sold, delivered, or otherwise disposed of.  21 U.S.C. 827 and 958.  These records must be maintained separately from all other records of the registrant or, alternatively, in the case of non-narcotic controlled substances, be in such a form that required information is readily retrievable from the ordinary business records of the registrant.  21 U.S.C. 827(b)(2).  The records maintained by registrants must be kept and be available for at least two years for inspection and copying by officers or employees of the United States as authorized by the Attorney General.  21 U.S.C. 827(b)(3).  The DEA may promulgate regulations that specify the information that registrants </w:t>
      </w:r>
      <w:r w:rsidR="004973EB">
        <w:rPr>
          <w:rFonts w:ascii="Times New Roman" w:hAnsi="Times New Roman"/>
          <w:sz w:val="24"/>
          <w:szCs w:val="24"/>
        </w:rPr>
        <w:t>must</w:t>
      </w:r>
      <w:r w:rsidR="00937C36" w:rsidRPr="006814E4">
        <w:rPr>
          <w:rFonts w:ascii="Times New Roman" w:hAnsi="Times New Roman"/>
          <w:sz w:val="24"/>
          <w:szCs w:val="24"/>
        </w:rPr>
        <w:t xml:space="preserve"> maintain in the </w:t>
      </w:r>
      <w:r w:rsidR="004973EB">
        <w:rPr>
          <w:rFonts w:ascii="Times New Roman" w:hAnsi="Times New Roman"/>
          <w:sz w:val="24"/>
          <w:szCs w:val="24"/>
        </w:rPr>
        <w:t xml:space="preserve">required </w:t>
      </w:r>
      <w:r w:rsidR="00937C36" w:rsidRPr="006814E4">
        <w:rPr>
          <w:rFonts w:ascii="Times New Roman" w:hAnsi="Times New Roman"/>
          <w:sz w:val="24"/>
          <w:szCs w:val="24"/>
        </w:rPr>
        <w:t xml:space="preserve">records.  21 U.S.C. 827(b)(1).  As a component of the </w:t>
      </w:r>
      <w:r w:rsidR="00EA0189">
        <w:rPr>
          <w:rFonts w:ascii="Times New Roman" w:hAnsi="Times New Roman"/>
          <w:sz w:val="24"/>
          <w:szCs w:val="24"/>
        </w:rPr>
        <w:t>implement</w:t>
      </w:r>
      <w:r w:rsidR="00FD484D">
        <w:rPr>
          <w:rFonts w:ascii="Times New Roman" w:hAnsi="Times New Roman"/>
          <w:sz w:val="24"/>
          <w:szCs w:val="24"/>
        </w:rPr>
        <w:t>ing</w:t>
      </w:r>
      <w:r w:rsidR="00937C36" w:rsidRPr="006814E4">
        <w:rPr>
          <w:rFonts w:ascii="Times New Roman" w:hAnsi="Times New Roman"/>
          <w:sz w:val="24"/>
          <w:szCs w:val="24"/>
        </w:rPr>
        <w:t xml:space="preserve"> regulations to the Secure and Responsible Drug Disposal Act of 2010 (Disposal Act)</w:t>
      </w:r>
      <w:r w:rsidR="00FD484D" w:rsidRPr="00FD484D">
        <w:rPr>
          <w:rFonts w:ascii="Times New Roman" w:hAnsi="Times New Roman"/>
          <w:iCs/>
          <w:sz w:val="24"/>
          <w:szCs w:val="24"/>
        </w:rPr>
        <w:t xml:space="preserve"> </w:t>
      </w:r>
      <w:r w:rsidR="00FD484D" w:rsidRPr="00717E2C">
        <w:rPr>
          <w:rFonts w:ascii="Times New Roman" w:hAnsi="Times New Roman"/>
          <w:iCs/>
          <w:sz w:val="24"/>
          <w:szCs w:val="24"/>
        </w:rPr>
        <w:t>(Pub. L. 111-273)</w:t>
      </w:r>
      <w:r w:rsidR="00937C36" w:rsidRPr="006814E4">
        <w:rPr>
          <w:rFonts w:ascii="Times New Roman" w:hAnsi="Times New Roman"/>
          <w:iCs/>
          <w:sz w:val="24"/>
          <w:szCs w:val="24"/>
        </w:rPr>
        <w:t xml:space="preserve">, the </w:t>
      </w:r>
      <w:r w:rsidR="00937C36" w:rsidRPr="006814E4">
        <w:rPr>
          <w:rFonts w:ascii="Times New Roman" w:hAnsi="Times New Roman"/>
          <w:sz w:val="24"/>
          <w:szCs w:val="24"/>
        </w:rPr>
        <w:t>DEA is revising  and establishing new information that registrants are required to record pursuant to the CSA, specifically 21 U.S.C. 827 and 958</w:t>
      </w:r>
      <w:r w:rsidR="00937C36" w:rsidRPr="006814E4">
        <w:rPr>
          <w:rFonts w:ascii="Times New Roman" w:hAnsi="Times New Roman"/>
          <w:iCs/>
          <w:sz w:val="24"/>
          <w:szCs w:val="24"/>
        </w:rPr>
        <w:t>.</w:t>
      </w:r>
    </w:p>
    <w:p w:rsidR="00A92DFA" w:rsidRDefault="00A92DFA" w:rsidP="006814E4">
      <w:pPr>
        <w:widowControl w:val="0"/>
        <w:tabs>
          <w:tab w:val="left" w:pos="450"/>
          <w:tab w:val="left" w:pos="720"/>
        </w:tabs>
        <w:rPr>
          <w:rFonts w:ascii="Times New Roman" w:hAnsi="Times New Roman"/>
          <w:iCs/>
          <w:sz w:val="24"/>
          <w:szCs w:val="24"/>
        </w:rPr>
      </w:pPr>
    </w:p>
    <w:p w:rsidR="00A92DFA" w:rsidRDefault="00A92DFA" w:rsidP="006814E4">
      <w:pPr>
        <w:widowControl w:val="0"/>
        <w:tabs>
          <w:tab w:val="left" w:pos="450"/>
          <w:tab w:val="left" w:pos="720"/>
        </w:tabs>
        <w:rPr>
          <w:rFonts w:ascii="Times New Roman" w:hAnsi="Times New Roman"/>
          <w:iCs/>
          <w:sz w:val="24"/>
          <w:szCs w:val="24"/>
        </w:rPr>
      </w:pPr>
      <w:r>
        <w:rPr>
          <w:rFonts w:ascii="Times New Roman" w:hAnsi="Times New Roman"/>
          <w:iCs/>
          <w:sz w:val="24"/>
          <w:szCs w:val="24"/>
        </w:rPr>
        <w:tab/>
      </w:r>
      <w:r w:rsidR="00FD484D">
        <w:rPr>
          <w:rFonts w:ascii="Times New Roman" w:hAnsi="Times New Roman"/>
          <w:iCs/>
          <w:sz w:val="24"/>
          <w:szCs w:val="24"/>
        </w:rPr>
        <w:t>Pursuant to 21 U.S.C. 827(c), p</w:t>
      </w:r>
      <w:r w:rsidRPr="00A92DFA">
        <w:rPr>
          <w:rFonts w:ascii="Times New Roman" w:hAnsi="Times New Roman"/>
          <w:iCs/>
          <w:sz w:val="24"/>
          <w:szCs w:val="24"/>
        </w:rPr>
        <w:t xml:space="preserve">ractitioners who regularly dispense or administer controlled substances to patients and charge them for the substances </w:t>
      </w:r>
      <w:r w:rsidR="00FD484D">
        <w:rPr>
          <w:rFonts w:ascii="Times New Roman" w:hAnsi="Times New Roman"/>
          <w:iCs/>
          <w:sz w:val="24"/>
          <w:szCs w:val="24"/>
        </w:rPr>
        <w:t>and those practitioners who administer controlled substances in the course of maintenance or detoxification treatment shall</w:t>
      </w:r>
      <w:r w:rsidRPr="00A92DFA">
        <w:rPr>
          <w:rFonts w:ascii="Times New Roman" w:hAnsi="Times New Roman"/>
          <w:iCs/>
          <w:sz w:val="24"/>
          <w:szCs w:val="24"/>
        </w:rPr>
        <w:t xml:space="preserve"> </w:t>
      </w:r>
      <w:r w:rsidR="00FD484D">
        <w:rPr>
          <w:rFonts w:ascii="Times New Roman" w:hAnsi="Times New Roman"/>
          <w:iCs/>
          <w:sz w:val="24"/>
          <w:szCs w:val="24"/>
        </w:rPr>
        <w:t xml:space="preserve">keep records of such activities, and accordingly must </w:t>
      </w:r>
      <w:r w:rsidRPr="00A92DFA">
        <w:rPr>
          <w:rFonts w:ascii="Times New Roman" w:hAnsi="Times New Roman"/>
          <w:iCs/>
          <w:sz w:val="24"/>
          <w:szCs w:val="24"/>
        </w:rPr>
        <w:t xml:space="preserve">comply with the regulations on recordkeeping.  Paragraphs (b), (c), and (d) of 21 CFR 1304.03 identify when individual practitioners are required to maintain records of controlled substances.  The recordkeeping requirements for </w:t>
      </w:r>
      <w:r w:rsidR="001A292E">
        <w:rPr>
          <w:rFonts w:ascii="Times New Roman" w:hAnsi="Times New Roman"/>
          <w:iCs/>
          <w:sz w:val="24"/>
          <w:szCs w:val="24"/>
        </w:rPr>
        <w:t>these</w:t>
      </w:r>
      <w:r w:rsidRPr="00A92DFA">
        <w:rPr>
          <w:rFonts w:ascii="Times New Roman" w:hAnsi="Times New Roman"/>
          <w:iCs/>
          <w:sz w:val="24"/>
          <w:szCs w:val="24"/>
        </w:rPr>
        <w:t xml:space="preserve"> practitioners are contained in 1304.04(g), 1304.11, 1304.22</w:t>
      </w:r>
      <w:r w:rsidR="00A61845">
        <w:rPr>
          <w:rFonts w:ascii="Times New Roman" w:hAnsi="Times New Roman"/>
          <w:iCs/>
          <w:sz w:val="24"/>
          <w:szCs w:val="24"/>
        </w:rPr>
        <w:t>, and 1304.24</w:t>
      </w:r>
      <w:r w:rsidRPr="00A92DFA">
        <w:rPr>
          <w:rFonts w:ascii="Times New Roman" w:hAnsi="Times New Roman"/>
          <w:iCs/>
          <w:sz w:val="24"/>
          <w:szCs w:val="24"/>
        </w:rPr>
        <w:t>.</w:t>
      </w:r>
    </w:p>
    <w:p w:rsidR="004C43CE" w:rsidRDefault="004C43CE" w:rsidP="006814E4">
      <w:pPr>
        <w:widowControl w:val="0"/>
        <w:tabs>
          <w:tab w:val="left" w:pos="450"/>
          <w:tab w:val="left" w:pos="720"/>
        </w:tabs>
        <w:rPr>
          <w:rFonts w:ascii="Times New Roman" w:hAnsi="Times New Roman"/>
          <w:iCs/>
          <w:sz w:val="24"/>
          <w:szCs w:val="24"/>
        </w:rPr>
      </w:pPr>
    </w:p>
    <w:p w:rsidR="004C43CE" w:rsidRDefault="000D45B5" w:rsidP="004C43CE">
      <w:pPr>
        <w:widowControl w:val="0"/>
        <w:tabs>
          <w:tab w:val="left" w:pos="450"/>
          <w:tab w:val="left" w:pos="720"/>
        </w:tabs>
        <w:rPr>
          <w:rFonts w:ascii="Times New Roman" w:hAnsi="Times New Roman"/>
          <w:iCs/>
          <w:sz w:val="24"/>
          <w:szCs w:val="24"/>
        </w:rPr>
      </w:pPr>
      <w:r>
        <w:rPr>
          <w:rFonts w:ascii="Times New Roman" w:hAnsi="Times New Roman"/>
          <w:iCs/>
          <w:sz w:val="24"/>
          <w:szCs w:val="24"/>
        </w:rPr>
        <w:tab/>
      </w:r>
      <w:r w:rsidR="00717E2C" w:rsidRPr="00717E2C">
        <w:rPr>
          <w:rFonts w:ascii="Times New Roman" w:hAnsi="Times New Roman"/>
          <w:iCs/>
          <w:sz w:val="24"/>
          <w:szCs w:val="24"/>
        </w:rPr>
        <w:t>The existing collection of information is affected by the new regulations that implement the Disposal Act.  The Disposal of Controlled Substances final rule (RIN 1117–AB18), expands disposal options for ultimate users, reorganizes and consolidates existing regulations on the disposal of controlled substances</w:t>
      </w:r>
      <w:r w:rsidR="00447313">
        <w:rPr>
          <w:rFonts w:ascii="Times New Roman" w:hAnsi="Times New Roman"/>
          <w:iCs/>
          <w:sz w:val="24"/>
          <w:szCs w:val="24"/>
        </w:rPr>
        <w:t xml:space="preserve"> including the role of reverse distributors</w:t>
      </w:r>
      <w:r w:rsidR="00717E2C" w:rsidRPr="00717E2C">
        <w:rPr>
          <w:rFonts w:ascii="Times New Roman" w:hAnsi="Times New Roman"/>
          <w:iCs/>
          <w:sz w:val="24"/>
          <w:szCs w:val="24"/>
        </w:rPr>
        <w:t>, and establishes a comprehensive regulatory framework for the collection and destruction of controlled substances consistent with the CSA.</w:t>
      </w:r>
    </w:p>
    <w:p w:rsidR="00937C36" w:rsidRPr="00DF16B1" w:rsidRDefault="00937C36" w:rsidP="002B41CF">
      <w:pPr>
        <w:rPr>
          <w:rFonts w:ascii="Times New Roman" w:hAnsi="Times New Roman"/>
          <w:sz w:val="24"/>
          <w:szCs w:val="24"/>
        </w:rPr>
      </w:pPr>
    </w:p>
    <w:p w:rsidR="008D42C8" w:rsidRDefault="008D42C8" w:rsidP="00CC4093">
      <w:pPr>
        <w:pStyle w:val="BodyText"/>
        <w:spacing w:line="240" w:lineRule="auto"/>
        <w:rPr>
          <w:szCs w:val="24"/>
        </w:rPr>
      </w:pPr>
    </w:p>
    <w:p w:rsidR="005D177F" w:rsidRDefault="005D177F" w:rsidP="00CC4093">
      <w:pPr>
        <w:pStyle w:val="BodyText"/>
        <w:spacing w:line="240" w:lineRule="auto"/>
        <w:rPr>
          <w:szCs w:val="24"/>
        </w:rPr>
      </w:pPr>
    </w:p>
    <w:p w:rsidR="00FE6F5A" w:rsidRPr="00861E66" w:rsidRDefault="00FE6F5A" w:rsidP="000D45B5">
      <w:pPr>
        <w:pStyle w:val="BodyText"/>
        <w:spacing w:line="240" w:lineRule="auto"/>
        <w:rPr>
          <w:szCs w:val="24"/>
        </w:rPr>
      </w:pPr>
      <w:r w:rsidRPr="00861E66">
        <w:rPr>
          <w:szCs w:val="24"/>
        </w:rPr>
        <w:t xml:space="preserve">2. </w:t>
      </w:r>
      <w:r w:rsidR="00AC1DBA" w:rsidRPr="00861E66">
        <w:rPr>
          <w:szCs w:val="24"/>
        </w:rPr>
        <w:t xml:space="preserve"> </w:t>
      </w:r>
      <w:r w:rsidRPr="005D177F">
        <w:rPr>
          <w:szCs w:val="24"/>
          <w:u w:val="single"/>
        </w:rPr>
        <w:t>Needs and Uses</w:t>
      </w:r>
    </w:p>
    <w:p w:rsidR="00CC4093" w:rsidRDefault="00CC4093" w:rsidP="00CC4093">
      <w:pPr>
        <w:rPr>
          <w:rFonts w:ascii="Times New Roman" w:hAnsi="Times New Roman"/>
          <w:noProof w:val="0"/>
          <w:sz w:val="24"/>
          <w:szCs w:val="24"/>
        </w:rPr>
      </w:pPr>
    </w:p>
    <w:p w:rsidR="00CC4093" w:rsidRDefault="007D0F1B" w:rsidP="000D45B5">
      <w:pPr>
        <w:ind w:firstLine="720"/>
        <w:rPr>
          <w:rFonts w:ascii="Times New Roman" w:hAnsi="Times New Roman"/>
          <w:sz w:val="24"/>
          <w:szCs w:val="24"/>
        </w:rPr>
      </w:pPr>
      <w:r w:rsidRPr="007D0F1B">
        <w:rPr>
          <w:rFonts w:ascii="Times New Roman" w:hAnsi="Times New Roman"/>
          <w:sz w:val="24"/>
          <w:szCs w:val="24"/>
        </w:rPr>
        <w:t xml:space="preserve">The </w:t>
      </w:r>
      <w:r w:rsidR="005D177F">
        <w:rPr>
          <w:rFonts w:ascii="Times New Roman" w:hAnsi="Times New Roman"/>
          <w:sz w:val="24"/>
          <w:szCs w:val="24"/>
        </w:rPr>
        <w:t>DEA</w:t>
      </w:r>
      <w:r w:rsidR="005929F8" w:rsidRPr="007D0F1B">
        <w:rPr>
          <w:rFonts w:ascii="Times New Roman" w:hAnsi="Times New Roman"/>
          <w:sz w:val="24"/>
          <w:szCs w:val="24"/>
        </w:rPr>
        <w:t xml:space="preserve"> and </w:t>
      </w:r>
      <w:r w:rsidR="00717E2C">
        <w:rPr>
          <w:rFonts w:ascii="Times New Roman" w:hAnsi="Times New Roman"/>
          <w:sz w:val="24"/>
          <w:szCs w:val="24"/>
        </w:rPr>
        <w:t>registrants</w:t>
      </w:r>
      <w:r w:rsidR="005929F8" w:rsidRPr="007D0F1B">
        <w:rPr>
          <w:rFonts w:ascii="Times New Roman" w:hAnsi="Times New Roman"/>
          <w:sz w:val="24"/>
          <w:szCs w:val="24"/>
        </w:rPr>
        <w:t xml:space="preserve"> use the required records to maintain accountability for controlled substances</w:t>
      </w:r>
      <w:r w:rsidR="0056784E">
        <w:rPr>
          <w:rFonts w:ascii="Times New Roman" w:hAnsi="Times New Roman"/>
          <w:sz w:val="24"/>
          <w:szCs w:val="24"/>
        </w:rPr>
        <w:t xml:space="preserve">, and </w:t>
      </w:r>
      <w:r w:rsidR="00275B42">
        <w:rPr>
          <w:rFonts w:ascii="Times New Roman" w:hAnsi="Times New Roman"/>
          <w:sz w:val="24"/>
          <w:szCs w:val="24"/>
        </w:rPr>
        <w:t xml:space="preserve">to </w:t>
      </w:r>
      <w:r w:rsidR="0056784E">
        <w:rPr>
          <w:rFonts w:ascii="Times New Roman" w:hAnsi="Times New Roman"/>
          <w:sz w:val="24"/>
          <w:szCs w:val="24"/>
        </w:rPr>
        <w:t>deter and detect diversion</w:t>
      </w:r>
      <w:r w:rsidR="00246FDA">
        <w:rPr>
          <w:rFonts w:ascii="Times New Roman" w:hAnsi="Times New Roman"/>
          <w:sz w:val="24"/>
          <w:szCs w:val="24"/>
        </w:rPr>
        <w:t xml:space="preserve">.  </w:t>
      </w:r>
      <w:r w:rsidR="00105438" w:rsidRPr="00105438">
        <w:rPr>
          <w:rFonts w:ascii="Times New Roman" w:hAnsi="Times New Roman"/>
          <w:sz w:val="24"/>
          <w:szCs w:val="24"/>
        </w:rPr>
        <w:t>Without</w:t>
      </w:r>
      <w:r w:rsidR="00105438">
        <w:rPr>
          <w:rFonts w:ascii="Times New Roman" w:hAnsi="Times New Roman"/>
          <w:sz w:val="24"/>
          <w:szCs w:val="24"/>
        </w:rPr>
        <w:t xml:space="preserve"> these recordkeeping requirements,</w:t>
      </w:r>
      <w:r w:rsidR="00105438" w:rsidRPr="00105438">
        <w:rPr>
          <w:rFonts w:ascii="Times New Roman" w:hAnsi="Times New Roman"/>
          <w:sz w:val="24"/>
          <w:szCs w:val="24"/>
        </w:rPr>
        <w:t xml:space="preserve"> </w:t>
      </w:r>
      <w:r w:rsidR="0056784E">
        <w:rPr>
          <w:rFonts w:ascii="Times New Roman" w:hAnsi="Times New Roman"/>
          <w:sz w:val="24"/>
          <w:szCs w:val="24"/>
        </w:rPr>
        <w:t>the</w:t>
      </w:r>
      <w:r w:rsidR="00105438" w:rsidRPr="00105438">
        <w:rPr>
          <w:rFonts w:ascii="Times New Roman" w:hAnsi="Times New Roman"/>
          <w:sz w:val="24"/>
          <w:szCs w:val="24"/>
        </w:rPr>
        <w:t xml:space="preserve"> closed system of distribution would be </w:t>
      </w:r>
      <w:r w:rsidR="0056784E">
        <w:rPr>
          <w:rFonts w:ascii="Times New Roman" w:hAnsi="Times New Roman"/>
          <w:sz w:val="24"/>
          <w:szCs w:val="24"/>
        </w:rPr>
        <w:t>compromised.  C</w:t>
      </w:r>
      <w:r w:rsidR="00105438">
        <w:rPr>
          <w:rFonts w:ascii="Times New Roman" w:hAnsi="Times New Roman"/>
          <w:sz w:val="24"/>
          <w:szCs w:val="24"/>
        </w:rPr>
        <w:t>ontrolled substances that are</w:t>
      </w:r>
      <w:r w:rsidR="00105438" w:rsidRPr="00105438">
        <w:rPr>
          <w:rFonts w:ascii="Times New Roman" w:hAnsi="Times New Roman"/>
          <w:sz w:val="24"/>
          <w:szCs w:val="24"/>
        </w:rPr>
        <w:t xml:space="preserve"> dispensed or administer</w:t>
      </w:r>
      <w:r w:rsidR="00231A1C">
        <w:rPr>
          <w:rFonts w:ascii="Times New Roman" w:hAnsi="Times New Roman"/>
          <w:sz w:val="24"/>
          <w:szCs w:val="24"/>
        </w:rPr>
        <w:t>ed could easily be diverted without detection</w:t>
      </w:r>
      <w:r w:rsidR="00105438" w:rsidRPr="00105438">
        <w:rPr>
          <w:rFonts w:ascii="Times New Roman" w:hAnsi="Times New Roman"/>
          <w:sz w:val="24"/>
          <w:szCs w:val="24"/>
        </w:rPr>
        <w:t>.</w:t>
      </w:r>
      <w:r w:rsidR="00105438">
        <w:rPr>
          <w:rFonts w:ascii="Times New Roman" w:hAnsi="Times New Roman"/>
          <w:sz w:val="24"/>
          <w:szCs w:val="24"/>
        </w:rPr>
        <w:t xml:space="preserve">  </w:t>
      </w:r>
    </w:p>
    <w:p w:rsidR="004C43CE" w:rsidRDefault="004C43CE" w:rsidP="007D0F1B">
      <w:pPr>
        <w:rPr>
          <w:rFonts w:ascii="Times New Roman" w:hAnsi="Times New Roman"/>
          <w:sz w:val="24"/>
          <w:szCs w:val="24"/>
        </w:rPr>
      </w:pPr>
    </w:p>
    <w:p w:rsidR="004C43CE" w:rsidRDefault="004C43CE" w:rsidP="000D45B5">
      <w:pPr>
        <w:ind w:firstLine="360"/>
        <w:rPr>
          <w:rFonts w:ascii="Times New Roman" w:hAnsi="Times New Roman"/>
          <w:sz w:val="24"/>
          <w:szCs w:val="24"/>
        </w:rPr>
      </w:pPr>
      <w:r w:rsidRPr="004C43CE">
        <w:rPr>
          <w:rFonts w:ascii="Times New Roman" w:hAnsi="Times New Roman"/>
          <w:sz w:val="24"/>
          <w:szCs w:val="24"/>
        </w:rPr>
        <w:t xml:space="preserve">The DEA is revising and establishing new information that certain registrants are required to record in accordance with the Disposal Act implementing regulations.  Below is a summary of the information that certain groups of registrants will be required to record.  Ordinary business records </w:t>
      </w:r>
      <w:r w:rsidR="00275B42">
        <w:rPr>
          <w:rFonts w:ascii="Times New Roman" w:hAnsi="Times New Roman"/>
          <w:sz w:val="24"/>
          <w:szCs w:val="24"/>
        </w:rPr>
        <w:t>will</w:t>
      </w:r>
      <w:r w:rsidRPr="004C43CE">
        <w:rPr>
          <w:rFonts w:ascii="Times New Roman" w:hAnsi="Times New Roman"/>
          <w:sz w:val="24"/>
          <w:szCs w:val="24"/>
        </w:rPr>
        <w:t xml:space="preserve"> frequently fulfill these specific requirements.  </w:t>
      </w:r>
    </w:p>
    <w:p w:rsidR="00006EFA" w:rsidRDefault="00006EFA" w:rsidP="007D0F1B">
      <w:pPr>
        <w:rPr>
          <w:rFonts w:ascii="Times New Roman" w:hAnsi="Times New Roman"/>
          <w:sz w:val="24"/>
          <w:szCs w:val="24"/>
        </w:rPr>
      </w:pPr>
    </w:p>
    <w:p w:rsidR="00006EFA" w:rsidRDefault="00006EFA" w:rsidP="00006EFA">
      <w:pPr>
        <w:numPr>
          <w:ilvl w:val="0"/>
          <w:numId w:val="37"/>
        </w:numPr>
        <w:rPr>
          <w:rFonts w:ascii="Times New Roman" w:hAnsi="Times New Roman"/>
          <w:i/>
          <w:sz w:val="24"/>
          <w:szCs w:val="24"/>
        </w:rPr>
      </w:pPr>
      <w:r w:rsidRPr="00006EFA">
        <w:rPr>
          <w:rFonts w:ascii="Times New Roman" w:hAnsi="Times New Roman"/>
          <w:i/>
          <w:sz w:val="24"/>
          <w:szCs w:val="24"/>
        </w:rPr>
        <w:t>Recordkeeping Requirements for Reverse Distributors</w:t>
      </w:r>
    </w:p>
    <w:p w:rsidR="00006EFA" w:rsidRPr="00006EFA" w:rsidRDefault="00006EFA" w:rsidP="006814E4">
      <w:pPr>
        <w:ind w:left="720"/>
        <w:rPr>
          <w:rFonts w:ascii="Times New Roman" w:hAnsi="Times New Roman"/>
          <w:i/>
          <w:sz w:val="24"/>
          <w:szCs w:val="24"/>
        </w:rPr>
      </w:pPr>
    </w:p>
    <w:p w:rsidR="00006EFA" w:rsidRPr="00006EFA" w:rsidRDefault="00006EFA" w:rsidP="000D45B5">
      <w:pPr>
        <w:ind w:firstLine="720"/>
        <w:rPr>
          <w:rFonts w:ascii="Times New Roman" w:hAnsi="Times New Roman"/>
          <w:sz w:val="24"/>
          <w:szCs w:val="24"/>
        </w:rPr>
      </w:pPr>
      <w:r w:rsidRPr="00006EFA">
        <w:rPr>
          <w:rFonts w:ascii="Times New Roman" w:hAnsi="Times New Roman"/>
          <w:sz w:val="24"/>
          <w:szCs w:val="24"/>
        </w:rPr>
        <w:t>The DEA is revising the information that reverse distributors are required to record.  This includes reconciling the quantities of controlled substances that reverse distributors are required to record in inventory and continuing records (</w:t>
      </w:r>
      <w:r w:rsidR="00936E2E">
        <w:rPr>
          <w:rFonts w:ascii="Times New Roman" w:hAnsi="Times New Roman"/>
          <w:sz w:val="24"/>
          <w:szCs w:val="24"/>
        </w:rPr>
        <w:t>e.g.</w:t>
      </w:r>
      <w:r w:rsidRPr="00006EFA">
        <w:rPr>
          <w:rFonts w:ascii="Times New Roman" w:hAnsi="Times New Roman"/>
          <w:sz w:val="24"/>
          <w:szCs w:val="24"/>
        </w:rPr>
        <w:t xml:space="preserve">, a reverse distributor must record the quantity of a controlled substance in both finished and bulk form, and the quantity contained in a commercial container, carton, crate, drum, or other receptacle that has been opened).  In addition, the DEA is requiring reverse distributors to keep records regarding each controlled substance received from a particular registrant for a particular purpose </w:t>
      </w:r>
      <w:r w:rsidR="004F0C3E">
        <w:rPr>
          <w:rFonts w:ascii="Times New Roman" w:hAnsi="Times New Roman"/>
          <w:sz w:val="24"/>
          <w:szCs w:val="24"/>
        </w:rPr>
        <w:t xml:space="preserve">together with the corresponding disposition record </w:t>
      </w:r>
      <w:r w:rsidRPr="00006EFA">
        <w:rPr>
          <w:rFonts w:ascii="Times New Roman" w:hAnsi="Times New Roman"/>
          <w:sz w:val="24"/>
          <w:szCs w:val="24"/>
        </w:rPr>
        <w:t xml:space="preserve">(i.e., maintain the record of receipt with the corresponding record of return or destruction).  </w:t>
      </w:r>
    </w:p>
    <w:p w:rsidR="00006EFA" w:rsidRPr="00006EFA" w:rsidRDefault="00006EFA" w:rsidP="00006EFA">
      <w:pPr>
        <w:rPr>
          <w:rFonts w:ascii="Times New Roman" w:hAnsi="Times New Roman"/>
          <w:sz w:val="24"/>
          <w:szCs w:val="24"/>
        </w:rPr>
      </w:pPr>
    </w:p>
    <w:p w:rsidR="00006EFA" w:rsidRDefault="00006EFA" w:rsidP="00006EFA">
      <w:pPr>
        <w:numPr>
          <w:ilvl w:val="0"/>
          <w:numId w:val="37"/>
        </w:numPr>
        <w:rPr>
          <w:rFonts w:ascii="Times New Roman" w:hAnsi="Times New Roman"/>
          <w:i/>
          <w:sz w:val="24"/>
          <w:szCs w:val="24"/>
        </w:rPr>
      </w:pPr>
      <w:r w:rsidRPr="00006EFA">
        <w:rPr>
          <w:rFonts w:ascii="Times New Roman" w:hAnsi="Times New Roman"/>
          <w:i/>
          <w:sz w:val="24"/>
          <w:szCs w:val="24"/>
        </w:rPr>
        <w:t>Recordkeeping for Registrants that Receive or Deliver Controlled Substances for Return or Recall</w:t>
      </w:r>
    </w:p>
    <w:p w:rsidR="00006EFA" w:rsidRPr="00006EFA" w:rsidRDefault="00006EFA" w:rsidP="006814E4">
      <w:pPr>
        <w:ind w:left="720"/>
        <w:rPr>
          <w:rFonts w:ascii="Times New Roman" w:hAnsi="Times New Roman"/>
          <w:i/>
          <w:sz w:val="24"/>
          <w:szCs w:val="24"/>
        </w:rPr>
      </w:pPr>
    </w:p>
    <w:p w:rsidR="00006EFA" w:rsidRPr="00006EFA" w:rsidRDefault="00006EFA" w:rsidP="000D45B5">
      <w:pPr>
        <w:ind w:firstLine="720"/>
        <w:rPr>
          <w:rFonts w:ascii="Times New Roman" w:hAnsi="Times New Roman"/>
          <w:sz w:val="24"/>
          <w:szCs w:val="24"/>
        </w:rPr>
      </w:pPr>
      <w:r w:rsidRPr="00006EFA">
        <w:rPr>
          <w:rFonts w:ascii="Times New Roman" w:hAnsi="Times New Roman"/>
          <w:sz w:val="24"/>
          <w:szCs w:val="24"/>
        </w:rPr>
        <w:t xml:space="preserve">The DEA is revising the information that registrants are required to record in the return and recall process.  The DEA is deleting the existing rule on return and recall, 21 CFR 1307.12, and implementing separate rules on the return and recall of controlled substances for registrants and non-registrants.  The return and recall recordkeeping requirements have been revised to reflect these changes.  </w:t>
      </w:r>
    </w:p>
    <w:p w:rsidR="00006EFA" w:rsidRPr="00006EFA" w:rsidRDefault="00006EFA" w:rsidP="00006EFA">
      <w:pPr>
        <w:rPr>
          <w:rFonts w:ascii="Times New Roman" w:hAnsi="Times New Roman"/>
          <w:sz w:val="24"/>
          <w:szCs w:val="24"/>
        </w:rPr>
      </w:pPr>
    </w:p>
    <w:p w:rsidR="00006EFA" w:rsidRDefault="00006EFA" w:rsidP="00150AA5">
      <w:pPr>
        <w:ind w:firstLine="720"/>
        <w:rPr>
          <w:rFonts w:ascii="Times New Roman" w:hAnsi="Times New Roman"/>
          <w:sz w:val="24"/>
          <w:szCs w:val="24"/>
        </w:rPr>
      </w:pPr>
      <w:r w:rsidRPr="00006EFA">
        <w:rPr>
          <w:rFonts w:ascii="Times New Roman" w:hAnsi="Times New Roman"/>
          <w:sz w:val="24"/>
          <w:szCs w:val="24"/>
        </w:rPr>
        <w:t xml:space="preserve">In particular, the DEA is </w:t>
      </w:r>
      <w:r w:rsidR="00077B8B">
        <w:rPr>
          <w:rFonts w:ascii="Times New Roman" w:hAnsi="Times New Roman"/>
          <w:sz w:val="24"/>
          <w:szCs w:val="24"/>
        </w:rPr>
        <w:t xml:space="preserve">continuing to </w:t>
      </w:r>
      <w:r w:rsidRPr="00006EFA">
        <w:rPr>
          <w:rFonts w:ascii="Times New Roman" w:hAnsi="Times New Roman"/>
          <w:sz w:val="24"/>
          <w:szCs w:val="24"/>
        </w:rPr>
        <w:t>requir</w:t>
      </w:r>
      <w:r w:rsidR="00077B8B">
        <w:rPr>
          <w:rFonts w:ascii="Times New Roman" w:hAnsi="Times New Roman"/>
          <w:sz w:val="24"/>
          <w:szCs w:val="24"/>
        </w:rPr>
        <w:t>e</w:t>
      </w:r>
      <w:r w:rsidRPr="00006EFA">
        <w:rPr>
          <w:rFonts w:ascii="Times New Roman" w:hAnsi="Times New Roman"/>
          <w:sz w:val="24"/>
          <w:szCs w:val="24"/>
        </w:rPr>
        <w:t xml:space="preserve"> that registrants that distribute controlled substances to another registrant for the purpose of return or recall shall be required to maintain </w:t>
      </w:r>
      <w:r w:rsidR="00077B8B">
        <w:rPr>
          <w:rFonts w:ascii="Times New Roman" w:hAnsi="Times New Roman"/>
          <w:sz w:val="24"/>
          <w:szCs w:val="24"/>
        </w:rPr>
        <w:t xml:space="preserve">a </w:t>
      </w:r>
      <w:r w:rsidRPr="00006EFA">
        <w:rPr>
          <w:rFonts w:ascii="Times New Roman" w:hAnsi="Times New Roman"/>
          <w:sz w:val="24"/>
          <w:szCs w:val="24"/>
        </w:rPr>
        <w:t xml:space="preserve">record </w:t>
      </w:r>
      <w:r w:rsidR="00077B8B">
        <w:rPr>
          <w:rFonts w:ascii="Times New Roman" w:hAnsi="Times New Roman"/>
          <w:sz w:val="24"/>
          <w:szCs w:val="24"/>
        </w:rPr>
        <w:t xml:space="preserve">of the activity </w:t>
      </w:r>
      <w:r w:rsidRPr="00006EFA">
        <w:rPr>
          <w:rFonts w:ascii="Times New Roman" w:hAnsi="Times New Roman"/>
          <w:sz w:val="24"/>
          <w:szCs w:val="24"/>
        </w:rPr>
        <w:t xml:space="preserve">in accordance with </w:t>
      </w:r>
      <w:r w:rsidR="00D67746">
        <w:rPr>
          <w:rFonts w:ascii="Times New Roman" w:hAnsi="Times New Roman"/>
          <w:sz w:val="24"/>
          <w:szCs w:val="24"/>
        </w:rPr>
        <w:t xml:space="preserve">existing </w:t>
      </w:r>
      <w:r w:rsidRPr="00006EFA">
        <w:rPr>
          <w:rFonts w:ascii="Times New Roman" w:hAnsi="Times New Roman"/>
          <w:sz w:val="24"/>
          <w:szCs w:val="24"/>
        </w:rPr>
        <w:t>21 CFR 1304.22(b).  For registrants that receive controlled substances from another DEA registrant for the purpose of return or recall, those registrants will be required to maintain a record that includes the date of the transaction, the name, form, and quantity of each controlled substance received, and the name, address, and registration number of the distributing registrant from whom the substance was received.  For those registrants that receive controlled substances from ultimate users for the purpose of recall, those registrants must maintain a record that includes the date of receipt, and the name, form, and quantity of each controlled substance received.</w:t>
      </w:r>
    </w:p>
    <w:p w:rsidR="00F8242C" w:rsidRPr="00150AA5" w:rsidRDefault="00F8242C" w:rsidP="00150AA5">
      <w:pPr>
        <w:ind w:firstLine="720"/>
        <w:rPr>
          <w:rFonts w:ascii="Times New Roman" w:hAnsi="Times New Roman"/>
          <w:bCs/>
          <w:sz w:val="24"/>
          <w:szCs w:val="24"/>
        </w:rPr>
      </w:pPr>
    </w:p>
    <w:p w:rsidR="00006EFA" w:rsidRDefault="00006EFA" w:rsidP="00006EFA">
      <w:pPr>
        <w:numPr>
          <w:ilvl w:val="0"/>
          <w:numId w:val="37"/>
        </w:numPr>
        <w:rPr>
          <w:rFonts w:ascii="Times New Roman" w:hAnsi="Times New Roman"/>
          <w:i/>
          <w:sz w:val="24"/>
          <w:szCs w:val="24"/>
        </w:rPr>
      </w:pPr>
      <w:r w:rsidRPr="00006EFA">
        <w:rPr>
          <w:rFonts w:ascii="Times New Roman" w:hAnsi="Times New Roman"/>
          <w:i/>
          <w:sz w:val="24"/>
          <w:szCs w:val="24"/>
        </w:rPr>
        <w:lastRenderedPageBreak/>
        <w:t>Recordkeeping Requirements for DEA Registrants Authorized to Collect</w:t>
      </w:r>
    </w:p>
    <w:p w:rsidR="00006EFA" w:rsidRPr="00006EFA" w:rsidRDefault="00006EFA" w:rsidP="006814E4">
      <w:pPr>
        <w:ind w:left="720"/>
        <w:rPr>
          <w:rFonts w:ascii="Times New Roman" w:hAnsi="Times New Roman"/>
          <w:i/>
          <w:sz w:val="24"/>
          <w:szCs w:val="24"/>
        </w:rPr>
      </w:pPr>
    </w:p>
    <w:p w:rsidR="00006EFA" w:rsidRPr="00006EFA" w:rsidRDefault="00006EFA" w:rsidP="000D45B5">
      <w:pPr>
        <w:ind w:firstLine="720"/>
        <w:rPr>
          <w:rFonts w:ascii="Times New Roman" w:hAnsi="Times New Roman"/>
          <w:iCs/>
          <w:sz w:val="24"/>
          <w:szCs w:val="24"/>
        </w:rPr>
      </w:pPr>
      <w:r w:rsidRPr="00006EFA">
        <w:rPr>
          <w:rFonts w:ascii="Times New Roman" w:hAnsi="Times New Roman"/>
          <w:sz w:val="24"/>
          <w:szCs w:val="24"/>
        </w:rPr>
        <w:t xml:space="preserve">To implement the Disposal Act, the DEA is authorizing three methods of ultimate user collection:  take back events, </w:t>
      </w:r>
      <w:r w:rsidR="00150AA5">
        <w:rPr>
          <w:rFonts w:ascii="Times New Roman" w:hAnsi="Times New Roman"/>
          <w:sz w:val="24"/>
          <w:szCs w:val="24"/>
        </w:rPr>
        <w:t>mail-back</w:t>
      </w:r>
      <w:r w:rsidRPr="00006EFA">
        <w:rPr>
          <w:rFonts w:ascii="Times New Roman" w:hAnsi="Times New Roman"/>
          <w:sz w:val="24"/>
          <w:szCs w:val="24"/>
        </w:rPr>
        <w:t xml:space="preserve"> programs, and collection receptacles.  Registered manufacturers, distributors, reverse distributors, narcotic treatment programs (NTPs), hospitals/clinics with an on-site pharmacy, and retail pharmacies may obtain authorization from DEA to be a collector.  A collector is a person authorized to receive a controlled substance for the purpose of disposal from non-registrants in lawful possession of </w:t>
      </w:r>
      <w:r w:rsidR="004B2CB8">
        <w:rPr>
          <w:rFonts w:ascii="Times New Roman" w:hAnsi="Times New Roman"/>
          <w:sz w:val="24"/>
          <w:szCs w:val="24"/>
        </w:rPr>
        <w:t xml:space="preserve">pharmaceutical </w:t>
      </w:r>
      <w:r w:rsidRPr="00006EFA">
        <w:rPr>
          <w:rFonts w:ascii="Times New Roman" w:hAnsi="Times New Roman"/>
          <w:sz w:val="24"/>
          <w:szCs w:val="24"/>
        </w:rPr>
        <w:t xml:space="preserve">controlled substances.  Collectors are permitted to: (1) conduct </w:t>
      </w:r>
      <w:r w:rsidR="00150AA5">
        <w:rPr>
          <w:rFonts w:ascii="Times New Roman" w:hAnsi="Times New Roman"/>
          <w:sz w:val="24"/>
          <w:szCs w:val="24"/>
        </w:rPr>
        <w:t>mail-back</w:t>
      </w:r>
      <w:r w:rsidRPr="00006EFA">
        <w:rPr>
          <w:rFonts w:ascii="Times New Roman" w:hAnsi="Times New Roman"/>
          <w:sz w:val="24"/>
          <w:szCs w:val="24"/>
        </w:rPr>
        <w:t xml:space="preserve"> programs if they have and utilize an on-site method of destruction; and (2) maintain collection receptacles at authorized locations.  Registered retail pharmacies and hospitals/clinics with an on-site pharmacy may seek DEA authorization to maintain collection receptacles at LTCFs, in addition to their registered location</w:t>
      </w:r>
      <w:r w:rsidR="004B2CB8">
        <w:rPr>
          <w:rFonts w:ascii="Times New Roman" w:hAnsi="Times New Roman"/>
          <w:sz w:val="24"/>
          <w:szCs w:val="24"/>
        </w:rPr>
        <w:t>s</w:t>
      </w:r>
      <w:r w:rsidRPr="00006EFA">
        <w:rPr>
          <w:rFonts w:ascii="Times New Roman" w:hAnsi="Times New Roman"/>
          <w:sz w:val="24"/>
          <w:szCs w:val="24"/>
        </w:rPr>
        <w:t xml:space="preserve">.  </w:t>
      </w:r>
    </w:p>
    <w:p w:rsidR="00006EFA" w:rsidRPr="00006EFA" w:rsidRDefault="00006EFA" w:rsidP="00006EFA">
      <w:pPr>
        <w:rPr>
          <w:rFonts w:ascii="Times New Roman" w:hAnsi="Times New Roman"/>
          <w:iCs/>
          <w:sz w:val="24"/>
          <w:szCs w:val="24"/>
        </w:rPr>
      </w:pPr>
    </w:p>
    <w:p w:rsidR="00006EFA" w:rsidRPr="00006EFA" w:rsidRDefault="00006EFA" w:rsidP="000D45B5">
      <w:pPr>
        <w:ind w:firstLine="720"/>
        <w:rPr>
          <w:rFonts w:ascii="Times New Roman" w:hAnsi="Times New Roman"/>
          <w:sz w:val="24"/>
          <w:szCs w:val="24"/>
        </w:rPr>
      </w:pPr>
      <w:r w:rsidRPr="00006EFA">
        <w:rPr>
          <w:rFonts w:ascii="Times New Roman" w:hAnsi="Times New Roman"/>
          <w:iCs/>
          <w:sz w:val="24"/>
          <w:szCs w:val="24"/>
        </w:rPr>
        <w:t xml:space="preserve">The DEA is requiring that collectors record certain information based on the particular ultimate user collection method utilized (i.e., </w:t>
      </w:r>
      <w:r w:rsidR="00150AA5">
        <w:rPr>
          <w:rFonts w:ascii="Times New Roman" w:hAnsi="Times New Roman"/>
          <w:iCs/>
          <w:sz w:val="24"/>
          <w:szCs w:val="24"/>
        </w:rPr>
        <w:t>mail-back</w:t>
      </w:r>
      <w:r w:rsidRPr="00006EFA">
        <w:rPr>
          <w:rFonts w:ascii="Times New Roman" w:hAnsi="Times New Roman"/>
          <w:iCs/>
          <w:sz w:val="24"/>
          <w:szCs w:val="24"/>
        </w:rPr>
        <w:t xml:space="preserve"> program or collection receptacle).  </w:t>
      </w:r>
      <w:r w:rsidRPr="00006EFA">
        <w:rPr>
          <w:rFonts w:ascii="Times New Roman" w:hAnsi="Times New Roman"/>
          <w:sz w:val="24"/>
          <w:szCs w:val="24"/>
        </w:rPr>
        <w:t xml:space="preserve">The inner liners and </w:t>
      </w:r>
      <w:r w:rsidR="00150AA5">
        <w:rPr>
          <w:rFonts w:ascii="Times New Roman" w:hAnsi="Times New Roman"/>
          <w:sz w:val="24"/>
          <w:szCs w:val="24"/>
        </w:rPr>
        <w:t>mail-back</w:t>
      </w:r>
      <w:r w:rsidRPr="00006EFA">
        <w:rPr>
          <w:rFonts w:ascii="Times New Roman" w:hAnsi="Times New Roman"/>
          <w:sz w:val="24"/>
          <w:szCs w:val="24"/>
        </w:rPr>
        <w:t xml:space="preserve"> packages that are utilized in the collection of ultimate user controlled substances are intended for the disposal of controlled substances.  As a result, the DEA is requiring that collectors make an inventory of all </w:t>
      </w:r>
      <w:r w:rsidR="00707863">
        <w:rPr>
          <w:rFonts w:ascii="Times New Roman" w:hAnsi="Times New Roman"/>
          <w:sz w:val="24"/>
          <w:szCs w:val="24"/>
        </w:rPr>
        <w:t xml:space="preserve">unused </w:t>
      </w:r>
      <w:r w:rsidRPr="00006EFA">
        <w:rPr>
          <w:rFonts w:ascii="Times New Roman" w:hAnsi="Times New Roman"/>
          <w:sz w:val="24"/>
          <w:szCs w:val="24"/>
        </w:rPr>
        <w:t>inner liners and packages and maintain records on the use of such liners and packages in order to properly account for the disposal of controlled substances in accordance with the CSA.</w:t>
      </w:r>
    </w:p>
    <w:p w:rsidR="00006EFA" w:rsidRPr="00006EFA" w:rsidRDefault="00006EFA" w:rsidP="00006EFA">
      <w:pPr>
        <w:rPr>
          <w:rFonts w:ascii="Times New Roman" w:hAnsi="Times New Roman"/>
          <w:sz w:val="24"/>
          <w:szCs w:val="24"/>
        </w:rPr>
      </w:pPr>
    </w:p>
    <w:p w:rsidR="00006EFA" w:rsidRPr="00006EFA" w:rsidRDefault="00006EFA" w:rsidP="000D45B5">
      <w:pPr>
        <w:ind w:firstLine="720"/>
        <w:rPr>
          <w:rFonts w:ascii="Times New Roman" w:hAnsi="Times New Roman"/>
          <w:iCs/>
          <w:sz w:val="24"/>
          <w:szCs w:val="24"/>
        </w:rPr>
      </w:pPr>
      <w:r w:rsidRPr="00006EFA">
        <w:rPr>
          <w:rFonts w:ascii="Times New Roman" w:hAnsi="Times New Roman"/>
          <w:iCs/>
          <w:sz w:val="24"/>
          <w:szCs w:val="24"/>
        </w:rPr>
        <w:t xml:space="preserve">Collectors that conduct a </w:t>
      </w:r>
      <w:r w:rsidR="00150AA5">
        <w:rPr>
          <w:rFonts w:ascii="Times New Roman" w:hAnsi="Times New Roman"/>
          <w:iCs/>
          <w:sz w:val="24"/>
          <w:szCs w:val="24"/>
        </w:rPr>
        <w:t>mail-back</w:t>
      </w:r>
      <w:r w:rsidRPr="00006EFA">
        <w:rPr>
          <w:rFonts w:ascii="Times New Roman" w:hAnsi="Times New Roman"/>
          <w:iCs/>
          <w:sz w:val="24"/>
          <w:szCs w:val="24"/>
        </w:rPr>
        <w:t xml:space="preserve"> program must </w:t>
      </w:r>
      <w:r w:rsidR="000F7E8B">
        <w:rPr>
          <w:rFonts w:ascii="Times New Roman" w:hAnsi="Times New Roman"/>
          <w:iCs/>
          <w:sz w:val="24"/>
          <w:szCs w:val="24"/>
        </w:rPr>
        <w:t>keep</w:t>
      </w:r>
      <w:r w:rsidRPr="00006EFA">
        <w:rPr>
          <w:rFonts w:ascii="Times New Roman" w:hAnsi="Times New Roman"/>
          <w:iCs/>
          <w:sz w:val="24"/>
          <w:szCs w:val="24"/>
        </w:rPr>
        <w:t xml:space="preserve"> an </w:t>
      </w:r>
      <w:r w:rsidR="004B2CB8">
        <w:rPr>
          <w:rFonts w:ascii="Times New Roman" w:hAnsi="Times New Roman"/>
          <w:iCs/>
          <w:sz w:val="24"/>
          <w:szCs w:val="24"/>
        </w:rPr>
        <w:t xml:space="preserve">initial and biennial </w:t>
      </w:r>
      <w:r w:rsidRPr="00006EFA">
        <w:rPr>
          <w:rFonts w:ascii="Times New Roman" w:hAnsi="Times New Roman"/>
          <w:iCs/>
          <w:sz w:val="24"/>
          <w:szCs w:val="24"/>
        </w:rPr>
        <w:t xml:space="preserve">inventory of the number of unused packages on hand that the collector </w:t>
      </w:r>
      <w:r w:rsidR="00A8518A">
        <w:rPr>
          <w:rFonts w:ascii="Times New Roman" w:hAnsi="Times New Roman"/>
          <w:iCs/>
          <w:sz w:val="24"/>
          <w:szCs w:val="24"/>
        </w:rPr>
        <w:t xml:space="preserve">intends to </w:t>
      </w:r>
      <w:r w:rsidRPr="00006EFA">
        <w:rPr>
          <w:rFonts w:ascii="Times New Roman" w:hAnsi="Times New Roman"/>
          <w:iCs/>
          <w:sz w:val="24"/>
          <w:szCs w:val="24"/>
        </w:rPr>
        <w:t xml:space="preserve">make available to ultimate users for disposal, the number of packages on hand that the collector has received for disposal, and the unique identification number of each package.  For continuing records, a collector that conducts a </w:t>
      </w:r>
      <w:r w:rsidR="00150AA5">
        <w:rPr>
          <w:rFonts w:ascii="Times New Roman" w:hAnsi="Times New Roman"/>
          <w:iCs/>
          <w:sz w:val="24"/>
          <w:szCs w:val="24"/>
        </w:rPr>
        <w:t>mail-back</w:t>
      </w:r>
      <w:r w:rsidRPr="00006EFA">
        <w:rPr>
          <w:rFonts w:ascii="Times New Roman" w:hAnsi="Times New Roman"/>
          <w:iCs/>
          <w:sz w:val="24"/>
          <w:szCs w:val="24"/>
        </w:rPr>
        <w:t xml:space="preserve"> program must keep a record of the receipt, storage, and destruction of each package.  Collectors that maintain a collection receptacle must maintain an </w:t>
      </w:r>
      <w:r w:rsidR="00A8518A">
        <w:rPr>
          <w:rFonts w:ascii="Times New Roman" w:hAnsi="Times New Roman"/>
          <w:iCs/>
          <w:sz w:val="24"/>
          <w:szCs w:val="24"/>
        </w:rPr>
        <w:t xml:space="preserve">initial and biennial </w:t>
      </w:r>
      <w:r w:rsidRPr="00006EFA">
        <w:rPr>
          <w:rFonts w:ascii="Times New Roman" w:hAnsi="Times New Roman"/>
          <w:iCs/>
          <w:sz w:val="24"/>
          <w:szCs w:val="24"/>
        </w:rPr>
        <w:t xml:space="preserve">inventory of the number of inner liners on hand.  For continuing records, a collector that maintains a collection receptacle must keep a record of the installation, removal, storage, transfer to a reverse distributor or distributor, and destruction of </w:t>
      </w:r>
      <w:r w:rsidR="00D429F5">
        <w:rPr>
          <w:rFonts w:ascii="Times New Roman" w:hAnsi="Times New Roman"/>
          <w:iCs/>
          <w:sz w:val="24"/>
          <w:szCs w:val="24"/>
        </w:rPr>
        <w:t>each</w:t>
      </w:r>
      <w:r w:rsidRPr="00006EFA">
        <w:rPr>
          <w:rFonts w:ascii="Times New Roman" w:hAnsi="Times New Roman"/>
          <w:iCs/>
          <w:sz w:val="24"/>
          <w:szCs w:val="24"/>
        </w:rPr>
        <w:t xml:space="preserve"> </w:t>
      </w:r>
      <w:r w:rsidR="00D429F5">
        <w:rPr>
          <w:rFonts w:ascii="Times New Roman" w:hAnsi="Times New Roman"/>
          <w:iCs/>
          <w:sz w:val="24"/>
          <w:szCs w:val="24"/>
        </w:rPr>
        <w:t xml:space="preserve">sealed </w:t>
      </w:r>
      <w:r w:rsidRPr="00006EFA">
        <w:rPr>
          <w:rFonts w:ascii="Times New Roman" w:hAnsi="Times New Roman"/>
          <w:iCs/>
          <w:sz w:val="24"/>
          <w:szCs w:val="24"/>
        </w:rPr>
        <w:t xml:space="preserve">inner liner.  </w:t>
      </w:r>
    </w:p>
    <w:p w:rsidR="00006EFA" w:rsidRPr="00006EFA" w:rsidRDefault="00006EFA" w:rsidP="00006EFA">
      <w:pPr>
        <w:rPr>
          <w:rFonts w:ascii="Times New Roman" w:hAnsi="Times New Roman"/>
          <w:iCs/>
          <w:sz w:val="24"/>
          <w:szCs w:val="24"/>
        </w:rPr>
      </w:pPr>
    </w:p>
    <w:p w:rsidR="00006EFA" w:rsidRPr="00006EFA" w:rsidRDefault="000D45B5" w:rsidP="000D45B5">
      <w:pPr>
        <w:ind w:firstLine="720"/>
        <w:rPr>
          <w:rFonts w:ascii="Times New Roman" w:hAnsi="Times New Roman"/>
          <w:iCs/>
          <w:sz w:val="24"/>
          <w:szCs w:val="24"/>
        </w:rPr>
      </w:pPr>
      <w:r>
        <w:rPr>
          <w:rFonts w:ascii="Times New Roman" w:hAnsi="Times New Roman"/>
          <w:iCs/>
          <w:sz w:val="24"/>
          <w:szCs w:val="24"/>
        </w:rPr>
        <w:t>Mail-</w:t>
      </w:r>
      <w:r w:rsidR="00006EFA" w:rsidRPr="00006EFA">
        <w:rPr>
          <w:rFonts w:ascii="Times New Roman" w:hAnsi="Times New Roman"/>
          <w:iCs/>
          <w:sz w:val="24"/>
          <w:szCs w:val="24"/>
        </w:rPr>
        <w:t xml:space="preserve">back programs and collection receptacles are new activities and new recordkeeping requirements are necessary so that the DEA </w:t>
      </w:r>
      <w:r w:rsidR="007119C0">
        <w:rPr>
          <w:rFonts w:ascii="Times New Roman" w:hAnsi="Times New Roman"/>
          <w:iCs/>
          <w:sz w:val="24"/>
          <w:szCs w:val="24"/>
        </w:rPr>
        <w:t xml:space="preserve">and registrants </w:t>
      </w:r>
      <w:r w:rsidR="00006EFA" w:rsidRPr="00006EFA">
        <w:rPr>
          <w:rFonts w:ascii="Times New Roman" w:hAnsi="Times New Roman"/>
          <w:iCs/>
          <w:sz w:val="24"/>
          <w:szCs w:val="24"/>
        </w:rPr>
        <w:t>can account for registrant-coordinated disposal of ultimate user controlled substances</w:t>
      </w:r>
      <w:r w:rsidR="007119C0">
        <w:rPr>
          <w:rFonts w:ascii="Times New Roman" w:hAnsi="Times New Roman"/>
          <w:iCs/>
          <w:sz w:val="24"/>
          <w:szCs w:val="24"/>
        </w:rPr>
        <w:t>,</w:t>
      </w:r>
      <w:r w:rsidR="00006EFA" w:rsidRPr="00006EFA">
        <w:rPr>
          <w:rFonts w:ascii="Times New Roman" w:hAnsi="Times New Roman"/>
          <w:iCs/>
          <w:sz w:val="24"/>
          <w:szCs w:val="24"/>
        </w:rPr>
        <w:t xml:space="preserve"> and </w:t>
      </w:r>
      <w:r w:rsidR="007119C0">
        <w:rPr>
          <w:rFonts w:ascii="Times New Roman" w:hAnsi="Times New Roman"/>
          <w:iCs/>
          <w:sz w:val="24"/>
          <w:szCs w:val="24"/>
        </w:rPr>
        <w:t xml:space="preserve">to </w:t>
      </w:r>
      <w:r w:rsidR="00D87533">
        <w:rPr>
          <w:rFonts w:ascii="Times New Roman" w:hAnsi="Times New Roman"/>
          <w:iCs/>
          <w:sz w:val="24"/>
          <w:szCs w:val="24"/>
        </w:rPr>
        <w:t xml:space="preserve">help detect and deter </w:t>
      </w:r>
      <w:r w:rsidR="00006EFA" w:rsidRPr="00006EFA">
        <w:rPr>
          <w:rFonts w:ascii="Times New Roman" w:hAnsi="Times New Roman"/>
          <w:iCs/>
          <w:sz w:val="24"/>
          <w:szCs w:val="24"/>
        </w:rPr>
        <w:t xml:space="preserve">the diversion of controlled substances into the illicit market.  </w:t>
      </w:r>
    </w:p>
    <w:p w:rsidR="00006EFA" w:rsidRPr="00006EFA" w:rsidRDefault="00006EFA" w:rsidP="00006EFA">
      <w:pPr>
        <w:rPr>
          <w:rFonts w:ascii="Times New Roman" w:hAnsi="Times New Roman"/>
          <w:sz w:val="24"/>
          <w:szCs w:val="24"/>
        </w:rPr>
      </w:pPr>
    </w:p>
    <w:p w:rsidR="00006EFA" w:rsidRDefault="00006EFA" w:rsidP="00006EFA">
      <w:pPr>
        <w:numPr>
          <w:ilvl w:val="0"/>
          <w:numId w:val="37"/>
        </w:numPr>
        <w:rPr>
          <w:rFonts w:ascii="Times New Roman" w:hAnsi="Times New Roman"/>
          <w:i/>
          <w:sz w:val="24"/>
          <w:szCs w:val="24"/>
        </w:rPr>
      </w:pPr>
      <w:r w:rsidRPr="00006EFA">
        <w:rPr>
          <w:rFonts w:ascii="Times New Roman" w:hAnsi="Times New Roman"/>
          <w:i/>
          <w:sz w:val="24"/>
          <w:szCs w:val="24"/>
        </w:rPr>
        <w:t>Recordkeeping Requirements for Reverse Distributors that Acquire Collected Controlled Substances from Law Enforcement or Authorized Collectors, and Distributors that Acquire Collected Controlled Substances from Authorized Collectors</w:t>
      </w:r>
    </w:p>
    <w:p w:rsidR="00006EFA" w:rsidRPr="00006EFA" w:rsidRDefault="00006EFA" w:rsidP="006814E4">
      <w:pPr>
        <w:ind w:left="720"/>
        <w:rPr>
          <w:rFonts w:ascii="Times New Roman" w:hAnsi="Times New Roman"/>
          <w:i/>
          <w:sz w:val="24"/>
          <w:szCs w:val="24"/>
        </w:rPr>
      </w:pPr>
    </w:p>
    <w:p w:rsidR="00006EFA" w:rsidRPr="00006EFA" w:rsidRDefault="00006EFA" w:rsidP="000D45B5">
      <w:pPr>
        <w:ind w:firstLine="720"/>
        <w:rPr>
          <w:rFonts w:ascii="Times New Roman" w:hAnsi="Times New Roman"/>
          <w:sz w:val="24"/>
          <w:szCs w:val="24"/>
        </w:rPr>
      </w:pPr>
      <w:r w:rsidRPr="00006EFA">
        <w:rPr>
          <w:rFonts w:ascii="Times New Roman" w:hAnsi="Times New Roman"/>
          <w:sz w:val="24"/>
          <w:szCs w:val="24"/>
        </w:rPr>
        <w:t>The DEA is auth</w:t>
      </w:r>
      <w:r w:rsidR="007E2566">
        <w:rPr>
          <w:rFonts w:ascii="Times New Roman" w:hAnsi="Times New Roman"/>
          <w:sz w:val="24"/>
          <w:szCs w:val="24"/>
        </w:rPr>
        <w:t>orizing reverse distributors</w:t>
      </w:r>
      <w:r w:rsidRPr="00006EFA">
        <w:rPr>
          <w:rFonts w:ascii="Times New Roman" w:hAnsi="Times New Roman"/>
          <w:sz w:val="24"/>
          <w:szCs w:val="24"/>
        </w:rPr>
        <w:t xml:space="preserve"> to acquire controlled substances from law enforcement and authorized collectors that have acquired those substances from ultimate users and other non-registrants through one of the approved collection methods:  take back event, </w:t>
      </w:r>
      <w:r w:rsidR="00150AA5">
        <w:rPr>
          <w:rFonts w:ascii="Times New Roman" w:hAnsi="Times New Roman"/>
          <w:sz w:val="24"/>
          <w:szCs w:val="24"/>
        </w:rPr>
        <w:lastRenderedPageBreak/>
        <w:t>mail-back</w:t>
      </w:r>
      <w:r w:rsidRPr="00006EFA">
        <w:rPr>
          <w:rFonts w:ascii="Times New Roman" w:hAnsi="Times New Roman"/>
          <w:sz w:val="24"/>
          <w:szCs w:val="24"/>
        </w:rPr>
        <w:t xml:space="preserve"> program,</w:t>
      </w:r>
      <w:r w:rsidR="002806C1">
        <w:rPr>
          <w:rFonts w:ascii="Times New Roman" w:hAnsi="Times New Roman"/>
          <w:sz w:val="24"/>
          <w:szCs w:val="24"/>
        </w:rPr>
        <w:t xml:space="preserve"> or collection receptacle.  T</w:t>
      </w:r>
      <w:r w:rsidRPr="00006EFA">
        <w:rPr>
          <w:rFonts w:ascii="Times New Roman" w:hAnsi="Times New Roman"/>
          <w:sz w:val="24"/>
          <w:szCs w:val="24"/>
        </w:rPr>
        <w:t xml:space="preserve">he DEA is also authorizing distributors to acquire controlled substances from authorized collectors that have acquired those substances from ultimate users and other non-registrants through one of the above-listed collection methods.  The </w:t>
      </w:r>
      <w:r w:rsidRPr="00006EFA">
        <w:rPr>
          <w:rFonts w:ascii="Times New Roman" w:hAnsi="Times New Roman"/>
          <w:iCs/>
          <w:sz w:val="24"/>
          <w:szCs w:val="24"/>
        </w:rPr>
        <w:t xml:space="preserve">DEA is requiring these </w:t>
      </w:r>
      <w:r w:rsidRPr="00006EFA">
        <w:rPr>
          <w:rFonts w:ascii="Times New Roman" w:hAnsi="Times New Roman"/>
          <w:sz w:val="24"/>
          <w:szCs w:val="24"/>
        </w:rPr>
        <w:t xml:space="preserve">reverse distributors and distributors </w:t>
      </w:r>
      <w:r w:rsidRPr="00006EFA">
        <w:rPr>
          <w:rFonts w:ascii="Times New Roman" w:hAnsi="Times New Roman"/>
          <w:iCs/>
          <w:sz w:val="24"/>
          <w:szCs w:val="24"/>
        </w:rPr>
        <w:t xml:space="preserve">to maintain </w:t>
      </w:r>
      <w:r w:rsidRPr="00006EFA">
        <w:rPr>
          <w:rFonts w:ascii="Times New Roman" w:hAnsi="Times New Roman"/>
          <w:sz w:val="24"/>
          <w:szCs w:val="24"/>
        </w:rPr>
        <w:t>complete and accurate records of controlled substances received, delivered, or otherwise disposed of</w:t>
      </w:r>
      <w:r w:rsidRPr="00006EFA">
        <w:rPr>
          <w:rFonts w:ascii="Times New Roman" w:hAnsi="Times New Roman"/>
          <w:iCs/>
          <w:sz w:val="24"/>
          <w:szCs w:val="24"/>
        </w:rPr>
        <w:t>.</w:t>
      </w:r>
    </w:p>
    <w:p w:rsidR="005D177F" w:rsidRDefault="005D177F" w:rsidP="00CC4093">
      <w:pPr>
        <w:pStyle w:val="BodyTextIndent2"/>
        <w:spacing w:line="240" w:lineRule="auto"/>
        <w:ind w:firstLine="0"/>
        <w:rPr>
          <w:szCs w:val="24"/>
        </w:rPr>
      </w:pPr>
    </w:p>
    <w:p w:rsidR="0026551B" w:rsidRPr="00861E66" w:rsidRDefault="0026551B" w:rsidP="00CC4093">
      <w:pPr>
        <w:pStyle w:val="BodyTextIndent2"/>
        <w:spacing w:line="240" w:lineRule="auto"/>
        <w:ind w:firstLine="0"/>
        <w:rPr>
          <w:szCs w:val="24"/>
        </w:rPr>
      </w:pPr>
      <w:r w:rsidRPr="00861E66">
        <w:rPr>
          <w:szCs w:val="24"/>
        </w:rPr>
        <w:t xml:space="preserve">3. </w:t>
      </w:r>
      <w:r w:rsidR="00AC1DBA" w:rsidRPr="00861E66">
        <w:rPr>
          <w:szCs w:val="24"/>
        </w:rPr>
        <w:t xml:space="preserve"> </w:t>
      </w:r>
      <w:r w:rsidRPr="005D177F">
        <w:rPr>
          <w:szCs w:val="24"/>
          <w:u w:val="single"/>
        </w:rPr>
        <w:t>Use of Technology</w:t>
      </w:r>
    </w:p>
    <w:p w:rsidR="00CC4093" w:rsidRDefault="00CC4093" w:rsidP="00CC4093">
      <w:pPr>
        <w:pStyle w:val="BodyText"/>
        <w:spacing w:line="240" w:lineRule="auto"/>
        <w:rPr>
          <w:noProof/>
          <w:szCs w:val="24"/>
        </w:rPr>
      </w:pPr>
    </w:p>
    <w:p w:rsidR="008618F3" w:rsidRDefault="000D45B5" w:rsidP="00CC4093">
      <w:pPr>
        <w:tabs>
          <w:tab w:val="left" w:pos="720"/>
        </w:tabs>
        <w:rPr>
          <w:rFonts w:ascii="Times New Roman" w:hAnsi="Times New Roman"/>
          <w:sz w:val="24"/>
          <w:szCs w:val="24"/>
        </w:rPr>
      </w:pPr>
      <w:r>
        <w:rPr>
          <w:rFonts w:ascii="Times New Roman" w:hAnsi="Times New Roman"/>
          <w:sz w:val="24"/>
          <w:szCs w:val="24"/>
        </w:rPr>
        <w:tab/>
      </w:r>
      <w:r w:rsidR="0074611F">
        <w:rPr>
          <w:rFonts w:ascii="Times New Roman" w:hAnsi="Times New Roman"/>
          <w:sz w:val="24"/>
          <w:szCs w:val="24"/>
        </w:rPr>
        <w:t>Th</w:t>
      </w:r>
      <w:r w:rsidR="004C0E22">
        <w:rPr>
          <w:rFonts w:ascii="Times New Roman" w:hAnsi="Times New Roman"/>
          <w:sz w:val="24"/>
          <w:szCs w:val="24"/>
        </w:rPr>
        <w:t>ese</w:t>
      </w:r>
      <w:r w:rsidR="0074611F">
        <w:rPr>
          <w:rFonts w:ascii="Times New Roman" w:hAnsi="Times New Roman"/>
          <w:sz w:val="24"/>
          <w:szCs w:val="24"/>
        </w:rPr>
        <w:t xml:space="preserve"> requirement</w:t>
      </w:r>
      <w:r w:rsidR="004C0E22">
        <w:rPr>
          <w:rFonts w:ascii="Times New Roman" w:hAnsi="Times New Roman"/>
          <w:sz w:val="24"/>
          <w:szCs w:val="24"/>
        </w:rPr>
        <w:t>s</w:t>
      </w:r>
      <w:r w:rsidR="0074611F">
        <w:rPr>
          <w:rFonts w:ascii="Times New Roman" w:hAnsi="Times New Roman"/>
          <w:sz w:val="24"/>
          <w:szCs w:val="24"/>
        </w:rPr>
        <w:t xml:space="preserve"> do not involve reporting and, ther</w:t>
      </w:r>
      <w:r w:rsidR="007D0F1B">
        <w:rPr>
          <w:rFonts w:ascii="Times New Roman" w:hAnsi="Times New Roman"/>
          <w:sz w:val="24"/>
          <w:szCs w:val="24"/>
        </w:rPr>
        <w:t>e</w:t>
      </w:r>
      <w:r w:rsidR="0074611F">
        <w:rPr>
          <w:rFonts w:ascii="Times New Roman" w:hAnsi="Times New Roman"/>
          <w:sz w:val="24"/>
          <w:szCs w:val="24"/>
        </w:rPr>
        <w:t xml:space="preserve">fore, issues related to electronic submission are not applicable.  </w:t>
      </w:r>
      <w:r w:rsidR="005D177F">
        <w:rPr>
          <w:rFonts w:ascii="Times New Roman" w:hAnsi="Times New Roman"/>
          <w:sz w:val="24"/>
          <w:szCs w:val="24"/>
        </w:rPr>
        <w:t xml:space="preserve">The </w:t>
      </w:r>
      <w:r w:rsidR="0074611F">
        <w:rPr>
          <w:rFonts w:ascii="Times New Roman" w:hAnsi="Times New Roman"/>
          <w:sz w:val="24"/>
          <w:szCs w:val="24"/>
        </w:rPr>
        <w:t>DEA’s regulations allo</w:t>
      </w:r>
      <w:r w:rsidR="00773BC4">
        <w:rPr>
          <w:rFonts w:ascii="Times New Roman" w:hAnsi="Times New Roman"/>
          <w:sz w:val="24"/>
          <w:szCs w:val="24"/>
        </w:rPr>
        <w:t>w</w:t>
      </w:r>
      <w:r w:rsidR="00F8242C">
        <w:rPr>
          <w:rFonts w:ascii="Times New Roman" w:hAnsi="Times New Roman"/>
          <w:sz w:val="24"/>
          <w:szCs w:val="24"/>
        </w:rPr>
        <w:t xml:space="preserve"> </w:t>
      </w:r>
      <w:r w:rsidR="00EE15DA">
        <w:rPr>
          <w:rFonts w:ascii="Times New Roman" w:hAnsi="Times New Roman"/>
          <w:sz w:val="24"/>
          <w:szCs w:val="24"/>
        </w:rPr>
        <w:t>registrants</w:t>
      </w:r>
      <w:r w:rsidR="00773BC4">
        <w:rPr>
          <w:rFonts w:ascii="Times New Roman" w:hAnsi="Times New Roman"/>
          <w:sz w:val="24"/>
          <w:szCs w:val="24"/>
        </w:rPr>
        <w:t xml:space="preserve"> to maintain the</w:t>
      </w:r>
      <w:r w:rsidR="004C0E22">
        <w:rPr>
          <w:rFonts w:ascii="Times New Roman" w:hAnsi="Times New Roman"/>
          <w:sz w:val="24"/>
          <w:szCs w:val="24"/>
        </w:rPr>
        <w:t xml:space="preserve"> required</w:t>
      </w:r>
      <w:r w:rsidR="0074611F">
        <w:rPr>
          <w:rFonts w:ascii="Times New Roman" w:hAnsi="Times New Roman"/>
          <w:sz w:val="24"/>
          <w:szCs w:val="24"/>
        </w:rPr>
        <w:t xml:space="preserve"> records in any format they find appropriate, including electronically. </w:t>
      </w:r>
    </w:p>
    <w:p w:rsidR="008618F3" w:rsidRDefault="008618F3" w:rsidP="00CC4093">
      <w:pPr>
        <w:tabs>
          <w:tab w:val="left" w:pos="720"/>
        </w:tabs>
        <w:rPr>
          <w:rFonts w:ascii="Times New Roman" w:hAnsi="Times New Roman"/>
          <w:sz w:val="24"/>
          <w:szCs w:val="24"/>
        </w:rPr>
      </w:pPr>
    </w:p>
    <w:p w:rsidR="00F72D10" w:rsidRPr="00861E66" w:rsidRDefault="00F72D10" w:rsidP="00CC4093">
      <w:pPr>
        <w:tabs>
          <w:tab w:val="left" w:pos="720"/>
        </w:tabs>
        <w:rPr>
          <w:rFonts w:ascii="Times New Roman" w:hAnsi="Times New Roman"/>
          <w:sz w:val="24"/>
          <w:szCs w:val="24"/>
        </w:rPr>
      </w:pPr>
      <w:r w:rsidRPr="00861E66">
        <w:rPr>
          <w:rFonts w:ascii="Times New Roman" w:hAnsi="Times New Roman"/>
          <w:sz w:val="24"/>
          <w:szCs w:val="24"/>
        </w:rPr>
        <w:t xml:space="preserve">4.  </w:t>
      </w:r>
      <w:r w:rsidR="00AC1DBA" w:rsidRPr="005D177F">
        <w:rPr>
          <w:rFonts w:ascii="Times New Roman" w:hAnsi="Times New Roman"/>
          <w:sz w:val="24"/>
          <w:szCs w:val="24"/>
          <w:u w:val="single"/>
        </w:rPr>
        <w:t>E</w:t>
      </w:r>
      <w:r w:rsidRPr="005D177F">
        <w:rPr>
          <w:rFonts w:ascii="Times New Roman" w:hAnsi="Times New Roman"/>
          <w:sz w:val="24"/>
          <w:szCs w:val="24"/>
          <w:u w:val="single"/>
        </w:rPr>
        <w:t xml:space="preserve">fforts to </w:t>
      </w:r>
      <w:r w:rsidR="00AC1DBA" w:rsidRPr="005D177F">
        <w:rPr>
          <w:rFonts w:ascii="Times New Roman" w:hAnsi="Times New Roman"/>
          <w:sz w:val="24"/>
          <w:szCs w:val="24"/>
          <w:u w:val="single"/>
        </w:rPr>
        <w:t>I</w:t>
      </w:r>
      <w:r w:rsidRPr="005D177F">
        <w:rPr>
          <w:rFonts w:ascii="Times New Roman" w:hAnsi="Times New Roman"/>
          <w:sz w:val="24"/>
          <w:szCs w:val="24"/>
          <w:u w:val="single"/>
        </w:rPr>
        <w:t xml:space="preserve">dentify </w:t>
      </w:r>
      <w:r w:rsidR="00AC1DBA" w:rsidRPr="005D177F">
        <w:rPr>
          <w:rFonts w:ascii="Times New Roman" w:hAnsi="Times New Roman"/>
          <w:sz w:val="24"/>
          <w:szCs w:val="24"/>
          <w:u w:val="single"/>
        </w:rPr>
        <w:t>Duplication</w:t>
      </w:r>
    </w:p>
    <w:p w:rsidR="00CC4093" w:rsidRDefault="00CC4093" w:rsidP="00CC4093">
      <w:pPr>
        <w:rPr>
          <w:rFonts w:ascii="Times New Roman" w:hAnsi="Times New Roman"/>
          <w:noProof w:val="0"/>
          <w:sz w:val="24"/>
          <w:szCs w:val="24"/>
        </w:rPr>
      </w:pPr>
    </w:p>
    <w:p w:rsidR="005D177F" w:rsidRDefault="007E2566" w:rsidP="000D45B5">
      <w:pPr>
        <w:ind w:firstLine="720"/>
        <w:rPr>
          <w:rFonts w:ascii="Times New Roman" w:hAnsi="Times New Roman"/>
          <w:noProof w:val="0"/>
          <w:sz w:val="24"/>
          <w:szCs w:val="24"/>
        </w:rPr>
      </w:pPr>
      <w:r w:rsidRPr="007E2566">
        <w:rPr>
          <w:rFonts w:ascii="Times New Roman" w:hAnsi="Times New Roman"/>
          <w:sz w:val="24"/>
          <w:szCs w:val="24"/>
        </w:rPr>
        <w:t xml:space="preserve">The DEA made efforts to identify and prevent duplication of the collection of information.  </w:t>
      </w:r>
      <w:r w:rsidR="0074611F">
        <w:rPr>
          <w:rFonts w:ascii="Times New Roman" w:hAnsi="Times New Roman"/>
          <w:sz w:val="24"/>
          <w:szCs w:val="24"/>
        </w:rPr>
        <w:t xml:space="preserve">Although </w:t>
      </w:r>
      <w:r w:rsidR="005D177F">
        <w:rPr>
          <w:rFonts w:ascii="Times New Roman" w:hAnsi="Times New Roman"/>
          <w:sz w:val="24"/>
          <w:szCs w:val="24"/>
        </w:rPr>
        <w:t xml:space="preserve">the </w:t>
      </w:r>
      <w:r w:rsidR="0074611F">
        <w:rPr>
          <w:rFonts w:ascii="Times New Roman" w:hAnsi="Times New Roman"/>
          <w:sz w:val="24"/>
          <w:szCs w:val="24"/>
        </w:rPr>
        <w:t xml:space="preserve">DEA </w:t>
      </w:r>
      <w:r w:rsidR="004962E8">
        <w:rPr>
          <w:rFonts w:ascii="Times New Roman" w:hAnsi="Times New Roman"/>
          <w:sz w:val="24"/>
          <w:szCs w:val="24"/>
        </w:rPr>
        <w:t>specifies</w:t>
      </w:r>
      <w:r w:rsidR="0074611F">
        <w:rPr>
          <w:rFonts w:ascii="Times New Roman" w:hAnsi="Times New Roman"/>
          <w:sz w:val="24"/>
          <w:szCs w:val="24"/>
        </w:rPr>
        <w:t xml:space="preserve"> the data that must be </w:t>
      </w:r>
      <w:r w:rsidR="00882E00">
        <w:rPr>
          <w:rFonts w:ascii="Times New Roman" w:hAnsi="Times New Roman"/>
          <w:sz w:val="24"/>
          <w:szCs w:val="24"/>
        </w:rPr>
        <w:t xml:space="preserve">recorded and </w:t>
      </w:r>
      <w:r w:rsidR="0074611F">
        <w:rPr>
          <w:rFonts w:ascii="Times New Roman" w:hAnsi="Times New Roman"/>
          <w:sz w:val="24"/>
          <w:szCs w:val="24"/>
        </w:rPr>
        <w:t>maintained, it does not specify the forma</w:t>
      </w:r>
      <w:r w:rsidR="009F3141">
        <w:rPr>
          <w:rFonts w:ascii="Times New Roman" w:hAnsi="Times New Roman"/>
          <w:sz w:val="24"/>
          <w:szCs w:val="24"/>
        </w:rPr>
        <w:t xml:space="preserve">t.  </w:t>
      </w:r>
      <w:r w:rsidR="00EE15DA">
        <w:rPr>
          <w:rFonts w:ascii="Times New Roman" w:hAnsi="Times New Roman"/>
          <w:sz w:val="24"/>
          <w:szCs w:val="24"/>
        </w:rPr>
        <w:t xml:space="preserve">Registrants </w:t>
      </w:r>
      <w:r w:rsidR="009F3141">
        <w:rPr>
          <w:rFonts w:ascii="Times New Roman" w:hAnsi="Times New Roman"/>
          <w:sz w:val="24"/>
          <w:szCs w:val="24"/>
        </w:rPr>
        <w:t>may use existi</w:t>
      </w:r>
      <w:r w:rsidR="0074611F">
        <w:rPr>
          <w:rFonts w:ascii="Times New Roman" w:hAnsi="Times New Roman"/>
          <w:sz w:val="24"/>
          <w:szCs w:val="24"/>
        </w:rPr>
        <w:t>ng records to meet the requirem</w:t>
      </w:r>
      <w:r w:rsidR="007D0F1B">
        <w:rPr>
          <w:rFonts w:ascii="Times New Roman" w:hAnsi="Times New Roman"/>
          <w:sz w:val="24"/>
          <w:szCs w:val="24"/>
        </w:rPr>
        <w:t>en</w:t>
      </w:r>
      <w:r w:rsidR="0074611F">
        <w:rPr>
          <w:rFonts w:ascii="Times New Roman" w:hAnsi="Times New Roman"/>
          <w:sz w:val="24"/>
          <w:szCs w:val="24"/>
        </w:rPr>
        <w:t>t</w:t>
      </w:r>
      <w:r w:rsidR="00882E00">
        <w:rPr>
          <w:rFonts w:ascii="Times New Roman" w:hAnsi="Times New Roman"/>
          <w:sz w:val="24"/>
          <w:szCs w:val="24"/>
        </w:rPr>
        <w:t>s</w:t>
      </w:r>
      <w:r w:rsidR="0074611F">
        <w:rPr>
          <w:rFonts w:ascii="Times New Roman" w:hAnsi="Times New Roman"/>
          <w:sz w:val="24"/>
          <w:szCs w:val="24"/>
        </w:rPr>
        <w:t xml:space="preserve"> if those records include the data </w:t>
      </w:r>
      <w:r w:rsidR="007D0F1B">
        <w:rPr>
          <w:rFonts w:ascii="Times New Roman" w:hAnsi="Times New Roman"/>
          <w:sz w:val="24"/>
          <w:szCs w:val="24"/>
        </w:rPr>
        <w:t>that must be maintained</w:t>
      </w:r>
      <w:r w:rsidR="0074611F">
        <w:rPr>
          <w:rFonts w:ascii="Times New Roman" w:hAnsi="Times New Roman"/>
          <w:sz w:val="24"/>
          <w:szCs w:val="24"/>
        </w:rPr>
        <w:t xml:space="preserve">. </w:t>
      </w:r>
      <w:r w:rsidRPr="007E2566">
        <w:rPr>
          <w:rFonts w:ascii="Times New Roman" w:hAnsi="Times New Roman"/>
          <w:noProof w:val="0"/>
          <w:sz w:val="24"/>
          <w:szCs w:val="24"/>
        </w:rPr>
        <w:t xml:space="preserve">The DEA does not believe that there is a duplication of an existing collection of information.  </w:t>
      </w:r>
    </w:p>
    <w:p w:rsidR="007E2566" w:rsidRDefault="007E2566" w:rsidP="007E2566">
      <w:pPr>
        <w:rPr>
          <w:szCs w:val="24"/>
        </w:rPr>
      </w:pPr>
    </w:p>
    <w:p w:rsidR="00F72D10" w:rsidRPr="00861E66" w:rsidRDefault="00F72D10" w:rsidP="00CC4093">
      <w:pPr>
        <w:pStyle w:val="BodyText2"/>
        <w:tabs>
          <w:tab w:val="clear" w:pos="720"/>
          <w:tab w:val="clear" w:pos="1440"/>
        </w:tabs>
        <w:spacing w:line="240" w:lineRule="auto"/>
        <w:jc w:val="left"/>
        <w:rPr>
          <w:szCs w:val="24"/>
        </w:rPr>
      </w:pPr>
      <w:r w:rsidRPr="00861E66">
        <w:rPr>
          <w:szCs w:val="24"/>
        </w:rPr>
        <w:t xml:space="preserve">5.  </w:t>
      </w:r>
      <w:r w:rsidR="005D177F" w:rsidRPr="005D177F">
        <w:rPr>
          <w:szCs w:val="24"/>
          <w:u w:val="single"/>
        </w:rPr>
        <w:t>Impact on Small Businesses or Entities</w:t>
      </w:r>
    </w:p>
    <w:p w:rsidR="00CC4093" w:rsidRDefault="00CC4093" w:rsidP="00CC4093">
      <w:pPr>
        <w:rPr>
          <w:rFonts w:ascii="Times New Roman" w:hAnsi="Times New Roman"/>
          <w:noProof w:val="0"/>
          <w:sz w:val="24"/>
          <w:szCs w:val="24"/>
        </w:rPr>
      </w:pPr>
    </w:p>
    <w:p w:rsidR="00CC4093" w:rsidRDefault="007E2566" w:rsidP="000D45B5">
      <w:pPr>
        <w:pStyle w:val="BodyTextIndent3"/>
        <w:spacing w:line="240" w:lineRule="auto"/>
        <w:jc w:val="left"/>
        <w:rPr>
          <w:szCs w:val="24"/>
        </w:rPr>
      </w:pPr>
      <w:r w:rsidRPr="007E2566">
        <w:rPr>
          <w:noProof/>
          <w:szCs w:val="24"/>
        </w:rPr>
        <w:t xml:space="preserve">The DEA considered alternatives for this collection of information and evaluated the impact of </w:t>
      </w:r>
      <w:r w:rsidR="0082026D">
        <w:rPr>
          <w:noProof/>
          <w:szCs w:val="24"/>
        </w:rPr>
        <w:t xml:space="preserve">the </w:t>
      </w:r>
      <w:r w:rsidR="00092245">
        <w:rPr>
          <w:noProof/>
          <w:szCs w:val="24"/>
        </w:rPr>
        <w:t xml:space="preserve">Disposal of Controlled Substances </w:t>
      </w:r>
      <w:r w:rsidR="00952FAC">
        <w:rPr>
          <w:noProof/>
          <w:szCs w:val="24"/>
        </w:rPr>
        <w:t>final</w:t>
      </w:r>
      <w:r w:rsidRPr="007E2566">
        <w:rPr>
          <w:noProof/>
          <w:szCs w:val="24"/>
        </w:rPr>
        <w:t xml:space="preserve"> rule on small entities.  The DEA concluded that the </w:t>
      </w:r>
      <w:r w:rsidR="00092245">
        <w:rPr>
          <w:noProof/>
          <w:szCs w:val="24"/>
        </w:rPr>
        <w:t xml:space="preserve">final </w:t>
      </w:r>
      <w:r w:rsidRPr="007E2566">
        <w:rPr>
          <w:noProof/>
          <w:szCs w:val="24"/>
        </w:rPr>
        <w:t xml:space="preserve">rule will not have a significant economic impact on a substantial number of small entities.  For more </w:t>
      </w:r>
      <w:r w:rsidR="00167BA3">
        <w:rPr>
          <w:noProof/>
          <w:szCs w:val="24"/>
        </w:rPr>
        <w:t xml:space="preserve">detailed </w:t>
      </w:r>
      <w:r w:rsidRPr="007E2566">
        <w:rPr>
          <w:noProof/>
          <w:szCs w:val="24"/>
        </w:rPr>
        <w:t>information, see the DEA’s Regulatory Flexibility Act analysis included in the final rule.</w:t>
      </w:r>
    </w:p>
    <w:p w:rsidR="005D177F" w:rsidRDefault="005D177F" w:rsidP="00CC4093">
      <w:pPr>
        <w:pStyle w:val="BodyTextIndent3"/>
        <w:spacing w:line="240" w:lineRule="auto"/>
        <w:ind w:firstLine="0"/>
        <w:jc w:val="left"/>
        <w:rPr>
          <w:szCs w:val="24"/>
        </w:rPr>
      </w:pPr>
    </w:p>
    <w:p w:rsidR="00F72D10" w:rsidRPr="00861E66" w:rsidRDefault="00F72D10" w:rsidP="00CC4093">
      <w:pPr>
        <w:pStyle w:val="BodyTextIndent3"/>
        <w:spacing w:line="240" w:lineRule="auto"/>
        <w:ind w:firstLine="0"/>
        <w:jc w:val="left"/>
        <w:rPr>
          <w:szCs w:val="24"/>
        </w:rPr>
      </w:pPr>
      <w:r w:rsidRPr="00861E66">
        <w:rPr>
          <w:szCs w:val="24"/>
        </w:rPr>
        <w:t xml:space="preserve">6.  </w:t>
      </w:r>
      <w:r w:rsidR="00C36571" w:rsidRPr="005D177F">
        <w:rPr>
          <w:szCs w:val="24"/>
          <w:u w:val="single"/>
        </w:rPr>
        <w:t>Consequences of Less Frequent Collection</w:t>
      </w:r>
    </w:p>
    <w:p w:rsidR="00CC4093" w:rsidRDefault="00CC4093" w:rsidP="00CC4093">
      <w:pPr>
        <w:pStyle w:val="BodyTextIndent2"/>
        <w:spacing w:line="240" w:lineRule="auto"/>
        <w:ind w:firstLine="0"/>
        <w:rPr>
          <w:noProof/>
          <w:szCs w:val="24"/>
        </w:rPr>
      </w:pPr>
    </w:p>
    <w:p w:rsidR="00DA4F2D" w:rsidRDefault="007E2566" w:rsidP="000D45B5">
      <w:pPr>
        <w:ind w:firstLine="720"/>
        <w:rPr>
          <w:rFonts w:ascii="Times New Roman" w:hAnsi="Times New Roman"/>
          <w:sz w:val="24"/>
          <w:szCs w:val="24"/>
        </w:rPr>
      </w:pPr>
      <w:r w:rsidRPr="007D0F1B">
        <w:rPr>
          <w:rFonts w:ascii="Times New Roman" w:hAnsi="Times New Roman"/>
          <w:sz w:val="24"/>
          <w:szCs w:val="24"/>
        </w:rPr>
        <w:t>21 U.S.C. 827</w:t>
      </w:r>
      <w:r>
        <w:rPr>
          <w:rFonts w:ascii="Times New Roman" w:hAnsi="Times New Roman"/>
          <w:sz w:val="24"/>
          <w:szCs w:val="24"/>
        </w:rPr>
        <w:t>(b)</w:t>
      </w:r>
      <w:r w:rsidRPr="007D0F1B">
        <w:rPr>
          <w:rFonts w:ascii="Times New Roman" w:hAnsi="Times New Roman"/>
          <w:sz w:val="24"/>
          <w:szCs w:val="24"/>
        </w:rPr>
        <w:t xml:space="preserve"> requires that records be maintained for a period of</w:t>
      </w:r>
      <w:r>
        <w:rPr>
          <w:rFonts w:ascii="Times New Roman" w:hAnsi="Times New Roman"/>
          <w:sz w:val="24"/>
          <w:szCs w:val="24"/>
        </w:rPr>
        <w:t xml:space="preserve"> at least</w:t>
      </w:r>
      <w:r w:rsidRPr="007D0F1B">
        <w:rPr>
          <w:rFonts w:ascii="Times New Roman" w:hAnsi="Times New Roman"/>
          <w:sz w:val="24"/>
          <w:szCs w:val="24"/>
        </w:rPr>
        <w:t xml:space="preserve"> two years.  </w:t>
      </w:r>
      <w:r>
        <w:rPr>
          <w:rFonts w:ascii="Times New Roman" w:hAnsi="Times New Roman"/>
          <w:sz w:val="24"/>
          <w:szCs w:val="24"/>
        </w:rPr>
        <w:t xml:space="preserve">The </w:t>
      </w:r>
      <w:r w:rsidRPr="007D0F1B">
        <w:rPr>
          <w:rFonts w:ascii="Times New Roman" w:hAnsi="Times New Roman"/>
          <w:sz w:val="24"/>
          <w:szCs w:val="24"/>
        </w:rPr>
        <w:t>DEA does not have the authority to reduce the bur</w:t>
      </w:r>
      <w:r>
        <w:rPr>
          <w:rFonts w:ascii="Times New Roman" w:hAnsi="Times New Roman"/>
          <w:sz w:val="24"/>
          <w:szCs w:val="24"/>
        </w:rPr>
        <w:t xml:space="preserve">den or period of recordkeeping.  </w:t>
      </w:r>
      <w:r w:rsidR="00330236">
        <w:rPr>
          <w:rFonts w:ascii="Times New Roman" w:hAnsi="Times New Roman"/>
          <w:sz w:val="24"/>
          <w:szCs w:val="24"/>
        </w:rPr>
        <w:t xml:space="preserve">Failure to </w:t>
      </w:r>
      <w:r w:rsidRPr="007E2566">
        <w:rPr>
          <w:rFonts w:ascii="Times New Roman" w:hAnsi="Times New Roman"/>
          <w:sz w:val="24"/>
          <w:szCs w:val="24"/>
        </w:rPr>
        <w:t xml:space="preserve"> collect </w:t>
      </w:r>
      <w:r w:rsidR="00330236">
        <w:rPr>
          <w:rFonts w:ascii="Times New Roman" w:hAnsi="Times New Roman"/>
          <w:sz w:val="24"/>
          <w:szCs w:val="24"/>
        </w:rPr>
        <w:t>the</w:t>
      </w:r>
      <w:r w:rsidRPr="007E2566">
        <w:rPr>
          <w:rFonts w:ascii="Times New Roman" w:hAnsi="Times New Roman"/>
          <w:sz w:val="24"/>
          <w:szCs w:val="24"/>
        </w:rPr>
        <w:t xml:space="preserve"> information </w:t>
      </w:r>
      <w:r w:rsidR="00330236">
        <w:rPr>
          <w:rFonts w:ascii="Times New Roman" w:hAnsi="Times New Roman"/>
          <w:sz w:val="24"/>
          <w:szCs w:val="24"/>
        </w:rPr>
        <w:t xml:space="preserve">or to conduct the collection less frequently will </w:t>
      </w:r>
      <w:r w:rsidR="006F628D">
        <w:rPr>
          <w:rFonts w:ascii="Times New Roman" w:hAnsi="Times New Roman"/>
          <w:sz w:val="24"/>
          <w:szCs w:val="24"/>
        </w:rPr>
        <w:t>contravene the CSA</w:t>
      </w:r>
      <w:r w:rsidR="00817D95">
        <w:rPr>
          <w:rFonts w:ascii="Times New Roman" w:hAnsi="Times New Roman"/>
          <w:sz w:val="24"/>
          <w:szCs w:val="24"/>
        </w:rPr>
        <w:t>, reduce accountability,</w:t>
      </w:r>
      <w:r w:rsidR="006F628D">
        <w:rPr>
          <w:rFonts w:ascii="Times New Roman" w:hAnsi="Times New Roman"/>
          <w:sz w:val="24"/>
          <w:szCs w:val="24"/>
        </w:rPr>
        <w:t xml:space="preserve"> and </w:t>
      </w:r>
      <w:r w:rsidRPr="007E2566">
        <w:rPr>
          <w:rFonts w:ascii="Times New Roman" w:hAnsi="Times New Roman"/>
          <w:sz w:val="24"/>
          <w:szCs w:val="24"/>
        </w:rPr>
        <w:t>increase</w:t>
      </w:r>
      <w:r w:rsidR="006F628D">
        <w:rPr>
          <w:rFonts w:ascii="Times New Roman" w:hAnsi="Times New Roman"/>
          <w:sz w:val="24"/>
          <w:szCs w:val="24"/>
        </w:rPr>
        <w:t xml:space="preserve"> the</w:t>
      </w:r>
      <w:r w:rsidRPr="007E2566">
        <w:rPr>
          <w:rFonts w:ascii="Times New Roman" w:hAnsi="Times New Roman"/>
          <w:sz w:val="24"/>
          <w:szCs w:val="24"/>
        </w:rPr>
        <w:t xml:space="preserve"> risk</w:t>
      </w:r>
      <w:r w:rsidR="006F628D">
        <w:rPr>
          <w:rFonts w:ascii="Times New Roman" w:hAnsi="Times New Roman"/>
          <w:sz w:val="24"/>
          <w:szCs w:val="24"/>
        </w:rPr>
        <w:t>s</w:t>
      </w:r>
      <w:r w:rsidRPr="007E2566">
        <w:rPr>
          <w:rFonts w:ascii="Times New Roman" w:hAnsi="Times New Roman"/>
          <w:sz w:val="24"/>
          <w:szCs w:val="24"/>
        </w:rPr>
        <w:t xml:space="preserve"> of diversion.  The information collected </w:t>
      </w:r>
      <w:r>
        <w:rPr>
          <w:rFonts w:ascii="Times New Roman" w:hAnsi="Times New Roman"/>
          <w:sz w:val="24"/>
          <w:szCs w:val="24"/>
        </w:rPr>
        <w:t>in accordance with the Disposal Act</w:t>
      </w:r>
      <w:r w:rsidRPr="007E2566">
        <w:rPr>
          <w:rFonts w:ascii="Times New Roman" w:hAnsi="Times New Roman"/>
          <w:sz w:val="24"/>
          <w:szCs w:val="24"/>
        </w:rPr>
        <w:t xml:space="preserve"> is vital to the enforcement of the CSA, ensures accountability, and helps to deter and detect the diversion of controlled substances outside of legitimate channels into the illicit market.  Furthermore, the information collected, in accordance with the Disposal Act, helps to </w:t>
      </w:r>
      <w:r w:rsidR="006F628D">
        <w:rPr>
          <w:rFonts w:ascii="Times New Roman" w:hAnsi="Times New Roman"/>
          <w:sz w:val="24"/>
          <w:szCs w:val="24"/>
        </w:rPr>
        <w:t>deter and detect the diversion of</w:t>
      </w:r>
      <w:r w:rsidRPr="007E2566">
        <w:rPr>
          <w:rFonts w:ascii="Times New Roman" w:hAnsi="Times New Roman"/>
          <w:sz w:val="24"/>
          <w:szCs w:val="24"/>
        </w:rPr>
        <w:t xml:space="preserve"> controlled substances during the disposal process.  In implementing the Disposal Act, the DEA was required to </w:t>
      </w:r>
      <w:r w:rsidR="000E14A3">
        <w:rPr>
          <w:rFonts w:ascii="Times New Roman" w:hAnsi="Times New Roman"/>
          <w:sz w:val="24"/>
          <w:szCs w:val="24"/>
        </w:rPr>
        <w:t>promulgate</w:t>
      </w:r>
      <w:r w:rsidRPr="007E2566">
        <w:rPr>
          <w:rFonts w:ascii="Times New Roman" w:hAnsi="Times New Roman"/>
          <w:sz w:val="24"/>
          <w:szCs w:val="24"/>
        </w:rPr>
        <w:t xml:space="preserve"> disposal regulations that prevent the diversion of controlled substances.  21 U.S.C. 822(g)(1).  </w:t>
      </w:r>
    </w:p>
    <w:p w:rsidR="00A444DF" w:rsidRDefault="00A444DF" w:rsidP="00CC4093">
      <w:pPr>
        <w:pStyle w:val="BodyTextIndent2"/>
        <w:spacing w:line="240" w:lineRule="auto"/>
        <w:ind w:firstLine="0"/>
        <w:rPr>
          <w:szCs w:val="24"/>
        </w:rPr>
      </w:pPr>
    </w:p>
    <w:p w:rsidR="00C36571" w:rsidRPr="00861E66" w:rsidRDefault="00943B05" w:rsidP="00CC4093">
      <w:pPr>
        <w:pStyle w:val="BodyTextIndent2"/>
        <w:spacing w:line="240" w:lineRule="auto"/>
        <w:ind w:firstLine="0"/>
        <w:rPr>
          <w:szCs w:val="24"/>
        </w:rPr>
      </w:pPr>
      <w:r w:rsidRPr="00861E66">
        <w:rPr>
          <w:szCs w:val="24"/>
        </w:rPr>
        <w:t xml:space="preserve">7.  </w:t>
      </w:r>
      <w:r w:rsidR="00C36571" w:rsidRPr="005D177F">
        <w:rPr>
          <w:szCs w:val="24"/>
          <w:u w:val="single"/>
        </w:rPr>
        <w:t>Special Circumstances Influencing Collection</w:t>
      </w:r>
    </w:p>
    <w:p w:rsidR="00CC4093" w:rsidRDefault="00CC4093" w:rsidP="00CC4093">
      <w:pPr>
        <w:rPr>
          <w:rFonts w:ascii="Times New Roman" w:hAnsi="Times New Roman"/>
          <w:noProof w:val="0"/>
          <w:sz w:val="24"/>
          <w:szCs w:val="24"/>
        </w:rPr>
      </w:pPr>
    </w:p>
    <w:p w:rsidR="00DF16B1" w:rsidRPr="00DF16B1" w:rsidRDefault="00AC24D5" w:rsidP="000D45B5">
      <w:pPr>
        <w:ind w:firstLine="720"/>
        <w:rPr>
          <w:rFonts w:ascii="Times New Roman" w:hAnsi="Times New Roman"/>
          <w:sz w:val="24"/>
          <w:szCs w:val="24"/>
        </w:rPr>
      </w:pPr>
      <w:r w:rsidRPr="00AC24D5">
        <w:rPr>
          <w:rFonts w:ascii="Times New Roman" w:hAnsi="Times New Roman"/>
          <w:sz w:val="24"/>
          <w:szCs w:val="24"/>
        </w:rPr>
        <w:t>The DEA does not foresee any special circumstances that would cause an information collection to be conducted in a particular manner:</w:t>
      </w:r>
      <w:r w:rsidR="007E2566">
        <w:rPr>
          <w:rFonts w:ascii="Times New Roman" w:hAnsi="Times New Roman"/>
          <w:sz w:val="24"/>
          <w:szCs w:val="24"/>
        </w:rPr>
        <w:t xml:space="preserve"> e.g.,</w:t>
      </w:r>
      <w:r w:rsidRPr="00AC24D5">
        <w:rPr>
          <w:rFonts w:ascii="Times New Roman" w:hAnsi="Times New Roman"/>
          <w:sz w:val="24"/>
          <w:szCs w:val="24"/>
        </w:rPr>
        <w:t xml:space="preserve"> requiring respondents to report information to the agency more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w:t>
      </w:r>
      <w:r w:rsidR="00150AA5">
        <w:rPr>
          <w:rFonts w:ascii="Times New Roman" w:hAnsi="Times New Roman"/>
          <w:sz w:val="24"/>
          <w:szCs w:val="24"/>
        </w:rPr>
        <w:t xml:space="preserve"> to the extent permitted by law</w:t>
      </w:r>
      <w:r w:rsidR="001B3C18">
        <w:rPr>
          <w:rFonts w:ascii="Times New Roman" w:hAnsi="Times New Roman"/>
          <w:sz w:val="24"/>
          <w:szCs w:val="24"/>
        </w:rPr>
        <w:t xml:space="preserve">.  </w:t>
      </w:r>
    </w:p>
    <w:p w:rsidR="005D177F" w:rsidRDefault="005D177F" w:rsidP="00CC4093">
      <w:pPr>
        <w:rPr>
          <w:rFonts w:ascii="Times New Roman" w:hAnsi="Times New Roman"/>
          <w:noProof w:val="0"/>
          <w:sz w:val="24"/>
          <w:szCs w:val="24"/>
        </w:rPr>
      </w:pPr>
    </w:p>
    <w:p w:rsidR="000F64A0"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8.  </w:t>
      </w:r>
      <w:r w:rsidR="005D177F" w:rsidRPr="005D177F">
        <w:rPr>
          <w:rFonts w:ascii="Times New Roman" w:hAnsi="Times New Roman"/>
          <w:noProof w:val="0"/>
          <w:sz w:val="24"/>
          <w:szCs w:val="24"/>
          <w:u w:val="single"/>
        </w:rPr>
        <w:t xml:space="preserve">Consultation with </w:t>
      </w:r>
      <w:r w:rsidR="000D45B5">
        <w:rPr>
          <w:rFonts w:ascii="Times New Roman" w:hAnsi="Times New Roman"/>
          <w:noProof w:val="0"/>
          <w:sz w:val="24"/>
          <w:szCs w:val="24"/>
          <w:u w:val="single"/>
        </w:rPr>
        <w:t>P</w:t>
      </w:r>
      <w:r w:rsidR="005D177F" w:rsidRPr="005D177F">
        <w:rPr>
          <w:rFonts w:ascii="Times New Roman" w:hAnsi="Times New Roman"/>
          <w:noProof w:val="0"/>
          <w:sz w:val="24"/>
          <w:szCs w:val="24"/>
          <w:u w:val="single"/>
        </w:rPr>
        <w:t xml:space="preserve">ersons </w:t>
      </w:r>
      <w:proofErr w:type="gramStart"/>
      <w:r w:rsidR="000D45B5">
        <w:rPr>
          <w:rFonts w:ascii="Times New Roman" w:hAnsi="Times New Roman"/>
          <w:noProof w:val="0"/>
          <w:sz w:val="24"/>
          <w:szCs w:val="24"/>
          <w:u w:val="single"/>
        </w:rPr>
        <w:t>O</w:t>
      </w:r>
      <w:r w:rsidR="005D177F" w:rsidRPr="005D177F">
        <w:rPr>
          <w:rFonts w:ascii="Times New Roman" w:hAnsi="Times New Roman"/>
          <w:noProof w:val="0"/>
          <w:sz w:val="24"/>
          <w:szCs w:val="24"/>
          <w:u w:val="single"/>
        </w:rPr>
        <w:t>utside</w:t>
      </w:r>
      <w:proofErr w:type="gramEnd"/>
      <w:r w:rsidR="005D177F" w:rsidRPr="005D177F">
        <w:rPr>
          <w:rFonts w:ascii="Times New Roman" w:hAnsi="Times New Roman"/>
          <w:noProof w:val="0"/>
          <w:sz w:val="24"/>
          <w:szCs w:val="24"/>
          <w:u w:val="single"/>
        </w:rPr>
        <w:t xml:space="preserve"> the Agency</w:t>
      </w:r>
    </w:p>
    <w:p w:rsidR="00CC4093" w:rsidRDefault="00CC4093" w:rsidP="00CC4093">
      <w:pPr>
        <w:rPr>
          <w:rFonts w:ascii="Times New Roman" w:hAnsi="Times New Roman"/>
          <w:noProof w:val="0"/>
          <w:sz w:val="24"/>
          <w:szCs w:val="24"/>
        </w:rPr>
      </w:pPr>
    </w:p>
    <w:p w:rsidR="007E2566" w:rsidRPr="007E2566" w:rsidRDefault="007E2566" w:rsidP="000D45B5">
      <w:pPr>
        <w:ind w:firstLine="720"/>
        <w:rPr>
          <w:rFonts w:ascii="Times New Roman" w:hAnsi="Times New Roman"/>
          <w:sz w:val="24"/>
          <w:szCs w:val="24"/>
        </w:rPr>
      </w:pPr>
      <w:r w:rsidRPr="007E2566">
        <w:rPr>
          <w:rFonts w:ascii="Times New Roman" w:hAnsi="Times New Roman"/>
          <w:sz w:val="24"/>
          <w:szCs w:val="24"/>
        </w:rPr>
        <w:t xml:space="preserve">On January 19 and 20, 2011, the DEA held a public meeting to receive comments regarding the implementation of the Disposal Act (75 FR 80536, December 22, 2010).   This meeting allowed all interested persons – the general public, including ultimate users, pharmacies, law enforcement personnel, reverse distributors, and other third parties – to express their views regarding safe and effective methods of disposal of controlled substances consistent with the CSA.  Representatives of various industries as well as various </w:t>
      </w:r>
      <w:r w:rsidR="00150AA5">
        <w:rPr>
          <w:rFonts w:ascii="Times New Roman" w:hAnsi="Times New Roman"/>
          <w:sz w:val="24"/>
          <w:szCs w:val="24"/>
        </w:rPr>
        <w:t>F</w:t>
      </w:r>
      <w:r w:rsidRPr="007E2566">
        <w:rPr>
          <w:rFonts w:ascii="Times New Roman" w:hAnsi="Times New Roman"/>
          <w:sz w:val="24"/>
          <w:szCs w:val="24"/>
        </w:rPr>
        <w:t xml:space="preserve">ederal, </w:t>
      </w:r>
      <w:r w:rsidR="00150AA5">
        <w:rPr>
          <w:rFonts w:ascii="Times New Roman" w:hAnsi="Times New Roman"/>
          <w:sz w:val="24"/>
          <w:szCs w:val="24"/>
        </w:rPr>
        <w:t>S</w:t>
      </w:r>
      <w:r w:rsidRPr="007E2566">
        <w:rPr>
          <w:rFonts w:ascii="Times New Roman" w:hAnsi="Times New Roman"/>
          <w:sz w:val="24"/>
          <w:szCs w:val="24"/>
        </w:rPr>
        <w:t xml:space="preserve">tate, and local agencies spoke at the meeting and provided information and suggestions on the implementation of the Disposal Act.  The DEA met with other federal agencies, the Office of National Drug Control Policy, congressional staffs, and pharmacy and reverse distributor representatives to discuss and receive feedback on both the proposed rule and the final rule.  </w:t>
      </w:r>
    </w:p>
    <w:p w:rsidR="007E2566" w:rsidRPr="007E2566" w:rsidRDefault="007E2566" w:rsidP="007E2566">
      <w:pPr>
        <w:rPr>
          <w:rFonts w:ascii="Times New Roman" w:hAnsi="Times New Roman"/>
          <w:sz w:val="24"/>
          <w:szCs w:val="24"/>
        </w:rPr>
      </w:pPr>
    </w:p>
    <w:p w:rsidR="007E2566" w:rsidRDefault="007E2566" w:rsidP="000D45B5">
      <w:pPr>
        <w:ind w:firstLine="720"/>
        <w:rPr>
          <w:rFonts w:ascii="Times New Roman" w:hAnsi="Times New Roman"/>
          <w:sz w:val="24"/>
          <w:szCs w:val="24"/>
        </w:rPr>
      </w:pPr>
      <w:r w:rsidRPr="007E2566">
        <w:rPr>
          <w:rFonts w:ascii="Times New Roman" w:hAnsi="Times New Roman"/>
          <w:sz w:val="24"/>
          <w:szCs w:val="24"/>
        </w:rPr>
        <w:t xml:space="preserve">The Notice of Proposed Rulemaking on the Disposal of Controlled Substances (RIN 1117-AB18) was published in the Federal Register on December 21, 2012, with a request for public comment.  (77 FR 75784).  The comments the DEA received regarding </w:t>
      </w:r>
      <w:r w:rsidR="001D1D54">
        <w:rPr>
          <w:rFonts w:ascii="Times New Roman" w:hAnsi="Times New Roman"/>
          <w:sz w:val="24"/>
          <w:szCs w:val="24"/>
        </w:rPr>
        <w:t xml:space="preserve">recordkeeping requirements included questions about who the new recordkeeping requirements would apply to and the inventory requirements for inner liners and mail-back packages. </w:t>
      </w:r>
    </w:p>
    <w:p w:rsidR="007E2566" w:rsidRPr="007E2566" w:rsidRDefault="007E2566" w:rsidP="007E2566">
      <w:pPr>
        <w:rPr>
          <w:rFonts w:ascii="Times New Roman" w:hAnsi="Times New Roman"/>
          <w:sz w:val="24"/>
          <w:szCs w:val="24"/>
        </w:rPr>
      </w:pPr>
    </w:p>
    <w:p w:rsidR="00B67D15" w:rsidRPr="00E30DDA" w:rsidRDefault="007E2566" w:rsidP="000D45B5">
      <w:pPr>
        <w:ind w:firstLine="720"/>
        <w:rPr>
          <w:rFonts w:ascii="Times New Roman" w:hAnsi="Times New Roman"/>
          <w:noProof w:val="0"/>
          <w:sz w:val="24"/>
          <w:szCs w:val="24"/>
        </w:rPr>
      </w:pPr>
      <w:r w:rsidRPr="007E2566">
        <w:rPr>
          <w:rFonts w:ascii="Times New Roman" w:hAnsi="Times New Roman"/>
          <w:sz w:val="24"/>
          <w:szCs w:val="24"/>
        </w:rPr>
        <w:t>The DEA responded that the records that registrants are required to maintain pursuant to law are a vital component of the DEA’s enforcement and oversight responsibilities – such records ensure accountability and help to deter and detect diversion</w:t>
      </w:r>
      <w:r>
        <w:rPr>
          <w:rFonts w:ascii="Times New Roman" w:hAnsi="Times New Roman"/>
          <w:sz w:val="24"/>
          <w:szCs w:val="24"/>
        </w:rPr>
        <w:t>.</w:t>
      </w:r>
    </w:p>
    <w:p w:rsidR="005D177F" w:rsidRDefault="005D177F" w:rsidP="00CC4093">
      <w:pPr>
        <w:pStyle w:val="BodyTextIndent2"/>
        <w:spacing w:line="240" w:lineRule="auto"/>
        <w:ind w:firstLine="0"/>
        <w:rPr>
          <w:noProof/>
          <w:szCs w:val="24"/>
        </w:rPr>
      </w:pPr>
    </w:p>
    <w:p w:rsidR="000F64A0" w:rsidRPr="00861E66" w:rsidRDefault="00F72D10" w:rsidP="00CC4093">
      <w:pPr>
        <w:pStyle w:val="BodyTextIndent2"/>
        <w:spacing w:line="240" w:lineRule="auto"/>
        <w:ind w:firstLine="0"/>
        <w:rPr>
          <w:noProof/>
          <w:szCs w:val="24"/>
        </w:rPr>
      </w:pPr>
      <w:r w:rsidRPr="00861E66">
        <w:rPr>
          <w:noProof/>
          <w:szCs w:val="24"/>
        </w:rPr>
        <w:t xml:space="preserve">9.  </w:t>
      </w:r>
      <w:r w:rsidR="000F64A0" w:rsidRPr="005D177F">
        <w:rPr>
          <w:noProof/>
          <w:szCs w:val="24"/>
          <w:u w:val="single"/>
        </w:rPr>
        <w:t>Payment or Gift to Claimants</w:t>
      </w:r>
    </w:p>
    <w:p w:rsidR="00152183" w:rsidRDefault="00152183" w:rsidP="00CC4093">
      <w:pPr>
        <w:rPr>
          <w:rFonts w:ascii="Times New Roman" w:hAnsi="Times New Roman"/>
          <w:noProof w:val="0"/>
          <w:sz w:val="24"/>
          <w:szCs w:val="24"/>
        </w:rPr>
      </w:pPr>
    </w:p>
    <w:p w:rsidR="00F72D10" w:rsidRPr="00E30DDA" w:rsidRDefault="001B3C18" w:rsidP="000D45B5">
      <w:pPr>
        <w:ind w:firstLine="720"/>
        <w:rPr>
          <w:rFonts w:ascii="Times New Roman" w:hAnsi="Times New Roman"/>
          <w:noProof w:val="0"/>
          <w:sz w:val="24"/>
          <w:szCs w:val="24"/>
        </w:rPr>
      </w:pPr>
      <w:r>
        <w:rPr>
          <w:rFonts w:ascii="Times New Roman" w:hAnsi="Times New Roman"/>
          <w:noProof w:val="0"/>
          <w:sz w:val="24"/>
          <w:szCs w:val="24"/>
        </w:rPr>
        <w:t>This collection of information does not propose to provide any payment or gift to respondents.</w:t>
      </w:r>
    </w:p>
    <w:p w:rsidR="005D177F" w:rsidRDefault="005D177F" w:rsidP="00CC4093">
      <w:pPr>
        <w:pStyle w:val="BodyTextIndent2"/>
        <w:spacing w:line="240" w:lineRule="auto"/>
        <w:ind w:firstLine="0"/>
        <w:rPr>
          <w:szCs w:val="24"/>
        </w:rPr>
      </w:pPr>
    </w:p>
    <w:p w:rsidR="00A444DF" w:rsidRDefault="00A444DF" w:rsidP="00CC4093">
      <w:pPr>
        <w:pStyle w:val="BodyTextIndent2"/>
        <w:spacing w:line="240" w:lineRule="auto"/>
        <w:ind w:firstLine="0"/>
        <w:rPr>
          <w:szCs w:val="24"/>
        </w:rPr>
      </w:pPr>
    </w:p>
    <w:p w:rsidR="00A444DF" w:rsidRDefault="00A444DF" w:rsidP="00CC4093">
      <w:pPr>
        <w:pStyle w:val="BodyTextIndent2"/>
        <w:spacing w:line="240" w:lineRule="auto"/>
        <w:ind w:firstLine="0"/>
        <w:rPr>
          <w:szCs w:val="24"/>
        </w:rPr>
      </w:pPr>
    </w:p>
    <w:p w:rsidR="00A444DF" w:rsidRDefault="00A444DF" w:rsidP="00CC4093">
      <w:pPr>
        <w:pStyle w:val="BodyTextIndent2"/>
        <w:spacing w:line="240" w:lineRule="auto"/>
        <w:ind w:firstLine="0"/>
        <w:rPr>
          <w:szCs w:val="24"/>
        </w:rPr>
      </w:pPr>
    </w:p>
    <w:p w:rsidR="00F72D10" w:rsidRPr="00861E66" w:rsidRDefault="00F72D10" w:rsidP="00CC4093">
      <w:pPr>
        <w:pStyle w:val="BodyTextIndent2"/>
        <w:spacing w:line="240" w:lineRule="auto"/>
        <w:ind w:firstLine="0"/>
        <w:rPr>
          <w:szCs w:val="24"/>
        </w:rPr>
      </w:pPr>
      <w:r w:rsidRPr="00861E66">
        <w:rPr>
          <w:szCs w:val="24"/>
        </w:rPr>
        <w:t xml:space="preserve">10.  </w:t>
      </w:r>
      <w:r w:rsidR="005363DC" w:rsidRPr="005D177F">
        <w:rPr>
          <w:szCs w:val="24"/>
          <w:u w:val="single"/>
        </w:rPr>
        <w:t>A</w:t>
      </w:r>
      <w:r w:rsidRPr="005D177F">
        <w:rPr>
          <w:szCs w:val="24"/>
          <w:u w:val="single"/>
        </w:rPr>
        <w:t xml:space="preserve">ssurance of </w:t>
      </w:r>
      <w:r w:rsidR="005363DC" w:rsidRPr="005D177F">
        <w:rPr>
          <w:szCs w:val="24"/>
          <w:u w:val="single"/>
        </w:rPr>
        <w:t>C</w:t>
      </w:r>
      <w:r w:rsidRPr="005D177F">
        <w:rPr>
          <w:szCs w:val="24"/>
          <w:u w:val="single"/>
        </w:rPr>
        <w:t>onfidentiality</w:t>
      </w:r>
    </w:p>
    <w:p w:rsidR="005D177F" w:rsidRPr="005D177F" w:rsidRDefault="005D177F" w:rsidP="005D177F">
      <w:pPr>
        <w:rPr>
          <w:rFonts w:ascii="Times New Roman" w:hAnsi="Times New Roman"/>
          <w:sz w:val="24"/>
          <w:szCs w:val="24"/>
        </w:rPr>
      </w:pPr>
    </w:p>
    <w:p w:rsidR="00A35B05" w:rsidRDefault="000D45B5" w:rsidP="000D45B5">
      <w:pPr>
        <w:ind w:firstLine="720"/>
        <w:rPr>
          <w:rFonts w:ascii="Times New Roman" w:hAnsi="Times New Roman"/>
          <w:sz w:val="24"/>
          <w:szCs w:val="24"/>
        </w:rPr>
      </w:pPr>
      <w:r w:rsidRPr="000D45B5">
        <w:rPr>
          <w:rFonts w:ascii="Times New Roman" w:hAnsi="Times New Roman"/>
          <w:sz w:val="24"/>
          <w:szCs w:val="24"/>
        </w:rPr>
        <w:t xml:space="preserve">Information provided pursuant to the requirements of the disposal </w:t>
      </w:r>
      <w:r w:rsidR="000B6867">
        <w:rPr>
          <w:rFonts w:ascii="Times New Roman" w:hAnsi="Times New Roman"/>
          <w:sz w:val="24"/>
          <w:szCs w:val="24"/>
        </w:rPr>
        <w:t xml:space="preserve">final </w:t>
      </w:r>
      <w:r w:rsidRPr="000D45B5">
        <w:rPr>
          <w:rFonts w:ascii="Times New Roman" w:hAnsi="Times New Roman"/>
          <w:sz w:val="24"/>
          <w:szCs w:val="24"/>
        </w:rPr>
        <w:t xml:space="preserve">rule and to 21 U.S.C. 827(b)(3) may be considered confidential business information if marked as such in accordance with 28 CFR 16.8(c) and Exemption 4 of the Freedom of Information Act.  The information is protected by the DEA through secure storage, limited access, and federal regulatory and DEA procedures.  </w:t>
      </w:r>
    </w:p>
    <w:p w:rsidR="005D177F" w:rsidRDefault="005D177F" w:rsidP="005D177F">
      <w:pPr>
        <w:rPr>
          <w:rFonts w:ascii="Times New Roman" w:hAnsi="Times New Roman"/>
          <w:noProof w:val="0"/>
          <w:sz w:val="24"/>
          <w:szCs w:val="24"/>
        </w:rPr>
      </w:pPr>
    </w:p>
    <w:p w:rsidR="00DC706F" w:rsidRPr="00861E66" w:rsidRDefault="00F72D10" w:rsidP="00CC4093">
      <w:pPr>
        <w:rPr>
          <w:rFonts w:ascii="Times New Roman" w:hAnsi="Times New Roman"/>
          <w:noProof w:val="0"/>
          <w:sz w:val="24"/>
          <w:szCs w:val="24"/>
        </w:rPr>
      </w:pPr>
      <w:r w:rsidRPr="00861E66">
        <w:rPr>
          <w:rFonts w:ascii="Times New Roman" w:hAnsi="Times New Roman"/>
          <w:noProof w:val="0"/>
          <w:sz w:val="24"/>
          <w:szCs w:val="24"/>
        </w:rPr>
        <w:t xml:space="preserve">11.  </w:t>
      </w:r>
      <w:r w:rsidR="00DC706F" w:rsidRPr="005D177F">
        <w:rPr>
          <w:rFonts w:ascii="Times New Roman" w:hAnsi="Times New Roman"/>
          <w:noProof w:val="0"/>
          <w:sz w:val="24"/>
          <w:szCs w:val="24"/>
          <w:u w:val="single"/>
        </w:rPr>
        <w:t>Justification for Sensitive Questions</w:t>
      </w:r>
    </w:p>
    <w:p w:rsidR="00152183" w:rsidRDefault="00152183" w:rsidP="00CC4093">
      <w:pPr>
        <w:pStyle w:val="BodyText"/>
        <w:spacing w:line="240" w:lineRule="auto"/>
        <w:rPr>
          <w:szCs w:val="24"/>
        </w:rPr>
      </w:pPr>
    </w:p>
    <w:p w:rsidR="006476F0" w:rsidRDefault="005D177F" w:rsidP="000D45B5">
      <w:pPr>
        <w:pStyle w:val="BodyText"/>
        <w:spacing w:line="240" w:lineRule="auto"/>
        <w:ind w:firstLine="720"/>
        <w:rPr>
          <w:szCs w:val="24"/>
        </w:rPr>
      </w:pPr>
      <w:r>
        <w:t xml:space="preserve">This collection of information does not ask any questions of a sensitive nature.  </w:t>
      </w:r>
    </w:p>
    <w:p w:rsidR="006476F0" w:rsidRDefault="006476F0" w:rsidP="00CC4093">
      <w:pPr>
        <w:pStyle w:val="BodyText"/>
        <w:spacing w:line="240" w:lineRule="auto"/>
        <w:rPr>
          <w:szCs w:val="24"/>
        </w:rPr>
      </w:pPr>
    </w:p>
    <w:p w:rsidR="008D4FBD" w:rsidRPr="000B1620" w:rsidRDefault="008D4FBD" w:rsidP="00CC4093">
      <w:pPr>
        <w:pStyle w:val="BodyText"/>
        <w:spacing w:line="240" w:lineRule="auto"/>
        <w:rPr>
          <w:szCs w:val="24"/>
        </w:rPr>
      </w:pPr>
      <w:r w:rsidRPr="006814E4">
        <w:rPr>
          <w:szCs w:val="24"/>
        </w:rPr>
        <w:t xml:space="preserve">12.  </w:t>
      </w:r>
      <w:r w:rsidRPr="006814E4">
        <w:rPr>
          <w:szCs w:val="24"/>
          <w:u w:val="single"/>
        </w:rPr>
        <w:t>E</w:t>
      </w:r>
      <w:r w:rsidR="004338B6" w:rsidRPr="00AC24D5">
        <w:rPr>
          <w:szCs w:val="24"/>
          <w:u w:val="single"/>
        </w:rPr>
        <w:t xml:space="preserve">stimated </w:t>
      </w:r>
      <w:r w:rsidRPr="000B1620">
        <w:rPr>
          <w:szCs w:val="24"/>
          <w:u w:val="single"/>
        </w:rPr>
        <w:t>H</w:t>
      </w:r>
      <w:r w:rsidR="00F72D10" w:rsidRPr="000B1620">
        <w:rPr>
          <w:szCs w:val="24"/>
          <w:u w:val="single"/>
        </w:rPr>
        <w:t xml:space="preserve">our </w:t>
      </w:r>
      <w:r w:rsidRPr="000B1620">
        <w:rPr>
          <w:szCs w:val="24"/>
          <w:u w:val="single"/>
        </w:rPr>
        <w:t>B</w:t>
      </w:r>
      <w:r w:rsidR="00F72D10" w:rsidRPr="000B1620">
        <w:rPr>
          <w:szCs w:val="24"/>
          <w:u w:val="single"/>
        </w:rPr>
        <w:t>urden</w:t>
      </w:r>
    </w:p>
    <w:p w:rsidR="00557D1D" w:rsidRPr="00945503" w:rsidRDefault="00557D1D" w:rsidP="00CC4093">
      <w:pPr>
        <w:pStyle w:val="BodyText"/>
        <w:spacing w:line="240" w:lineRule="auto"/>
        <w:rPr>
          <w:szCs w:val="24"/>
        </w:rPr>
      </w:pPr>
    </w:p>
    <w:p w:rsidR="006476F0" w:rsidRPr="000D45B5" w:rsidRDefault="006476F0" w:rsidP="006476F0">
      <w:pPr>
        <w:pStyle w:val="BodyText"/>
        <w:numPr>
          <w:ilvl w:val="0"/>
          <w:numId w:val="35"/>
        </w:numPr>
        <w:spacing w:line="240" w:lineRule="auto"/>
        <w:rPr>
          <w:i/>
          <w:szCs w:val="24"/>
        </w:rPr>
      </w:pPr>
      <w:r w:rsidRPr="000D45B5">
        <w:rPr>
          <w:i/>
          <w:szCs w:val="24"/>
        </w:rPr>
        <w:t>Recordkeeping Requirements for Reverse Distributors</w:t>
      </w:r>
    </w:p>
    <w:p w:rsidR="006476F0" w:rsidRPr="000D45B5" w:rsidRDefault="006476F0" w:rsidP="006814E4">
      <w:pPr>
        <w:pStyle w:val="BodyText"/>
        <w:spacing w:line="240" w:lineRule="auto"/>
        <w:ind w:left="720"/>
        <w:rPr>
          <w:i/>
          <w:szCs w:val="24"/>
        </w:rPr>
      </w:pPr>
    </w:p>
    <w:p w:rsidR="006476F0" w:rsidRPr="000D45B5" w:rsidRDefault="006476F0" w:rsidP="000D45B5">
      <w:pPr>
        <w:pStyle w:val="BodyText"/>
        <w:spacing w:line="240" w:lineRule="auto"/>
        <w:ind w:firstLine="720"/>
        <w:rPr>
          <w:szCs w:val="24"/>
        </w:rPr>
      </w:pPr>
      <w:r w:rsidRPr="000D45B5">
        <w:rPr>
          <w:szCs w:val="24"/>
          <w:u w:val="single"/>
        </w:rPr>
        <w:t>Number of Respondents</w:t>
      </w:r>
      <w:r w:rsidRPr="000D45B5">
        <w:rPr>
          <w:szCs w:val="24"/>
        </w:rPr>
        <w:t>:  60</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Frequency of Response</w:t>
      </w:r>
      <w:r w:rsidRPr="000D45B5">
        <w:rPr>
          <w:szCs w:val="24"/>
        </w:rPr>
        <w:t xml:space="preserve">:  Varies.  </w:t>
      </w:r>
    </w:p>
    <w:p w:rsidR="006476F0" w:rsidRPr="000D45B5" w:rsidRDefault="006476F0" w:rsidP="006814E4">
      <w:pPr>
        <w:pStyle w:val="BodyText"/>
        <w:spacing w:line="240" w:lineRule="auto"/>
        <w:rPr>
          <w:szCs w:val="24"/>
        </w:rPr>
      </w:pPr>
      <w:r w:rsidRPr="000D45B5">
        <w:rPr>
          <w:szCs w:val="24"/>
        </w:rPr>
        <w:t xml:space="preserve">The DEA estimates that the frequency of response will vary because, in accordance with 21 U.S.C. 827 and 958, registrants make an initial and biennial inventory and maintain, on a current basis, a complete and accurate record of each controlled substance manufactured, received, sold, delivered, or otherwise disposed of.  The DEA also anticipates the frequency of responses to be increased by a combined </w:t>
      </w:r>
      <w:proofErr w:type="gramStart"/>
      <w:r w:rsidRPr="000D45B5">
        <w:rPr>
          <w:szCs w:val="24"/>
        </w:rPr>
        <w:t>total of 68</w:t>
      </w:r>
      <w:proofErr w:type="gramEnd"/>
      <w:r w:rsidRPr="000D45B5">
        <w:rPr>
          <w:szCs w:val="24"/>
        </w:rPr>
        <w:t xml:space="preserve"> due to the requirements in th</w:t>
      </w:r>
      <w:r w:rsidR="00C25E4D">
        <w:rPr>
          <w:szCs w:val="24"/>
        </w:rPr>
        <w:t>e Disposal of Controlled Substances</w:t>
      </w:r>
      <w:r w:rsidRPr="000D45B5">
        <w:rPr>
          <w:szCs w:val="24"/>
        </w:rPr>
        <w:t xml:space="preserve"> final rule. </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Annual Hour Burden</w:t>
      </w:r>
      <w:r w:rsidRPr="000D45B5">
        <w:rPr>
          <w:szCs w:val="24"/>
        </w:rPr>
        <w:t>:  34 hours</w:t>
      </w:r>
    </w:p>
    <w:p w:rsidR="006476F0" w:rsidRPr="000D45B5" w:rsidRDefault="006476F0" w:rsidP="006814E4">
      <w:pPr>
        <w:pStyle w:val="BodyText"/>
        <w:spacing w:line="240" w:lineRule="auto"/>
        <w:rPr>
          <w:szCs w:val="24"/>
        </w:rPr>
      </w:pPr>
      <w:r w:rsidRPr="000D45B5">
        <w:rPr>
          <w:szCs w:val="24"/>
        </w:rPr>
        <w:t xml:space="preserve">The annual hour burden </w:t>
      </w:r>
      <w:proofErr w:type="gramStart"/>
      <w:r w:rsidRPr="000D45B5">
        <w:rPr>
          <w:szCs w:val="24"/>
        </w:rPr>
        <w:t>is estimated</w:t>
      </w:r>
      <w:proofErr w:type="gramEnd"/>
      <w:r w:rsidRPr="000D45B5">
        <w:rPr>
          <w:szCs w:val="24"/>
        </w:rPr>
        <w:t xml:space="preserve"> to increase by 34 hours due to the requirements in th</w:t>
      </w:r>
      <w:r w:rsidR="00C25E4D">
        <w:rPr>
          <w:szCs w:val="24"/>
        </w:rPr>
        <w:t>e</w:t>
      </w:r>
      <w:r w:rsidRPr="000D45B5">
        <w:rPr>
          <w:szCs w:val="24"/>
        </w:rPr>
        <w:t xml:space="preserve"> final rule.  Under existing law, reverse distributors are required to maintain, for at least two years, inventory records and records of controlled substances received, delivered, destroyed, or returned to the manufacturer.</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 xml:space="preserve">Explanation of How the Burden was </w:t>
      </w:r>
      <w:proofErr w:type="gramStart"/>
      <w:r w:rsidRPr="000D45B5">
        <w:rPr>
          <w:szCs w:val="24"/>
          <w:u w:val="single"/>
        </w:rPr>
        <w:t>Estimated</w:t>
      </w:r>
      <w:proofErr w:type="gramEnd"/>
      <w:r w:rsidRPr="000D45B5">
        <w:rPr>
          <w:szCs w:val="24"/>
        </w:rPr>
        <w:t xml:space="preserve">:  </w:t>
      </w:r>
    </w:p>
    <w:p w:rsidR="006476F0" w:rsidRPr="000D45B5" w:rsidRDefault="006476F0" w:rsidP="006814E4">
      <w:pPr>
        <w:pStyle w:val="BodyText"/>
        <w:spacing w:line="240" w:lineRule="auto"/>
        <w:rPr>
          <w:szCs w:val="24"/>
        </w:rPr>
      </w:pPr>
      <w:r w:rsidRPr="000D45B5">
        <w:rPr>
          <w:szCs w:val="24"/>
        </w:rPr>
        <w:t xml:space="preserve">Reverse distributors should already maintain the types of records </w:t>
      </w:r>
      <w:r w:rsidR="00A25299">
        <w:rPr>
          <w:szCs w:val="24"/>
        </w:rPr>
        <w:t xml:space="preserve">required </w:t>
      </w:r>
      <w:r w:rsidRPr="000D45B5">
        <w:rPr>
          <w:szCs w:val="24"/>
        </w:rPr>
        <w:t>by th</w:t>
      </w:r>
      <w:r w:rsidR="00A25299">
        <w:rPr>
          <w:szCs w:val="24"/>
        </w:rPr>
        <w:t>e</w:t>
      </w:r>
      <w:r w:rsidRPr="000D45B5">
        <w:rPr>
          <w:szCs w:val="24"/>
        </w:rPr>
        <w:t xml:space="preserve"> </w:t>
      </w:r>
      <w:r w:rsidR="00A25299">
        <w:rPr>
          <w:szCs w:val="24"/>
        </w:rPr>
        <w:t xml:space="preserve">final </w:t>
      </w:r>
      <w:r w:rsidRPr="000D45B5">
        <w:rPr>
          <w:szCs w:val="24"/>
        </w:rPr>
        <w:t>rule pursuant to their responsibilities in 21 U.S.C. 827(a) and (b).  However, the final rule require</w:t>
      </w:r>
      <w:r w:rsidR="00047A78">
        <w:rPr>
          <w:szCs w:val="24"/>
        </w:rPr>
        <w:t>s</w:t>
      </w:r>
      <w:r w:rsidRPr="000D45B5">
        <w:rPr>
          <w:szCs w:val="24"/>
        </w:rPr>
        <w:t xml:space="preserve"> reverse distributors to destroy or cause destruction of collected controlled substances from other registrants within 30 calendar days of receipt or delivery.  Based on review of DEA records and reports, this requirement will result in a combined </w:t>
      </w:r>
      <w:proofErr w:type="gramStart"/>
      <w:r w:rsidRPr="000D45B5">
        <w:rPr>
          <w:szCs w:val="24"/>
        </w:rPr>
        <w:t>total of 68</w:t>
      </w:r>
      <w:proofErr w:type="gramEnd"/>
      <w:r w:rsidRPr="000D45B5">
        <w:rPr>
          <w:szCs w:val="24"/>
        </w:rPr>
        <w:t xml:space="preserve"> additional inf</w:t>
      </w:r>
      <w:r w:rsidR="00150AA5">
        <w:rPr>
          <w:szCs w:val="24"/>
        </w:rPr>
        <w:t xml:space="preserve">ormation collection events.  </w:t>
      </w:r>
      <w:r w:rsidRPr="000D45B5">
        <w:rPr>
          <w:szCs w:val="24"/>
        </w:rPr>
        <w:t>At an estimated 30 minutes, one-half hour, per information collection event, 68 additional information collection event</w:t>
      </w:r>
      <w:r w:rsidR="00150AA5">
        <w:rPr>
          <w:szCs w:val="24"/>
        </w:rPr>
        <w:t xml:space="preserve">s </w:t>
      </w:r>
      <w:proofErr w:type="gramStart"/>
      <w:r w:rsidR="00150AA5">
        <w:rPr>
          <w:szCs w:val="24"/>
        </w:rPr>
        <w:t>are</w:t>
      </w:r>
      <w:r w:rsidRPr="000D45B5">
        <w:rPr>
          <w:szCs w:val="24"/>
        </w:rPr>
        <w:t xml:space="preserve"> expected</w:t>
      </w:r>
      <w:proofErr w:type="gramEnd"/>
      <w:r w:rsidRPr="000D45B5">
        <w:rPr>
          <w:szCs w:val="24"/>
        </w:rPr>
        <w:t xml:space="preserve"> to result in 34 hours of additional burden.</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Annualized Cost to Respondents</w:t>
      </w:r>
      <w:r w:rsidRPr="000D45B5">
        <w:rPr>
          <w:szCs w:val="24"/>
        </w:rPr>
        <w:t>:  $719</w:t>
      </w:r>
    </w:p>
    <w:p w:rsidR="006476F0" w:rsidRPr="000D45B5" w:rsidRDefault="006476F0" w:rsidP="006814E4">
      <w:pPr>
        <w:pStyle w:val="BodyText"/>
        <w:spacing w:line="240" w:lineRule="auto"/>
        <w:rPr>
          <w:szCs w:val="24"/>
        </w:rPr>
      </w:pPr>
      <w:r w:rsidRPr="000D45B5">
        <w:rPr>
          <w:szCs w:val="24"/>
        </w:rPr>
        <w:t>The DEA used the median hourly wage of $15.97 for 53-0000 Transportation and Material Moving Occupations in the Warehousing and Storage Industry from the Bureau of Labor Statistics May 2012 Occupational Employment and Wages data and applied a 32.5% load for taxes and benefits for a labor unit cost of $21.16</w:t>
      </w:r>
      <w:r w:rsidR="00E96BA7">
        <w:rPr>
          <w:szCs w:val="24"/>
        </w:rPr>
        <w:t>.</w:t>
      </w:r>
    </w:p>
    <w:p w:rsidR="006476F0" w:rsidRPr="000D45B5" w:rsidRDefault="006476F0" w:rsidP="006814E4">
      <w:pPr>
        <w:pStyle w:val="BodyText"/>
        <w:spacing w:line="240" w:lineRule="auto"/>
        <w:rPr>
          <w:szCs w:val="24"/>
        </w:rPr>
      </w:pPr>
    </w:p>
    <w:p w:rsidR="006476F0" w:rsidRPr="000D45B5" w:rsidRDefault="006476F0" w:rsidP="006476F0">
      <w:pPr>
        <w:pStyle w:val="BodyText"/>
        <w:numPr>
          <w:ilvl w:val="0"/>
          <w:numId w:val="35"/>
        </w:numPr>
        <w:spacing w:line="240" w:lineRule="auto"/>
        <w:rPr>
          <w:i/>
          <w:szCs w:val="24"/>
        </w:rPr>
      </w:pPr>
      <w:r w:rsidRPr="000D45B5">
        <w:rPr>
          <w:i/>
          <w:szCs w:val="24"/>
        </w:rPr>
        <w:t>Recordkeeping for Registrants that Receive and Distribute Controlled Substances for Return or Recall</w:t>
      </w:r>
    </w:p>
    <w:p w:rsidR="006476F0" w:rsidRPr="000D45B5" w:rsidRDefault="006476F0" w:rsidP="006814E4">
      <w:pPr>
        <w:pStyle w:val="BodyText"/>
        <w:spacing w:line="240" w:lineRule="auto"/>
        <w:rPr>
          <w:i/>
          <w:szCs w:val="24"/>
        </w:rPr>
      </w:pPr>
    </w:p>
    <w:p w:rsidR="006476F0" w:rsidRPr="000D45B5" w:rsidRDefault="006476F0" w:rsidP="000D45B5">
      <w:pPr>
        <w:pStyle w:val="BodyText"/>
        <w:spacing w:line="240" w:lineRule="auto"/>
        <w:ind w:firstLine="720"/>
        <w:rPr>
          <w:szCs w:val="24"/>
        </w:rPr>
      </w:pPr>
      <w:r w:rsidRPr="000D45B5">
        <w:rPr>
          <w:szCs w:val="24"/>
          <w:u w:val="single"/>
        </w:rPr>
        <w:t>Number of Respondents</w:t>
      </w:r>
      <w:r w:rsidRPr="000D45B5">
        <w:rPr>
          <w:szCs w:val="24"/>
        </w:rPr>
        <w:t>:  1,511,389 (All registrants may distribute controlled substances</w:t>
      </w:r>
      <w:r w:rsidR="00E96BA7">
        <w:rPr>
          <w:szCs w:val="24"/>
        </w:rPr>
        <w:t xml:space="preserve"> to the manufacturer or </w:t>
      </w:r>
      <w:proofErr w:type="gramStart"/>
      <w:r w:rsidR="00E96BA7">
        <w:rPr>
          <w:szCs w:val="24"/>
        </w:rPr>
        <w:t>manufacturer’s</w:t>
      </w:r>
      <w:proofErr w:type="gramEnd"/>
      <w:r w:rsidR="00E96BA7">
        <w:rPr>
          <w:szCs w:val="24"/>
        </w:rPr>
        <w:t xml:space="preserve"> authorized agent</w:t>
      </w:r>
      <w:r w:rsidRPr="000D45B5">
        <w:rPr>
          <w:szCs w:val="24"/>
        </w:rPr>
        <w:t xml:space="preserve"> for return or recall).</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Frequency of Response</w:t>
      </w:r>
      <w:r w:rsidRPr="000D45B5">
        <w:rPr>
          <w:szCs w:val="24"/>
        </w:rPr>
        <w:t>:  Varies.</w:t>
      </w:r>
    </w:p>
    <w:p w:rsidR="006476F0" w:rsidRPr="000D45B5" w:rsidRDefault="006476F0" w:rsidP="006814E4">
      <w:pPr>
        <w:pStyle w:val="BodyText"/>
        <w:spacing w:line="240" w:lineRule="auto"/>
        <w:rPr>
          <w:szCs w:val="24"/>
        </w:rPr>
      </w:pPr>
      <w:r w:rsidRPr="000D45B5">
        <w:rPr>
          <w:szCs w:val="24"/>
        </w:rPr>
        <w:t xml:space="preserve">The DEA estimates that the frequency of response will vary because, in accordance with 21 U.S.C. 827(a), registrants maintain, on a current basis, a complete and accurate record of each controlled substance manufactured, received, sold, delivered, or otherwise disposed of.  The frequency of distribution and receipt of controlled substances for the purpose of return and recall is unknown.  The DEA also anticipates that the frequency of response </w:t>
      </w:r>
      <w:proofErr w:type="gramStart"/>
      <w:r w:rsidRPr="000D45B5">
        <w:rPr>
          <w:szCs w:val="24"/>
        </w:rPr>
        <w:t>will not be increased</w:t>
      </w:r>
      <w:proofErr w:type="gramEnd"/>
      <w:r w:rsidRPr="000D45B5">
        <w:rPr>
          <w:szCs w:val="24"/>
        </w:rPr>
        <w:t xml:space="preserve"> by the requirements in th</w:t>
      </w:r>
      <w:r w:rsidR="00581E09">
        <w:rPr>
          <w:szCs w:val="24"/>
        </w:rPr>
        <w:t>e</w:t>
      </w:r>
      <w:r w:rsidRPr="000D45B5">
        <w:rPr>
          <w:szCs w:val="24"/>
        </w:rPr>
        <w:t xml:space="preserve"> final rule</w:t>
      </w:r>
      <w:r w:rsidR="00BF3EF2">
        <w:rPr>
          <w:szCs w:val="24"/>
        </w:rPr>
        <w:t xml:space="preserve"> because the final rule does not alter any of the existing recordkeeping requirements</w:t>
      </w:r>
      <w:r w:rsidR="007D10E1">
        <w:rPr>
          <w:szCs w:val="24"/>
        </w:rPr>
        <w:t xml:space="preserve"> with respect to return and recall</w:t>
      </w:r>
      <w:r w:rsidR="00BF3EF2">
        <w:rPr>
          <w:szCs w:val="24"/>
        </w:rPr>
        <w:t xml:space="preserve">; the final rule </w:t>
      </w:r>
      <w:r w:rsidR="00B407DA">
        <w:rPr>
          <w:szCs w:val="24"/>
        </w:rPr>
        <w:t>simp</w:t>
      </w:r>
      <w:r w:rsidR="00BF3EF2">
        <w:rPr>
          <w:szCs w:val="24"/>
        </w:rPr>
        <w:t>ly reorganizes the existing recordkeeping requirements with respect to return and recall</w:t>
      </w:r>
      <w:r w:rsidRPr="000D45B5">
        <w:rPr>
          <w:szCs w:val="24"/>
        </w:rPr>
        <w:t xml:space="preserve">. </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Annual Hour Burden</w:t>
      </w:r>
      <w:r w:rsidRPr="000D45B5">
        <w:rPr>
          <w:szCs w:val="24"/>
        </w:rPr>
        <w:t xml:space="preserve">:  </w:t>
      </w:r>
      <w:proofErr w:type="gramStart"/>
      <w:r w:rsidRPr="000D45B5">
        <w:rPr>
          <w:szCs w:val="24"/>
        </w:rPr>
        <w:t>0</w:t>
      </w:r>
      <w:proofErr w:type="gramEnd"/>
    </w:p>
    <w:p w:rsidR="006476F0" w:rsidRPr="000D45B5" w:rsidRDefault="006476F0" w:rsidP="006814E4">
      <w:pPr>
        <w:pStyle w:val="BodyText"/>
        <w:spacing w:line="240" w:lineRule="auto"/>
        <w:rPr>
          <w:szCs w:val="24"/>
        </w:rPr>
      </w:pPr>
      <w:r w:rsidRPr="000D45B5">
        <w:rPr>
          <w:szCs w:val="24"/>
        </w:rPr>
        <w:t xml:space="preserve">Because the DEA is </w:t>
      </w:r>
      <w:r w:rsidR="000037D0">
        <w:rPr>
          <w:szCs w:val="24"/>
        </w:rPr>
        <w:t xml:space="preserve">continuing to </w:t>
      </w:r>
      <w:r w:rsidRPr="000D45B5">
        <w:rPr>
          <w:szCs w:val="24"/>
        </w:rPr>
        <w:t>requir</w:t>
      </w:r>
      <w:r w:rsidR="000037D0">
        <w:rPr>
          <w:szCs w:val="24"/>
        </w:rPr>
        <w:t>e</w:t>
      </w:r>
      <w:r w:rsidRPr="000D45B5">
        <w:rPr>
          <w:szCs w:val="24"/>
        </w:rPr>
        <w:t xml:space="preserve"> recordkeeping that </w:t>
      </w:r>
      <w:r w:rsidR="00E346FF">
        <w:rPr>
          <w:szCs w:val="24"/>
        </w:rPr>
        <w:t>registrants</w:t>
      </w:r>
      <w:r w:rsidRPr="000D45B5">
        <w:rPr>
          <w:szCs w:val="24"/>
        </w:rPr>
        <w:t xml:space="preserve"> already maintain in accordance with 21 U.S.C. 827(a) and (b), the DEA anticipates that the annual hour burden </w:t>
      </w:r>
      <w:proofErr w:type="gramStart"/>
      <w:r w:rsidRPr="000D45B5">
        <w:rPr>
          <w:szCs w:val="24"/>
        </w:rPr>
        <w:t>will not be increased</w:t>
      </w:r>
      <w:proofErr w:type="gramEnd"/>
      <w:r w:rsidRPr="000D45B5">
        <w:rPr>
          <w:szCs w:val="24"/>
        </w:rPr>
        <w:t xml:space="preserve"> by the final rule.</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 xml:space="preserve">Explanation of How the Burden was </w:t>
      </w:r>
      <w:proofErr w:type="gramStart"/>
      <w:r w:rsidRPr="000D45B5">
        <w:rPr>
          <w:szCs w:val="24"/>
          <w:u w:val="single"/>
        </w:rPr>
        <w:t>Estimated</w:t>
      </w:r>
      <w:proofErr w:type="gramEnd"/>
      <w:r w:rsidRPr="000D45B5">
        <w:rPr>
          <w:szCs w:val="24"/>
        </w:rPr>
        <w:t xml:space="preserve">:  </w:t>
      </w:r>
    </w:p>
    <w:p w:rsidR="006476F0" w:rsidRPr="000D45B5" w:rsidRDefault="006476F0" w:rsidP="006814E4">
      <w:pPr>
        <w:pStyle w:val="BodyText"/>
        <w:spacing w:line="240" w:lineRule="auto"/>
        <w:rPr>
          <w:szCs w:val="24"/>
        </w:rPr>
      </w:pPr>
      <w:r w:rsidRPr="000D45B5">
        <w:rPr>
          <w:szCs w:val="24"/>
        </w:rPr>
        <w:t xml:space="preserve">Registrants currently maintain detailed records of </w:t>
      </w:r>
      <w:r w:rsidR="00EB5A7C">
        <w:rPr>
          <w:szCs w:val="24"/>
        </w:rPr>
        <w:t xml:space="preserve">return and recall </w:t>
      </w:r>
      <w:r w:rsidRPr="000D45B5">
        <w:rPr>
          <w:szCs w:val="24"/>
        </w:rPr>
        <w:t xml:space="preserve">transactions </w:t>
      </w:r>
      <w:r w:rsidR="007767E8">
        <w:rPr>
          <w:szCs w:val="24"/>
        </w:rPr>
        <w:t xml:space="preserve">as required by the CSA and </w:t>
      </w:r>
      <w:r w:rsidRPr="000D45B5">
        <w:rPr>
          <w:szCs w:val="24"/>
        </w:rPr>
        <w:t xml:space="preserve">in the course of their normal business activities.  </w:t>
      </w:r>
      <w:r w:rsidR="00FF61A8">
        <w:rPr>
          <w:szCs w:val="24"/>
        </w:rPr>
        <w:t>Accordingly, t</w:t>
      </w:r>
      <w:r w:rsidRPr="000D45B5">
        <w:rPr>
          <w:szCs w:val="24"/>
        </w:rPr>
        <w:t>he requirements in th</w:t>
      </w:r>
      <w:r w:rsidR="00581E09">
        <w:rPr>
          <w:szCs w:val="24"/>
        </w:rPr>
        <w:t>e</w:t>
      </w:r>
      <w:r w:rsidRPr="000D45B5">
        <w:rPr>
          <w:szCs w:val="24"/>
        </w:rPr>
        <w:t xml:space="preserve"> final rule pose no increased burden to registrants.    </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Annualized Cost to Respondents</w:t>
      </w:r>
      <w:r w:rsidRPr="000D45B5">
        <w:rPr>
          <w:szCs w:val="24"/>
        </w:rPr>
        <w:t>:  $0</w:t>
      </w:r>
    </w:p>
    <w:p w:rsidR="006476F0" w:rsidRPr="000D45B5" w:rsidRDefault="006476F0" w:rsidP="006814E4">
      <w:pPr>
        <w:pStyle w:val="BodyText"/>
        <w:spacing w:line="240" w:lineRule="auto"/>
        <w:rPr>
          <w:szCs w:val="24"/>
        </w:rPr>
      </w:pPr>
      <w:r w:rsidRPr="000D45B5">
        <w:rPr>
          <w:szCs w:val="24"/>
        </w:rPr>
        <w:t xml:space="preserve">The annual hour burden </w:t>
      </w:r>
      <w:proofErr w:type="gramStart"/>
      <w:r w:rsidRPr="000D45B5">
        <w:rPr>
          <w:szCs w:val="24"/>
        </w:rPr>
        <w:t>will not be increased</w:t>
      </w:r>
      <w:proofErr w:type="gramEnd"/>
      <w:r w:rsidRPr="000D45B5">
        <w:rPr>
          <w:szCs w:val="24"/>
        </w:rPr>
        <w:t xml:space="preserve"> by the </w:t>
      </w:r>
      <w:r w:rsidR="00150AA5">
        <w:rPr>
          <w:szCs w:val="24"/>
        </w:rPr>
        <w:t>requirements in this final rule</w:t>
      </w:r>
      <w:r w:rsidRPr="000D45B5">
        <w:rPr>
          <w:szCs w:val="24"/>
        </w:rPr>
        <w:t xml:space="preserve"> as affected registrants </w:t>
      </w:r>
      <w:r w:rsidR="007767E8">
        <w:rPr>
          <w:szCs w:val="24"/>
        </w:rPr>
        <w:t>already</w:t>
      </w:r>
      <w:r w:rsidRPr="000D45B5">
        <w:rPr>
          <w:szCs w:val="24"/>
        </w:rPr>
        <w:t xml:space="preserve"> maintain records consistent with the requirements, and, therefore, the annualized cost to respondents will not increase.     </w:t>
      </w:r>
    </w:p>
    <w:p w:rsidR="006476F0" w:rsidRPr="000D45B5" w:rsidRDefault="006476F0" w:rsidP="006814E4">
      <w:pPr>
        <w:pStyle w:val="BodyText"/>
        <w:spacing w:line="240" w:lineRule="auto"/>
        <w:rPr>
          <w:szCs w:val="24"/>
        </w:rPr>
      </w:pPr>
    </w:p>
    <w:p w:rsidR="006476F0" w:rsidRPr="000D45B5" w:rsidRDefault="006476F0" w:rsidP="006476F0">
      <w:pPr>
        <w:pStyle w:val="BodyText"/>
        <w:numPr>
          <w:ilvl w:val="0"/>
          <w:numId w:val="35"/>
        </w:numPr>
        <w:spacing w:line="240" w:lineRule="auto"/>
        <w:rPr>
          <w:i/>
          <w:szCs w:val="24"/>
        </w:rPr>
      </w:pPr>
      <w:r w:rsidRPr="000D45B5">
        <w:rPr>
          <w:i/>
          <w:szCs w:val="24"/>
        </w:rPr>
        <w:t>Recordkeeping Requirements for DEA Registrants Authorized to Collect</w:t>
      </w:r>
    </w:p>
    <w:p w:rsidR="006476F0" w:rsidRPr="000D45B5" w:rsidRDefault="006476F0" w:rsidP="006814E4">
      <w:pPr>
        <w:pStyle w:val="BodyText"/>
        <w:spacing w:line="240" w:lineRule="auto"/>
        <w:ind w:left="720"/>
        <w:rPr>
          <w:i/>
          <w:szCs w:val="24"/>
        </w:rPr>
      </w:pPr>
    </w:p>
    <w:p w:rsidR="006476F0" w:rsidRPr="000D45B5" w:rsidRDefault="006476F0" w:rsidP="000D45B5">
      <w:pPr>
        <w:pStyle w:val="BodyText"/>
        <w:spacing w:line="240" w:lineRule="auto"/>
        <w:ind w:firstLine="720"/>
        <w:rPr>
          <w:szCs w:val="24"/>
        </w:rPr>
      </w:pPr>
      <w:proofErr w:type="gramStart"/>
      <w:r w:rsidRPr="000D45B5">
        <w:rPr>
          <w:szCs w:val="24"/>
          <w:u w:val="single"/>
        </w:rPr>
        <w:t>Number of Respondents</w:t>
      </w:r>
      <w:r w:rsidRPr="000D45B5">
        <w:rPr>
          <w:szCs w:val="24"/>
        </w:rPr>
        <w:t>:  54,457 (Manufacturers—107, Distributors—166, Reverse Distributors—10, Narcotic Treatment Programs—999, Hospitals/Clinics—2862, Retail Pharmacies—34,513, and an additional 15,800 hospitals/clinics and retail pharmacies operating collection receptacles at LTCFs).</w:t>
      </w:r>
      <w:proofErr w:type="gramEnd"/>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i/>
          <w:szCs w:val="24"/>
        </w:rPr>
      </w:pPr>
      <w:r w:rsidRPr="000D45B5">
        <w:rPr>
          <w:i/>
          <w:szCs w:val="24"/>
        </w:rPr>
        <w:t>Note:  The DEA estimates that the universe of potential participants to this information collection will be 87,736 respondents (Manufacturers—536, Distributors—829, Reverse Distributors—60, Narcotic Treatment Programs—1,332, Hospitals/Clinics—15,953, Retail Pharmacies—69,026).  However, the DEA estimates that the participants to this information collection will be 54,457 respondents.</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Frequency of Response</w:t>
      </w:r>
      <w:r w:rsidRPr="000D45B5">
        <w:rPr>
          <w:szCs w:val="24"/>
        </w:rPr>
        <w:t>:  Varies.</w:t>
      </w:r>
    </w:p>
    <w:p w:rsidR="006476F0" w:rsidRPr="000D45B5" w:rsidRDefault="006476F0" w:rsidP="006814E4">
      <w:pPr>
        <w:pStyle w:val="BodyText"/>
        <w:spacing w:line="240" w:lineRule="auto"/>
        <w:rPr>
          <w:szCs w:val="24"/>
        </w:rPr>
      </w:pPr>
      <w:r w:rsidRPr="000D45B5">
        <w:rPr>
          <w:szCs w:val="24"/>
        </w:rPr>
        <w:t xml:space="preserve">The DEA estimates that the frequency of response will vary </w:t>
      </w:r>
      <w:r w:rsidR="00170ED4">
        <w:rPr>
          <w:szCs w:val="24"/>
        </w:rPr>
        <w:t xml:space="preserve">because </w:t>
      </w:r>
      <w:r w:rsidRPr="000D45B5">
        <w:rPr>
          <w:szCs w:val="24"/>
        </w:rPr>
        <w:t xml:space="preserve">different </w:t>
      </w:r>
      <w:r w:rsidR="00170ED4">
        <w:rPr>
          <w:szCs w:val="24"/>
        </w:rPr>
        <w:t xml:space="preserve">collection </w:t>
      </w:r>
      <w:r w:rsidRPr="000D45B5">
        <w:rPr>
          <w:szCs w:val="24"/>
        </w:rPr>
        <w:t>activities require varying response frequencies</w:t>
      </w:r>
      <w:r w:rsidR="002228FB">
        <w:rPr>
          <w:szCs w:val="24"/>
        </w:rPr>
        <w:t>.  I</w:t>
      </w:r>
      <w:r w:rsidRPr="000D45B5">
        <w:rPr>
          <w:szCs w:val="24"/>
        </w:rPr>
        <w:t xml:space="preserve">n accordance with 21 U.S.C. 827(a), registrants make an initial and biennial inventory and maintain, on a current basis, a complete and accurate record of each controlled substance manufactured, received, sold, delivered, or otherwise disposed of.   The rule also requires initial one-time instruction development for mail-back program operators and signage for collection receptacle operators as well as information collection responses based on certain operational events, such as collection receptacle </w:t>
      </w:r>
      <w:r w:rsidR="00A448E2">
        <w:rPr>
          <w:szCs w:val="24"/>
        </w:rPr>
        <w:t xml:space="preserve">inner </w:t>
      </w:r>
      <w:r w:rsidRPr="000D45B5">
        <w:rPr>
          <w:szCs w:val="24"/>
        </w:rPr>
        <w:t xml:space="preserve">liner replacements.  While all respondents will have initial and biennial information collection events, the frequency of responses based on operational events </w:t>
      </w:r>
      <w:proofErr w:type="gramStart"/>
      <w:r w:rsidRPr="000D45B5">
        <w:rPr>
          <w:szCs w:val="24"/>
        </w:rPr>
        <w:t>is estimated</w:t>
      </w:r>
      <w:proofErr w:type="gramEnd"/>
      <w:r w:rsidRPr="000D45B5">
        <w:rPr>
          <w:szCs w:val="24"/>
        </w:rPr>
        <w:t xml:space="preserve"> to vary by business activity.</w:t>
      </w:r>
    </w:p>
    <w:p w:rsidR="006476F0" w:rsidRPr="000D45B5" w:rsidRDefault="006476F0" w:rsidP="006814E4">
      <w:pPr>
        <w:pStyle w:val="BodyText"/>
        <w:spacing w:line="240" w:lineRule="auto"/>
        <w:rPr>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260"/>
        <w:gridCol w:w="1800"/>
        <w:gridCol w:w="1530"/>
      </w:tblGrid>
      <w:tr w:rsidR="006476F0" w:rsidRPr="006814E4" w:rsidTr="00EE15DA">
        <w:trPr>
          <w:trHeight w:val="666"/>
        </w:trPr>
        <w:tc>
          <w:tcPr>
            <w:tcW w:w="4050" w:type="dxa"/>
            <w:shd w:val="clear" w:color="auto" w:fill="DBE5F1" w:themeFill="accent1" w:themeFillTint="33"/>
            <w:noWrap/>
            <w:vAlign w:val="bottom"/>
            <w:hideMark/>
          </w:tcPr>
          <w:p w:rsidR="006476F0" w:rsidRPr="000D45B5" w:rsidRDefault="006476F0" w:rsidP="006814E4">
            <w:pPr>
              <w:pStyle w:val="BodyText"/>
              <w:spacing w:line="240" w:lineRule="auto"/>
              <w:rPr>
                <w:szCs w:val="24"/>
              </w:rPr>
            </w:pPr>
            <w:r w:rsidRPr="000D45B5">
              <w:rPr>
                <w:szCs w:val="24"/>
              </w:rPr>
              <w:t>Business activity</w:t>
            </w:r>
          </w:p>
        </w:tc>
        <w:tc>
          <w:tcPr>
            <w:tcW w:w="1260" w:type="dxa"/>
            <w:shd w:val="clear" w:color="auto" w:fill="DBE5F1" w:themeFill="accent1" w:themeFillTint="33"/>
            <w:vAlign w:val="bottom"/>
          </w:tcPr>
          <w:p w:rsidR="006476F0" w:rsidRPr="000D45B5" w:rsidRDefault="006476F0" w:rsidP="00A444DF">
            <w:pPr>
              <w:pStyle w:val="BodyText"/>
              <w:spacing w:line="240" w:lineRule="auto"/>
              <w:jc w:val="center"/>
              <w:rPr>
                <w:szCs w:val="24"/>
              </w:rPr>
            </w:pPr>
            <w:r w:rsidRPr="000D45B5">
              <w:rPr>
                <w:szCs w:val="24"/>
              </w:rPr>
              <w:t>Initial response (non-recurring)</w:t>
            </w:r>
          </w:p>
        </w:tc>
        <w:tc>
          <w:tcPr>
            <w:tcW w:w="1800" w:type="dxa"/>
            <w:shd w:val="clear" w:color="auto" w:fill="DBE5F1" w:themeFill="accent1" w:themeFillTint="33"/>
            <w:vAlign w:val="bottom"/>
            <w:hideMark/>
          </w:tcPr>
          <w:p w:rsidR="006476F0" w:rsidRPr="000D45B5" w:rsidRDefault="006476F0" w:rsidP="00A444DF">
            <w:pPr>
              <w:pStyle w:val="BodyText"/>
              <w:spacing w:line="240" w:lineRule="auto"/>
              <w:jc w:val="center"/>
              <w:rPr>
                <w:szCs w:val="24"/>
              </w:rPr>
            </w:pPr>
            <w:r w:rsidRPr="000D45B5">
              <w:rPr>
                <w:szCs w:val="24"/>
              </w:rPr>
              <w:t>Event-driven response (responses per year)</w:t>
            </w:r>
          </w:p>
        </w:tc>
        <w:tc>
          <w:tcPr>
            <w:tcW w:w="1530" w:type="dxa"/>
            <w:shd w:val="clear" w:color="auto" w:fill="DBE5F1" w:themeFill="accent1" w:themeFillTint="33"/>
            <w:vAlign w:val="bottom"/>
          </w:tcPr>
          <w:p w:rsidR="006476F0" w:rsidRPr="000D45B5" w:rsidRDefault="006476F0" w:rsidP="00A444DF">
            <w:pPr>
              <w:pStyle w:val="BodyText"/>
              <w:spacing w:line="240" w:lineRule="auto"/>
              <w:jc w:val="center"/>
              <w:rPr>
                <w:szCs w:val="24"/>
              </w:rPr>
            </w:pPr>
            <w:r w:rsidRPr="000D45B5">
              <w:rPr>
                <w:szCs w:val="24"/>
              </w:rPr>
              <w:t>Biennial inventory (responses per 2 years)</w:t>
            </w:r>
          </w:p>
        </w:tc>
      </w:tr>
      <w:tr w:rsidR="006476F0" w:rsidRPr="006814E4" w:rsidTr="00EE15DA">
        <w:trPr>
          <w:trHeight w:val="313"/>
        </w:trPr>
        <w:tc>
          <w:tcPr>
            <w:tcW w:w="4050" w:type="dxa"/>
            <w:shd w:val="clear" w:color="auto" w:fill="auto"/>
            <w:noWrap/>
            <w:vAlign w:val="bottom"/>
            <w:hideMark/>
          </w:tcPr>
          <w:p w:rsidR="006476F0" w:rsidRPr="000D45B5" w:rsidRDefault="006476F0" w:rsidP="006814E4">
            <w:pPr>
              <w:pStyle w:val="BodyText"/>
              <w:spacing w:line="240" w:lineRule="auto"/>
              <w:rPr>
                <w:szCs w:val="24"/>
              </w:rPr>
            </w:pPr>
            <w:r w:rsidRPr="000D45B5">
              <w:rPr>
                <w:szCs w:val="24"/>
              </w:rPr>
              <w:t>Manufacturer (collection receptacle)</w:t>
            </w:r>
          </w:p>
        </w:tc>
        <w:tc>
          <w:tcPr>
            <w:tcW w:w="1260" w:type="dxa"/>
          </w:tcPr>
          <w:p w:rsidR="006476F0" w:rsidRPr="000D45B5" w:rsidRDefault="006476F0" w:rsidP="00A444DF">
            <w:pPr>
              <w:pStyle w:val="BodyText"/>
              <w:spacing w:line="240" w:lineRule="auto"/>
              <w:jc w:val="right"/>
              <w:rPr>
                <w:szCs w:val="24"/>
              </w:rPr>
            </w:pPr>
            <w:r w:rsidRPr="000D45B5">
              <w:rPr>
                <w:szCs w:val="24"/>
              </w:rPr>
              <w:t>1</w:t>
            </w:r>
          </w:p>
        </w:tc>
        <w:tc>
          <w:tcPr>
            <w:tcW w:w="1800" w:type="dxa"/>
            <w:shd w:val="clear" w:color="auto" w:fill="auto"/>
            <w:noWrap/>
            <w:hideMark/>
          </w:tcPr>
          <w:p w:rsidR="006476F0" w:rsidRPr="000D45B5" w:rsidRDefault="006476F0" w:rsidP="00A444DF">
            <w:pPr>
              <w:pStyle w:val="BodyText"/>
              <w:spacing w:line="240" w:lineRule="auto"/>
              <w:jc w:val="right"/>
              <w:rPr>
                <w:szCs w:val="24"/>
              </w:rPr>
            </w:pPr>
            <w:r w:rsidRPr="000D45B5">
              <w:rPr>
                <w:szCs w:val="24"/>
              </w:rPr>
              <w:t>12</w:t>
            </w:r>
          </w:p>
        </w:tc>
        <w:tc>
          <w:tcPr>
            <w:tcW w:w="1530" w:type="dxa"/>
          </w:tcPr>
          <w:p w:rsidR="006476F0" w:rsidRPr="000D45B5" w:rsidRDefault="006476F0" w:rsidP="00A444DF">
            <w:pPr>
              <w:pStyle w:val="BodyText"/>
              <w:spacing w:line="240" w:lineRule="auto"/>
              <w:jc w:val="right"/>
              <w:rPr>
                <w:szCs w:val="24"/>
              </w:rPr>
            </w:pPr>
            <w:r w:rsidRPr="000D45B5">
              <w:rPr>
                <w:szCs w:val="24"/>
              </w:rPr>
              <w:t>1</w:t>
            </w:r>
          </w:p>
        </w:tc>
      </w:tr>
      <w:tr w:rsidR="006476F0" w:rsidRPr="006814E4" w:rsidTr="00EE15DA">
        <w:trPr>
          <w:trHeight w:val="313"/>
        </w:trPr>
        <w:tc>
          <w:tcPr>
            <w:tcW w:w="4050" w:type="dxa"/>
            <w:shd w:val="clear" w:color="auto" w:fill="auto"/>
            <w:noWrap/>
            <w:vAlign w:val="bottom"/>
            <w:hideMark/>
          </w:tcPr>
          <w:p w:rsidR="006476F0" w:rsidRPr="000D45B5" w:rsidRDefault="006476F0" w:rsidP="006814E4">
            <w:pPr>
              <w:pStyle w:val="BodyText"/>
              <w:spacing w:line="240" w:lineRule="auto"/>
              <w:rPr>
                <w:szCs w:val="24"/>
              </w:rPr>
            </w:pPr>
            <w:r w:rsidRPr="000D45B5">
              <w:rPr>
                <w:szCs w:val="24"/>
              </w:rPr>
              <w:t>Distributor (collection receptacle)</w:t>
            </w:r>
          </w:p>
        </w:tc>
        <w:tc>
          <w:tcPr>
            <w:tcW w:w="1260" w:type="dxa"/>
          </w:tcPr>
          <w:p w:rsidR="006476F0" w:rsidRPr="000D45B5" w:rsidRDefault="006476F0" w:rsidP="00A444DF">
            <w:pPr>
              <w:pStyle w:val="BodyText"/>
              <w:spacing w:line="240" w:lineRule="auto"/>
              <w:jc w:val="right"/>
              <w:rPr>
                <w:szCs w:val="24"/>
              </w:rPr>
            </w:pPr>
            <w:r w:rsidRPr="000D45B5">
              <w:rPr>
                <w:szCs w:val="24"/>
              </w:rPr>
              <w:t>1</w:t>
            </w:r>
          </w:p>
        </w:tc>
        <w:tc>
          <w:tcPr>
            <w:tcW w:w="1800" w:type="dxa"/>
            <w:shd w:val="clear" w:color="auto" w:fill="auto"/>
            <w:noWrap/>
            <w:hideMark/>
          </w:tcPr>
          <w:p w:rsidR="006476F0" w:rsidRPr="000D45B5" w:rsidRDefault="006476F0" w:rsidP="00A444DF">
            <w:pPr>
              <w:pStyle w:val="BodyText"/>
              <w:spacing w:line="240" w:lineRule="auto"/>
              <w:jc w:val="right"/>
              <w:rPr>
                <w:szCs w:val="24"/>
              </w:rPr>
            </w:pPr>
            <w:r w:rsidRPr="000D45B5">
              <w:rPr>
                <w:szCs w:val="24"/>
              </w:rPr>
              <w:t>12</w:t>
            </w:r>
          </w:p>
        </w:tc>
        <w:tc>
          <w:tcPr>
            <w:tcW w:w="1530" w:type="dxa"/>
          </w:tcPr>
          <w:p w:rsidR="006476F0" w:rsidRPr="000D45B5" w:rsidRDefault="006476F0" w:rsidP="00A444DF">
            <w:pPr>
              <w:pStyle w:val="BodyText"/>
              <w:spacing w:line="240" w:lineRule="auto"/>
              <w:jc w:val="right"/>
              <w:rPr>
                <w:szCs w:val="24"/>
              </w:rPr>
            </w:pPr>
            <w:r w:rsidRPr="000D45B5">
              <w:rPr>
                <w:szCs w:val="24"/>
              </w:rPr>
              <w:t>1</w:t>
            </w:r>
          </w:p>
        </w:tc>
      </w:tr>
      <w:tr w:rsidR="006476F0" w:rsidRPr="006814E4" w:rsidTr="00EE15DA">
        <w:trPr>
          <w:trHeight w:val="313"/>
        </w:trPr>
        <w:tc>
          <w:tcPr>
            <w:tcW w:w="4050" w:type="dxa"/>
            <w:shd w:val="clear" w:color="auto" w:fill="auto"/>
            <w:noWrap/>
            <w:vAlign w:val="bottom"/>
            <w:hideMark/>
          </w:tcPr>
          <w:p w:rsidR="006476F0" w:rsidRPr="000D45B5" w:rsidRDefault="006476F0" w:rsidP="006814E4">
            <w:pPr>
              <w:pStyle w:val="BodyText"/>
              <w:spacing w:line="240" w:lineRule="auto"/>
              <w:rPr>
                <w:szCs w:val="24"/>
              </w:rPr>
            </w:pPr>
            <w:r w:rsidRPr="000D45B5">
              <w:rPr>
                <w:szCs w:val="24"/>
              </w:rPr>
              <w:t>Reverse Distributor</w:t>
            </w:r>
          </w:p>
        </w:tc>
        <w:tc>
          <w:tcPr>
            <w:tcW w:w="1260" w:type="dxa"/>
          </w:tcPr>
          <w:p w:rsidR="006476F0" w:rsidRPr="000D45B5" w:rsidRDefault="006476F0" w:rsidP="00A444DF">
            <w:pPr>
              <w:pStyle w:val="BodyText"/>
              <w:spacing w:line="240" w:lineRule="auto"/>
              <w:jc w:val="right"/>
              <w:rPr>
                <w:szCs w:val="24"/>
              </w:rPr>
            </w:pPr>
            <w:r w:rsidRPr="000D45B5">
              <w:rPr>
                <w:szCs w:val="24"/>
              </w:rPr>
              <w:t>1</w:t>
            </w:r>
          </w:p>
        </w:tc>
        <w:tc>
          <w:tcPr>
            <w:tcW w:w="1800" w:type="dxa"/>
            <w:shd w:val="clear" w:color="auto" w:fill="auto"/>
            <w:noWrap/>
            <w:hideMark/>
          </w:tcPr>
          <w:p w:rsidR="006476F0" w:rsidRPr="000D45B5" w:rsidRDefault="006476F0" w:rsidP="00A444DF">
            <w:pPr>
              <w:pStyle w:val="BodyText"/>
              <w:spacing w:line="240" w:lineRule="auto"/>
              <w:jc w:val="right"/>
              <w:rPr>
                <w:szCs w:val="24"/>
              </w:rPr>
            </w:pPr>
            <w:r w:rsidRPr="000D45B5">
              <w:rPr>
                <w:szCs w:val="24"/>
              </w:rPr>
              <w:t>100</w:t>
            </w:r>
          </w:p>
        </w:tc>
        <w:tc>
          <w:tcPr>
            <w:tcW w:w="1530" w:type="dxa"/>
          </w:tcPr>
          <w:p w:rsidR="006476F0" w:rsidRPr="000D45B5" w:rsidRDefault="006476F0" w:rsidP="00A444DF">
            <w:pPr>
              <w:pStyle w:val="BodyText"/>
              <w:spacing w:line="240" w:lineRule="auto"/>
              <w:jc w:val="right"/>
              <w:rPr>
                <w:szCs w:val="24"/>
              </w:rPr>
            </w:pPr>
            <w:r w:rsidRPr="000D45B5">
              <w:rPr>
                <w:szCs w:val="24"/>
              </w:rPr>
              <w:t>1</w:t>
            </w:r>
          </w:p>
        </w:tc>
      </w:tr>
      <w:tr w:rsidR="006476F0" w:rsidRPr="006814E4" w:rsidTr="00EE15DA">
        <w:trPr>
          <w:trHeight w:val="313"/>
        </w:trPr>
        <w:tc>
          <w:tcPr>
            <w:tcW w:w="4050" w:type="dxa"/>
            <w:shd w:val="clear" w:color="auto" w:fill="auto"/>
            <w:noWrap/>
            <w:vAlign w:val="bottom"/>
            <w:hideMark/>
          </w:tcPr>
          <w:p w:rsidR="006476F0" w:rsidRPr="000D45B5" w:rsidRDefault="006476F0" w:rsidP="006814E4">
            <w:pPr>
              <w:pStyle w:val="BodyText"/>
              <w:spacing w:line="240" w:lineRule="auto"/>
              <w:rPr>
                <w:szCs w:val="24"/>
              </w:rPr>
            </w:pPr>
            <w:r w:rsidRPr="000D45B5">
              <w:rPr>
                <w:szCs w:val="24"/>
              </w:rPr>
              <w:t>NTP (collection receptacle)</w:t>
            </w:r>
          </w:p>
        </w:tc>
        <w:tc>
          <w:tcPr>
            <w:tcW w:w="1260" w:type="dxa"/>
          </w:tcPr>
          <w:p w:rsidR="006476F0" w:rsidRPr="000D45B5" w:rsidRDefault="006476F0" w:rsidP="00A444DF">
            <w:pPr>
              <w:pStyle w:val="BodyText"/>
              <w:spacing w:line="240" w:lineRule="auto"/>
              <w:jc w:val="right"/>
              <w:rPr>
                <w:szCs w:val="24"/>
              </w:rPr>
            </w:pPr>
            <w:r w:rsidRPr="000D45B5">
              <w:rPr>
                <w:szCs w:val="24"/>
              </w:rPr>
              <w:t>1</w:t>
            </w:r>
          </w:p>
        </w:tc>
        <w:tc>
          <w:tcPr>
            <w:tcW w:w="1800" w:type="dxa"/>
            <w:shd w:val="clear" w:color="auto" w:fill="auto"/>
            <w:noWrap/>
            <w:hideMark/>
          </w:tcPr>
          <w:p w:rsidR="006476F0" w:rsidRPr="000D45B5" w:rsidRDefault="006476F0" w:rsidP="00A444DF">
            <w:pPr>
              <w:pStyle w:val="BodyText"/>
              <w:spacing w:line="240" w:lineRule="auto"/>
              <w:jc w:val="right"/>
              <w:rPr>
                <w:szCs w:val="24"/>
              </w:rPr>
            </w:pPr>
            <w:r w:rsidRPr="000D45B5">
              <w:rPr>
                <w:szCs w:val="24"/>
              </w:rPr>
              <w:t>24</w:t>
            </w:r>
          </w:p>
        </w:tc>
        <w:tc>
          <w:tcPr>
            <w:tcW w:w="1530" w:type="dxa"/>
          </w:tcPr>
          <w:p w:rsidR="006476F0" w:rsidRPr="000D45B5" w:rsidRDefault="006476F0" w:rsidP="00A444DF">
            <w:pPr>
              <w:pStyle w:val="BodyText"/>
              <w:spacing w:line="240" w:lineRule="auto"/>
              <w:jc w:val="right"/>
              <w:rPr>
                <w:szCs w:val="24"/>
              </w:rPr>
            </w:pPr>
            <w:r w:rsidRPr="000D45B5">
              <w:rPr>
                <w:szCs w:val="24"/>
              </w:rPr>
              <w:t>1</w:t>
            </w:r>
          </w:p>
        </w:tc>
      </w:tr>
      <w:tr w:rsidR="006476F0" w:rsidRPr="006814E4" w:rsidTr="00EE15DA">
        <w:trPr>
          <w:trHeight w:val="313"/>
        </w:trPr>
        <w:tc>
          <w:tcPr>
            <w:tcW w:w="4050" w:type="dxa"/>
            <w:shd w:val="clear" w:color="auto" w:fill="auto"/>
            <w:noWrap/>
            <w:vAlign w:val="bottom"/>
            <w:hideMark/>
          </w:tcPr>
          <w:p w:rsidR="006476F0" w:rsidRPr="000D45B5" w:rsidRDefault="006476F0" w:rsidP="006814E4">
            <w:pPr>
              <w:pStyle w:val="BodyText"/>
              <w:spacing w:line="240" w:lineRule="auto"/>
              <w:rPr>
                <w:szCs w:val="24"/>
              </w:rPr>
            </w:pPr>
            <w:r w:rsidRPr="000D45B5">
              <w:rPr>
                <w:szCs w:val="24"/>
              </w:rPr>
              <w:t>Hospital/Clinic (collection receptacle)</w:t>
            </w:r>
          </w:p>
        </w:tc>
        <w:tc>
          <w:tcPr>
            <w:tcW w:w="1260" w:type="dxa"/>
          </w:tcPr>
          <w:p w:rsidR="006476F0" w:rsidRPr="000D45B5" w:rsidRDefault="006476F0" w:rsidP="00A444DF">
            <w:pPr>
              <w:pStyle w:val="BodyText"/>
              <w:spacing w:line="240" w:lineRule="auto"/>
              <w:jc w:val="right"/>
              <w:rPr>
                <w:szCs w:val="24"/>
              </w:rPr>
            </w:pPr>
            <w:r w:rsidRPr="000D45B5">
              <w:rPr>
                <w:szCs w:val="24"/>
              </w:rPr>
              <w:t>1</w:t>
            </w:r>
          </w:p>
        </w:tc>
        <w:tc>
          <w:tcPr>
            <w:tcW w:w="1800" w:type="dxa"/>
            <w:shd w:val="clear" w:color="auto" w:fill="auto"/>
            <w:noWrap/>
            <w:hideMark/>
          </w:tcPr>
          <w:p w:rsidR="006476F0" w:rsidRPr="000D45B5" w:rsidRDefault="006476F0" w:rsidP="00A444DF">
            <w:pPr>
              <w:pStyle w:val="BodyText"/>
              <w:spacing w:line="240" w:lineRule="auto"/>
              <w:jc w:val="right"/>
              <w:rPr>
                <w:szCs w:val="24"/>
              </w:rPr>
            </w:pPr>
            <w:r w:rsidRPr="000D45B5">
              <w:rPr>
                <w:szCs w:val="24"/>
              </w:rPr>
              <w:t>26</w:t>
            </w:r>
          </w:p>
        </w:tc>
        <w:tc>
          <w:tcPr>
            <w:tcW w:w="1530" w:type="dxa"/>
          </w:tcPr>
          <w:p w:rsidR="006476F0" w:rsidRPr="000D45B5" w:rsidRDefault="006476F0" w:rsidP="00A444DF">
            <w:pPr>
              <w:pStyle w:val="BodyText"/>
              <w:spacing w:line="240" w:lineRule="auto"/>
              <w:jc w:val="right"/>
              <w:rPr>
                <w:szCs w:val="24"/>
              </w:rPr>
            </w:pPr>
            <w:r w:rsidRPr="000D45B5">
              <w:rPr>
                <w:szCs w:val="24"/>
              </w:rPr>
              <w:t>1</w:t>
            </w:r>
          </w:p>
        </w:tc>
      </w:tr>
      <w:tr w:rsidR="006476F0" w:rsidRPr="006814E4" w:rsidTr="00EE15DA">
        <w:trPr>
          <w:trHeight w:val="313"/>
        </w:trPr>
        <w:tc>
          <w:tcPr>
            <w:tcW w:w="4050" w:type="dxa"/>
            <w:shd w:val="clear" w:color="auto" w:fill="auto"/>
            <w:noWrap/>
            <w:vAlign w:val="bottom"/>
            <w:hideMark/>
          </w:tcPr>
          <w:p w:rsidR="006476F0" w:rsidRPr="000D45B5" w:rsidRDefault="006476F0" w:rsidP="006814E4">
            <w:pPr>
              <w:pStyle w:val="BodyText"/>
              <w:spacing w:line="240" w:lineRule="auto"/>
              <w:rPr>
                <w:szCs w:val="24"/>
              </w:rPr>
            </w:pPr>
            <w:r w:rsidRPr="000D45B5">
              <w:rPr>
                <w:szCs w:val="24"/>
              </w:rPr>
              <w:t>Pharmacy (collection receptacle)</w:t>
            </w:r>
          </w:p>
        </w:tc>
        <w:tc>
          <w:tcPr>
            <w:tcW w:w="1260" w:type="dxa"/>
          </w:tcPr>
          <w:p w:rsidR="006476F0" w:rsidRPr="000D45B5" w:rsidRDefault="006476F0" w:rsidP="00A444DF">
            <w:pPr>
              <w:pStyle w:val="BodyText"/>
              <w:spacing w:line="240" w:lineRule="auto"/>
              <w:jc w:val="right"/>
              <w:rPr>
                <w:szCs w:val="24"/>
              </w:rPr>
            </w:pPr>
            <w:r w:rsidRPr="000D45B5">
              <w:rPr>
                <w:szCs w:val="24"/>
              </w:rPr>
              <w:t>1</w:t>
            </w:r>
          </w:p>
        </w:tc>
        <w:tc>
          <w:tcPr>
            <w:tcW w:w="1800" w:type="dxa"/>
            <w:shd w:val="clear" w:color="auto" w:fill="auto"/>
            <w:noWrap/>
            <w:hideMark/>
          </w:tcPr>
          <w:p w:rsidR="006476F0" w:rsidRPr="000D45B5" w:rsidRDefault="006476F0" w:rsidP="00A444DF">
            <w:pPr>
              <w:pStyle w:val="BodyText"/>
              <w:spacing w:line="240" w:lineRule="auto"/>
              <w:jc w:val="right"/>
              <w:rPr>
                <w:szCs w:val="24"/>
              </w:rPr>
            </w:pPr>
            <w:r w:rsidRPr="000D45B5">
              <w:rPr>
                <w:szCs w:val="24"/>
              </w:rPr>
              <w:t>26</w:t>
            </w:r>
          </w:p>
        </w:tc>
        <w:tc>
          <w:tcPr>
            <w:tcW w:w="1530" w:type="dxa"/>
          </w:tcPr>
          <w:p w:rsidR="006476F0" w:rsidRPr="000D45B5" w:rsidRDefault="006476F0" w:rsidP="00A444DF">
            <w:pPr>
              <w:pStyle w:val="BodyText"/>
              <w:spacing w:line="240" w:lineRule="auto"/>
              <w:jc w:val="right"/>
              <w:rPr>
                <w:szCs w:val="24"/>
              </w:rPr>
            </w:pPr>
            <w:r w:rsidRPr="000D45B5">
              <w:rPr>
                <w:szCs w:val="24"/>
              </w:rPr>
              <w:t>1</w:t>
            </w:r>
          </w:p>
        </w:tc>
      </w:tr>
      <w:tr w:rsidR="006476F0" w:rsidRPr="006814E4" w:rsidTr="00EE15DA">
        <w:trPr>
          <w:trHeight w:val="313"/>
        </w:trPr>
        <w:tc>
          <w:tcPr>
            <w:tcW w:w="4050" w:type="dxa"/>
            <w:shd w:val="clear" w:color="auto" w:fill="auto"/>
            <w:noWrap/>
            <w:vAlign w:val="bottom"/>
            <w:hideMark/>
          </w:tcPr>
          <w:p w:rsidR="006476F0" w:rsidRPr="000D45B5" w:rsidRDefault="006476F0" w:rsidP="006814E4">
            <w:pPr>
              <w:pStyle w:val="BodyText"/>
              <w:spacing w:line="240" w:lineRule="auto"/>
              <w:rPr>
                <w:szCs w:val="24"/>
              </w:rPr>
            </w:pPr>
            <w:r w:rsidRPr="000D45B5">
              <w:rPr>
                <w:szCs w:val="24"/>
              </w:rPr>
              <w:t>LTCF, urban/suburban location (collection receptacle)</w:t>
            </w:r>
          </w:p>
        </w:tc>
        <w:tc>
          <w:tcPr>
            <w:tcW w:w="1260" w:type="dxa"/>
          </w:tcPr>
          <w:p w:rsidR="006476F0" w:rsidRPr="000D45B5" w:rsidRDefault="006476F0" w:rsidP="00A444DF">
            <w:pPr>
              <w:pStyle w:val="BodyText"/>
              <w:spacing w:line="240" w:lineRule="auto"/>
              <w:jc w:val="right"/>
              <w:rPr>
                <w:szCs w:val="24"/>
              </w:rPr>
            </w:pPr>
            <w:r w:rsidRPr="000D45B5">
              <w:rPr>
                <w:szCs w:val="24"/>
              </w:rPr>
              <w:t>1</w:t>
            </w:r>
          </w:p>
        </w:tc>
        <w:tc>
          <w:tcPr>
            <w:tcW w:w="1800" w:type="dxa"/>
            <w:shd w:val="clear" w:color="auto" w:fill="auto"/>
            <w:noWrap/>
            <w:hideMark/>
          </w:tcPr>
          <w:p w:rsidR="006476F0" w:rsidRPr="000D45B5" w:rsidRDefault="006476F0" w:rsidP="00A444DF">
            <w:pPr>
              <w:pStyle w:val="BodyText"/>
              <w:spacing w:line="240" w:lineRule="auto"/>
              <w:jc w:val="right"/>
              <w:rPr>
                <w:szCs w:val="24"/>
              </w:rPr>
            </w:pPr>
            <w:r w:rsidRPr="000D45B5">
              <w:rPr>
                <w:szCs w:val="24"/>
              </w:rPr>
              <w:t>24</w:t>
            </w:r>
          </w:p>
        </w:tc>
        <w:tc>
          <w:tcPr>
            <w:tcW w:w="1530" w:type="dxa"/>
          </w:tcPr>
          <w:p w:rsidR="006476F0" w:rsidRPr="000D45B5" w:rsidRDefault="006476F0" w:rsidP="00A444DF">
            <w:pPr>
              <w:pStyle w:val="BodyText"/>
              <w:spacing w:line="240" w:lineRule="auto"/>
              <w:jc w:val="right"/>
              <w:rPr>
                <w:szCs w:val="24"/>
              </w:rPr>
            </w:pPr>
            <w:r w:rsidRPr="000D45B5">
              <w:rPr>
                <w:szCs w:val="24"/>
              </w:rPr>
              <w:t>1</w:t>
            </w:r>
          </w:p>
        </w:tc>
      </w:tr>
      <w:tr w:rsidR="006476F0" w:rsidRPr="006814E4" w:rsidTr="00EE15DA">
        <w:trPr>
          <w:trHeight w:val="313"/>
        </w:trPr>
        <w:tc>
          <w:tcPr>
            <w:tcW w:w="4050" w:type="dxa"/>
            <w:shd w:val="clear" w:color="auto" w:fill="auto"/>
            <w:noWrap/>
            <w:vAlign w:val="bottom"/>
            <w:hideMark/>
          </w:tcPr>
          <w:p w:rsidR="006476F0" w:rsidRPr="000D45B5" w:rsidRDefault="006476F0" w:rsidP="006814E4">
            <w:pPr>
              <w:pStyle w:val="BodyText"/>
              <w:spacing w:line="240" w:lineRule="auto"/>
              <w:rPr>
                <w:szCs w:val="24"/>
              </w:rPr>
            </w:pPr>
            <w:r w:rsidRPr="000D45B5">
              <w:rPr>
                <w:szCs w:val="24"/>
              </w:rPr>
              <w:t>LTCF, rural location (collection receptacle)</w:t>
            </w:r>
          </w:p>
        </w:tc>
        <w:tc>
          <w:tcPr>
            <w:tcW w:w="1260" w:type="dxa"/>
          </w:tcPr>
          <w:p w:rsidR="006476F0" w:rsidRPr="000D45B5" w:rsidRDefault="006476F0" w:rsidP="00A444DF">
            <w:pPr>
              <w:pStyle w:val="BodyText"/>
              <w:spacing w:line="240" w:lineRule="auto"/>
              <w:jc w:val="right"/>
              <w:rPr>
                <w:szCs w:val="24"/>
              </w:rPr>
            </w:pPr>
            <w:r w:rsidRPr="000D45B5">
              <w:rPr>
                <w:szCs w:val="24"/>
              </w:rPr>
              <w:t>1</w:t>
            </w:r>
          </w:p>
        </w:tc>
        <w:tc>
          <w:tcPr>
            <w:tcW w:w="1800" w:type="dxa"/>
            <w:shd w:val="clear" w:color="auto" w:fill="auto"/>
            <w:noWrap/>
            <w:hideMark/>
          </w:tcPr>
          <w:p w:rsidR="006476F0" w:rsidRPr="000D45B5" w:rsidRDefault="006476F0" w:rsidP="00A444DF">
            <w:pPr>
              <w:pStyle w:val="BodyText"/>
              <w:spacing w:line="240" w:lineRule="auto"/>
              <w:jc w:val="right"/>
              <w:rPr>
                <w:szCs w:val="24"/>
              </w:rPr>
            </w:pPr>
            <w:r w:rsidRPr="000D45B5">
              <w:rPr>
                <w:szCs w:val="24"/>
              </w:rPr>
              <w:t>12</w:t>
            </w:r>
          </w:p>
        </w:tc>
        <w:tc>
          <w:tcPr>
            <w:tcW w:w="1530" w:type="dxa"/>
          </w:tcPr>
          <w:p w:rsidR="006476F0" w:rsidRPr="000D45B5" w:rsidRDefault="006476F0" w:rsidP="00A444DF">
            <w:pPr>
              <w:pStyle w:val="BodyText"/>
              <w:spacing w:line="240" w:lineRule="auto"/>
              <w:jc w:val="right"/>
              <w:rPr>
                <w:szCs w:val="24"/>
              </w:rPr>
            </w:pPr>
            <w:r w:rsidRPr="000D45B5">
              <w:rPr>
                <w:szCs w:val="24"/>
              </w:rPr>
              <w:t>1</w:t>
            </w:r>
          </w:p>
        </w:tc>
      </w:tr>
    </w:tbl>
    <w:p w:rsidR="006476F0" w:rsidRPr="000D45B5" w:rsidRDefault="006476F0" w:rsidP="006814E4">
      <w:pPr>
        <w:pStyle w:val="BodyText"/>
        <w:spacing w:line="240" w:lineRule="auto"/>
        <w:rPr>
          <w:szCs w:val="24"/>
        </w:rPr>
      </w:pPr>
    </w:p>
    <w:p w:rsidR="006476F0" w:rsidRPr="000D45B5" w:rsidRDefault="006476F0" w:rsidP="006814E4">
      <w:pPr>
        <w:pStyle w:val="BodyText"/>
        <w:spacing w:line="240" w:lineRule="auto"/>
        <w:rPr>
          <w:szCs w:val="24"/>
          <w:u w:val="single"/>
        </w:rPr>
      </w:pPr>
    </w:p>
    <w:p w:rsidR="006476F0" w:rsidRPr="000D45B5" w:rsidRDefault="006476F0" w:rsidP="000D45B5">
      <w:pPr>
        <w:pStyle w:val="BodyText"/>
        <w:spacing w:line="240" w:lineRule="auto"/>
        <w:ind w:firstLine="720"/>
        <w:rPr>
          <w:szCs w:val="24"/>
        </w:rPr>
      </w:pPr>
      <w:r w:rsidRPr="000D45B5">
        <w:rPr>
          <w:szCs w:val="24"/>
          <w:u w:val="single"/>
        </w:rPr>
        <w:t>Annual Hour Burden</w:t>
      </w:r>
      <w:r w:rsidRPr="000D45B5">
        <w:rPr>
          <w:szCs w:val="24"/>
        </w:rPr>
        <w:t>:  89,406</w:t>
      </w:r>
      <w:r w:rsidRPr="000D45B5">
        <w:rPr>
          <w:i/>
          <w:szCs w:val="24"/>
        </w:rPr>
        <w:t xml:space="preserve">   </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 xml:space="preserve">Explanation of How the Burden was </w:t>
      </w:r>
      <w:proofErr w:type="gramStart"/>
      <w:r w:rsidRPr="000D45B5">
        <w:rPr>
          <w:szCs w:val="24"/>
          <w:u w:val="single"/>
        </w:rPr>
        <w:t>Estimated</w:t>
      </w:r>
      <w:proofErr w:type="gramEnd"/>
      <w:r w:rsidRPr="000D45B5">
        <w:rPr>
          <w:szCs w:val="24"/>
        </w:rPr>
        <w:t xml:space="preserve">:  </w:t>
      </w:r>
    </w:p>
    <w:p w:rsidR="006476F0" w:rsidRPr="000D45B5" w:rsidRDefault="002228FB" w:rsidP="006814E4">
      <w:pPr>
        <w:pStyle w:val="BodyText"/>
        <w:spacing w:line="240" w:lineRule="auto"/>
        <w:rPr>
          <w:szCs w:val="24"/>
        </w:rPr>
      </w:pPr>
      <w:r>
        <w:rPr>
          <w:szCs w:val="24"/>
        </w:rPr>
        <w:t>Since</w:t>
      </w:r>
      <w:r w:rsidR="006476F0" w:rsidRPr="000D45B5">
        <w:rPr>
          <w:szCs w:val="24"/>
        </w:rPr>
        <w:t xml:space="preserve"> initial responses and biennial inventories </w:t>
      </w:r>
      <w:r>
        <w:rPr>
          <w:szCs w:val="24"/>
        </w:rPr>
        <w:t>do not</w:t>
      </w:r>
      <w:r w:rsidR="006476F0" w:rsidRPr="000D45B5">
        <w:rPr>
          <w:szCs w:val="24"/>
        </w:rPr>
        <w:t xml:space="preserve"> occur on an annual basis, the “annualized” hour burden </w:t>
      </w:r>
      <w:proofErr w:type="gramStart"/>
      <w:r w:rsidR="006476F0" w:rsidRPr="000D45B5">
        <w:rPr>
          <w:szCs w:val="24"/>
        </w:rPr>
        <w:t>is calculated</w:t>
      </w:r>
      <w:proofErr w:type="gramEnd"/>
      <w:r w:rsidR="006476F0" w:rsidRPr="000D45B5">
        <w:rPr>
          <w:szCs w:val="24"/>
        </w:rPr>
        <w:t xml:space="preserve"> to represent the annual hour burden.  The annualized hour burden </w:t>
      </w:r>
      <w:proofErr w:type="gramStart"/>
      <w:r w:rsidR="006476F0" w:rsidRPr="000D45B5">
        <w:rPr>
          <w:szCs w:val="24"/>
        </w:rPr>
        <w:t>is estimated</w:t>
      </w:r>
      <w:proofErr w:type="gramEnd"/>
      <w:r w:rsidR="006476F0" w:rsidRPr="000D45B5">
        <w:rPr>
          <w:szCs w:val="24"/>
        </w:rPr>
        <w:t xml:space="preserve"> by </w:t>
      </w:r>
      <w:r w:rsidR="001129C6">
        <w:rPr>
          <w:szCs w:val="24"/>
        </w:rPr>
        <w:t xml:space="preserve">dividing </w:t>
      </w:r>
      <w:r w:rsidR="006476F0" w:rsidRPr="000D45B5">
        <w:rPr>
          <w:szCs w:val="24"/>
        </w:rPr>
        <w:t xml:space="preserve">the annualized cost </w:t>
      </w:r>
      <w:r w:rsidR="001129C6">
        <w:rPr>
          <w:szCs w:val="24"/>
        </w:rPr>
        <w:t>by</w:t>
      </w:r>
      <w:r w:rsidR="006476F0" w:rsidRPr="000D45B5">
        <w:rPr>
          <w:szCs w:val="24"/>
        </w:rPr>
        <w:t xml:space="preserve"> the median hourly rate.</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rPr>
        <w:t xml:space="preserve">The DEA used the median hourly wage of $15.97 for ‘53-0000 Transportation and Material Moving Occupations’ in the Warehousing and Storage Industry from the Bureau of Labor Statistics May 2012 Occupational Employment and Wages data as hourly wages for manufacturer, distributor, and reverse distributor information collection.  The median hourly wage of $13.61 for ‘31-0000 Healthcare Support Occupations’ was used as </w:t>
      </w:r>
      <w:r w:rsidR="008F7718">
        <w:rPr>
          <w:szCs w:val="24"/>
        </w:rPr>
        <w:t xml:space="preserve">an </w:t>
      </w:r>
      <w:r w:rsidRPr="000D45B5">
        <w:rPr>
          <w:szCs w:val="24"/>
        </w:rPr>
        <w:t xml:space="preserve">estimate for NTP information collection hourly wages.  The median hourly wage of $14.10 for ‘29-2052 Pharmacy Technicians’ </w:t>
      </w:r>
      <w:proofErr w:type="gramStart"/>
      <w:r w:rsidRPr="000D45B5">
        <w:rPr>
          <w:szCs w:val="24"/>
        </w:rPr>
        <w:t>was used</w:t>
      </w:r>
      <w:proofErr w:type="gramEnd"/>
      <w:r w:rsidRPr="000D45B5">
        <w:rPr>
          <w:szCs w:val="24"/>
        </w:rPr>
        <w:t xml:space="preserve"> as </w:t>
      </w:r>
      <w:r w:rsidR="008F7718">
        <w:rPr>
          <w:szCs w:val="24"/>
        </w:rPr>
        <w:t xml:space="preserve">an </w:t>
      </w:r>
      <w:r w:rsidRPr="000D45B5">
        <w:rPr>
          <w:szCs w:val="24"/>
        </w:rPr>
        <w:t xml:space="preserve">estimate for hospital/clinic, pharmacy, and LTCF information collection hourly wages. </w:t>
      </w:r>
      <w:r w:rsidR="008F7718">
        <w:rPr>
          <w:szCs w:val="24"/>
        </w:rPr>
        <w:t xml:space="preserve"> An a</w:t>
      </w:r>
      <w:r w:rsidRPr="000D45B5">
        <w:rPr>
          <w:szCs w:val="24"/>
        </w:rPr>
        <w:t>dditional 32.5% load for taxes and benefits was applied to the median hourly wages of $15</w:t>
      </w:r>
      <w:proofErr w:type="gramStart"/>
      <w:r w:rsidRPr="000D45B5">
        <w:rPr>
          <w:szCs w:val="24"/>
        </w:rPr>
        <w:t>,97</w:t>
      </w:r>
      <w:proofErr w:type="gramEnd"/>
      <w:r w:rsidRPr="000D45B5">
        <w:rPr>
          <w:szCs w:val="24"/>
        </w:rPr>
        <w:t xml:space="preserve">, $13.61, and $14.10 for a labor unit cost of $21.16, $18.03, and 18.68 per hour, respectively.  The response times for each response and median hourly rates </w:t>
      </w:r>
      <w:proofErr w:type="gramStart"/>
      <w:r w:rsidRPr="000D45B5">
        <w:rPr>
          <w:szCs w:val="24"/>
        </w:rPr>
        <w:t>are summarized</w:t>
      </w:r>
      <w:proofErr w:type="gramEnd"/>
      <w:r w:rsidRPr="000D45B5">
        <w:rPr>
          <w:szCs w:val="24"/>
        </w:rPr>
        <w:t xml:space="preserve"> below.</w:t>
      </w:r>
    </w:p>
    <w:p w:rsidR="006476F0" w:rsidRPr="000D45B5" w:rsidRDefault="006476F0" w:rsidP="006814E4">
      <w:pPr>
        <w:pStyle w:val="BodyText"/>
        <w:spacing w:line="240" w:lineRule="auto"/>
        <w:rPr>
          <w:szCs w:val="24"/>
        </w:rPr>
      </w:pPr>
    </w:p>
    <w:tbl>
      <w:tblPr>
        <w:tblW w:w="8290" w:type="dxa"/>
        <w:tblInd w:w="98" w:type="dxa"/>
        <w:tblLook w:val="04A0" w:firstRow="1" w:lastRow="0" w:firstColumn="1" w:lastColumn="0" w:noHBand="0" w:noVBand="1"/>
      </w:tblPr>
      <w:tblGrid>
        <w:gridCol w:w="2350"/>
        <w:gridCol w:w="1620"/>
        <w:gridCol w:w="1440"/>
        <w:gridCol w:w="1530"/>
        <w:gridCol w:w="1350"/>
      </w:tblGrid>
      <w:tr w:rsidR="006476F0" w:rsidRPr="006814E4" w:rsidTr="00EE15DA">
        <w:trPr>
          <w:cantSplit/>
          <w:trHeight w:val="1150"/>
          <w:tblHeader/>
        </w:trPr>
        <w:tc>
          <w:tcPr>
            <w:tcW w:w="2350"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rsidR="006476F0" w:rsidRPr="000D45B5" w:rsidRDefault="006476F0" w:rsidP="006814E4">
            <w:pPr>
              <w:pStyle w:val="BodyText"/>
              <w:spacing w:line="240" w:lineRule="auto"/>
              <w:rPr>
                <w:bCs/>
                <w:szCs w:val="24"/>
              </w:rPr>
            </w:pPr>
            <w:r w:rsidRPr="000D45B5">
              <w:rPr>
                <w:bCs/>
                <w:szCs w:val="24"/>
              </w:rPr>
              <w:t>Business activity</w:t>
            </w:r>
          </w:p>
        </w:tc>
        <w:tc>
          <w:tcPr>
            <w:tcW w:w="1620" w:type="dxa"/>
            <w:tcBorders>
              <w:top w:val="single" w:sz="8" w:space="0" w:color="auto"/>
              <w:left w:val="nil"/>
              <w:bottom w:val="single" w:sz="8" w:space="0" w:color="auto"/>
              <w:right w:val="single" w:sz="8" w:space="0" w:color="auto"/>
            </w:tcBorders>
            <w:shd w:val="clear" w:color="000000" w:fill="DBE5F1"/>
            <w:vAlign w:val="center"/>
            <w:hideMark/>
          </w:tcPr>
          <w:p w:rsidR="006476F0" w:rsidRPr="000D45B5" w:rsidRDefault="006476F0" w:rsidP="00A444DF">
            <w:pPr>
              <w:pStyle w:val="BodyText"/>
              <w:spacing w:line="240" w:lineRule="auto"/>
              <w:jc w:val="center"/>
              <w:rPr>
                <w:bCs/>
                <w:szCs w:val="24"/>
              </w:rPr>
            </w:pPr>
            <w:r w:rsidRPr="000D45B5">
              <w:rPr>
                <w:bCs/>
                <w:szCs w:val="24"/>
              </w:rPr>
              <w:t>Initial response (non-recurring)</w:t>
            </w:r>
          </w:p>
        </w:tc>
        <w:tc>
          <w:tcPr>
            <w:tcW w:w="1440" w:type="dxa"/>
            <w:tcBorders>
              <w:top w:val="single" w:sz="8" w:space="0" w:color="auto"/>
              <w:left w:val="nil"/>
              <w:bottom w:val="single" w:sz="8" w:space="0" w:color="auto"/>
              <w:right w:val="single" w:sz="8" w:space="0" w:color="auto"/>
            </w:tcBorders>
            <w:shd w:val="clear" w:color="000000" w:fill="DBE5F1"/>
            <w:vAlign w:val="center"/>
            <w:hideMark/>
          </w:tcPr>
          <w:p w:rsidR="006476F0" w:rsidRPr="000D45B5" w:rsidRDefault="006476F0" w:rsidP="00A444DF">
            <w:pPr>
              <w:pStyle w:val="BodyText"/>
              <w:spacing w:line="240" w:lineRule="auto"/>
              <w:jc w:val="center"/>
              <w:rPr>
                <w:bCs/>
                <w:szCs w:val="24"/>
              </w:rPr>
            </w:pPr>
            <w:r w:rsidRPr="000D45B5">
              <w:rPr>
                <w:bCs/>
                <w:szCs w:val="24"/>
              </w:rPr>
              <w:t>Event-driven response (responses per year)</w:t>
            </w:r>
          </w:p>
        </w:tc>
        <w:tc>
          <w:tcPr>
            <w:tcW w:w="1530" w:type="dxa"/>
            <w:tcBorders>
              <w:top w:val="single" w:sz="8" w:space="0" w:color="auto"/>
              <w:left w:val="nil"/>
              <w:bottom w:val="single" w:sz="8" w:space="0" w:color="auto"/>
              <w:right w:val="single" w:sz="8" w:space="0" w:color="auto"/>
            </w:tcBorders>
            <w:shd w:val="clear" w:color="000000" w:fill="DBE5F1"/>
            <w:vAlign w:val="center"/>
            <w:hideMark/>
          </w:tcPr>
          <w:p w:rsidR="006476F0" w:rsidRPr="000D45B5" w:rsidRDefault="006476F0" w:rsidP="00A444DF">
            <w:pPr>
              <w:pStyle w:val="BodyText"/>
              <w:spacing w:line="240" w:lineRule="auto"/>
              <w:jc w:val="center"/>
              <w:rPr>
                <w:bCs/>
                <w:szCs w:val="24"/>
              </w:rPr>
            </w:pPr>
            <w:r w:rsidRPr="000D45B5">
              <w:rPr>
                <w:bCs/>
                <w:szCs w:val="24"/>
              </w:rPr>
              <w:t>Biennial inventory (responses per 2 years)</w:t>
            </w:r>
          </w:p>
        </w:tc>
        <w:tc>
          <w:tcPr>
            <w:tcW w:w="1350" w:type="dxa"/>
            <w:tcBorders>
              <w:top w:val="single" w:sz="8" w:space="0" w:color="auto"/>
              <w:left w:val="nil"/>
              <w:bottom w:val="single" w:sz="8" w:space="0" w:color="auto"/>
              <w:right w:val="single" w:sz="8" w:space="0" w:color="auto"/>
            </w:tcBorders>
            <w:shd w:val="clear" w:color="000000" w:fill="DBE5F1"/>
            <w:vAlign w:val="center"/>
            <w:hideMark/>
          </w:tcPr>
          <w:p w:rsidR="006476F0" w:rsidRPr="000D45B5" w:rsidRDefault="006476F0" w:rsidP="00A444DF">
            <w:pPr>
              <w:pStyle w:val="BodyText"/>
              <w:spacing w:line="240" w:lineRule="auto"/>
              <w:jc w:val="center"/>
              <w:rPr>
                <w:bCs/>
                <w:szCs w:val="24"/>
              </w:rPr>
            </w:pPr>
            <w:r w:rsidRPr="000D45B5">
              <w:rPr>
                <w:bCs/>
                <w:szCs w:val="24"/>
              </w:rPr>
              <w:t>Hourly rate ($)</w:t>
            </w:r>
          </w:p>
        </w:tc>
      </w:tr>
      <w:tr w:rsidR="006476F0" w:rsidRPr="006814E4" w:rsidTr="00EE15DA">
        <w:trPr>
          <w:cantSplit/>
          <w:trHeight w:val="340"/>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Manufacturer (collection receptacle)</w:t>
            </w:r>
          </w:p>
        </w:tc>
        <w:tc>
          <w:tcPr>
            <w:tcW w:w="162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44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3 minutes and 40 seconds</w:t>
            </w:r>
          </w:p>
        </w:tc>
        <w:tc>
          <w:tcPr>
            <w:tcW w:w="153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21.16</w:t>
            </w:r>
          </w:p>
        </w:tc>
      </w:tr>
      <w:tr w:rsidR="006476F0" w:rsidRPr="006814E4" w:rsidTr="00EE15DA">
        <w:trPr>
          <w:cantSplit/>
          <w:trHeight w:val="340"/>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Distributor (collection receptacle)</w:t>
            </w:r>
          </w:p>
        </w:tc>
        <w:tc>
          <w:tcPr>
            <w:tcW w:w="162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44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3 minutes and 40 seconds</w:t>
            </w:r>
          </w:p>
        </w:tc>
        <w:tc>
          <w:tcPr>
            <w:tcW w:w="153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21.16</w:t>
            </w:r>
          </w:p>
        </w:tc>
      </w:tr>
      <w:tr w:rsidR="006476F0" w:rsidRPr="006814E4" w:rsidTr="00EE15DA">
        <w:trPr>
          <w:cantSplit/>
          <w:trHeight w:val="330"/>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Reverse Distributor</w:t>
            </w:r>
          </w:p>
        </w:tc>
        <w:tc>
          <w:tcPr>
            <w:tcW w:w="162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4 hours</w:t>
            </w:r>
          </w:p>
        </w:tc>
        <w:tc>
          <w:tcPr>
            <w:tcW w:w="1440" w:type="dxa"/>
            <w:tcBorders>
              <w:top w:val="nil"/>
              <w:left w:val="nil"/>
              <w:bottom w:val="single" w:sz="8" w:space="0" w:color="auto"/>
              <w:right w:val="single" w:sz="8" w:space="0" w:color="auto"/>
            </w:tcBorders>
            <w:shd w:val="clear" w:color="auto" w:fill="auto"/>
            <w:noWrap/>
            <w:vAlign w:val="center"/>
            <w:hideMark/>
          </w:tcPr>
          <w:p w:rsidR="006476F0" w:rsidRPr="000D45B5" w:rsidRDefault="006476F0" w:rsidP="00A444DF">
            <w:pPr>
              <w:pStyle w:val="BodyText"/>
              <w:spacing w:line="240" w:lineRule="auto"/>
              <w:jc w:val="right"/>
              <w:rPr>
                <w:szCs w:val="24"/>
              </w:rPr>
            </w:pPr>
            <w:r w:rsidRPr="000D45B5">
              <w:rPr>
                <w:szCs w:val="24"/>
              </w:rPr>
              <w:t>49 seconds</w:t>
            </w:r>
          </w:p>
        </w:tc>
        <w:tc>
          <w:tcPr>
            <w:tcW w:w="153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21.16</w:t>
            </w:r>
          </w:p>
        </w:tc>
      </w:tr>
      <w:tr w:rsidR="006476F0" w:rsidRPr="006814E4" w:rsidTr="00EE15DA">
        <w:trPr>
          <w:cantSplit/>
          <w:trHeight w:val="330"/>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NTP (collection receptacle)</w:t>
            </w:r>
          </w:p>
        </w:tc>
        <w:tc>
          <w:tcPr>
            <w:tcW w:w="162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44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3 minutes and 40 seconds</w:t>
            </w:r>
          </w:p>
        </w:tc>
        <w:tc>
          <w:tcPr>
            <w:tcW w:w="153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18.03</w:t>
            </w:r>
          </w:p>
        </w:tc>
      </w:tr>
      <w:tr w:rsidR="006476F0" w:rsidRPr="006814E4" w:rsidTr="00EE15DA">
        <w:trPr>
          <w:cantSplit/>
          <w:trHeight w:val="538"/>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Hospital/Clinic (collection receptacle)</w:t>
            </w:r>
          </w:p>
        </w:tc>
        <w:tc>
          <w:tcPr>
            <w:tcW w:w="162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44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3 minutes and 40 seconds</w:t>
            </w:r>
          </w:p>
        </w:tc>
        <w:tc>
          <w:tcPr>
            <w:tcW w:w="153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18.68</w:t>
            </w:r>
          </w:p>
        </w:tc>
      </w:tr>
      <w:tr w:rsidR="006476F0" w:rsidRPr="006814E4" w:rsidTr="00EE15DA">
        <w:trPr>
          <w:cantSplit/>
          <w:trHeight w:val="331"/>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Pharmacy (collection receptacle)</w:t>
            </w:r>
          </w:p>
        </w:tc>
        <w:tc>
          <w:tcPr>
            <w:tcW w:w="162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44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3 minutes and 40 seconds</w:t>
            </w:r>
          </w:p>
        </w:tc>
        <w:tc>
          <w:tcPr>
            <w:tcW w:w="153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18.68</w:t>
            </w:r>
          </w:p>
        </w:tc>
      </w:tr>
      <w:tr w:rsidR="006476F0" w:rsidRPr="006814E4" w:rsidTr="00EE15DA">
        <w:trPr>
          <w:cantSplit/>
          <w:trHeight w:val="529"/>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LTCF, urban/suburban location (collection receptacle)</w:t>
            </w:r>
          </w:p>
        </w:tc>
        <w:tc>
          <w:tcPr>
            <w:tcW w:w="162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44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3 minutes and 40 seconds</w:t>
            </w:r>
          </w:p>
        </w:tc>
        <w:tc>
          <w:tcPr>
            <w:tcW w:w="153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18.68</w:t>
            </w:r>
          </w:p>
        </w:tc>
      </w:tr>
      <w:tr w:rsidR="006476F0" w:rsidRPr="006814E4" w:rsidTr="00EE15DA">
        <w:trPr>
          <w:cantSplit/>
          <w:trHeight w:val="520"/>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LTCF, rural location (collection receptacle)</w:t>
            </w:r>
          </w:p>
        </w:tc>
        <w:tc>
          <w:tcPr>
            <w:tcW w:w="162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44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3 minutes and 40 seconds</w:t>
            </w:r>
          </w:p>
        </w:tc>
        <w:tc>
          <w:tcPr>
            <w:tcW w:w="153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15 minutes</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18.68</w:t>
            </w:r>
          </w:p>
        </w:tc>
      </w:tr>
    </w:tbl>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rPr>
        <w:t xml:space="preserve">Using the hourly rates, response times </w:t>
      </w:r>
      <w:proofErr w:type="gramStart"/>
      <w:r w:rsidRPr="000D45B5">
        <w:rPr>
          <w:szCs w:val="24"/>
        </w:rPr>
        <w:t>are expressed</w:t>
      </w:r>
      <w:proofErr w:type="gramEnd"/>
      <w:r w:rsidRPr="000D45B5">
        <w:rPr>
          <w:szCs w:val="24"/>
        </w:rPr>
        <w:t xml:space="preserve"> in dollars.  The discounted cash flow method </w:t>
      </w:r>
      <w:proofErr w:type="gramStart"/>
      <w:r w:rsidRPr="000D45B5">
        <w:rPr>
          <w:szCs w:val="24"/>
        </w:rPr>
        <w:t>is used</w:t>
      </w:r>
      <w:proofErr w:type="gramEnd"/>
      <w:r w:rsidRPr="000D45B5">
        <w:rPr>
          <w:szCs w:val="24"/>
        </w:rPr>
        <w:t xml:space="preserve"> to calculate the present value of the costs for each respondent at 7% discount rate over 20 years.  The annualized cost per participant is determined by calculating equal annual payments for the present value of costs at 7% for 20 years.  The annualized cost </w:t>
      </w:r>
      <w:proofErr w:type="gramStart"/>
      <w:r w:rsidRPr="000D45B5">
        <w:rPr>
          <w:szCs w:val="24"/>
        </w:rPr>
        <w:t>is multiplied</w:t>
      </w:r>
      <w:proofErr w:type="gramEnd"/>
      <w:r w:rsidRPr="000D45B5">
        <w:rPr>
          <w:szCs w:val="24"/>
        </w:rPr>
        <w:t xml:space="preserve"> by the number of participants to determine the total annualized cost of participation for each business activity.  The total annualized hours </w:t>
      </w:r>
      <w:proofErr w:type="gramStart"/>
      <w:r w:rsidRPr="000D45B5">
        <w:rPr>
          <w:szCs w:val="24"/>
        </w:rPr>
        <w:t>is calculated</w:t>
      </w:r>
      <w:proofErr w:type="gramEnd"/>
      <w:r w:rsidRPr="000D45B5">
        <w:rPr>
          <w:szCs w:val="24"/>
        </w:rPr>
        <w:t xml:space="preserve"> by dividing the total annualized cost by the respective hourly rates.  The sum of total annualized hours for all business activities is 89,406.  See table below.</w:t>
      </w:r>
    </w:p>
    <w:p w:rsidR="00306CB1" w:rsidRPr="000D45B5" w:rsidRDefault="00306CB1" w:rsidP="006814E4">
      <w:pPr>
        <w:pStyle w:val="BodyText"/>
        <w:spacing w:line="240" w:lineRule="auto"/>
        <w:rPr>
          <w:szCs w:val="24"/>
        </w:rPr>
      </w:pPr>
    </w:p>
    <w:tbl>
      <w:tblPr>
        <w:tblW w:w="8260" w:type="dxa"/>
        <w:tblInd w:w="98" w:type="dxa"/>
        <w:tblLook w:val="04A0" w:firstRow="1" w:lastRow="0" w:firstColumn="1" w:lastColumn="0" w:noHBand="0" w:noVBand="1"/>
      </w:tblPr>
      <w:tblGrid>
        <w:gridCol w:w="2350"/>
        <w:gridCol w:w="1674"/>
        <w:gridCol w:w="1350"/>
        <w:gridCol w:w="1630"/>
        <w:gridCol w:w="1256"/>
      </w:tblGrid>
      <w:tr w:rsidR="006476F0" w:rsidRPr="006814E4" w:rsidTr="006814E4">
        <w:trPr>
          <w:cantSplit/>
          <w:trHeight w:val="1123"/>
          <w:tblHeader/>
        </w:trPr>
        <w:tc>
          <w:tcPr>
            <w:tcW w:w="2350"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rsidR="006476F0" w:rsidRPr="000D45B5" w:rsidRDefault="006476F0" w:rsidP="006814E4">
            <w:pPr>
              <w:pStyle w:val="BodyText"/>
              <w:spacing w:line="240" w:lineRule="auto"/>
              <w:rPr>
                <w:bCs/>
                <w:szCs w:val="24"/>
              </w:rPr>
            </w:pPr>
            <w:r w:rsidRPr="000D45B5">
              <w:rPr>
                <w:bCs/>
                <w:szCs w:val="24"/>
              </w:rPr>
              <w:t>Business activity</w:t>
            </w:r>
          </w:p>
        </w:tc>
        <w:tc>
          <w:tcPr>
            <w:tcW w:w="1710" w:type="dxa"/>
            <w:tcBorders>
              <w:top w:val="single" w:sz="8" w:space="0" w:color="auto"/>
              <w:left w:val="nil"/>
              <w:bottom w:val="single" w:sz="4" w:space="0" w:color="auto"/>
              <w:right w:val="single" w:sz="8" w:space="0" w:color="auto"/>
            </w:tcBorders>
            <w:shd w:val="clear" w:color="000000" w:fill="DBE5F1"/>
            <w:vAlign w:val="center"/>
            <w:hideMark/>
          </w:tcPr>
          <w:p w:rsidR="006476F0" w:rsidRPr="000D45B5" w:rsidRDefault="006476F0" w:rsidP="00A444DF">
            <w:pPr>
              <w:pStyle w:val="BodyText"/>
              <w:spacing w:line="240" w:lineRule="auto"/>
              <w:jc w:val="center"/>
              <w:rPr>
                <w:bCs/>
                <w:szCs w:val="24"/>
              </w:rPr>
            </w:pPr>
            <w:r w:rsidRPr="000D45B5">
              <w:rPr>
                <w:bCs/>
                <w:szCs w:val="24"/>
              </w:rPr>
              <w:t>Annualized Cost per participant ($)</w:t>
            </w:r>
          </w:p>
        </w:tc>
        <w:tc>
          <w:tcPr>
            <w:tcW w:w="1350" w:type="dxa"/>
            <w:tcBorders>
              <w:top w:val="single" w:sz="8" w:space="0" w:color="auto"/>
              <w:left w:val="nil"/>
              <w:bottom w:val="single" w:sz="8" w:space="0" w:color="auto"/>
              <w:right w:val="single" w:sz="8" w:space="0" w:color="auto"/>
            </w:tcBorders>
            <w:shd w:val="clear" w:color="000000" w:fill="DBE5F1"/>
            <w:vAlign w:val="center"/>
            <w:hideMark/>
          </w:tcPr>
          <w:p w:rsidR="006476F0" w:rsidRPr="000D45B5" w:rsidRDefault="006476F0" w:rsidP="00A444DF">
            <w:pPr>
              <w:pStyle w:val="BodyText"/>
              <w:spacing w:line="240" w:lineRule="auto"/>
              <w:jc w:val="center"/>
              <w:rPr>
                <w:bCs/>
                <w:szCs w:val="24"/>
              </w:rPr>
            </w:pPr>
            <w:r w:rsidRPr="000D45B5">
              <w:rPr>
                <w:bCs/>
                <w:szCs w:val="24"/>
              </w:rPr>
              <w:t>Number of Participants</w:t>
            </w:r>
          </w:p>
        </w:tc>
        <w:tc>
          <w:tcPr>
            <w:tcW w:w="1650" w:type="dxa"/>
            <w:tcBorders>
              <w:top w:val="single" w:sz="8" w:space="0" w:color="auto"/>
              <w:left w:val="nil"/>
              <w:bottom w:val="single" w:sz="8" w:space="0" w:color="auto"/>
              <w:right w:val="single" w:sz="8" w:space="0" w:color="auto"/>
            </w:tcBorders>
            <w:shd w:val="clear" w:color="000000" w:fill="DBE5F1"/>
            <w:vAlign w:val="center"/>
            <w:hideMark/>
          </w:tcPr>
          <w:p w:rsidR="006476F0" w:rsidRPr="000D45B5" w:rsidRDefault="006476F0" w:rsidP="00A444DF">
            <w:pPr>
              <w:pStyle w:val="BodyText"/>
              <w:spacing w:line="240" w:lineRule="auto"/>
              <w:jc w:val="center"/>
              <w:rPr>
                <w:bCs/>
                <w:szCs w:val="24"/>
              </w:rPr>
            </w:pPr>
            <w:r w:rsidRPr="000D45B5">
              <w:rPr>
                <w:bCs/>
                <w:szCs w:val="24"/>
              </w:rPr>
              <w:t>Total annualized cost of participation ($)</w:t>
            </w:r>
          </w:p>
        </w:tc>
        <w:tc>
          <w:tcPr>
            <w:tcW w:w="1200" w:type="dxa"/>
            <w:tcBorders>
              <w:top w:val="single" w:sz="8" w:space="0" w:color="auto"/>
              <w:left w:val="nil"/>
              <w:bottom w:val="single" w:sz="8" w:space="0" w:color="auto"/>
              <w:right w:val="single" w:sz="8" w:space="0" w:color="auto"/>
            </w:tcBorders>
            <w:shd w:val="clear" w:color="000000" w:fill="DBE5F1"/>
            <w:vAlign w:val="center"/>
            <w:hideMark/>
          </w:tcPr>
          <w:p w:rsidR="006476F0" w:rsidRPr="000D45B5" w:rsidRDefault="006476F0" w:rsidP="00A444DF">
            <w:pPr>
              <w:pStyle w:val="BodyText"/>
              <w:spacing w:line="240" w:lineRule="auto"/>
              <w:jc w:val="center"/>
              <w:rPr>
                <w:bCs/>
                <w:szCs w:val="24"/>
              </w:rPr>
            </w:pPr>
            <w:r w:rsidRPr="000D45B5">
              <w:rPr>
                <w:bCs/>
                <w:szCs w:val="24"/>
              </w:rPr>
              <w:t>Total annualized hours</w:t>
            </w:r>
          </w:p>
        </w:tc>
      </w:tr>
      <w:tr w:rsidR="006476F0" w:rsidRPr="006814E4" w:rsidTr="006814E4">
        <w:trPr>
          <w:trHeight w:val="645"/>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Manufacturer (collection receptacle)</w:t>
            </w:r>
          </w:p>
        </w:tc>
        <w:tc>
          <w:tcPr>
            <w:tcW w:w="1710" w:type="dxa"/>
            <w:tcBorders>
              <w:top w:val="single" w:sz="4" w:space="0" w:color="auto"/>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18.57 </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107 </w:t>
            </w:r>
          </w:p>
        </w:tc>
        <w:tc>
          <w:tcPr>
            <w:tcW w:w="16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1,987 </w:t>
            </w:r>
          </w:p>
        </w:tc>
        <w:tc>
          <w:tcPr>
            <w:tcW w:w="120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94 </w:t>
            </w:r>
          </w:p>
        </w:tc>
      </w:tr>
      <w:tr w:rsidR="006476F0" w:rsidRPr="006814E4" w:rsidTr="00EE15DA">
        <w:trPr>
          <w:trHeight w:val="915"/>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Distributor (collection receptacle)</w:t>
            </w:r>
          </w:p>
        </w:tc>
        <w:tc>
          <w:tcPr>
            <w:tcW w:w="171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18.57 </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166 </w:t>
            </w:r>
          </w:p>
        </w:tc>
        <w:tc>
          <w:tcPr>
            <w:tcW w:w="16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3,083 </w:t>
            </w:r>
          </w:p>
        </w:tc>
        <w:tc>
          <w:tcPr>
            <w:tcW w:w="120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146 </w:t>
            </w:r>
          </w:p>
        </w:tc>
      </w:tr>
      <w:tr w:rsidR="006476F0" w:rsidRPr="006814E4" w:rsidTr="00EE15DA">
        <w:trPr>
          <w:trHeight w:val="330"/>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Reverse Distributor</w:t>
            </w:r>
          </w:p>
        </w:tc>
        <w:tc>
          <w:tcPr>
            <w:tcW w:w="171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154.55 </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10 </w:t>
            </w:r>
          </w:p>
        </w:tc>
        <w:tc>
          <w:tcPr>
            <w:tcW w:w="16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1,546 </w:t>
            </w:r>
          </w:p>
        </w:tc>
        <w:tc>
          <w:tcPr>
            <w:tcW w:w="120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73 </w:t>
            </w:r>
          </w:p>
        </w:tc>
      </w:tr>
      <w:tr w:rsidR="006476F0" w:rsidRPr="006814E4" w:rsidTr="00EE15DA">
        <w:trPr>
          <w:trHeight w:val="330"/>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NTP (collection receptacle)</w:t>
            </w:r>
          </w:p>
        </w:tc>
        <w:tc>
          <w:tcPr>
            <w:tcW w:w="171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29.05 </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999 </w:t>
            </w:r>
          </w:p>
        </w:tc>
        <w:tc>
          <w:tcPr>
            <w:tcW w:w="16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29,023 </w:t>
            </w:r>
          </w:p>
        </w:tc>
        <w:tc>
          <w:tcPr>
            <w:tcW w:w="120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1,609 </w:t>
            </w:r>
          </w:p>
        </w:tc>
      </w:tr>
      <w:tr w:rsidR="006476F0" w:rsidRPr="006814E4" w:rsidTr="00EE15DA">
        <w:trPr>
          <w:trHeight w:val="645"/>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Hospital/Clinic (collection receptacle)</w:t>
            </w:r>
          </w:p>
        </w:tc>
        <w:tc>
          <w:tcPr>
            <w:tcW w:w="171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32.38 </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2,862 </w:t>
            </w:r>
          </w:p>
        </w:tc>
        <w:tc>
          <w:tcPr>
            <w:tcW w:w="16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92,676 </w:t>
            </w:r>
          </w:p>
        </w:tc>
        <w:tc>
          <w:tcPr>
            <w:tcW w:w="120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4,961 </w:t>
            </w:r>
          </w:p>
        </w:tc>
      </w:tr>
      <w:tr w:rsidR="006476F0" w:rsidRPr="006814E4" w:rsidTr="00EE15DA">
        <w:trPr>
          <w:trHeight w:val="645"/>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Pharmacy (collection receptacle)</w:t>
            </w:r>
          </w:p>
        </w:tc>
        <w:tc>
          <w:tcPr>
            <w:tcW w:w="171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32.38 </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34,513 </w:t>
            </w:r>
          </w:p>
        </w:tc>
        <w:tc>
          <w:tcPr>
            <w:tcW w:w="16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1,117,587 </w:t>
            </w:r>
          </w:p>
        </w:tc>
        <w:tc>
          <w:tcPr>
            <w:tcW w:w="120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59,820 </w:t>
            </w:r>
          </w:p>
        </w:tc>
      </w:tr>
      <w:tr w:rsidR="006476F0" w:rsidRPr="006814E4" w:rsidTr="00EE15DA">
        <w:trPr>
          <w:trHeight w:val="960"/>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LTCF, urban/suburban location (collection receptacle)</w:t>
            </w:r>
          </w:p>
        </w:tc>
        <w:tc>
          <w:tcPr>
            <w:tcW w:w="171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30.10 </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12,049 </w:t>
            </w:r>
          </w:p>
        </w:tc>
        <w:tc>
          <w:tcPr>
            <w:tcW w:w="16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362,653 </w:t>
            </w:r>
          </w:p>
        </w:tc>
        <w:tc>
          <w:tcPr>
            <w:tcW w:w="120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19,411 </w:t>
            </w:r>
          </w:p>
        </w:tc>
      </w:tr>
      <w:tr w:rsidR="006476F0" w:rsidRPr="006814E4" w:rsidTr="00EE15DA">
        <w:trPr>
          <w:trHeight w:val="915"/>
        </w:trPr>
        <w:tc>
          <w:tcPr>
            <w:tcW w:w="2350" w:type="dxa"/>
            <w:tcBorders>
              <w:top w:val="nil"/>
              <w:left w:val="single" w:sz="8" w:space="0" w:color="auto"/>
              <w:bottom w:val="single" w:sz="8" w:space="0" w:color="auto"/>
              <w:right w:val="single" w:sz="8" w:space="0" w:color="auto"/>
            </w:tcBorders>
            <w:shd w:val="clear" w:color="auto" w:fill="auto"/>
            <w:vAlign w:val="center"/>
            <w:hideMark/>
          </w:tcPr>
          <w:p w:rsidR="006476F0" w:rsidRPr="000D45B5" w:rsidRDefault="006476F0" w:rsidP="006814E4">
            <w:pPr>
              <w:pStyle w:val="BodyText"/>
              <w:spacing w:line="240" w:lineRule="auto"/>
              <w:rPr>
                <w:szCs w:val="24"/>
              </w:rPr>
            </w:pPr>
            <w:r w:rsidRPr="000D45B5">
              <w:rPr>
                <w:szCs w:val="24"/>
              </w:rPr>
              <w:t>LTCF, rural location (collection receptacle)</w:t>
            </w:r>
          </w:p>
        </w:tc>
        <w:tc>
          <w:tcPr>
            <w:tcW w:w="171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16.40 </w:t>
            </w:r>
          </w:p>
        </w:tc>
        <w:tc>
          <w:tcPr>
            <w:tcW w:w="13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3,751 </w:t>
            </w:r>
          </w:p>
        </w:tc>
        <w:tc>
          <w:tcPr>
            <w:tcW w:w="165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61,508 </w:t>
            </w:r>
          </w:p>
        </w:tc>
        <w:tc>
          <w:tcPr>
            <w:tcW w:w="1200" w:type="dxa"/>
            <w:tcBorders>
              <w:top w:val="nil"/>
              <w:left w:val="nil"/>
              <w:bottom w:val="single" w:sz="8" w:space="0" w:color="auto"/>
              <w:right w:val="single" w:sz="8" w:space="0" w:color="auto"/>
            </w:tcBorders>
            <w:shd w:val="clear" w:color="auto" w:fill="auto"/>
            <w:vAlign w:val="center"/>
            <w:hideMark/>
          </w:tcPr>
          <w:p w:rsidR="006476F0" w:rsidRPr="000D45B5" w:rsidRDefault="006476F0" w:rsidP="00A444DF">
            <w:pPr>
              <w:pStyle w:val="BodyText"/>
              <w:spacing w:line="240" w:lineRule="auto"/>
              <w:jc w:val="right"/>
              <w:rPr>
                <w:szCs w:val="24"/>
              </w:rPr>
            </w:pPr>
            <w:r w:rsidRPr="000D45B5">
              <w:rPr>
                <w:szCs w:val="24"/>
              </w:rPr>
              <w:t xml:space="preserve">        3,292 </w:t>
            </w:r>
          </w:p>
        </w:tc>
      </w:tr>
      <w:tr w:rsidR="006476F0" w:rsidRPr="006814E4" w:rsidTr="00EE15DA">
        <w:trPr>
          <w:trHeight w:val="330"/>
        </w:trPr>
        <w:tc>
          <w:tcPr>
            <w:tcW w:w="2350" w:type="dxa"/>
            <w:tcBorders>
              <w:top w:val="nil"/>
              <w:left w:val="single" w:sz="8" w:space="0" w:color="auto"/>
              <w:bottom w:val="single" w:sz="8" w:space="0" w:color="auto"/>
              <w:right w:val="single" w:sz="8" w:space="0" w:color="auto"/>
            </w:tcBorders>
            <w:shd w:val="clear" w:color="000000" w:fill="DCE6F1"/>
            <w:noWrap/>
            <w:vAlign w:val="center"/>
            <w:hideMark/>
          </w:tcPr>
          <w:p w:rsidR="006476F0" w:rsidRPr="000D45B5" w:rsidRDefault="006476F0" w:rsidP="006814E4">
            <w:pPr>
              <w:pStyle w:val="BodyText"/>
              <w:spacing w:line="240" w:lineRule="auto"/>
              <w:rPr>
                <w:bCs/>
                <w:szCs w:val="24"/>
              </w:rPr>
            </w:pPr>
            <w:r w:rsidRPr="000D45B5">
              <w:rPr>
                <w:bCs/>
                <w:szCs w:val="24"/>
              </w:rPr>
              <w:t>Total</w:t>
            </w:r>
          </w:p>
        </w:tc>
        <w:tc>
          <w:tcPr>
            <w:tcW w:w="1710" w:type="dxa"/>
            <w:tcBorders>
              <w:top w:val="nil"/>
              <w:left w:val="nil"/>
              <w:bottom w:val="single" w:sz="8" w:space="0" w:color="auto"/>
              <w:right w:val="single" w:sz="8" w:space="0" w:color="auto"/>
            </w:tcBorders>
            <w:shd w:val="clear" w:color="000000" w:fill="DCE6F1"/>
            <w:vAlign w:val="center"/>
            <w:hideMark/>
          </w:tcPr>
          <w:p w:rsidR="006476F0" w:rsidRPr="000D45B5" w:rsidRDefault="006476F0" w:rsidP="00A444DF">
            <w:pPr>
              <w:pStyle w:val="BodyText"/>
              <w:spacing w:line="240" w:lineRule="auto"/>
              <w:jc w:val="right"/>
              <w:rPr>
                <w:bCs/>
                <w:szCs w:val="24"/>
              </w:rPr>
            </w:pPr>
            <w:r w:rsidRPr="000D45B5">
              <w:rPr>
                <w:bCs/>
                <w:szCs w:val="24"/>
              </w:rPr>
              <w:t> </w:t>
            </w:r>
          </w:p>
        </w:tc>
        <w:tc>
          <w:tcPr>
            <w:tcW w:w="1350" w:type="dxa"/>
            <w:tcBorders>
              <w:top w:val="nil"/>
              <w:left w:val="nil"/>
              <w:bottom w:val="single" w:sz="8" w:space="0" w:color="auto"/>
              <w:right w:val="single" w:sz="8" w:space="0" w:color="auto"/>
            </w:tcBorders>
            <w:shd w:val="clear" w:color="000000" w:fill="DCE6F1"/>
            <w:vAlign w:val="center"/>
            <w:hideMark/>
          </w:tcPr>
          <w:p w:rsidR="006476F0" w:rsidRPr="000D45B5" w:rsidRDefault="006476F0" w:rsidP="00A444DF">
            <w:pPr>
              <w:pStyle w:val="BodyText"/>
              <w:spacing w:line="240" w:lineRule="auto"/>
              <w:jc w:val="right"/>
              <w:rPr>
                <w:bCs/>
                <w:szCs w:val="24"/>
              </w:rPr>
            </w:pPr>
            <w:r w:rsidRPr="000D45B5">
              <w:rPr>
                <w:bCs/>
                <w:szCs w:val="24"/>
              </w:rPr>
              <w:t xml:space="preserve">           54,457 </w:t>
            </w:r>
          </w:p>
        </w:tc>
        <w:tc>
          <w:tcPr>
            <w:tcW w:w="1650" w:type="dxa"/>
            <w:tcBorders>
              <w:top w:val="nil"/>
              <w:left w:val="nil"/>
              <w:bottom w:val="single" w:sz="8" w:space="0" w:color="auto"/>
              <w:right w:val="single" w:sz="8" w:space="0" w:color="auto"/>
            </w:tcBorders>
            <w:shd w:val="clear" w:color="000000" w:fill="DCE6F1"/>
            <w:vAlign w:val="center"/>
            <w:hideMark/>
          </w:tcPr>
          <w:p w:rsidR="006476F0" w:rsidRPr="000D45B5" w:rsidRDefault="006476F0" w:rsidP="00A444DF">
            <w:pPr>
              <w:pStyle w:val="BodyText"/>
              <w:spacing w:line="240" w:lineRule="auto"/>
              <w:jc w:val="right"/>
              <w:rPr>
                <w:bCs/>
                <w:szCs w:val="24"/>
              </w:rPr>
            </w:pPr>
            <w:r w:rsidRPr="000D45B5">
              <w:rPr>
                <w:bCs/>
                <w:szCs w:val="24"/>
              </w:rPr>
              <w:t xml:space="preserve">       1,670,064 </w:t>
            </w:r>
          </w:p>
        </w:tc>
        <w:tc>
          <w:tcPr>
            <w:tcW w:w="1200" w:type="dxa"/>
            <w:tcBorders>
              <w:top w:val="nil"/>
              <w:left w:val="nil"/>
              <w:bottom w:val="single" w:sz="8" w:space="0" w:color="auto"/>
              <w:right w:val="single" w:sz="8" w:space="0" w:color="auto"/>
            </w:tcBorders>
            <w:shd w:val="clear" w:color="000000" w:fill="DCE6F1"/>
            <w:vAlign w:val="center"/>
            <w:hideMark/>
          </w:tcPr>
          <w:p w:rsidR="006476F0" w:rsidRPr="000D45B5" w:rsidRDefault="006476F0" w:rsidP="00A444DF">
            <w:pPr>
              <w:pStyle w:val="BodyText"/>
              <w:spacing w:line="240" w:lineRule="auto"/>
              <w:jc w:val="right"/>
              <w:rPr>
                <w:bCs/>
                <w:szCs w:val="24"/>
              </w:rPr>
            </w:pPr>
            <w:r w:rsidRPr="000D45B5">
              <w:rPr>
                <w:bCs/>
                <w:szCs w:val="24"/>
              </w:rPr>
              <w:t xml:space="preserve">      89,406 </w:t>
            </w:r>
          </w:p>
        </w:tc>
      </w:tr>
    </w:tbl>
    <w:p w:rsidR="006476F0" w:rsidRPr="000D45B5" w:rsidRDefault="006476F0" w:rsidP="006814E4">
      <w:pPr>
        <w:pStyle w:val="BodyText"/>
        <w:spacing w:line="240" w:lineRule="auto"/>
        <w:rPr>
          <w:szCs w:val="24"/>
        </w:rPr>
      </w:pPr>
    </w:p>
    <w:p w:rsidR="006476F0" w:rsidRPr="000D45B5" w:rsidRDefault="006476F0" w:rsidP="006814E4">
      <w:pPr>
        <w:pStyle w:val="BodyText"/>
        <w:spacing w:line="240" w:lineRule="auto"/>
        <w:rPr>
          <w:szCs w:val="24"/>
        </w:rPr>
      </w:pPr>
      <w:r w:rsidRPr="000D45B5">
        <w:rPr>
          <w:szCs w:val="24"/>
        </w:rPr>
        <w:t xml:space="preserve">   </w:t>
      </w:r>
    </w:p>
    <w:p w:rsidR="006476F0" w:rsidRPr="00A444DF" w:rsidRDefault="006476F0" w:rsidP="00A444DF">
      <w:pPr>
        <w:pStyle w:val="BodyText"/>
        <w:spacing w:line="240" w:lineRule="auto"/>
        <w:ind w:firstLine="720"/>
        <w:rPr>
          <w:szCs w:val="24"/>
        </w:rPr>
      </w:pPr>
      <w:r w:rsidRPr="000D45B5">
        <w:rPr>
          <w:szCs w:val="24"/>
          <w:u w:val="single"/>
        </w:rPr>
        <w:t>Annualized Cost to Respondents</w:t>
      </w:r>
      <w:r w:rsidRPr="000D45B5">
        <w:rPr>
          <w:szCs w:val="24"/>
        </w:rPr>
        <w:t xml:space="preserve">:  $1,670,064 (See table above.)  </w:t>
      </w:r>
    </w:p>
    <w:p w:rsidR="006476F0" w:rsidRPr="000D45B5" w:rsidRDefault="006476F0" w:rsidP="006814E4">
      <w:pPr>
        <w:pStyle w:val="BodyText"/>
        <w:spacing w:line="240" w:lineRule="auto"/>
        <w:rPr>
          <w:szCs w:val="24"/>
        </w:rPr>
      </w:pPr>
    </w:p>
    <w:p w:rsidR="006476F0" w:rsidRPr="000D45B5" w:rsidRDefault="006476F0" w:rsidP="006476F0">
      <w:pPr>
        <w:pStyle w:val="BodyText"/>
        <w:numPr>
          <w:ilvl w:val="0"/>
          <w:numId w:val="35"/>
        </w:numPr>
        <w:spacing w:line="240" w:lineRule="auto"/>
        <w:rPr>
          <w:i/>
          <w:szCs w:val="24"/>
        </w:rPr>
      </w:pPr>
      <w:r w:rsidRPr="000D45B5">
        <w:rPr>
          <w:i/>
          <w:szCs w:val="24"/>
        </w:rPr>
        <w:t xml:space="preserve">Recordkeeping Requirements for Reverse Distributors </w:t>
      </w:r>
      <w:r w:rsidR="00517827">
        <w:rPr>
          <w:i/>
          <w:szCs w:val="24"/>
        </w:rPr>
        <w:t>that Acquire Controlled Substances from Law Enforcement</w:t>
      </w:r>
      <w:r w:rsidR="0064060A">
        <w:rPr>
          <w:i/>
          <w:szCs w:val="24"/>
        </w:rPr>
        <w:t>,</w:t>
      </w:r>
      <w:r w:rsidR="00517827">
        <w:rPr>
          <w:i/>
          <w:szCs w:val="24"/>
        </w:rPr>
        <w:t xml:space="preserve"> </w:t>
      </w:r>
      <w:r w:rsidRPr="000D45B5">
        <w:rPr>
          <w:i/>
          <w:szCs w:val="24"/>
        </w:rPr>
        <w:t xml:space="preserve">and </w:t>
      </w:r>
      <w:r w:rsidR="00517827">
        <w:rPr>
          <w:i/>
          <w:szCs w:val="24"/>
        </w:rPr>
        <w:t xml:space="preserve">Reverse Distributors and </w:t>
      </w:r>
      <w:r w:rsidRPr="000D45B5">
        <w:rPr>
          <w:i/>
          <w:szCs w:val="24"/>
        </w:rPr>
        <w:t>Distributors that Acquire Controlled Substances from Authorized Collectors that Collect Controlled Substances from Ultimate Users</w:t>
      </w:r>
    </w:p>
    <w:p w:rsidR="00306CB1" w:rsidRPr="000D45B5" w:rsidRDefault="00306CB1" w:rsidP="006814E4">
      <w:pPr>
        <w:pStyle w:val="BodyText"/>
        <w:spacing w:line="240" w:lineRule="auto"/>
        <w:rPr>
          <w:szCs w:val="24"/>
          <w:u w:val="single"/>
        </w:rPr>
      </w:pPr>
    </w:p>
    <w:p w:rsidR="006476F0" w:rsidRPr="000D45B5" w:rsidRDefault="006476F0" w:rsidP="000D45B5">
      <w:pPr>
        <w:pStyle w:val="BodyText"/>
        <w:spacing w:line="240" w:lineRule="auto"/>
        <w:ind w:firstLine="720"/>
        <w:rPr>
          <w:szCs w:val="24"/>
        </w:rPr>
      </w:pPr>
      <w:r w:rsidRPr="000D45B5">
        <w:rPr>
          <w:szCs w:val="24"/>
          <w:u w:val="single"/>
        </w:rPr>
        <w:t>Number of Respondents</w:t>
      </w:r>
      <w:r w:rsidRPr="000D45B5">
        <w:rPr>
          <w:szCs w:val="24"/>
        </w:rPr>
        <w:t xml:space="preserve">:  889 </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rPr>
        <w:t xml:space="preserve">Note:  There is a </w:t>
      </w:r>
      <w:r w:rsidR="00150AA5">
        <w:rPr>
          <w:szCs w:val="24"/>
        </w:rPr>
        <w:t>current</w:t>
      </w:r>
      <w:r w:rsidRPr="000D45B5">
        <w:rPr>
          <w:szCs w:val="24"/>
        </w:rPr>
        <w:t xml:space="preserve"> population of 889 registrants (829 Distributors; 60 Reverse Distributors) that may participate; however, the DEA has no information to determine the actual number of registrants that will </w:t>
      </w:r>
      <w:r w:rsidR="00A7124E">
        <w:rPr>
          <w:szCs w:val="24"/>
        </w:rPr>
        <w:t xml:space="preserve">become authorized </w:t>
      </w:r>
      <w:r w:rsidRPr="000D45B5">
        <w:rPr>
          <w:szCs w:val="24"/>
        </w:rPr>
        <w:t xml:space="preserve"> collectors</w:t>
      </w:r>
      <w:r w:rsidR="00A7124E">
        <w:rPr>
          <w:szCs w:val="24"/>
        </w:rPr>
        <w:t xml:space="preserve">, and therefore, the DEA has no information to determine the actual number of reverse </w:t>
      </w:r>
      <w:r w:rsidR="000C2B1F">
        <w:rPr>
          <w:szCs w:val="24"/>
        </w:rPr>
        <w:t>distributors and distributors that will accept collected substances for destruction</w:t>
      </w:r>
      <w:r w:rsidRPr="000D45B5">
        <w:rPr>
          <w:szCs w:val="24"/>
        </w:rPr>
        <w:t xml:space="preserve">.  </w:t>
      </w:r>
    </w:p>
    <w:p w:rsidR="006476F0" w:rsidRPr="000D45B5" w:rsidRDefault="006476F0" w:rsidP="006814E4">
      <w:pPr>
        <w:pStyle w:val="BodyText"/>
        <w:spacing w:line="240" w:lineRule="auto"/>
        <w:rPr>
          <w:szCs w:val="24"/>
        </w:rPr>
      </w:pPr>
      <w:r w:rsidRPr="000D45B5">
        <w:rPr>
          <w:szCs w:val="24"/>
        </w:rPr>
        <w:t xml:space="preserve"> </w:t>
      </w:r>
    </w:p>
    <w:p w:rsidR="006476F0" w:rsidRPr="000D45B5" w:rsidRDefault="006476F0" w:rsidP="000D45B5">
      <w:pPr>
        <w:pStyle w:val="BodyText"/>
        <w:spacing w:line="240" w:lineRule="auto"/>
        <w:ind w:firstLine="720"/>
        <w:rPr>
          <w:szCs w:val="24"/>
        </w:rPr>
      </w:pPr>
      <w:r w:rsidRPr="000D45B5">
        <w:rPr>
          <w:szCs w:val="24"/>
          <w:u w:val="single"/>
        </w:rPr>
        <w:t>Frequency of Response</w:t>
      </w:r>
      <w:r w:rsidRPr="000D45B5">
        <w:rPr>
          <w:szCs w:val="24"/>
        </w:rPr>
        <w:t xml:space="preserve">:  Varies. </w:t>
      </w:r>
    </w:p>
    <w:p w:rsidR="006476F0" w:rsidRPr="000D45B5" w:rsidRDefault="006476F0" w:rsidP="006814E4">
      <w:pPr>
        <w:pStyle w:val="BodyText"/>
        <w:spacing w:line="240" w:lineRule="auto"/>
        <w:rPr>
          <w:szCs w:val="24"/>
        </w:rPr>
      </w:pPr>
      <w:r w:rsidRPr="000D45B5">
        <w:rPr>
          <w:szCs w:val="24"/>
        </w:rPr>
        <w:t xml:space="preserve">The DEA estimates the frequency of response will vary because, in accordance with 21 U.S.C. 827(a), registrants maintain, on a current basis, a complete and accurate record of each controlled substance manufactured, received, sold, delivered, or otherwise disposed of. </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Annual Hour Burden</w:t>
      </w:r>
      <w:r w:rsidRPr="000D45B5">
        <w:rPr>
          <w:szCs w:val="24"/>
        </w:rPr>
        <w:t>:  472 hours (32 minutes per event)</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rPr>
        <w:t xml:space="preserve">Note:  Upon </w:t>
      </w:r>
      <w:r w:rsidR="00A368C1">
        <w:rPr>
          <w:szCs w:val="24"/>
        </w:rPr>
        <w:t xml:space="preserve">the effective date </w:t>
      </w:r>
      <w:r w:rsidRPr="000D45B5">
        <w:rPr>
          <w:szCs w:val="24"/>
        </w:rPr>
        <w:t>of th</w:t>
      </w:r>
      <w:r w:rsidR="00126EC9">
        <w:rPr>
          <w:szCs w:val="24"/>
        </w:rPr>
        <w:t>e</w:t>
      </w:r>
      <w:r w:rsidRPr="000D45B5">
        <w:rPr>
          <w:szCs w:val="24"/>
        </w:rPr>
        <w:t xml:space="preserve"> final rule, reverse distributors and distributors who acquire controlled substances from law enforcement or collectors who collect controlled substances from ultimate users will be required to maintain records of the receipt, transfer, and destruction of controlled substances.   </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u w:val="single"/>
        </w:rPr>
        <w:t xml:space="preserve">Explanation of How the Burden was </w:t>
      </w:r>
      <w:proofErr w:type="gramStart"/>
      <w:r w:rsidRPr="000D45B5">
        <w:rPr>
          <w:szCs w:val="24"/>
          <w:u w:val="single"/>
        </w:rPr>
        <w:t>Estimated</w:t>
      </w:r>
      <w:proofErr w:type="gramEnd"/>
      <w:r w:rsidRPr="000D45B5">
        <w:rPr>
          <w:szCs w:val="24"/>
        </w:rPr>
        <w:t xml:space="preserve">:  </w:t>
      </w:r>
    </w:p>
    <w:p w:rsidR="006476F0" w:rsidRPr="000D45B5" w:rsidRDefault="006476F0" w:rsidP="006814E4">
      <w:pPr>
        <w:pStyle w:val="BodyText"/>
        <w:spacing w:line="240" w:lineRule="auto"/>
        <w:rPr>
          <w:szCs w:val="24"/>
        </w:rPr>
      </w:pPr>
    </w:p>
    <w:p w:rsidR="006476F0" w:rsidRPr="000D45B5" w:rsidRDefault="006476F0" w:rsidP="000D45B5">
      <w:pPr>
        <w:pStyle w:val="BodyText"/>
        <w:spacing w:line="240" w:lineRule="auto"/>
        <w:ind w:firstLine="720"/>
        <w:rPr>
          <w:szCs w:val="24"/>
        </w:rPr>
      </w:pPr>
      <w:r w:rsidRPr="000D45B5">
        <w:rPr>
          <w:szCs w:val="24"/>
        </w:rPr>
        <w:t xml:space="preserve">The DEA used the median hourly wage of $15.97 for 53-0000 Transportation and Material Moving Occupations in the Warehousing and Storage Industry from the Bureau of Labor Statistics May 2012 Occupational Employment and Wages data and applied a 32.5% load for taxes and benefits for a labor unit cost of $21.16.  </w:t>
      </w:r>
    </w:p>
    <w:p w:rsidR="006476F0" w:rsidRPr="000D45B5" w:rsidRDefault="006476F0" w:rsidP="006814E4">
      <w:pPr>
        <w:pStyle w:val="BodyText"/>
        <w:spacing w:line="240" w:lineRule="auto"/>
        <w:rPr>
          <w:szCs w:val="24"/>
        </w:rPr>
      </w:pPr>
    </w:p>
    <w:tbl>
      <w:tblPr>
        <w:tblW w:w="8126" w:type="dxa"/>
        <w:tblInd w:w="93" w:type="dxa"/>
        <w:tblLook w:val="04A0" w:firstRow="1" w:lastRow="0" w:firstColumn="1" w:lastColumn="0" w:noHBand="0" w:noVBand="1"/>
      </w:tblPr>
      <w:tblGrid>
        <w:gridCol w:w="8126"/>
      </w:tblGrid>
      <w:tr w:rsidR="006476F0" w:rsidRPr="006814E4" w:rsidTr="00EE15DA">
        <w:trPr>
          <w:trHeight w:val="720"/>
        </w:trPr>
        <w:tc>
          <w:tcPr>
            <w:tcW w:w="8126" w:type="dxa"/>
            <w:tcBorders>
              <w:top w:val="nil"/>
              <w:left w:val="nil"/>
              <w:bottom w:val="nil"/>
              <w:right w:val="nil"/>
            </w:tcBorders>
            <w:shd w:val="clear" w:color="auto" w:fill="auto"/>
            <w:hideMark/>
          </w:tcPr>
          <w:p w:rsidR="002806C1" w:rsidRDefault="002806C1" w:rsidP="006814E4">
            <w:pPr>
              <w:pStyle w:val="BodyText"/>
              <w:spacing w:line="240" w:lineRule="auto"/>
              <w:rPr>
                <w:bCs/>
                <w:sz w:val="20"/>
              </w:rPr>
            </w:pPr>
            <w:r w:rsidRPr="002806C1">
              <w:rPr>
                <w:bCs/>
                <w:sz w:val="20"/>
              </w:rPr>
              <w:t xml:space="preserve">Reverse Distributor/Distributor Acquisition of Controlled Substances from Law Enforcement or </w:t>
            </w:r>
          </w:p>
          <w:p w:rsidR="006476F0" w:rsidRPr="002806C1" w:rsidRDefault="002806C1" w:rsidP="006814E4">
            <w:pPr>
              <w:pStyle w:val="BodyText"/>
              <w:spacing w:line="240" w:lineRule="auto"/>
              <w:rPr>
                <w:bCs/>
                <w:sz w:val="20"/>
              </w:rPr>
            </w:pPr>
            <w:r>
              <w:rPr>
                <w:bCs/>
                <w:sz w:val="20"/>
              </w:rPr>
              <w:t xml:space="preserve">      </w:t>
            </w:r>
            <w:r w:rsidRPr="002806C1">
              <w:rPr>
                <w:bCs/>
                <w:sz w:val="20"/>
              </w:rPr>
              <w:t>Authorized Collectors</w:t>
            </w:r>
          </w:p>
          <w:tbl>
            <w:tblPr>
              <w:tblW w:w="7900" w:type="dxa"/>
              <w:tblLook w:val="04A0" w:firstRow="1" w:lastRow="0" w:firstColumn="1" w:lastColumn="0" w:noHBand="0" w:noVBand="1"/>
            </w:tblPr>
            <w:tblGrid>
              <w:gridCol w:w="2340"/>
              <w:gridCol w:w="2540"/>
              <w:gridCol w:w="1480"/>
              <w:gridCol w:w="1540"/>
            </w:tblGrid>
            <w:tr w:rsidR="006476F0" w:rsidRPr="006814E4" w:rsidTr="00A444DF">
              <w:trPr>
                <w:trHeight w:val="630"/>
              </w:trPr>
              <w:tc>
                <w:tcPr>
                  <w:tcW w:w="23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6476F0" w:rsidRPr="000D45B5" w:rsidRDefault="006476F0" w:rsidP="006814E4">
                  <w:pPr>
                    <w:pStyle w:val="BodyText"/>
                    <w:spacing w:line="240" w:lineRule="auto"/>
                    <w:rPr>
                      <w:bCs/>
                      <w:szCs w:val="24"/>
                    </w:rPr>
                  </w:pPr>
                  <w:r w:rsidRPr="000D45B5">
                    <w:rPr>
                      <w:bCs/>
                      <w:szCs w:val="24"/>
                    </w:rPr>
                    <w:t>Activity</w:t>
                  </w:r>
                </w:p>
              </w:tc>
              <w:tc>
                <w:tcPr>
                  <w:tcW w:w="254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6476F0" w:rsidRPr="000D45B5" w:rsidRDefault="006476F0" w:rsidP="00A444DF">
                  <w:pPr>
                    <w:pStyle w:val="BodyText"/>
                    <w:spacing w:line="240" w:lineRule="auto"/>
                    <w:jc w:val="center"/>
                    <w:rPr>
                      <w:bCs/>
                      <w:szCs w:val="24"/>
                    </w:rPr>
                  </w:pPr>
                  <w:r w:rsidRPr="000D45B5">
                    <w:rPr>
                      <w:bCs/>
                      <w:szCs w:val="24"/>
                    </w:rPr>
                    <w:t>Estimated Time</w:t>
                  </w:r>
                </w:p>
              </w:tc>
              <w:tc>
                <w:tcPr>
                  <w:tcW w:w="14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6476F0" w:rsidRPr="000D45B5" w:rsidRDefault="006476F0" w:rsidP="00A444DF">
                  <w:pPr>
                    <w:pStyle w:val="BodyText"/>
                    <w:spacing w:line="240" w:lineRule="auto"/>
                    <w:jc w:val="center"/>
                    <w:rPr>
                      <w:bCs/>
                      <w:szCs w:val="24"/>
                    </w:rPr>
                  </w:pPr>
                  <w:r w:rsidRPr="000D45B5">
                    <w:rPr>
                      <w:bCs/>
                      <w:szCs w:val="24"/>
                    </w:rPr>
                    <w:t>Labor Unit</w:t>
                  </w:r>
                  <w:r w:rsidRPr="000D45B5">
                    <w:rPr>
                      <w:bCs/>
                      <w:szCs w:val="24"/>
                    </w:rPr>
                    <w:br/>
                    <w:t>(per hour)</w:t>
                  </w:r>
                  <w:r w:rsidR="00150AA5">
                    <w:rPr>
                      <w:bCs/>
                      <w:szCs w:val="24"/>
                    </w:rPr>
                    <w:t xml:space="preserve"> ($)</w:t>
                  </w:r>
                </w:p>
              </w:tc>
              <w:tc>
                <w:tcPr>
                  <w:tcW w:w="154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6476F0" w:rsidRPr="000D45B5" w:rsidRDefault="006476F0" w:rsidP="00A444DF">
                  <w:pPr>
                    <w:pStyle w:val="BodyText"/>
                    <w:spacing w:line="240" w:lineRule="auto"/>
                    <w:jc w:val="center"/>
                    <w:rPr>
                      <w:bCs/>
                      <w:szCs w:val="24"/>
                    </w:rPr>
                  </w:pPr>
                  <w:r w:rsidRPr="000D45B5">
                    <w:rPr>
                      <w:bCs/>
                      <w:szCs w:val="24"/>
                    </w:rPr>
                    <w:t>Labor Cost</w:t>
                  </w:r>
                  <w:r w:rsidR="00150AA5">
                    <w:rPr>
                      <w:bCs/>
                      <w:szCs w:val="24"/>
                    </w:rPr>
                    <w:t xml:space="preserve"> ($)</w:t>
                  </w:r>
                </w:p>
              </w:tc>
            </w:tr>
            <w:tr w:rsidR="006476F0" w:rsidRPr="006814E4" w:rsidTr="00EE15DA">
              <w:trPr>
                <w:trHeight w:val="476"/>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6F0" w:rsidRPr="000D45B5" w:rsidRDefault="006476F0" w:rsidP="006814E4">
                  <w:pPr>
                    <w:pStyle w:val="BodyText"/>
                    <w:spacing w:line="240" w:lineRule="auto"/>
                    <w:rPr>
                      <w:szCs w:val="24"/>
                    </w:rPr>
                  </w:pPr>
                  <w:r w:rsidRPr="000D45B5">
                    <w:rPr>
                      <w:szCs w:val="24"/>
                    </w:rPr>
                    <w:t>Upon Receipt</w:t>
                  </w:r>
                </w:p>
              </w:tc>
              <w:tc>
                <w:tcPr>
                  <w:tcW w:w="2540" w:type="dxa"/>
                  <w:tcBorders>
                    <w:top w:val="nil"/>
                    <w:left w:val="nil"/>
                    <w:bottom w:val="single" w:sz="4" w:space="0" w:color="auto"/>
                    <w:right w:val="single" w:sz="4" w:space="0" w:color="auto"/>
                  </w:tcBorders>
                  <w:shd w:val="clear" w:color="auto" w:fill="auto"/>
                  <w:vAlign w:val="bottom"/>
                  <w:hideMark/>
                </w:tcPr>
                <w:p w:rsidR="006476F0" w:rsidRPr="000D45B5" w:rsidRDefault="006476F0" w:rsidP="00A444DF">
                  <w:pPr>
                    <w:pStyle w:val="BodyText"/>
                    <w:spacing w:line="240" w:lineRule="auto"/>
                    <w:jc w:val="right"/>
                    <w:rPr>
                      <w:szCs w:val="24"/>
                    </w:rPr>
                  </w:pPr>
                  <w:r w:rsidRPr="000D45B5">
                    <w:rPr>
                      <w:szCs w:val="24"/>
                    </w:rPr>
                    <w:t>1 minute</w:t>
                  </w:r>
                </w:p>
              </w:tc>
              <w:tc>
                <w:tcPr>
                  <w:tcW w:w="1480" w:type="dxa"/>
                  <w:tcBorders>
                    <w:top w:val="nil"/>
                    <w:left w:val="nil"/>
                    <w:bottom w:val="single" w:sz="4" w:space="0" w:color="auto"/>
                    <w:right w:val="single" w:sz="4" w:space="0" w:color="auto"/>
                  </w:tcBorders>
                  <w:shd w:val="clear" w:color="auto" w:fill="auto"/>
                  <w:noWrap/>
                  <w:vAlign w:val="bottom"/>
                  <w:hideMark/>
                </w:tcPr>
                <w:p w:rsidR="006476F0" w:rsidRPr="000D45B5" w:rsidRDefault="006476F0" w:rsidP="00A444DF">
                  <w:pPr>
                    <w:pStyle w:val="BodyText"/>
                    <w:spacing w:line="240" w:lineRule="auto"/>
                    <w:jc w:val="right"/>
                    <w:rPr>
                      <w:szCs w:val="24"/>
                    </w:rPr>
                  </w:pPr>
                  <w:r w:rsidRPr="000D45B5">
                    <w:rPr>
                      <w:szCs w:val="24"/>
                    </w:rPr>
                    <w:t>21.16</w:t>
                  </w:r>
                </w:p>
              </w:tc>
              <w:tc>
                <w:tcPr>
                  <w:tcW w:w="1540" w:type="dxa"/>
                  <w:tcBorders>
                    <w:top w:val="nil"/>
                    <w:left w:val="nil"/>
                    <w:bottom w:val="single" w:sz="4" w:space="0" w:color="auto"/>
                    <w:right w:val="single" w:sz="4" w:space="0" w:color="auto"/>
                  </w:tcBorders>
                  <w:shd w:val="clear" w:color="auto" w:fill="auto"/>
                  <w:noWrap/>
                  <w:vAlign w:val="bottom"/>
                  <w:hideMark/>
                </w:tcPr>
                <w:p w:rsidR="006476F0" w:rsidRPr="000D45B5" w:rsidRDefault="006476F0" w:rsidP="00A444DF">
                  <w:pPr>
                    <w:pStyle w:val="BodyText"/>
                    <w:spacing w:line="240" w:lineRule="auto"/>
                    <w:jc w:val="right"/>
                    <w:rPr>
                      <w:szCs w:val="24"/>
                    </w:rPr>
                  </w:pPr>
                  <w:r w:rsidRPr="000D45B5">
                    <w:rPr>
                      <w:szCs w:val="24"/>
                    </w:rPr>
                    <w:t>0.35</w:t>
                  </w:r>
                </w:p>
              </w:tc>
            </w:tr>
            <w:tr w:rsidR="006476F0" w:rsidRPr="006814E4" w:rsidTr="00EE15DA">
              <w:trPr>
                <w:trHeight w:val="630"/>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6476F0" w:rsidRPr="000D45B5" w:rsidRDefault="006476F0" w:rsidP="006814E4">
                  <w:pPr>
                    <w:pStyle w:val="BodyText"/>
                    <w:spacing w:line="240" w:lineRule="auto"/>
                    <w:rPr>
                      <w:szCs w:val="24"/>
                    </w:rPr>
                  </w:pPr>
                  <w:r w:rsidRPr="000D45B5">
                    <w:rPr>
                      <w:szCs w:val="24"/>
                    </w:rPr>
                    <w:t>Upon Transfer to Secure Storage</w:t>
                  </w:r>
                </w:p>
              </w:tc>
              <w:tc>
                <w:tcPr>
                  <w:tcW w:w="2540" w:type="dxa"/>
                  <w:tcBorders>
                    <w:top w:val="nil"/>
                    <w:left w:val="nil"/>
                    <w:bottom w:val="single" w:sz="4" w:space="0" w:color="auto"/>
                    <w:right w:val="single" w:sz="4" w:space="0" w:color="auto"/>
                  </w:tcBorders>
                  <w:shd w:val="clear" w:color="auto" w:fill="auto"/>
                  <w:vAlign w:val="bottom"/>
                  <w:hideMark/>
                </w:tcPr>
                <w:p w:rsidR="006476F0" w:rsidRPr="000D45B5" w:rsidRDefault="006476F0" w:rsidP="00A444DF">
                  <w:pPr>
                    <w:pStyle w:val="BodyText"/>
                    <w:spacing w:line="240" w:lineRule="auto"/>
                    <w:jc w:val="right"/>
                    <w:rPr>
                      <w:szCs w:val="24"/>
                    </w:rPr>
                  </w:pPr>
                  <w:r w:rsidRPr="000D45B5">
                    <w:rPr>
                      <w:szCs w:val="24"/>
                    </w:rPr>
                    <w:t>1 minute</w:t>
                  </w:r>
                </w:p>
              </w:tc>
              <w:tc>
                <w:tcPr>
                  <w:tcW w:w="1480" w:type="dxa"/>
                  <w:tcBorders>
                    <w:top w:val="nil"/>
                    <w:left w:val="nil"/>
                    <w:bottom w:val="single" w:sz="4" w:space="0" w:color="auto"/>
                    <w:right w:val="single" w:sz="4" w:space="0" w:color="auto"/>
                  </w:tcBorders>
                  <w:shd w:val="clear" w:color="auto" w:fill="auto"/>
                  <w:noWrap/>
                  <w:vAlign w:val="bottom"/>
                  <w:hideMark/>
                </w:tcPr>
                <w:p w:rsidR="006476F0" w:rsidRPr="000D45B5" w:rsidRDefault="006476F0" w:rsidP="00A444DF">
                  <w:pPr>
                    <w:pStyle w:val="BodyText"/>
                    <w:spacing w:line="240" w:lineRule="auto"/>
                    <w:jc w:val="right"/>
                    <w:rPr>
                      <w:szCs w:val="24"/>
                    </w:rPr>
                  </w:pPr>
                  <w:r w:rsidRPr="000D45B5">
                    <w:rPr>
                      <w:szCs w:val="24"/>
                    </w:rPr>
                    <w:t>21.16</w:t>
                  </w:r>
                </w:p>
              </w:tc>
              <w:tc>
                <w:tcPr>
                  <w:tcW w:w="1540" w:type="dxa"/>
                  <w:tcBorders>
                    <w:top w:val="nil"/>
                    <w:left w:val="nil"/>
                    <w:bottom w:val="single" w:sz="4" w:space="0" w:color="auto"/>
                    <w:right w:val="single" w:sz="4" w:space="0" w:color="auto"/>
                  </w:tcBorders>
                  <w:shd w:val="clear" w:color="auto" w:fill="auto"/>
                  <w:noWrap/>
                  <w:vAlign w:val="bottom"/>
                  <w:hideMark/>
                </w:tcPr>
                <w:p w:rsidR="006476F0" w:rsidRPr="000D45B5" w:rsidRDefault="006476F0" w:rsidP="00A444DF">
                  <w:pPr>
                    <w:pStyle w:val="BodyText"/>
                    <w:spacing w:line="240" w:lineRule="auto"/>
                    <w:jc w:val="right"/>
                    <w:rPr>
                      <w:szCs w:val="24"/>
                    </w:rPr>
                  </w:pPr>
                  <w:r w:rsidRPr="000D45B5">
                    <w:rPr>
                      <w:szCs w:val="24"/>
                    </w:rPr>
                    <w:t>0.35</w:t>
                  </w:r>
                </w:p>
              </w:tc>
            </w:tr>
            <w:tr w:rsidR="006476F0" w:rsidRPr="006814E4" w:rsidTr="00EE15DA">
              <w:trPr>
                <w:trHeight w:val="945"/>
              </w:trPr>
              <w:tc>
                <w:tcPr>
                  <w:tcW w:w="2340" w:type="dxa"/>
                  <w:tcBorders>
                    <w:top w:val="nil"/>
                    <w:left w:val="single" w:sz="4" w:space="0" w:color="auto"/>
                    <w:bottom w:val="single" w:sz="4" w:space="0" w:color="auto"/>
                    <w:right w:val="single" w:sz="4" w:space="0" w:color="auto"/>
                  </w:tcBorders>
                  <w:shd w:val="clear" w:color="auto" w:fill="auto"/>
                  <w:vAlign w:val="bottom"/>
                  <w:hideMark/>
                </w:tcPr>
                <w:p w:rsidR="006476F0" w:rsidRPr="000D45B5" w:rsidRDefault="006476F0" w:rsidP="006814E4">
                  <w:pPr>
                    <w:pStyle w:val="BodyText"/>
                    <w:spacing w:line="240" w:lineRule="auto"/>
                    <w:rPr>
                      <w:szCs w:val="24"/>
                    </w:rPr>
                  </w:pPr>
                  <w:r w:rsidRPr="000D45B5">
                    <w:rPr>
                      <w:szCs w:val="24"/>
                    </w:rPr>
                    <w:t>Upon Destruction (Use of DEA Form 41)</w:t>
                  </w:r>
                </w:p>
              </w:tc>
              <w:tc>
                <w:tcPr>
                  <w:tcW w:w="2540" w:type="dxa"/>
                  <w:tcBorders>
                    <w:top w:val="nil"/>
                    <w:left w:val="nil"/>
                    <w:bottom w:val="single" w:sz="4" w:space="0" w:color="auto"/>
                    <w:right w:val="single" w:sz="4" w:space="0" w:color="auto"/>
                  </w:tcBorders>
                  <w:shd w:val="clear" w:color="auto" w:fill="auto"/>
                  <w:vAlign w:val="bottom"/>
                  <w:hideMark/>
                </w:tcPr>
                <w:p w:rsidR="006476F0" w:rsidRPr="000D45B5" w:rsidRDefault="006476F0" w:rsidP="00A444DF">
                  <w:pPr>
                    <w:pStyle w:val="BodyText"/>
                    <w:spacing w:line="240" w:lineRule="auto"/>
                    <w:jc w:val="right"/>
                    <w:rPr>
                      <w:szCs w:val="24"/>
                    </w:rPr>
                  </w:pPr>
                  <w:r w:rsidRPr="000D45B5">
                    <w:rPr>
                      <w:szCs w:val="24"/>
                    </w:rPr>
                    <w:t>30 minutes</w:t>
                  </w:r>
                </w:p>
              </w:tc>
              <w:tc>
                <w:tcPr>
                  <w:tcW w:w="1480" w:type="dxa"/>
                  <w:tcBorders>
                    <w:top w:val="nil"/>
                    <w:left w:val="nil"/>
                    <w:bottom w:val="single" w:sz="4" w:space="0" w:color="auto"/>
                    <w:right w:val="single" w:sz="4" w:space="0" w:color="auto"/>
                  </w:tcBorders>
                  <w:shd w:val="clear" w:color="auto" w:fill="auto"/>
                  <w:noWrap/>
                  <w:vAlign w:val="bottom"/>
                  <w:hideMark/>
                </w:tcPr>
                <w:p w:rsidR="006476F0" w:rsidRPr="000D45B5" w:rsidRDefault="006476F0" w:rsidP="00A444DF">
                  <w:pPr>
                    <w:pStyle w:val="BodyText"/>
                    <w:spacing w:line="240" w:lineRule="auto"/>
                    <w:jc w:val="right"/>
                    <w:rPr>
                      <w:szCs w:val="24"/>
                    </w:rPr>
                  </w:pPr>
                  <w:r w:rsidRPr="000D45B5">
                    <w:rPr>
                      <w:szCs w:val="24"/>
                    </w:rPr>
                    <w:t>21.16</w:t>
                  </w:r>
                </w:p>
              </w:tc>
              <w:tc>
                <w:tcPr>
                  <w:tcW w:w="1540" w:type="dxa"/>
                  <w:tcBorders>
                    <w:top w:val="nil"/>
                    <w:left w:val="nil"/>
                    <w:bottom w:val="single" w:sz="4" w:space="0" w:color="auto"/>
                    <w:right w:val="single" w:sz="4" w:space="0" w:color="auto"/>
                  </w:tcBorders>
                  <w:shd w:val="clear" w:color="auto" w:fill="auto"/>
                  <w:noWrap/>
                  <w:vAlign w:val="bottom"/>
                  <w:hideMark/>
                </w:tcPr>
                <w:p w:rsidR="006476F0" w:rsidRPr="000D45B5" w:rsidRDefault="006476F0" w:rsidP="00A444DF">
                  <w:pPr>
                    <w:pStyle w:val="BodyText"/>
                    <w:spacing w:line="240" w:lineRule="auto"/>
                    <w:jc w:val="right"/>
                    <w:rPr>
                      <w:szCs w:val="24"/>
                    </w:rPr>
                  </w:pPr>
                  <w:r w:rsidRPr="000D45B5">
                    <w:rPr>
                      <w:szCs w:val="24"/>
                    </w:rPr>
                    <w:t>10.58</w:t>
                  </w:r>
                </w:p>
              </w:tc>
            </w:tr>
            <w:tr w:rsidR="006476F0" w:rsidRPr="006814E4" w:rsidTr="00A444DF">
              <w:trPr>
                <w:trHeight w:val="315"/>
              </w:trPr>
              <w:tc>
                <w:tcPr>
                  <w:tcW w:w="2340"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6476F0" w:rsidRPr="000D45B5" w:rsidRDefault="006476F0" w:rsidP="006814E4">
                  <w:pPr>
                    <w:pStyle w:val="BodyText"/>
                    <w:spacing w:line="240" w:lineRule="auto"/>
                    <w:rPr>
                      <w:bCs/>
                      <w:szCs w:val="24"/>
                    </w:rPr>
                  </w:pPr>
                  <w:r w:rsidRPr="000D45B5">
                    <w:rPr>
                      <w:bCs/>
                      <w:szCs w:val="24"/>
                    </w:rPr>
                    <w:t>Total</w:t>
                  </w:r>
                </w:p>
              </w:tc>
              <w:tc>
                <w:tcPr>
                  <w:tcW w:w="2540" w:type="dxa"/>
                  <w:tcBorders>
                    <w:top w:val="nil"/>
                    <w:left w:val="nil"/>
                    <w:bottom w:val="single" w:sz="4" w:space="0" w:color="auto"/>
                    <w:right w:val="single" w:sz="4" w:space="0" w:color="auto"/>
                  </w:tcBorders>
                  <w:shd w:val="clear" w:color="auto" w:fill="DBE5F1" w:themeFill="accent1" w:themeFillTint="33"/>
                  <w:vAlign w:val="bottom"/>
                  <w:hideMark/>
                </w:tcPr>
                <w:p w:rsidR="006476F0" w:rsidRPr="000D45B5" w:rsidRDefault="006476F0" w:rsidP="00A444DF">
                  <w:pPr>
                    <w:pStyle w:val="BodyText"/>
                    <w:spacing w:line="240" w:lineRule="auto"/>
                    <w:jc w:val="right"/>
                    <w:rPr>
                      <w:bCs/>
                      <w:szCs w:val="24"/>
                    </w:rPr>
                  </w:pPr>
                  <w:r w:rsidRPr="000D45B5">
                    <w:rPr>
                      <w:bCs/>
                      <w:szCs w:val="24"/>
                    </w:rPr>
                    <w:t>32 minutes</w:t>
                  </w:r>
                </w:p>
              </w:tc>
              <w:tc>
                <w:tcPr>
                  <w:tcW w:w="1480" w:type="dxa"/>
                  <w:tcBorders>
                    <w:top w:val="nil"/>
                    <w:left w:val="nil"/>
                    <w:bottom w:val="single" w:sz="4" w:space="0" w:color="auto"/>
                    <w:right w:val="single" w:sz="4" w:space="0" w:color="auto"/>
                  </w:tcBorders>
                  <w:shd w:val="clear" w:color="auto" w:fill="DBE5F1" w:themeFill="accent1" w:themeFillTint="33"/>
                  <w:noWrap/>
                  <w:vAlign w:val="bottom"/>
                  <w:hideMark/>
                </w:tcPr>
                <w:p w:rsidR="006476F0" w:rsidRPr="000D45B5" w:rsidRDefault="006476F0" w:rsidP="00A444DF">
                  <w:pPr>
                    <w:pStyle w:val="BodyText"/>
                    <w:spacing w:line="240" w:lineRule="auto"/>
                    <w:jc w:val="right"/>
                    <w:rPr>
                      <w:bCs/>
                      <w:szCs w:val="24"/>
                    </w:rPr>
                  </w:pPr>
                  <w:r w:rsidRPr="000D45B5">
                    <w:rPr>
                      <w:bCs/>
                      <w:szCs w:val="24"/>
                    </w:rPr>
                    <w:t>21.16</w:t>
                  </w:r>
                </w:p>
              </w:tc>
              <w:tc>
                <w:tcPr>
                  <w:tcW w:w="1540" w:type="dxa"/>
                  <w:tcBorders>
                    <w:top w:val="nil"/>
                    <w:left w:val="nil"/>
                    <w:bottom w:val="single" w:sz="4" w:space="0" w:color="auto"/>
                    <w:right w:val="single" w:sz="4" w:space="0" w:color="auto"/>
                  </w:tcBorders>
                  <w:shd w:val="clear" w:color="auto" w:fill="DBE5F1" w:themeFill="accent1" w:themeFillTint="33"/>
                  <w:noWrap/>
                  <w:vAlign w:val="bottom"/>
                  <w:hideMark/>
                </w:tcPr>
                <w:p w:rsidR="006476F0" w:rsidRPr="000D45B5" w:rsidRDefault="006476F0" w:rsidP="00A444DF">
                  <w:pPr>
                    <w:pStyle w:val="BodyText"/>
                    <w:spacing w:line="240" w:lineRule="auto"/>
                    <w:jc w:val="right"/>
                    <w:rPr>
                      <w:bCs/>
                      <w:szCs w:val="24"/>
                    </w:rPr>
                  </w:pPr>
                  <w:r w:rsidRPr="000D45B5">
                    <w:rPr>
                      <w:bCs/>
                      <w:szCs w:val="24"/>
                    </w:rPr>
                    <w:t>11.29</w:t>
                  </w:r>
                </w:p>
              </w:tc>
            </w:tr>
          </w:tbl>
          <w:p w:rsidR="006476F0" w:rsidRPr="000D45B5" w:rsidRDefault="006476F0" w:rsidP="006814E4">
            <w:pPr>
              <w:pStyle w:val="BodyText"/>
              <w:spacing w:line="240" w:lineRule="auto"/>
              <w:rPr>
                <w:bCs/>
                <w:szCs w:val="24"/>
              </w:rPr>
            </w:pPr>
          </w:p>
        </w:tc>
      </w:tr>
    </w:tbl>
    <w:p w:rsidR="006476F0" w:rsidRPr="000D45B5" w:rsidRDefault="006476F0" w:rsidP="006814E4">
      <w:pPr>
        <w:pStyle w:val="BodyText"/>
        <w:spacing w:line="240" w:lineRule="auto"/>
        <w:rPr>
          <w:szCs w:val="24"/>
          <w:u w:val="single"/>
        </w:rPr>
      </w:pPr>
    </w:p>
    <w:p w:rsidR="002806C1" w:rsidRPr="000D45B5" w:rsidRDefault="006476F0" w:rsidP="002806C1">
      <w:pPr>
        <w:pStyle w:val="BodyText"/>
        <w:spacing w:line="240" w:lineRule="auto"/>
        <w:ind w:firstLine="360"/>
        <w:rPr>
          <w:szCs w:val="24"/>
        </w:rPr>
      </w:pPr>
      <w:r w:rsidRPr="000D45B5">
        <w:rPr>
          <w:szCs w:val="24"/>
          <w:u w:val="single"/>
        </w:rPr>
        <w:t>Annualized Cost to Respondents</w:t>
      </w:r>
      <w:r w:rsidRPr="000D45B5">
        <w:rPr>
          <w:szCs w:val="24"/>
        </w:rPr>
        <w:t xml:space="preserve">:   $10,037 ($11.29 per event, see table above). </w:t>
      </w:r>
    </w:p>
    <w:p w:rsidR="00306CB1" w:rsidRPr="000D45B5" w:rsidRDefault="00306CB1" w:rsidP="006814E4">
      <w:pPr>
        <w:pStyle w:val="BodyText"/>
        <w:spacing w:line="240" w:lineRule="auto"/>
        <w:rPr>
          <w:szCs w:val="24"/>
        </w:rPr>
      </w:pPr>
    </w:p>
    <w:p w:rsidR="006476F0" w:rsidRPr="000D45B5" w:rsidRDefault="006476F0" w:rsidP="006814E4">
      <w:pPr>
        <w:pStyle w:val="BodyText"/>
        <w:numPr>
          <w:ilvl w:val="0"/>
          <w:numId w:val="36"/>
        </w:numPr>
        <w:spacing w:line="240" w:lineRule="auto"/>
        <w:rPr>
          <w:szCs w:val="24"/>
          <w:u w:val="single"/>
        </w:rPr>
      </w:pPr>
      <w:r w:rsidRPr="000D45B5">
        <w:rPr>
          <w:szCs w:val="24"/>
          <w:u w:val="single"/>
        </w:rPr>
        <w:t>Estimated Total Annual Cost Burden</w:t>
      </w:r>
    </w:p>
    <w:p w:rsidR="006476F0" w:rsidRPr="000D45B5" w:rsidRDefault="006476F0" w:rsidP="006814E4">
      <w:pPr>
        <w:pStyle w:val="BodyText"/>
        <w:spacing w:line="240" w:lineRule="auto"/>
        <w:rPr>
          <w:szCs w:val="24"/>
        </w:rPr>
      </w:pPr>
    </w:p>
    <w:p w:rsidR="006476F0" w:rsidRPr="000D45B5" w:rsidRDefault="006476F0" w:rsidP="006476F0">
      <w:pPr>
        <w:pStyle w:val="BodyText"/>
        <w:numPr>
          <w:ilvl w:val="0"/>
          <w:numId w:val="34"/>
        </w:numPr>
        <w:spacing w:line="240" w:lineRule="auto"/>
        <w:rPr>
          <w:i/>
          <w:szCs w:val="24"/>
        </w:rPr>
      </w:pPr>
      <w:r w:rsidRPr="000D45B5">
        <w:rPr>
          <w:i/>
          <w:szCs w:val="24"/>
        </w:rPr>
        <w:t>Recordkeeping Requirements for Reverse Distributors</w:t>
      </w:r>
    </w:p>
    <w:p w:rsidR="00306CB1" w:rsidRPr="000D45B5" w:rsidRDefault="00306CB1" w:rsidP="006814E4">
      <w:pPr>
        <w:pStyle w:val="BodyText"/>
        <w:spacing w:line="240" w:lineRule="auto"/>
        <w:ind w:left="720"/>
        <w:rPr>
          <w:i/>
          <w:szCs w:val="24"/>
        </w:rPr>
      </w:pPr>
    </w:p>
    <w:p w:rsidR="006476F0" w:rsidRPr="000D45B5" w:rsidRDefault="006476F0" w:rsidP="00A444DF">
      <w:pPr>
        <w:pStyle w:val="BodyText"/>
        <w:spacing w:line="240" w:lineRule="auto"/>
        <w:ind w:firstLine="360"/>
        <w:rPr>
          <w:szCs w:val="24"/>
        </w:rPr>
      </w:pPr>
      <w:r w:rsidRPr="000D45B5">
        <w:rPr>
          <w:szCs w:val="24"/>
        </w:rPr>
        <w:t xml:space="preserve">$719:  </w:t>
      </w:r>
      <w:proofErr w:type="gramStart"/>
      <w:r w:rsidRPr="000D45B5">
        <w:rPr>
          <w:szCs w:val="24"/>
        </w:rPr>
        <w:t>As a result</w:t>
      </w:r>
      <w:proofErr w:type="gramEnd"/>
      <w:r w:rsidRPr="000D45B5">
        <w:rPr>
          <w:szCs w:val="24"/>
        </w:rPr>
        <w:t xml:space="preserve"> of the requirements in th</w:t>
      </w:r>
      <w:r w:rsidR="00C6798D">
        <w:rPr>
          <w:szCs w:val="24"/>
        </w:rPr>
        <w:t>e</w:t>
      </w:r>
      <w:r w:rsidRPr="000D45B5">
        <w:rPr>
          <w:szCs w:val="24"/>
        </w:rPr>
        <w:t xml:space="preserve"> final rule, the number of reporting events</w:t>
      </w:r>
      <w:r w:rsidRPr="000D45B5" w:rsidDel="00C4381B">
        <w:rPr>
          <w:szCs w:val="24"/>
        </w:rPr>
        <w:t xml:space="preserve"> </w:t>
      </w:r>
      <w:r w:rsidRPr="000D45B5">
        <w:rPr>
          <w:szCs w:val="24"/>
        </w:rPr>
        <w:t xml:space="preserve">and the total annual cost burden is estimated to increase. </w:t>
      </w:r>
    </w:p>
    <w:p w:rsidR="006476F0" w:rsidRPr="000D45B5" w:rsidRDefault="006476F0" w:rsidP="006476F0">
      <w:pPr>
        <w:pStyle w:val="BodyText"/>
        <w:numPr>
          <w:ilvl w:val="0"/>
          <w:numId w:val="34"/>
        </w:numPr>
        <w:spacing w:line="240" w:lineRule="auto"/>
        <w:rPr>
          <w:i/>
          <w:szCs w:val="24"/>
        </w:rPr>
      </w:pPr>
      <w:r w:rsidRPr="000D45B5">
        <w:rPr>
          <w:i/>
          <w:szCs w:val="24"/>
        </w:rPr>
        <w:t>Recordkeeping for Registrants that Receive and Distribute Controlled Substances for Return or Recall</w:t>
      </w:r>
    </w:p>
    <w:p w:rsidR="00306CB1" w:rsidRPr="000D45B5" w:rsidRDefault="00306CB1" w:rsidP="006814E4">
      <w:pPr>
        <w:pStyle w:val="BodyText"/>
        <w:spacing w:line="240" w:lineRule="auto"/>
        <w:ind w:left="720"/>
        <w:rPr>
          <w:i/>
          <w:szCs w:val="24"/>
        </w:rPr>
      </w:pPr>
    </w:p>
    <w:p w:rsidR="006476F0" w:rsidRPr="000D45B5" w:rsidRDefault="006476F0" w:rsidP="001D1D54">
      <w:pPr>
        <w:pStyle w:val="BodyText"/>
        <w:spacing w:line="240" w:lineRule="auto"/>
        <w:ind w:firstLine="360"/>
        <w:rPr>
          <w:szCs w:val="24"/>
        </w:rPr>
      </w:pPr>
      <w:r w:rsidRPr="000D45B5">
        <w:rPr>
          <w:szCs w:val="24"/>
        </w:rPr>
        <w:t>$0:  The total annual cost burden will not be increased by the requirements in th</w:t>
      </w:r>
      <w:r w:rsidR="00DA5788">
        <w:rPr>
          <w:szCs w:val="24"/>
        </w:rPr>
        <w:t>e</w:t>
      </w:r>
      <w:r w:rsidRPr="000D45B5">
        <w:rPr>
          <w:szCs w:val="24"/>
        </w:rPr>
        <w:t xml:space="preserve"> final rule as </w:t>
      </w:r>
      <w:r w:rsidR="00BF3562">
        <w:rPr>
          <w:szCs w:val="24"/>
        </w:rPr>
        <w:t xml:space="preserve">the final rule does not increase the number of return or recall transactions, and </w:t>
      </w:r>
      <w:r w:rsidRPr="000D45B5">
        <w:rPr>
          <w:szCs w:val="24"/>
        </w:rPr>
        <w:t xml:space="preserve">registrants that receive controlled substances for return or recall </w:t>
      </w:r>
      <w:r w:rsidR="00A67052">
        <w:rPr>
          <w:szCs w:val="24"/>
        </w:rPr>
        <w:t>are</w:t>
      </w:r>
      <w:r w:rsidR="00A67052" w:rsidRPr="00A67052">
        <w:rPr>
          <w:szCs w:val="24"/>
        </w:rPr>
        <w:t xml:space="preserve"> </w:t>
      </w:r>
      <w:r w:rsidR="00BF3562">
        <w:rPr>
          <w:szCs w:val="24"/>
        </w:rPr>
        <w:t xml:space="preserve">already </w:t>
      </w:r>
      <w:r w:rsidR="00A67052" w:rsidRPr="00A67052">
        <w:rPr>
          <w:szCs w:val="24"/>
        </w:rPr>
        <w:t>required to maintain</w:t>
      </w:r>
      <w:r w:rsidR="00BF3562">
        <w:rPr>
          <w:szCs w:val="24"/>
        </w:rPr>
        <w:t xml:space="preserve"> a record of the transaction</w:t>
      </w:r>
      <w:r w:rsidR="00A67052" w:rsidRPr="00A67052">
        <w:rPr>
          <w:szCs w:val="24"/>
        </w:rPr>
        <w:t>, in accordance with existing 21 CFR 1304.22(b).</w:t>
      </w:r>
      <w:r w:rsidRPr="000D45B5">
        <w:rPr>
          <w:szCs w:val="24"/>
        </w:rPr>
        <w:t xml:space="preserve">. </w:t>
      </w:r>
    </w:p>
    <w:p w:rsidR="006476F0" w:rsidRPr="000D45B5" w:rsidRDefault="006476F0" w:rsidP="006814E4">
      <w:pPr>
        <w:pStyle w:val="BodyText"/>
        <w:spacing w:line="240" w:lineRule="auto"/>
        <w:rPr>
          <w:szCs w:val="24"/>
        </w:rPr>
      </w:pPr>
    </w:p>
    <w:p w:rsidR="006476F0" w:rsidRPr="000D45B5" w:rsidRDefault="006476F0" w:rsidP="006476F0">
      <w:pPr>
        <w:pStyle w:val="BodyText"/>
        <w:numPr>
          <w:ilvl w:val="0"/>
          <w:numId w:val="34"/>
        </w:numPr>
        <w:spacing w:line="240" w:lineRule="auto"/>
        <w:rPr>
          <w:i/>
          <w:szCs w:val="24"/>
        </w:rPr>
      </w:pPr>
      <w:r w:rsidRPr="000D45B5">
        <w:rPr>
          <w:i/>
          <w:szCs w:val="24"/>
        </w:rPr>
        <w:t>Recordkeeping Requirements for DEA Registrants Authorized to Collect</w:t>
      </w:r>
    </w:p>
    <w:p w:rsidR="00306CB1" w:rsidRPr="000D45B5" w:rsidRDefault="00306CB1" w:rsidP="006814E4">
      <w:pPr>
        <w:pStyle w:val="BodyText"/>
        <w:spacing w:line="240" w:lineRule="auto"/>
        <w:ind w:left="720"/>
        <w:rPr>
          <w:i/>
          <w:szCs w:val="24"/>
        </w:rPr>
      </w:pPr>
    </w:p>
    <w:p w:rsidR="006476F0" w:rsidRPr="000D45B5" w:rsidRDefault="006476F0" w:rsidP="001D1D54">
      <w:pPr>
        <w:pStyle w:val="BodyText"/>
        <w:spacing w:line="240" w:lineRule="auto"/>
        <w:ind w:firstLine="360"/>
        <w:rPr>
          <w:szCs w:val="24"/>
        </w:rPr>
      </w:pPr>
      <w:r w:rsidRPr="000D45B5">
        <w:rPr>
          <w:szCs w:val="24"/>
        </w:rPr>
        <w:t>$1,670,064:  While the authorization to collect is a new activity, the DEA estimated the level of participation</w:t>
      </w:r>
      <w:r w:rsidR="00C6798D">
        <w:rPr>
          <w:szCs w:val="24"/>
        </w:rPr>
        <w:t xml:space="preserve"> as detailed in the Economic Impact Analysis accompanying the final rule</w:t>
      </w:r>
      <w:r w:rsidRPr="000D45B5">
        <w:rPr>
          <w:szCs w:val="24"/>
        </w:rPr>
        <w:t xml:space="preserve">.  </w:t>
      </w:r>
    </w:p>
    <w:p w:rsidR="006476F0" w:rsidRPr="000D45B5" w:rsidRDefault="006476F0" w:rsidP="006814E4">
      <w:pPr>
        <w:pStyle w:val="BodyText"/>
        <w:spacing w:line="240" w:lineRule="auto"/>
        <w:rPr>
          <w:szCs w:val="24"/>
        </w:rPr>
      </w:pPr>
    </w:p>
    <w:p w:rsidR="006476F0" w:rsidRPr="000D45B5" w:rsidRDefault="006476F0" w:rsidP="006476F0">
      <w:pPr>
        <w:pStyle w:val="BodyText"/>
        <w:numPr>
          <w:ilvl w:val="0"/>
          <w:numId w:val="34"/>
        </w:numPr>
        <w:spacing w:line="240" w:lineRule="auto"/>
        <w:rPr>
          <w:i/>
          <w:szCs w:val="24"/>
        </w:rPr>
      </w:pPr>
      <w:r w:rsidRPr="000D45B5">
        <w:rPr>
          <w:i/>
          <w:szCs w:val="24"/>
        </w:rPr>
        <w:t>Recordkeeping Requirements for Reverse Distributors and Distributors that Acquire Controlled Substances from Law Enforcement or Authorized Collectors that Collect Controlled Substances from Ultimate Users</w:t>
      </w:r>
    </w:p>
    <w:p w:rsidR="00306CB1" w:rsidRPr="000D45B5" w:rsidRDefault="00306CB1" w:rsidP="006814E4">
      <w:pPr>
        <w:pStyle w:val="BodyText"/>
        <w:spacing w:line="240" w:lineRule="auto"/>
        <w:ind w:left="720"/>
        <w:rPr>
          <w:i/>
          <w:szCs w:val="24"/>
        </w:rPr>
      </w:pPr>
    </w:p>
    <w:p w:rsidR="006476F0" w:rsidRPr="000D45B5" w:rsidRDefault="006476F0" w:rsidP="001D1D54">
      <w:pPr>
        <w:pStyle w:val="BodyText"/>
        <w:spacing w:line="240" w:lineRule="auto"/>
        <w:ind w:firstLine="360"/>
        <w:rPr>
          <w:szCs w:val="24"/>
        </w:rPr>
      </w:pPr>
      <w:proofErr w:type="gramStart"/>
      <w:r w:rsidRPr="000D45B5">
        <w:rPr>
          <w:szCs w:val="24"/>
        </w:rPr>
        <w:t>$10,037:  Based on a unit of one mailing package, one inner liner, and one destruction event.</w:t>
      </w:r>
      <w:proofErr w:type="gramEnd"/>
      <w:r w:rsidRPr="000D45B5">
        <w:rPr>
          <w:szCs w:val="24"/>
        </w:rPr>
        <w:t xml:space="preserve"> </w:t>
      </w:r>
    </w:p>
    <w:p w:rsidR="006476F0" w:rsidRPr="000D45B5" w:rsidRDefault="006476F0" w:rsidP="006814E4">
      <w:pPr>
        <w:pStyle w:val="BodyText"/>
        <w:spacing w:line="240" w:lineRule="auto"/>
        <w:rPr>
          <w:szCs w:val="24"/>
        </w:rPr>
      </w:pPr>
    </w:p>
    <w:p w:rsidR="006476F0" w:rsidRPr="000D45B5" w:rsidRDefault="006476F0" w:rsidP="006814E4">
      <w:pPr>
        <w:pStyle w:val="BodyText"/>
        <w:numPr>
          <w:ilvl w:val="0"/>
          <w:numId w:val="36"/>
        </w:numPr>
        <w:spacing w:line="240" w:lineRule="auto"/>
        <w:rPr>
          <w:szCs w:val="24"/>
          <w:u w:val="single"/>
        </w:rPr>
      </w:pPr>
      <w:r w:rsidRPr="000D45B5">
        <w:rPr>
          <w:szCs w:val="24"/>
          <w:u w:val="single"/>
        </w:rPr>
        <w:t>Estimated Annualized Costs to the Federal Government</w:t>
      </w:r>
    </w:p>
    <w:p w:rsidR="006476F0" w:rsidRPr="000D45B5" w:rsidRDefault="006476F0" w:rsidP="006814E4">
      <w:pPr>
        <w:pStyle w:val="BodyText"/>
        <w:spacing w:line="240" w:lineRule="auto"/>
        <w:rPr>
          <w:szCs w:val="24"/>
        </w:rPr>
      </w:pPr>
    </w:p>
    <w:p w:rsidR="00F94797" w:rsidRPr="006814E4" w:rsidRDefault="006476F0" w:rsidP="000D45B5">
      <w:pPr>
        <w:pStyle w:val="BodyTextIndent2"/>
        <w:spacing w:line="240" w:lineRule="auto"/>
        <w:ind w:firstLine="360"/>
        <w:rPr>
          <w:noProof/>
          <w:szCs w:val="24"/>
        </w:rPr>
      </w:pPr>
      <w:r w:rsidRPr="000D45B5">
        <w:rPr>
          <w:szCs w:val="24"/>
        </w:rPr>
        <w:t>$0:  Information re</w:t>
      </w:r>
      <w:r w:rsidR="00F67985">
        <w:rPr>
          <w:szCs w:val="24"/>
        </w:rPr>
        <w:t>corded</w:t>
      </w:r>
      <w:r w:rsidRPr="000D45B5">
        <w:rPr>
          <w:szCs w:val="24"/>
        </w:rPr>
        <w:t xml:space="preserve"> </w:t>
      </w:r>
      <w:r w:rsidR="00F67985">
        <w:rPr>
          <w:szCs w:val="24"/>
        </w:rPr>
        <w:t xml:space="preserve">by </w:t>
      </w:r>
      <w:r w:rsidRPr="000D45B5">
        <w:rPr>
          <w:szCs w:val="24"/>
        </w:rPr>
        <w:t xml:space="preserve">those affected by the final rule </w:t>
      </w:r>
      <w:proofErr w:type="gramStart"/>
      <w:r w:rsidRPr="000D45B5">
        <w:rPr>
          <w:szCs w:val="24"/>
        </w:rPr>
        <w:t>is not submitted</w:t>
      </w:r>
      <w:proofErr w:type="gramEnd"/>
      <w:r w:rsidRPr="000D45B5">
        <w:rPr>
          <w:szCs w:val="24"/>
        </w:rPr>
        <w:t xml:space="preserve"> to the DEA.  The information is retained and made available to the DEA upon inspection/request</w:t>
      </w:r>
      <w:r w:rsidR="00FF2463">
        <w:rPr>
          <w:szCs w:val="24"/>
        </w:rPr>
        <w:t>,</w:t>
      </w:r>
      <w:r w:rsidRPr="000D45B5">
        <w:rPr>
          <w:szCs w:val="24"/>
        </w:rPr>
        <w:t xml:space="preserve"> or is displayed or provided to </w:t>
      </w:r>
      <w:r w:rsidR="00AE658B">
        <w:rPr>
          <w:szCs w:val="24"/>
        </w:rPr>
        <w:t xml:space="preserve">those </w:t>
      </w:r>
      <w:r w:rsidRPr="000D45B5">
        <w:rPr>
          <w:szCs w:val="24"/>
        </w:rPr>
        <w:t>ultimate users</w:t>
      </w:r>
      <w:r w:rsidR="00AE658B">
        <w:rPr>
          <w:szCs w:val="24"/>
        </w:rPr>
        <w:t xml:space="preserve"> who participate in collection activities</w:t>
      </w:r>
      <w:r w:rsidR="00471EBB">
        <w:rPr>
          <w:szCs w:val="24"/>
        </w:rPr>
        <w:t xml:space="preserve"> as appropriate</w:t>
      </w:r>
      <w:r w:rsidR="00FF2463">
        <w:rPr>
          <w:szCs w:val="24"/>
        </w:rPr>
        <w:t>.</w:t>
      </w:r>
    </w:p>
    <w:p w:rsidR="005D177F" w:rsidRDefault="005D177F" w:rsidP="00CC4093">
      <w:pPr>
        <w:pStyle w:val="BodyTextIndent2"/>
        <w:spacing w:line="240" w:lineRule="auto"/>
        <w:ind w:firstLine="0"/>
        <w:rPr>
          <w:noProof/>
          <w:szCs w:val="24"/>
        </w:rPr>
      </w:pPr>
    </w:p>
    <w:p w:rsidR="00F72D10" w:rsidRPr="00DE3D1A" w:rsidRDefault="00CD321D" w:rsidP="00CC4093">
      <w:pPr>
        <w:pStyle w:val="BodyTextIndent2"/>
        <w:spacing w:line="240" w:lineRule="auto"/>
        <w:ind w:firstLine="0"/>
        <w:rPr>
          <w:noProof/>
          <w:szCs w:val="24"/>
        </w:rPr>
      </w:pPr>
      <w:r w:rsidRPr="00DE3D1A">
        <w:rPr>
          <w:noProof/>
          <w:szCs w:val="24"/>
        </w:rPr>
        <w:t xml:space="preserve">15.  </w:t>
      </w:r>
      <w:r w:rsidRPr="005D177F">
        <w:rPr>
          <w:noProof/>
          <w:szCs w:val="24"/>
          <w:u w:val="single"/>
        </w:rPr>
        <w:t>Reasons for Change in Burden</w:t>
      </w:r>
    </w:p>
    <w:p w:rsidR="00152183" w:rsidRDefault="00152183" w:rsidP="00CC4093">
      <w:pPr>
        <w:pStyle w:val="BodyTextIndent2"/>
        <w:spacing w:line="240" w:lineRule="auto"/>
        <w:ind w:firstLine="0"/>
        <w:rPr>
          <w:szCs w:val="24"/>
        </w:rPr>
      </w:pPr>
    </w:p>
    <w:p w:rsidR="00DA4F2D" w:rsidRDefault="000B1620" w:rsidP="000D45B5">
      <w:pPr>
        <w:ind w:firstLine="720"/>
        <w:rPr>
          <w:rFonts w:ascii="Times New Roman" w:hAnsi="Times New Roman"/>
          <w:noProof w:val="0"/>
          <w:sz w:val="24"/>
          <w:szCs w:val="24"/>
        </w:rPr>
      </w:pPr>
      <w:r>
        <w:rPr>
          <w:rFonts w:ascii="Times New Roman" w:hAnsi="Times New Roman"/>
          <w:sz w:val="24"/>
          <w:szCs w:val="24"/>
        </w:rPr>
        <w:t>Any program changes or adjustments reported</w:t>
      </w:r>
      <w:r w:rsidR="00150AA5">
        <w:rPr>
          <w:rFonts w:ascii="Times New Roman" w:hAnsi="Times New Roman"/>
          <w:sz w:val="24"/>
          <w:szCs w:val="24"/>
        </w:rPr>
        <w:t xml:space="preserve"> result from the revis</w:t>
      </w:r>
      <w:r>
        <w:rPr>
          <w:rFonts w:ascii="Times New Roman" w:hAnsi="Times New Roman"/>
          <w:sz w:val="24"/>
          <w:szCs w:val="24"/>
        </w:rPr>
        <w:t xml:space="preserve">ions to recordkeeping requirements for </w:t>
      </w:r>
      <w:r w:rsidR="00A67052">
        <w:rPr>
          <w:rFonts w:ascii="Times New Roman" w:hAnsi="Times New Roman"/>
          <w:sz w:val="24"/>
          <w:szCs w:val="24"/>
        </w:rPr>
        <w:t>registrants</w:t>
      </w:r>
      <w:r>
        <w:rPr>
          <w:rFonts w:ascii="Times New Roman" w:hAnsi="Times New Roman"/>
          <w:sz w:val="24"/>
          <w:szCs w:val="24"/>
        </w:rPr>
        <w:t xml:space="preserve"> as described above.  </w:t>
      </w:r>
    </w:p>
    <w:p w:rsidR="005D177F" w:rsidRDefault="005D177F" w:rsidP="00CC4093">
      <w:pPr>
        <w:rPr>
          <w:rFonts w:ascii="Times New Roman" w:hAnsi="Times New Roman"/>
          <w:noProof w:val="0"/>
          <w:sz w:val="24"/>
          <w:szCs w:val="24"/>
        </w:rPr>
      </w:pPr>
    </w:p>
    <w:p w:rsidR="0026551B" w:rsidRPr="00DE3D1A" w:rsidRDefault="0026551B" w:rsidP="00CC4093">
      <w:pPr>
        <w:rPr>
          <w:rFonts w:ascii="Times New Roman" w:hAnsi="Times New Roman"/>
          <w:noProof w:val="0"/>
          <w:sz w:val="24"/>
          <w:szCs w:val="24"/>
        </w:rPr>
      </w:pPr>
      <w:r w:rsidRPr="00DE3D1A">
        <w:rPr>
          <w:rFonts w:ascii="Times New Roman" w:hAnsi="Times New Roman"/>
          <w:noProof w:val="0"/>
          <w:sz w:val="24"/>
          <w:szCs w:val="24"/>
        </w:rPr>
        <w:t xml:space="preserve">16.  </w:t>
      </w:r>
      <w:r w:rsidRPr="005D177F">
        <w:rPr>
          <w:rFonts w:ascii="Times New Roman" w:hAnsi="Times New Roman"/>
          <w:noProof w:val="0"/>
          <w:sz w:val="24"/>
          <w:szCs w:val="24"/>
          <w:u w:val="single"/>
        </w:rPr>
        <w:t>Plans for Publication</w:t>
      </w:r>
    </w:p>
    <w:p w:rsidR="00152183" w:rsidRDefault="00152183" w:rsidP="00CC4093">
      <w:pPr>
        <w:rPr>
          <w:rFonts w:ascii="Times New Roman" w:hAnsi="Times New Roman"/>
          <w:noProof w:val="0"/>
          <w:sz w:val="24"/>
          <w:szCs w:val="24"/>
        </w:rPr>
      </w:pPr>
    </w:p>
    <w:p w:rsidR="005D177F" w:rsidRDefault="005D177F" w:rsidP="001D1D54">
      <w:pPr>
        <w:pStyle w:val="BodyTextIndent2"/>
        <w:spacing w:line="240" w:lineRule="auto"/>
        <w:rPr>
          <w:szCs w:val="24"/>
        </w:rPr>
      </w:pPr>
      <w:r w:rsidRPr="005D177F">
        <w:rPr>
          <w:szCs w:val="24"/>
        </w:rPr>
        <w:t xml:space="preserve">The DEA will not publish the results of the information collected.    </w:t>
      </w:r>
    </w:p>
    <w:p w:rsidR="005D177F" w:rsidRDefault="005D177F" w:rsidP="00CC4093">
      <w:pPr>
        <w:pStyle w:val="BodyTextIndent2"/>
        <w:spacing w:line="240" w:lineRule="auto"/>
        <w:ind w:firstLine="0"/>
        <w:rPr>
          <w:szCs w:val="24"/>
        </w:rPr>
      </w:pPr>
    </w:p>
    <w:p w:rsidR="0026551B" w:rsidRPr="00DE3D1A" w:rsidRDefault="0026551B" w:rsidP="00CC4093">
      <w:pPr>
        <w:pStyle w:val="BodyTextIndent2"/>
        <w:spacing w:line="240" w:lineRule="auto"/>
        <w:ind w:firstLine="0"/>
        <w:rPr>
          <w:szCs w:val="24"/>
        </w:rPr>
      </w:pPr>
      <w:r w:rsidRPr="00DE3D1A">
        <w:rPr>
          <w:szCs w:val="24"/>
        </w:rPr>
        <w:t xml:space="preserve">17.  </w:t>
      </w:r>
      <w:r w:rsidRPr="005D177F">
        <w:rPr>
          <w:szCs w:val="24"/>
          <w:u w:val="single"/>
        </w:rPr>
        <w:t xml:space="preserve">Expiration Date </w:t>
      </w:r>
      <w:r w:rsidR="0059272A">
        <w:rPr>
          <w:szCs w:val="24"/>
          <w:u w:val="single"/>
        </w:rPr>
        <w:t xml:space="preserve">of </w:t>
      </w:r>
      <w:r w:rsidRPr="005D177F">
        <w:rPr>
          <w:szCs w:val="24"/>
          <w:u w:val="single"/>
        </w:rPr>
        <w:t>Approval</w:t>
      </w:r>
    </w:p>
    <w:p w:rsidR="00152183" w:rsidRDefault="00152183" w:rsidP="00CC4093">
      <w:pPr>
        <w:pStyle w:val="BodyText"/>
        <w:spacing w:line="240" w:lineRule="auto"/>
        <w:rPr>
          <w:szCs w:val="24"/>
        </w:rPr>
      </w:pPr>
    </w:p>
    <w:p w:rsidR="005D177F" w:rsidRDefault="004338B6" w:rsidP="000D45B5">
      <w:pPr>
        <w:ind w:firstLine="720"/>
        <w:rPr>
          <w:rFonts w:ascii="Times New Roman" w:hAnsi="Times New Roman"/>
          <w:sz w:val="24"/>
          <w:szCs w:val="24"/>
        </w:rPr>
      </w:pPr>
      <w:r w:rsidRPr="004338B6">
        <w:rPr>
          <w:rFonts w:ascii="Times New Roman" w:hAnsi="Times New Roman"/>
          <w:sz w:val="24"/>
          <w:szCs w:val="24"/>
        </w:rPr>
        <w:t xml:space="preserve">The DEA </w:t>
      </w:r>
      <w:r w:rsidR="000D45B5">
        <w:rPr>
          <w:rFonts w:ascii="Times New Roman" w:hAnsi="Times New Roman"/>
          <w:sz w:val="24"/>
          <w:szCs w:val="24"/>
        </w:rPr>
        <w:t>is not seeking approval</w:t>
      </w:r>
      <w:r w:rsidR="000B1620">
        <w:rPr>
          <w:rFonts w:ascii="Times New Roman" w:hAnsi="Times New Roman"/>
          <w:sz w:val="24"/>
          <w:szCs w:val="24"/>
        </w:rPr>
        <w:t xml:space="preserve"> to display </w:t>
      </w:r>
      <w:r w:rsidR="000D45B5">
        <w:rPr>
          <w:rFonts w:ascii="Times New Roman" w:hAnsi="Times New Roman"/>
          <w:sz w:val="24"/>
          <w:szCs w:val="24"/>
        </w:rPr>
        <w:t>an</w:t>
      </w:r>
      <w:r w:rsidR="000B1620">
        <w:rPr>
          <w:rFonts w:ascii="Times New Roman" w:hAnsi="Times New Roman"/>
          <w:sz w:val="24"/>
          <w:szCs w:val="24"/>
        </w:rPr>
        <w:t xml:space="preserve"> expiration date</w:t>
      </w:r>
      <w:r w:rsidR="000D45B5">
        <w:rPr>
          <w:rFonts w:ascii="Times New Roman" w:hAnsi="Times New Roman"/>
          <w:sz w:val="24"/>
          <w:szCs w:val="24"/>
        </w:rPr>
        <w:t xml:space="preserve"> for this Information Collection</w:t>
      </w:r>
      <w:r w:rsidRPr="004338B6">
        <w:rPr>
          <w:rFonts w:ascii="Times New Roman" w:hAnsi="Times New Roman"/>
          <w:sz w:val="24"/>
          <w:szCs w:val="24"/>
        </w:rPr>
        <w:t xml:space="preserve">.   </w:t>
      </w:r>
    </w:p>
    <w:p w:rsidR="005D177F" w:rsidRDefault="005D177F" w:rsidP="00CC4093">
      <w:pPr>
        <w:rPr>
          <w:rFonts w:ascii="Times New Roman" w:hAnsi="Times New Roman"/>
          <w:noProof w:val="0"/>
          <w:sz w:val="24"/>
          <w:szCs w:val="24"/>
        </w:rPr>
      </w:pPr>
    </w:p>
    <w:p w:rsidR="00F72D10" w:rsidRPr="00DE3D1A" w:rsidRDefault="00F72D10" w:rsidP="00CC4093">
      <w:pPr>
        <w:rPr>
          <w:rFonts w:ascii="Times New Roman" w:hAnsi="Times New Roman"/>
          <w:noProof w:val="0"/>
          <w:sz w:val="24"/>
          <w:szCs w:val="24"/>
        </w:rPr>
      </w:pPr>
      <w:r w:rsidRPr="00DE3D1A">
        <w:rPr>
          <w:rFonts w:ascii="Times New Roman" w:hAnsi="Times New Roman"/>
          <w:noProof w:val="0"/>
          <w:sz w:val="24"/>
          <w:szCs w:val="24"/>
        </w:rPr>
        <w:t xml:space="preserve">18.  </w:t>
      </w:r>
      <w:r w:rsidR="0026551B" w:rsidRPr="005D177F">
        <w:rPr>
          <w:rFonts w:ascii="Times New Roman" w:hAnsi="Times New Roman"/>
          <w:noProof w:val="0"/>
          <w:sz w:val="24"/>
          <w:szCs w:val="24"/>
          <w:u w:val="single"/>
        </w:rPr>
        <w:t>Exceptions</w:t>
      </w:r>
    </w:p>
    <w:p w:rsidR="00152183" w:rsidRDefault="00152183" w:rsidP="00CC4093">
      <w:pPr>
        <w:pStyle w:val="BodyText"/>
        <w:spacing w:line="240" w:lineRule="auto"/>
        <w:rPr>
          <w:szCs w:val="24"/>
        </w:rPr>
      </w:pPr>
    </w:p>
    <w:p w:rsidR="004338B6" w:rsidRDefault="000D45B5" w:rsidP="00A444DF">
      <w:pPr>
        <w:ind w:firstLine="720"/>
        <w:rPr>
          <w:rFonts w:ascii="Times New Roman" w:hAnsi="Times New Roman"/>
          <w:noProof w:val="0"/>
          <w:sz w:val="24"/>
          <w:szCs w:val="24"/>
        </w:rPr>
      </w:pPr>
      <w:r w:rsidRPr="000D45B5">
        <w:rPr>
          <w:rFonts w:ascii="Times New Roman" w:hAnsi="Times New Roman"/>
          <w:noProof w:val="0"/>
          <w:sz w:val="24"/>
          <w:szCs w:val="24"/>
        </w:rPr>
        <w:t>The DEA is not seeking an exception to the certification statement “Certification for Paperwork Reduction Act Submissions” for</w:t>
      </w:r>
      <w:r w:rsidR="00A444DF">
        <w:rPr>
          <w:rFonts w:ascii="Times New Roman" w:hAnsi="Times New Roman"/>
          <w:noProof w:val="0"/>
          <w:sz w:val="24"/>
          <w:szCs w:val="24"/>
        </w:rPr>
        <w:t xml:space="preserve"> this collection of information</w:t>
      </w:r>
    </w:p>
    <w:p w:rsidR="00A444DF" w:rsidRDefault="00A444DF" w:rsidP="00A444DF">
      <w:pPr>
        <w:ind w:firstLine="720"/>
        <w:rPr>
          <w:rFonts w:ascii="Times New Roman" w:hAnsi="Times New Roman"/>
          <w:noProof w:val="0"/>
          <w:sz w:val="24"/>
          <w:szCs w:val="24"/>
        </w:rPr>
      </w:pPr>
    </w:p>
    <w:p w:rsidR="0026551B" w:rsidRPr="005D177F" w:rsidRDefault="0026551B" w:rsidP="00CC4093">
      <w:pPr>
        <w:rPr>
          <w:rFonts w:ascii="Times New Roman" w:hAnsi="Times New Roman"/>
          <w:b/>
          <w:sz w:val="24"/>
          <w:szCs w:val="24"/>
        </w:rPr>
      </w:pPr>
      <w:r w:rsidRPr="005D177F">
        <w:rPr>
          <w:rFonts w:ascii="Times New Roman" w:hAnsi="Times New Roman"/>
          <w:b/>
          <w:sz w:val="24"/>
          <w:szCs w:val="24"/>
        </w:rPr>
        <w:t>B. Statistical Methods</w:t>
      </w:r>
    </w:p>
    <w:p w:rsidR="00152183" w:rsidRDefault="00152183" w:rsidP="00CC4093">
      <w:pPr>
        <w:rPr>
          <w:rFonts w:ascii="Times New Roman" w:hAnsi="Times New Roman"/>
          <w:sz w:val="24"/>
          <w:szCs w:val="24"/>
        </w:rPr>
      </w:pPr>
    </w:p>
    <w:p w:rsidR="0026551B" w:rsidRPr="00E30DDA" w:rsidRDefault="0026551B" w:rsidP="000D45B5">
      <w:pPr>
        <w:ind w:firstLine="720"/>
        <w:rPr>
          <w:rFonts w:ascii="Times New Roman" w:hAnsi="Times New Roman"/>
          <w:sz w:val="24"/>
          <w:szCs w:val="24"/>
        </w:rPr>
      </w:pPr>
      <w:r w:rsidRPr="00E30DDA">
        <w:rPr>
          <w:rFonts w:ascii="Times New Roman" w:hAnsi="Times New Roman"/>
          <w:sz w:val="24"/>
          <w:szCs w:val="24"/>
        </w:rPr>
        <w:t xml:space="preserve">The </w:t>
      </w:r>
      <w:r w:rsidR="000B1620">
        <w:rPr>
          <w:rFonts w:ascii="Times New Roman" w:hAnsi="Times New Roman"/>
          <w:sz w:val="24"/>
          <w:szCs w:val="24"/>
        </w:rPr>
        <w:t>DEA</w:t>
      </w:r>
      <w:r w:rsidRPr="00E30DDA">
        <w:rPr>
          <w:rFonts w:ascii="Times New Roman" w:hAnsi="Times New Roman"/>
          <w:sz w:val="24"/>
          <w:szCs w:val="24"/>
        </w:rPr>
        <w:t xml:space="preserve"> </w:t>
      </w:r>
      <w:r w:rsidR="00211FFB">
        <w:rPr>
          <w:rFonts w:ascii="Times New Roman" w:hAnsi="Times New Roman"/>
          <w:sz w:val="24"/>
          <w:szCs w:val="24"/>
        </w:rPr>
        <w:t xml:space="preserve">does </w:t>
      </w:r>
      <w:r w:rsidRPr="00E30DDA">
        <w:rPr>
          <w:rFonts w:ascii="Times New Roman" w:hAnsi="Times New Roman"/>
          <w:sz w:val="24"/>
          <w:szCs w:val="24"/>
        </w:rPr>
        <w:t xml:space="preserve">not employ statistical methods in this </w:t>
      </w:r>
      <w:r w:rsidR="000B1620">
        <w:rPr>
          <w:rFonts w:ascii="Times New Roman" w:hAnsi="Times New Roman"/>
          <w:sz w:val="24"/>
          <w:szCs w:val="24"/>
        </w:rPr>
        <w:t>I</w:t>
      </w:r>
      <w:r w:rsidRPr="00E30DDA">
        <w:rPr>
          <w:rFonts w:ascii="Times New Roman" w:hAnsi="Times New Roman"/>
          <w:sz w:val="24"/>
          <w:szCs w:val="24"/>
        </w:rPr>
        <w:t xml:space="preserve">nformation </w:t>
      </w:r>
      <w:r w:rsidR="000B1620">
        <w:rPr>
          <w:rFonts w:ascii="Times New Roman" w:hAnsi="Times New Roman"/>
          <w:sz w:val="24"/>
          <w:szCs w:val="24"/>
        </w:rPr>
        <w:t>C</w:t>
      </w:r>
      <w:r w:rsidRPr="00E30DDA">
        <w:rPr>
          <w:rFonts w:ascii="Times New Roman" w:hAnsi="Times New Roman"/>
          <w:sz w:val="24"/>
          <w:szCs w:val="24"/>
        </w:rPr>
        <w:t>ollection.</w:t>
      </w:r>
    </w:p>
    <w:sectPr w:rsidR="0026551B" w:rsidRPr="00E30DD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5DA" w:rsidRDefault="00EE15DA">
      <w:r>
        <w:separator/>
      </w:r>
    </w:p>
  </w:endnote>
  <w:endnote w:type="continuationSeparator" w:id="0">
    <w:p w:rsidR="00EE15DA" w:rsidRDefault="00EE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DA" w:rsidRDefault="00EE1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DA" w:rsidRDefault="00EE15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DA" w:rsidRDefault="00EE1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5DA" w:rsidRDefault="00EE15DA">
      <w:r>
        <w:separator/>
      </w:r>
    </w:p>
  </w:footnote>
  <w:footnote w:type="continuationSeparator" w:id="0">
    <w:p w:rsidR="00EE15DA" w:rsidRDefault="00EE1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DA" w:rsidRDefault="00EE1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DA" w:rsidRDefault="00EE15DA">
    <w:pPr>
      <w:rPr>
        <w:sz w:val="22"/>
      </w:rPr>
    </w:pP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DA" w:rsidRDefault="00EE1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6">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7">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366612"/>
    <w:multiLevelType w:val="hybridMultilevel"/>
    <w:tmpl w:val="31BC63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8DC1902"/>
    <w:multiLevelType w:val="hybridMultilevel"/>
    <w:tmpl w:val="0928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E24F0A"/>
    <w:multiLevelType w:val="hybridMultilevel"/>
    <w:tmpl w:val="31BC63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4476D9"/>
    <w:multiLevelType w:val="hybridMultilevel"/>
    <w:tmpl w:val="1B5297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8">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4">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5">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DF54870"/>
    <w:multiLevelType w:val="hybridMultilevel"/>
    <w:tmpl w:val="7E2E4F3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8">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6D5A6F57"/>
    <w:multiLevelType w:val="hybridMultilevel"/>
    <w:tmpl w:val="634A629C"/>
    <w:lvl w:ilvl="0" w:tplc="DECE31EA">
      <w:start w:val="13"/>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32">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89E216E"/>
    <w:multiLevelType w:val="singleLevel"/>
    <w:tmpl w:val="57C801EA"/>
    <w:lvl w:ilvl="0">
      <w:start w:val="1"/>
      <w:numFmt w:val="decimal"/>
      <w:lvlText w:val="%1."/>
      <w:lvlJc w:val="left"/>
      <w:pPr>
        <w:tabs>
          <w:tab w:val="num" w:pos="1080"/>
        </w:tabs>
        <w:ind w:left="1080" w:hanging="360"/>
      </w:pPr>
      <w:rPr>
        <w:rFonts w:hint="default"/>
      </w:rPr>
    </w:lvl>
  </w:abstractNum>
  <w:abstractNum w:abstractNumId="35">
    <w:nsid w:val="78AF1971"/>
    <w:multiLevelType w:val="hybridMultilevel"/>
    <w:tmpl w:val="7FFEAF80"/>
    <w:lvl w:ilvl="0" w:tplc="C3308CC4">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13074E"/>
    <w:multiLevelType w:val="multilevel"/>
    <w:tmpl w:val="7E2E4F3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5"/>
  </w:num>
  <w:num w:numId="3">
    <w:abstractNumId w:val="5"/>
  </w:num>
  <w:num w:numId="4">
    <w:abstractNumId w:val="4"/>
  </w:num>
  <w:num w:numId="5">
    <w:abstractNumId w:val="24"/>
  </w:num>
  <w:num w:numId="6">
    <w:abstractNumId w:val="10"/>
  </w:num>
  <w:num w:numId="7">
    <w:abstractNumId w:val="6"/>
  </w:num>
  <w:num w:numId="8">
    <w:abstractNumId w:val="0"/>
  </w:num>
  <w:num w:numId="9">
    <w:abstractNumId w:val="27"/>
  </w:num>
  <w:num w:numId="10">
    <w:abstractNumId w:val="21"/>
  </w:num>
  <w:num w:numId="11">
    <w:abstractNumId w:val="17"/>
  </w:num>
  <w:num w:numId="12">
    <w:abstractNumId w:val="15"/>
  </w:num>
  <w:num w:numId="13">
    <w:abstractNumId w:val="11"/>
  </w:num>
  <w:num w:numId="14">
    <w:abstractNumId w:val="33"/>
  </w:num>
  <w:num w:numId="15">
    <w:abstractNumId w:val="23"/>
  </w:num>
  <w:num w:numId="16">
    <w:abstractNumId w:val="31"/>
  </w:num>
  <w:num w:numId="17">
    <w:abstractNumId w:val="20"/>
  </w:num>
  <w:num w:numId="18">
    <w:abstractNumId w:val="16"/>
  </w:num>
  <w:num w:numId="19">
    <w:abstractNumId w:val="19"/>
  </w:num>
  <w:num w:numId="20">
    <w:abstractNumId w:val="1"/>
  </w:num>
  <w:num w:numId="21">
    <w:abstractNumId w:val="22"/>
  </w:num>
  <w:num w:numId="22">
    <w:abstractNumId w:val="28"/>
  </w:num>
  <w:num w:numId="23">
    <w:abstractNumId w:val="7"/>
  </w:num>
  <w:num w:numId="24">
    <w:abstractNumId w:val="9"/>
  </w:num>
  <w:num w:numId="25">
    <w:abstractNumId w:val="3"/>
  </w:num>
  <w:num w:numId="26">
    <w:abstractNumId w:val="29"/>
  </w:num>
  <w:num w:numId="27">
    <w:abstractNumId w:val="32"/>
  </w:num>
  <w:num w:numId="28">
    <w:abstractNumId w:val="18"/>
  </w:num>
  <w:num w:numId="29">
    <w:abstractNumId w:val="2"/>
  </w:num>
  <w:num w:numId="30">
    <w:abstractNumId w:val="26"/>
  </w:num>
  <w:num w:numId="31">
    <w:abstractNumId w:val="36"/>
  </w:num>
  <w:num w:numId="32">
    <w:abstractNumId w:val="35"/>
  </w:num>
  <w:num w:numId="33">
    <w:abstractNumId w:val="12"/>
  </w:num>
  <w:num w:numId="34">
    <w:abstractNumId w:val="14"/>
  </w:num>
  <w:num w:numId="35">
    <w:abstractNumId w:val="8"/>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10"/>
    <w:rsid w:val="000037D0"/>
    <w:rsid w:val="0000467D"/>
    <w:rsid w:val="00006EFA"/>
    <w:rsid w:val="000108FF"/>
    <w:rsid w:val="00015FAD"/>
    <w:rsid w:val="00047A78"/>
    <w:rsid w:val="0005338C"/>
    <w:rsid w:val="0007719B"/>
    <w:rsid w:val="00077B8B"/>
    <w:rsid w:val="00092245"/>
    <w:rsid w:val="000B0E17"/>
    <w:rsid w:val="000B1620"/>
    <w:rsid w:val="000B6867"/>
    <w:rsid w:val="000C2B1F"/>
    <w:rsid w:val="000D1F4D"/>
    <w:rsid w:val="000D45B5"/>
    <w:rsid w:val="000E129D"/>
    <w:rsid w:val="000E14A3"/>
    <w:rsid w:val="000E3823"/>
    <w:rsid w:val="000F6116"/>
    <w:rsid w:val="000F64A0"/>
    <w:rsid w:val="000F7E8B"/>
    <w:rsid w:val="00100D1C"/>
    <w:rsid w:val="00105438"/>
    <w:rsid w:val="00106E8C"/>
    <w:rsid w:val="001129C6"/>
    <w:rsid w:val="00117F9A"/>
    <w:rsid w:val="00126EC9"/>
    <w:rsid w:val="0013624B"/>
    <w:rsid w:val="00140A2E"/>
    <w:rsid w:val="0014169F"/>
    <w:rsid w:val="00144575"/>
    <w:rsid w:val="00150AA5"/>
    <w:rsid w:val="00152183"/>
    <w:rsid w:val="00164606"/>
    <w:rsid w:val="00165CE0"/>
    <w:rsid w:val="00167BA3"/>
    <w:rsid w:val="00170ED4"/>
    <w:rsid w:val="00180060"/>
    <w:rsid w:val="00192276"/>
    <w:rsid w:val="00192749"/>
    <w:rsid w:val="0019750C"/>
    <w:rsid w:val="001A292E"/>
    <w:rsid w:val="001A2BA5"/>
    <w:rsid w:val="001A734B"/>
    <w:rsid w:val="001B128C"/>
    <w:rsid w:val="001B3C18"/>
    <w:rsid w:val="001B56F9"/>
    <w:rsid w:val="001C2325"/>
    <w:rsid w:val="001C396E"/>
    <w:rsid w:val="001D1439"/>
    <w:rsid w:val="001D1D54"/>
    <w:rsid w:val="001D6EB0"/>
    <w:rsid w:val="001F395D"/>
    <w:rsid w:val="00200DBF"/>
    <w:rsid w:val="00211FFB"/>
    <w:rsid w:val="0021252E"/>
    <w:rsid w:val="00221497"/>
    <w:rsid w:val="002228FB"/>
    <w:rsid w:val="00231231"/>
    <w:rsid w:val="00231A1C"/>
    <w:rsid w:val="002408FE"/>
    <w:rsid w:val="0024187C"/>
    <w:rsid w:val="00243641"/>
    <w:rsid w:val="00246FDA"/>
    <w:rsid w:val="002524F9"/>
    <w:rsid w:val="00256F16"/>
    <w:rsid w:val="00257AE3"/>
    <w:rsid w:val="00261248"/>
    <w:rsid w:val="00264B73"/>
    <w:rsid w:val="00265155"/>
    <w:rsid w:val="00265401"/>
    <w:rsid w:val="0026551B"/>
    <w:rsid w:val="002660D9"/>
    <w:rsid w:val="002669AD"/>
    <w:rsid w:val="00275B42"/>
    <w:rsid w:val="002806C1"/>
    <w:rsid w:val="002B41CF"/>
    <w:rsid w:val="002B7191"/>
    <w:rsid w:val="002F06C0"/>
    <w:rsid w:val="002F1413"/>
    <w:rsid w:val="002F2840"/>
    <w:rsid w:val="0030282A"/>
    <w:rsid w:val="00303869"/>
    <w:rsid w:val="00306CB1"/>
    <w:rsid w:val="00313CF6"/>
    <w:rsid w:val="00314D57"/>
    <w:rsid w:val="00317DD5"/>
    <w:rsid w:val="00330236"/>
    <w:rsid w:val="003306A3"/>
    <w:rsid w:val="00331AEF"/>
    <w:rsid w:val="00343AD2"/>
    <w:rsid w:val="00363B08"/>
    <w:rsid w:val="00370319"/>
    <w:rsid w:val="00372065"/>
    <w:rsid w:val="0038020E"/>
    <w:rsid w:val="00380782"/>
    <w:rsid w:val="00384E6C"/>
    <w:rsid w:val="00394100"/>
    <w:rsid w:val="00395C3C"/>
    <w:rsid w:val="003C6558"/>
    <w:rsid w:val="003C7A6D"/>
    <w:rsid w:val="003D09F6"/>
    <w:rsid w:val="003E05A6"/>
    <w:rsid w:val="003E306F"/>
    <w:rsid w:val="003E57D9"/>
    <w:rsid w:val="00400B6B"/>
    <w:rsid w:val="0040178A"/>
    <w:rsid w:val="00402BFE"/>
    <w:rsid w:val="00417961"/>
    <w:rsid w:val="00421595"/>
    <w:rsid w:val="0042507A"/>
    <w:rsid w:val="0043003D"/>
    <w:rsid w:val="00430670"/>
    <w:rsid w:val="004338B6"/>
    <w:rsid w:val="0044240D"/>
    <w:rsid w:val="00447313"/>
    <w:rsid w:val="004559D2"/>
    <w:rsid w:val="004701BA"/>
    <w:rsid w:val="00471EBB"/>
    <w:rsid w:val="00474007"/>
    <w:rsid w:val="004930AD"/>
    <w:rsid w:val="004962E8"/>
    <w:rsid w:val="004973EB"/>
    <w:rsid w:val="004978EF"/>
    <w:rsid w:val="004B2CB8"/>
    <w:rsid w:val="004C0E22"/>
    <w:rsid w:val="004C293A"/>
    <w:rsid w:val="004C43CE"/>
    <w:rsid w:val="004D001F"/>
    <w:rsid w:val="004D5071"/>
    <w:rsid w:val="004D50B6"/>
    <w:rsid w:val="004E5A70"/>
    <w:rsid w:val="004F0C3E"/>
    <w:rsid w:val="004F27F2"/>
    <w:rsid w:val="00517827"/>
    <w:rsid w:val="00523AC6"/>
    <w:rsid w:val="00524583"/>
    <w:rsid w:val="00532D83"/>
    <w:rsid w:val="005363DC"/>
    <w:rsid w:val="00557D1D"/>
    <w:rsid w:val="0056784E"/>
    <w:rsid w:val="00577D3E"/>
    <w:rsid w:val="00581E09"/>
    <w:rsid w:val="0059272A"/>
    <w:rsid w:val="005929F8"/>
    <w:rsid w:val="00596CAB"/>
    <w:rsid w:val="005A3118"/>
    <w:rsid w:val="005B0F47"/>
    <w:rsid w:val="005B2ACD"/>
    <w:rsid w:val="005B316D"/>
    <w:rsid w:val="005B595D"/>
    <w:rsid w:val="005B7A5E"/>
    <w:rsid w:val="005C1BED"/>
    <w:rsid w:val="005C6626"/>
    <w:rsid w:val="005D177F"/>
    <w:rsid w:val="005D55B2"/>
    <w:rsid w:val="005D6D58"/>
    <w:rsid w:val="005E170B"/>
    <w:rsid w:val="00612814"/>
    <w:rsid w:val="00612B3B"/>
    <w:rsid w:val="00615FF8"/>
    <w:rsid w:val="0063747C"/>
    <w:rsid w:val="0064060A"/>
    <w:rsid w:val="0064599B"/>
    <w:rsid w:val="006476F0"/>
    <w:rsid w:val="00647B21"/>
    <w:rsid w:val="006814E4"/>
    <w:rsid w:val="006D653B"/>
    <w:rsid w:val="006F628D"/>
    <w:rsid w:val="006F7C87"/>
    <w:rsid w:val="00704E5B"/>
    <w:rsid w:val="00707863"/>
    <w:rsid w:val="007119C0"/>
    <w:rsid w:val="00717E2C"/>
    <w:rsid w:val="00725326"/>
    <w:rsid w:val="0074611F"/>
    <w:rsid w:val="00747DDA"/>
    <w:rsid w:val="00751EFB"/>
    <w:rsid w:val="00757733"/>
    <w:rsid w:val="00762ECE"/>
    <w:rsid w:val="007634B2"/>
    <w:rsid w:val="00773BC4"/>
    <w:rsid w:val="00775772"/>
    <w:rsid w:val="007767E8"/>
    <w:rsid w:val="00782BF5"/>
    <w:rsid w:val="00785198"/>
    <w:rsid w:val="00785B7B"/>
    <w:rsid w:val="0079063F"/>
    <w:rsid w:val="00797696"/>
    <w:rsid w:val="007B2FF5"/>
    <w:rsid w:val="007B3A2D"/>
    <w:rsid w:val="007C285A"/>
    <w:rsid w:val="007C2CF3"/>
    <w:rsid w:val="007C448A"/>
    <w:rsid w:val="007C79ED"/>
    <w:rsid w:val="007D0A09"/>
    <w:rsid w:val="007D0F1B"/>
    <w:rsid w:val="007D10E1"/>
    <w:rsid w:val="007D26CA"/>
    <w:rsid w:val="007D7469"/>
    <w:rsid w:val="007E2566"/>
    <w:rsid w:val="007E3A39"/>
    <w:rsid w:val="007E5B0B"/>
    <w:rsid w:val="007E6679"/>
    <w:rsid w:val="007F1BD4"/>
    <w:rsid w:val="00805E45"/>
    <w:rsid w:val="00806F23"/>
    <w:rsid w:val="00813705"/>
    <w:rsid w:val="00813C94"/>
    <w:rsid w:val="00817D95"/>
    <w:rsid w:val="0082026D"/>
    <w:rsid w:val="00833227"/>
    <w:rsid w:val="00835B91"/>
    <w:rsid w:val="00840DE7"/>
    <w:rsid w:val="008618F3"/>
    <w:rsid w:val="00861E66"/>
    <w:rsid w:val="00871D7A"/>
    <w:rsid w:val="0087563F"/>
    <w:rsid w:val="00882E00"/>
    <w:rsid w:val="00891FEB"/>
    <w:rsid w:val="008A35F9"/>
    <w:rsid w:val="008D42C8"/>
    <w:rsid w:val="008D4FBD"/>
    <w:rsid w:val="008D6CB4"/>
    <w:rsid w:val="008E1BA0"/>
    <w:rsid w:val="008F7718"/>
    <w:rsid w:val="00900620"/>
    <w:rsid w:val="00915747"/>
    <w:rsid w:val="00924C9A"/>
    <w:rsid w:val="009270FE"/>
    <w:rsid w:val="00934AB8"/>
    <w:rsid w:val="00936E2E"/>
    <w:rsid w:val="00937C36"/>
    <w:rsid w:val="00943B05"/>
    <w:rsid w:val="00945503"/>
    <w:rsid w:val="00952FAC"/>
    <w:rsid w:val="00957EA6"/>
    <w:rsid w:val="009614FB"/>
    <w:rsid w:val="00974607"/>
    <w:rsid w:val="00975833"/>
    <w:rsid w:val="009875C1"/>
    <w:rsid w:val="009F2D48"/>
    <w:rsid w:val="009F3141"/>
    <w:rsid w:val="00A05252"/>
    <w:rsid w:val="00A113E7"/>
    <w:rsid w:val="00A156B1"/>
    <w:rsid w:val="00A25299"/>
    <w:rsid w:val="00A31913"/>
    <w:rsid w:val="00A35B05"/>
    <w:rsid w:val="00A368C1"/>
    <w:rsid w:val="00A444DF"/>
    <w:rsid w:val="00A448E2"/>
    <w:rsid w:val="00A47CCB"/>
    <w:rsid w:val="00A52F4C"/>
    <w:rsid w:val="00A57537"/>
    <w:rsid w:val="00A60F80"/>
    <w:rsid w:val="00A613EE"/>
    <w:rsid w:val="00A61845"/>
    <w:rsid w:val="00A667D9"/>
    <w:rsid w:val="00A67052"/>
    <w:rsid w:val="00A7091E"/>
    <w:rsid w:val="00A7124E"/>
    <w:rsid w:val="00A71F87"/>
    <w:rsid w:val="00A83D0B"/>
    <w:rsid w:val="00A83E98"/>
    <w:rsid w:val="00A8518A"/>
    <w:rsid w:val="00A92DFA"/>
    <w:rsid w:val="00AA765B"/>
    <w:rsid w:val="00AC1DBA"/>
    <w:rsid w:val="00AC24D5"/>
    <w:rsid w:val="00AE658B"/>
    <w:rsid w:val="00AF5675"/>
    <w:rsid w:val="00AF6197"/>
    <w:rsid w:val="00B021D3"/>
    <w:rsid w:val="00B0543B"/>
    <w:rsid w:val="00B058D6"/>
    <w:rsid w:val="00B17BBA"/>
    <w:rsid w:val="00B30E00"/>
    <w:rsid w:val="00B407DA"/>
    <w:rsid w:val="00B40AA1"/>
    <w:rsid w:val="00B67D15"/>
    <w:rsid w:val="00B70CE2"/>
    <w:rsid w:val="00B75F45"/>
    <w:rsid w:val="00B92938"/>
    <w:rsid w:val="00B96C78"/>
    <w:rsid w:val="00BA14DB"/>
    <w:rsid w:val="00BA4D69"/>
    <w:rsid w:val="00BA7BEE"/>
    <w:rsid w:val="00BB0097"/>
    <w:rsid w:val="00BB4157"/>
    <w:rsid w:val="00BC1121"/>
    <w:rsid w:val="00BC157B"/>
    <w:rsid w:val="00BF01A0"/>
    <w:rsid w:val="00BF3562"/>
    <w:rsid w:val="00BF3EF2"/>
    <w:rsid w:val="00C1371C"/>
    <w:rsid w:val="00C13F7C"/>
    <w:rsid w:val="00C25E4D"/>
    <w:rsid w:val="00C323DD"/>
    <w:rsid w:val="00C36571"/>
    <w:rsid w:val="00C60D80"/>
    <w:rsid w:val="00C65E78"/>
    <w:rsid w:val="00C6706B"/>
    <w:rsid w:val="00C6798D"/>
    <w:rsid w:val="00C71B1D"/>
    <w:rsid w:val="00C77354"/>
    <w:rsid w:val="00C81348"/>
    <w:rsid w:val="00C87DC7"/>
    <w:rsid w:val="00C9445A"/>
    <w:rsid w:val="00CA25EE"/>
    <w:rsid w:val="00CB1E53"/>
    <w:rsid w:val="00CC4093"/>
    <w:rsid w:val="00CC5033"/>
    <w:rsid w:val="00CC69B5"/>
    <w:rsid w:val="00CD321D"/>
    <w:rsid w:val="00CE0AC0"/>
    <w:rsid w:val="00CE4751"/>
    <w:rsid w:val="00CE481A"/>
    <w:rsid w:val="00D33EA4"/>
    <w:rsid w:val="00D429F5"/>
    <w:rsid w:val="00D53CC6"/>
    <w:rsid w:val="00D67746"/>
    <w:rsid w:val="00D70FA4"/>
    <w:rsid w:val="00D76124"/>
    <w:rsid w:val="00D86C26"/>
    <w:rsid w:val="00D87533"/>
    <w:rsid w:val="00D878E7"/>
    <w:rsid w:val="00DA4F2D"/>
    <w:rsid w:val="00DA5788"/>
    <w:rsid w:val="00DB1A18"/>
    <w:rsid w:val="00DC706F"/>
    <w:rsid w:val="00DE3D1A"/>
    <w:rsid w:val="00DF16B1"/>
    <w:rsid w:val="00DF3BF5"/>
    <w:rsid w:val="00DF3D6D"/>
    <w:rsid w:val="00E12988"/>
    <w:rsid w:val="00E204C9"/>
    <w:rsid w:val="00E24BBD"/>
    <w:rsid w:val="00E25559"/>
    <w:rsid w:val="00E30DDA"/>
    <w:rsid w:val="00E3390E"/>
    <w:rsid w:val="00E346FF"/>
    <w:rsid w:val="00E359DC"/>
    <w:rsid w:val="00E375CA"/>
    <w:rsid w:val="00E77C21"/>
    <w:rsid w:val="00E82777"/>
    <w:rsid w:val="00E96BA7"/>
    <w:rsid w:val="00EA0189"/>
    <w:rsid w:val="00EA7066"/>
    <w:rsid w:val="00EB5A7C"/>
    <w:rsid w:val="00ED0B85"/>
    <w:rsid w:val="00EE15DA"/>
    <w:rsid w:val="00EF0AD1"/>
    <w:rsid w:val="00F01C3C"/>
    <w:rsid w:val="00F0265A"/>
    <w:rsid w:val="00F045A0"/>
    <w:rsid w:val="00F1007A"/>
    <w:rsid w:val="00F33405"/>
    <w:rsid w:val="00F451FC"/>
    <w:rsid w:val="00F51C69"/>
    <w:rsid w:val="00F6588E"/>
    <w:rsid w:val="00F67985"/>
    <w:rsid w:val="00F72D10"/>
    <w:rsid w:val="00F8242C"/>
    <w:rsid w:val="00F85C36"/>
    <w:rsid w:val="00F94797"/>
    <w:rsid w:val="00F96165"/>
    <w:rsid w:val="00FD1F2D"/>
    <w:rsid w:val="00FD484D"/>
    <w:rsid w:val="00FE36A1"/>
    <w:rsid w:val="00FE5249"/>
    <w:rsid w:val="00FE6F5A"/>
    <w:rsid w:val="00FE75A9"/>
    <w:rsid w:val="00FF2463"/>
    <w:rsid w:val="00FF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tLeast"/>
      <w:ind w:left="360" w:hanging="360"/>
    </w:pPr>
    <w:rPr>
      <w:rFonts w:ascii="Times" w:hAnsi="Times"/>
      <w:noProof w:val="0"/>
      <w:sz w:val="22"/>
    </w:rPr>
  </w:style>
  <w:style w:type="paragraph" w:styleId="BodyText">
    <w:name w:val="Body Text"/>
    <w:basedOn w:val="Normal"/>
    <w:pPr>
      <w:spacing w:line="480" w:lineRule="atLeast"/>
    </w:pPr>
    <w:rPr>
      <w:rFonts w:ascii="Times New Roman" w:hAnsi="Times New Roman"/>
      <w:noProof w:val="0"/>
      <w:sz w:val="24"/>
    </w:rPr>
  </w:style>
  <w:style w:type="paragraph" w:styleId="BodyTextIndent2">
    <w:name w:val="Body Text Indent 2"/>
    <w:basedOn w:val="Normal"/>
    <w:pPr>
      <w:spacing w:line="480" w:lineRule="atLeast"/>
      <w:ind w:firstLine="720"/>
    </w:pPr>
    <w:rPr>
      <w:rFonts w:ascii="Times New Roman" w:hAnsi="Times New Roman"/>
      <w:noProof w:val="0"/>
      <w:sz w:val="24"/>
    </w:rPr>
  </w:style>
  <w:style w:type="paragraph" w:styleId="BodyText2">
    <w:name w:val="Body Text 2"/>
    <w:basedOn w:val="Normal"/>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pPr>
      <w:spacing w:line="480" w:lineRule="atLeast"/>
      <w:ind w:firstLine="720"/>
      <w:jc w:val="both"/>
    </w:pPr>
    <w:rPr>
      <w:rFonts w:ascii="Times New Roman" w:hAnsi="Times New Roman"/>
      <w:noProof w:val="0"/>
      <w:sz w:val="24"/>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styleId="Revision">
    <w:name w:val="Revision"/>
    <w:hidden/>
    <w:uiPriority w:val="99"/>
    <w:semiHidden/>
    <w:rsid w:val="007634B2"/>
    <w:rPr>
      <w:noProof/>
    </w:rPr>
  </w:style>
  <w:style w:type="character" w:styleId="CommentReference">
    <w:name w:val="annotation reference"/>
    <w:basedOn w:val="DefaultParagraphFont"/>
    <w:uiPriority w:val="99"/>
    <w:semiHidden/>
    <w:unhideWhenUsed/>
    <w:rsid w:val="00EA0189"/>
    <w:rPr>
      <w:sz w:val="16"/>
      <w:szCs w:val="16"/>
    </w:rPr>
  </w:style>
  <w:style w:type="paragraph" w:styleId="CommentText">
    <w:name w:val="annotation text"/>
    <w:basedOn w:val="Normal"/>
    <w:link w:val="CommentTextChar"/>
    <w:uiPriority w:val="99"/>
    <w:semiHidden/>
    <w:unhideWhenUsed/>
    <w:rsid w:val="00EA0189"/>
  </w:style>
  <w:style w:type="character" w:customStyle="1" w:styleId="CommentTextChar">
    <w:name w:val="Comment Text Char"/>
    <w:basedOn w:val="DefaultParagraphFont"/>
    <w:link w:val="CommentText"/>
    <w:uiPriority w:val="99"/>
    <w:semiHidden/>
    <w:rsid w:val="00EA0189"/>
    <w:rPr>
      <w:noProof/>
    </w:rPr>
  </w:style>
  <w:style w:type="paragraph" w:styleId="CommentSubject">
    <w:name w:val="annotation subject"/>
    <w:basedOn w:val="CommentText"/>
    <w:next w:val="CommentText"/>
    <w:link w:val="CommentSubjectChar"/>
    <w:uiPriority w:val="99"/>
    <w:semiHidden/>
    <w:unhideWhenUsed/>
    <w:rsid w:val="00EA0189"/>
    <w:rPr>
      <w:b/>
      <w:bCs/>
    </w:rPr>
  </w:style>
  <w:style w:type="character" w:customStyle="1" w:styleId="CommentSubjectChar">
    <w:name w:val="Comment Subject Char"/>
    <w:basedOn w:val="CommentTextChar"/>
    <w:link w:val="CommentSubject"/>
    <w:uiPriority w:val="99"/>
    <w:semiHidden/>
    <w:rsid w:val="00EA0189"/>
    <w:rPr>
      <w:b/>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tLeast"/>
      <w:ind w:left="360" w:hanging="360"/>
    </w:pPr>
    <w:rPr>
      <w:rFonts w:ascii="Times" w:hAnsi="Times"/>
      <w:noProof w:val="0"/>
      <w:sz w:val="22"/>
    </w:rPr>
  </w:style>
  <w:style w:type="paragraph" w:styleId="BodyText">
    <w:name w:val="Body Text"/>
    <w:basedOn w:val="Normal"/>
    <w:pPr>
      <w:spacing w:line="480" w:lineRule="atLeast"/>
    </w:pPr>
    <w:rPr>
      <w:rFonts w:ascii="Times New Roman" w:hAnsi="Times New Roman"/>
      <w:noProof w:val="0"/>
      <w:sz w:val="24"/>
    </w:rPr>
  </w:style>
  <w:style w:type="paragraph" w:styleId="BodyTextIndent2">
    <w:name w:val="Body Text Indent 2"/>
    <w:basedOn w:val="Normal"/>
    <w:pPr>
      <w:spacing w:line="480" w:lineRule="atLeast"/>
      <w:ind w:firstLine="720"/>
    </w:pPr>
    <w:rPr>
      <w:rFonts w:ascii="Times New Roman" w:hAnsi="Times New Roman"/>
      <w:noProof w:val="0"/>
      <w:sz w:val="24"/>
    </w:rPr>
  </w:style>
  <w:style w:type="paragraph" w:styleId="BodyText2">
    <w:name w:val="Body Text 2"/>
    <w:basedOn w:val="Normal"/>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pPr>
      <w:spacing w:line="480" w:lineRule="atLeast"/>
      <w:ind w:firstLine="720"/>
      <w:jc w:val="both"/>
    </w:pPr>
    <w:rPr>
      <w:rFonts w:ascii="Times New Roman" w:hAnsi="Times New Roman"/>
      <w:noProof w:val="0"/>
      <w:sz w:val="24"/>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styleId="Revision">
    <w:name w:val="Revision"/>
    <w:hidden/>
    <w:uiPriority w:val="99"/>
    <w:semiHidden/>
    <w:rsid w:val="007634B2"/>
    <w:rPr>
      <w:noProof/>
    </w:rPr>
  </w:style>
  <w:style w:type="character" w:styleId="CommentReference">
    <w:name w:val="annotation reference"/>
    <w:basedOn w:val="DefaultParagraphFont"/>
    <w:uiPriority w:val="99"/>
    <w:semiHidden/>
    <w:unhideWhenUsed/>
    <w:rsid w:val="00EA0189"/>
    <w:rPr>
      <w:sz w:val="16"/>
      <w:szCs w:val="16"/>
    </w:rPr>
  </w:style>
  <w:style w:type="paragraph" w:styleId="CommentText">
    <w:name w:val="annotation text"/>
    <w:basedOn w:val="Normal"/>
    <w:link w:val="CommentTextChar"/>
    <w:uiPriority w:val="99"/>
    <w:semiHidden/>
    <w:unhideWhenUsed/>
    <w:rsid w:val="00EA0189"/>
  </w:style>
  <w:style w:type="character" w:customStyle="1" w:styleId="CommentTextChar">
    <w:name w:val="Comment Text Char"/>
    <w:basedOn w:val="DefaultParagraphFont"/>
    <w:link w:val="CommentText"/>
    <w:uiPriority w:val="99"/>
    <w:semiHidden/>
    <w:rsid w:val="00EA0189"/>
    <w:rPr>
      <w:noProof/>
    </w:rPr>
  </w:style>
  <w:style w:type="paragraph" w:styleId="CommentSubject">
    <w:name w:val="annotation subject"/>
    <w:basedOn w:val="CommentText"/>
    <w:next w:val="CommentText"/>
    <w:link w:val="CommentSubjectChar"/>
    <w:uiPriority w:val="99"/>
    <w:semiHidden/>
    <w:unhideWhenUsed/>
    <w:rsid w:val="00EA0189"/>
    <w:rPr>
      <w:b/>
      <w:bCs/>
    </w:rPr>
  </w:style>
  <w:style w:type="character" w:customStyle="1" w:styleId="CommentSubjectChar">
    <w:name w:val="Comment Subject Char"/>
    <w:basedOn w:val="CommentTextChar"/>
    <w:link w:val="CommentSubject"/>
    <w:uiPriority w:val="99"/>
    <w:semiHidden/>
    <w:rsid w:val="00EA0189"/>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8536-10BC-4101-BC70-A364192C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4275</Words>
  <Characters>25823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2014-09-09T12:35:00Z</dcterms:created>
  <dcterms:modified xsi:type="dcterms:W3CDTF">2014-09-09T12:36:00Z</dcterms:modified>
</cp:coreProperties>
</file>