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56" w:rsidRPr="009A1133" w:rsidRDefault="00CF0156" w:rsidP="009A1133">
      <w:pPr>
        <w:rPr>
          <w:rFonts w:ascii="Gulim" w:eastAsia="Gulim" w:hAnsi="Gulim" w:cs="Gulim"/>
          <w:b/>
          <w:sz w:val="24"/>
        </w:rPr>
      </w:pPr>
    </w:p>
    <w:p w:rsidR="00CF0156" w:rsidRDefault="00CF0156" w:rsidP="00CF0156">
      <w:pPr>
        <w:jc w:val="center"/>
        <w:rPr>
          <w:rFonts w:ascii="Calibri" w:hAnsi="Calibri"/>
          <w:b/>
          <w:sz w:val="24"/>
        </w:rPr>
      </w:pPr>
    </w:p>
    <w:p w:rsidR="00CF0156" w:rsidRDefault="00CF0156" w:rsidP="00CF0156">
      <w:pPr>
        <w:jc w:val="center"/>
        <w:rPr>
          <w:rFonts w:ascii="Calibri" w:hAnsi="Calibri"/>
          <w:b/>
          <w:sz w:val="24"/>
        </w:rPr>
      </w:pPr>
    </w:p>
    <w:p w:rsidR="00CF0156" w:rsidRDefault="00CF0156" w:rsidP="00CF0156">
      <w:pPr>
        <w:jc w:val="center"/>
        <w:rPr>
          <w:rFonts w:ascii="Calibri" w:hAnsi="Calibri"/>
          <w:b/>
          <w:sz w:val="24"/>
        </w:rPr>
      </w:pPr>
    </w:p>
    <w:p w:rsidR="00CF0156" w:rsidRPr="00625A65" w:rsidRDefault="00CF0156" w:rsidP="00CF0156">
      <w:pPr>
        <w:jc w:val="center"/>
        <w:rPr>
          <w:rFonts w:ascii="Calibri" w:hAnsi="Calibri"/>
          <w:b/>
          <w:bCs/>
          <w:color w:val="000000"/>
          <w:sz w:val="24"/>
        </w:rPr>
      </w:pPr>
      <w:r w:rsidRPr="00625A65">
        <w:rPr>
          <w:rFonts w:ascii="Calibri" w:hAnsi="Calibri"/>
          <w:b/>
          <w:bCs/>
          <w:color w:val="000000"/>
          <w:sz w:val="24"/>
        </w:rPr>
        <w:t>SEARCH FOR DIABETES IN YOUTH STUDY</w:t>
      </w:r>
    </w:p>
    <w:p w:rsidR="00CF0156" w:rsidRPr="00625A65" w:rsidRDefault="00CF0156" w:rsidP="00CF0156">
      <w:pPr>
        <w:jc w:val="center"/>
        <w:rPr>
          <w:rFonts w:ascii="Calibri" w:hAnsi="Calibri"/>
          <w:b/>
          <w:bCs/>
          <w:color w:val="000000"/>
          <w:sz w:val="24"/>
        </w:rPr>
      </w:pPr>
    </w:p>
    <w:p w:rsidR="00CF0156" w:rsidRPr="00625A65" w:rsidRDefault="00CF0156" w:rsidP="00CF0156">
      <w:pPr>
        <w:rPr>
          <w:rFonts w:ascii="Calibri" w:hAnsi="Calibri"/>
          <w:b/>
          <w:bCs/>
          <w:color w:val="000000"/>
          <w:sz w:val="24"/>
        </w:rPr>
      </w:pPr>
    </w:p>
    <w:p w:rsidR="00CF0156" w:rsidRPr="00625A65" w:rsidRDefault="00CF0156" w:rsidP="00CF0156">
      <w:pPr>
        <w:rPr>
          <w:rFonts w:ascii="Calibri" w:hAnsi="Calibri"/>
          <w:b/>
          <w:bCs/>
          <w:color w:val="000000"/>
          <w:sz w:val="24"/>
        </w:rPr>
      </w:pPr>
    </w:p>
    <w:p w:rsidR="00CF0156" w:rsidRPr="00625A65" w:rsidRDefault="00CF0156" w:rsidP="00CF0156">
      <w:pPr>
        <w:rPr>
          <w:rFonts w:ascii="Calibri" w:hAnsi="Calibri"/>
          <w:b/>
          <w:bCs/>
          <w:color w:val="000000"/>
          <w:sz w:val="24"/>
        </w:rPr>
      </w:pPr>
    </w:p>
    <w:p w:rsidR="00CF0156" w:rsidRPr="00625A65" w:rsidRDefault="00CF0156" w:rsidP="00CF0156">
      <w:pPr>
        <w:jc w:val="center"/>
        <w:rPr>
          <w:rFonts w:ascii="Calibri" w:hAnsi="Calibri"/>
          <w:b/>
          <w:bCs/>
          <w:color w:val="000000"/>
          <w:sz w:val="24"/>
        </w:rPr>
      </w:pPr>
      <w:r w:rsidRPr="00625A65">
        <w:rPr>
          <w:rFonts w:ascii="Calibri" w:hAnsi="Calibri"/>
          <w:b/>
          <w:bCs/>
          <w:color w:val="000000"/>
          <w:sz w:val="24"/>
        </w:rPr>
        <w:t>OMB SUPPORTING STATEMENT: PART B</w:t>
      </w:r>
    </w:p>
    <w:p w:rsidR="00CF0156" w:rsidRPr="00625A65" w:rsidRDefault="00CF0156" w:rsidP="00CF0156">
      <w:pPr>
        <w:jc w:val="center"/>
        <w:rPr>
          <w:rFonts w:ascii="Calibri" w:hAnsi="Calibri"/>
          <w:color w:val="000000"/>
          <w:sz w:val="24"/>
        </w:rPr>
      </w:pPr>
      <w:r w:rsidRPr="00625A65">
        <w:rPr>
          <w:rFonts w:ascii="Calibri" w:hAnsi="Calibri"/>
          <w:color w:val="000000"/>
          <w:sz w:val="24"/>
        </w:rPr>
        <w:t xml:space="preserve">  </w:t>
      </w:r>
    </w:p>
    <w:p w:rsidR="00CF0156" w:rsidRPr="00625A65" w:rsidRDefault="00CF0156" w:rsidP="00CF0156">
      <w:pPr>
        <w:jc w:val="center"/>
        <w:rPr>
          <w:rFonts w:ascii="Calibri" w:hAnsi="Calibri"/>
          <w:color w:val="000000"/>
          <w:sz w:val="24"/>
        </w:rPr>
      </w:pPr>
    </w:p>
    <w:p w:rsidR="00CF0156" w:rsidRPr="00625A65" w:rsidRDefault="00CF0156" w:rsidP="003E18D4">
      <w:pPr>
        <w:spacing w:after="200"/>
        <w:jc w:val="center"/>
        <w:rPr>
          <w:rFonts w:ascii="Calibri" w:hAnsi="Calibri"/>
          <w:color w:val="000000"/>
          <w:sz w:val="24"/>
        </w:rPr>
      </w:pPr>
    </w:p>
    <w:p w:rsidR="00CF0156" w:rsidRPr="00625A65" w:rsidRDefault="00CF0156" w:rsidP="003E18D4">
      <w:pPr>
        <w:spacing w:after="200"/>
        <w:jc w:val="center"/>
        <w:rPr>
          <w:rFonts w:ascii="Calibri" w:hAnsi="Calibri"/>
          <w:color w:val="000000"/>
          <w:sz w:val="24"/>
        </w:rPr>
      </w:pPr>
      <w:r w:rsidRPr="00625A65">
        <w:rPr>
          <w:rFonts w:ascii="Calibri" w:hAnsi="Calibri"/>
          <w:color w:val="000000"/>
          <w:sz w:val="24"/>
        </w:rPr>
        <w:t>Submitted by:</w:t>
      </w:r>
    </w:p>
    <w:p w:rsidR="00CF0156" w:rsidRPr="00625A65" w:rsidRDefault="00CF0156" w:rsidP="003E18D4">
      <w:pPr>
        <w:spacing w:after="200"/>
        <w:jc w:val="center"/>
        <w:rPr>
          <w:rFonts w:ascii="Calibri" w:hAnsi="Calibri"/>
          <w:color w:val="000000"/>
          <w:sz w:val="24"/>
        </w:rPr>
      </w:pPr>
      <w:r w:rsidRPr="00625A65">
        <w:rPr>
          <w:rFonts w:ascii="Calibri" w:hAnsi="Calibri"/>
          <w:color w:val="000000"/>
          <w:sz w:val="24"/>
        </w:rPr>
        <w:t xml:space="preserve">Sharon </w:t>
      </w:r>
      <w:proofErr w:type="spellStart"/>
      <w:r w:rsidRPr="00625A65">
        <w:rPr>
          <w:rFonts w:ascii="Calibri" w:hAnsi="Calibri"/>
          <w:color w:val="000000"/>
          <w:sz w:val="24"/>
        </w:rPr>
        <w:t>Saydah</w:t>
      </w:r>
      <w:proofErr w:type="spellEnd"/>
      <w:r w:rsidRPr="00625A65">
        <w:rPr>
          <w:rFonts w:ascii="Calibri" w:hAnsi="Calibri"/>
          <w:color w:val="000000"/>
          <w:sz w:val="24"/>
        </w:rPr>
        <w:t>, PhD MHS</w:t>
      </w:r>
    </w:p>
    <w:p w:rsidR="00CF0156" w:rsidRPr="00625A65" w:rsidRDefault="00CF0156" w:rsidP="003E18D4">
      <w:pPr>
        <w:spacing w:after="200"/>
        <w:jc w:val="center"/>
        <w:rPr>
          <w:rFonts w:ascii="Calibri" w:hAnsi="Calibri"/>
          <w:color w:val="000000"/>
          <w:sz w:val="24"/>
        </w:rPr>
      </w:pPr>
      <w:r w:rsidRPr="00625A65">
        <w:rPr>
          <w:rFonts w:ascii="Calibri" w:hAnsi="Calibri"/>
          <w:color w:val="000000"/>
          <w:sz w:val="24"/>
        </w:rPr>
        <w:t>Project Officer</w:t>
      </w:r>
    </w:p>
    <w:p w:rsidR="00CF0156" w:rsidRPr="00625A65" w:rsidRDefault="00CF0156" w:rsidP="003E18D4">
      <w:pPr>
        <w:spacing w:after="200"/>
        <w:jc w:val="center"/>
        <w:rPr>
          <w:rFonts w:ascii="Calibri" w:hAnsi="Calibri"/>
          <w:color w:val="000000"/>
          <w:sz w:val="24"/>
        </w:rPr>
      </w:pPr>
    </w:p>
    <w:p w:rsidR="00CF0156" w:rsidRPr="00625A65" w:rsidRDefault="00CF0156" w:rsidP="003E18D4">
      <w:pPr>
        <w:spacing w:after="200"/>
        <w:jc w:val="center"/>
        <w:rPr>
          <w:rFonts w:ascii="Calibri" w:hAnsi="Calibri"/>
          <w:color w:val="000000"/>
          <w:sz w:val="24"/>
        </w:rPr>
      </w:pPr>
    </w:p>
    <w:p w:rsidR="00CF0156" w:rsidRPr="00625A65" w:rsidRDefault="00CF0156" w:rsidP="003E18D4">
      <w:pPr>
        <w:spacing w:after="200"/>
        <w:jc w:val="center"/>
        <w:rPr>
          <w:rFonts w:ascii="Calibri" w:hAnsi="Calibri"/>
          <w:color w:val="000000"/>
          <w:sz w:val="24"/>
        </w:rPr>
      </w:pPr>
    </w:p>
    <w:p w:rsidR="00CF0156" w:rsidRPr="00625A65" w:rsidRDefault="00CF0156" w:rsidP="001D3919">
      <w:pPr>
        <w:spacing w:after="200"/>
        <w:jc w:val="center"/>
        <w:rPr>
          <w:rFonts w:ascii="Calibri" w:hAnsi="Calibri"/>
          <w:color w:val="000000"/>
          <w:sz w:val="24"/>
        </w:rPr>
      </w:pPr>
      <w:r w:rsidRPr="00625A65">
        <w:rPr>
          <w:rFonts w:ascii="Calibri" w:hAnsi="Calibri"/>
          <w:color w:val="000000"/>
          <w:sz w:val="24"/>
        </w:rPr>
        <w:t>Epidemiology and Statistics Branch</w:t>
      </w:r>
    </w:p>
    <w:p w:rsidR="00CF0156" w:rsidRPr="00625A65" w:rsidRDefault="00CF0156" w:rsidP="001D3919">
      <w:pPr>
        <w:spacing w:after="200"/>
        <w:jc w:val="center"/>
        <w:rPr>
          <w:rFonts w:ascii="Calibri" w:hAnsi="Calibri"/>
          <w:color w:val="000000"/>
          <w:sz w:val="24"/>
        </w:rPr>
      </w:pPr>
      <w:r w:rsidRPr="00625A65">
        <w:rPr>
          <w:rFonts w:ascii="Calibri" w:hAnsi="Calibri"/>
          <w:color w:val="000000"/>
          <w:sz w:val="24"/>
        </w:rPr>
        <w:t>Division of Diabetes Translation</w:t>
      </w:r>
    </w:p>
    <w:p w:rsidR="00CF0156" w:rsidRPr="00625A65" w:rsidRDefault="00CF0156" w:rsidP="001D3919">
      <w:pPr>
        <w:spacing w:after="200"/>
        <w:jc w:val="center"/>
        <w:rPr>
          <w:rFonts w:ascii="Calibri" w:hAnsi="Calibri"/>
          <w:color w:val="000000"/>
          <w:sz w:val="24"/>
        </w:rPr>
      </w:pPr>
      <w:r w:rsidRPr="00625A65">
        <w:rPr>
          <w:rFonts w:ascii="Calibri" w:hAnsi="Calibri"/>
          <w:color w:val="000000"/>
          <w:sz w:val="24"/>
        </w:rPr>
        <w:t>Centers for Disease Control and Prevention</w:t>
      </w:r>
    </w:p>
    <w:p w:rsidR="00CF0156" w:rsidRPr="00625A65" w:rsidRDefault="003B30D2" w:rsidP="001D3919">
      <w:pPr>
        <w:spacing w:after="200"/>
        <w:jc w:val="center"/>
        <w:rPr>
          <w:rFonts w:ascii="Calibri" w:hAnsi="Calibri"/>
          <w:color w:val="000000"/>
          <w:sz w:val="24"/>
        </w:rPr>
      </w:pPr>
      <w:r w:rsidRPr="00625A65">
        <w:rPr>
          <w:rFonts w:ascii="Calibri" w:hAnsi="Calibri"/>
          <w:color w:val="000000"/>
          <w:sz w:val="24"/>
        </w:rPr>
        <w:t>University</w:t>
      </w:r>
      <w:r w:rsidR="006A01A9" w:rsidRPr="00625A65">
        <w:rPr>
          <w:rFonts w:ascii="Calibri" w:hAnsi="Calibri"/>
          <w:color w:val="000000"/>
          <w:sz w:val="24"/>
        </w:rPr>
        <w:t xml:space="preserve"> Park</w:t>
      </w:r>
      <w:r w:rsidR="00CF0156" w:rsidRPr="00625A65">
        <w:rPr>
          <w:rFonts w:ascii="Calibri" w:hAnsi="Calibri"/>
          <w:color w:val="000000"/>
          <w:sz w:val="24"/>
        </w:rPr>
        <w:t>, Williams Bldg.</w:t>
      </w:r>
    </w:p>
    <w:p w:rsidR="00CF0156" w:rsidRPr="00625A65" w:rsidRDefault="00CF0156" w:rsidP="001D3919">
      <w:pPr>
        <w:spacing w:after="200"/>
        <w:jc w:val="center"/>
        <w:rPr>
          <w:rFonts w:ascii="Calibri" w:hAnsi="Calibri"/>
          <w:color w:val="000000"/>
          <w:sz w:val="24"/>
        </w:rPr>
      </w:pPr>
      <w:r w:rsidRPr="00625A65">
        <w:rPr>
          <w:rFonts w:ascii="Calibri" w:hAnsi="Calibri"/>
          <w:color w:val="000000"/>
          <w:sz w:val="24"/>
        </w:rPr>
        <w:t>Atlanta, GA 30341</w:t>
      </w:r>
    </w:p>
    <w:p w:rsidR="00CF0156" w:rsidRPr="00625A65" w:rsidRDefault="00CF0156" w:rsidP="001D3919">
      <w:pPr>
        <w:spacing w:after="200"/>
        <w:jc w:val="center"/>
        <w:rPr>
          <w:rFonts w:ascii="Calibri" w:hAnsi="Calibri"/>
          <w:color w:val="000000"/>
          <w:sz w:val="24"/>
          <w:lang w:val="es-ES"/>
        </w:rPr>
      </w:pPr>
      <w:proofErr w:type="spellStart"/>
      <w:r w:rsidRPr="00625A65">
        <w:rPr>
          <w:rFonts w:ascii="Calibri" w:hAnsi="Calibri"/>
          <w:color w:val="000000"/>
          <w:sz w:val="24"/>
          <w:lang w:val="es-ES"/>
        </w:rPr>
        <w:t>Telephone</w:t>
      </w:r>
      <w:proofErr w:type="spellEnd"/>
      <w:r w:rsidRPr="00625A65">
        <w:rPr>
          <w:rFonts w:ascii="Calibri" w:hAnsi="Calibri"/>
          <w:color w:val="000000"/>
          <w:sz w:val="24"/>
          <w:lang w:val="es-ES"/>
        </w:rPr>
        <w:t>: (301) 458-4183</w:t>
      </w:r>
    </w:p>
    <w:p w:rsidR="00CF0156" w:rsidRPr="00625A65" w:rsidRDefault="00CF0156" w:rsidP="001D3919">
      <w:pPr>
        <w:spacing w:after="200"/>
        <w:jc w:val="center"/>
        <w:rPr>
          <w:rFonts w:ascii="Calibri" w:hAnsi="Calibri"/>
          <w:color w:val="000000"/>
          <w:sz w:val="24"/>
          <w:lang w:val="es-ES"/>
        </w:rPr>
      </w:pPr>
      <w:r w:rsidRPr="00625A65">
        <w:rPr>
          <w:rFonts w:ascii="Calibri" w:hAnsi="Calibri"/>
          <w:color w:val="000000"/>
          <w:sz w:val="24"/>
          <w:lang w:val="es-ES"/>
        </w:rPr>
        <w:t>Fax: (301) 458-4025</w:t>
      </w:r>
    </w:p>
    <w:p w:rsidR="00CF0156" w:rsidRPr="00625A65" w:rsidRDefault="00CF0156" w:rsidP="001D3919">
      <w:pPr>
        <w:spacing w:after="200"/>
        <w:jc w:val="center"/>
        <w:rPr>
          <w:rFonts w:ascii="Calibri" w:hAnsi="Calibri"/>
          <w:color w:val="000000"/>
          <w:sz w:val="24"/>
          <w:lang w:val="es-ES"/>
        </w:rPr>
      </w:pPr>
      <w:r w:rsidRPr="00625A65">
        <w:rPr>
          <w:rFonts w:ascii="Calibri" w:hAnsi="Calibri"/>
          <w:color w:val="000000"/>
          <w:sz w:val="24"/>
          <w:lang w:val="es-ES"/>
        </w:rPr>
        <w:t xml:space="preserve">e-mail: </w:t>
      </w:r>
      <w:hyperlink r:id="rId9" w:history="1">
        <w:r w:rsidRPr="00625A65">
          <w:rPr>
            <w:rStyle w:val="Hyperlink"/>
            <w:rFonts w:ascii="Calibri" w:hAnsi="Calibri"/>
            <w:sz w:val="24"/>
            <w:lang w:val="es-ES"/>
          </w:rPr>
          <w:t>ssaydah@cdc.gov</w:t>
        </w:r>
      </w:hyperlink>
    </w:p>
    <w:p w:rsidR="00CF0156" w:rsidRPr="00625A65" w:rsidRDefault="00CF0156" w:rsidP="003E18D4">
      <w:pPr>
        <w:spacing w:after="200"/>
        <w:jc w:val="center"/>
        <w:rPr>
          <w:rFonts w:ascii="Calibri" w:hAnsi="Calibri"/>
          <w:color w:val="000000"/>
          <w:sz w:val="24"/>
          <w:lang w:val="es-ES"/>
        </w:rPr>
      </w:pPr>
    </w:p>
    <w:p w:rsidR="003E18D4" w:rsidRPr="00625A65" w:rsidRDefault="003E18D4" w:rsidP="0014322E">
      <w:pPr>
        <w:spacing w:after="200"/>
        <w:rPr>
          <w:rFonts w:ascii="Calibri" w:hAnsi="Calibri"/>
          <w:color w:val="000000"/>
          <w:sz w:val="24"/>
          <w:lang w:val="es-ES"/>
        </w:rPr>
      </w:pPr>
    </w:p>
    <w:p w:rsidR="00CF0156" w:rsidRPr="00625A65" w:rsidRDefault="00AA1303" w:rsidP="002E20DB">
      <w:pPr>
        <w:jc w:val="center"/>
        <w:rPr>
          <w:rFonts w:ascii="Calibri" w:hAnsi="Calibri"/>
          <w:b/>
          <w:bCs/>
          <w:color w:val="000000"/>
          <w:sz w:val="24"/>
        </w:rPr>
      </w:pPr>
      <w:r w:rsidRPr="00625A65">
        <w:rPr>
          <w:rFonts w:ascii="Calibri" w:hAnsi="Calibri"/>
          <w:b/>
          <w:bCs/>
          <w:color w:val="000000"/>
          <w:sz w:val="24"/>
        </w:rPr>
        <w:t xml:space="preserve">February </w:t>
      </w:r>
      <w:r w:rsidR="000429A1">
        <w:rPr>
          <w:rFonts w:ascii="Calibri" w:hAnsi="Calibri"/>
          <w:b/>
          <w:bCs/>
          <w:color w:val="000000"/>
          <w:sz w:val="24"/>
        </w:rPr>
        <w:t>24</w:t>
      </w:r>
      <w:bookmarkStart w:id="0" w:name="_GoBack"/>
      <w:bookmarkEnd w:id="0"/>
      <w:r w:rsidRPr="00625A65">
        <w:rPr>
          <w:rFonts w:ascii="Calibri" w:hAnsi="Calibri"/>
          <w:b/>
          <w:bCs/>
          <w:color w:val="000000"/>
          <w:sz w:val="24"/>
        </w:rPr>
        <w:t>, 2014</w:t>
      </w:r>
    </w:p>
    <w:p w:rsidR="00AA1303" w:rsidRPr="00625A65" w:rsidRDefault="00AA1303" w:rsidP="00AA1303">
      <w:pPr>
        <w:rPr>
          <w:rFonts w:ascii="Calibri" w:hAnsi="Calibri"/>
          <w:b/>
          <w:bCs/>
          <w:color w:val="000000"/>
          <w:sz w:val="24"/>
        </w:rPr>
      </w:pPr>
    </w:p>
    <w:p w:rsidR="00640F74" w:rsidRPr="00625A65" w:rsidRDefault="00640F74" w:rsidP="00BB4175">
      <w:pPr>
        <w:widowControl/>
        <w:autoSpaceDE/>
        <w:autoSpaceDN/>
        <w:adjustRightInd/>
        <w:spacing w:after="200" w:line="276" w:lineRule="auto"/>
        <w:jc w:val="center"/>
        <w:rPr>
          <w:rFonts w:ascii="Calibri" w:hAnsi="Calibri"/>
          <w:b/>
          <w:sz w:val="24"/>
        </w:rPr>
      </w:pPr>
      <w:r w:rsidRPr="00625A65">
        <w:rPr>
          <w:rFonts w:ascii="Calibri" w:hAnsi="Calibri"/>
          <w:b/>
          <w:sz w:val="24"/>
        </w:rPr>
        <w:t>Table of Contents</w:t>
      </w:r>
    </w:p>
    <w:p w:rsidR="00640F74" w:rsidRPr="00625A65" w:rsidRDefault="00640F74" w:rsidP="00640F74">
      <w:pPr>
        <w:keepNext/>
        <w:keepLines/>
        <w:widowControl/>
        <w:rPr>
          <w:rFonts w:ascii="Calibri" w:hAnsi="Calibri"/>
          <w:sz w:val="24"/>
        </w:rPr>
      </w:pPr>
    </w:p>
    <w:p w:rsidR="00640F74" w:rsidRPr="00625A65" w:rsidRDefault="00640F74" w:rsidP="00640F74">
      <w:pPr>
        <w:keepNext/>
        <w:keepLines/>
        <w:widowControl/>
        <w:rPr>
          <w:rFonts w:ascii="Calibri" w:hAnsi="Calibri"/>
          <w:sz w:val="24"/>
        </w:rPr>
      </w:pPr>
      <w:r w:rsidRPr="00625A65">
        <w:rPr>
          <w:rFonts w:ascii="Calibri" w:hAnsi="Calibri"/>
          <w:b/>
          <w:bCs/>
          <w:sz w:val="24"/>
        </w:rPr>
        <w:t>B.</w:t>
      </w:r>
      <w:r w:rsidRPr="00625A65">
        <w:rPr>
          <w:rFonts w:ascii="Calibri" w:hAnsi="Calibri"/>
          <w:b/>
          <w:bCs/>
          <w:sz w:val="24"/>
        </w:rPr>
        <w:tab/>
        <w:t>STATISTICAL METHODS</w:t>
      </w:r>
      <w:r w:rsidRPr="00625A65">
        <w:rPr>
          <w:rFonts w:ascii="Calibri" w:hAnsi="Calibri"/>
          <w:sz w:val="24"/>
        </w:rPr>
        <w:tab/>
      </w:r>
      <w:r w:rsidRPr="00625A65">
        <w:rPr>
          <w:rFonts w:ascii="Calibri" w:hAnsi="Calibri"/>
          <w:sz w:val="24"/>
        </w:rPr>
        <w:tab/>
      </w:r>
      <w:r w:rsidRPr="00625A65">
        <w:rPr>
          <w:rFonts w:ascii="Calibri" w:hAnsi="Calibri"/>
          <w:sz w:val="24"/>
        </w:rPr>
        <w:tab/>
      </w:r>
      <w:r w:rsidRPr="00625A65">
        <w:rPr>
          <w:rFonts w:ascii="Calibri" w:hAnsi="Calibri"/>
          <w:sz w:val="24"/>
        </w:rPr>
        <w:tab/>
      </w:r>
      <w:r w:rsidRPr="00625A65">
        <w:rPr>
          <w:rFonts w:ascii="Calibri" w:hAnsi="Calibri"/>
          <w:sz w:val="24"/>
        </w:rPr>
        <w:tab/>
      </w:r>
      <w:r w:rsidRPr="00625A65">
        <w:rPr>
          <w:rFonts w:ascii="Calibri" w:hAnsi="Calibri"/>
          <w:sz w:val="24"/>
        </w:rPr>
        <w:tab/>
      </w:r>
      <w:r w:rsidRPr="00625A65">
        <w:rPr>
          <w:rFonts w:ascii="Calibri" w:hAnsi="Calibri"/>
          <w:sz w:val="24"/>
        </w:rPr>
        <w:tab/>
      </w:r>
    </w:p>
    <w:p w:rsidR="00640F74" w:rsidRPr="00625A65" w:rsidRDefault="00640F74" w:rsidP="00640F74">
      <w:pPr>
        <w:keepNext/>
        <w:keepLines/>
        <w:widowControl/>
        <w:rPr>
          <w:rFonts w:ascii="Calibri" w:hAnsi="Calibri"/>
          <w:sz w:val="24"/>
        </w:rPr>
      </w:pPr>
    </w:p>
    <w:p w:rsidR="00640F74" w:rsidRPr="00625A65" w:rsidRDefault="00640F74" w:rsidP="00640F74">
      <w:pPr>
        <w:keepLines/>
        <w:widowControl/>
        <w:tabs>
          <w:tab w:val="left" w:pos="-1440"/>
          <w:tab w:val="left" w:pos="-720"/>
          <w:tab w:val="left" w:pos="0"/>
          <w:tab w:val="left" w:pos="720"/>
          <w:tab w:val="right" w:leader="dot" w:pos="9360"/>
        </w:tabs>
        <w:spacing w:line="480" w:lineRule="auto"/>
        <w:rPr>
          <w:rFonts w:ascii="Calibri" w:hAnsi="Calibri"/>
          <w:sz w:val="24"/>
        </w:rPr>
      </w:pPr>
      <w:r w:rsidRPr="00625A65">
        <w:rPr>
          <w:rFonts w:ascii="Calibri" w:hAnsi="Calibri"/>
          <w:sz w:val="24"/>
        </w:rPr>
        <w:t>B.1</w:t>
      </w:r>
      <w:r w:rsidRPr="00625A65">
        <w:rPr>
          <w:rFonts w:ascii="Calibri" w:hAnsi="Calibri"/>
          <w:sz w:val="24"/>
        </w:rPr>
        <w:tab/>
        <w:t>Respondent</w:t>
      </w:r>
      <w:r w:rsidR="003E4688" w:rsidRPr="00625A65">
        <w:rPr>
          <w:rFonts w:ascii="Calibri" w:hAnsi="Calibri"/>
          <w:sz w:val="24"/>
        </w:rPr>
        <w:t xml:space="preserve"> Universe and Sampling Methods</w:t>
      </w:r>
    </w:p>
    <w:p w:rsidR="00640F74" w:rsidRPr="00625A65" w:rsidRDefault="00640F74" w:rsidP="00640F74">
      <w:pPr>
        <w:widowControl/>
        <w:tabs>
          <w:tab w:val="left" w:pos="-1440"/>
          <w:tab w:val="left" w:pos="-720"/>
          <w:tab w:val="left" w:pos="0"/>
          <w:tab w:val="left" w:pos="720"/>
          <w:tab w:val="right" w:leader="dot" w:pos="9360"/>
        </w:tabs>
        <w:spacing w:line="480" w:lineRule="auto"/>
        <w:rPr>
          <w:rFonts w:ascii="Calibri" w:hAnsi="Calibri"/>
          <w:sz w:val="24"/>
        </w:rPr>
      </w:pPr>
      <w:r w:rsidRPr="00625A65">
        <w:rPr>
          <w:rFonts w:ascii="Calibri" w:hAnsi="Calibri"/>
          <w:sz w:val="24"/>
        </w:rPr>
        <w:t>B.2</w:t>
      </w:r>
      <w:r w:rsidRPr="00625A65">
        <w:rPr>
          <w:rFonts w:ascii="Calibri" w:hAnsi="Calibri"/>
          <w:sz w:val="24"/>
        </w:rPr>
        <w:tab/>
        <w:t>Procedures for</w:t>
      </w:r>
      <w:r w:rsidR="003E4688" w:rsidRPr="00625A65">
        <w:rPr>
          <w:rFonts w:ascii="Calibri" w:hAnsi="Calibri"/>
          <w:sz w:val="24"/>
        </w:rPr>
        <w:t xml:space="preserve"> the Collection of Information </w:t>
      </w:r>
    </w:p>
    <w:p w:rsidR="00640F74" w:rsidRPr="00625A65" w:rsidRDefault="00640F74" w:rsidP="00640F74">
      <w:pPr>
        <w:widowControl/>
        <w:tabs>
          <w:tab w:val="left" w:pos="-1440"/>
          <w:tab w:val="left" w:pos="-720"/>
          <w:tab w:val="left" w:pos="0"/>
          <w:tab w:val="left" w:pos="720"/>
          <w:tab w:val="right" w:leader="dot" w:pos="9360"/>
        </w:tabs>
        <w:spacing w:line="480" w:lineRule="auto"/>
        <w:rPr>
          <w:rFonts w:ascii="Calibri" w:hAnsi="Calibri"/>
          <w:sz w:val="24"/>
        </w:rPr>
      </w:pPr>
      <w:r w:rsidRPr="00625A65">
        <w:rPr>
          <w:rFonts w:ascii="Calibri" w:hAnsi="Calibri"/>
          <w:sz w:val="24"/>
        </w:rPr>
        <w:t>B.3</w:t>
      </w:r>
      <w:r w:rsidRPr="00625A65">
        <w:rPr>
          <w:rFonts w:ascii="Calibri" w:hAnsi="Calibri"/>
          <w:sz w:val="24"/>
        </w:rPr>
        <w:tab/>
        <w:t>Methods to Maximize Response Rates and Deal with Nonresponse</w:t>
      </w:r>
    </w:p>
    <w:p w:rsidR="00640F74" w:rsidRPr="00625A65" w:rsidRDefault="00640F74" w:rsidP="00640F74">
      <w:pPr>
        <w:widowControl/>
        <w:tabs>
          <w:tab w:val="left" w:pos="-1440"/>
          <w:tab w:val="left" w:pos="-720"/>
          <w:tab w:val="left" w:pos="0"/>
          <w:tab w:val="left" w:pos="720"/>
          <w:tab w:val="right" w:leader="dot" w:pos="9360"/>
        </w:tabs>
        <w:spacing w:line="480" w:lineRule="auto"/>
        <w:rPr>
          <w:rFonts w:ascii="Calibri" w:hAnsi="Calibri"/>
          <w:sz w:val="24"/>
        </w:rPr>
      </w:pPr>
      <w:r w:rsidRPr="00625A65">
        <w:rPr>
          <w:rFonts w:ascii="Calibri" w:hAnsi="Calibri"/>
          <w:sz w:val="24"/>
        </w:rPr>
        <w:t>B.4</w:t>
      </w:r>
      <w:r w:rsidRPr="00625A65">
        <w:rPr>
          <w:rFonts w:ascii="Calibri" w:hAnsi="Calibri"/>
          <w:sz w:val="24"/>
        </w:rPr>
        <w:tab/>
        <w:t xml:space="preserve">Tests of Procedures or Methods to be </w:t>
      </w:r>
      <w:r w:rsidR="003E4688" w:rsidRPr="00625A65">
        <w:rPr>
          <w:rFonts w:ascii="Calibri" w:hAnsi="Calibri"/>
          <w:sz w:val="24"/>
        </w:rPr>
        <w:t>Undertaken</w:t>
      </w:r>
    </w:p>
    <w:p w:rsidR="00640F74" w:rsidRPr="00625A65" w:rsidRDefault="00640F74" w:rsidP="00640F74">
      <w:pPr>
        <w:widowControl/>
        <w:tabs>
          <w:tab w:val="left" w:pos="-1440"/>
          <w:tab w:val="left" w:pos="720"/>
        </w:tabs>
        <w:ind w:left="8640" w:hanging="8640"/>
        <w:rPr>
          <w:rFonts w:ascii="Calibri" w:hAnsi="Calibri"/>
          <w:sz w:val="24"/>
        </w:rPr>
      </w:pPr>
      <w:r w:rsidRPr="00625A65">
        <w:rPr>
          <w:rFonts w:ascii="Calibri" w:hAnsi="Calibri"/>
          <w:sz w:val="24"/>
        </w:rPr>
        <w:t>B.5</w:t>
      </w:r>
      <w:r w:rsidRPr="00625A65">
        <w:rPr>
          <w:rFonts w:ascii="Calibri" w:hAnsi="Calibri"/>
          <w:sz w:val="24"/>
        </w:rPr>
        <w:tab/>
        <w:t xml:space="preserve">Individuals Consulted on Statistical Aspects and Individuals Collecting and/or </w:t>
      </w:r>
      <w:r w:rsidRPr="00625A65">
        <w:rPr>
          <w:rFonts w:ascii="Calibri" w:hAnsi="Calibri"/>
          <w:sz w:val="24"/>
        </w:rPr>
        <w:tab/>
      </w:r>
    </w:p>
    <w:p w:rsidR="00640F74" w:rsidRPr="00625A65" w:rsidRDefault="003E4688" w:rsidP="00640F74">
      <w:pPr>
        <w:widowControl/>
        <w:tabs>
          <w:tab w:val="right" w:leader="dot" w:pos="9360"/>
        </w:tabs>
        <w:ind w:left="720"/>
        <w:rPr>
          <w:rFonts w:ascii="Calibri" w:hAnsi="Calibri"/>
          <w:sz w:val="24"/>
        </w:rPr>
      </w:pPr>
      <w:r w:rsidRPr="00625A65">
        <w:rPr>
          <w:rFonts w:ascii="Calibri" w:hAnsi="Calibri"/>
          <w:sz w:val="24"/>
        </w:rPr>
        <w:t xml:space="preserve">Analyzing Data </w:t>
      </w:r>
    </w:p>
    <w:p w:rsidR="007772C5" w:rsidRPr="00625A65" w:rsidRDefault="007772C5" w:rsidP="00640F74">
      <w:pPr>
        <w:widowControl/>
        <w:rPr>
          <w:rFonts w:ascii="Calibri" w:hAnsi="Calibri"/>
          <w:b/>
          <w:bCs/>
          <w:sz w:val="24"/>
        </w:rPr>
      </w:pPr>
    </w:p>
    <w:p w:rsidR="007772C5" w:rsidRPr="00625A65" w:rsidRDefault="007772C5" w:rsidP="00640F74">
      <w:pPr>
        <w:widowControl/>
        <w:rPr>
          <w:rFonts w:ascii="Calibri" w:hAnsi="Calibri"/>
          <w:b/>
          <w:bCs/>
          <w:sz w:val="24"/>
        </w:rPr>
      </w:pPr>
    </w:p>
    <w:p w:rsidR="00C331D2" w:rsidRPr="00625A65" w:rsidRDefault="00C331D2" w:rsidP="00640F74">
      <w:pPr>
        <w:widowControl/>
        <w:rPr>
          <w:rFonts w:ascii="Calibri" w:hAnsi="Calibri"/>
          <w:b/>
          <w:bCs/>
          <w:sz w:val="24"/>
        </w:rPr>
      </w:pPr>
    </w:p>
    <w:p w:rsidR="007772C5" w:rsidRPr="00625A65" w:rsidRDefault="007772C5" w:rsidP="00640F74">
      <w:pPr>
        <w:widowControl/>
        <w:rPr>
          <w:rFonts w:ascii="Calibri" w:hAnsi="Calibri"/>
          <w:b/>
          <w:bCs/>
          <w:sz w:val="24"/>
        </w:rPr>
      </w:pP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1:</w:t>
      </w:r>
      <w:r w:rsidRPr="00625A65">
        <w:rPr>
          <w:rFonts w:asciiTheme="minorHAnsi" w:hAnsiTheme="minorHAnsi"/>
          <w:sz w:val="24"/>
        </w:rPr>
        <w:tab/>
      </w:r>
      <w:r w:rsidRPr="00625A65">
        <w:rPr>
          <w:rFonts w:asciiTheme="minorHAnsi" w:hAnsiTheme="minorHAnsi"/>
          <w:sz w:val="24"/>
        </w:rPr>
        <w:tab/>
        <w:t>Authorizing Legislation:  PHSA</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2:</w:t>
      </w:r>
      <w:r w:rsidRPr="00625A65">
        <w:rPr>
          <w:rFonts w:asciiTheme="minorHAnsi" w:hAnsiTheme="minorHAnsi"/>
          <w:sz w:val="24"/>
        </w:rPr>
        <w:tab/>
      </w:r>
      <w:r w:rsidRPr="00625A65">
        <w:rPr>
          <w:rFonts w:asciiTheme="minorHAnsi" w:hAnsiTheme="minorHAnsi"/>
          <w:sz w:val="24"/>
        </w:rPr>
        <w:tab/>
        <w:t xml:space="preserve">Federal Register Notice </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2B:</w:t>
      </w:r>
      <w:r w:rsidRPr="00625A65">
        <w:rPr>
          <w:rFonts w:asciiTheme="minorHAnsi" w:hAnsiTheme="minorHAnsi"/>
          <w:sz w:val="24"/>
        </w:rPr>
        <w:tab/>
      </w:r>
      <w:r w:rsidRPr="00625A65">
        <w:rPr>
          <w:rFonts w:asciiTheme="minorHAnsi" w:hAnsiTheme="minorHAnsi"/>
          <w:sz w:val="24"/>
        </w:rPr>
        <w:tab/>
        <w:t>Summary of Public Comments and CDC Response</w:t>
      </w:r>
    </w:p>
    <w:p w:rsidR="00AA1303" w:rsidRPr="00625A65" w:rsidRDefault="00AA1303" w:rsidP="00AA1303">
      <w:pPr>
        <w:tabs>
          <w:tab w:val="left" w:pos="3060"/>
          <w:tab w:val="left" w:pos="3240"/>
        </w:tabs>
        <w:ind w:left="3240" w:hanging="1800"/>
        <w:rPr>
          <w:rFonts w:asciiTheme="minorHAnsi" w:hAnsiTheme="minorHAnsi"/>
          <w:sz w:val="24"/>
        </w:rPr>
      </w:pPr>
      <w:r w:rsidRPr="00625A65">
        <w:rPr>
          <w:rFonts w:asciiTheme="minorHAnsi" w:hAnsiTheme="minorHAnsi"/>
          <w:sz w:val="24"/>
        </w:rPr>
        <w:t>Attachment 3:</w:t>
      </w:r>
      <w:r w:rsidRPr="00625A65">
        <w:rPr>
          <w:rFonts w:asciiTheme="minorHAnsi" w:hAnsiTheme="minorHAnsi"/>
          <w:sz w:val="24"/>
        </w:rPr>
        <w:tab/>
      </w:r>
      <w:r w:rsidRPr="00625A65">
        <w:rPr>
          <w:rFonts w:asciiTheme="minorHAnsi" w:hAnsiTheme="minorHAnsi"/>
          <w:sz w:val="24"/>
        </w:rPr>
        <w:tab/>
      </w:r>
      <w:r w:rsidRPr="00625A65">
        <w:rPr>
          <w:rFonts w:asciiTheme="minorHAnsi" w:hAnsiTheme="minorHAnsi"/>
          <w:sz w:val="24"/>
        </w:rPr>
        <w:tab/>
        <w:t>SEARCH Study Sites and Coordinating Center</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4A1-2:</w:t>
      </w:r>
      <w:r w:rsidRPr="00625A65">
        <w:rPr>
          <w:rFonts w:asciiTheme="minorHAnsi" w:hAnsiTheme="minorHAnsi"/>
          <w:sz w:val="24"/>
        </w:rPr>
        <w:tab/>
        <w:t>Registry Data Collection</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4B1-1</w:t>
      </w:r>
      <w:r w:rsidR="00593D56" w:rsidRPr="00625A65">
        <w:rPr>
          <w:rFonts w:asciiTheme="minorHAnsi" w:hAnsiTheme="minorHAnsi"/>
          <w:sz w:val="24"/>
        </w:rPr>
        <w:t>6</w:t>
      </w:r>
      <w:r w:rsidRPr="00625A65">
        <w:rPr>
          <w:rFonts w:asciiTheme="minorHAnsi" w:hAnsiTheme="minorHAnsi"/>
          <w:sz w:val="24"/>
        </w:rPr>
        <w:t>:</w:t>
      </w:r>
      <w:r w:rsidRPr="00625A65">
        <w:rPr>
          <w:rFonts w:asciiTheme="minorHAnsi" w:hAnsiTheme="minorHAnsi"/>
          <w:sz w:val="24"/>
        </w:rPr>
        <w:tab/>
        <w:t>Cohort Study Data Collection</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5:</w:t>
      </w:r>
      <w:r w:rsidRPr="00625A65">
        <w:rPr>
          <w:rFonts w:asciiTheme="minorHAnsi" w:hAnsiTheme="minorHAnsi"/>
          <w:sz w:val="24"/>
        </w:rPr>
        <w:tab/>
      </w:r>
      <w:r w:rsidRPr="00625A65">
        <w:rPr>
          <w:rFonts w:asciiTheme="minorHAnsi" w:hAnsiTheme="minorHAnsi"/>
          <w:sz w:val="24"/>
        </w:rPr>
        <w:tab/>
        <w:t>References</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6:</w:t>
      </w:r>
      <w:r w:rsidRPr="00625A65">
        <w:rPr>
          <w:rFonts w:asciiTheme="minorHAnsi" w:hAnsiTheme="minorHAnsi"/>
          <w:sz w:val="24"/>
        </w:rPr>
        <w:tab/>
      </w:r>
      <w:r w:rsidRPr="00625A65">
        <w:rPr>
          <w:rFonts w:asciiTheme="minorHAnsi" w:hAnsiTheme="minorHAnsi"/>
          <w:sz w:val="24"/>
        </w:rPr>
        <w:tab/>
        <w:t>Experts Consulted During SEARCH Development</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7:</w:t>
      </w:r>
      <w:r w:rsidRPr="00625A65">
        <w:rPr>
          <w:rFonts w:asciiTheme="minorHAnsi" w:hAnsiTheme="minorHAnsi"/>
          <w:sz w:val="24"/>
        </w:rPr>
        <w:tab/>
      </w:r>
      <w:r w:rsidRPr="00625A65">
        <w:rPr>
          <w:rFonts w:asciiTheme="minorHAnsi" w:hAnsiTheme="minorHAnsi"/>
          <w:sz w:val="24"/>
        </w:rPr>
        <w:tab/>
        <w:t>IRB Approvals</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8:</w:t>
      </w:r>
      <w:r w:rsidRPr="00625A65">
        <w:rPr>
          <w:rFonts w:asciiTheme="minorHAnsi" w:hAnsiTheme="minorHAnsi"/>
          <w:sz w:val="24"/>
        </w:rPr>
        <w:tab/>
      </w:r>
      <w:r w:rsidRPr="00625A65">
        <w:rPr>
          <w:rFonts w:asciiTheme="minorHAnsi" w:hAnsiTheme="minorHAnsi"/>
          <w:sz w:val="24"/>
        </w:rPr>
        <w:tab/>
        <w:t>Certificate of Confidentiality</w:t>
      </w:r>
    </w:p>
    <w:p w:rsidR="00AA1303" w:rsidRPr="00625A65" w:rsidRDefault="00AA1303" w:rsidP="00AA1303">
      <w:pPr>
        <w:tabs>
          <w:tab w:val="left" w:pos="3600"/>
        </w:tabs>
        <w:ind w:left="3600" w:hanging="2160"/>
        <w:rPr>
          <w:rFonts w:asciiTheme="minorHAnsi" w:hAnsiTheme="minorHAnsi"/>
          <w:sz w:val="24"/>
        </w:rPr>
      </w:pPr>
      <w:r w:rsidRPr="00625A65">
        <w:rPr>
          <w:rFonts w:asciiTheme="minorHAnsi" w:hAnsiTheme="minorHAnsi"/>
          <w:sz w:val="24"/>
        </w:rPr>
        <w:t xml:space="preserve">Attachment 9: </w:t>
      </w:r>
      <w:r w:rsidRPr="00625A65">
        <w:rPr>
          <w:rFonts w:asciiTheme="minorHAnsi" w:hAnsiTheme="minorHAnsi"/>
          <w:sz w:val="24"/>
        </w:rPr>
        <w:tab/>
        <w:t>Clinical site consent forms including HIPAA waiver language</w:t>
      </w:r>
    </w:p>
    <w:p w:rsidR="00AA1303" w:rsidRPr="00625A65" w:rsidRDefault="00AA1303" w:rsidP="00AA1303">
      <w:pPr>
        <w:tabs>
          <w:tab w:val="left" w:pos="3240"/>
        </w:tabs>
        <w:ind w:left="3240" w:hanging="1800"/>
        <w:rPr>
          <w:rFonts w:asciiTheme="minorHAnsi" w:hAnsiTheme="minorHAnsi"/>
          <w:sz w:val="24"/>
        </w:rPr>
      </w:pPr>
      <w:r w:rsidRPr="00625A65">
        <w:rPr>
          <w:rFonts w:asciiTheme="minorHAnsi" w:hAnsiTheme="minorHAnsi"/>
          <w:sz w:val="24"/>
        </w:rPr>
        <w:t>Attachment 10:</w:t>
      </w:r>
      <w:r w:rsidRPr="00625A65">
        <w:rPr>
          <w:rFonts w:asciiTheme="minorHAnsi" w:hAnsiTheme="minorHAnsi"/>
          <w:sz w:val="24"/>
        </w:rPr>
        <w:tab/>
      </w:r>
      <w:r w:rsidRPr="00625A65">
        <w:rPr>
          <w:rFonts w:asciiTheme="minorHAnsi" w:hAnsiTheme="minorHAnsi"/>
          <w:sz w:val="24"/>
        </w:rPr>
        <w:tab/>
        <w:t>Data use agreements</w:t>
      </w:r>
    </w:p>
    <w:p w:rsidR="00AA1303" w:rsidRPr="00625A65" w:rsidRDefault="00AA1303" w:rsidP="00AA1303">
      <w:pPr>
        <w:tabs>
          <w:tab w:val="left" w:pos="1800"/>
          <w:tab w:val="left" w:pos="2520"/>
        </w:tabs>
        <w:spacing w:after="120"/>
        <w:ind w:left="720"/>
        <w:rPr>
          <w:rFonts w:asciiTheme="minorHAnsi" w:hAnsiTheme="minorHAnsi"/>
          <w:sz w:val="24"/>
        </w:rPr>
      </w:pPr>
      <w:r w:rsidRPr="00625A65">
        <w:rPr>
          <w:rFonts w:asciiTheme="minorHAnsi" w:hAnsiTheme="minorHAnsi"/>
          <w:sz w:val="24"/>
        </w:rPr>
        <w:t xml:space="preserve">             Attachment 11: </w:t>
      </w:r>
      <w:r w:rsidRPr="00625A65">
        <w:rPr>
          <w:rFonts w:asciiTheme="minorHAnsi" w:hAnsiTheme="minorHAnsi"/>
          <w:sz w:val="24"/>
        </w:rPr>
        <w:tab/>
        <w:t>Published article documenting SEARCH methods</w:t>
      </w:r>
    </w:p>
    <w:p w:rsidR="00AA1303" w:rsidRPr="00625A65" w:rsidRDefault="00AA1303" w:rsidP="00AA1303">
      <w:pPr>
        <w:tabs>
          <w:tab w:val="left" w:pos="1800"/>
          <w:tab w:val="left" w:pos="2520"/>
        </w:tabs>
        <w:spacing w:after="120"/>
        <w:ind w:left="720"/>
        <w:rPr>
          <w:rFonts w:asciiTheme="minorHAnsi" w:hAnsiTheme="minorHAnsi"/>
          <w:sz w:val="24"/>
        </w:rPr>
      </w:pPr>
      <w:r w:rsidRPr="00625A65">
        <w:rPr>
          <w:rFonts w:asciiTheme="minorHAnsi" w:hAnsiTheme="minorHAnsi"/>
          <w:sz w:val="24"/>
        </w:rPr>
        <w:t xml:space="preserve">             Attachment 12:</w:t>
      </w:r>
      <w:r w:rsidRPr="00625A65">
        <w:rPr>
          <w:rFonts w:asciiTheme="minorHAnsi" w:hAnsiTheme="minorHAnsi"/>
          <w:sz w:val="24"/>
        </w:rPr>
        <w:tab/>
        <w:t>Presentations of preliminary results from SEARCH Phase 3</w:t>
      </w:r>
    </w:p>
    <w:p w:rsidR="00AA1303" w:rsidRPr="00625A65" w:rsidRDefault="00AA1303" w:rsidP="00AA1303">
      <w:pPr>
        <w:tabs>
          <w:tab w:val="left" w:pos="3240"/>
        </w:tabs>
        <w:ind w:left="3240" w:hanging="1800"/>
        <w:rPr>
          <w:sz w:val="24"/>
        </w:rPr>
      </w:pPr>
    </w:p>
    <w:p w:rsidR="007772C5" w:rsidRPr="00625A65" w:rsidRDefault="007772C5" w:rsidP="007772C5">
      <w:pPr>
        <w:ind w:left="720" w:firstLine="720"/>
        <w:rPr>
          <w:color w:val="000000"/>
          <w:sz w:val="24"/>
        </w:rPr>
      </w:pPr>
    </w:p>
    <w:p w:rsidR="00640F74" w:rsidRPr="00625A65" w:rsidRDefault="00640F74" w:rsidP="00640F74">
      <w:pPr>
        <w:widowControl/>
        <w:rPr>
          <w:rFonts w:ascii="Calibri" w:hAnsi="Calibri"/>
          <w:b/>
          <w:bCs/>
          <w:sz w:val="24"/>
        </w:rPr>
      </w:pPr>
      <w:r w:rsidRPr="00625A65">
        <w:rPr>
          <w:rFonts w:ascii="Calibri" w:hAnsi="Calibri"/>
          <w:b/>
          <w:bCs/>
          <w:sz w:val="24"/>
        </w:rPr>
        <w:br w:type="page"/>
      </w:r>
    </w:p>
    <w:p w:rsidR="00444FEC" w:rsidRPr="00625A65" w:rsidRDefault="00D322EE" w:rsidP="00342DC3">
      <w:pPr>
        <w:rPr>
          <w:rFonts w:ascii="Calibri" w:hAnsi="Calibri"/>
          <w:b/>
          <w:sz w:val="24"/>
        </w:rPr>
      </w:pPr>
      <w:r w:rsidRPr="00625A65">
        <w:rPr>
          <w:rFonts w:ascii="Calibri" w:hAnsi="Calibri"/>
          <w:b/>
          <w:sz w:val="24"/>
        </w:rPr>
        <w:lastRenderedPageBreak/>
        <w:t>B.1. Respondent Universe and Sampling Methods</w:t>
      </w:r>
    </w:p>
    <w:p w:rsidR="0007433F" w:rsidRPr="00625A65" w:rsidRDefault="0007433F">
      <w:pPr>
        <w:rPr>
          <w:rFonts w:ascii="Calibri" w:hAnsi="Calibri"/>
          <w:b/>
          <w:sz w:val="24"/>
        </w:rPr>
      </w:pPr>
    </w:p>
    <w:p w:rsidR="0007433F" w:rsidRPr="00625A65" w:rsidRDefault="00D322EE">
      <w:pPr>
        <w:rPr>
          <w:rFonts w:ascii="Calibri" w:hAnsi="Calibri"/>
          <w:b/>
          <w:i/>
          <w:sz w:val="24"/>
        </w:rPr>
      </w:pPr>
      <w:r w:rsidRPr="00625A65">
        <w:rPr>
          <w:rFonts w:ascii="Calibri" w:hAnsi="Calibri"/>
          <w:b/>
          <w:sz w:val="24"/>
        </w:rPr>
        <w:t>Registry Study- C</w:t>
      </w:r>
      <w:r w:rsidR="008F5F57" w:rsidRPr="00625A65">
        <w:rPr>
          <w:rFonts w:ascii="Calibri" w:hAnsi="Calibri"/>
          <w:b/>
          <w:i/>
          <w:sz w:val="24"/>
        </w:rPr>
        <w:t>ase Ascertainment Processes utilized by the SEARCH 3 Clinical Sites</w:t>
      </w:r>
    </w:p>
    <w:p w:rsidR="0007433F" w:rsidRPr="00625A65" w:rsidRDefault="00D322EE">
      <w:pPr>
        <w:spacing w:before="120" w:after="120"/>
        <w:ind w:left="540"/>
        <w:rPr>
          <w:rFonts w:ascii="Calibri" w:hAnsi="Calibri"/>
          <w:sz w:val="24"/>
        </w:rPr>
      </w:pPr>
      <w:r w:rsidRPr="00625A65">
        <w:rPr>
          <w:rFonts w:ascii="Calibri" w:hAnsi="Calibri"/>
          <w:b/>
          <w:bCs/>
          <w:sz w:val="24"/>
        </w:rPr>
        <w:t>Ongoing Case Ascertainment</w:t>
      </w:r>
      <w:r w:rsidRPr="00625A65">
        <w:rPr>
          <w:rFonts w:ascii="Calibri" w:hAnsi="Calibri"/>
          <w:sz w:val="24"/>
        </w:rPr>
        <w:t xml:space="preserve">:  SEARCH 3 will use the reporting network of clinics and health care providers that </w:t>
      </w:r>
      <w:r w:rsidR="00B662BD" w:rsidRPr="00625A65">
        <w:rPr>
          <w:rFonts w:ascii="Calibri" w:hAnsi="Calibri"/>
          <w:sz w:val="24"/>
        </w:rPr>
        <w:t>was</w:t>
      </w:r>
      <w:r w:rsidRPr="00625A65">
        <w:rPr>
          <w:rFonts w:ascii="Calibri" w:hAnsi="Calibri"/>
          <w:sz w:val="24"/>
        </w:rPr>
        <w:t xml:space="preserve"> established </w:t>
      </w:r>
      <w:r w:rsidR="00B662BD" w:rsidRPr="00625A65">
        <w:rPr>
          <w:rFonts w:ascii="Calibri" w:hAnsi="Calibri"/>
          <w:sz w:val="24"/>
        </w:rPr>
        <w:t xml:space="preserve">in SEARCH phases 1 and 2 </w:t>
      </w:r>
      <w:r w:rsidRPr="00625A65">
        <w:rPr>
          <w:rFonts w:ascii="Calibri" w:hAnsi="Calibri"/>
          <w:sz w:val="24"/>
        </w:rPr>
        <w:t xml:space="preserve">as </w:t>
      </w:r>
      <w:r w:rsidR="00E74877" w:rsidRPr="00625A65">
        <w:rPr>
          <w:rFonts w:ascii="Calibri" w:hAnsi="Calibri"/>
          <w:b/>
          <w:sz w:val="24"/>
        </w:rPr>
        <w:t>(Attachment 11)</w:t>
      </w:r>
      <w:r w:rsidR="00DA560F" w:rsidRPr="00625A65">
        <w:rPr>
          <w:rFonts w:ascii="Calibri" w:hAnsi="Calibri"/>
          <w:sz w:val="24"/>
        </w:rPr>
        <w:t xml:space="preserve"> </w:t>
      </w:r>
      <w:r w:rsidRPr="00625A65">
        <w:rPr>
          <w:rFonts w:ascii="Calibri" w:hAnsi="Calibri"/>
          <w:sz w:val="24"/>
        </w:rPr>
        <w:t xml:space="preserve">the primary approach to case-finding for incident cases of diabetes for the period 2010-2014.  Additionally, the case ascertainment approach involves existing validated pediatric diabetes databases, hospital and health </w:t>
      </w:r>
      <w:r w:rsidR="006C1B1C" w:rsidRPr="00625A65">
        <w:rPr>
          <w:rFonts w:ascii="Calibri" w:hAnsi="Calibri"/>
          <w:sz w:val="24"/>
        </w:rPr>
        <w:t xml:space="preserve">care </w:t>
      </w:r>
      <w:r w:rsidRPr="00625A65">
        <w:rPr>
          <w:rFonts w:ascii="Calibri" w:hAnsi="Calibri"/>
          <w:sz w:val="24"/>
        </w:rPr>
        <w:t xml:space="preserve">plan databases, and other health care organizations.  </w:t>
      </w:r>
    </w:p>
    <w:p w:rsidR="0007433F" w:rsidRPr="00625A65" w:rsidRDefault="00D322EE">
      <w:pPr>
        <w:spacing w:before="120" w:after="120"/>
        <w:ind w:left="540"/>
        <w:rPr>
          <w:rFonts w:ascii="Calibri" w:hAnsi="Calibri"/>
          <w:sz w:val="24"/>
        </w:rPr>
      </w:pPr>
      <w:r w:rsidRPr="00625A65">
        <w:rPr>
          <w:rFonts w:ascii="Calibri" w:hAnsi="Calibri"/>
          <w:b/>
          <w:bCs/>
          <w:sz w:val="24"/>
        </w:rPr>
        <w:t>Case Validation</w:t>
      </w:r>
      <w:r w:rsidRPr="00625A65">
        <w:rPr>
          <w:rFonts w:ascii="Calibri" w:hAnsi="Calibri"/>
          <w:sz w:val="24"/>
        </w:rPr>
        <w:t xml:space="preserve">:  Cases of diabetes will be validated based on physician reports, medical record reviews, or self-report of a physician diagnosis of (non-gestational) diabetes.  A physician-diagnosed case of diabetes is established if any of the following criteria are met: (1) medical record review indicating a physician diagnosis of diabetes, (2) the diagnosis of diabetes is directly verified by a physician, (3) the physician referred a youth with diabetes to the study, or (4) the case was included in a clinical database that had a requirement for verification of diagnosis of diabetes by a physician. </w:t>
      </w:r>
    </w:p>
    <w:p w:rsidR="0007433F" w:rsidRPr="00625A65" w:rsidRDefault="00D322EE">
      <w:pPr>
        <w:spacing w:before="120" w:after="120"/>
        <w:ind w:left="540"/>
        <w:rPr>
          <w:rFonts w:ascii="Calibri" w:hAnsi="Calibri"/>
          <w:sz w:val="24"/>
        </w:rPr>
      </w:pPr>
      <w:r w:rsidRPr="00625A65">
        <w:rPr>
          <w:rFonts w:ascii="Calibri" w:hAnsi="Calibri"/>
          <w:b/>
          <w:bCs/>
          <w:sz w:val="24"/>
        </w:rPr>
        <w:t>Eligibility Criteria:</w:t>
      </w:r>
      <w:r w:rsidRPr="00625A65">
        <w:rPr>
          <w:rFonts w:ascii="Calibri" w:hAnsi="Calibri"/>
          <w:bCs/>
          <w:sz w:val="24"/>
        </w:rPr>
        <w:t xml:space="preserve">  </w:t>
      </w:r>
      <w:r w:rsidRPr="00625A65">
        <w:rPr>
          <w:rFonts w:ascii="Calibri" w:hAnsi="Calibri"/>
          <w:sz w:val="24"/>
        </w:rPr>
        <w:t xml:space="preserve">Eligibility criteria will remain the same.  As in SEARCH 1 and 2, the study will be confined to children/youth who, in addition to having an onset of physician-diagnosed of diabetes </w:t>
      </w:r>
      <w:r w:rsidR="00B662BD" w:rsidRPr="00625A65">
        <w:rPr>
          <w:rFonts w:ascii="Calibri" w:hAnsi="Calibri"/>
          <w:sz w:val="24"/>
        </w:rPr>
        <w:t xml:space="preserve">during </w:t>
      </w:r>
      <w:r w:rsidRPr="00625A65">
        <w:rPr>
          <w:rFonts w:ascii="Calibri" w:hAnsi="Calibri"/>
          <w:sz w:val="24"/>
        </w:rPr>
        <w:t>the index year, are also are &lt; 20 years of age on December 31 of the index year</w:t>
      </w:r>
      <w:r w:rsidR="00B662BD" w:rsidRPr="00625A65">
        <w:rPr>
          <w:rFonts w:ascii="Calibri" w:hAnsi="Calibri"/>
          <w:sz w:val="24"/>
        </w:rPr>
        <w:t>,</w:t>
      </w:r>
      <w:r w:rsidRPr="00625A65">
        <w:rPr>
          <w:rFonts w:ascii="Calibri" w:hAnsi="Calibri"/>
          <w:sz w:val="24"/>
        </w:rPr>
        <w:t xml:space="preserve"> and 2) are resident</w:t>
      </w:r>
      <w:r w:rsidR="00B662BD" w:rsidRPr="00625A65">
        <w:rPr>
          <w:rFonts w:ascii="Calibri" w:hAnsi="Calibri"/>
          <w:sz w:val="24"/>
        </w:rPr>
        <w:t>s</w:t>
      </w:r>
      <w:r w:rsidRPr="00625A65">
        <w:rPr>
          <w:rFonts w:ascii="Calibri" w:hAnsi="Calibri"/>
          <w:sz w:val="24"/>
        </w:rPr>
        <w:t xml:space="preserve"> of the population defined for geographically-based centers at any time during the index year, or a</w:t>
      </w:r>
      <w:r w:rsidR="00B662BD" w:rsidRPr="00625A65">
        <w:rPr>
          <w:rFonts w:ascii="Calibri" w:hAnsi="Calibri"/>
          <w:sz w:val="24"/>
        </w:rPr>
        <w:t>re</w:t>
      </w:r>
      <w:r w:rsidRPr="00625A65">
        <w:rPr>
          <w:rFonts w:ascii="Calibri" w:hAnsi="Calibri"/>
          <w:sz w:val="24"/>
        </w:rPr>
        <w:t xml:space="preserve"> member</w:t>
      </w:r>
      <w:r w:rsidR="00B662BD" w:rsidRPr="00625A65">
        <w:rPr>
          <w:rFonts w:ascii="Calibri" w:hAnsi="Calibri"/>
          <w:sz w:val="24"/>
        </w:rPr>
        <w:t>s</w:t>
      </w:r>
      <w:r w:rsidRPr="00625A65">
        <w:rPr>
          <w:rFonts w:ascii="Calibri" w:hAnsi="Calibri"/>
          <w:sz w:val="24"/>
        </w:rPr>
        <w:t xml:space="preserve"> of the participating health plan for membership-based centers at diagnosis, and 3) are not active duty military personnel or institutionalized.  Protected Health Information (PHI) will be obtained in order to validate and confirm eligibility and uniqueness of cases in keeping with HIPAA and the procedures and approvals required by the local IRB.</w:t>
      </w:r>
    </w:p>
    <w:p w:rsidR="0007433F" w:rsidRPr="00625A65" w:rsidRDefault="008F5F57">
      <w:pPr>
        <w:spacing w:before="120" w:after="120"/>
        <w:ind w:left="540"/>
        <w:rPr>
          <w:rFonts w:ascii="Calibri" w:hAnsi="Calibri"/>
          <w:sz w:val="24"/>
        </w:rPr>
      </w:pPr>
      <w:r w:rsidRPr="00625A65">
        <w:rPr>
          <w:rFonts w:ascii="Calibri" w:hAnsi="Calibri"/>
          <w:b/>
          <w:bCs/>
          <w:sz w:val="24"/>
        </w:rPr>
        <w:t>De-</w:t>
      </w:r>
      <w:r w:rsidR="00D322EE" w:rsidRPr="00625A65">
        <w:rPr>
          <w:rFonts w:ascii="Calibri" w:hAnsi="Calibri"/>
          <w:b/>
          <w:bCs/>
          <w:sz w:val="24"/>
        </w:rPr>
        <w:t xml:space="preserve">duplication: </w:t>
      </w:r>
      <w:r w:rsidR="00D322EE" w:rsidRPr="00625A65">
        <w:rPr>
          <w:rFonts w:ascii="Calibri" w:hAnsi="Calibri"/>
          <w:sz w:val="24"/>
        </w:rPr>
        <w:t xml:space="preserve"> Duplicates will be identified using both electronic files and manually, both within and between case sources, using the name or initials, gender, date of birth, ethnicity, zip code, or other available information, in keeping with HIPAA requirements to use the least amount of PHI in conducting research.  The number of duplicates identified will be used to estimate completeness of ascertainment with the capture-recapture method among the geographic centers.</w:t>
      </w:r>
    </w:p>
    <w:p w:rsidR="00C43EA6" w:rsidRPr="00625A65" w:rsidRDefault="00D322EE">
      <w:pPr>
        <w:spacing w:before="120" w:after="120"/>
        <w:ind w:left="547"/>
        <w:rPr>
          <w:rFonts w:ascii="Calibri" w:hAnsi="Calibri"/>
          <w:sz w:val="24"/>
        </w:rPr>
      </w:pPr>
      <w:r w:rsidRPr="00625A65">
        <w:rPr>
          <w:rFonts w:ascii="Calibri" w:hAnsi="Calibri"/>
          <w:b/>
          <w:bCs/>
          <w:sz w:val="24"/>
        </w:rPr>
        <w:t xml:space="preserve">Case Registration:  </w:t>
      </w:r>
      <w:r w:rsidRPr="00625A65">
        <w:rPr>
          <w:rFonts w:ascii="Calibri" w:hAnsi="Calibri"/>
          <w:sz w:val="24"/>
        </w:rPr>
        <w:t xml:space="preserve">Cases that are valid, eligible and unique will be registered by the center with information being uploaded to the </w:t>
      </w:r>
      <w:r w:rsidR="00043767" w:rsidRPr="00625A65">
        <w:rPr>
          <w:rFonts w:ascii="Calibri" w:hAnsi="Calibri"/>
          <w:sz w:val="24"/>
        </w:rPr>
        <w:t xml:space="preserve">Coordinating </w:t>
      </w:r>
      <w:r w:rsidRPr="00625A65">
        <w:rPr>
          <w:rFonts w:ascii="Calibri" w:hAnsi="Calibri"/>
          <w:sz w:val="24"/>
        </w:rPr>
        <w:t>C</w:t>
      </w:r>
      <w:r w:rsidR="00043767" w:rsidRPr="00625A65">
        <w:rPr>
          <w:rFonts w:ascii="Calibri" w:hAnsi="Calibri"/>
          <w:sz w:val="24"/>
        </w:rPr>
        <w:t>enter</w:t>
      </w:r>
      <w:r w:rsidRPr="00625A65">
        <w:rPr>
          <w:rFonts w:ascii="Calibri" w:hAnsi="Calibri"/>
          <w:sz w:val="24"/>
        </w:rPr>
        <w:t>.  Names</w:t>
      </w:r>
      <w:r w:rsidR="00043767" w:rsidRPr="00625A65">
        <w:rPr>
          <w:rFonts w:ascii="Calibri" w:hAnsi="Calibri"/>
          <w:sz w:val="24"/>
        </w:rPr>
        <w:t xml:space="preserve">, </w:t>
      </w:r>
      <w:r w:rsidRPr="00625A65">
        <w:rPr>
          <w:rFonts w:ascii="Calibri" w:hAnsi="Calibri"/>
          <w:sz w:val="24"/>
        </w:rPr>
        <w:t>addresses</w:t>
      </w:r>
      <w:r w:rsidR="00043767" w:rsidRPr="00625A65">
        <w:rPr>
          <w:rFonts w:ascii="Calibri" w:hAnsi="Calibri"/>
          <w:sz w:val="24"/>
        </w:rPr>
        <w:t>, date of diagnosis and date of birth</w:t>
      </w:r>
      <w:r w:rsidRPr="00625A65">
        <w:rPr>
          <w:rFonts w:ascii="Calibri" w:hAnsi="Calibri"/>
          <w:sz w:val="24"/>
        </w:rPr>
        <w:t xml:space="preserve"> are not provided to the </w:t>
      </w:r>
      <w:r w:rsidR="00043767" w:rsidRPr="00625A65">
        <w:rPr>
          <w:rFonts w:ascii="Calibri" w:hAnsi="Calibri"/>
          <w:sz w:val="24"/>
        </w:rPr>
        <w:t>Coordinating Center</w:t>
      </w:r>
      <w:r w:rsidRPr="00625A65">
        <w:rPr>
          <w:rFonts w:ascii="Calibri" w:hAnsi="Calibri"/>
          <w:sz w:val="24"/>
        </w:rPr>
        <w:t xml:space="preserve">.  In cases where duplicates and cases that are not valid or eligible are identified at a later date, they will be unregistered by both the local center and the </w:t>
      </w:r>
      <w:r w:rsidR="00043767" w:rsidRPr="00625A65">
        <w:rPr>
          <w:rFonts w:ascii="Calibri" w:hAnsi="Calibri"/>
          <w:sz w:val="24"/>
        </w:rPr>
        <w:t>Coordinating Center</w:t>
      </w:r>
      <w:r w:rsidRPr="00625A65">
        <w:rPr>
          <w:rFonts w:ascii="Calibri" w:hAnsi="Calibri"/>
          <w:sz w:val="24"/>
        </w:rPr>
        <w:t>.</w:t>
      </w:r>
      <w:r w:rsidR="006D2512" w:rsidRPr="00625A65">
        <w:rPr>
          <w:rFonts w:ascii="Calibri" w:hAnsi="Calibri"/>
          <w:sz w:val="24"/>
        </w:rPr>
        <w:t xml:space="preserve">  We estimate that the Registry Study will involve information collection from an average of 255 cases per year.</w:t>
      </w:r>
    </w:p>
    <w:p w:rsidR="00D322EE" w:rsidRPr="00625A65" w:rsidRDefault="00D322EE" w:rsidP="00342DC3">
      <w:pPr>
        <w:rPr>
          <w:rFonts w:ascii="Calibri" w:hAnsi="Calibri"/>
          <w:sz w:val="24"/>
        </w:rPr>
      </w:pPr>
    </w:p>
    <w:p w:rsidR="000C4C71" w:rsidRPr="00625A65" w:rsidRDefault="000C4C71">
      <w:pPr>
        <w:widowControl/>
        <w:autoSpaceDE/>
        <w:autoSpaceDN/>
        <w:adjustRightInd/>
        <w:rPr>
          <w:rFonts w:ascii="Calibri" w:hAnsi="Calibri"/>
          <w:b/>
          <w:bCs/>
          <w:i/>
          <w:sz w:val="24"/>
        </w:rPr>
      </w:pPr>
      <w:bookmarkStart w:id="1" w:name="_Toc275265475"/>
      <w:r w:rsidRPr="00625A65">
        <w:rPr>
          <w:rFonts w:ascii="Calibri" w:hAnsi="Calibri"/>
          <w:i/>
          <w:sz w:val="24"/>
        </w:rPr>
        <w:br w:type="page"/>
      </w:r>
    </w:p>
    <w:p w:rsidR="000C1705" w:rsidRPr="00625A65" w:rsidRDefault="000C1705" w:rsidP="00342DC3">
      <w:pPr>
        <w:pStyle w:val="Heading3"/>
        <w:keepNext w:val="0"/>
        <w:spacing w:line="240" w:lineRule="auto"/>
        <w:rPr>
          <w:rFonts w:ascii="Calibri" w:hAnsi="Calibri"/>
          <w:i/>
          <w:sz w:val="24"/>
          <w:szCs w:val="24"/>
        </w:rPr>
      </w:pPr>
      <w:r w:rsidRPr="00625A65">
        <w:rPr>
          <w:rFonts w:ascii="Calibri" w:hAnsi="Calibri"/>
          <w:i/>
          <w:sz w:val="24"/>
          <w:szCs w:val="24"/>
        </w:rPr>
        <w:lastRenderedPageBreak/>
        <w:t>Cohort Study: Eligibility and Anticipated Sample Size</w:t>
      </w:r>
      <w:bookmarkEnd w:id="1"/>
    </w:p>
    <w:p w:rsidR="0007433F" w:rsidRPr="00625A65" w:rsidRDefault="000C1705">
      <w:pPr>
        <w:spacing w:before="120" w:after="120"/>
        <w:ind w:left="360"/>
        <w:rPr>
          <w:rFonts w:ascii="Calibri" w:hAnsi="Calibri"/>
          <w:sz w:val="24"/>
        </w:rPr>
      </w:pPr>
      <w:r w:rsidRPr="00625A65">
        <w:rPr>
          <w:rFonts w:ascii="Calibri" w:hAnsi="Calibri"/>
          <w:sz w:val="24"/>
        </w:rPr>
        <w:t>Individuals registered in the SEARCH cohort with a diagnosis of non-gestational diabetes in incident years 2002-2005, 2006 and 2008 and who completed a SEARCH baseline in-person visit</w:t>
      </w:r>
      <w:r w:rsidR="00DA560F" w:rsidRPr="00625A65">
        <w:rPr>
          <w:rFonts w:ascii="Calibri" w:hAnsi="Calibri"/>
          <w:sz w:val="24"/>
        </w:rPr>
        <w:t xml:space="preserve"> as described in </w:t>
      </w:r>
      <w:r w:rsidR="00E74877" w:rsidRPr="00625A65">
        <w:rPr>
          <w:rFonts w:ascii="Calibri" w:hAnsi="Calibri"/>
          <w:b/>
          <w:sz w:val="24"/>
        </w:rPr>
        <w:t>Attachment 11</w:t>
      </w:r>
      <w:r w:rsidRPr="00625A65">
        <w:rPr>
          <w:rFonts w:ascii="Calibri" w:hAnsi="Calibri"/>
          <w:sz w:val="24"/>
        </w:rPr>
        <w:t xml:space="preserve"> in five of the SEARCH clinical centers will be eligible for the new SEARCH Cohort Study once they have had diabetes for at least 5 years.  </w:t>
      </w:r>
      <w:r w:rsidR="00DA560F" w:rsidRPr="00625A65">
        <w:rPr>
          <w:rFonts w:ascii="Calibri" w:hAnsi="Calibri"/>
          <w:sz w:val="24"/>
        </w:rPr>
        <w:t xml:space="preserve"> </w:t>
      </w:r>
      <w:r w:rsidRPr="00625A65">
        <w:rPr>
          <w:rFonts w:ascii="Calibri" w:hAnsi="Calibri"/>
          <w:sz w:val="24"/>
        </w:rPr>
        <w:t xml:space="preserve">We will determine an algorithm that optimizes duration of disease over the data collection years of the Cohort Study, considering both diagnosis year and the timing of the most recent SEARCH visit during SEARCH 2.  We anticipate that the average duration of diabetes will be 8-9 years (range 6-14 </w:t>
      </w:r>
      <w:proofErr w:type="spellStart"/>
      <w:r w:rsidRPr="00625A65">
        <w:rPr>
          <w:rFonts w:ascii="Calibri" w:hAnsi="Calibri"/>
          <w:sz w:val="24"/>
        </w:rPr>
        <w:t>yrs</w:t>
      </w:r>
      <w:proofErr w:type="spellEnd"/>
      <w:r w:rsidRPr="00625A65">
        <w:rPr>
          <w:rFonts w:ascii="Calibri" w:hAnsi="Calibri"/>
          <w:sz w:val="24"/>
        </w:rPr>
        <w:t xml:space="preserve"> diabetes duration), and the average age of participants at the time of the SEARCH Cohort Visit will be about 20 years (range 8-32 </w:t>
      </w:r>
      <w:proofErr w:type="spellStart"/>
      <w:r w:rsidRPr="00625A65">
        <w:rPr>
          <w:rFonts w:ascii="Calibri" w:hAnsi="Calibri"/>
          <w:sz w:val="24"/>
        </w:rPr>
        <w:t>yrs</w:t>
      </w:r>
      <w:proofErr w:type="spellEnd"/>
      <w:r w:rsidRPr="00625A65">
        <w:rPr>
          <w:rFonts w:ascii="Calibri" w:hAnsi="Calibri"/>
          <w:sz w:val="24"/>
        </w:rPr>
        <w:t xml:space="preserve"> old).  Our goal is to have 80% of eligible members of the cohort attend the proposed SEARCH Cohort Study visit, for a total of 3145 participants with a Cohort Study visit.  </w:t>
      </w:r>
      <w:r w:rsidR="000563C9" w:rsidRPr="00625A65">
        <w:rPr>
          <w:rFonts w:ascii="Calibri" w:hAnsi="Calibri"/>
          <w:sz w:val="24"/>
        </w:rPr>
        <w:t xml:space="preserve"> A</w:t>
      </w:r>
      <w:r w:rsidR="005C2539" w:rsidRPr="00625A65">
        <w:rPr>
          <w:rFonts w:ascii="Calibri" w:hAnsi="Calibri"/>
          <w:sz w:val="24"/>
        </w:rPr>
        <w:t xml:space="preserve">s of November 14, 2013, </w:t>
      </w:r>
      <w:r w:rsidR="000B4B15" w:rsidRPr="00625A65">
        <w:rPr>
          <w:rFonts w:ascii="Calibri" w:hAnsi="Calibri"/>
          <w:sz w:val="24"/>
        </w:rPr>
        <w:t xml:space="preserve">the study sites </w:t>
      </w:r>
      <w:r w:rsidR="000563C9" w:rsidRPr="00625A65">
        <w:rPr>
          <w:rFonts w:ascii="Calibri" w:hAnsi="Calibri"/>
          <w:sz w:val="24"/>
        </w:rPr>
        <w:t xml:space="preserve">have recruited and seen in clinic visits </w:t>
      </w:r>
      <w:r w:rsidR="000B4B15" w:rsidRPr="00625A65">
        <w:rPr>
          <w:rFonts w:ascii="Calibri" w:hAnsi="Calibri"/>
          <w:sz w:val="24"/>
        </w:rPr>
        <w:t xml:space="preserve">of </w:t>
      </w:r>
      <w:r w:rsidR="000563C9" w:rsidRPr="00625A65">
        <w:rPr>
          <w:rFonts w:ascii="Calibri" w:hAnsi="Calibri"/>
          <w:sz w:val="24"/>
        </w:rPr>
        <w:t xml:space="preserve">1839 participants.   Therefore </w:t>
      </w:r>
      <w:r w:rsidR="000B4B15" w:rsidRPr="00625A65">
        <w:rPr>
          <w:rFonts w:ascii="Calibri" w:hAnsi="Calibri"/>
          <w:sz w:val="24"/>
        </w:rPr>
        <w:t xml:space="preserve"> each study site will</w:t>
      </w:r>
      <w:r w:rsidR="005C2539" w:rsidRPr="00625A65">
        <w:rPr>
          <w:rFonts w:ascii="Calibri" w:hAnsi="Calibri"/>
          <w:sz w:val="24"/>
        </w:rPr>
        <w:t xml:space="preserve"> continue recruiting participants for the next two years in order to achieve our target enrollment of 3145 participants.  </w:t>
      </w:r>
      <w:r w:rsidRPr="00625A65">
        <w:rPr>
          <w:rFonts w:ascii="Calibri" w:hAnsi="Calibri"/>
          <w:sz w:val="24"/>
        </w:rPr>
        <w:t xml:space="preserve">Of the 20% not attending the research clinic visit, an additional 10% will participate by completion of surveys by telephone or internet, for a total of 90% inclusion or 3550 individuals.  </w:t>
      </w:r>
      <w:r w:rsidR="00547643" w:rsidRPr="00625A65">
        <w:rPr>
          <w:rFonts w:ascii="Calibri" w:hAnsi="Calibri"/>
          <w:sz w:val="24"/>
        </w:rPr>
        <w:t>The estimated number of participants per year (as reflected in the burden table in SS Part A) is based on a 90% response rate of 3550 participants over 5 years of the study</w:t>
      </w:r>
      <w:r w:rsidR="0007433F" w:rsidRPr="00625A65">
        <w:rPr>
          <w:rFonts w:ascii="Calibri" w:hAnsi="Calibri"/>
          <w:sz w:val="24"/>
        </w:rPr>
        <w:t xml:space="preserve"> resulting in </w:t>
      </w:r>
      <w:r w:rsidR="00547643" w:rsidRPr="00625A65">
        <w:rPr>
          <w:rFonts w:ascii="Calibri" w:hAnsi="Calibri"/>
          <w:sz w:val="24"/>
        </w:rPr>
        <w:t xml:space="preserve">710 </w:t>
      </w:r>
      <w:r w:rsidR="0007433F" w:rsidRPr="00625A65">
        <w:rPr>
          <w:rFonts w:ascii="Calibri" w:hAnsi="Calibri"/>
          <w:sz w:val="24"/>
        </w:rPr>
        <w:t xml:space="preserve">participants </w:t>
      </w:r>
      <w:r w:rsidR="00547643" w:rsidRPr="00625A65">
        <w:rPr>
          <w:rFonts w:ascii="Calibri" w:hAnsi="Calibri"/>
          <w:sz w:val="24"/>
        </w:rPr>
        <w:t xml:space="preserve">per year. </w:t>
      </w:r>
      <w:r w:rsidRPr="00625A65">
        <w:rPr>
          <w:rFonts w:ascii="Calibri" w:hAnsi="Calibri"/>
          <w:sz w:val="24"/>
        </w:rPr>
        <w:t>Based on proportions of youth in sub-groups of diabetes type and race/ethnicity, the anticipated numbers and characteristics of anticipated participants in the SEARCH Cohort Study data co</w:t>
      </w:r>
      <w:r w:rsidR="00847A95" w:rsidRPr="00625A65">
        <w:rPr>
          <w:rFonts w:ascii="Calibri" w:hAnsi="Calibri"/>
          <w:sz w:val="24"/>
        </w:rPr>
        <w:t>llection are displayed in Table 1</w:t>
      </w:r>
      <w:r w:rsidRPr="00625A65">
        <w:rPr>
          <w:rFonts w:ascii="Calibri" w:hAnsi="Calibri"/>
          <w:sz w:val="24"/>
        </w:rPr>
        <w:t>.</w:t>
      </w:r>
    </w:p>
    <w:p w:rsidR="0007433F" w:rsidRPr="00625A65" w:rsidRDefault="0007433F">
      <w:pPr>
        <w:spacing w:before="120" w:after="120"/>
        <w:ind w:left="720"/>
        <w:rPr>
          <w:rFonts w:ascii="Calibri" w:hAnsi="Calibr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672"/>
        <w:gridCol w:w="734"/>
        <w:gridCol w:w="733"/>
        <w:gridCol w:w="671"/>
        <w:gridCol w:w="795"/>
        <w:gridCol w:w="689"/>
        <w:gridCol w:w="733"/>
        <w:gridCol w:w="671"/>
        <w:gridCol w:w="671"/>
        <w:gridCol w:w="733"/>
        <w:gridCol w:w="622"/>
        <w:gridCol w:w="622"/>
      </w:tblGrid>
      <w:tr w:rsidR="00847A95" w:rsidRPr="00625A65" w:rsidTr="00F947B1">
        <w:trPr>
          <w:trHeight w:val="395"/>
        </w:trPr>
        <w:tc>
          <w:tcPr>
            <w:tcW w:w="9738" w:type="dxa"/>
            <w:gridSpan w:val="13"/>
          </w:tcPr>
          <w:p w:rsidR="00847A95" w:rsidRPr="00625A65" w:rsidRDefault="00847A95" w:rsidP="00342DC3">
            <w:pPr>
              <w:spacing w:before="60" w:after="60"/>
              <w:rPr>
                <w:rFonts w:ascii="Calibri" w:hAnsi="Calibri"/>
                <w:b/>
                <w:sz w:val="24"/>
              </w:rPr>
            </w:pPr>
            <w:r w:rsidRPr="00625A65">
              <w:rPr>
                <w:rFonts w:ascii="Calibri" w:hAnsi="Calibri"/>
                <w:b/>
                <w:sz w:val="24"/>
              </w:rPr>
              <w:t>Table 1. Anticipated Sample Size and Characteristics:  SEARCH Cohort Study (2002 - 2006, 2008)</w:t>
            </w:r>
          </w:p>
        </w:tc>
      </w:tr>
      <w:tr w:rsidR="00847A95" w:rsidRPr="00625A65" w:rsidTr="00F947B1">
        <w:tc>
          <w:tcPr>
            <w:tcW w:w="967" w:type="dxa"/>
          </w:tcPr>
          <w:p w:rsidR="00847A95" w:rsidRPr="00625A65" w:rsidRDefault="00847A95" w:rsidP="00342DC3">
            <w:pPr>
              <w:rPr>
                <w:rFonts w:ascii="Calibri" w:hAnsi="Calibri"/>
                <w:szCs w:val="20"/>
              </w:rPr>
            </w:pPr>
          </w:p>
        </w:tc>
        <w:tc>
          <w:tcPr>
            <w:tcW w:w="1491" w:type="dxa"/>
            <w:gridSpan w:val="2"/>
          </w:tcPr>
          <w:p w:rsidR="00847A95" w:rsidRPr="00625A65" w:rsidRDefault="00847A95" w:rsidP="00342DC3">
            <w:pPr>
              <w:jc w:val="center"/>
              <w:rPr>
                <w:rFonts w:ascii="Calibri" w:hAnsi="Calibri"/>
                <w:szCs w:val="20"/>
              </w:rPr>
            </w:pPr>
            <w:r w:rsidRPr="00625A65">
              <w:rPr>
                <w:rFonts w:ascii="Calibri" w:hAnsi="Calibri"/>
                <w:szCs w:val="20"/>
              </w:rPr>
              <w:t>SC</w:t>
            </w:r>
          </w:p>
        </w:tc>
        <w:tc>
          <w:tcPr>
            <w:tcW w:w="1491" w:type="dxa"/>
            <w:gridSpan w:val="2"/>
          </w:tcPr>
          <w:p w:rsidR="00847A95" w:rsidRPr="00625A65" w:rsidRDefault="00847A95" w:rsidP="00342DC3">
            <w:pPr>
              <w:jc w:val="center"/>
              <w:rPr>
                <w:rFonts w:ascii="Calibri" w:hAnsi="Calibri"/>
                <w:szCs w:val="20"/>
              </w:rPr>
            </w:pPr>
            <w:r w:rsidRPr="00625A65">
              <w:rPr>
                <w:rFonts w:ascii="Calibri" w:hAnsi="Calibri"/>
                <w:szCs w:val="20"/>
              </w:rPr>
              <w:t>OH</w:t>
            </w:r>
          </w:p>
        </w:tc>
        <w:tc>
          <w:tcPr>
            <w:tcW w:w="1575" w:type="dxa"/>
            <w:gridSpan w:val="2"/>
          </w:tcPr>
          <w:p w:rsidR="00847A95" w:rsidRPr="00625A65" w:rsidRDefault="00847A95" w:rsidP="00342DC3">
            <w:pPr>
              <w:jc w:val="center"/>
              <w:rPr>
                <w:rFonts w:ascii="Calibri" w:hAnsi="Calibri"/>
                <w:szCs w:val="20"/>
              </w:rPr>
            </w:pPr>
            <w:r w:rsidRPr="00625A65">
              <w:rPr>
                <w:rFonts w:ascii="Calibri" w:hAnsi="Calibri"/>
                <w:szCs w:val="20"/>
              </w:rPr>
              <w:t>CO</w:t>
            </w:r>
          </w:p>
        </w:tc>
        <w:tc>
          <w:tcPr>
            <w:tcW w:w="1491" w:type="dxa"/>
            <w:gridSpan w:val="2"/>
          </w:tcPr>
          <w:p w:rsidR="00847A95" w:rsidRPr="00625A65" w:rsidRDefault="00847A95" w:rsidP="00342DC3">
            <w:pPr>
              <w:jc w:val="center"/>
              <w:rPr>
                <w:rFonts w:ascii="Calibri" w:hAnsi="Calibri"/>
                <w:szCs w:val="20"/>
              </w:rPr>
            </w:pPr>
            <w:r w:rsidRPr="00625A65">
              <w:rPr>
                <w:rFonts w:ascii="Calibri" w:hAnsi="Calibri"/>
                <w:szCs w:val="20"/>
              </w:rPr>
              <w:t>CA</w:t>
            </w:r>
          </w:p>
        </w:tc>
        <w:tc>
          <w:tcPr>
            <w:tcW w:w="1491" w:type="dxa"/>
            <w:gridSpan w:val="2"/>
          </w:tcPr>
          <w:p w:rsidR="0007433F" w:rsidRPr="00625A65" w:rsidRDefault="00847A95">
            <w:pPr>
              <w:jc w:val="center"/>
              <w:rPr>
                <w:rFonts w:ascii="Calibri" w:hAnsi="Calibri"/>
                <w:szCs w:val="20"/>
              </w:rPr>
            </w:pPr>
            <w:r w:rsidRPr="00625A65">
              <w:rPr>
                <w:rFonts w:ascii="Calibri" w:hAnsi="Calibri"/>
                <w:szCs w:val="20"/>
              </w:rPr>
              <w:t>WA</w:t>
            </w:r>
          </w:p>
        </w:tc>
        <w:tc>
          <w:tcPr>
            <w:tcW w:w="1232" w:type="dxa"/>
            <w:gridSpan w:val="2"/>
          </w:tcPr>
          <w:p w:rsidR="0007433F" w:rsidRPr="00625A65" w:rsidRDefault="00847A95">
            <w:pPr>
              <w:rPr>
                <w:rFonts w:ascii="Calibri" w:hAnsi="Calibri"/>
                <w:szCs w:val="20"/>
              </w:rPr>
            </w:pPr>
            <w:r w:rsidRPr="00625A65">
              <w:rPr>
                <w:rFonts w:ascii="Calibri" w:hAnsi="Calibri"/>
                <w:szCs w:val="20"/>
              </w:rPr>
              <w:t>All</w:t>
            </w: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Type</w:t>
            </w:r>
          </w:p>
          <w:p w:rsidR="00847A95" w:rsidRPr="00625A65" w:rsidRDefault="00847A95" w:rsidP="00342DC3">
            <w:pPr>
              <w:rPr>
                <w:rFonts w:ascii="Calibri" w:hAnsi="Calibri"/>
                <w:szCs w:val="20"/>
              </w:rPr>
            </w:pPr>
            <w:r w:rsidRPr="00625A65">
              <w:rPr>
                <w:rFonts w:ascii="Calibri" w:hAnsi="Calibri"/>
                <w:szCs w:val="20"/>
              </w:rPr>
              <w:t>Race/Ethnicity</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80%</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90%</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80%</w:t>
            </w:r>
          </w:p>
        </w:tc>
        <w:tc>
          <w:tcPr>
            <w:tcW w:w="705" w:type="dxa"/>
          </w:tcPr>
          <w:p w:rsidR="0007433F" w:rsidRPr="00625A65" w:rsidRDefault="00847A95">
            <w:pPr>
              <w:jc w:val="center"/>
              <w:rPr>
                <w:rFonts w:ascii="Calibri" w:hAnsi="Calibri"/>
                <w:szCs w:val="20"/>
              </w:rPr>
            </w:pPr>
            <w:r w:rsidRPr="00625A65">
              <w:rPr>
                <w:rFonts w:ascii="Calibri" w:hAnsi="Calibri"/>
                <w:szCs w:val="20"/>
              </w:rPr>
              <w:t>90%</w:t>
            </w:r>
          </w:p>
        </w:tc>
        <w:tc>
          <w:tcPr>
            <w:tcW w:w="866" w:type="dxa"/>
          </w:tcPr>
          <w:p w:rsidR="0007433F" w:rsidRPr="00625A65" w:rsidRDefault="00847A95">
            <w:pPr>
              <w:jc w:val="center"/>
              <w:rPr>
                <w:rFonts w:ascii="Calibri" w:hAnsi="Calibri"/>
                <w:szCs w:val="20"/>
              </w:rPr>
            </w:pPr>
            <w:r w:rsidRPr="00625A65">
              <w:rPr>
                <w:rFonts w:ascii="Calibri" w:hAnsi="Calibri"/>
                <w:szCs w:val="20"/>
              </w:rPr>
              <w:t>80%</w:t>
            </w:r>
          </w:p>
        </w:tc>
        <w:tc>
          <w:tcPr>
            <w:tcW w:w="709" w:type="dxa"/>
          </w:tcPr>
          <w:p w:rsidR="0007433F" w:rsidRPr="00625A65" w:rsidRDefault="00847A95">
            <w:pPr>
              <w:jc w:val="center"/>
              <w:rPr>
                <w:rFonts w:ascii="Calibri" w:hAnsi="Calibri"/>
                <w:szCs w:val="20"/>
              </w:rPr>
            </w:pPr>
            <w:r w:rsidRPr="00625A65">
              <w:rPr>
                <w:rFonts w:ascii="Calibri" w:hAnsi="Calibri"/>
                <w:szCs w:val="20"/>
              </w:rPr>
              <w:t>90%</w:t>
            </w:r>
          </w:p>
        </w:tc>
        <w:tc>
          <w:tcPr>
            <w:tcW w:w="786" w:type="dxa"/>
          </w:tcPr>
          <w:p w:rsidR="0007433F" w:rsidRPr="00625A65" w:rsidRDefault="00847A95">
            <w:pPr>
              <w:jc w:val="center"/>
              <w:rPr>
                <w:rFonts w:ascii="Calibri" w:hAnsi="Calibri"/>
                <w:szCs w:val="20"/>
              </w:rPr>
            </w:pPr>
            <w:r w:rsidRPr="00625A65">
              <w:rPr>
                <w:rFonts w:ascii="Calibri" w:hAnsi="Calibri"/>
                <w:szCs w:val="20"/>
              </w:rPr>
              <w:t>80%</w:t>
            </w:r>
          </w:p>
        </w:tc>
        <w:tc>
          <w:tcPr>
            <w:tcW w:w="705" w:type="dxa"/>
          </w:tcPr>
          <w:p w:rsidR="0007433F" w:rsidRPr="00625A65" w:rsidRDefault="00847A95">
            <w:pPr>
              <w:jc w:val="center"/>
              <w:rPr>
                <w:rFonts w:ascii="Calibri" w:hAnsi="Calibri"/>
                <w:szCs w:val="20"/>
              </w:rPr>
            </w:pPr>
            <w:r w:rsidRPr="00625A65">
              <w:rPr>
                <w:rFonts w:ascii="Calibri" w:hAnsi="Calibri"/>
                <w:szCs w:val="20"/>
              </w:rPr>
              <w:t>90%</w:t>
            </w:r>
          </w:p>
        </w:tc>
        <w:tc>
          <w:tcPr>
            <w:tcW w:w="705" w:type="dxa"/>
          </w:tcPr>
          <w:p w:rsidR="0007433F" w:rsidRPr="00625A65" w:rsidRDefault="00847A95">
            <w:pPr>
              <w:jc w:val="center"/>
              <w:rPr>
                <w:rFonts w:ascii="Calibri" w:hAnsi="Calibri"/>
                <w:szCs w:val="20"/>
              </w:rPr>
            </w:pPr>
            <w:r w:rsidRPr="00625A65">
              <w:rPr>
                <w:rFonts w:ascii="Calibri" w:hAnsi="Calibri"/>
                <w:szCs w:val="20"/>
              </w:rPr>
              <w:t>80%</w:t>
            </w:r>
          </w:p>
        </w:tc>
        <w:tc>
          <w:tcPr>
            <w:tcW w:w="786" w:type="dxa"/>
          </w:tcPr>
          <w:p w:rsidR="0007433F" w:rsidRPr="00625A65" w:rsidRDefault="00847A95">
            <w:pPr>
              <w:jc w:val="center"/>
              <w:rPr>
                <w:rFonts w:ascii="Calibri" w:hAnsi="Calibri"/>
                <w:szCs w:val="20"/>
              </w:rPr>
            </w:pPr>
            <w:r w:rsidRPr="00625A65">
              <w:rPr>
                <w:rFonts w:ascii="Calibri" w:hAnsi="Calibri"/>
                <w:szCs w:val="20"/>
              </w:rPr>
              <w:t>90%</w:t>
            </w:r>
          </w:p>
        </w:tc>
        <w:tc>
          <w:tcPr>
            <w:tcW w:w="616" w:type="dxa"/>
          </w:tcPr>
          <w:p w:rsidR="0007433F" w:rsidRPr="00625A65" w:rsidRDefault="00847A95">
            <w:pPr>
              <w:jc w:val="center"/>
              <w:rPr>
                <w:rFonts w:ascii="Calibri" w:hAnsi="Calibri"/>
                <w:szCs w:val="20"/>
              </w:rPr>
            </w:pPr>
            <w:r w:rsidRPr="00625A65">
              <w:rPr>
                <w:rFonts w:ascii="Calibri" w:hAnsi="Calibri"/>
                <w:szCs w:val="20"/>
              </w:rPr>
              <w:t>80%</w:t>
            </w:r>
          </w:p>
        </w:tc>
        <w:tc>
          <w:tcPr>
            <w:tcW w:w="616" w:type="dxa"/>
          </w:tcPr>
          <w:p w:rsidR="0007433F" w:rsidRPr="00625A65" w:rsidRDefault="00847A95">
            <w:pPr>
              <w:jc w:val="center"/>
              <w:rPr>
                <w:rFonts w:ascii="Calibri" w:hAnsi="Calibri"/>
                <w:szCs w:val="20"/>
              </w:rPr>
            </w:pPr>
            <w:r w:rsidRPr="00625A65">
              <w:rPr>
                <w:rFonts w:ascii="Calibri" w:hAnsi="Calibri"/>
                <w:szCs w:val="20"/>
              </w:rPr>
              <w:t>90%</w:t>
            </w: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Type 1</w:t>
            </w:r>
          </w:p>
        </w:tc>
        <w:tc>
          <w:tcPr>
            <w:tcW w:w="705" w:type="dxa"/>
          </w:tcPr>
          <w:p w:rsidR="00847A95" w:rsidRPr="00625A65" w:rsidRDefault="00847A95" w:rsidP="00342DC3">
            <w:pPr>
              <w:jc w:val="center"/>
              <w:rPr>
                <w:rFonts w:ascii="Calibri" w:hAnsi="Calibri"/>
                <w:szCs w:val="20"/>
              </w:rPr>
            </w:pPr>
          </w:p>
        </w:tc>
        <w:tc>
          <w:tcPr>
            <w:tcW w:w="786" w:type="dxa"/>
          </w:tcPr>
          <w:p w:rsidR="00847A95" w:rsidRPr="00625A65" w:rsidRDefault="00847A95" w:rsidP="00342DC3">
            <w:pPr>
              <w:jc w:val="center"/>
              <w:rPr>
                <w:rFonts w:ascii="Calibri" w:hAnsi="Calibri"/>
                <w:szCs w:val="20"/>
              </w:rPr>
            </w:pPr>
          </w:p>
        </w:tc>
        <w:tc>
          <w:tcPr>
            <w:tcW w:w="786" w:type="dxa"/>
          </w:tcPr>
          <w:p w:rsidR="00847A95" w:rsidRPr="00625A65" w:rsidRDefault="00847A95" w:rsidP="00342DC3">
            <w:pPr>
              <w:jc w:val="center"/>
              <w:rPr>
                <w:rFonts w:ascii="Calibri" w:hAnsi="Calibri"/>
                <w:szCs w:val="20"/>
              </w:rPr>
            </w:pPr>
          </w:p>
        </w:tc>
        <w:tc>
          <w:tcPr>
            <w:tcW w:w="705" w:type="dxa"/>
          </w:tcPr>
          <w:p w:rsidR="00847A95" w:rsidRPr="00625A65" w:rsidRDefault="00847A95" w:rsidP="00342DC3">
            <w:pPr>
              <w:jc w:val="center"/>
              <w:rPr>
                <w:rFonts w:ascii="Calibri" w:hAnsi="Calibri"/>
                <w:szCs w:val="20"/>
              </w:rPr>
            </w:pPr>
          </w:p>
        </w:tc>
        <w:tc>
          <w:tcPr>
            <w:tcW w:w="866" w:type="dxa"/>
          </w:tcPr>
          <w:p w:rsidR="0007433F" w:rsidRPr="00625A65" w:rsidRDefault="0007433F">
            <w:pPr>
              <w:jc w:val="center"/>
              <w:rPr>
                <w:rFonts w:ascii="Calibri" w:hAnsi="Calibri"/>
                <w:szCs w:val="20"/>
              </w:rPr>
            </w:pPr>
          </w:p>
        </w:tc>
        <w:tc>
          <w:tcPr>
            <w:tcW w:w="709" w:type="dxa"/>
          </w:tcPr>
          <w:p w:rsidR="0007433F" w:rsidRPr="00625A65" w:rsidRDefault="0007433F">
            <w:pPr>
              <w:jc w:val="center"/>
              <w:rPr>
                <w:rFonts w:ascii="Calibri" w:hAnsi="Calibri"/>
                <w:szCs w:val="20"/>
              </w:rPr>
            </w:pPr>
          </w:p>
        </w:tc>
        <w:tc>
          <w:tcPr>
            <w:tcW w:w="786" w:type="dxa"/>
          </w:tcPr>
          <w:p w:rsidR="0007433F" w:rsidRPr="00625A65" w:rsidRDefault="0007433F">
            <w:pPr>
              <w:jc w:val="center"/>
              <w:rPr>
                <w:rFonts w:ascii="Calibri" w:hAnsi="Calibri"/>
                <w:szCs w:val="20"/>
              </w:rPr>
            </w:pPr>
          </w:p>
        </w:tc>
        <w:tc>
          <w:tcPr>
            <w:tcW w:w="705" w:type="dxa"/>
          </w:tcPr>
          <w:p w:rsidR="0007433F" w:rsidRPr="00625A65" w:rsidRDefault="0007433F">
            <w:pPr>
              <w:jc w:val="center"/>
              <w:rPr>
                <w:rFonts w:ascii="Calibri" w:hAnsi="Calibri"/>
                <w:szCs w:val="20"/>
              </w:rPr>
            </w:pPr>
          </w:p>
        </w:tc>
        <w:tc>
          <w:tcPr>
            <w:tcW w:w="705" w:type="dxa"/>
          </w:tcPr>
          <w:p w:rsidR="0007433F" w:rsidRPr="00625A65" w:rsidRDefault="0007433F">
            <w:pPr>
              <w:jc w:val="center"/>
              <w:rPr>
                <w:rFonts w:ascii="Calibri" w:hAnsi="Calibri"/>
                <w:szCs w:val="20"/>
              </w:rPr>
            </w:pPr>
          </w:p>
        </w:tc>
        <w:tc>
          <w:tcPr>
            <w:tcW w:w="786" w:type="dxa"/>
          </w:tcPr>
          <w:p w:rsidR="0007433F" w:rsidRPr="00625A65" w:rsidRDefault="0007433F">
            <w:pPr>
              <w:jc w:val="center"/>
              <w:rPr>
                <w:rFonts w:ascii="Calibri" w:hAnsi="Calibri"/>
                <w:szCs w:val="20"/>
              </w:rPr>
            </w:pPr>
          </w:p>
        </w:tc>
        <w:tc>
          <w:tcPr>
            <w:tcW w:w="616" w:type="dxa"/>
          </w:tcPr>
          <w:p w:rsidR="0007433F" w:rsidRPr="00625A65" w:rsidRDefault="0007433F">
            <w:pPr>
              <w:jc w:val="center"/>
              <w:rPr>
                <w:rFonts w:ascii="Calibri" w:hAnsi="Calibri"/>
                <w:szCs w:val="20"/>
              </w:rPr>
            </w:pPr>
          </w:p>
        </w:tc>
        <w:tc>
          <w:tcPr>
            <w:tcW w:w="616" w:type="dxa"/>
          </w:tcPr>
          <w:p w:rsidR="0007433F" w:rsidRPr="00625A65" w:rsidRDefault="0007433F">
            <w:pPr>
              <w:jc w:val="center"/>
              <w:rPr>
                <w:rFonts w:ascii="Calibri" w:hAnsi="Calibri"/>
                <w:szCs w:val="20"/>
              </w:rPr>
            </w:pP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 xml:space="preserve">     NHW</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405</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456</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386</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434</w:t>
            </w:r>
          </w:p>
        </w:tc>
        <w:tc>
          <w:tcPr>
            <w:tcW w:w="866" w:type="dxa"/>
          </w:tcPr>
          <w:p w:rsidR="0007433F" w:rsidRPr="00625A65" w:rsidRDefault="00847A95">
            <w:pPr>
              <w:jc w:val="center"/>
              <w:rPr>
                <w:rFonts w:ascii="Calibri" w:hAnsi="Calibri"/>
                <w:szCs w:val="20"/>
              </w:rPr>
            </w:pPr>
            <w:r w:rsidRPr="00625A65">
              <w:rPr>
                <w:rFonts w:ascii="Calibri" w:hAnsi="Calibri"/>
                <w:szCs w:val="20"/>
              </w:rPr>
              <w:t>711</w:t>
            </w:r>
          </w:p>
        </w:tc>
        <w:tc>
          <w:tcPr>
            <w:tcW w:w="709" w:type="dxa"/>
          </w:tcPr>
          <w:p w:rsidR="0007433F" w:rsidRPr="00625A65" w:rsidRDefault="00847A95">
            <w:pPr>
              <w:jc w:val="center"/>
              <w:rPr>
                <w:rFonts w:ascii="Calibri" w:hAnsi="Calibri"/>
                <w:szCs w:val="20"/>
              </w:rPr>
            </w:pPr>
            <w:r w:rsidRPr="00625A65">
              <w:rPr>
                <w:rFonts w:ascii="Calibri" w:hAnsi="Calibri"/>
                <w:szCs w:val="20"/>
              </w:rPr>
              <w:t>800</w:t>
            </w:r>
          </w:p>
        </w:tc>
        <w:tc>
          <w:tcPr>
            <w:tcW w:w="786" w:type="dxa"/>
          </w:tcPr>
          <w:p w:rsidR="0007433F" w:rsidRPr="00625A65" w:rsidRDefault="00847A95">
            <w:pPr>
              <w:jc w:val="center"/>
              <w:rPr>
                <w:rFonts w:ascii="Calibri" w:hAnsi="Calibri"/>
                <w:szCs w:val="20"/>
              </w:rPr>
            </w:pPr>
            <w:r w:rsidRPr="00625A65">
              <w:rPr>
                <w:rFonts w:ascii="Calibri" w:hAnsi="Calibri"/>
                <w:szCs w:val="20"/>
              </w:rPr>
              <w:t>98</w:t>
            </w:r>
          </w:p>
        </w:tc>
        <w:tc>
          <w:tcPr>
            <w:tcW w:w="705" w:type="dxa"/>
          </w:tcPr>
          <w:p w:rsidR="0007433F" w:rsidRPr="00625A65" w:rsidRDefault="00847A95">
            <w:pPr>
              <w:jc w:val="center"/>
              <w:rPr>
                <w:rFonts w:ascii="Calibri" w:hAnsi="Calibri"/>
                <w:szCs w:val="20"/>
              </w:rPr>
            </w:pPr>
            <w:r w:rsidRPr="00625A65">
              <w:rPr>
                <w:rFonts w:ascii="Calibri" w:hAnsi="Calibri"/>
                <w:szCs w:val="20"/>
              </w:rPr>
              <w:t>110</w:t>
            </w:r>
          </w:p>
        </w:tc>
        <w:tc>
          <w:tcPr>
            <w:tcW w:w="705" w:type="dxa"/>
          </w:tcPr>
          <w:p w:rsidR="0007433F" w:rsidRPr="00625A65" w:rsidRDefault="00847A95">
            <w:pPr>
              <w:jc w:val="center"/>
              <w:rPr>
                <w:rFonts w:ascii="Calibri" w:hAnsi="Calibri"/>
                <w:szCs w:val="20"/>
              </w:rPr>
            </w:pPr>
            <w:r w:rsidRPr="00625A65">
              <w:rPr>
                <w:rFonts w:ascii="Calibri" w:hAnsi="Calibri"/>
                <w:szCs w:val="20"/>
              </w:rPr>
              <w:t>410</w:t>
            </w:r>
          </w:p>
        </w:tc>
        <w:tc>
          <w:tcPr>
            <w:tcW w:w="786" w:type="dxa"/>
          </w:tcPr>
          <w:p w:rsidR="0007433F" w:rsidRPr="00625A65" w:rsidRDefault="00847A95">
            <w:pPr>
              <w:jc w:val="center"/>
              <w:rPr>
                <w:rFonts w:ascii="Calibri" w:hAnsi="Calibri"/>
                <w:szCs w:val="20"/>
              </w:rPr>
            </w:pPr>
            <w:r w:rsidRPr="00625A65">
              <w:rPr>
                <w:rFonts w:ascii="Calibri" w:hAnsi="Calibri"/>
                <w:szCs w:val="20"/>
              </w:rPr>
              <w:t>461</w:t>
            </w:r>
          </w:p>
        </w:tc>
        <w:tc>
          <w:tcPr>
            <w:tcW w:w="616" w:type="dxa"/>
          </w:tcPr>
          <w:p w:rsidR="0007433F" w:rsidRPr="00625A65" w:rsidRDefault="00847A95">
            <w:pPr>
              <w:jc w:val="center"/>
              <w:rPr>
                <w:rFonts w:ascii="Calibri" w:hAnsi="Calibri"/>
                <w:szCs w:val="20"/>
              </w:rPr>
            </w:pPr>
            <w:r w:rsidRPr="00625A65">
              <w:rPr>
                <w:rFonts w:ascii="Calibri" w:hAnsi="Calibri"/>
                <w:szCs w:val="20"/>
              </w:rPr>
              <w:t>2010</w:t>
            </w:r>
          </w:p>
        </w:tc>
        <w:tc>
          <w:tcPr>
            <w:tcW w:w="616" w:type="dxa"/>
          </w:tcPr>
          <w:p w:rsidR="0007433F" w:rsidRPr="00625A65" w:rsidRDefault="00847A95">
            <w:pPr>
              <w:jc w:val="center"/>
              <w:rPr>
                <w:rFonts w:ascii="Calibri" w:hAnsi="Calibri"/>
                <w:szCs w:val="20"/>
              </w:rPr>
            </w:pPr>
            <w:r w:rsidRPr="00625A65">
              <w:rPr>
                <w:rFonts w:ascii="Calibri" w:hAnsi="Calibri"/>
                <w:szCs w:val="20"/>
              </w:rPr>
              <w:t>2261</w:t>
            </w: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 xml:space="preserve">     Other</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175</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197</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58</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65</w:t>
            </w:r>
          </w:p>
        </w:tc>
        <w:tc>
          <w:tcPr>
            <w:tcW w:w="866" w:type="dxa"/>
          </w:tcPr>
          <w:p w:rsidR="0007433F" w:rsidRPr="00625A65" w:rsidRDefault="00847A95">
            <w:pPr>
              <w:jc w:val="center"/>
              <w:rPr>
                <w:rFonts w:ascii="Calibri" w:hAnsi="Calibri"/>
                <w:szCs w:val="20"/>
              </w:rPr>
            </w:pPr>
            <w:r w:rsidRPr="00625A65">
              <w:rPr>
                <w:rFonts w:ascii="Calibri" w:hAnsi="Calibri"/>
                <w:szCs w:val="20"/>
              </w:rPr>
              <w:t>188</w:t>
            </w:r>
          </w:p>
        </w:tc>
        <w:tc>
          <w:tcPr>
            <w:tcW w:w="709" w:type="dxa"/>
          </w:tcPr>
          <w:p w:rsidR="0007433F" w:rsidRPr="00625A65" w:rsidRDefault="00847A95">
            <w:pPr>
              <w:jc w:val="center"/>
              <w:rPr>
                <w:rFonts w:ascii="Calibri" w:hAnsi="Calibri"/>
                <w:szCs w:val="20"/>
              </w:rPr>
            </w:pPr>
            <w:r w:rsidRPr="00625A65">
              <w:rPr>
                <w:rFonts w:ascii="Calibri" w:hAnsi="Calibri"/>
                <w:szCs w:val="20"/>
              </w:rPr>
              <w:t>211</w:t>
            </w:r>
          </w:p>
        </w:tc>
        <w:tc>
          <w:tcPr>
            <w:tcW w:w="786" w:type="dxa"/>
          </w:tcPr>
          <w:p w:rsidR="0007433F" w:rsidRPr="00625A65" w:rsidRDefault="00847A95">
            <w:pPr>
              <w:jc w:val="center"/>
              <w:rPr>
                <w:rFonts w:ascii="Calibri" w:hAnsi="Calibri"/>
                <w:szCs w:val="20"/>
              </w:rPr>
            </w:pPr>
            <w:r w:rsidRPr="00625A65">
              <w:rPr>
                <w:rFonts w:ascii="Calibri" w:hAnsi="Calibri"/>
                <w:szCs w:val="20"/>
              </w:rPr>
              <w:t>185</w:t>
            </w:r>
          </w:p>
        </w:tc>
        <w:tc>
          <w:tcPr>
            <w:tcW w:w="705" w:type="dxa"/>
          </w:tcPr>
          <w:p w:rsidR="0007433F" w:rsidRPr="00625A65" w:rsidRDefault="00847A95">
            <w:pPr>
              <w:jc w:val="center"/>
              <w:rPr>
                <w:rFonts w:ascii="Calibri" w:hAnsi="Calibri"/>
                <w:szCs w:val="20"/>
              </w:rPr>
            </w:pPr>
            <w:r w:rsidRPr="00625A65">
              <w:rPr>
                <w:rFonts w:ascii="Calibri" w:hAnsi="Calibri"/>
                <w:szCs w:val="20"/>
              </w:rPr>
              <w:t>209</w:t>
            </w:r>
          </w:p>
        </w:tc>
        <w:tc>
          <w:tcPr>
            <w:tcW w:w="705" w:type="dxa"/>
          </w:tcPr>
          <w:p w:rsidR="0007433F" w:rsidRPr="00625A65" w:rsidRDefault="00847A95">
            <w:pPr>
              <w:jc w:val="center"/>
              <w:rPr>
                <w:rFonts w:ascii="Calibri" w:hAnsi="Calibri"/>
                <w:szCs w:val="20"/>
              </w:rPr>
            </w:pPr>
            <w:r w:rsidRPr="00625A65">
              <w:rPr>
                <w:rFonts w:ascii="Calibri" w:hAnsi="Calibri"/>
                <w:szCs w:val="20"/>
              </w:rPr>
              <w:t>94</w:t>
            </w:r>
          </w:p>
        </w:tc>
        <w:tc>
          <w:tcPr>
            <w:tcW w:w="786" w:type="dxa"/>
          </w:tcPr>
          <w:p w:rsidR="0007433F" w:rsidRPr="00625A65" w:rsidRDefault="00847A95">
            <w:pPr>
              <w:jc w:val="center"/>
              <w:rPr>
                <w:rFonts w:ascii="Calibri" w:hAnsi="Calibri"/>
                <w:szCs w:val="20"/>
              </w:rPr>
            </w:pPr>
            <w:r w:rsidRPr="00625A65">
              <w:rPr>
                <w:rFonts w:ascii="Calibri" w:hAnsi="Calibri"/>
                <w:szCs w:val="20"/>
              </w:rPr>
              <w:t>106</w:t>
            </w:r>
          </w:p>
        </w:tc>
        <w:tc>
          <w:tcPr>
            <w:tcW w:w="616" w:type="dxa"/>
          </w:tcPr>
          <w:p w:rsidR="0007433F" w:rsidRPr="00625A65" w:rsidRDefault="00847A95">
            <w:pPr>
              <w:jc w:val="center"/>
              <w:rPr>
                <w:rFonts w:ascii="Calibri" w:hAnsi="Calibri"/>
                <w:szCs w:val="20"/>
              </w:rPr>
            </w:pPr>
            <w:r w:rsidRPr="00625A65">
              <w:rPr>
                <w:rFonts w:ascii="Calibri" w:hAnsi="Calibri"/>
                <w:szCs w:val="20"/>
              </w:rPr>
              <w:t>700</w:t>
            </w:r>
          </w:p>
        </w:tc>
        <w:tc>
          <w:tcPr>
            <w:tcW w:w="616" w:type="dxa"/>
          </w:tcPr>
          <w:p w:rsidR="0007433F" w:rsidRPr="00625A65" w:rsidRDefault="00847A95">
            <w:pPr>
              <w:jc w:val="center"/>
              <w:rPr>
                <w:rFonts w:ascii="Calibri" w:hAnsi="Calibri"/>
                <w:szCs w:val="20"/>
              </w:rPr>
            </w:pPr>
            <w:r w:rsidRPr="00625A65">
              <w:rPr>
                <w:rFonts w:ascii="Calibri" w:hAnsi="Calibri"/>
                <w:szCs w:val="20"/>
              </w:rPr>
              <w:t>788</w:t>
            </w: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Type 2</w:t>
            </w:r>
          </w:p>
        </w:tc>
        <w:tc>
          <w:tcPr>
            <w:tcW w:w="705" w:type="dxa"/>
          </w:tcPr>
          <w:p w:rsidR="00847A95" w:rsidRPr="00625A65" w:rsidRDefault="00847A95" w:rsidP="00342DC3">
            <w:pPr>
              <w:jc w:val="center"/>
              <w:rPr>
                <w:rFonts w:ascii="Calibri" w:hAnsi="Calibri"/>
                <w:szCs w:val="20"/>
              </w:rPr>
            </w:pPr>
          </w:p>
        </w:tc>
        <w:tc>
          <w:tcPr>
            <w:tcW w:w="786" w:type="dxa"/>
          </w:tcPr>
          <w:p w:rsidR="00847A95" w:rsidRPr="00625A65" w:rsidRDefault="00847A95" w:rsidP="00342DC3">
            <w:pPr>
              <w:jc w:val="center"/>
              <w:rPr>
                <w:rFonts w:ascii="Calibri" w:hAnsi="Calibri"/>
                <w:szCs w:val="20"/>
              </w:rPr>
            </w:pPr>
          </w:p>
        </w:tc>
        <w:tc>
          <w:tcPr>
            <w:tcW w:w="786" w:type="dxa"/>
          </w:tcPr>
          <w:p w:rsidR="00847A95" w:rsidRPr="00625A65" w:rsidRDefault="00847A95" w:rsidP="00342DC3">
            <w:pPr>
              <w:jc w:val="center"/>
              <w:rPr>
                <w:rFonts w:ascii="Calibri" w:hAnsi="Calibri"/>
                <w:szCs w:val="20"/>
              </w:rPr>
            </w:pPr>
          </w:p>
        </w:tc>
        <w:tc>
          <w:tcPr>
            <w:tcW w:w="705" w:type="dxa"/>
          </w:tcPr>
          <w:p w:rsidR="00847A95" w:rsidRPr="00625A65" w:rsidRDefault="00847A95" w:rsidP="00342DC3">
            <w:pPr>
              <w:jc w:val="center"/>
              <w:rPr>
                <w:rFonts w:ascii="Calibri" w:hAnsi="Calibri"/>
                <w:szCs w:val="20"/>
              </w:rPr>
            </w:pPr>
          </w:p>
        </w:tc>
        <w:tc>
          <w:tcPr>
            <w:tcW w:w="866" w:type="dxa"/>
          </w:tcPr>
          <w:p w:rsidR="0007433F" w:rsidRPr="00625A65" w:rsidRDefault="0007433F">
            <w:pPr>
              <w:jc w:val="center"/>
              <w:rPr>
                <w:rFonts w:ascii="Calibri" w:hAnsi="Calibri"/>
                <w:szCs w:val="20"/>
              </w:rPr>
            </w:pPr>
          </w:p>
        </w:tc>
        <w:tc>
          <w:tcPr>
            <w:tcW w:w="709" w:type="dxa"/>
          </w:tcPr>
          <w:p w:rsidR="0007433F" w:rsidRPr="00625A65" w:rsidRDefault="0007433F">
            <w:pPr>
              <w:jc w:val="center"/>
              <w:rPr>
                <w:rFonts w:ascii="Calibri" w:hAnsi="Calibri"/>
                <w:szCs w:val="20"/>
              </w:rPr>
            </w:pPr>
          </w:p>
        </w:tc>
        <w:tc>
          <w:tcPr>
            <w:tcW w:w="786" w:type="dxa"/>
          </w:tcPr>
          <w:p w:rsidR="0007433F" w:rsidRPr="00625A65" w:rsidRDefault="0007433F">
            <w:pPr>
              <w:jc w:val="center"/>
              <w:rPr>
                <w:rFonts w:ascii="Calibri" w:hAnsi="Calibri"/>
                <w:szCs w:val="20"/>
              </w:rPr>
            </w:pPr>
          </w:p>
        </w:tc>
        <w:tc>
          <w:tcPr>
            <w:tcW w:w="705" w:type="dxa"/>
          </w:tcPr>
          <w:p w:rsidR="0007433F" w:rsidRPr="00625A65" w:rsidRDefault="0007433F">
            <w:pPr>
              <w:jc w:val="center"/>
              <w:rPr>
                <w:rFonts w:ascii="Calibri" w:hAnsi="Calibri"/>
                <w:szCs w:val="20"/>
              </w:rPr>
            </w:pPr>
          </w:p>
        </w:tc>
        <w:tc>
          <w:tcPr>
            <w:tcW w:w="705" w:type="dxa"/>
          </w:tcPr>
          <w:p w:rsidR="0007433F" w:rsidRPr="00625A65" w:rsidRDefault="0007433F">
            <w:pPr>
              <w:jc w:val="center"/>
              <w:rPr>
                <w:rFonts w:ascii="Calibri" w:hAnsi="Calibri"/>
                <w:szCs w:val="20"/>
              </w:rPr>
            </w:pPr>
          </w:p>
        </w:tc>
        <w:tc>
          <w:tcPr>
            <w:tcW w:w="786" w:type="dxa"/>
          </w:tcPr>
          <w:p w:rsidR="0007433F" w:rsidRPr="00625A65" w:rsidRDefault="0007433F">
            <w:pPr>
              <w:jc w:val="center"/>
              <w:rPr>
                <w:rFonts w:ascii="Calibri" w:hAnsi="Calibri"/>
                <w:szCs w:val="20"/>
              </w:rPr>
            </w:pPr>
          </w:p>
        </w:tc>
        <w:tc>
          <w:tcPr>
            <w:tcW w:w="616" w:type="dxa"/>
          </w:tcPr>
          <w:p w:rsidR="0007433F" w:rsidRPr="00625A65" w:rsidRDefault="0007433F">
            <w:pPr>
              <w:jc w:val="center"/>
              <w:rPr>
                <w:rFonts w:ascii="Calibri" w:hAnsi="Calibri"/>
                <w:szCs w:val="20"/>
              </w:rPr>
            </w:pPr>
          </w:p>
        </w:tc>
        <w:tc>
          <w:tcPr>
            <w:tcW w:w="616" w:type="dxa"/>
          </w:tcPr>
          <w:p w:rsidR="0007433F" w:rsidRPr="00625A65" w:rsidRDefault="0007433F">
            <w:pPr>
              <w:jc w:val="center"/>
              <w:rPr>
                <w:rFonts w:ascii="Calibri" w:hAnsi="Calibri"/>
                <w:szCs w:val="20"/>
              </w:rPr>
            </w:pP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 xml:space="preserve">     NHW</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38</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42</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30</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34</w:t>
            </w:r>
          </w:p>
        </w:tc>
        <w:tc>
          <w:tcPr>
            <w:tcW w:w="866" w:type="dxa"/>
          </w:tcPr>
          <w:p w:rsidR="0007433F" w:rsidRPr="00625A65" w:rsidRDefault="00847A95">
            <w:pPr>
              <w:jc w:val="center"/>
              <w:rPr>
                <w:rFonts w:ascii="Calibri" w:hAnsi="Calibri"/>
                <w:szCs w:val="20"/>
              </w:rPr>
            </w:pPr>
            <w:r w:rsidRPr="00625A65">
              <w:rPr>
                <w:rFonts w:ascii="Calibri" w:hAnsi="Calibri"/>
                <w:szCs w:val="20"/>
              </w:rPr>
              <w:t>16</w:t>
            </w:r>
          </w:p>
        </w:tc>
        <w:tc>
          <w:tcPr>
            <w:tcW w:w="709" w:type="dxa"/>
          </w:tcPr>
          <w:p w:rsidR="0007433F" w:rsidRPr="00625A65" w:rsidRDefault="00847A95">
            <w:pPr>
              <w:jc w:val="center"/>
              <w:rPr>
                <w:rFonts w:ascii="Calibri" w:hAnsi="Calibri"/>
                <w:szCs w:val="20"/>
              </w:rPr>
            </w:pPr>
            <w:r w:rsidRPr="00625A65">
              <w:rPr>
                <w:rFonts w:ascii="Calibri" w:hAnsi="Calibri"/>
                <w:szCs w:val="20"/>
              </w:rPr>
              <w:t>17</w:t>
            </w:r>
          </w:p>
        </w:tc>
        <w:tc>
          <w:tcPr>
            <w:tcW w:w="786" w:type="dxa"/>
          </w:tcPr>
          <w:p w:rsidR="0007433F" w:rsidRPr="00625A65" w:rsidRDefault="00847A95">
            <w:pPr>
              <w:jc w:val="center"/>
              <w:rPr>
                <w:rFonts w:ascii="Calibri" w:hAnsi="Calibri"/>
                <w:szCs w:val="20"/>
              </w:rPr>
            </w:pPr>
            <w:r w:rsidRPr="00625A65">
              <w:rPr>
                <w:rFonts w:ascii="Calibri" w:hAnsi="Calibri"/>
                <w:szCs w:val="20"/>
              </w:rPr>
              <w:t>7</w:t>
            </w:r>
          </w:p>
        </w:tc>
        <w:tc>
          <w:tcPr>
            <w:tcW w:w="705" w:type="dxa"/>
          </w:tcPr>
          <w:p w:rsidR="0007433F" w:rsidRPr="00625A65" w:rsidRDefault="00847A95">
            <w:pPr>
              <w:jc w:val="center"/>
              <w:rPr>
                <w:rFonts w:ascii="Calibri" w:hAnsi="Calibri"/>
                <w:szCs w:val="20"/>
              </w:rPr>
            </w:pPr>
            <w:r w:rsidRPr="00625A65">
              <w:rPr>
                <w:rFonts w:ascii="Calibri" w:hAnsi="Calibri"/>
                <w:szCs w:val="20"/>
              </w:rPr>
              <w:t>8</w:t>
            </w:r>
          </w:p>
        </w:tc>
        <w:tc>
          <w:tcPr>
            <w:tcW w:w="705" w:type="dxa"/>
          </w:tcPr>
          <w:p w:rsidR="0007433F" w:rsidRPr="00625A65" w:rsidRDefault="00847A95">
            <w:pPr>
              <w:jc w:val="center"/>
              <w:rPr>
                <w:rFonts w:ascii="Calibri" w:hAnsi="Calibri"/>
                <w:szCs w:val="20"/>
              </w:rPr>
            </w:pPr>
            <w:r w:rsidRPr="00625A65">
              <w:rPr>
                <w:rFonts w:ascii="Calibri" w:hAnsi="Calibri"/>
                <w:szCs w:val="20"/>
              </w:rPr>
              <w:t>16</w:t>
            </w:r>
          </w:p>
        </w:tc>
        <w:tc>
          <w:tcPr>
            <w:tcW w:w="786" w:type="dxa"/>
          </w:tcPr>
          <w:p w:rsidR="0007433F" w:rsidRPr="00625A65" w:rsidRDefault="00847A95">
            <w:pPr>
              <w:jc w:val="center"/>
              <w:rPr>
                <w:rFonts w:ascii="Calibri" w:hAnsi="Calibri"/>
                <w:szCs w:val="20"/>
              </w:rPr>
            </w:pPr>
            <w:r w:rsidRPr="00625A65">
              <w:rPr>
                <w:rFonts w:ascii="Calibri" w:hAnsi="Calibri"/>
                <w:szCs w:val="20"/>
              </w:rPr>
              <w:t>18</w:t>
            </w:r>
          </w:p>
        </w:tc>
        <w:tc>
          <w:tcPr>
            <w:tcW w:w="616" w:type="dxa"/>
          </w:tcPr>
          <w:p w:rsidR="0007433F" w:rsidRPr="00625A65" w:rsidRDefault="00847A95">
            <w:pPr>
              <w:jc w:val="center"/>
              <w:rPr>
                <w:rFonts w:ascii="Calibri" w:hAnsi="Calibri"/>
                <w:szCs w:val="20"/>
              </w:rPr>
            </w:pPr>
            <w:r w:rsidRPr="00625A65">
              <w:rPr>
                <w:rFonts w:ascii="Calibri" w:hAnsi="Calibri"/>
                <w:szCs w:val="20"/>
              </w:rPr>
              <w:t>107</w:t>
            </w:r>
          </w:p>
        </w:tc>
        <w:tc>
          <w:tcPr>
            <w:tcW w:w="616" w:type="dxa"/>
          </w:tcPr>
          <w:p w:rsidR="0007433F" w:rsidRPr="00625A65" w:rsidRDefault="00847A95">
            <w:pPr>
              <w:jc w:val="center"/>
              <w:rPr>
                <w:rFonts w:ascii="Calibri" w:hAnsi="Calibri"/>
                <w:szCs w:val="20"/>
              </w:rPr>
            </w:pPr>
            <w:r w:rsidRPr="00625A65">
              <w:rPr>
                <w:rFonts w:ascii="Calibri" w:hAnsi="Calibri"/>
                <w:szCs w:val="20"/>
              </w:rPr>
              <w:t>119</w:t>
            </w: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 xml:space="preserve">     Other</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106</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120</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42</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47</w:t>
            </w:r>
          </w:p>
        </w:tc>
        <w:tc>
          <w:tcPr>
            <w:tcW w:w="866" w:type="dxa"/>
          </w:tcPr>
          <w:p w:rsidR="0007433F" w:rsidRPr="00625A65" w:rsidRDefault="00847A95">
            <w:pPr>
              <w:jc w:val="center"/>
              <w:rPr>
                <w:rFonts w:ascii="Calibri" w:hAnsi="Calibri"/>
                <w:szCs w:val="20"/>
              </w:rPr>
            </w:pPr>
            <w:r w:rsidRPr="00625A65">
              <w:rPr>
                <w:rFonts w:ascii="Calibri" w:hAnsi="Calibri"/>
                <w:szCs w:val="20"/>
              </w:rPr>
              <w:t>79</w:t>
            </w:r>
          </w:p>
        </w:tc>
        <w:tc>
          <w:tcPr>
            <w:tcW w:w="709" w:type="dxa"/>
          </w:tcPr>
          <w:p w:rsidR="0007433F" w:rsidRPr="00625A65" w:rsidRDefault="00847A95">
            <w:pPr>
              <w:jc w:val="center"/>
              <w:rPr>
                <w:rFonts w:ascii="Calibri" w:hAnsi="Calibri"/>
                <w:szCs w:val="20"/>
              </w:rPr>
            </w:pPr>
            <w:r w:rsidRPr="00625A65">
              <w:rPr>
                <w:rFonts w:ascii="Calibri" w:hAnsi="Calibri"/>
                <w:szCs w:val="20"/>
              </w:rPr>
              <w:t>95</w:t>
            </w:r>
          </w:p>
        </w:tc>
        <w:tc>
          <w:tcPr>
            <w:tcW w:w="786" w:type="dxa"/>
          </w:tcPr>
          <w:p w:rsidR="0007433F" w:rsidRPr="00625A65" w:rsidRDefault="00847A95">
            <w:pPr>
              <w:jc w:val="center"/>
              <w:rPr>
                <w:rFonts w:ascii="Calibri" w:hAnsi="Calibri"/>
                <w:szCs w:val="20"/>
              </w:rPr>
            </w:pPr>
            <w:r w:rsidRPr="00625A65">
              <w:rPr>
                <w:rFonts w:ascii="Calibri" w:hAnsi="Calibri"/>
                <w:szCs w:val="20"/>
              </w:rPr>
              <w:t>83</w:t>
            </w:r>
          </w:p>
        </w:tc>
        <w:tc>
          <w:tcPr>
            <w:tcW w:w="705" w:type="dxa"/>
          </w:tcPr>
          <w:p w:rsidR="0007433F" w:rsidRPr="00625A65" w:rsidRDefault="00847A95">
            <w:pPr>
              <w:jc w:val="center"/>
              <w:rPr>
                <w:rFonts w:ascii="Calibri" w:hAnsi="Calibri"/>
                <w:szCs w:val="20"/>
              </w:rPr>
            </w:pPr>
            <w:r w:rsidRPr="00625A65">
              <w:rPr>
                <w:rFonts w:ascii="Calibri" w:hAnsi="Calibri"/>
                <w:szCs w:val="20"/>
              </w:rPr>
              <w:t>97</w:t>
            </w:r>
          </w:p>
        </w:tc>
        <w:tc>
          <w:tcPr>
            <w:tcW w:w="705" w:type="dxa"/>
          </w:tcPr>
          <w:p w:rsidR="0007433F" w:rsidRPr="00625A65" w:rsidRDefault="00847A95">
            <w:pPr>
              <w:jc w:val="center"/>
              <w:rPr>
                <w:rFonts w:ascii="Calibri" w:hAnsi="Calibri"/>
                <w:szCs w:val="20"/>
              </w:rPr>
            </w:pPr>
            <w:r w:rsidRPr="00625A65">
              <w:rPr>
                <w:rFonts w:ascii="Calibri" w:hAnsi="Calibri"/>
                <w:szCs w:val="20"/>
              </w:rPr>
              <w:t>18</w:t>
            </w:r>
          </w:p>
        </w:tc>
        <w:tc>
          <w:tcPr>
            <w:tcW w:w="786" w:type="dxa"/>
          </w:tcPr>
          <w:p w:rsidR="0007433F" w:rsidRPr="00625A65" w:rsidRDefault="00847A95">
            <w:pPr>
              <w:jc w:val="center"/>
              <w:rPr>
                <w:rFonts w:ascii="Calibri" w:hAnsi="Calibri"/>
                <w:szCs w:val="20"/>
              </w:rPr>
            </w:pPr>
            <w:r w:rsidRPr="00625A65">
              <w:rPr>
                <w:rFonts w:ascii="Calibri" w:hAnsi="Calibri"/>
                <w:szCs w:val="20"/>
              </w:rPr>
              <w:t>23</w:t>
            </w:r>
          </w:p>
        </w:tc>
        <w:tc>
          <w:tcPr>
            <w:tcW w:w="616" w:type="dxa"/>
          </w:tcPr>
          <w:p w:rsidR="0007433F" w:rsidRPr="00625A65" w:rsidRDefault="00847A95">
            <w:pPr>
              <w:jc w:val="center"/>
              <w:rPr>
                <w:rFonts w:ascii="Calibri" w:hAnsi="Calibri"/>
                <w:szCs w:val="20"/>
              </w:rPr>
            </w:pPr>
            <w:r w:rsidRPr="00625A65">
              <w:rPr>
                <w:rFonts w:ascii="Calibri" w:hAnsi="Calibri"/>
                <w:szCs w:val="20"/>
              </w:rPr>
              <w:t>328</w:t>
            </w:r>
          </w:p>
        </w:tc>
        <w:tc>
          <w:tcPr>
            <w:tcW w:w="616" w:type="dxa"/>
          </w:tcPr>
          <w:p w:rsidR="0007433F" w:rsidRPr="00625A65" w:rsidRDefault="00847A95">
            <w:pPr>
              <w:jc w:val="center"/>
              <w:rPr>
                <w:rFonts w:ascii="Calibri" w:hAnsi="Calibri"/>
                <w:szCs w:val="20"/>
              </w:rPr>
            </w:pPr>
            <w:r w:rsidRPr="00625A65">
              <w:rPr>
                <w:rFonts w:ascii="Calibri" w:hAnsi="Calibri"/>
                <w:szCs w:val="20"/>
              </w:rPr>
              <w:t>382</w:t>
            </w:r>
          </w:p>
        </w:tc>
      </w:tr>
      <w:tr w:rsidR="00847A95" w:rsidRPr="00625A65" w:rsidTr="00F947B1">
        <w:tc>
          <w:tcPr>
            <w:tcW w:w="967" w:type="dxa"/>
          </w:tcPr>
          <w:p w:rsidR="00847A95" w:rsidRPr="00625A65" w:rsidRDefault="00847A95" w:rsidP="00342DC3">
            <w:pPr>
              <w:rPr>
                <w:rFonts w:ascii="Calibri" w:hAnsi="Calibri"/>
                <w:szCs w:val="20"/>
              </w:rPr>
            </w:pPr>
            <w:r w:rsidRPr="00625A65">
              <w:rPr>
                <w:rFonts w:ascii="Calibri" w:hAnsi="Calibri"/>
                <w:szCs w:val="20"/>
              </w:rPr>
              <w:t>ALL</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724</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815</w:t>
            </w:r>
          </w:p>
        </w:tc>
        <w:tc>
          <w:tcPr>
            <w:tcW w:w="786" w:type="dxa"/>
          </w:tcPr>
          <w:p w:rsidR="00847A95" w:rsidRPr="00625A65" w:rsidRDefault="00847A95" w:rsidP="00342DC3">
            <w:pPr>
              <w:jc w:val="center"/>
              <w:rPr>
                <w:rFonts w:ascii="Calibri" w:hAnsi="Calibri"/>
                <w:szCs w:val="20"/>
              </w:rPr>
            </w:pPr>
            <w:r w:rsidRPr="00625A65">
              <w:rPr>
                <w:rFonts w:ascii="Calibri" w:hAnsi="Calibri"/>
                <w:szCs w:val="20"/>
              </w:rPr>
              <w:t>517</w:t>
            </w:r>
          </w:p>
        </w:tc>
        <w:tc>
          <w:tcPr>
            <w:tcW w:w="705" w:type="dxa"/>
          </w:tcPr>
          <w:p w:rsidR="00847A95" w:rsidRPr="00625A65" w:rsidRDefault="00847A95" w:rsidP="00342DC3">
            <w:pPr>
              <w:jc w:val="center"/>
              <w:rPr>
                <w:rFonts w:ascii="Calibri" w:hAnsi="Calibri"/>
                <w:szCs w:val="20"/>
              </w:rPr>
            </w:pPr>
            <w:r w:rsidRPr="00625A65">
              <w:rPr>
                <w:rFonts w:ascii="Calibri" w:hAnsi="Calibri"/>
                <w:szCs w:val="20"/>
              </w:rPr>
              <w:t>581</w:t>
            </w:r>
          </w:p>
        </w:tc>
        <w:tc>
          <w:tcPr>
            <w:tcW w:w="866" w:type="dxa"/>
          </w:tcPr>
          <w:p w:rsidR="0007433F" w:rsidRPr="00625A65" w:rsidRDefault="00847A95">
            <w:pPr>
              <w:jc w:val="center"/>
              <w:rPr>
                <w:rFonts w:ascii="Calibri" w:hAnsi="Calibri"/>
                <w:szCs w:val="20"/>
              </w:rPr>
            </w:pPr>
            <w:r w:rsidRPr="00625A65">
              <w:rPr>
                <w:rFonts w:ascii="Calibri" w:hAnsi="Calibri"/>
                <w:szCs w:val="20"/>
              </w:rPr>
              <w:t>999</w:t>
            </w:r>
          </w:p>
        </w:tc>
        <w:tc>
          <w:tcPr>
            <w:tcW w:w="709" w:type="dxa"/>
          </w:tcPr>
          <w:p w:rsidR="0007433F" w:rsidRPr="00625A65" w:rsidRDefault="00847A95">
            <w:pPr>
              <w:jc w:val="center"/>
              <w:rPr>
                <w:rFonts w:ascii="Calibri" w:hAnsi="Calibri"/>
                <w:szCs w:val="20"/>
              </w:rPr>
            </w:pPr>
            <w:r w:rsidRPr="00625A65">
              <w:rPr>
                <w:rFonts w:ascii="Calibri" w:hAnsi="Calibri"/>
                <w:szCs w:val="20"/>
              </w:rPr>
              <w:t>1124</w:t>
            </w:r>
          </w:p>
        </w:tc>
        <w:tc>
          <w:tcPr>
            <w:tcW w:w="786" w:type="dxa"/>
          </w:tcPr>
          <w:p w:rsidR="0007433F" w:rsidRPr="00625A65" w:rsidRDefault="00847A95">
            <w:pPr>
              <w:jc w:val="center"/>
              <w:rPr>
                <w:rFonts w:ascii="Calibri" w:hAnsi="Calibri"/>
                <w:szCs w:val="20"/>
              </w:rPr>
            </w:pPr>
            <w:r w:rsidRPr="00625A65">
              <w:rPr>
                <w:rFonts w:ascii="Calibri" w:hAnsi="Calibri"/>
                <w:szCs w:val="20"/>
              </w:rPr>
              <w:t>377</w:t>
            </w:r>
          </w:p>
        </w:tc>
        <w:tc>
          <w:tcPr>
            <w:tcW w:w="705" w:type="dxa"/>
          </w:tcPr>
          <w:p w:rsidR="0007433F" w:rsidRPr="00625A65" w:rsidRDefault="00847A95">
            <w:pPr>
              <w:jc w:val="center"/>
              <w:rPr>
                <w:rFonts w:ascii="Calibri" w:hAnsi="Calibri"/>
                <w:szCs w:val="20"/>
              </w:rPr>
            </w:pPr>
            <w:r w:rsidRPr="00625A65">
              <w:rPr>
                <w:rFonts w:ascii="Calibri" w:hAnsi="Calibri"/>
                <w:szCs w:val="20"/>
              </w:rPr>
              <w:t>424</w:t>
            </w:r>
          </w:p>
        </w:tc>
        <w:tc>
          <w:tcPr>
            <w:tcW w:w="705" w:type="dxa"/>
          </w:tcPr>
          <w:p w:rsidR="0007433F" w:rsidRPr="00625A65" w:rsidRDefault="00847A95">
            <w:pPr>
              <w:jc w:val="center"/>
              <w:rPr>
                <w:rFonts w:ascii="Calibri" w:hAnsi="Calibri"/>
                <w:szCs w:val="20"/>
              </w:rPr>
            </w:pPr>
            <w:r w:rsidRPr="00625A65">
              <w:rPr>
                <w:rFonts w:ascii="Calibri" w:hAnsi="Calibri"/>
                <w:szCs w:val="20"/>
              </w:rPr>
              <w:t>541</w:t>
            </w:r>
          </w:p>
        </w:tc>
        <w:tc>
          <w:tcPr>
            <w:tcW w:w="786" w:type="dxa"/>
          </w:tcPr>
          <w:p w:rsidR="0007433F" w:rsidRPr="00625A65" w:rsidRDefault="00847A95">
            <w:pPr>
              <w:jc w:val="center"/>
              <w:rPr>
                <w:rFonts w:ascii="Calibri" w:hAnsi="Calibri"/>
                <w:szCs w:val="20"/>
              </w:rPr>
            </w:pPr>
            <w:r w:rsidRPr="00625A65">
              <w:rPr>
                <w:rFonts w:ascii="Calibri" w:hAnsi="Calibri"/>
                <w:szCs w:val="20"/>
              </w:rPr>
              <w:t>608</w:t>
            </w:r>
          </w:p>
        </w:tc>
        <w:tc>
          <w:tcPr>
            <w:tcW w:w="616" w:type="dxa"/>
          </w:tcPr>
          <w:p w:rsidR="0007433F" w:rsidRPr="00625A65" w:rsidRDefault="00847A95">
            <w:pPr>
              <w:jc w:val="center"/>
              <w:rPr>
                <w:rFonts w:ascii="Calibri" w:hAnsi="Calibri"/>
                <w:szCs w:val="20"/>
              </w:rPr>
            </w:pPr>
            <w:r w:rsidRPr="00625A65">
              <w:rPr>
                <w:rFonts w:ascii="Calibri" w:hAnsi="Calibri"/>
                <w:szCs w:val="20"/>
              </w:rPr>
              <w:t>3145</w:t>
            </w:r>
          </w:p>
        </w:tc>
        <w:tc>
          <w:tcPr>
            <w:tcW w:w="616" w:type="dxa"/>
          </w:tcPr>
          <w:p w:rsidR="0007433F" w:rsidRPr="00625A65" w:rsidRDefault="00847A95">
            <w:pPr>
              <w:jc w:val="center"/>
              <w:rPr>
                <w:rFonts w:ascii="Calibri" w:hAnsi="Calibri"/>
                <w:szCs w:val="20"/>
              </w:rPr>
            </w:pPr>
            <w:r w:rsidRPr="00625A65">
              <w:rPr>
                <w:rFonts w:ascii="Calibri" w:hAnsi="Calibri"/>
                <w:szCs w:val="20"/>
              </w:rPr>
              <w:t>3550</w:t>
            </w:r>
          </w:p>
        </w:tc>
      </w:tr>
    </w:tbl>
    <w:p w:rsidR="000C1705" w:rsidRPr="00625A65" w:rsidRDefault="000C1705" w:rsidP="00342DC3">
      <w:pPr>
        <w:rPr>
          <w:rFonts w:ascii="Calibri" w:hAnsi="Calibri"/>
          <w:sz w:val="24"/>
        </w:rPr>
      </w:pPr>
    </w:p>
    <w:p w:rsidR="00847A95" w:rsidRPr="00625A65" w:rsidRDefault="00847A95" w:rsidP="00342DC3">
      <w:pPr>
        <w:rPr>
          <w:rFonts w:ascii="Calibri" w:hAnsi="Calibri"/>
          <w:sz w:val="24"/>
        </w:rPr>
      </w:pPr>
    </w:p>
    <w:p w:rsidR="0007433F" w:rsidRPr="00625A65" w:rsidRDefault="0007433F">
      <w:pPr>
        <w:rPr>
          <w:rFonts w:ascii="Calibri" w:hAnsi="Calibri"/>
          <w:sz w:val="24"/>
        </w:rPr>
      </w:pPr>
    </w:p>
    <w:p w:rsidR="00C72F98" w:rsidRPr="00625A65" w:rsidRDefault="00E74877" w:rsidP="00C72F98">
      <w:pPr>
        <w:pStyle w:val="Heading2"/>
        <w:spacing w:before="240" w:after="240" w:line="320" w:lineRule="exact"/>
        <w:rPr>
          <w:rFonts w:asciiTheme="minorHAnsi" w:hAnsiTheme="minorHAnsi"/>
          <w:color w:val="000000" w:themeColor="text1"/>
          <w:sz w:val="24"/>
          <w:szCs w:val="24"/>
        </w:rPr>
      </w:pPr>
      <w:bookmarkStart w:id="2" w:name="_Toc271881903"/>
      <w:r w:rsidRPr="00625A65">
        <w:rPr>
          <w:rFonts w:asciiTheme="minorHAnsi" w:hAnsiTheme="minorHAnsi"/>
          <w:color w:val="000000" w:themeColor="text1"/>
          <w:sz w:val="24"/>
          <w:szCs w:val="24"/>
        </w:rPr>
        <w:t>Cohort Study P</w:t>
      </w:r>
      <w:bookmarkEnd w:id="2"/>
      <w:r w:rsidRPr="00625A65">
        <w:rPr>
          <w:rFonts w:asciiTheme="minorHAnsi" w:hAnsiTheme="minorHAnsi"/>
          <w:color w:val="000000" w:themeColor="text1"/>
          <w:sz w:val="24"/>
          <w:szCs w:val="24"/>
        </w:rPr>
        <w:t xml:space="preserve">ower Analysis </w:t>
      </w:r>
    </w:p>
    <w:p w:rsidR="00C43EA6" w:rsidRPr="00625A65" w:rsidRDefault="00E74877">
      <w:pPr>
        <w:spacing w:before="120" w:after="120"/>
        <w:rPr>
          <w:rFonts w:asciiTheme="minorHAnsi" w:hAnsiTheme="minorHAnsi"/>
          <w:color w:val="000000" w:themeColor="text1"/>
          <w:sz w:val="24"/>
        </w:rPr>
      </w:pPr>
      <w:r w:rsidRPr="00625A65">
        <w:rPr>
          <w:rFonts w:asciiTheme="minorHAnsi" w:hAnsiTheme="minorHAnsi"/>
          <w:color w:val="000000" w:themeColor="text1"/>
          <w:sz w:val="24"/>
        </w:rPr>
        <w:t>Based on our calculations from SEARCH 1 and 2 we anticipate that at least 3,288 subjects will participate in the SEARCH Cohort Study in-person visit, and therefore the calculations below use that sample size as the starting value for estimating power and detectable differences.</w:t>
      </w:r>
    </w:p>
    <w:p w:rsidR="00C72F98" w:rsidRPr="00625A65" w:rsidRDefault="00E74877" w:rsidP="00C72F98">
      <w:pPr>
        <w:pStyle w:val="Heading3"/>
        <w:rPr>
          <w:rFonts w:asciiTheme="minorHAnsi" w:hAnsiTheme="minorHAnsi"/>
          <w:color w:val="000000" w:themeColor="text1"/>
          <w:sz w:val="24"/>
          <w:szCs w:val="24"/>
        </w:rPr>
      </w:pPr>
      <w:bookmarkStart w:id="3" w:name="_Toc271881904"/>
      <w:r w:rsidRPr="00625A65">
        <w:rPr>
          <w:rFonts w:asciiTheme="minorHAnsi" w:hAnsiTheme="minorHAnsi"/>
          <w:color w:val="000000" w:themeColor="text1"/>
          <w:sz w:val="24"/>
          <w:szCs w:val="24"/>
        </w:rPr>
        <w:lastRenderedPageBreak/>
        <w:t>Incidence Rate Estimation</w:t>
      </w:r>
      <w:bookmarkEnd w:id="3"/>
    </w:p>
    <w:p w:rsidR="00C43EA6" w:rsidRPr="00625A65" w:rsidRDefault="00E74877">
      <w:pPr>
        <w:spacing w:before="120" w:after="120"/>
        <w:rPr>
          <w:rFonts w:asciiTheme="minorHAnsi" w:hAnsiTheme="minorHAnsi"/>
          <w:color w:val="000000" w:themeColor="text1"/>
          <w:sz w:val="24"/>
        </w:rPr>
      </w:pPr>
      <w:r w:rsidRPr="00625A65">
        <w:rPr>
          <w:rFonts w:asciiTheme="minorHAnsi" w:hAnsiTheme="minorHAnsi"/>
          <w:color w:val="000000" w:themeColor="text1"/>
          <w:sz w:val="24"/>
        </w:rPr>
        <w:t xml:space="preserve">To estimate power for this component we first had to estimate the proportion of participants who would be free of the condition at their initial in-person visit during SEARCH 1 and 2.  Table 2 shows the expected sample sizes available for comparing incidence rates between subgroups under two scenarios: 1) proportion in subgroups are 86% versus 14% (the proportions of T1D and T2D), and 2) proportion in subgroups are 65% versus 35% (the proportions of NHW and all others).  </w:t>
      </w:r>
    </w:p>
    <w:p w:rsidR="00C72F98" w:rsidRPr="00625A65" w:rsidRDefault="00C72F98" w:rsidP="00C72F98">
      <w:pPr>
        <w:rPr>
          <w:rFonts w:asciiTheme="minorHAnsi" w:hAnsiTheme="minorHAnsi"/>
          <w:color w:val="000000" w:themeColor="text1"/>
        </w:rPr>
      </w:pPr>
    </w:p>
    <w:p w:rsidR="00C72F98" w:rsidRPr="00625A65" w:rsidRDefault="00E74877" w:rsidP="00C72F98">
      <w:pPr>
        <w:rPr>
          <w:rFonts w:asciiTheme="minorHAnsi" w:hAnsiTheme="minorHAnsi"/>
          <w:b/>
          <w:color w:val="000000" w:themeColor="text1"/>
          <w:sz w:val="24"/>
        </w:rPr>
      </w:pPr>
      <w:r w:rsidRPr="00625A65">
        <w:rPr>
          <w:rFonts w:asciiTheme="minorHAnsi" w:hAnsiTheme="minorHAnsi"/>
          <w:b/>
          <w:color w:val="000000" w:themeColor="text1"/>
          <w:sz w:val="24"/>
        </w:rPr>
        <w:t>Table 2.  Expected number of participants free of outcome at initial visit</w:t>
      </w:r>
    </w:p>
    <w:tbl>
      <w:tblPr>
        <w:tblStyle w:val="TableGrid"/>
        <w:tblW w:w="0" w:type="auto"/>
        <w:tblLook w:val="04A0" w:firstRow="1" w:lastRow="0" w:firstColumn="1" w:lastColumn="0" w:noHBand="0" w:noVBand="1"/>
      </w:tblPr>
      <w:tblGrid>
        <w:gridCol w:w="3168"/>
        <w:gridCol w:w="1620"/>
        <w:gridCol w:w="1530"/>
        <w:gridCol w:w="1620"/>
        <w:gridCol w:w="1638"/>
      </w:tblGrid>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p>
        </w:tc>
        <w:tc>
          <w:tcPr>
            <w:tcW w:w="3150" w:type="dxa"/>
            <w:gridSpan w:val="2"/>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Scenario 1</w:t>
            </w:r>
          </w:p>
        </w:tc>
        <w:tc>
          <w:tcPr>
            <w:tcW w:w="3258" w:type="dxa"/>
            <w:gridSpan w:val="2"/>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Scenario 2</w:t>
            </w:r>
          </w:p>
        </w:tc>
      </w:tr>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r w:rsidRPr="00625A65">
              <w:rPr>
                <w:rFonts w:asciiTheme="minorHAnsi" w:hAnsiTheme="minorHAnsi"/>
                <w:color w:val="000000" w:themeColor="text1"/>
                <w:sz w:val="24"/>
              </w:rPr>
              <w:t>Outcome (% of participants free of condition at initial SEARCH visit)</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Subgroup A (86%)</w:t>
            </w:r>
          </w:p>
        </w:tc>
        <w:tc>
          <w:tcPr>
            <w:tcW w:w="153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Subgroup B (14%)</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Subgroup A (65%)</w:t>
            </w:r>
          </w:p>
        </w:tc>
        <w:tc>
          <w:tcPr>
            <w:tcW w:w="1638"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Subgroup B (35%)</w:t>
            </w:r>
          </w:p>
        </w:tc>
      </w:tr>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r w:rsidRPr="00625A65">
              <w:rPr>
                <w:rFonts w:asciiTheme="minorHAnsi" w:hAnsiTheme="minorHAnsi"/>
                <w:color w:val="000000" w:themeColor="text1"/>
                <w:sz w:val="24"/>
              </w:rPr>
              <w:t>Hypertension (92%)</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2601</w:t>
            </w:r>
          </w:p>
        </w:tc>
        <w:tc>
          <w:tcPr>
            <w:tcW w:w="153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631</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1964</w:t>
            </w:r>
          </w:p>
        </w:tc>
        <w:tc>
          <w:tcPr>
            <w:tcW w:w="1638"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1217</w:t>
            </w:r>
          </w:p>
        </w:tc>
      </w:tr>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r w:rsidRPr="00625A65">
              <w:rPr>
                <w:rFonts w:asciiTheme="minorHAnsi" w:hAnsiTheme="minorHAnsi"/>
                <w:color w:val="000000" w:themeColor="text1"/>
                <w:sz w:val="24"/>
              </w:rPr>
              <w:t xml:space="preserve">Obese (BMI-z </w:t>
            </w:r>
            <w:r w:rsidRPr="00625A65">
              <w:rPr>
                <w:rFonts w:ascii="Calibri" w:hAnsi="Calibri"/>
                <w:color w:val="000000" w:themeColor="text1"/>
                <w:sz w:val="24"/>
              </w:rPr>
              <w:t>≥</w:t>
            </w:r>
            <w:r w:rsidRPr="00625A65">
              <w:rPr>
                <w:rFonts w:asciiTheme="minorHAnsi" w:hAnsiTheme="minorHAnsi"/>
                <w:color w:val="000000" w:themeColor="text1"/>
                <w:sz w:val="24"/>
              </w:rPr>
              <w:t xml:space="preserve"> 95</w:t>
            </w:r>
            <w:r w:rsidRPr="00625A65">
              <w:rPr>
                <w:rFonts w:asciiTheme="minorHAnsi" w:hAnsiTheme="minorHAnsi"/>
                <w:color w:val="000000" w:themeColor="text1"/>
                <w:sz w:val="24"/>
                <w:vertAlign w:val="superscript"/>
              </w:rPr>
              <w:t>th</w:t>
            </w:r>
            <w:r w:rsidRPr="00625A65">
              <w:rPr>
                <w:rFonts w:asciiTheme="minorHAnsi" w:hAnsiTheme="minorHAnsi"/>
                <w:color w:val="000000" w:themeColor="text1"/>
                <w:sz w:val="24"/>
              </w:rPr>
              <w:t xml:space="preserve"> percentile; 76%)</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2149</w:t>
            </w:r>
          </w:p>
        </w:tc>
        <w:tc>
          <w:tcPr>
            <w:tcW w:w="153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865</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1623</w:t>
            </w:r>
          </w:p>
        </w:tc>
        <w:tc>
          <w:tcPr>
            <w:tcW w:w="1638"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1265</w:t>
            </w:r>
          </w:p>
        </w:tc>
      </w:tr>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r w:rsidRPr="00625A65">
              <w:rPr>
                <w:rFonts w:asciiTheme="minorHAnsi" w:hAnsiTheme="minorHAnsi"/>
                <w:color w:val="000000" w:themeColor="text1"/>
                <w:sz w:val="24"/>
              </w:rPr>
              <w:t>High low density lipids (</w:t>
            </w:r>
            <w:r w:rsidRPr="00625A65">
              <w:rPr>
                <w:rFonts w:ascii="Calibri" w:hAnsi="Calibri"/>
                <w:color w:val="000000" w:themeColor="text1"/>
                <w:sz w:val="24"/>
              </w:rPr>
              <w:t>≥ 100mg/</w:t>
            </w:r>
            <w:proofErr w:type="spellStart"/>
            <w:r w:rsidRPr="00625A65">
              <w:rPr>
                <w:rFonts w:ascii="Calibri" w:hAnsi="Calibri"/>
                <w:color w:val="000000" w:themeColor="text1"/>
                <w:sz w:val="24"/>
              </w:rPr>
              <w:t>dL</w:t>
            </w:r>
            <w:proofErr w:type="spellEnd"/>
            <w:r w:rsidRPr="00625A65">
              <w:rPr>
                <w:rFonts w:ascii="Calibri" w:hAnsi="Calibri"/>
                <w:color w:val="000000" w:themeColor="text1"/>
                <w:sz w:val="24"/>
              </w:rPr>
              <w:t>; 91%)</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1611</w:t>
            </w:r>
          </w:p>
        </w:tc>
        <w:tc>
          <w:tcPr>
            <w:tcW w:w="153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955</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1217</w:t>
            </w:r>
          </w:p>
        </w:tc>
        <w:tc>
          <w:tcPr>
            <w:tcW w:w="1638"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1180</w:t>
            </w:r>
          </w:p>
        </w:tc>
      </w:tr>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r w:rsidRPr="00625A65">
              <w:rPr>
                <w:rFonts w:asciiTheme="minorHAnsi" w:hAnsiTheme="minorHAnsi"/>
                <w:color w:val="000000" w:themeColor="text1"/>
                <w:sz w:val="24"/>
              </w:rPr>
              <w:t>High ACR (</w:t>
            </w:r>
            <w:r w:rsidRPr="00625A65">
              <w:rPr>
                <w:rFonts w:ascii="Calibri" w:hAnsi="Calibri"/>
                <w:color w:val="000000" w:themeColor="text1"/>
                <w:sz w:val="24"/>
              </w:rPr>
              <w:t>≥ 30; 90%)</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2544</w:t>
            </w:r>
          </w:p>
        </w:tc>
        <w:tc>
          <w:tcPr>
            <w:tcW w:w="153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668</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122</w:t>
            </w:r>
          </w:p>
        </w:tc>
        <w:tc>
          <w:tcPr>
            <w:tcW w:w="1638"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1229</w:t>
            </w:r>
          </w:p>
        </w:tc>
      </w:tr>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r w:rsidRPr="00625A65">
              <w:rPr>
                <w:rFonts w:asciiTheme="minorHAnsi" w:hAnsiTheme="minorHAnsi"/>
                <w:color w:val="000000" w:themeColor="text1"/>
                <w:sz w:val="24"/>
              </w:rPr>
              <w:t>Hypoglycemia in last 6 months (91%)</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2573</w:t>
            </w:r>
          </w:p>
        </w:tc>
        <w:tc>
          <w:tcPr>
            <w:tcW w:w="153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650</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1943</w:t>
            </w:r>
          </w:p>
        </w:tc>
        <w:tc>
          <w:tcPr>
            <w:tcW w:w="1638"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1223</w:t>
            </w:r>
          </w:p>
        </w:tc>
      </w:tr>
      <w:tr w:rsidR="00C72F98" w:rsidRPr="00625A65" w:rsidTr="009553F0">
        <w:tc>
          <w:tcPr>
            <w:tcW w:w="3168" w:type="dxa"/>
          </w:tcPr>
          <w:p w:rsidR="00C72F98" w:rsidRPr="00625A65" w:rsidRDefault="00C72F98" w:rsidP="009553F0">
            <w:pPr>
              <w:spacing w:before="120" w:after="120"/>
              <w:ind w:left="144"/>
              <w:rPr>
                <w:rFonts w:asciiTheme="minorHAnsi" w:hAnsiTheme="minorHAnsi"/>
                <w:color w:val="000000" w:themeColor="text1"/>
                <w:sz w:val="24"/>
              </w:rPr>
            </w:pPr>
            <w:r w:rsidRPr="00625A65">
              <w:rPr>
                <w:rFonts w:asciiTheme="minorHAnsi" w:hAnsiTheme="minorHAnsi"/>
                <w:color w:val="000000" w:themeColor="text1"/>
                <w:sz w:val="24"/>
              </w:rPr>
              <w:t>DKA in last 6 months (85%)</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2403</w:t>
            </w:r>
          </w:p>
        </w:tc>
        <w:tc>
          <w:tcPr>
            <w:tcW w:w="153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751</w:t>
            </w:r>
          </w:p>
        </w:tc>
        <w:tc>
          <w:tcPr>
            <w:tcW w:w="1620"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1815</w:t>
            </w:r>
          </w:p>
        </w:tc>
        <w:tc>
          <w:tcPr>
            <w:tcW w:w="1638" w:type="dxa"/>
          </w:tcPr>
          <w:p w:rsidR="00C72F98" w:rsidRPr="00625A65" w:rsidRDefault="00C72F98" w:rsidP="00FA3A61">
            <w:pPr>
              <w:spacing w:before="120" w:after="120"/>
              <w:ind w:left="144"/>
              <w:jc w:val="center"/>
              <w:rPr>
                <w:rFonts w:asciiTheme="minorHAnsi" w:hAnsiTheme="minorHAnsi"/>
                <w:color w:val="000000" w:themeColor="text1"/>
                <w:sz w:val="24"/>
              </w:rPr>
            </w:pPr>
            <w:r w:rsidRPr="00625A65">
              <w:rPr>
                <w:rFonts w:asciiTheme="minorHAnsi" w:hAnsiTheme="minorHAnsi"/>
                <w:color w:val="000000" w:themeColor="text1"/>
                <w:sz w:val="24"/>
              </w:rPr>
              <w:t>1251</w:t>
            </w:r>
          </w:p>
        </w:tc>
      </w:tr>
    </w:tbl>
    <w:p w:rsidR="00C72F98" w:rsidRPr="00625A65" w:rsidRDefault="00C72F98" w:rsidP="00C72F98">
      <w:pPr>
        <w:spacing w:before="120" w:after="120" w:line="320" w:lineRule="atLeast"/>
        <w:rPr>
          <w:rFonts w:asciiTheme="minorHAnsi" w:hAnsiTheme="minorHAnsi"/>
          <w:color w:val="000000" w:themeColor="text1"/>
        </w:rPr>
      </w:pPr>
    </w:p>
    <w:p w:rsidR="00C72F98" w:rsidRPr="00625A65" w:rsidRDefault="00E74877" w:rsidP="00C72F98">
      <w:pPr>
        <w:spacing w:before="120" w:after="120" w:line="320" w:lineRule="atLeast"/>
        <w:rPr>
          <w:rFonts w:asciiTheme="minorHAnsi" w:hAnsiTheme="minorHAnsi"/>
          <w:color w:val="000000" w:themeColor="text1"/>
          <w:sz w:val="24"/>
        </w:rPr>
      </w:pPr>
      <w:r w:rsidRPr="00625A65">
        <w:rPr>
          <w:rFonts w:asciiTheme="minorHAnsi" w:hAnsiTheme="minorHAnsi"/>
          <w:color w:val="000000" w:themeColor="text1"/>
          <w:sz w:val="24"/>
        </w:rPr>
        <w:t xml:space="preserve">Using Table 2 we can determine detectable differences for each outcome/group comparison for a variety of plausible scenarios for incidence rates. </w:t>
      </w:r>
      <w:r w:rsidR="00F7612B" w:rsidRPr="00625A65">
        <w:rPr>
          <w:rFonts w:asciiTheme="minorHAnsi" w:hAnsiTheme="minorHAnsi"/>
          <w:color w:val="000000" w:themeColor="text1"/>
          <w:sz w:val="24"/>
        </w:rPr>
        <w:t xml:space="preserve"> At this point in the study</w:t>
      </w:r>
      <w:r w:rsidR="000B4B15" w:rsidRPr="00625A65">
        <w:rPr>
          <w:rFonts w:asciiTheme="minorHAnsi" w:hAnsiTheme="minorHAnsi"/>
          <w:color w:val="000000" w:themeColor="text1"/>
          <w:sz w:val="24"/>
        </w:rPr>
        <w:t xml:space="preserve"> and</w:t>
      </w:r>
      <w:r w:rsidR="00F7612B" w:rsidRPr="00625A65">
        <w:rPr>
          <w:rFonts w:asciiTheme="minorHAnsi" w:hAnsiTheme="minorHAnsi"/>
          <w:color w:val="000000" w:themeColor="text1"/>
          <w:sz w:val="24"/>
        </w:rPr>
        <w:t xml:space="preserve"> with only 1839 total patients enrolled</w:t>
      </w:r>
      <w:r w:rsidR="000B4B15" w:rsidRPr="00625A65">
        <w:rPr>
          <w:rFonts w:asciiTheme="minorHAnsi" w:hAnsiTheme="minorHAnsi"/>
          <w:color w:val="000000" w:themeColor="text1"/>
          <w:sz w:val="24"/>
        </w:rPr>
        <w:t>,</w:t>
      </w:r>
      <w:r w:rsidR="00F7612B" w:rsidRPr="00625A65">
        <w:rPr>
          <w:rFonts w:asciiTheme="minorHAnsi" w:hAnsiTheme="minorHAnsi"/>
          <w:color w:val="000000" w:themeColor="text1"/>
          <w:sz w:val="24"/>
        </w:rPr>
        <w:t xml:space="preserve"> we would not be able to meet the aims for the study as described in the proposal</w:t>
      </w:r>
      <w:r w:rsidR="000B4B15" w:rsidRPr="00625A65">
        <w:rPr>
          <w:rFonts w:asciiTheme="minorHAnsi" w:hAnsiTheme="minorHAnsi"/>
          <w:color w:val="000000" w:themeColor="text1"/>
          <w:sz w:val="24"/>
        </w:rPr>
        <w:t xml:space="preserve">.  </w:t>
      </w:r>
      <w:r w:rsidR="00F7612B" w:rsidRPr="00625A65">
        <w:rPr>
          <w:rFonts w:asciiTheme="minorHAnsi" w:hAnsiTheme="minorHAnsi"/>
          <w:color w:val="000000" w:themeColor="text1"/>
          <w:sz w:val="24"/>
        </w:rPr>
        <w:t xml:space="preserve"> </w:t>
      </w:r>
      <w:r w:rsidR="000B4B15" w:rsidRPr="00625A65">
        <w:rPr>
          <w:rFonts w:asciiTheme="minorHAnsi" w:hAnsiTheme="minorHAnsi"/>
          <w:color w:val="000000" w:themeColor="text1"/>
          <w:sz w:val="24"/>
        </w:rPr>
        <w:t>T</w:t>
      </w:r>
      <w:r w:rsidR="00F7612B" w:rsidRPr="00625A65">
        <w:rPr>
          <w:rFonts w:asciiTheme="minorHAnsi" w:hAnsiTheme="minorHAnsi"/>
          <w:color w:val="000000" w:themeColor="text1"/>
          <w:sz w:val="24"/>
        </w:rPr>
        <w:t xml:space="preserve">herefore </w:t>
      </w:r>
      <w:r w:rsidR="000B4B15" w:rsidRPr="00625A65">
        <w:rPr>
          <w:rFonts w:asciiTheme="minorHAnsi" w:hAnsiTheme="minorHAnsi"/>
          <w:color w:val="000000" w:themeColor="text1"/>
          <w:sz w:val="24"/>
        </w:rPr>
        <w:t xml:space="preserve">each study site </w:t>
      </w:r>
      <w:r w:rsidR="00F7612B" w:rsidRPr="00625A65">
        <w:rPr>
          <w:rFonts w:asciiTheme="minorHAnsi" w:hAnsiTheme="minorHAnsi"/>
          <w:color w:val="000000" w:themeColor="text1"/>
          <w:sz w:val="24"/>
        </w:rPr>
        <w:t>need</w:t>
      </w:r>
      <w:r w:rsidR="00716E34" w:rsidRPr="00625A65">
        <w:rPr>
          <w:rFonts w:asciiTheme="minorHAnsi" w:hAnsiTheme="minorHAnsi"/>
          <w:color w:val="000000" w:themeColor="text1"/>
          <w:sz w:val="24"/>
        </w:rPr>
        <w:t>s</w:t>
      </w:r>
      <w:r w:rsidR="00F7612B" w:rsidRPr="00625A65">
        <w:rPr>
          <w:rFonts w:asciiTheme="minorHAnsi" w:hAnsiTheme="minorHAnsi"/>
          <w:color w:val="000000" w:themeColor="text1"/>
          <w:sz w:val="24"/>
        </w:rPr>
        <w:t xml:space="preserve"> to continue recruiting participants in order to have sufficient statistical power to make useful scientific inference for the questions described in Table 2 above.</w:t>
      </w:r>
      <w:r w:rsidRPr="00625A65">
        <w:rPr>
          <w:rFonts w:asciiTheme="minorHAnsi" w:hAnsiTheme="minorHAnsi"/>
          <w:color w:val="000000" w:themeColor="text1"/>
          <w:sz w:val="24"/>
        </w:rPr>
        <w:t xml:space="preserve"> Table 3 illustrates detectable differences assuming a two group continuity corrected chi-square test for a variety of scenarios with alpha=0.05 (2-sided).</w:t>
      </w:r>
    </w:p>
    <w:p w:rsidR="00C72F98" w:rsidRPr="00625A65" w:rsidRDefault="00C72F98" w:rsidP="00C72F98">
      <w:pPr>
        <w:spacing w:before="120" w:after="120" w:line="320" w:lineRule="atLeast"/>
        <w:ind w:left="792"/>
        <w:rPr>
          <w:rFonts w:asciiTheme="minorHAnsi" w:hAnsiTheme="minorHAnsi"/>
          <w:color w:val="000000" w:themeColor="text1"/>
          <w:spacing w:val="-2"/>
          <w:sz w:val="24"/>
        </w:rPr>
      </w:pPr>
    </w:p>
    <w:p w:rsidR="000C4C71" w:rsidRPr="00625A65" w:rsidRDefault="000C4C71">
      <w:pPr>
        <w:widowControl/>
        <w:autoSpaceDE/>
        <w:autoSpaceDN/>
        <w:adjustRightInd/>
        <w:rPr>
          <w:rFonts w:asciiTheme="minorHAnsi" w:hAnsiTheme="minorHAnsi"/>
          <w:b/>
          <w:color w:val="000000" w:themeColor="text1"/>
          <w:spacing w:val="-2"/>
          <w:sz w:val="24"/>
        </w:rPr>
      </w:pPr>
      <w:r w:rsidRPr="00625A65">
        <w:rPr>
          <w:rFonts w:asciiTheme="minorHAnsi" w:hAnsiTheme="minorHAnsi"/>
          <w:b/>
          <w:color w:val="000000" w:themeColor="text1"/>
          <w:spacing w:val="-2"/>
          <w:sz w:val="24"/>
        </w:rPr>
        <w:br w:type="page"/>
      </w:r>
    </w:p>
    <w:p w:rsidR="00C72F98" w:rsidRPr="00625A65" w:rsidRDefault="00E74877" w:rsidP="00C72F98">
      <w:pPr>
        <w:spacing w:before="120" w:after="120" w:line="320" w:lineRule="atLeast"/>
        <w:rPr>
          <w:rFonts w:asciiTheme="minorHAnsi" w:hAnsiTheme="minorHAnsi"/>
          <w:b/>
          <w:color w:val="000000" w:themeColor="text1"/>
          <w:spacing w:val="-2"/>
          <w:sz w:val="24"/>
        </w:rPr>
      </w:pPr>
      <w:r w:rsidRPr="00625A65">
        <w:rPr>
          <w:rFonts w:asciiTheme="minorHAnsi" w:hAnsiTheme="minorHAnsi"/>
          <w:b/>
          <w:color w:val="000000" w:themeColor="text1"/>
          <w:spacing w:val="-2"/>
          <w:sz w:val="24"/>
        </w:rPr>
        <w:lastRenderedPageBreak/>
        <w:t>Table 3. Detectable Differences for each outcome</w:t>
      </w:r>
    </w:p>
    <w:tbl>
      <w:tblPr>
        <w:tblStyle w:val="LightList-Accent1"/>
        <w:tblW w:w="0" w:type="auto"/>
        <w:tblLook w:val="04A0" w:firstRow="1" w:lastRow="0" w:firstColumn="1" w:lastColumn="0" w:noHBand="0" w:noVBand="1"/>
      </w:tblPr>
      <w:tblGrid>
        <w:gridCol w:w="1915"/>
        <w:gridCol w:w="1915"/>
        <w:gridCol w:w="1915"/>
        <w:gridCol w:w="1653"/>
        <w:gridCol w:w="2178"/>
      </w:tblGrid>
      <w:tr w:rsidR="00C72F98" w:rsidRPr="00625A65" w:rsidTr="00E42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shd w:val="clear" w:color="auto" w:fill="auto"/>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3830" w:type="dxa"/>
            <w:gridSpan w:val="2"/>
            <w:tcBorders>
              <w:top w:val="single" w:sz="8" w:space="0" w:color="auto"/>
              <w:left w:val="single" w:sz="8" w:space="0" w:color="auto"/>
              <w:bottom w:val="single" w:sz="8" w:space="0" w:color="auto"/>
              <w:right w:val="single" w:sz="8" w:space="0" w:color="auto"/>
            </w:tcBorders>
            <w:shd w:val="clear" w:color="auto" w:fill="auto"/>
          </w:tcPr>
          <w:p w:rsidR="00C72F98" w:rsidRPr="00625A65" w:rsidRDefault="00C72F98" w:rsidP="009A113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Scenario 1: Example type 1 vs Type 2</w:t>
            </w:r>
          </w:p>
        </w:tc>
        <w:tc>
          <w:tcPr>
            <w:tcW w:w="3831" w:type="dxa"/>
            <w:gridSpan w:val="2"/>
            <w:tcBorders>
              <w:top w:val="single" w:sz="8" w:space="0" w:color="auto"/>
              <w:left w:val="single" w:sz="8" w:space="0" w:color="auto"/>
              <w:bottom w:val="single" w:sz="8" w:space="0" w:color="auto"/>
              <w:right w:val="single" w:sz="8" w:space="0" w:color="auto"/>
            </w:tcBorders>
            <w:shd w:val="clear" w:color="auto" w:fill="auto"/>
          </w:tcPr>
          <w:p w:rsidR="00C72F98" w:rsidRPr="00625A65" w:rsidRDefault="00C72F98" w:rsidP="009A113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Scenario 2: Example Non-Hispanic White vs Other</w:t>
            </w:r>
          </w:p>
        </w:tc>
      </w:tr>
      <w:tr w:rsidR="00C72F98" w:rsidRPr="00625A65" w:rsidTr="00E42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Outcome</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Incidence for type 1, %</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Detectable rate for type 2, % (power)</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Incidence rate for NHW, %</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Detectable rate for other race/ethnic groups, % (power)</w:t>
            </w:r>
          </w:p>
        </w:tc>
      </w:tr>
      <w:tr w:rsidR="00C72F98" w:rsidRPr="00625A65" w:rsidTr="00E42D27">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Hypertension</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6 **</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10 (90)</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6 **</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9 (86)</w:t>
            </w:r>
          </w:p>
        </w:tc>
      </w:tr>
      <w:tr w:rsidR="00C72F98" w:rsidRPr="00625A65" w:rsidTr="00E42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12</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17 (88)</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12</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16 (87)</w:t>
            </w:r>
          </w:p>
        </w:tc>
      </w:tr>
      <w:tr w:rsidR="00C72F98" w:rsidRPr="00625A65" w:rsidTr="00E42D27">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Obese</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5</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8 (84)</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9</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13 (91)</w:t>
            </w:r>
          </w:p>
        </w:tc>
      </w:tr>
      <w:tr w:rsidR="00C72F98" w:rsidRPr="00625A65" w:rsidTr="00E42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10</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14 (85)</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19</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24 (89)</w:t>
            </w:r>
          </w:p>
        </w:tc>
      </w:tr>
      <w:tr w:rsidR="00C72F98" w:rsidRPr="00625A65" w:rsidTr="00E42D27">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High LDL</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23</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29 (91)</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14</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19 (90)</w:t>
            </w:r>
          </w:p>
        </w:tc>
      </w:tr>
      <w:tr w:rsidR="00C72F98" w:rsidRPr="00625A65" w:rsidTr="00E42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33</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39 (85)</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24</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30 (90)</w:t>
            </w:r>
          </w:p>
        </w:tc>
      </w:tr>
      <w:tr w:rsidR="00C72F98" w:rsidRPr="00625A65" w:rsidTr="00E42D27">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High ACR</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9</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13 (83)</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5</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8 (90)</w:t>
            </w:r>
          </w:p>
        </w:tc>
      </w:tr>
      <w:tr w:rsidR="00C72F98" w:rsidRPr="00625A65" w:rsidTr="00E42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19</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25 (91)</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10</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14 (91)</w:t>
            </w:r>
          </w:p>
        </w:tc>
      </w:tr>
      <w:tr w:rsidR="00C72F98" w:rsidRPr="00625A65" w:rsidTr="00E42D27">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Hypoglycemia in last 6 months</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11</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16 (91)</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23</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28 (87)</w:t>
            </w:r>
          </w:p>
        </w:tc>
      </w:tr>
      <w:tr w:rsidR="00C72F98" w:rsidRPr="00625A65" w:rsidTr="00E42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21</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27 (88)</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33</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38 (80)</w:t>
            </w:r>
          </w:p>
        </w:tc>
      </w:tr>
      <w:tr w:rsidR="00C72F98" w:rsidRPr="00625A65" w:rsidTr="00E42D27">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DKA in last 6 months</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15</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20 (87)</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9</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13 (92)</w:t>
            </w:r>
          </w:p>
        </w:tc>
      </w:tr>
      <w:tr w:rsidR="00C72F98" w:rsidRPr="00625A65" w:rsidTr="00E42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25</w:t>
            </w:r>
          </w:p>
        </w:tc>
        <w:tc>
          <w:tcPr>
            <w:tcW w:w="1915"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31 (88)</w:t>
            </w:r>
          </w:p>
        </w:tc>
        <w:tc>
          <w:tcPr>
            <w:tcW w:w="1653"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19</w:t>
            </w:r>
          </w:p>
        </w:tc>
        <w:tc>
          <w:tcPr>
            <w:tcW w:w="2178" w:type="dxa"/>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24 (09)</w:t>
            </w:r>
          </w:p>
        </w:tc>
      </w:tr>
      <w:tr w:rsidR="00C72F98" w:rsidRPr="00625A65" w:rsidTr="00E42D27">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8" w:space="0" w:color="auto"/>
              <w:left w:val="single" w:sz="8" w:space="0" w:color="auto"/>
              <w:bottom w:val="single" w:sz="8" w:space="0" w:color="auto"/>
              <w:right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 First incidence rate reflects observed incidence rate in SEARCH 1 and 2</w:t>
            </w:r>
          </w:p>
        </w:tc>
      </w:tr>
    </w:tbl>
    <w:p w:rsidR="00C72F98" w:rsidRPr="00625A65" w:rsidRDefault="00C72F98" w:rsidP="00C72F98">
      <w:pPr>
        <w:spacing w:before="120" w:after="120" w:line="320" w:lineRule="atLeast"/>
        <w:rPr>
          <w:rFonts w:asciiTheme="minorHAnsi" w:hAnsiTheme="minorHAnsi"/>
          <w:color w:val="000000" w:themeColor="text1"/>
          <w:spacing w:val="-2"/>
          <w:sz w:val="24"/>
        </w:rPr>
      </w:pPr>
    </w:p>
    <w:p w:rsidR="00C72F98" w:rsidRPr="00625A65" w:rsidRDefault="00E74877" w:rsidP="00C72F98">
      <w:pPr>
        <w:spacing w:before="120" w:after="120" w:line="320" w:lineRule="atLeast"/>
        <w:rPr>
          <w:rFonts w:asciiTheme="minorHAnsi" w:hAnsiTheme="minorHAnsi"/>
          <w:color w:val="000000" w:themeColor="text1"/>
          <w:sz w:val="24"/>
        </w:rPr>
      </w:pPr>
      <w:r w:rsidRPr="00625A65">
        <w:rPr>
          <w:rFonts w:asciiTheme="minorHAnsi" w:hAnsiTheme="minorHAnsi"/>
          <w:color w:val="000000" w:themeColor="text1"/>
          <w:sz w:val="24"/>
        </w:rPr>
        <w:t xml:space="preserve">Based on Table 3, we see, for instance, that there is 84% power to detect a difference between Type 1 and Type 2 participants on their rate of incident obesity if the rate of incident obesity is 5% in the Type 1 group and 8% or higher in the Type 2 group.  Likewise, there if the rate of obesity were 9% in the NHW group then there is 91% power to detect a “Other” race/ethnic group rate of 13% or higher.  The above calculations should be conservative since when we </w:t>
      </w:r>
      <w:r w:rsidRPr="00625A65">
        <w:rPr>
          <w:rFonts w:asciiTheme="minorHAnsi" w:hAnsiTheme="minorHAnsi"/>
          <w:color w:val="000000" w:themeColor="text1"/>
          <w:sz w:val="24"/>
        </w:rPr>
        <w:lastRenderedPageBreak/>
        <w:t>adjust for participant level characteristics in our models we should reduce variability and increase precision as we estimate the difference in incidence rates between groups.</w:t>
      </w:r>
      <w:r w:rsidR="007840BB" w:rsidRPr="00625A65">
        <w:rPr>
          <w:rFonts w:asciiTheme="minorHAnsi" w:hAnsiTheme="minorHAnsi"/>
          <w:color w:val="000000" w:themeColor="text1"/>
          <w:sz w:val="24"/>
        </w:rPr>
        <w:t xml:space="preserve">  As described above, </w:t>
      </w:r>
      <w:r w:rsidR="000B4B15" w:rsidRPr="00625A65">
        <w:rPr>
          <w:rFonts w:asciiTheme="minorHAnsi" w:hAnsiTheme="minorHAnsi"/>
          <w:color w:val="000000" w:themeColor="text1"/>
          <w:sz w:val="24"/>
        </w:rPr>
        <w:t xml:space="preserve">the </w:t>
      </w:r>
      <w:r w:rsidR="007840BB" w:rsidRPr="00625A65">
        <w:rPr>
          <w:rFonts w:asciiTheme="minorHAnsi" w:hAnsiTheme="minorHAnsi"/>
          <w:color w:val="000000" w:themeColor="text1"/>
          <w:sz w:val="24"/>
        </w:rPr>
        <w:t xml:space="preserve">current sample size of 1839 total participants enrolled, </w:t>
      </w:r>
      <w:r w:rsidR="00B52EAD" w:rsidRPr="00625A65">
        <w:rPr>
          <w:rFonts w:asciiTheme="minorHAnsi" w:hAnsiTheme="minorHAnsi"/>
          <w:color w:val="000000" w:themeColor="text1"/>
          <w:sz w:val="24"/>
        </w:rPr>
        <w:t>has</w:t>
      </w:r>
      <w:r w:rsidR="007840BB" w:rsidRPr="00625A65">
        <w:rPr>
          <w:rFonts w:asciiTheme="minorHAnsi" w:hAnsiTheme="minorHAnsi"/>
          <w:color w:val="000000" w:themeColor="text1"/>
          <w:sz w:val="24"/>
        </w:rPr>
        <w:t xml:space="preserve"> much lower power</w:t>
      </w:r>
      <w:r w:rsidR="00DA5919" w:rsidRPr="00625A65">
        <w:rPr>
          <w:rFonts w:asciiTheme="minorHAnsi" w:hAnsiTheme="minorHAnsi"/>
          <w:color w:val="000000" w:themeColor="text1"/>
          <w:sz w:val="24"/>
        </w:rPr>
        <w:t xml:space="preserve"> (less than 60%) for </w:t>
      </w:r>
      <w:r w:rsidR="00B52EAD" w:rsidRPr="00625A65">
        <w:rPr>
          <w:rFonts w:asciiTheme="minorHAnsi" w:hAnsiTheme="minorHAnsi"/>
          <w:color w:val="000000" w:themeColor="text1"/>
          <w:sz w:val="24"/>
        </w:rPr>
        <w:t>comparisons on outcomes of interest</w:t>
      </w:r>
      <w:r w:rsidR="00DA5919" w:rsidRPr="00625A65">
        <w:rPr>
          <w:rFonts w:asciiTheme="minorHAnsi" w:hAnsiTheme="minorHAnsi"/>
          <w:color w:val="000000" w:themeColor="text1"/>
          <w:sz w:val="24"/>
        </w:rPr>
        <w:t>.</w:t>
      </w:r>
    </w:p>
    <w:p w:rsidR="00C72F98" w:rsidRPr="00625A65" w:rsidRDefault="00E74877" w:rsidP="00C72F98">
      <w:pPr>
        <w:pStyle w:val="Heading3"/>
        <w:rPr>
          <w:rFonts w:asciiTheme="minorHAnsi" w:hAnsiTheme="minorHAnsi"/>
          <w:color w:val="000000" w:themeColor="text1"/>
          <w:sz w:val="24"/>
          <w:szCs w:val="24"/>
        </w:rPr>
      </w:pPr>
      <w:bookmarkStart w:id="4" w:name="_Toc271881905"/>
      <w:r w:rsidRPr="00625A65">
        <w:rPr>
          <w:rFonts w:asciiTheme="minorHAnsi" w:hAnsiTheme="minorHAnsi"/>
          <w:color w:val="000000" w:themeColor="text1"/>
          <w:sz w:val="24"/>
          <w:szCs w:val="24"/>
        </w:rPr>
        <w:t>Prevalence Estimation</w:t>
      </w:r>
      <w:bookmarkEnd w:id="4"/>
    </w:p>
    <w:p w:rsidR="00C72F98" w:rsidRPr="00625A65" w:rsidRDefault="00E74877" w:rsidP="00C72F98">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z w:val="24"/>
        </w:rPr>
        <w:t xml:space="preserve">Unlike the incidence rate comparison, all SEARCH Cohort Study participants can be used for the prevalence rate analyses since the incident rate calculations need to remove participants who have the outcome present at visit 1 from the analyses.  With this in mind we estimate that there will be 3288 participants available to contribute to prevalence rate estimates.  Based on this, Table 4 shows a variety of scenarios for detectable differences comparing groups (i.e., type 1 vs type 2, non-Hispanic white vs others, </w:t>
      </w:r>
      <w:proofErr w:type="spellStart"/>
      <w:r w:rsidRPr="00625A65">
        <w:rPr>
          <w:rFonts w:asciiTheme="minorHAnsi" w:hAnsiTheme="minorHAnsi"/>
          <w:color w:val="000000" w:themeColor="text1"/>
          <w:sz w:val="24"/>
        </w:rPr>
        <w:t>etc</w:t>
      </w:r>
      <w:proofErr w:type="spellEnd"/>
      <w:r w:rsidRPr="00625A65">
        <w:rPr>
          <w:rFonts w:asciiTheme="minorHAnsi" w:hAnsiTheme="minorHAnsi"/>
          <w:color w:val="000000" w:themeColor="text1"/>
          <w:sz w:val="24"/>
        </w:rPr>
        <w:t>) using a chi-square test to compare groups with alpha=0.05 (2-sided).</w:t>
      </w:r>
      <w:r w:rsidR="00DA5919" w:rsidRPr="00625A65">
        <w:rPr>
          <w:rFonts w:asciiTheme="minorHAnsi" w:hAnsiTheme="minorHAnsi"/>
          <w:color w:val="000000" w:themeColor="text1"/>
          <w:sz w:val="24"/>
        </w:rPr>
        <w:t xml:space="preserve">  At this time with only 1839 total participants available our ability to make meaningful comparisons between groups would be jeopardized, therefore we plan to continue enrollment until our target sample size is reached.</w:t>
      </w:r>
    </w:p>
    <w:p w:rsidR="00C72F98" w:rsidRPr="00625A65" w:rsidRDefault="00C72F98" w:rsidP="00C72F98">
      <w:pPr>
        <w:spacing w:before="120" w:after="120" w:line="320" w:lineRule="atLeast"/>
        <w:ind w:left="792"/>
        <w:rPr>
          <w:rFonts w:asciiTheme="minorHAnsi" w:hAnsiTheme="minorHAnsi"/>
          <w:color w:val="000000" w:themeColor="text1"/>
          <w:spacing w:val="-2"/>
          <w:sz w:val="24"/>
        </w:rPr>
      </w:pPr>
    </w:p>
    <w:p w:rsidR="00C72F98" w:rsidRPr="00625A65" w:rsidRDefault="00C72F98" w:rsidP="00C72F98">
      <w:pPr>
        <w:spacing w:before="120" w:after="120" w:line="320" w:lineRule="atLeast"/>
        <w:rPr>
          <w:rFonts w:asciiTheme="minorHAnsi" w:hAnsiTheme="minorHAnsi"/>
          <w:b/>
          <w:color w:val="000000" w:themeColor="text1"/>
          <w:spacing w:val="-2"/>
          <w:sz w:val="24"/>
        </w:rPr>
      </w:pPr>
      <w:r w:rsidRPr="00625A65">
        <w:rPr>
          <w:rFonts w:asciiTheme="minorHAnsi" w:hAnsiTheme="minorHAnsi"/>
          <w:b/>
          <w:color w:val="000000" w:themeColor="text1"/>
          <w:spacing w:val="-2"/>
          <w:sz w:val="24"/>
        </w:rPr>
        <w:t>Table 4. Scenarios for detectable differences comparing groups</w:t>
      </w:r>
    </w:p>
    <w:tbl>
      <w:tblPr>
        <w:tblStyle w:val="LightList-Accent5"/>
        <w:tblW w:w="0" w:type="auto"/>
        <w:tblLayout w:type="fixed"/>
        <w:tblLook w:val="04A0" w:firstRow="1" w:lastRow="0" w:firstColumn="1" w:lastColumn="0" w:noHBand="0" w:noVBand="1"/>
      </w:tblPr>
      <w:tblGrid>
        <w:gridCol w:w="1818"/>
        <w:gridCol w:w="1530"/>
        <w:gridCol w:w="1350"/>
        <w:gridCol w:w="1101"/>
        <w:gridCol w:w="1259"/>
        <w:gridCol w:w="1259"/>
        <w:gridCol w:w="1259"/>
      </w:tblGrid>
      <w:tr w:rsidR="00C72F98" w:rsidRPr="00625A65" w:rsidTr="008F3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auto"/>
              <w:left w:val="single" w:sz="8" w:space="0" w:color="auto"/>
              <w:bottom w:val="single" w:sz="8" w:space="0" w:color="auto"/>
            </w:tcBorders>
            <w:shd w:val="clear" w:color="auto" w:fill="auto"/>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Outcome</w:t>
            </w:r>
          </w:p>
        </w:tc>
        <w:tc>
          <w:tcPr>
            <w:tcW w:w="2880" w:type="dxa"/>
            <w:gridSpan w:val="2"/>
            <w:tcBorders>
              <w:top w:val="single" w:sz="8" w:space="0" w:color="auto"/>
              <w:bottom w:val="single" w:sz="8" w:space="0" w:color="auto"/>
            </w:tcBorders>
            <w:shd w:val="clear" w:color="auto" w:fill="auto"/>
          </w:tcPr>
          <w:p w:rsidR="00C72F98" w:rsidRPr="00625A65" w:rsidRDefault="00C72F98" w:rsidP="009A1133">
            <w:pPr>
              <w:spacing w:before="120" w:after="120" w:line="32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328/2960 (10%/90% split)</w:t>
            </w:r>
          </w:p>
        </w:tc>
        <w:tc>
          <w:tcPr>
            <w:tcW w:w="2360" w:type="dxa"/>
            <w:gridSpan w:val="2"/>
            <w:tcBorders>
              <w:top w:val="single" w:sz="8" w:space="0" w:color="auto"/>
              <w:bottom w:val="single" w:sz="8" w:space="0" w:color="auto"/>
            </w:tcBorders>
            <w:shd w:val="clear" w:color="auto" w:fill="auto"/>
          </w:tcPr>
          <w:p w:rsidR="00C72F98" w:rsidRPr="00625A65" w:rsidRDefault="00C72F98" w:rsidP="009A1133">
            <w:pPr>
              <w:spacing w:before="120" w:after="120" w:line="32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492/2795 (anticipated type 2/type 1 split)</w:t>
            </w:r>
          </w:p>
        </w:tc>
        <w:tc>
          <w:tcPr>
            <w:tcW w:w="2518" w:type="dxa"/>
            <w:gridSpan w:val="2"/>
            <w:tcBorders>
              <w:top w:val="single" w:sz="8" w:space="0" w:color="auto"/>
              <w:bottom w:val="single" w:sz="8" w:space="0" w:color="auto"/>
              <w:right w:val="single" w:sz="8" w:space="0" w:color="auto"/>
            </w:tcBorders>
            <w:shd w:val="clear" w:color="auto" w:fill="auto"/>
          </w:tcPr>
          <w:p w:rsidR="00C72F98" w:rsidRPr="00625A65" w:rsidRDefault="00C72F98" w:rsidP="009A1133">
            <w:pPr>
              <w:spacing w:before="120" w:after="120" w:line="32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2135/1152 (anticipated NHW vs other race split)</w:t>
            </w:r>
          </w:p>
        </w:tc>
      </w:tr>
      <w:tr w:rsidR="00C72F98" w:rsidRPr="00625A65" w:rsidTr="008F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7758" w:type="dxa"/>
            <w:gridSpan w:val="6"/>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Percent with trait in smaller group</w:t>
            </w:r>
          </w:p>
        </w:tc>
      </w:tr>
      <w:tr w:rsidR="00C72F98" w:rsidRPr="00625A65" w:rsidTr="008F387F">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530"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10%</w:t>
            </w:r>
          </w:p>
        </w:tc>
        <w:tc>
          <w:tcPr>
            <w:tcW w:w="1350"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20%</w:t>
            </w:r>
          </w:p>
        </w:tc>
        <w:tc>
          <w:tcPr>
            <w:tcW w:w="1101"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10%</w:t>
            </w:r>
          </w:p>
        </w:tc>
        <w:tc>
          <w:tcPr>
            <w:tcW w:w="1259"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20%</w:t>
            </w:r>
          </w:p>
        </w:tc>
        <w:tc>
          <w:tcPr>
            <w:tcW w:w="1259"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10%</w:t>
            </w:r>
          </w:p>
        </w:tc>
        <w:tc>
          <w:tcPr>
            <w:tcW w:w="1259" w:type="dxa"/>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20%</w:t>
            </w:r>
          </w:p>
        </w:tc>
      </w:tr>
      <w:tr w:rsidR="00C72F98" w:rsidRPr="00625A65" w:rsidTr="008F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Reti</w:t>
            </w:r>
            <w:r w:rsidR="000A0C76" w:rsidRPr="00625A65">
              <w:rPr>
                <w:rFonts w:asciiTheme="minorHAnsi" w:hAnsiTheme="minorHAnsi"/>
                <w:color w:val="000000" w:themeColor="text1"/>
                <w:spacing w:val="-2"/>
                <w:sz w:val="24"/>
              </w:rPr>
              <w:t>n</w:t>
            </w:r>
            <w:r w:rsidRPr="00625A65">
              <w:rPr>
                <w:rFonts w:asciiTheme="minorHAnsi" w:hAnsiTheme="minorHAnsi"/>
                <w:color w:val="000000" w:themeColor="text1"/>
                <w:spacing w:val="-2"/>
                <w:sz w:val="24"/>
              </w:rPr>
              <w:t>opathy</w:t>
            </w:r>
          </w:p>
        </w:tc>
        <w:tc>
          <w:tcPr>
            <w:tcW w:w="1530"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0.16 (83)</w:t>
            </w:r>
          </w:p>
        </w:tc>
        <w:tc>
          <w:tcPr>
            <w:tcW w:w="1350"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0.28 (87)</w:t>
            </w:r>
          </w:p>
        </w:tc>
        <w:tc>
          <w:tcPr>
            <w:tcW w:w="1101"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0.15 (84)</w:t>
            </w:r>
          </w:p>
        </w:tc>
        <w:tc>
          <w:tcPr>
            <w:tcW w:w="1259"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0.26 (80)</w:t>
            </w:r>
          </w:p>
        </w:tc>
        <w:tc>
          <w:tcPr>
            <w:tcW w:w="1259"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0.14 (91)</w:t>
            </w:r>
          </w:p>
        </w:tc>
        <w:tc>
          <w:tcPr>
            <w:tcW w:w="1259" w:type="dxa"/>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0.25 (90)</w:t>
            </w:r>
          </w:p>
        </w:tc>
      </w:tr>
      <w:tr w:rsidR="00C72F98" w:rsidRPr="00625A65" w:rsidTr="008F387F">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p>
        </w:tc>
        <w:tc>
          <w:tcPr>
            <w:tcW w:w="1530"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5%</w:t>
            </w:r>
          </w:p>
        </w:tc>
        <w:tc>
          <w:tcPr>
            <w:tcW w:w="1350"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15%</w:t>
            </w:r>
          </w:p>
        </w:tc>
        <w:tc>
          <w:tcPr>
            <w:tcW w:w="1101"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5%</w:t>
            </w:r>
          </w:p>
        </w:tc>
        <w:tc>
          <w:tcPr>
            <w:tcW w:w="1259"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15%</w:t>
            </w:r>
          </w:p>
        </w:tc>
        <w:tc>
          <w:tcPr>
            <w:tcW w:w="1259"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5%</w:t>
            </w:r>
          </w:p>
        </w:tc>
        <w:tc>
          <w:tcPr>
            <w:tcW w:w="1259" w:type="dxa"/>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15%</w:t>
            </w:r>
          </w:p>
        </w:tc>
      </w:tr>
      <w:tr w:rsidR="00C72F98" w:rsidRPr="00625A65" w:rsidTr="008F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auto"/>
              <w:left w:val="single" w:sz="8" w:space="0" w:color="auto"/>
              <w:bottom w:val="single" w:sz="8" w:space="0" w:color="auto"/>
            </w:tcBorders>
          </w:tcPr>
          <w:p w:rsidR="00C72F98" w:rsidRPr="00625A65" w:rsidRDefault="00E74877"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Neuropathy</w:t>
            </w:r>
          </w:p>
        </w:tc>
        <w:tc>
          <w:tcPr>
            <w:tcW w:w="1530" w:type="dxa"/>
            <w:tcBorders>
              <w:top w:val="single" w:sz="8" w:space="0" w:color="auto"/>
              <w:bottom w:val="single" w:sz="8" w:space="0" w:color="auto"/>
            </w:tcBorders>
          </w:tcPr>
          <w:p w:rsidR="00C72F98" w:rsidRPr="00625A65" w:rsidRDefault="00E74877"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0.10 (86)</w:t>
            </w:r>
          </w:p>
        </w:tc>
        <w:tc>
          <w:tcPr>
            <w:tcW w:w="1350" w:type="dxa"/>
            <w:tcBorders>
              <w:top w:val="single" w:sz="8" w:space="0" w:color="auto"/>
              <w:bottom w:val="single" w:sz="8" w:space="0" w:color="auto"/>
            </w:tcBorders>
          </w:tcPr>
          <w:p w:rsidR="00C72F98" w:rsidRPr="00625A65" w:rsidRDefault="00E74877"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0.22 (84)</w:t>
            </w:r>
          </w:p>
        </w:tc>
        <w:tc>
          <w:tcPr>
            <w:tcW w:w="1101" w:type="dxa"/>
            <w:tcBorders>
              <w:top w:val="single" w:sz="8" w:space="0" w:color="auto"/>
              <w:bottom w:val="single" w:sz="8" w:space="0" w:color="auto"/>
            </w:tcBorders>
          </w:tcPr>
          <w:p w:rsidR="00C72F98" w:rsidRPr="00625A65" w:rsidRDefault="00E74877"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0.09 (86)</w:t>
            </w:r>
          </w:p>
        </w:tc>
        <w:tc>
          <w:tcPr>
            <w:tcW w:w="1259" w:type="dxa"/>
            <w:tcBorders>
              <w:top w:val="single" w:sz="8" w:space="0" w:color="auto"/>
              <w:bottom w:val="single" w:sz="8" w:space="0" w:color="auto"/>
            </w:tcBorders>
          </w:tcPr>
          <w:p w:rsidR="00C72F98" w:rsidRPr="00625A65" w:rsidRDefault="00E74877"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0.21 (87)</w:t>
            </w:r>
          </w:p>
        </w:tc>
        <w:tc>
          <w:tcPr>
            <w:tcW w:w="1259" w:type="dxa"/>
            <w:tcBorders>
              <w:top w:val="single" w:sz="8" w:space="0" w:color="auto"/>
              <w:bottom w:val="single" w:sz="8" w:space="0" w:color="auto"/>
            </w:tcBorders>
          </w:tcPr>
          <w:p w:rsidR="00C72F98" w:rsidRPr="00625A65" w:rsidRDefault="00E74877"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0.08 (90)</w:t>
            </w:r>
          </w:p>
        </w:tc>
        <w:tc>
          <w:tcPr>
            <w:tcW w:w="1259" w:type="dxa"/>
            <w:tcBorders>
              <w:top w:val="single" w:sz="8" w:space="0" w:color="auto"/>
              <w:bottom w:val="single" w:sz="8" w:space="0" w:color="auto"/>
              <w:right w:val="single" w:sz="8" w:space="0" w:color="auto"/>
            </w:tcBorders>
          </w:tcPr>
          <w:p w:rsidR="00C72F98" w:rsidRPr="00625A65" w:rsidRDefault="00E74877"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0.19 (82)</w:t>
            </w:r>
          </w:p>
        </w:tc>
      </w:tr>
    </w:tbl>
    <w:p w:rsidR="00C43EA6" w:rsidRPr="00625A65" w:rsidRDefault="00C43EA6">
      <w:pPr>
        <w:spacing w:before="120" w:after="120" w:line="320" w:lineRule="atLeast"/>
        <w:rPr>
          <w:rFonts w:asciiTheme="minorHAnsi" w:hAnsiTheme="minorHAnsi"/>
          <w:color w:val="000000" w:themeColor="text1"/>
          <w:spacing w:val="-2"/>
          <w:sz w:val="24"/>
        </w:rPr>
      </w:pPr>
    </w:p>
    <w:p w:rsidR="00C72F98" w:rsidRPr="00625A65" w:rsidRDefault="00E74877" w:rsidP="00C72F98">
      <w:pPr>
        <w:spacing w:before="120" w:after="120" w:line="320" w:lineRule="atLeast"/>
        <w:rPr>
          <w:rFonts w:asciiTheme="minorHAnsi" w:hAnsiTheme="minorHAnsi"/>
          <w:color w:val="000000" w:themeColor="text1"/>
          <w:sz w:val="24"/>
        </w:rPr>
      </w:pPr>
      <w:r w:rsidRPr="00625A65">
        <w:rPr>
          <w:rFonts w:asciiTheme="minorHAnsi" w:hAnsiTheme="minorHAnsi"/>
          <w:color w:val="000000" w:themeColor="text1"/>
          <w:sz w:val="24"/>
        </w:rPr>
        <w:t>Based on Table 4, we see that there is 83% power to detect a difference between Type 1 and Type 2 participants on their prevalence of retinopathy: 10% in the Type 1 group and 16% or higher in the Type 2 group, a realistic potential comparison given early pilot findings of 18% of youth with evidence of DR among the first 38 evaluated.</w:t>
      </w:r>
    </w:p>
    <w:p w:rsidR="00C72F98" w:rsidRPr="00625A65" w:rsidRDefault="00E74877" w:rsidP="00C72F98">
      <w:pPr>
        <w:pStyle w:val="Heading3"/>
        <w:rPr>
          <w:rFonts w:asciiTheme="minorHAnsi" w:hAnsiTheme="minorHAnsi"/>
          <w:color w:val="000000" w:themeColor="text1"/>
          <w:sz w:val="24"/>
          <w:szCs w:val="24"/>
        </w:rPr>
      </w:pPr>
      <w:bookmarkStart w:id="5" w:name="_Toc271881906"/>
      <w:r w:rsidRPr="00625A65">
        <w:rPr>
          <w:rFonts w:asciiTheme="minorHAnsi" w:hAnsiTheme="minorHAnsi"/>
          <w:color w:val="000000" w:themeColor="text1"/>
          <w:sz w:val="24"/>
          <w:szCs w:val="24"/>
        </w:rPr>
        <w:t>Longitudinal Models Component</w:t>
      </w:r>
      <w:bookmarkEnd w:id="5"/>
    </w:p>
    <w:p w:rsidR="00C72F98" w:rsidRPr="00625A65" w:rsidRDefault="00E74877" w:rsidP="00C72F98">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z w:val="24"/>
        </w:rPr>
        <w:t xml:space="preserve">For the purposes of estimating the sample size needed to detect a significant difference with </w:t>
      </w:r>
      <w:r w:rsidRPr="00625A65">
        <w:rPr>
          <w:rFonts w:asciiTheme="minorHAnsi" w:hAnsiTheme="minorHAnsi"/>
          <w:color w:val="000000" w:themeColor="text1"/>
          <w:sz w:val="24"/>
        </w:rPr>
        <w:lastRenderedPageBreak/>
        <w:t xml:space="preserve">sufficient power, calculations were based on comparing measurements after adjusting for visit 1 data.  These calculations need to account for the proportion of the variance in the outcome that is explained by the visit 1 values.  </w:t>
      </w:r>
      <w:r w:rsidRPr="00625A65">
        <w:rPr>
          <w:rFonts w:asciiTheme="minorHAnsi" w:hAnsiTheme="minorHAnsi"/>
          <w:color w:val="000000" w:themeColor="text1"/>
          <w:sz w:val="24"/>
          <w:vertAlign w:val="superscript"/>
        </w:rPr>
        <w:t xml:space="preserve"> </w:t>
      </w:r>
      <w:r w:rsidRPr="00625A65">
        <w:rPr>
          <w:rFonts w:asciiTheme="minorHAnsi" w:hAnsiTheme="minorHAnsi"/>
          <w:color w:val="000000" w:themeColor="text1"/>
          <w:sz w:val="24"/>
        </w:rPr>
        <w:t>Although our full longitudinal models will incorporate all intermediate time points into the final analysis, our power calculation is based on examining the difference in the outcome of interest adjusting only for the visit 1 assessment of the outcome.  Therefore, these power calculations will be conservative, since the additional information provided by the intermediate assessments of outcome measures are not included.</w:t>
      </w:r>
    </w:p>
    <w:p w:rsidR="00C72F98" w:rsidRPr="00625A65" w:rsidRDefault="00AD17C5" w:rsidP="00C72F98">
      <w:pPr>
        <w:spacing w:before="120" w:after="120" w:line="320" w:lineRule="atLeast"/>
        <w:rPr>
          <w:rFonts w:asciiTheme="minorHAnsi" w:hAnsiTheme="minorHAnsi"/>
          <w:color w:val="000000" w:themeColor="text1"/>
          <w:sz w:val="24"/>
        </w:rPr>
      </w:pPr>
      <w:r w:rsidRPr="00625A65">
        <w:rPr>
          <w:rFonts w:asciiTheme="minorHAnsi" w:hAnsiTheme="minorHAnsi"/>
          <w:noProof/>
          <w:color w:val="000000" w:themeColor="text1"/>
          <w:sz w:val="24"/>
        </w:rPr>
        <w:drawing>
          <wp:anchor distT="0" distB="0" distL="114300" distR="114300" simplePos="0" relativeHeight="251659264" behindDoc="1" locked="0" layoutInCell="1" allowOverlap="1" wp14:anchorId="2786928F" wp14:editId="70B14233">
            <wp:simplePos x="0" y="0"/>
            <wp:positionH relativeFrom="column">
              <wp:posOffset>3726180</wp:posOffset>
            </wp:positionH>
            <wp:positionV relativeFrom="paragraph">
              <wp:posOffset>890270</wp:posOffset>
            </wp:positionV>
            <wp:extent cx="2141220" cy="388620"/>
            <wp:effectExtent l="0" t="0" r="0" b="0"/>
            <wp:wrapTight wrapText="bothSides">
              <wp:wrapPolygon edited="0">
                <wp:start x="2883" y="1059"/>
                <wp:lineTo x="0" y="10588"/>
                <wp:lineTo x="192" y="12706"/>
                <wp:lineTo x="10762" y="18000"/>
                <wp:lineTo x="10762" y="19059"/>
                <wp:lineTo x="11530" y="19059"/>
                <wp:lineTo x="16911" y="18000"/>
                <wp:lineTo x="21331" y="10588"/>
                <wp:lineTo x="21139" y="1059"/>
                <wp:lineTo x="2883" y="1059"/>
              </wp:wrapPolygon>
            </wp:wrapTight>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141220" cy="388620"/>
                    </a:xfrm>
                    <a:prstGeom prst="rect">
                      <a:avLst/>
                    </a:prstGeom>
                    <a:noFill/>
                  </pic:spPr>
                </pic:pic>
              </a:graphicData>
            </a:graphic>
          </wp:anchor>
        </w:drawing>
      </w:r>
    </w:p>
    <w:p w:rsidR="00C72F98" w:rsidRPr="00625A65" w:rsidRDefault="00E74877" w:rsidP="00C72F98">
      <w:pPr>
        <w:spacing w:before="120" w:after="120" w:line="320" w:lineRule="atLeast"/>
        <w:rPr>
          <w:rFonts w:asciiTheme="minorHAnsi" w:hAnsiTheme="minorHAnsi"/>
          <w:color w:val="000000" w:themeColor="text1"/>
          <w:sz w:val="24"/>
        </w:rPr>
      </w:pPr>
      <w:r w:rsidRPr="00625A65">
        <w:rPr>
          <w:rFonts w:asciiTheme="minorHAnsi" w:hAnsiTheme="minorHAnsi"/>
          <w:color w:val="000000" w:themeColor="text1"/>
          <w:sz w:val="24"/>
        </w:rPr>
        <w:t>The following formula was used to describe the minimum detectable difference in terms of standard deviations between the participants in groups (i.e., Type 1 versus Type 2).  In the formula, r2 is the percent of the variance of the follow-up outcome explained by the visit 1 measurements, Z</w:t>
      </w:r>
      <w:r w:rsidRPr="00625A65">
        <w:rPr>
          <w:rFonts w:asciiTheme="minorHAnsi" w:hAnsiTheme="minorHAnsi"/>
          <w:color w:val="000000" w:themeColor="text1"/>
          <w:sz w:val="24"/>
          <w:vertAlign w:val="subscript"/>
        </w:rPr>
        <w:t>1-α/2</w:t>
      </w:r>
      <w:r w:rsidRPr="00625A65">
        <w:rPr>
          <w:rFonts w:asciiTheme="minorHAnsi" w:hAnsiTheme="minorHAnsi"/>
          <w:color w:val="000000" w:themeColor="text1"/>
          <w:sz w:val="24"/>
        </w:rPr>
        <w:t xml:space="preserve"> is the value from the standard normal distribution corresponding to the alpha level chosen (1.96, which corresponds to alpha=0.05 [two sided]), Z</w:t>
      </w:r>
      <w:r w:rsidRPr="00625A65">
        <w:rPr>
          <w:rFonts w:asciiTheme="minorHAnsi" w:hAnsiTheme="minorHAnsi"/>
          <w:color w:val="000000" w:themeColor="text1"/>
          <w:sz w:val="24"/>
          <w:vertAlign w:val="subscript"/>
        </w:rPr>
        <w:t xml:space="preserve">1-β </w:t>
      </w:r>
      <w:r w:rsidRPr="00625A65">
        <w:rPr>
          <w:rFonts w:asciiTheme="minorHAnsi" w:hAnsiTheme="minorHAnsi"/>
          <w:color w:val="000000" w:themeColor="text1"/>
          <w:sz w:val="24"/>
        </w:rPr>
        <w:t>corresponds to the power chosen for the study (80%), σ</w:t>
      </w:r>
      <w:r w:rsidRPr="00625A65">
        <w:rPr>
          <w:rFonts w:asciiTheme="minorHAnsi" w:hAnsiTheme="minorHAnsi"/>
          <w:color w:val="000000" w:themeColor="text1"/>
          <w:sz w:val="24"/>
          <w:vertAlign w:val="superscript"/>
        </w:rPr>
        <w:t>2</w:t>
      </w:r>
      <w:r w:rsidRPr="00625A65">
        <w:rPr>
          <w:rFonts w:asciiTheme="minorHAnsi" w:hAnsiTheme="minorHAnsi"/>
          <w:color w:val="000000" w:themeColor="text1"/>
          <w:sz w:val="24"/>
          <w:vertAlign w:val="subscript"/>
        </w:rPr>
        <w:t xml:space="preserve"> </w:t>
      </w:r>
      <w:r w:rsidRPr="00625A65">
        <w:rPr>
          <w:rFonts w:asciiTheme="minorHAnsi" w:hAnsiTheme="minorHAnsi"/>
          <w:color w:val="000000" w:themeColor="text1"/>
          <w:sz w:val="24"/>
        </w:rPr>
        <w:t xml:space="preserve">is the variance of the outcome of interest (i.e. systolic blood pressure), </w:t>
      </w:r>
      <w:r w:rsidRPr="00625A65">
        <w:rPr>
          <w:rFonts w:asciiTheme="minorHAnsi" w:hAnsiTheme="minorHAnsi"/>
          <w:i/>
          <w:color w:val="000000" w:themeColor="text1"/>
          <w:sz w:val="24"/>
        </w:rPr>
        <w:t>n</w:t>
      </w:r>
      <w:r w:rsidRPr="00625A65">
        <w:rPr>
          <w:rFonts w:asciiTheme="minorHAnsi" w:hAnsiTheme="minorHAnsi"/>
          <w:i/>
          <w:color w:val="000000" w:themeColor="text1"/>
          <w:sz w:val="24"/>
          <w:vertAlign w:val="subscript"/>
        </w:rPr>
        <w:t>1</w:t>
      </w:r>
      <w:r w:rsidRPr="00625A65">
        <w:rPr>
          <w:rFonts w:asciiTheme="minorHAnsi" w:hAnsiTheme="minorHAnsi"/>
          <w:color w:val="000000" w:themeColor="text1"/>
          <w:sz w:val="24"/>
        </w:rPr>
        <w:t xml:space="preserve"> is the number of participants in the Type 1, k is the ratio of n</w:t>
      </w:r>
      <w:r w:rsidRPr="00625A65">
        <w:rPr>
          <w:rFonts w:asciiTheme="minorHAnsi" w:hAnsiTheme="minorHAnsi"/>
          <w:color w:val="000000" w:themeColor="text1"/>
          <w:sz w:val="24"/>
          <w:vertAlign w:val="subscript"/>
        </w:rPr>
        <w:t>1</w:t>
      </w:r>
      <w:r w:rsidRPr="00625A65">
        <w:rPr>
          <w:rFonts w:asciiTheme="minorHAnsi" w:hAnsiTheme="minorHAnsi"/>
          <w:color w:val="000000" w:themeColor="text1"/>
          <w:sz w:val="24"/>
        </w:rPr>
        <w:t>/n</w:t>
      </w:r>
      <w:r w:rsidRPr="00625A65">
        <w:rPr>
          <w:rFonts w:asciiTheme="minorHAnsi" w:hAnsiTheme="minorHAnsi"/>
          <w:color w:val="000000" w:themeColor="text1"/>
          <w:sz w:val="24"/>
          <w:vertAlign w:val="subscript"/>
        </w:rPr>
        <w:t xml:space="preserve">2 </w:t>
      </w:r>
      <w:r w:rsidRPr="00625A65">
        <w:rPr>
          <w:rFonts w:asciiTheme="minorHAnsi" w:hAnsiTheme="minorHAnsi"/>
          <w:color w:val="000000" w:themeColor="text1"/>
          <w:sz w:val="24"/>
        </w:rPr>
        <w:t>(sample size in type 1 and type 2 groups, respectively) and Δ corresponds to the detectable difference in the mean values of the two groups being compared.  Using this formula, we examined the detectable differences for several possible r</w:t>
      </w:r>
      <w:r w:rsidRPr="00625A65">
        <w:rPr>
          <w:rFonts w:asciiTheme="minorHAnsi" w:hAnsiTheme="minorHAnsi"/>
          <w:color w:val="000000" w:themeColor="text1"/>
          <w:sz w:val="24"/>
          <w:vertAlign w:val="superscript"/>
        </w:rPr>
        <w:t>2</w:t>
      </w:r>
      <w:r w:rsidRPr="00625A65">
        <w:rPr>
          <w:rFonts w:asciiTheme="minorHAnsi" w:hAnsiTheme="minorHAnsi"/>
          <w:color w:val="000000" w:themeColor="text1"/>
          <w:sz w:val="24"/>
        </w:rPr>
        <w:t xml:space="preserve"> values assuming 80% power and alpha=0.05. From SEARCH 1 and 2, standard deviations for systolic blood pressure, BMI – Z-scores and LDL cholesterol were estimated as 12.7, .85 and 29, respectively.  Using these numbers, Table 5 describes the detectable differences if there were 492 participants in the Type 2 group and 2795 in the Type 1 group.  </w:t>
      </w:r>
    </w:p>
    <w:p w:rsidR="00C72F98" w:rsidRPr="00625A65" w:rsidRDefault="00C72F98" w:rsidP="00C72F98">
      <w:pPr>
        <w:spacing w:before="120" w:after="120" w:line="320" w:lineRule="atLeast"/>
        <w:rPr>
          <w:rFonts w:asciiTheme="minorHAnsi" w:hAnsiTheme="minorHAnsi"/>
          <w:noProof/>
          <w:color w:val="000000" w:themeColor="text1"/>
        </w:rPr>
      </w:pPr>
    </w:p>
    <w:p w:rsidR="00C72F98" w:rsidRPr="00625A65" w:rsidRDefault="00C72F98" w:rsidP="00C72F98">
      <w:pPr>
        <w:spacing w:before="120" w:after="120" w:line="320" w:lineRule="atLeast"/>
        <w:rPr>
          <w:rFonts w:asciiTheme="minorHAnsi" w:hAnsiTheme="minorHAnsi"/>
          <w:b/>
          <w:noProof/>
          <w:color w:val="000000" w:themeColor="text1"/>
          <w:sz w:val="24"/>
        </w:rPr>
      </w:pPr>
      <w:r w:rsidRPr="00625A65">
        <w:rPr>
          <w:rFonts w:asciiTheme="minorHAnsi" w:hAnsiTheme="minorHAnsi"/>
          <w:b/>
          <w:noProof/>
          <w:color w:val="000000" w:themeColor="text1"/>
          <w:sz w:val="24"/>
        </w:rPr>
        <w:t xml:space="preserve">Table 5. Detectable Differences </w:t>
      </w:r>
    </w:p>
    <w:tbl>
      <w:tblPr>
        <w:tblStyle w:val="LightList-Accent1"/>
        <w:tblW w:w="0" w:type="auto"/>
        <w:tblLook w:val="04A0" w:firstRow="1" w:lastRow="0" w:firstColumn="1" w:lastColumn="0" w:noHBand="0" w:noVBand="1"/>
      </w:tblPr>
      <w:tblGrid>
        <w:gridCol w:w="1915"/>
        <w:gridCol w:w="1915"/>
        <w:gridCol w:w="1915"/>
        <w:gridCol w:w="1915"/>
        <w:gridCol w:w="1916"/>
      </w:tblGrid>
      <w:tr w:rsidR="00C72F98" w:rsidRPr="00625A65" w:rsidTr="00AD1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tcBorders>
            <w:shd w:val="clear" w:color="auto" w:fill="auto"/>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Detectable differences with 80% power</w:t>
            </w:r>
          </w:p>
        </w:tc>
        <w:tc>
          <w:tcPr>
            <w:tcW w:w="7661" w:type="dxa"/>
            <w:gridSpan w:val="4"/>
            <w:tcBorders>
              <w:top w:val="single" w:sz="8" w:space="0" w:color="auto"/>
              <w:bottom w:val="single" w:sz="8" w:space="0" w:color="auto"/>
              <w:right w:val="single" w:sz="8" w:space="0" w:color="auto"/>
            </w:tcBorders>
            <w:shd w:val="clear" w:color="auto" w:fill="auto"/>
          </w:tcPr>
          <w:p w:rsidR="00C72F98" w:rsidRPr="00625A65" w:rsidRDefault="00C72F98" w:rsidP="009A1133">
            <w:pPr>
              <w:spacing w:before="120" w:after="120" w:line="32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Correlation between baseline and follow-up measure</w:t>
            </w:r>
          </w:p>
        </w:tc>
      </w:tr>
      <w:tr w:rsidR="00C72F98" w:rsidRPr="00625A65" w:rsidTr="00AD1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Sample size (n1/n2) (2795/492)</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0.50</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0.65</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0.75</w:t>
            </w:r>
          </w:p>
        </w:tc>
        <w:tc>
          <w:tcPr>
            <w:tcW w:w="1916" w:type="dxa"/>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0.85</w:t>
            </w:r>
          </w:p>
        </w:tc>
      </w:tr>
      <w:tr w:rsidR="00C72F98" w:rsidRPr="00625A65" w:rsidTr="00AD17C5">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Systolic blood pressure (mmHg)</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 xml:space="preserve">1.51 </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1.32</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1.15</w:t>
            </w:r>
          </w:p>
        </w:tc>
        <w:tc>
          <w:tcPr>
            <w:tcW w:w="1916" w:type="dxa"/>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0.92</w:t>
            </w:r>
          </w:p>
        </w:tc>
      </w:tr>
      <w:tr w:rsidR="00C72F98" w:rsidRPr="00625A65" w:rsidTr="00AD1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t>BMI (z-score)</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0.10 (SD)</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0.09 (SD)</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0.08 (SD)</w:t>
            </w:r>
          </w:p>
        </w:tc>
        <w:tc>
          <w:tcPr>
            <w:tcW w:w="1916" w:type="dxa"/>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0.06 (SD)</w:t>
            </w:r>
          </w:p>
        </w:tc>
      </w:tr>
      <w:tr w:rsidR="00C72F98" w:rsidRPr="00625A65" w:rsidTr="00AD17C5">
        <w:tc>
          <w:tcPr>
            <w:cnfStyle w:val="001000000000" w:firstRow="0" w:lastRow="0" w:firstColumn="1" w:lastColumn="0" w:oddVBand="0" w:evenVBand="0" w:oddHBand="0" w:evenHBand="0" w:firstRowFirstColumn="0" w:firstRowLastColumn="0" w:lastRowFirstColumn="0" w:lastRowLastColumn="0"/>
            <w:tcW w:w="1915" w:type="dxa"/>
            <w:tcBorders>
              <w:top w:val="single" w:sz="8" w:space="0" w:color="auto"/>
              <w:left w:val="single" w:sz="8" w:space="0" w:color="auto"/>
              <w:bottom w:val="single" w:sz="8" w:space="0" w:color="auto"/>
            </w:tcBorders>
          </w:tcPr>
          <w:p w:rsidR="00C72F98" w:rsidRPr="00625A65" w:rsidRDefault="00C72F98" w:rsidP="009A1133">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pacing w:val="-2"/>
                <w:sz w:val="24"/>
              </w:rPr>
              <w:lastRenderedPageBreak/>
              <w:t>LDL (mg/</w:t>
            </w:r>
            <w:proofErr w:type="spellStart"/>
            <w:r w:rsidRPr="00625A65">
              <w:rPr>
                <w:rFonts w:asciiTheme="minorHAnsi" w:hAnsiTheme="minorHAnsi"/>
                <w:color w:val="000000" w:themeColor="text1"/>
                <w:spacing w:val="-2"/>
                <w:sz w:val="24"/>
              </w:rPr>
              <w:t>dL</w:t>
            </w:r>
            <w:proofErr w:type="spellEnd"/>
            <w:r w:rsidRPr="00625A65">
              <w:rPr>
                <w:rFonts w:asciiTheme="minorHAnsi" w:hAnsiTheme="minorHAnsi"/>
                <w:color w:val="000000" w:themeColor="text1"/>
                <w:spacing w:val="-2"/>
                <w:sz w:val="24"/>
              </w:rPr>
              <w:t>)</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3.44</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3.02</w:t>
            </w:r>
          </w:p>
        </w:tc>
        <w:tc>
          <w:tcPr>
            <w:tcW w:w="1915" w:type="dxa"/>
            <w:tcBorders>
              <w:top w:val="single" w:sz="8" w:space="0" w:color="auto"/>
              <w:bottom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2.63</w:t>
            </w:r>
          </w:p>
        </w:tc>
        <w:tc>
          <w:tcPr>
            <w:tcW w:w="1916" w:type="dxa"/>
            <w:tcBorders>
              <w:top w:val="single" w:sz="8" w:space="0" w:color="auto"/>
              <w:bottom w:val="single" w:sz="8" w:space="0" w:color="auto"/>
              <w:right w:val="single" w:sz="8" w:space="0" w:color="auto"/>
            </w:tcBorders>
          </w:tcPr>
          <w:p w:rsidR="00C72F98" w:rsidRPr="00625A65" w:rsidRDefault="00C72F98" w:rsidP="009A1133">
            <w:pPr>
              <w:spacing w:before="12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pacing w:val="-2"/>
                <w:sz w:val="24"/>
              </w:rPr>
            </w:pPr>
            <w:r w:rsidRPr="00625A65">
              <w:rPr>
                <w:rFonts w:asciiTheme="minorHAnsi" w:hAnsiTheme="minorHAnsi"/>
                <w:color w:val="000000" w:themeColor="text1"/>
                <w:spacing w:val="-2"/>
                <w:sz w:val="24"/>
              </w:rPr>
              <w:t>2.09</w:t>
            </w:r>
          </w:p>
        </w:tc>
      </w:tr>
    </w:tbl>
    <w:p w:rsidR="00C72F98" w:rsidRPr="00625A65" w:rsidRDefault="00C72F98" w:rsidP="00C72F98">
      <w:pPr>
        <w:spacing w:before="120" w:after="120" w:line="320" w:lineRule="atLeast"/>
        <w:rPr>
          <w:rFonts w:asciiTheme="minorHAnsi" w:hAnsiTheme="minorHAnsi"/>
          <w:color w:val="000000" w:themeColor="text1"/>
          <w:spacing w:val="-2"/>
          <w:sz w:val="24"/>
        </w:rPr>
      </w:pPr>
    </w:p>
    <w:p w:rsidR="00C43EA6" w:rsidRPr="00625A65" w:rsidRDefault="00C72F98">
      <w:pPr>
        <w:spacing w:before="120" w:after="120" w:line="320" w:lineRule="atLeast"/>
        <w:rPr>
          <w:rFonts w:asciiTheme="minorHAnsi" w:hAnsiTheme="minorHAnsi"/>
          <w:color w:val="000000" w:themeColor="text1"/>
          <w:spacing w:val="-2"/>
          <w:sz w:val="24"/>
        </w:rPr>
      </w:pPr>
      <w:r w:rsidRPr="00625A65">
        <w:rPr>
          <w:rFonts w:asciiTheme="minorHAnsi" w:hAnsiTheme="minorHAnsi"/>
          <w:color w:val="000000" w:themeColor="text1"/>
          <w:sz w:val="24"/>
        </w:rPr>
        <w:t>As can be seen, if the correlation between the baseline and follow-up measurements is moderate (.50) then we have 80% power to detect a difference of 1.51 mmHg for the Type 1 versus Type 2 comparison of blood pressure change.  As stated above, these estimates should be conservative because when the additional yearly measurements are incorporated into the longitudinal analyses, there will be additional precision which should reduce variability and allow for smaller between group differences to be detected.</w:t>
      </w:r>
      <w:r w:rsidR="00F5354A" w:rsidRPr="00625A65">
        <w:rPr>
          <w:rFonts w:asciiTheme="minorHAnsi" w:hAnsiTheme="minorHAnsi"/>
          <w:color w:val="000000" w:themeColor="text1"/>
          <w:sz w:val="24"/>
        </w:rPr>
        <w:t xml:space="preserve">  Based on the current sample size enrolled (n=1839) the detectable differences above would increase by about 33% with the same level of statistical power originally planned if we proceeded with analyses at this point.  For some outcomes, this may be possible however, as described earlier for comparisons that rely on outcomes that occur less frequently (i.e., retinopathy) the full planned sample size will be needed to accomplish the pre-specified goals of this research project.</w:t>
      </w:r>
    </w:p>
    <w:p w:rsidR="00C72F98" w:rsidRPr="00625A65" w:rsidRDefault="00C72F98" w:rsidP="00C72F98">
      <w:pPr>
        <w:rPr>
          <w:rFonts w:asciiTheme="minorHAnsi" w:hAnsiTheme="minorHAnsi"/>
          <w:color w:val="000000" w:themeColor="text1"/>
        </w:rPr>
      </w:pPr>
    </w:p>
    <w:p w:rsidR="00C72F98" w:rsidRPr="00625A65" w:rsidRDefault="00C72F98">
      <w:pPr>
        <w:rPr>
          <w:rFonts w:ascii="Calibri" w:hAnsi="Calibri"/>
          <w:b/>
          <w:sz w:val="24"/>
        </w:rPr>
      </w:pPr>
    </w:p>
    <w:p w:rsidR="0007433F" w:rsidRPr="00625A65" w:rsidRDefault="0039627A">
      <w:pPr>
        <w:rPr>
          <w:rFonts w:ascii="Calibri" w:hAnsi="Calibri"/>
          <w:b/>
          <w:sz w:val="24"/>
        </w:rPr>
      </w:pPr>
      <w:r w:rsidRPr="00625A65">
        <w:rPr>
          <w:rFonts w:ascii="Calibri" w:hAnsi="Calibri"/>
          <w:b/>
          <w:sz w:val="24"/>
        </w:rPr>
        <w:t>B.2. Procedures for the Collection of Information</w:t>
      </w:r>
    </w:p>
    <w:p w:rsidR="0007433F" w:rsidRPr="00625A65" w:rsidRDefault="0007433F">
      <w:pPr>
        <w:rPr>
          <w:rFonts w:ascii="Calibri" w:hAnsi="Calibri"/>
          <w:b/>
          <w:sz w:val="24"/>
        </w:rPr>
      </w:pPr>
    </w:p>
    <w:p w:rsidR="0007433F" w:rsidRPr="00625A65" w:rsidRDefault="0039627A">
      <w:pPr>
        <w:rPr>
          <w:rFonts w:ascii="Calibri" w:hAnsi="Calibri"/>
          <w:b/>
          <w:sz w:val="24"/>
        </w:rPr>
      </w:pPr>
      <w:r w:rsidRPr="00625A65">
        <w:rPr>
          <w:rFonts w:ascii="Calibri" w:hAnsi="Calibri"/>
          <w:b/>
          <w:sz w:val="24"/>
        </w:rPr>
        <w:t>Registry study</w:t>
      </w:r>
    </w:p>
    <w:p w:rsidR="0007433F" w:rsidRPr="00625A65" w:rsidRDefault="00F947B1">
      <w:pPr>
        <w:spacing w:before="120" w:after="120"/>
        <w:ind w:left="540"/>
        <w:rPr>
          <w:rFonts w:ascii="Calibri" w:hAnsi="Calibri"/>
          <w:sz w:val="24"/>
        </w:rPr>
      </w:pPr>
      <w:r w:rsidRPr="00625A65">
        <w:rPr>
          <w:rFonts w:ascii="Calibri" w:hAnsi="Calibri"/>
          <w:b/>
          <w:bCs/>
          <w:sz w:val="24"/>
        </w:rPr>
        <w:t>Initial Patient Survey (IPS)</w:t>
      </w:r>
      <w:r w:rsidRPr="00625A65">
        <w:rPr>
          <w:rFonts w:ascii="Calibri" w:hAnsi="Calibri"/>
          <w:sz w:val="24"/>
        </w:rPr>
        <w:t xml:space="preserve"> contains key data, including the core information described above, and serves to: a) verify of case eligibility (e.g., residence in the year of diagnosis); and b) is the main source for self-reported race/ethnicity information.  Additional information includes: symptoms at </w:t>
      </w:r>
      <w:r w:rsidR="006C1B1C" w:rsidRPr="00625A65">
        <w:rPr>
          <w:rFonts w:ascii="Calibri" w:hAnsi="Calibri"/>
          <w:sz w:val="24"/>
        </w:rPr>
        <w:t xml:space="preserve">diabetes </w:t>
      </w:r>
      <w:r w:rsidRPr="00625A65">
        <w:rPr>
          <w:rFonts w:ascii="Calibri" w:hAnsi="Calibri"/>
          <w:sz w:val="24"/>
        </w:rPr>
        <w:t>presentation, potential secondary causes of diabetes, use of insuli</w:t>
      </w:r>
      <w:r w:rsidR="006B248A" w:rsidRPr="00625A65">
        <w:rPr>
          <w:rFonts w:ascii="Calibri" w:hAnsi="Calibri"/>
          <w:sz w:val="24"/>
        </w:rPr>
        <w:t>n,</w:t>
      </w:r>
      <w:r w:rsidRPr="00625A65">
        <w:rPr>
          <w:rFonts w:ascii="Calibri" w:hAnsi="Calibri"/>
          <w:sz w:val="24"/>
        </w:rPr>
        <w:t xml:space="preserve"> other </w:t>
      </w:r>
      <w:r w:rsidR="006C1B1C" w:rsidRPr="00625A65">
        <w:rPr>
          <w:rFonts w:ascii="Calibri" w:hAnsi="Calibri"/>
          <w:sz w:val="24"/>
        </w:rPr>
        <w:t xml:space="preserve">diabetes </w:t>
      </w:r>
      <w:r w:rsidRPr="00625A65">
        <w:rPr>
          <w:rFonts w:ascii="Calibri" w:hAnsi="Calibri"/>
          <w:sz w:val="24"/>
        </w:rPr>
        <w:t>medications</w:t>
      </w:r>
      <w:r w:rsidR="006B248A" w:rsidRPr="00625A65">
        <w:rPr>
          <w:rFonts w:ascii="Calibri" w:hAnsi="Calibri"/>
          <w:sz w:val="24"/>
        </w:rPr>
        <w:t xml:space="preserve"> and any other medications</w:t>
      </w:r>
      <w:r w:rsidRPr="00625A65">
        <w:rPr>
          <w:rFonts w:ascii="Calibri" w:hAnsi="Calibri"/>
          <w:sz w:val="24"/>
        </w:rPr>
        <w:t xml:space="preserve">, family structure, usual language spoken, and contact information (for local use only).   </w:t>
      </w:r>
    </w:p>
    <w:p w:rsidR="0007433F" w:rsidRPr="00625A65" w:rsidRDefault="00F947B1">
      <w:pPr>
        <w:pStyle w:val="BodyTextIndent"/>
        <w:spacing w:before="120" w:after="120"/>
        <w:ind w:left="540"/>
        <w:rPr>
          <w:rFonts w:ascii="Calibri" w:hAnsi="Calibri"/>
        </w:rPr>
      </w:pPr>
      <w:r w:rsidRPr="00625A65">
        <w:rPr>
          <w:rFonts w:ascii="Calibri" w:hAnsi="Calibri"/>
          <w:b/>
          <w:bCs/>
        </w:rPr>
        <w:t>In-Person Research Visit (IPV)</w:t>
      </w:r>
      <w:r w:rsidRPr="00625A65">
        <w:rPr>
          <w:rFonts w:ascii="Calibri" w:hAnsi="Calibri"/>
          <w:bCs/>
        </w:rPr>
        <w:t xml:space="preserve"> </w:t>
      </w:r>
      <w:r w:rsidRPr="00625A65">
        <w:rPr>
          <w:rFonts w:ascii="Calibri" w:hAnsi="Calibri"/>
        </w:rPr>
        <w:t xml:space="preserve">is designed to collect data on relevant </w:t>
      </w:r>
      <w:r w:rsidR="009607FF" w:rsidRPr="00625A65">
        <w:rPr>
          <w:rFonts w:ascii="Calibri" w:hAnsi="Calibri"/>
        </w:rPr>
        <w:t>characteristics</w:t>
      </w:r>
      <w:r w:rsidR="006C1B1C" w:rsidRPr="00625A65">
        <w:rPr>
          <w:rFonts w:ascii="Calibri" w:hAnsi="Calibri"/>
        </w:rPr>
        <w:t xml:space="preserve"> </w:t>
      </w:r>
      <w:r w:rsidRPr="00625A65">
        <w:rPr>
          <w:rFonts w:ascii="Calibri" w:hAnsi="Calibri"/>
        </w:rPr>
        <w:t xml:space="preserve">of diabetes type (presence of autoimmunity, genetic susceptibility to autoimmunity, insulin sensitivity, insulin secretion) and data informing the clinical presentation of diabetes.  The following will </w:t>
      </w:r>
      <w:r w:rsidR="006D2512" w:rsidRPr="00625A65">
        <w:rPr>
          <w:rFonts w:ascii="Calibri" w:hAnsi="Calibri"/>
        </w:rPr>
        <w:t xml:space="preserve">be </w:t>
      </w:r>
      <w:r w:rsidRPr="00625A65">
        <w:rPr>
          <w:rFonts w:ascii="Calibri" w:hAnsi="Calibri"/>
        </w:rPr>
        <w:t xml:space="preserve">stored for future </w:t>
      </w:r>
      <w:r w:rsidR="00062170" w:rsidRPr="00625A65">
        <w:rPr>
          <w:rFonts w:ascii="Calibri" w:hAnsi="Calibri"/>
        </w:rPr>
        <w:t>analyses</w:t>
      </w:r>
      <w:r w:rsidRPr="00625A65">
        <w:rPr>
          <w:rFonts w:ascii="Calibri" w:hAnsi="Calibri"/>
        </w:rPr>
        <w:t xml:space="preserve"> (by separate consent)</w:t>
      </w:r>
      <w:r w:rsidR="00DD0A88" w:rsidRPr="00625A65">
        <w:rPr>
          <w:rFonts w:ascii="Calibri" w:hAnsi="Calibri"/>
        </w:rPr>
        <w:t xml:space="preserve">: </w:t>
      </w:r>
      <w:r w:rsidRPr="00625A65">
        <w:rPr>
          <w:rFonts w:ascii="Calibri" w:hAnsi="Calibri"/>
        </w:rPr>
        <w:t xml:space="preserve"> blood, serum, plasma and urine for future genetic and non-genetic analyses.  Only </w:t>
      </w:r>
      <w:r w:rsidR="006C1B1C" w:rsidRPr="00625A65">
        <w:rPr>
          <w:rFonts w:ascii="Calibri" w:hAnsi="Calibri"/>
        </w:rPr>
        <w:t xml:space="preserve">diabetes cases </w:t>
      </w:r>
      <w:r w:rsidRPr="00625A65">
        <w:rPr>
          <w:rFonts w:ascii="Calibri" w:hAnsi="Calibri"/>
        </w:rPr>
        <w:t xml:space="preserve">incident in </w:t>
      </w:r>
      <w:r w:rsidR="006C1B1C" w:rsidRPr="00625A65">
        <w:rPr>
          <w:rFonts w:ascii="Calibri" w:hAnsi="Calibri"/>
        </w:rPr>
        <w:t xml:space="preserve">2012 </w:t>
      </w:r>
      <w:r w:rsidRPr="00625A65">
        <w:rPr>
          <w:rFonts w:ascii="Calibri" w:hAnsi="Calibri"/>
        </w:rPr>
        <w:t xml:space="preserve">will be eligible to participate in the IPV.  An additional sampling approach will be implemented in SEARCH 3, in order to reduce participant burden and maximize study resources, without compromising the statistical power to detect trends in clinical characteristics over time.  To maximize the number of minority participants and youth with </w:t>
      </w:r>
      <w:r w:rsidR="00EF0ED6" w:rsidRPr="00625A65">
        <w:rPr>
          <w:rFonts w:ascii="Calibri" w:hAnsi="Calibri"/>
        </w:rPr>
        <w:t>type 2 diabetes</w:t>
      </w:r>
      <w:r w:rsidRPr="00625A65">
        <w:rPr>
          <w:rFonts w:ascii="Calibri" w:hAnsi="Calibri"/>
        </w:rPr>
        <w:t>, eligible cases for SEARCH 3 IPV are 100% of minority (non-Caucasian) youth, regardless of age</w:t>
      </w:r>
      <w:r w:rsidR="00EF0ED6" w:rsidRPr="00625A65">
        <w:rPr>
          <w:rFonts w:ascii="Calibri" w:hAnsi="Calibri"/>
        </w:rPr>
        <w:t xml:space="preserve">; we will invite to participate in the IPV </w:t>
      </w:r>
      <w:r w:rsidRPr="00625A65">
        <w:rPr>
          <w:rFonts w:ascii="Calibri" w:hAnsi="Calibri"/>
        </w:rPr>
        <w:t xml:space="preserve">100% of </w:t>
      </w:r>
      <w:r w:rsidR="00EF0ED6" w:rsidRPr="00625A65">
        <w:rPr>
          <w:rFonts w:ascii="Calibri" w:hAnsi="Calibri"/>
        </w:rPr>
        <w:t xml:space="preserve">Non-Hispanic white youth </w:t>
      </w:r>
      <w:r w:rsidRPr="00625A65">
        <w:rPr>
          <w:rFonts w:ascii="Calibri" w:hAnsi="Calibri"/>
        </w:rPr>
        <w:t xml:space="preserve">, </w:t>
      </w:r>
      <w:r w:rsidR="00EF0ED6" w:rsidRPr="00625A65">
        <w:rPr>
          <w:rFonts w:ascii="Calibri" w:hAnsi="Calibri"/>
        </w:rPr>
        <w:t>aged ≥10 years at diagnosis and 50% of non-Hispanic youth with onset age &lt; 10 years</w:t>
      </w:r>
      <w:r w:rsidRPr="00625A65">
        <w:rPr>
          <w:rFonts w:ascii="Calibri" w:hAnsi="Calibri"/>
        </w:rPr>
        <w:t>.  We will seek a 70% completion of the IPV among eligible youth.</w:t>
      </w:r>
    </w:p>
    <w:p w:rsidR="0007433F" w:rsidRPr="00625A65" w:rsidRDefault="00156875">
      <w:pPr>
        <w:pStyle w:val="BodyTextIndent"/>
        <w:spacing w:before="120" w:after="120"/>
        <w:ind w:left="540"/>
        <w:rPr>
          <w:rFonts w:asciiTheme="minorHAnsi" w:hAnsiTheme="minorHAnsi"/>
        </w:rPr>
      </w:pPr>
      <w:r w:rsidRPr="00625A65">
        <w:rPr>
          <w:rFonts w:asciiTheme="minorHAnsi" w:hAnsiTheme="minorHAnsi"/>
          <w:b/>
          <w:bCs/>
        </w:rPr>
        <w:lastRenderedPageBreak/>
        <w:t>Two addition</w:t>
      </w:r>
      <w:r w:rsidR="006D2512" w:rsidRPr="00625A65">
        <w:rPr>
          <w:rFonts w:asciiTheme="minorHAnsi" w:hAnsiTheme="minorHAnsi"/>
          <w:b/>
          <w:bCs/>
        </w:rPr>
        <w:t>al</w:t>
      </w:r>
      <w:r w:rsidRPr="00625A65">
        <w:rPr>
          <w:rFonts w:asciiTheme="minorHAnsi" w:hAnsiTheme="minorHAnsi"/>
          <w:b/>
          <w:bCs/>
        </w:rPr>
        <w:t xml:space="preserve"> related activities will be conducted by the clinical sites </w:t>
      </w:r>
      <w:r w:rsidR="00CC7C7F" w:rsidRPr="00625A65">
        <w:rPr>
          <w:rFonts w:asciiTheme="minorHAnsi" w:hAnsiTheme="minorHAnsi"/>
          <w:b/>
          <w:bCs/>
        </w:rPr>
        <w:t>as part of their</w:t>
      </w:r>
      <w:r w:rsidRPr="00625A65">
        <w:rPr>
          <w:rFonts w:asciiTheme="minorHAnsi" w:hAnsiTheme="minorHAnsi"/>
          <w:b/>
          <w:bCs/>
        </w:rPr>
        <w:t xml:space="preserve"> Co</w:t>
      </w:r>
      <w:r w:rsidR="00DD0A88" w:rsidRPr="00625A65">
        <w:rPr>
          <w:rFonts w:asciiTheme="minorHAnsi" w:hAnsiTheme="minorHAnsi"/>
          <w:b/>
          <w:bCs/>
        </w:rPr>
        <w:t>o</w:t>
      </w:r>
      <w:r w:rsidRPr="00625A65">
        <w:rPr>
          <w:rFonts w:asciiTheme="minorHAnsi" w:hAnsiTheme="minorHAnsi"/>
          <w:b/>
          <w:bCs/>
        </w:rPr>
        <w:t>p</w:t>
      </w:r>
      <w:r w:rsidR="00DD0A88" w:rsidRPr="00625A65">
        <w:rPr>
          <w:rFonts w:asciiTheme="minorHAnsi" w:hAnsiTheme="minorHAnsi"/>
          <w:b/>
          <w:bCs/>
        </w:rPr>
        <w:t>e</w:t>
      </w:r>
      <w:r w:rsidRPr="00625A65">
        <w:rPr>
          <w:rFonts w:asciiTheme="minorHAnsi" w:hAnsiTheme="minorHAnsi"/>
          <w:b/>
          <w:bCs/>
        </w:rPr>
        <w:t>rative Agreement</w:t>
      </w:r>
      <w:r w:rsidR="006D2512" w:rsidRPr="00625A65">
        <w:rPr>
          <w:rFonts w:asciiTheme="minorHAnsi" w:hAnsiTheme="minorHAnsi"/>
          <w:b/>
          <w:bCs/>
        </w:rPr>
        <w:t xml:space="preserve"> responsibilities, </w:t>
      </w:r>
      <w:r w:rsidRPr="00625A65">
        <w:rPr>
          <w:rFonts w:asciiTheme="minorHAnsi" w:hAnsiTheme="minorHAnsi"/>
          <w:b/>
          <w:bCs/>
        </w:rPr>
        <w:t xml:space="preserve"> but do not directly involve </w:t>
      </w:r>
      <w:r w:rsidR="006D2512" w:rsidRPr="00625A65">
        <w:rPr>
          <w:rFonts w:asciiTheme="minorHAnsi" w:hAnsiTheme="minorHAnsi"/>
          <w:b/>
          <w:bCs/>
        </w:rPr>
        <w:t xml:space="preserve">burden to </w:t>
      </w:r>
      <w:r w:rsidRPr="00625A65">
        <w:rPr>
          <w:rFonts w:asciiTheme="minorHAnsi" w:hAnsiTheme="minorHAnsi"/>
          <w:b/>
          <w:bCs/>
        </w:rPr>
        <w:t>participants:</w:t>
      </w:r>
    </w:p>
    <w:p w:rsidR="0007433F" w:rsidRPr="00625A65" w:rsidRDefault="00156875">
      <w:pPr>
        <w:spacing w:before="120" w:after="120"/>
        <w:ind w:left="540"/>
        <w:rPr>
          <w:rFonts w:asciiTheme="minorHAnsi" w:hAnsiTheme="minorHAnsi"/>
          <w:sz w:val="24"/>
        </w:rPr>
      </w:pPr>
      <w:r w:rsidRPr="00625A65">
        <w:rPr>
          <w:rFonts w:asciiTheme="minorHAnsi" w:hAnsiTheme="minorHAnsi"/>
          <w:b/>
          <w:bCs/>
          <w:sz w:val="24"/>
        </w:rPr>
        <w:t xml:space="preserve">Collection of Core Variables: </w:t>
      </w:r>
      <w:r w:rsidRPr="00625A65">
        <w:rPr>
          <w:rFonts w:asciiTheme="minorHAnsi" w:hAnsiTheme="minorHAnsi"/>
          <w:bCs/>
          <w:sz w:val="24"/>
        </w:rPr>
        <w:t xml:space="preserve"> </w:t>
      </w:r>
      <w:r w:rsidRPr="00625A65">
        <w:rPr>
          <w:rFonts w:asciiTheme="minorHAnsi" w:hAnsiTheme="minorHAnsi"/>
          <w:sz w:val="24"/>
        </w:rPr>
        <w:t xml:space="preserve">A minimum amount of demographic and clinical information is needed for all registered cases in order for the study to be able to </w:t>
      </w:r>
      <w:r w:rsidR="00DD0A88" w:rsidRPr="00625A65">
        <w:rPr>
          <w:rFonts w:asciiTheme="minorHAnsi" w:hAnsiTheme="minorHAnsi"/>
          <w:sz w:val="24"/>
        </w:rPr>
        <w:t xml:space="preserve">calculate </w:t>
      </w:r>
      <w:r w:rsidRPr="00625A65">
        <w:rPr>
          <w:rFonts w:asciiTheme="minorHAnsi" w:hAnsiTheme="minorHAnsi"/>
          <w:sz w:val="24"/>
        </w:rPr>
        <w:t>population-based rates of diabetes mellitus by age, gender, diabetes type and race/ethnicity for the entire population of cases.  This information is also critical in assessing possible response bias to the in</w:t>
      </w:r>
      <w:r w:rsidR="00DD0A88" w:rsidRPr="00625A65">
        <w:rPr>
          <w:rFonts w:asciiTheme="minorHAnsi" w:hAnsiTheme="minorHAnsi"/>
          <w:sz w:val="24"/>
        </w:rPr>
        <w:t>-</w:t>
      </w:r>
      <w:r w:rsidRPr="00625A65">
        <w:rPr>
          <w:rFonts w:asciiTheme="minorHAnsi" w:hAnsiTheme="minorHAnsi"/>
          <w:sz w:val="24"/>
        </w:rPr>
        <w:t xml:space="preserve">person research visit.  </w:t>
      </w:r>
    </w:p>
    <w:p w:rsidR="0007433F" w:rsidRPr="00625A65" w:rsidRDefault="00156875">
      <w:pPr>
        <w:spacing w:before="120" w:after="120"/>
        <w:ind w:left="540"/>
        <w:rPr>
          <w:rFonts w:asciiTheme="minorHAnsi" w:hAnsiTheme="minorHAnsi"/>
          <w:sz w:val="24"/>
        </w:rPr>
      </w:pPr>
      <w:r w:rsidRPr="00625A65">
        <w:rPr>
          <w:rFonts w:asciiTheme="minorHAnsi" w:hAnsiTheme="minorHAnsi"/>
          <w:b/>
          <w:bCs/>
          <w:sz w:val="24"/>
        </w:rPr>
        <w:t xml:space="preserve">Medical Record Abstraction (MRA) </w:t>
      </w:r>
      <w:r w:rsidRPr="00625A65">
        <w:rPr>
          <w:rFonts w:asciiTheme="minorHAnsi" w:hAnsiTheme="minorHAnsi"/>
          <w:sz w:val="24"/>
        </w:rPr>
        <w:t xml:space="preserve">serves the following purposes: a) validation of diabetes diagnosis; b) main source of core demographic and diagnostic information, and c) secondary data source for race/ethnicity information.  In SEARCH 2, an additional set of items pertinent to clinical presentation was added to the medical record abstraction effort:  weight/height at diagnosis, DKA at diagnosis and insulin use history.  We will continue to collect these data through MRA in SEARCH 3 and will seek 100% completion. </w:t>
      </w:r>
    </w:p>
    <w:p w:rsidR="0039627A" w:rsidRPr="00625A65" w:rsidRDefault="0039627A" w:rsidP="00342DC3">
      <w:pPr>
        <w:rPr>
          <w:rFonts w:ascii="Calibri" w:hAnsi="Calibri"/>
          <w:sz w:val="24"/>
        </w:rPr>
      </w:pPr>
    </w:p>
    <w:p w:rsidR="00062170" w:rsidRPr="00625A65" w:rsidRDefault="0039627A" w:rsidP="00342DC3">
      <w:pPr>
        <w:rPr>
          <w:rFonts w:ascii="Calibri" w:hAnsi="Calibri"/>
          <w:b/>
          <w:sz w:val="24"/>
        </w:rPr>
      </w:pPr>
      <w:r w:rsidRPr="00625A65">
        <w:rPr>
          <w:rFonts w:ascii="Calibri" w:hAnsi="Calibri"/>
          <w:b/>
          <w:sz w:val="24"/>
        </w:rPr>
        <w:t>Cohort study</w:t>
      </w:r>
    </w:p>
    <w:p w:rsidR="00062170" w:rsidRPr="00625A65" w:rsidRDefault="00062170" w:rsidP="00342DC3">
      <w:pPr>
        <w:pStyle w:val="BodyTextIndent"/>
        <w:ind w:left="540"/>
        <w:rPr>
          <w:rFonts w:ascii="Calibri" w:hAnsi="Calibri"/>
          <w:b/>
        </w:rPr>
      </w:pPr>
      <w:r w:rsidRPr="00625A65">
        <w:rPr>
          <w:rFonts w:ascii="Calibri" w:hAnsi="Calibri"/>
          <w:b/>
          <w:i/>
        </w:rPr>
        <w:t xml:space="preserve"> </w:t>
      </w:r>
      <w:r w:rsidRPr="00625A65">
        <w:rPr>
          <w:rFonts w:ascii="Calibri" w:hAnsi="Calibri"/>
          <w:b/>
        </w:rPr>
        <w:t>Risk Factors for Diabetes Complications</w:t>
      </w:r>
      <w:r w:rsidR="007D1CF5" w:rsidRPr="00625A65">
        <w:rPr>
          <w:rFonts w:ascii="Calibri" w:hAnsi="Calibri"/>
          <w:b/>
        </w:rPr>
        <w:t xml:space="preserve"> (details on measures Appendix B.1)</w:t>
      </w:r>
    </w:p>
    <w:p w:rsidR="00062170" w:rsidRPr="00625A65" w:rsidRDefault="00480D93" w:rsidP="00342DC3">
      <w:pPr>
        <w:pStyle w:val="Heading3"/>
        <w:keepNext w:val="0"/>
        <w:numPr>
          <w:ilvl w:val="2"/>
          <w:numId w:val="0"/>
        </w:numPr>
        <w:tabs>
          <w:tab w:val="num" w:pos="1440"/>
        </w:tabs>
        <w:spacing w:before="0" w:after="0" w:line="240" w:lineRule="auto"/>
        <w:ind w:left="720"/>
        <w:rPr>
          <w:rFonts w:ascii="Calibri" w:hAnsi="Calibri"/>
          <w:sz w:val="24"/>
          <w:szCs w:val="24"/>
        </w:rPr>
      </w:pPr>
      <w:r w:rsidRPr="00625A65">
        <w:rPr>
          <w:rFonts w:ascii="Calibri" w:hAnsi="Calibri"/>
          <w:sz w:val="24"/>
          <w:szCs w:val="24"/>
        </w:rPr>
        <w:t>Laboratory</w:t>
      </w:r>
      <w:r w:rsidR="00835D61" w:rsidRPr="00625A65">
        <w:rPr>
          <w:rFonts w:ascii="Calibri" w:hAnsi="Calibri"/>
          <w:sz w:val="24"/>
          <w:szCs w:val="24"/>
        </w:rPr>
        <w:t xml:space="preserve"> measures</w:t>
      </w:r>
      <w:r w:rsidRPr="00625A65">
        <w:rPr>
          <w:rFonts w:ascii="Calibri" w:hAnsi="Calibri"/>
          <w:sz w:val="24"/>
          <w:szCs w:val="24"/>
        </w:rPr>
        <w:t>:</w:t>
      </w:r>
    </w:p>
    <w:p w:rsidR="0007433F" w:rsidRPr="00625A65" w:rsidRDefault="00835D61">
      <w:pPr>
        <w:pStyle w:val="BodyTextIndent"/>
        <w:numPr>
          <w:ilvl w:val="0"/>
          <w:numId w:val="4"/>
        </w:numPr>
        <w:rPr>
          <w:rFonts w:ascii="Calibri" w:hAnsi="Calibri"/>
        </w:rPr>
      </w:pPr>
      <w:r w:rsidRPr="00625A65">
        <w:rPr>
          <w:rFonts w:ascii="Calibri" w:hAnsi="Calibri"/>
        </w:rPr>
        <w:t xml:space="preserve">Laboratory assays will measure </w:t>
      </w:r>
      <w:r w:rsidR="00062170" w:rsidRPr="00625A65">
        <w:rPr>
          <w:rFonts w:ascii="Calibri" w:hAnsi="Calibri"/>
        </w:rPr>
        <w:t>markers of autoimmunity (diabetes autoantibodies,</w:t>
      </w:r>
      <w:r w:rsidR="003B30D2" w:rsidRPr="00625A65">
        <w:rPr>
          <w:rFonts w:ascii="Calibri" w:hAnsi="Calibri"/>
        </w:rPr>
        <w:t xml:space="preserve"> </w:t>
      </w:r>
      <w:r w:rsidR="00062170" w:rsidRPr="00625A65">
        <w:rPr>
          <w:rFonts w:ascii="Calibri" w:hAnsi="Calibri"/>
        </w:rPr>
        <w:t>fasting c-peptide</w:t>
      </w:r>
      <w:r w:rsidRPr="00625A65">
        <w:rPr>
          <w:rFonts w:ascii="Calibri" w:hAnsi="Calibri"/>
        </w:rPr>
        <w:t>, fasting glucose, hemoglobin A1c, li</w:t>
      </w:r>
      <w:r w:rsidR="00062170" w:rsidRPr="00625A65">
        <w:rPr>
          <w:rFonts w:ascii="Calibri" w:hAnsi="Calibri"/>
        </w:rPr>
        <w:t xml:space="preserve">pid </w:t>
      </w:r>
      <w:r w:rsidRPr="00625A65">
        <w:rPr>
          <w:rFonts w:ascii="Calibri" w:hAnsi="Calibri"/>
        </w:rPr>
        <w:t>profile (</w:t>
      </w:r>
      <w:r w:rsidR="00062170" w:rsidRPr="00625A65">
        <w:rPr>
          <w:rFonts w:ascii="Calibri" w:hAnsi="Calibri"/>
        </w:rPr>
        <w:t>total, LDL- and HDL-cholesterol, and triglycerides</w:t>
      </w:r>
      <w:r w:rsidRPr="00625A65">
        <w:rPr>
          <w:rFonts w:ascii="Calibri" w:hAnsi="Calibri"/>
        </w:rPr>
        <w:t xml:space="preserve">), </w:t>
      </w:r>
      <w:proofErr w:type="spellStart"/>
      <w:r w:rsidRPr="00625A65">
        <w:rPr>
          <w:rFonts w:ascii="Calibri" w:hAnsi="Calibri"/>
        </w:rPr>
        <w:t>apolipoprotein</w:t>
      </w:r>
      <w:proofErr w:type="spellEnd"/>
      <w:r w:rsidRPr="00625A65">
        <w:rPr>
          <w:rFonts w:ascii="Calibri" w:hAnsi="Calibri"/>
        </w:rPr>
        <w:t xml:space="preserve"> B, </w:t>
      </w:r>
      <w:r w:rsidR="00062170" w:rsidRPr="00625A65">
        <w:rPr>
          <w:rFonts w:ascii="Calibri" w:hAnsi="Calibri"/>
        </w:rPr>
        <w:t xml:space="preserve">LDL particle size and density, </w:t>
      </w:r>
      <w:proofErr w:type="spellStart"/>
      <w:r w:rsidR="00062170" w:rsidRPr="00625A65">
        <w:rPr>
          <w:rFonts w:ascii="Calibri" w:hAnsi="Calibri"/>
        </w:rPr>
        <w:t>adipocytokines</w:t>
      </w:r>
      <w:proofErr w:type="spellEnd"/>
      <w:r w:rsidR="00062170" w:rsidRPr="00625A65">
        <w:rPr>
          <w:rFonts w:ascii="Calibri" w:hAnsi="Calibri"/>
        </w:rPr>
        <w:t xml:space="preserve"> (CRP, IL-6, fibrinogen, </w:t>
      </w:r>
      <w:proofErr w:type="spellStart"/>
      <w:r w:rsidR="00062170" w:rsidRPr="00625A65">
        <w:rPr>
          <w:rFonts w:ascii="Calibri" w:hAnsi="Calibri"/>
        </w:rPr>
        <w:t>adiponectin</w:t>
      </w:r>
      <w:proofErr w:type="spellEnd"/>
      <w:r w:rsidR="00062170" w:rsidRPr="00625A65">
        <w:rPr>
          <w:rFonts w:ascii="Calibri" w:hAnsi="Calibri"/>
        </w:rPr>
        <w:t xml:space="preserve">, </w:t>
      </w:r>
      <w:proofErr w:type="spellStart"/>
      <w:r w:rsidR="00062170" w:rsidRPr="00625A65">
        <w:rPr>
          <w:rFonts w:ascii="Calibri" w:hAnsi="Calibri"/>
        </w:rPr>
        <w:t>leptin</w:t>
      </w:r>
      <w:proofErr w:type="spellEnd"/>
      <w:r w:rsidR="00062170" w:rsidRPr="00625A65">
        <w:rPr>
          <w:rFonts w:ascii="Calibri" w:hAnsi="Calibri"/>
        </w:rPr>
        <w:t>)</w:t>
      </w:r>
      <w:r w:rsidR="00480D93" w:rsidRPr="00625A65">
        <w:rPr>
          <w:rFonts w:ascii="Calibri" w:hAnsi="Calibri"/>
        </w:rPr>
        <w:t xml:space="preserve">. </w:t>
      </w:r>
    </w:p>
    <w:p w:rsidR="0007433F" w:rsidRPr="00625A65" w:rsidRDefault="0007433F">
      <w:pPr>
        <w:pStyle w:val="BodyTextIndent"/>
        <w:rPr>
          <w:rFonts w:ascii="Calibri" w:hAnsi="Calibri"/>
        </w:rPr>
      </w:pPr>
    </w:p>
    <w:p w:rsidR="0007433F" w:rsidRPr="00625A65" w:rsidRDefault="00480D93">
      <w:pPr>
        <w:pStyle w:val="BodyTextIndent"/>
        <w:rPr>
          <w:rFonts w:ascii="Calibri" w:hAnsi="Calibri"/>
          <w:b/>
        </w:rPr>
      </w:pPr>
      <w:r w:rsidRPr="00625A65">
        <w:rPr>
          <w:rFonts w:ascii="Calibri" w:hAnsi="Calibri"/>
          <w:b/>
        </w:rPr>
        <w:t>Physical examination measure</w:t>
      </w:r>
      <w:r w:rsidR="00974583" w:rsidRPr="00625A65">
        <w:rPr>
          <w:rFonts w:ascii="Calibri" w:hAnsi="Calibri"/>
          <w:b/>
        </w:rPr>
        <w:t>s</w:t>
      </w:r>
      <w:r w:rsidRPr="00625A65">
        <w:rPr>
          <w:rFonts w:ascii="Calibri" w:hAnsi="Calibri"/>
          <w:b/>
        </w:rPr>
        <w:t>:</w:t>
      </w:r>
    </w:p>
    <w:p w:rsidR="0007433F" w:rsidRPr="00625A65" w:rsidRDefault="00062170">
      <w:pPr>
        <w:pStyle w:val="BodyTextIndent"/>
        <w:numPr>
          <w:ilvl w:val="0"/>
          <w:numId w:val="4"/>
        </w:numPr>
        <w:tabs>
          <w:tab w:val="num" w:pos="1440"/>
        </w:tabs>
        <w:rPr>
          <w:rFonts w:ascii="Calibri" w:hAnsi="Calibri"/>
        </w:rPr>
      </w:pPr>
      <w:r w:rsidRPr="00625A65">
        <w:rPr>
          <w:rFonts w:ascii="Calibri" w:hAnsi="Calibri"/>
        </w:rPr>
        <w:t>Standardized anthropometry methods include heigh</w:t>
      </w:r>
      <w:r w:rsidR="00480D93" w:rsidRPr="00625A65">
        <w:rPr>
          <w:rFonts w:ascii="Calibri" w:hAnsi="Calibri"/>
        </w:rPr>
        <w:t>t, weight, waist circumference</w:t>
      </w:r>
    </w:p>
    <w:p w:rsidR="0007433F" w:rsidRPr="00625A65" w:rsidRDefault="00480D93">
      <w:pPr>
        <w:pStyle w:val="BodyTextIndent"/>
        <w:numPr>
          <w:ilvl w:val="0"/>
          <w:numId w:val="4"/>
        </w:numPr>
        <w:tabs>
          <w:tab w:val="num" w:pos="1440"/>
        </w:tabs>
        <w:rPr>
          <w:rFonts w:ascii="Calibri" w:hAnsi="Calibri"/>
        </w:rPr>
      </w:pPr>
      <w:r w:rsidRPr="00625A65">
        <w:rPr>
          <w:rFonts w:ascii="Calibri" w:hAnsi="Calibri"/>
        </w:rPr>
        <w:t>S</w:t>
      </w:r>
      <w:r w:rsidR="00062170" w:rsidRPr="00625A65">
        <w:rPr>
          <w:rFonts w:ascii="Calibri" w:hAnsi="Calibri"/>
        </w:rPr>
        <w:t>ystol</w:t>
      </w:r>
      <w:r w:rsidRPr="00625A65">
        <w:rPr>
          <w:rFonts w:ascii="Calibri" w:hAnsi="Calibri"/>
        </w:rPr>
        <w:t>ic and diastolic blood pressure</w:t>
      </w:r>
    </w:p>
    <w:p w:rsidR="0007433F" w:rsidRPr="00625A65" w:rsidRDefault="00480D93">
      <w:pPr>
        <w:pStyle w:val="BodyTextIndent"/>
        <w:numPr>
          <w:ilvl w:val="0"/>
          <w:numId w:val="4"/>
        </w:numPr>
        <w:tabs>
          <w:tab w:val="num" w:pos="1440"/>
        </w:tabs>
        <w:rPr>
          <w:rFonts w:ascii="Calibri" w:hAnsi="Calibri"/>
        </w:rPr>
      </w:pPr>
      <w:r w:rsidRPr="00625A65">
        <w:rPr>
          <w:rFonts w:ascii="Calibri" w:hAnsi="Calibri"/>
        </w:rPr>
        <w:t>E</w:t>
      </w:r>
      <w:r w:rsidR="00062170" w:rsidRPr="00625A65">
        <w:rPr>
          <w:rFonts w:ascii="Calibri" w:hAnsi="Calibri"/>
        </w:rPr>
        <w:t xml:space="preserve">valuation for </w:t>
      </w:r>
      <w:proofErr w:type="spellStart"/>
      <w:r w:rsidR="00062170" w:rsidRPr="00625A65">
        <w:rPr>
          <w:rFonts w:ascii="Calibri" w:hAnsi="Calibri"/>
        </w:rPr>
        <w:t>acanthosis</w:t>
      </w:r>
      <w:proofErr w:type="spellEnd"/>
      <w:r w:rsidR="00062170" w:rsidRPr="00625A65">
        <w:rPr>
          <w:rFonts w:ascii="Calibri" w:hAnsi="Calibri"/>
        </w:rPr>
        <w:t xml:space="preserve"> </w:t>
      </w:r>
      <w:proofErr w:type="spellStart"/>
      <w:r w:rsidR="00062170" w:rsidRPr="00625A65">
        <w:rPr>
          <w:rFonts w:ascii="Calibri" w:hAnsi="Calibri"/>
        </w:rPr>
        <w:t>nigricans</w:t>
      </w:r>
      <w:proofErr w:type="spellEnd"/>
    </w:p>
    <w:p w:rsidR="0007433F" w:rsidRPr="00625A65" w:rsidRDefault="00062170">
      <w:pPr>
        <w:pStyle w:val="BodyTextIndent"/>
        <w:numPr>
          <w:ilvl w:val="0"/>
          <w:numId w:val="4"/>
        </w:numPr>
        <w:rPr>
          <w:rFonts w:ascii="Calibri" w:hAnsi="Calibri"/>
        </w:rPr>
      </w:pPr>
      <w:r w:rsidRPr="00625A65">
        <w:rPr>
          <w:rFonts w:ascii="Calibri" w:hAnsi="Calibri"/>
        </w:rPr>
        <w:t>Assessment of health behaviors</w:t>
      </w:r>
      <w:r w:rsidR="00EF3D0E" w:rsidRPr="00625A65">
        <w:rPr>
          <w:rFonts w:ascii="Calibri" w:hAnsi="Calibri"/>
        </w:rPr>
        <w:t>(</w:t>
      </w:r>
      <w:r w:rsidRPr="00625A65">
        <w:rPr>
          <w:rFonts w:ascii="Calibri" w:hAnsi="Calibri"/>
        </w:rPr>
        <w:t>including dietary intake by food frequency, physical activity, alcohol,</w:t>
      </w:r>
      <w:r w:rsidR="00480D93" w:rsidRPr="00625A65">
        <w:rPr>
          <w:rFonts w:ascii="Calibri" w:hAnsi="Calibri"/>
        </w:rPr>
        <w:t xml:space="preserve">  active </w:t>
      </w:r>
      <w:r w:rsidR="00FC14E2" w:rsidRPr="00625A65">
        <w:rPr>
          <w:rFonts w:ascii="Calibri" w:hAnsi="Calibri"/>
        </w:rPr>
        <w:t>smoking and second-hand smoke exposure</w:t>
      </w:r>
      <w:r w:rsidR="00EF3D0E" w:rsidRPr="00625A65">
        <w:rPr>
          <w:rFonts w:ascii="Calibri" w:hAnsi="Calibri"/>
        </w:rPr>
        <w:t>)</w:t>
      </w:r>
      <w:bookmarkStart w:id="6" w:name="_Toc275265480"/>
    </w:p>
    <w:p w:rsidR="0007433F" w:rsidRPr="00625A65" w:rsidRDefault="00EF3D0E">
      <w:pPr>
        <w:pStyle w:val="BodyTextIndent"/>
        <w:numPr>
          <w:ilvl w:val="0"/>
          <w:numId w:val="4"/>
        </w:numPr>
        <w:rPr>
          <w:rFonts w:ascii="Calibri" w:hAnsi="Calibri"/>
        </w:rPr>
      </w:pPr>
      <w:r w:rsidRPr="00625A65">
        <w:rPr>
          <w:rFonts w:ascii="Calibri" w:hAnsi="Calibri"/>
        </w:rPr>
        <w:t>Retinopathy</w:t>
      </w:r>
    </w:p>
    <w:p w:rsidR="0007433F" w:rsidRPr="00625A65" w:rsidRDefault="00EF3D0E">
      <w:pPr>
        <w:pStyle w:val="BodyTextIndent"/>
        <w:numPr>
          <w:ilvl w:val="0"/>
          <w:numId w:val="4"/>
        </w:numPr>
        <w:rPr>
          <w:rFonts w:ascii="Calibri" w:hAnsi="Calibri"/>
        </w:rPr>
      </w:pPr>
      <w:r w:rsidRPr="00625A65">
        <w:rPr>
          <w:rFonts w:ascii="Calibri" w:hAnsi="Calibri"/>
        </w:rPr>
        <w:t>Nephropathy</w:t>
      </w:r>
    </w:p>
    <w:p w:rsidR="0007433F" w:rsidRPr="00625A65" w:rsidRDefault="00EF3D0E">
      <w:pPr>
        <w:pStyle w:val="BodyTextIndent"/>
        <w:numPr>
          <w:ilvl w:val="0"/>
          <w:numId w:val="4"/>
        </w:numPr>
        <w:rPr>
          <w:rFonts w:ascii="Calibri" w:hAnsi="Calibri"/>
        </w:rPr>
      </w:pPr>
      <w:r w:rsidRPr="00625A65">
        <w:rPr>
          <w:rFonts w:ascii="Calibri" w:hAnsi="Calibri"/>
        </w:rPr>
        <w:t xml:space="preserve">Vascular dysfunction (marker of </w:t>
      </w:r>
      <w:proofErr w:type="spellStart"/>
      <w:r w:rsidRPr="00625A65">
        <w:rPr>
          <w:rFonts w:ascii="Calibri" w:hAnsi="Calibri"/>
        </w:rPr>
        <w:t>macrovascular</w:t>
      </w:r>
      <w:proofErr w:type="spellEnd"/>
      <w:r w:rsidRPr="00625A65">
        <w:rPr>
          <w:rFonts w:ascii="Calibri" w:hAnsi="Calibri"/>
        </w:rPr>
        <w:t xml:space="preserve"> disease)</w:t>
      </w:r>
    </w:p>
    <w:p w:rsidR="0007433F" w:rsidRPr="00625A65" w:rsidRDefault="00EF3D0E">
      <w:pPr>
        <w:pStyle w:val="BodyTextIndent"/>
        <w:numPr>
          <w:ilvl w:val="0"/>
          <w:numId w:val="4"/>
        </w:numPr>
        <w:rPr>
          <w:rFonts w:ascii="Calibri" w:hAnsi="Calibri"/>
        </w:rPr>
      </w:pPr>
      <w:r w:rsidRPr="00625A65">
        <w:rPr>
          <w:rFonts w:ascii="Calibri" w:hAnsi="Calibri"/>
        </w:rPr>
        <w:t xml:space="preserve">Markers of neuropathy </w:t>
      </w:r>
    </w:p>
    <w:p w:rsidR="0007433F" w:rsidRPr="00625A65" w:rsidRDefault="00624CF6">
      <w:pPr>
        <w:pStyle w:val="BodyTextIndent"/>
        <w:numPr>
          <w:ilvl w:val="0"/>
          <w:numId w:val="4"/>
        </w:numPr>
        <w:rPr>
          <w:rFonts w:ascii="Calibri" w:hAnsi="Calibri"/>
        </w:rPr>
      </w:pPr>
      <w:r w:rsidRPr="00625A65">
        <w:rPr>
          <w:rFonts w:ascii="Calibri" w:hAnsi="Calibri"/>
        </w:rPr>
        <w:t>Acute complications (hypoglycemia and diabetic ketoacidosis)</w:t>
      </w:r>
    </w:p>
    <w:bookmarkEnd w:id="6"/>
    <w:p w:rsidR="0007433F" w:rsidRPr="00625A65" w:rsidRDefault="00062170">
      <w:pPr>
        <w:pStyle w:val="BodyTextIndent"/>
        <w:rPr>
          <w:rFonts w:ascii="Calibri" w:hAnsi="Calibri"/>
        </w:rPr>
      </w:pPr>
      <w:r w:rsidRPr="00625A65">
        <w:rPr>
          <w:rFonts w:ascii="Calibri" w:hAnsi="Calibri"/>
        </w:rPr>
        <w:t>.</w:t>
      </w:r>
    </w:p>
    <w:p w:rsidR="0007433F" w:rsidRPr="00625A65" w:rsidRDefault="00062170">
      <w:pPr>
        <w:pStyle w:val="Heading3"/>
        <w:keepNext w:val="0"/>
        <w:numPr>
          <w:ilvl w:val="2"/>
          <w:numId w:val="0"/>
        </w:numPr>
        <w:tabs>
          <w:tab w:val="num" w:pos="1440"/>
        </w:tabs>
        <w:spacing w:before="0" w:after="0" w:line="240" w:lineRule="auto"/>
        <w:ind w:left="547"/>
        <w:rPr>
          <w:rFonts w:ascii="Calibri" w:hAnsi="Calibri"/>
          <w:sz w:val="24"/>
          <w:szCs w:val="24"/>
        </w:rPr>
      </w:pPr>
      <w:r w:rsidRPr="00625A65">
        <w:rPr>
          <w:rFonts w:ascii="Calibri" w:hAnsi="Calibri"/>
          <w:sz w:val="24"/>
          <w:szCs w:val="24"/>
        </w:rPr>
        <w:t xml:space="preserve"> Diabetes Treatment &amp; Psychosocial Factors</w:t>
      </w:r>
      <w:r w:rsidR="00974583" w:rsidRPr="00625A65">
        <w:rPr>
          <w:rFonts w:ascii="Calibri" w:hAnsi="Calibri"/>
          <w:sz w:val="24"/>
          <w:szCs w:val="24"/>
        </w:rPr>
        <w:t>:</w:t>
      </w:r>
    </w:p>
    <w:p w:rsidR="0007433F" w:rsidRPr="00625A65" w:rsidRDefault="00624CF6">
      <w:pPr>
        <w:pStyle w:val="ListParagraph"/>
        <w:numPr>
          <w:ilvl w:val="0"/>
          <w:numId w:val="5"/>
        </w:numPr>
        <w:contextualSpacing w:val="0"/>
        <w:rPr>
          <w:rFonts w:ascii="Calibri" w:hAnsi="Calibri"/>
          <w:sz w:val="24"/>
        </w:rPr>
      </w:pPr>
      <w:r w:rsidRPr="00625A65">
        <w:rPr>
          <w:rFonts w:ascii="Calibri" w:hAnsi="Calibri"/>
          <w:sz w:val="24"/>
        </w:rPr>
        <w:t>Diabetes treatment regimen and related technologies</w:t>
      </w:r>
    </w:p>
    <w:p w:rsidR="0007433F" w:rsidRPr="00625A65" w:rsidRDefault="00624CF6">
      <w:pPr>
        <w:pStyle w:val="ListParagraph"/>
        <w:numPr>
          <w:ilvl w:val="0"/>
          <w:numId w:val="5"/>
        </w:numPr>
        <w:contextualSpacing w:val="0"/>
        <w:rPr>
          <w:rFonts w:ascii="Calibri" w:hAnsi="Calibri"/>
          <w:sz w:val="24"/>
        </w:rPr>
      </w:pPr>
      <w:r w:rsidRPr="00625A65">
        <w:rPr>
          <w:rFonts w:ascii="Calibri" w:hAnsi="Calibri"/>
          <w:sz w:val="24"/>
        </w:rPr>
        <w:t>Psycho-social factors</w:t>
      </w:r>
    </w:p>
    <w:p w:rsidR="0007433F" w:rsidRPr="00625A65" w:rsidRDefault="00624CF6">
      <w:pPr>
        <w:pStyle w:val="ListParagraph"/>
        <w:numPr>
          <w:ilvl w:val="0"/>
          <w:numId w:val="5"/>
        </w:numPr>
        <w:contextualSpacing w:val="0"/>
        <w:rPr>
          <w:rFonts w:ascii="Calibri" w:hAnsi="Calibri"/>
          <w:sz w:val="24"/>
        </w:rPr>
      </w:pPr>
      <w:r w:rsidRPr="00625A65">
        <w:rPr>
          <w:rFonts w:ascii="Calibri" w:hAnsi="Calibri"/>
          <w:sz w:val="24"/>
        </w:rPr>
        <w:t>Socio-cultural factors (household income, , family structure, preferred language, parental and participant-attained education.</w:t>
      </w:r>
    </w:p>
    <w:p w:rsidR="0007433F" w:rsidRPr="00625A65" w:rsidRDefault="00624CF6">
      <w:pPr>
        <w:pStyle w:val="ListParagraph"/>
        <w:numPr>
          <w:ilvl w:val="0"/>
          <w:numId w:val="5"/>
        </w:numPr>
        <w:contextualSpacing w:val="0"/>
        <w:rPr>
          <w:rFonts w:ascii="Calibri" w:hAnsi="Calibri"/>
          <w:sz w:val="24"/>
        </w:rPr>
      </w:pPr>
      <w:r w:rsidRPr="00625A65">
        <w:rPr>
          <w:rFonts w:ascii="Calibri" w:hAnsi="Calibri"/>
          <w:sz w:val="24"/>
        </w:rPr>
        <w:t xml:space="preserve">Processes </w:t>
      </w:r>
      <w:r w:rsidR="00A95DDA" w:rsidRPr="00625A65">
        <w:rPr>
          <w:rFonts w:ascii="Calibri" w:hAnsi="Calibri"/>
          <w:sz w:val="24"/>
        </w:rPr>
        <w:t xml:space="preserve">of </w:t>
      </w:r>
      <w:r w:rsidRPr="00625A65">
        <w:rPr>
          <w:rFonts w:ascii="Calibri" w:hAnsi="Calibri"/>
          <w:sz w:val="24"/>
        </w:rPr>
        <w:t>care and barriers to care</w:t>
      </w:r>
    </w:p>
    <w:p w:rsidR="0007433F" w:rsidRPr="00625A65" w:rsidRDefault="0007433F">
      <w:pPr>
        <w:rPr>
          <w:rFonts w:ascii="Calibri" w:hAnsi="Calibri"/>
          <w:sz w:val="24"/>
        </w:rPr>
      </w:pPr>
    </w:p>
    <w:p w:rsidR="0007433F" w:rsidRPr="00625A65" w:rsidRDefault="000A6994">
      <w:pPr>
        <w:rPr>
          <w:rFonts w:ascii="Calibri" w:hAnsi="Calibri"/>
          <w:b/>
          <w:sz w:val="24"/>
        </w:rPr>
      </w:pPr>
      <w:r w:rsidRPr="00625A65">
        <w:rPr>
          <w:rFonts w:ascii="Calibri" w:hAnsi="Calibri"/>
          <w:b/>
          <w:sz w:val="24"/>
        </w:rPr>
        <w:t>B.3</w:t>
      </w:r>
      <w:r w:rsidR="000903C9" w:rsidRPr="00625A65">
        <w:rPr>
          <w:rFonts w:ascii="Calibri" w:hAnsi="Calibri"/>
          <w:b/>
          <w:sz w:val="24"/>
        </w:rPr>
        <w:t>. Methods to Maximize Response Rates and Deal with Nonresponse</w:t>
      </w:r>
    </w:p>
    <w:p w:rsidR="0007433F" w:rsidRPr="00625A65" w:rsidRDefault="0007433F">
      <w:pPr>
        <w:rPr>
          <w:rFonts w:ascii="Calibri" w:hAnsi="Calibri"/>
          <w:b/>
          <w:sz w:val="24"/>
        </w:rPr>
      </w:pPr>
    </w:p>
    <w:p w:rsidR="0007433F" w:rsidRPr="00625A65" w:rsidRDefault="00D27D4A">
      <w:pPr>
        <w:rPr>
          <w:rFonts w:ascii="Calibri" w:hAnsi="Calibri"/>
          <w:b/>
          <w:sz w:val="24"/>
        </w:rPr>
      </w:pPr>
      <w:r w:rsidRPr="00625A65">
        <w:rPr>
          <w:rFonts w:ascii="Calibri" w:hAnsi="Calibri"/>
          <w:b/>
          <w:sz w:val="24"/>
        </w:rPr>
        <w:t>Registry study</w:t>
      </w:r>
    </w:p>
    <w:p w:rsidR="0007433F" w:rsidRPr="00625A65" w:rsidRDefault="0007433F">
      <w:pPr>
        <w:rPr>
          <w:rFonts w:ascii="Calibri" w:hAnsi="Calibri"/>
          <w:sz w:val="24"/>
        </w:rPr>
      </w:pPr>
    </w:p>
    <w:p w:rsidR="0007433F" w:rsidRPr="00625A65" w:rsidRDefault="00D27D4A">
      <w:pPr>
        <w:ind w:left="720"/>
        <w:rPr>
          <w:rFonts w:ascii="Calibri" w:hAnsi="Calibri"/>
          <w:sz w:val="24"/>
        </w:rPr>
      </w:pPr>
      <w:r w:rsidRPr="00625A65">
        <w:rPr>
          <w:rFonts w:ascii="Calibri" w:hAnsi="Calibri"/>
          <w:sz w:val="24"/>
        </w:rPr>
        <w:t>Methods for case re-ascertainment and capture-recapture methods are u</w:t>
      </w:r>
      <w:r w:rsidR="009F22E3" w:rsidRPr="00625A65">
        <w:rPr>
          <w:rFonts w:ascii="Calibri" w:hAnsi="Calibri"/>
          <w:sz w:val="24"/>
        </w:rPr>
        <w:t xml:space="preserve">tilized to maximize case registration. </w:t>
      </w:r>
    </w:p>
    <w:p w:rsidR="0007433F" w:rsidRPr="00625A65" w:rsidRDefault="009F22E3">
      <w:pPr>
        <w:pStyle w:val="Heading3"/>
        <w:keepNext w:val="0"/>
        <w:spacing w:line="240" w:lineRule="auto"/>
        <w:rPr>
          <w:rFonts w:ascii="Calibri" w:hAnsi="Calibri"/>
          <w:sz w:val="24"/>
          <w:szCs w:val="24"/>
        </w:rPr>
      </w:pPr>
      <w:bookmarkStart w:id="7" w:name="_Toc275265476"/>
      <w:r w:rsidRPr="00625A65">
        <w:rPr>
          <w:rFonts w:ascii="Calibri" w:hAnsi="Calibri"/>
          <w:sz w:val="24"/>
          <w:szCs w:val="24"/>
        </w:rPr>
        <w:t>Cohort study</w:t>
      </w:r>
      <w:r w:rsidR="00672989" w:rsidRPr="00625A65">
        <w:rPr>
          <w:rFonts w:ascii="Calibri" w:hAnsi="Calibri"/>
          <w:sz w:val="24"/>
          <w:szCs w:val="24"/>
        </w:rPr>
        <w:t xml:space="preserve"> r</w:t>
      </w:r>
      <w:r w:rsidR="005B307A" w:rsidRPr="00625A65">
        <w:rPr>
          <w:rFonts w:ascii="Calibri" w:hAnsi="Calibri"/>
          <w:sz w:val="24"/>
          <w:szCs w:val="24"/>
        </w:rPr>
        <w:t xml:space="preserve">etention </w:t>
      </w:r>
      <w:r w:rsidR="00672989" w:rsidRPr="00625A65">
        <w:rPr>
          <w:rFonts w:ascii="Calibri" w:hAnsi="Calibri"/>
          <w:sz w:val="24"/>
          <w:szCs w:val="24"/>
        </w:rPr>
        <w:t>s</w:t>
      </w:r>
      <w:r w:rsidR="005B307A" w:rsidRPr="00625A65">
        <w:rPr>
          <w:rFonts w:ascii="Calibri" w:hAnsi="Calibri"/>
          <w:sz w:val="24"/>
          <w:szCs w:val="24"/>
        </w:rPr>
        <w:t>trategies</w:t>
      </w:r>
      <w:bookmarkEnd w:id="7"/>
    </w:p>
    <w:p w:rsidR="0007433F" w:rsidRPr="00625A65" w:rsidRDefault="00672989">
      <w:pPr>
        <w:spacing w:before="120" w:after="120"/>
        <w:ind w:left="720"/>
        <w:rPr>
          <w:rFonts w:ascii="Calibri" w:hAnsi="Calibri"/>
          <w:sz w:val="24"/>
        </w:rPr>
      </w:pPr>
      <w:r w:rsidRPr="00625A65">
        <w:rPr>
          <w:rFonts w:ascii="Calibri" w:hAnsi="Calibri"/>
          <w:sz w:val="24"/>
        </w:rPr>
        <w:t xml:space="preserve">Retention strategies will include </w:t>
      </w:r>
      <w:r w:rsidR="005B307A" w:rsidRPr="00625A65">
        <w:rPr>
          <w:rFonts w:ascii="Calibri" w:hAnsi="Calibri"/>
          <w:sz w:val="24"/>
        </w:rPr>
        <w:t xml:space="preserve">traditional, proven, cohort retention strategies </w:t>
      </w:r>
      <w:r w:rsidRPr="00625A65">
        <w:rPr>
          <w:rFonts w:ascii="Calibri" w:hAnsi="Calibri"/>
          <w:sz w:val="24"/>
        </w:rPr>
        <w:t>such as</w:t>
      </w:r>
      <w:r w:rsidR="005B307A" w:rsidRPr="00625A65">
        <w:rPr>
          <w:rFonts w:ascii="Calibri" w:hAnsi="Calibri"/>
          <w:sz w:val="24"/>
        </w:rPr>
        <w:t>: birthday cards, study newsletters, updating contact information annually, utilizing internet-based search systems to locate individuals lost to follow-up, using cell-phone text messaging and e-mail, offering flexible study date appointments including home visits, offering assistance with transportation, mailing pre-visit instructions, a reminder call prior to the visit, acknowledgement of participation, and participant remunerations that are appropriate for the length and the respondent burden of the proposed study visit.  Investigators and study personnel will also continue to solicit the support of diabetes providers to encourage on-going study participation.  Communications with providers include letters, e-mail messages, telephone calls, newsletters, individual discussions, and group presentations of study goals and preliminary results.</w:t>
      </w:r>
    </w:p>
    <w:p w:rsidR="0007433F" w:rsidRPr="00625A65" w:rsidRDefault="0007433F">
      <w:pPr>
        <w:spacing w:before="120" w:after="120"/>
        <w:ind w:left="720"/>
        <w:rPr>
          <w:rFonts w:ascii="Calibri" w:hAnsi="Calibri"/>
          <w:sz w:val="24"/>
        </w:rPr>
      </w:pPr>
    </w:p>
    <w:p w:rsidR="0007433F" w:rsidRPr="00625A65" w:rsidRDefault="000A6994">
      <w:pPr>
        <w:spacing w:before="120" w:after="120"/>
        <w:rPr>
          <w:rFonts w:ascii="Calibri" w:hAnsi="Calibri"/>
          <w:b/>
          <w:sz w:val="24"/>
        </w:rPr>
      </w:pPr>
      <w:r w:rsidRPr="00625A65">
        <w:rPr>
          <w:rFonts w:ascii="Calibri" w:hAnsi="Calibri"/>
          <w:b/>
          <w:sz w:val="24"/>
        </w:rPr>
        <w:t>B.4. Tests of Procedures or Methods to be Undertaken</w:t>
      </w:r>
    </w:p>
    <w:p w:rsidR="00BB4C42" w:rsidRPr="00625A65" w:rsidRDefault="00BB4C42" w:rsidP="00BB4C42">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Shruti"/>
          <w:sz w:val="24"/>
        </w:rPr>
      </w:pPr>
      <w:r w:rsidRPr="00625A65">
        <w:rPr>
          <w:rFonts w:asciiTheme="minorHAnsi" w:hAnsiTheme="minorHAnsi" w:cs="Shruti"/>
          <w:sz w:val="24"/>
        </w:rPr>
        <w:t xml:space="preserve">The procedures and methods of data collection have all been refined previously to minimize burden and improve utility in SEARCH 1 and SEARCH 2.  In addition, </w:t>
      </w:r>
      <w:r w:rsidR="001946C3" w:rsidRPr="00625A65">
        <w:rPr>
          <w:rFonts w:asciiTheme="minorHAnsi" w:hAnsiTheme="minorHAnsi" w:cs="Shruti"/>
          <w:sz w:val="24"/>
        </w:rPr>
        <w:t>t</w:t>
      </w:r>
      <w:r w:rsidRPr="00625A65">
        <w:rPr>
          <w:rFonts w:asciiTheme="minorHAnsi" w:hAnsiTheme="minorHAnsi" w:cs="Shruti"/>
          <w:sz w:val="24"/>
        </w:rPr>
        <w:t xml:space="preserve">he majority of data collection instruments (for example the Centers for Epidemiologic Studies-Depression, Pediatric Quality of Life and the Tanner Stage) have been used and validated in other epidemiologic and clinical studies. There are no new procedures or methods of data collections being undertaken during the period of data collections being herein requested.  </w:t>
      </w:r>
    </w:p>
    <w:p w:rsidR="001E12E7" w:rsidRPr="00625A65" w:rsidRDefault="001E12E7" w:rsidP="006D2512">
      <w:pPr>
        <w:widowControl/>
        <w:tabs>
          <w:tab w:val="left" w:pos="-1440"/>
          <w:tab w:val="left" w:pos="540"/>
        </w:tabs>
        <w:rPr>
          <w:rFonts w:ascii="Calibri" w:hAnsi="Calibri"/>
          <w:b/>
          <w:sz w:val="24"/>
        </w:rPr>
      </w:pPr>
    </w:p>
    <w:p w:rsidR="002A0E15" w:rsidRPr="00625A65" w:rsidRDefault="002A0E15" w:rsidP="006D2512">
      <w:pPr>
        <w:widowControl/>
        <w:tabs>
          <w:tab w:val="left" w:pos="-1440"/>
          <w:tab w:val="left" w:pos="540"/>
        </w:tabs>
        <w:rPr>
          <w:rFonts w:ascii="Calibri" w:hAnsi="Calibri"/>
          <w:b/>
          <w:sz w:val="24"/>
        </w:rPr>
      </w:pPr>
      <w:r w:rsidRPr="00625A65">
        <w:rPr>
          <w:rFonts w:ascii="Calibri" w:hAnsi="Calibri"/>
          <w:b/>
          <w:sz w:val="24"/>
        </w:rPr>
        <w:t>B.5.</w:t>
      </w:r>
      <w:r w:rsidR="00090CEC" w:rsidRPr="00625A65">
        <w:rPr>
          <w:rFonts w:ascii="Calibri" w:hAnsi="Calibri"/>
          <w:b/>
          <w:sz w:val="24"/>
        </w:rPr>
        <w:t xml:space="preserve"> </w:t>
      </w:r>
      <w:r w:rsidRPr="00625A65">
        <w:rPr>
          <w:rFonts w:ascii="Calibri" w:hAnsi="Calibri"/>
          <w:b/>
          <w:sz w:val="24"/>
        </w:rPr>
        <w:t xml:space="preserve">Individuals Consulted on Statistical Aspects and Individuals Collecting and/or </w:t>
      </w:r>
      <w:r w:rsidRPr="00625A65">
        <w:rPr>
          <w:rFonts w:ascii="Calibri" w:hAnsi="Calibri"/>
          <w:b/>
          <w:sz w:val="24"/>
        </w:rPr>
        <w:tab/>
      </w:r>
    </w:p>
    <w:p w:rsidR="002A0E15" w:rsidRPr="00625A65" w:rsidRDefault="002A0E15" w:rsidP="00342DC3">
      <w:pPr>
        <w:pStyle w:val="BodyTextIndent"/>
        <w:tabs>
          <w:tab w:val="left" w:pos="540"/>
        </w:tabs>
        <w:ind w:left="0"/>
        <w:rPr>
          <w:rFonts w:ascii="Calibri" w:hAnsi="Calibri"/>
          <w:b/>
        </w:rPr>
      </w:pPr>
      <w:r w:rsidRPr="00625A65">
        <w:rPr>
          <w:rFonts w:ascii="Calibri" w:hAnsi="Calibri"/>
          <w:b/>
        </w:rPr>
        <w:t>Analyzing Data</w:t>
      </w:r>
    </w:p>
    <w:p w:rsidR="00090CEC" w:rsidRPr="00625A65" w:rsidRDefault="00090CEC" w:rsidP="00342DC3">
      <w:pPr>
        <w:pStyle w:val="BodyTextIndent"/>
        <w:ind w:left="0"/>
        <w:rPr>
          <w:rFonts w:ascii="Calibri" w:hAnsi="Calibri"/>
          <w:b/>
        </w:rPr>
      </w:pPr>
    </w:p>
    <w:p w:rsidR="00090CEC" w:rsidRPr="00625A65" w:rsidRDefault="00090CEC" w:rsidP="00342DC3">
      <w:pPr>
        <w:pStyle w:val="BodyTextIndent"/>
        <w:ind w:left="0"/>
        <w:rPr>
          <w:rFonts w:ascii="Calibri" w:hAnsi="Calibri"/>
        </w:rPr>
      </w:pPr>
      <w:r w:rsidRPr="00625A65">
        <w:rPr>
          <w:rFonts w:ascii="Calibri" w:hAnsi="Calibri"/>
        </w:rPr>
        <w:t>CDC will consult wit</w:t>
      </w:r>
      <w:r w:rsidR="00E26B02" w:rsidRPr="00625A65">
        <w:rPr>
          <w:rFonts w:ascii="Calibri" w:hAnsi="Calibri"/>
        </w:rPr>
        <w:t xml:space="preserve">h the SEARCH Coordinating Center, SEARCH clinical sites and CDC partners.  </w:t>
      </w:r>
      <w:r w:rsidR="003F370E" w:rsidRPr="00625A65">
        <w:rPr>
          <w:rFonts w:ascii="Calibri" w:hAnsi="Calibri"/>
        </w:rPr>
        <w:t xml:space="preserve">The SEARCH Clinical Sites are responsible for the data collection from the participants.  The Coordinating Center is responsible collecting the data from the Clinical Sites.  </w:t>
      </w:r>
      <w:r w:rsidR="00E26B02" w:rsidRPr="00625A65">
        <w:rPr>
          <w:rFonts w:ascii="Calibri" w:hAnsi="Calibri"/>
        </w:rPr>
        <w:t>Data management and analysis will be performed by the SEARCH Coordinating Center at Wake Forest University.</w:t>
      </w:r>
      <w:r w:rsidR="003F370E" w:rsidRPr="00625A65">
        <w:rPr>
          <w:rFonts w:ascii="Calibri" w:hAnsi="Calibri"/>
        </w:rPr>
        <w:t xml:space="preserve"> Specific data analysis plans are developed in coll</w:t>
      </w:r>
      <w:r w:rsidR="00941B09" w:rsidRPr="00625A65">
        <w:rPr>
          <w:rFonts w:ascii="Calibri" w:hAnsi="Calibri"/>
        </w:rPr>
        <w:t>abor</w:t>
      </w:r>
      <w:r w:rsidR="003F370E" w:rsidRPr="00625A65">
        <w:rPr>
          <w:rFonts w:ascii="Calibri" w:hAnsi="Calibri"/>
        </w:rPr>
        <w:t>ation with the SEARCH Clinical Sites, the CDC and the Coordinating Center</w:t>
      </w:r>
    </w:p>
    <w:p w:rsidR="00E26B02" w:rsidRPr="00625A65" w:rsidRDefault="00E26B02" w:rsidP="006D2512">
      <w:pPr>
        <w:pStyle w:val="BodyTextIndent"/>
        <w:ind w:left="0"/>
        <w:rPr>
          <w:rFonts w:ascii="Calibri" w:hAnsi="Calibri"/>
        </w:rPr>
      </w:pPr>
    </w:p>
    <w:p w:rsidR="0007433F" w:rsidRPr="00625A65" w:rsidRDefault="00AA207E" w:rsidP="006D2512">
      <w:pPr>
        <w:rPr>
          <w:rFonts w:ascii="Calibri" w:hAnsi="Calibri" w:cs="Arial"/>
          <w:sz w:val="24"/>
        </w:rPr>
      </w:pPr>
      <w:r w:rsidRPr="00625A65">
        <w:rPr>
          <w:rFonts w:ascii="Calibri" w:hAnsi="Calibri" w:cs="Arial"/>
          <w:sz w:val="24"/>
        </w:rPr>
        <w:t xml:space="preserve">Ronny Bell, PhD and Ralph </w:t>
      </w:r>
      <w:proofErr w:type="spellStart"/>
      <w:r w:rsidRPr="00625A65">
        <w:rPr>
          <w:rFonts w:ascii="Calibri" w:hAnsi="Calibri" w:cs="Arial"/>
          <w:sz w:val="24"/>
        </w:rPr>
        <w:t>D’Agostino</w:t>
      </w:r>
      <w:proofErr w:type="spellEnd"/>
      <w:r w:rsidRPr="00625A65">
        <w:rPr>
          <w:rFonts w:ascii="Calibri" w:hAnsi="Calibri" w:cs="Arial"/>
          <w:sz w:val="24"/>
        </w:rPr>
        <w:t>, PhD</w:t>
      </w:r>
      <w:r w:rsidR="006D2512" w:rsidRPr="00625A65">
        <w:rPr>
          <w:rFonts w:ascii="Calibri" w:hAnsi="Calibri" w:cs="Arial"/>
          <w:sz w:val="24"/>
        </w:rPr>
        <w:t>.</w:t>
      </w:r>
      <w:r w:rsidRPr="00625A65">
        <w:rPr>
          <w:rFonts w:ascii="Calibri" w:hAnsi="Calibri" w:cs="Arial"/>
          <w:sz w:val="24"/>
        </w:rPr>
        <w:t xml:space="preserve"> </w:t>
      </w:r>
    </w:p>
    <w:p w:rsidR="0007433F" w:rsidRPr="00625A65" w:rsidRDefault="00941B09" w:rsidP="006D2512">
      <w:pPr>
        <w:rPr>
          <w:rFonts w:ascii="Calibri" w:hAnsi="Calibri" w:cs="Arial"/>
          <w:sz w:val="24"/>
        </w:rPr>
      </w:pPr>
      <w:r w:rsidRPr="00625A65">
        <w:rPr>
          <w:rFonts w:ascii="Calibri" w:hAnsi="Calibri" w:cs="Arial"/>
          <w:sz w:val="24"/>
        </w:rPr>
        <w:t>Principal Investigators for the Coordinating Center, Responsible for overseeing the data collection from the SEARCH Clinical sites and the data analysis.</w:t>
      </w:r>
    </w:p>
    <w:p w:rsidR="0007433F" w:rsidRPr="00625A65" w:rsidRDefault="00AA207E" w:rsidP="006D2512">
      <w:pPr>
        <w:rPr>
          <w:rFonts w:ascii="Calibri" w:hAnsi="Calibri" w:cs="Arial"/>
          <w:sz w:val="24"/>
        </w:rPr>
      </w:pPr>
      <w:r w:rsidRPr="00625A65">
        <w:rPr>
          <w:rFonts w:ascii="Calibri" w:hAnsi="Calibri" w:cs="Arial"/>
          <w:sz w:val="24"/>
        </w:rPr>
        <w:lastRenderedPageBreak/>
        <w:t>Wake Forest University School of Medicine– Coordinating Center</w:t>
      </w:r>
    </w:p>
    <w:p w:rsidR="0007433F" w:rsidRPr="00625A65" w:rsidRDefault="00AA207E" w:rsidP="006D2512">
      <w:pPr>
        <w:rPr>
          <w:rFonts w:ascii="Calibri" w:hAnsi="Calibri" w:cs="Arial"/>
          <w:sz w:val="24"/>
        </w:rPr>
      </w:pPr>
      <w:r w:rsidRPr="00625A65">
        <w:rPr>
          <w:rFonts w:ascii="Calibri" w:hAnsi="Calibri" w:cs="Arial"/>
          <w:sz w:val="24"/>
        </w:rPr>
        <w:t>Wake Forest University Health Sciences Medical Center Blvd.</w:t>
      </w:r>
    </w:p>
    <w:p w:rsidR="00D8537A" w:rsidRPr="00625A65" w:rsidRDefault="00AA207E" w:rsidP="00D8537A">
      <w:pPr>
        <w:rPr>
          <w:rFonts w:ascii="Calibri" w:hAnsi="Calibri" w:cs="Arial"/>
          <w:sz w:val="24"/>
        </w:rPr>
      </w:pPr>
      <w:r w:rsidRPr="00625A65">
        <w:rPr>
          <w:rFonts w:ascii="Calibri" w:hAnsi="Calibri" w:cs="Arial"/>
          <w:sz w:val="24"/>
        </w:rPr>
        <w:t>Winston-Salem, NC  27157</w:t>
      </w:r>
    </w:p>
    <w:p w:rsidR="0007433F" w:rsidRPr="00625A65" w:rsidRDefault="00D8537A" w:rsidP="006D2512">
      <w:pPr>
        <w:rPr>
          <w:rFonts w:ascii="Calibri" w:hAnsi="Calibri" w:cs="Arial"/>
          <w:sz w:val="24"/>
        </w:rPr>
      </w:pPr>
      <w:r w:rsidRPr="00625A65">
        <w:rPr>
          <w:rFonts w:ascii="Calibri" w:hAnsi="Calibri" w:cs="Arial"/>
          <w:sz w:val="24"/>
        </w:rPr>
        <w:t xml:space="preserve">336-716-9736 </w:t>
      </w:r>
    </w:p>
    <w:p w:rsidR="0007433F" w:rsidRPr="00625A65" w:rsidRDefault="000429A1" w:rsidP="006D2512">
      <w:pPr>
        <w:rPr>
          <w:rFonts w:ascii="Calibri" w:hAnsi="Calibri" w:cs="Arial"/>
          <w:sz w:val="24"/>
        </w:rPr>
      </w:pPr>
      <w:hyperlink r:id="rId11" w:history="1">
        <w:r w:rsidR="00CB08BC" w:rsidRPr="00625A65">
          <w:rPr>
            <w:rStyle w:val="Hyperlink"/>
            <w:rFonts w:ascii="Calibri" w:hAnsi="Calibri" w:cs="Arial"/>
            <w:sz w:val="24"/>
          </w:rPr>
          <w:t>rbell@wfubmc.edu</w:t>
        </w:r>
      </w:hyperlink>
    </w:p>
    <w:p w:rsidR="0007433F" w:rsidRPr="00625A65" w:rsidRDefault="0007433F" w:rsidP="006D2512">
      <w:pPr>
        <w:rPr>
          <w:rFonts w:ascii="Calibri" w:hAnsi="Calibri" w:cs="Arial"/>
          <w:sz w:val="24"/>
        </w:rPr>
      </w:pPr>
    </w:p>
    <w:p w:rsidR="0007433F" w:rsidRPr="00625A65" w:rsidRDefault="00AA207E" w:rsidP="006D2512">
      <w:pPr>
        <w:rPr>
          <w:rFonts w:ascii="Calibri" w:hAnsi="Calibri" w:cs="Arial"/>
          <w:sz w:val="24"/>
        </w:rPr>
      </w:pPr>
      <w:r w:rsidRPr="00625A65">
        <w:rPr>
          <w:rFonts w:ascii="Calibri" w:hAnsi="Calibri" w:cs="Arial"/>
          <w:sz w:val="24"/>
        </w:rPr>
        <w:t xml:space="preserve">Ralph </w:t>
      </w:r>
      <w:proofErr w:type="spellStart"/>
      <w:r w:rsidRPr="00625A65">
        <w:rPr>
          <w:rFonts w:ascii="Calibri" w:hAnsi="Calibri" w:cs="Arial"/>
          <w:sz w:val="24"/>
        </w:rPr>
        <w:t>D’Agostino</w:t>
      </w:r>
      <w:proofErr w:type="spellEnd"/>
      <w:r w:rsidRPr="00625A65">
        <w:rPr>
          <w:rFonts w:ascii="Calibri" w:hAnsi="Calibri" w:cs="Arial"/>
          <w:sz w:val="24"/>
        </w:rPr>
        <w:t xml:space="preserve">, PhD </w:t>
      </w:r>
    </w:p>
    <w:p w:rsidR="0007433F" w:rsidRPr="00625A65" w:rsidRDefault="00AA207E" w:rsidP="006D2512">
      <w:pPr>
        <w:rPr>
          <w:rFonts w:ascii="Calibri" w:hAnsi="Calibri" w:cs="Arial"/>
          <w:sz w:val="24"/>
        </w:rPr>
      </w:pPr>
      <w:r w:rsidRPr="00625A65">
        <w:rPr>
          <w:rFonts w:ascii="Calibri" w:hAnsi="Calibri" w:cs="Arial"/>
          <w:sz w:val="24"/>
        </w:rPr>
        <w:t>Wake Forest University School of Medicine– Coordinating Center</w:t>
      </w:r>
    </w:p>
    <w:p w:rsidR="0007433F" w:rsidRPr="00625A65" w:rsidRDefault="00AA207E" w:rsidP="006D2512">
      <w:pPr>
        <w:rPr>
          <w:rFonts w:ascii="Calibri" w:hAnsi="Calibri" w:cs="Arial"/>
          <w:sz w:val="24"/>
        </w:rPr>
      </w:pPr>
      <w:r w:rsidRPr="00625A65">
        <w:rPr>
          <w:rFonts w:ascii="Calibri" w:hAnsi="Calibri" w:cs="Arial"/>
          <w:sz w:val="24"/>
        </w:rPr>
        <w:t>Wake Forest University Health Sciences Medical Center Blvd.</w:t>
      </w:r>
    </w:p>
    <w:p w:rsidR="0007433F" w:rsidRPr="00625A65" w:rsidRDefault="00AA207E" w:rsidP="006D2512">
      <w:pPr>
        <w:rPr>
          <w:rFonts w:ascii="Calibri" w:hAnsi="Calibri" w:cs="Arial"/>
          <w:sz w:val="24"/>
        </w:rPr>
      </w:pPr>
      <w:r w:rsidRPr="00625A65">
        <w:rPr>
          <w:rFonts w:ascii="Calibri" w:hAnsi="Calibri" w:cs="Arial"/>
          <w:sz w:val="24"/>
        </w:rPr>
        <w:t>Winston-Salem, NC  27157</w:t>
      </w:r>
    </w:p>
    <w:p w:rsidR="0007433F" w:rsidRPr="00625A65" w:rsidRDefault="00AA207E" w:rsidP="006D2512">
      <w:pPr>
        <w:rPr>
          <w:rFonts w:ascii="Calibri" w:hAnsi="Calibri" w:cs="Arial"/>
          <w:sz w:val="24"/>
        </w:rPr>
      </w:pPr>
      <w:r w:rsidRPr="00625A65">
        <w:rPr>
          <w:rFonts w:ascii="Calibri" w:hAnsi="Calibri" w:cs="Arial"/>
          <w:sz w:val="24"/>
        </w:rPr>
        <w:t xml:space="preserve">336-716-9410 </w:t>
      </w:r>
    </w:p>
    <w:p w:rsidR="0007433F" w:rsidRPr="00625A65" w:rsidRDefault="000429A1" w:rsidP="006D2512">
      <w:pPr>
        <w:rPr>
          <w:rFonts w:ascii="Calibri" w:hAnsi="Calibri" w:cs="Arial"/>
          <w:sz w:val="24"/>
        </w:rPr>
      </w:pPr>
      <w:hyperlink r:id="rId12" w:history="1">
        <w:r w:rsidR="00AA207E" w:rsidRPr="00625A65">
          <w:rPr>
            <w:rStyle w:val="Hyperlink"/>
            <w:rFonts w:ascii="Calibri" w:hAnsi="Calibri" w:cs="Arial"/>
            <w:sz w:val="24"/>
          </w:rPr>
          <w:t>rdagosti@wfubmc.edu</w:t>
        </w:r>
      </w:hyperlink>
    </w:p>
    <w:p w:rsidR="0007433F" w:rsidRPr="00625A65" w:rsidRDefault="0007433F" w:rsidP="006D2512">
      <w:pPr>
        <w:rPr>
          <w:rFonts w:ascii="Calibri" w:hAnsi="Calibri"/>
          <w:sz w:val="24"/>
        </w:rPr>
      </w:pPr>
    </w:p>
    <w:p w:rsidR="0007433F" w:rsidRPr="00625A65" w:rsidRDefault="00AA207E" w:rsidP="006D2512">
      <w:pPr>
        <w:rPr>
          <w:rFonts w:ascii="Calibri" w:hAnsi="Calibri"/>
          <w:sz w:val="24"/>
        </w:rPr>
      </w:pPr>
      <w:r w:rsidRPr="00625A65">
        <w:rPr>
          <w:rFonts w:ascii="Calibri" w:hAnsi="Calibri"/>
          <w:sz w:val="24"/>
        </w:rPr>
        <w:t xml:space="preserve">Sharon </w:t>
      </w:r>
      <w:proofErr w:type="spellStart"/>
      <w:r w:rsidRPr="00625A65">
        <w:rPr>
          <w:rFonts w:ascii="Calibri" w:hAnsi="Calibri"/>
          <w:sz w:val="24"/>
        </w:rPr>
        <w:t>Saydah</w:t>
      </w:r>
      <w:proofErr w:type="spellEnd"/>
      <w:r w:rsidRPr="00625A65">
        <w:rPr>
          <w:rFonts w:ascii="Calibri" w:hAnsi="Calibri"/>
          <w:sz w:val="24"/>
        </w:rPr>
        <w:t>, PhD</w:t>
      </w:r>
    </w:p>
    <w:p w:rsidR="0007433F" w:rsidRPr="00625A65" w:rsidRDefault="00AA207E" w:rsidP="006D2512">
      <w:pPr>
        <w:rPr>
          <w:rFonts w:ascii="Calibri" w:hAnsi="Calibri"/>
          <w:sz w:val="24"/>
        </w:rPr>
      </w:pPr>
      <w:r w:rsidRPr="00625A65">
        <w:rPr>
          <w:rFonts w:ascii="Calibri" w:hAnsi="Calibri"/>
          <w:sz w:val="24"/>
        </w:rPr>
        <w:t>Senior Scientist</w:t>
      </w:r>
    </w:p>
    <w:p w:rsidR="0007433F" w:rsidRPr="00625A65" w:rsidRDefault="00AA207E" w:rsidP="006D2512">
      <w:pPr>
        <w:rPr>
          <w:rFonts w:ascii="Calibri" w:hAnsi="Calibri"/>
          <w:sz w:val="24"/>
        </w:rPr>
      </w:pPr>
      <w:r w:rsidRPr="00625A65">
        <w:rPr>
          <w:rFonts w:ascii="Calibri" w:hAnsi="Calibri"/>
          <w:sz w:val="24"/>
        </w:rPr>
        <w:t>CDR USPHS</w:t>
      </w:r>
    </w:p>
    <w:p w:rsidR="0007433F" w:rsidRPr="00625A65" w:rsidRDefault="00AA207E" w:rsidP="006D2512">
      <w:pPr>
        <w:rPr>
          <w:rFonts w:ascii="Calibri" w:hAnsi="Calibri"/>
          <w:sz w:val="24"/>
        </w:rPr>
      </w:pPr>
      <w:r w:rsidRPr="00625A65">
        <w:rPr>
          <w:rFonts w:ascii="Calibri" w:hAnsi="Calibri"/>
          <w:sz w:val="24"/>
        </w:rPr>
        <w:t>Centers for Disease Control and Prevention</w:t>
      </w:r>
    </w:p>
    <w:p w:rsidR="0007433F" w:rsidRPr="00625A65" w:rsidRDefault="00AA207E" w:rsidP="006D2512">
      <w:pPr>
        <w:rPr>
          <w:rFonts w:ascii="Calibri" w:hAnsi="Calibri"/>
          <w:sz w:val="24"/>
        </w:rPr>
      </w:pPr>
      <w:r w:rsidRPr="00625A65">
        <w:rPr>
          <w:rFonts w:ascii="Calibri" w:hAnsi="Calibri"/>
          <w:sz w:val="24"/>
        </w:rPr>
        <w:t>Division of Diabetes Translation</w:t>
      </w:r>
    </w:p>
    <w:p w:rsidR="0007433F" w:rsidRPr="00625A65" w:rsidRDefault="00090CEC" w:rsidP="006D2512">
      <w:pPr>
        <w:rPr>
          <w:rFonts w:ascii="Calibri" w:hAnsi="Calibri"/>
          <w:color w:val="000000"/>
          <w:sz w:val="24"/>
        </w:rPr>
      </w:pPr>
      <w:proofErr w:type="spellStart"/>
      <w:r w:rsidRPr="00625A65">
        <w:rPr>
          <w:rFonts w:ascii="Calibri" w:hAnsi="Calibri"/>
          <w:color w:val="000000"/>
          <w:sz w:val="24"/>
        </w:rPr>
        <w:t>Koger</w:t>
      </w:r>
      <w:proofErr w:type="spellEnd"/>
      <w:r w:rsidRPr="00625A65">
        <w:rPr>
          <w:rFonts w:ascii="Calibri" w:hAnsi="Calibri"/>
          <w:color w:val="000000"/>
          <w:sz w:val="24"/>
        </w:rPr>
        <w:t xml:space="preserve"> Center, Williams </w:t>
      </w:r>
      <w:proofErr w:type="spellStart"/>
      <w:r w:rsidRPr="00625A65">
        <w:rPr>
          <w:rFonts w:ascii="Calibri" w:hAnsi="Calibri"/>
          <w:color w:val="000000"/>
          <w:sz w:val="24"/>
        </w:rPr>
        <w:t>Blg</w:t>
      </w:r>
      <w:proofErr w:type="spellEnd"/>
    </w:p>
    <w:p w:rsidR="0007433F" w:rsidRPr="00625A65" w:rsidRDefault="003E7CE6" w:rsidP="006D2512">
      <w:pPr>
        <w:rPr>
          <w:rFonts w:ascii="Calibri" w:hAnsi="Calibri"/>
          <w:color w:val="000000"/>
          <w:sz w:val="24"/>
          <w:lang w:val="it-IT"/>
        </w:rPr>
      </w:pPr>
      <w:r w:rsidRPr="00625A65">
        <w:rPr>
          <w:rFonts w:ascii="Calibri" w:hAnsi="Calibri"/>
          <w:color w:val="000000"/>
          <w:sz w:val="24"/>
          <w:lang w:val="it-IT"/>
        </w:rPr>
        <w:t>Atlanta, GA 30341</w:t>
      </w:r>
    </w:p>
    <w:p w:rsidR="0007433F" w:rsidRPr="00625A65" w:rsidRDefault="003E7CE6" w:rsidP="006D2512">
      <w:pPr>
        <w:rPr>
          <w:rFonts w:ascii="Calibri" w:hAnsi="Calibri"/>
          <w:sz w:val="24"/>
          <w:lang w:val="it-IT"/>
        </w:rPr>
      </w:pPr>
      <w:r w:rsidRPr="00625A65">
        <w:rPr>
          <w:rFonts w:ascii="Calibri" w:hAnsi="Calibri"/>
          <w:sz w:val="24"/>
          <w:lang w:val="it-IT"/>
        </w:rPr>
        <w:t>301-458-4183</w:t>
      </w:r>
    </w:p>
    <w:p w:rsidR="0007433F" w:rsidRPr="00625A65" w:rsidRDefault="000429A1" w:rsidP="006D2512">
      <w:pPr>
        <w:rPr>
          <w:rFonts w:ascii="Calibri" w:hAnsi="Calibri"/>
          <w:sz w:val="24"/>
          <w:lang w:val="it-IT"/>
        </w:rPr>
      </w:pPr>
      <w:hyperlink r:id="rId13" w:history="1">
        <w:r w:rsidR="003E7CE6" w:rsidRPr="00625A65">
          <w:rPr>
            <w:rStyle w:val="Hyperlink"/>
            <w:rFonts w:ascii="Calibri" w:hAnsi="Calibri"/>
            <w:sz w:val="24"/>
            <w:lang w:val="it-IT"/>
          </w:rPr>
          <w:t>ssaydah@cdc.gov</w:t>
        </w:r>
      </w:hyperlink>
    </w:p>
    <w:p w:rsidR="0007433F" w:rsidRPr="00625A65" w:rsidRDefault="0007433F" w:rsidP="006D2512">
      <w:pPr>
        <w:rPr>
          <w:rFonts w:ascii="Calibri" w:hAnsi="Calibri"/>
          <w:sz w:val="24"/>
          <w:lang w:val="it-IT"/>
        </w:rPr>
      </w:pPr>
    </w:p>
    <w:p w:rsidR="0007433F" w:rsidRPr="00625A65" w:rsidRDefault="003E7CE6" w:rsidP="006D2512">
      <w:pPr>
        <w:rPr>
          <w:rFonts w:ascii="Calibri" w:hAnsi="Calibri"/>
          <w:sz w:val="24"/>
          <w:lang w:val="it-IT"/>
        </w:rPr>
      </w:pPr>
      <w:r w:rsidRPr="00625A65">
        <w:rPr>
          <w:rFonts w:ascii="Calibri" w:hAnsi="Calibri"/>
          <w:sz w:val="24"/>
          <w:lang w:val="it-IT"/>
        </w:rPr>
        <w:t>Giuseppina Imperatore, MD PhD</w:t>
      </w:r>
    </w:p>
    <w:p w:rsidR="0007433F" w:rsidRPr="00625A65" w:rsidRDefault="00090CEC" w:rsidP="006D2512">
      <w:pPr>
        <w:rPr>
          <w:rFonts w:ascii="Calibri" w:hAnsi="Calibri"/>
          <w:sz w:val="24"/>
        </w:rPr>
      </w:pPr>
      <w:r w:rsidRPr="00625A65">
        <w:rPr>
          <w:rFonts w:ascii="Calibri" w:hAnsi="Calibri"/>
          <w:sz w:val="24"/>
        </w:rPr>
        <w:t>Epidemiology Team Lead</w:t>
      </w:r>
    </w:p>
    <w:p w:rsidR="0007433F" w:rsidRPr="00625A65" w:rsidRDefault="00090CEC" w:rsidP="006D2512">
      <w:pPr>
        <w:rPr>
          <w:rFonts w:ascii="Calibri" w:hAnsi="Calibri"/>
          <w:sz w:val="24"/>
        </w:rPr>
      </w:pPr>
      <w:r w:rsidRPr="00625A65">
        <w:rPr>
          <w:rFonts w:ascii="Calibri" w:hAnsi="Calibri"/>
          <w:sz w:val="24"/>
        </w:rPr>
        <w:t>Centers for Disease Control and Prevention</w:t>
      </w:r>
    </w:p>
    <w:p w:rsidR="0007433F" w:rsidRPr="00625A65" w:rsidRDefault="00090CEC" w:rsidP="006D2512">
      <w:pPr>
        <w:rPr>
          <w:rFonts w:ascii="Calibri" w:hAnsi="Calibri"/>
          <w:sz w:val="24"/>
        </w:rPr>
      </w:pPr>
      <w:r w:rsidRPr="00625A65">
        <w:rPr>
          <w:rFonts w:ascii="Calibri" w:hAnsi="Calibri"/>
          <w:sz w:val="24"/>
        </w:rPr>
        <w:t>Division of Diabetes Translation</w:t>
      </w:r>
    </w:p>
    <w:p w:rsidR="0007433F" w:rsidRPr="00625A65" w:rsidRDefault="00090CEC" w:rsidP="006D2512">
      <w:pPr>
        <w:rPr>
          <w:rFonts w:ascii="Calibri" w:hAnsi="Calibri"/>
          <w:color w:val="000000"/>
          <w:sz w:val="24"/>
        </w:rPr>
      </w:pPr>
      <w:proofErr w:type="spellStart"/>
      <w:r w:rsidRPr="00625A65">
        <w:rPr>
          <w:rFonts w:ascii="Calibri" w:hAnsi="Calibri"/>
          <w:color w:val="000000"/>
          <w:sz w:val="24"/>
        </w:rPr>
        <w:t>Koger</w:t>
      </w:r>
      <w:proofErr w:type="spellEnd"/>
      <w:r w:rsidRPr="00625A65">
        <w:rPr>
          <w:rFonts w:ascii="Calibri" w:hAnsi="Calibri"/>
          <w:color w:val="000000"/>
          <w:sz w:val="24"/>
        </w:rPr>
        <w:t xml:space="preserve"> Center, Williams </w:t>
      </w:r>
      <w:proofErr w:type="spellStart"/>
      <w:r w:rsidRPr="00625A65">
        <w:rPr>
          <w:rFonts w:ascii="Calibri" w:hAnsi="Calibri"/>
          <w:color w:val="000000"/>
          <w:sz w:val="24"/>
        </w:rPr>
        <w:t>Blg</w:t>
      </w:r>
      <w:proofErr w:type="spellEnd"/>
    </w:p>
    <w:p w:rsidR="0007433F" w:rsidRPr="00625A65" w:rsidRDefault="00090CEC" w:rsidP="006D2512">
      <w:pPr>
        <w:rPr>
          <w:rFonts w:ascii="Calibri" w:hAnsi="Calibri"/>
          <w:color w:val="000000"/>
          <w:sz w:val="24"/>
        </w:rPr>
      </w:pPr>
      <w:r w:rsidRPr="00625A65">
        <w:rPr>
          <w:rFonts w:ascii="Calibri" w:hAnsi="Calibri"/>
          <w:color w:val="000000"/>
          <w:sz w:val="24"/>
        </w:rPr>
        <w:t>Atlanta, GA 30341</w:t>
      </w:r>
    </w:p>
    <w:p w:rsidR="0007433F" w:rsidRPr="00625A65" w:rsidRDefault="00090CEC" w:rsidP="006D2512">
      <w:pPr>
        <w:rPr>
          <w:rFonts w:ascii="Calibri" w:hAnsi="Calibri"/>
          <w:color w:val="000000"/>
          <w:sz w:val="24"/>
        </w:rPr>
      </w:pPr>
      <w:r w:rsidRPr="00625A65">
        <w:rPr>
          <w:rFonts w:ascii="Calibri" w:hAnsi="Calibri"/>
          <w:color w:val="000000"/>
          <w:sz w:val="24"/>
        </w:rPr>
        <w:t>770-488-5821</w:t>
      </w:r>
    </w:p>
    <w:p w:rsidR="0007433F" w:rsidRDefault="000429A1" w:rsidP="006D2512">
      <w:pPr>
        <w:rPr>
          <w:rFonts w:ascii="Times New Roman" w:hAnsi="Times New Roman"/>
          <w:b/>
          <w:sz w:val="24"/>
        </w:rPr>
      </w:pPr>
      <w:hyperlink r:id="rId14" w:history="1">
        <w:r w:rsidR="00090CEC" w:rsidRPr="00625A65">
          <w:rPr>
            <w:rStyle w:val="Hyperlink"/>
            <w:rFonts w:ascii="Calibri" w:hAnsi="Calibri"/>
            <w:sz w:val="24"/>
          </w:rPr>
          <w:t>Gai5@cdc.gov</w:t>
        </w:r>
      </w:hyperlink>
    </w:p>
    <w:sectPr w:rsidR="0007433F" w:rsidSect="00444FE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A6" w:rsidRDefault="00953BA6" w:rsidP="00043767">
      <w:r>
        <w:separator/>
      </w:r>
    </w:p>
  </w:endnote>
  <w:endnote w:type="continuationSeparator" w:id="0">
    <w:p w:rsidR="00953BA6" w:rsidRDefault="00953BA6" w:rsidP="0004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6" w:rsidRDefault="00953BA6">
    <w:pPr>
      <w:pStyle w:val="Footer"/>
      <w:jc w:val="right"/>
    </w:pPr>
    <w:r>
      <w:fldChar w:fldCharType="begin"/>
    </w:r>
    <w:r>
      <w:instrText xml:space="preserve"> PAGE   \* MERGEFORMAT </w:instrText>
    </w:r>
    <w:r>
      <w:fldChar w:fldCharType="separate"/>
    </w:r>
    <w:r w:rsidR="000429A1">
      <w:rPr>
        <w:noProof/>
      </w:rPr>
      <w:t>12</w:t>
    </w:r>
    <w:r>
      <w:rPr>
        <w:noProof/>
      </w:rPr>
      <w:fldChar w:fldCharType="end"/>
    </w:r>
  </w:p>
  <w:p w:rsidR="00953BA6" w:rsidRDefault="00953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A6" w:rsidRDefault="00953BA6" w:rsidP="00043767">
      <w:r>
        <w:separator/>
      </w:r>
    </w:p>
  </w:footnote>
  <w:footnote w:type="continuationSeparator" w:id="0">
    <w:p w:rsidR="00953BA6" w:rsidRDefault="00953BA6" w:rsidP="00043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6" w:rsidRDefault="00953BA6">
    <w:pPr>
      <w:pStyle w:val="Header"/>
    </w:pPr>
    <w:r>
      <w:t>DRAFT</w:t>
    </w:r>
  </w:p>
  <w:p w:rsidR="00953BA6" w:rsidRDefault="00953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65244"/>
    <w:multiLevelType w:val="hybridMultilevel"/>
    <w:tmpl w:val="25DE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0774EC6"/>
    <w:multiLevelType w:val="hybridMultilevel"/>
    <w:tmpl w:val="B04E4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474074"/>
    <w:multiLevelType w:val="hybridMultilevel"/>
    <w:tmpl w:val="CFD6F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774E37"/>
    <w:multiLevelType w:val="hybridMultilevel"/>
    <w:tmpl w:val="940AC678"/>
    <w:lvl w:ilvl="0" w:tplc="7C147F66">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74"/>
    <w:rsid w:val="0002364F"/>
    <w:rsid w:val="000429A1"/>
    <w:rsid w:val="00043767"/>
    <w:rsid w:val="000563C9"/>
    <w:rsid w:val="000619F4"/>
    <w:rsid w:val="00062170"/>
    <w:rsid w:val="0007433F"/>
    <w:rsid w:val="000903C9"/>
    <w:rsid w:val="00090CEC"/>
    <w:rsid w:val="000A0C76"/>
    <w:rsid w:val="000A6994"/>
    <w:rsid w:val="000B4B15"/>
    <w:rsid w:val="000C1705"/>
    <w:rsid w:val="000C2C1A"/>
    <w:rsid w:val="000C4C71"/>
    <w:rsid w:val="00105111"/>
    <w:rsid w:val="0014322E"/>
    <w:rsid w:val="00156875"/>
    <w:rsid w:val="001946C3"/>
    <w:rsid w:val="001D3919"/>
    <w:rsid w:val="001E12E7"/>
    <w:rsid w:val="001E2005"/>
    <w:rsid w:val="00284A02"/>
    <w:rsid w:val="002A0E15"/>
    <w:rsid w:val="002E20BA"/>
    <w:rsid w:val="002E20DB"/>
    <w:rsid w:val="00342DC3"/>
    <w:rsid w:val="00366F99"/>
    <w:rsid w:val="003679B8"/>
    <w:rsid w:val="00376FE8"/>
    <w:rsid w:val="0039627A"/>
    <w:rsid w:val="003B30D2"/>
    <w:rsid w:val="003B5E9F"/>
    <w:rsid w:val="003E18D4"/>
    <w:rsid w:val="003E4688"/>
    <w:rsid w:val="003E7CE6"/>
    <w:rsid w:val="003F370E"/>
    <w:rsid w:val="00444FEC"/>
    <w:rsid w:val="00480D93"/>
    <w:rsid w:val="004943D6"/>
    <w:rsid w:val="004A3D96"/>
    <w:rsid w:val="00503E5E"/>
    <w:rsid w:val="005452F3"/>
    <w:rsid w:val="00547643"/>
    <w:rsid w:val="00552D9E"/>
    <w:rsid w:val="00593D56"/>
    <w:rsid w:val="005B307A"/>
    <w:rsid w:val="005C2539"/>
    <w:rsid w:val="005E31E1"/>
    <w:rsid w:val="00607005"/>
    <w:rsid w:val="00624CF6"/>
    <w:rsid w:val="00625A65"/>
    <w:rsid w:val="006324A9"/>
    <w:rsid w:val="00640F74"/>
    <w:rsid w:val="00652486"/>
    <w:rsid w:val="006626BD"/>
    <w:rsid w:val="00672989"/>
    <w:rsid w:val="00674FE6"/>
    <w:rsid w:val="0069714F"/>
    <w:rsid w:val="006A01A9"/>
    <w:rsid w:val="006A2492"/>
    <w:rsid w:val="006B248A"/>
    <w:rsid w:val="006C1B1C"/>
    <w:rsid w:val="006D2512"/>
    <w:rsid w:val="006D50CB"/>
    <w:rsid w:val="006F3190"/>
    <w:rsid w:val="00716E34"/>
    <w:rsid w:val="00743126"/>
    <w:rsid w:val="007772C5"/>
    <w:rsid w:val="007840BB"/>
    <w:rsid w:val="00785B72"/>
    <w:rsid w:val="007A5170"/>
    <w:rsid w:val="007D1CF5"/>
    <w:rsid w:val="007E0E44"/>
    <w:rsid w:val="007F39E8"/>
    <w:rsid w:val="00835D61"/>
    <w:rsid w:val="00843ADF"/>
    <w:rsid w:val="00847A95"/>
    <w:rsid w:val="008A6C12"/>
    <w:rsid w:val="008D7D61"/>
    <w:rsid w:val="008E00FD"/>
    <w:rsid w:val="008F365E"/>
    <w:rsid w:val="008F387F"/>
    <w:rsid w:val="008F5F57"/>
    <w:rsid w:val="00910DCF"/>
    <w:rsid w:val="00917A82"/>
    <w:rsid w:val="00941B09"/>
    <w:rsid w:val="00944BF1"/>
    <w:rsid w:val="00953BA6"/>
    <w:rsid w:val="009553F0"/>
    <w:rsid w:val="009607FF"/>
    <w:rsid w:val="00965D7A"/>
    <w:rsid w:val="00974583"/>
    <w:rsid w:val="009A1133"/>
    <w:rsid w:val="009F22E3"/>
    <w:rsid w:val="009F61A3"/>
    <w:rsid w:val="00A2717A"/>
    <w:rsid w:val="00A272CD"/>
    <w:rsid w:val="00A37BBF"/>
    <w:rsid w:val="00A83E65"/>
    <w:rsid w:val="00A95DDA"/>
    <w:rsid w:val="00AA1303"/>
    <w:rsid w:val="00AA207E"/>
    <w:rsid w:val="00AD17C5"/>
    <w:rsid w:val="00AE0EFC"/>
    <w:rsid w:val="00AE59F9"/>
    <w:rsid w:val="00B404E7"/>
    <w:rsid w:val="00B52EAD"/>
    <w:rsid w:val="00B53DFC"/>
    <w:rsid w:val="00B662BD"/>
    <w:rsid w:val="00B84A44"/>
    <w:rsid w:val="00BB4175"/>
    <w:rsid w:val="00BB440F"/>
    <w:rsid w:val="00BB4C42"/>
    <w:rsid w:val="00C331D2"/>
    <w:rsid w:val="00C43EA6"/>
    <w:rsid w:val="00C72F98"/>
    <w:rsid w:val="00C84431"/>
    <w:rsid w:val="00CB08BC"/>
    <w:rsid w:val="00CB7D4C"/>
    <w:rsid w:val="00CC0001"/>
    <w:rsid w:val="00CC6372"/>
    <w:rsid w:val="00CC7C7F"/>
    <w:rsid w:val="00CD127E"/>
    <w:rsid w:val="00CF0156"/>
    <w:rsid w:val="00D11741"/>
    <w:rsid w:val="00D236E3"/>
    <w:rsid w:val="00D27D4A"/>
    <w:rsid w:val="00D322EE"/>
    <w:rsid w:val="00D8537A"/>
    <w:rsid w:val="00DA560F"/>
    <w:rsid w:val="00DA5919"/>
    <w:rsid w:val="00DA6840"/>
    <w:rsid w:val="00DB67B9"/>
    <w:rsid w:val="00DD05F6"/>
    <w:rsid w:val="00DD0A88"/>
    <w:rsid w:val="00E1025B"/>
    <w:rsid w:val="00E26B02"/>
    <w:rsid w:val="00E36C79"/>
    <w:rsid w:val="00E42D27"/>
    <w:rsid w:val="00E7340B"/>
    <w:rsid w:val="00E74877"/>
    <w:rsid w:val="00E826FE"/>
    <w:rsid w:val="00E84DA2"/>
    <w:rsid w:val="00EF0ED6"/>
    <w:rsid w:val="00EF3D0E"/>
    <w:rsid w:val="00F5354A"/>
    <w:rsid w:val="00F7612B"/>
    <w:rsid w:val="00F91F02"/>
    <w:rsid w:val="00F947B1"/>
    <w:rsid w:val="00FA3A61"/>
    <w:rsid w:val="00FA511C"/>
    <w:rsid w:val="00FA7618"/>
    <w:rsid w:val="00FC14E2"/>
    <w:rsid w:val="00FD2967"/>
    <w:rsid w:val="00FF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74"/>
    <w:pPr>
      <w:widowControl w:val="0"/>
      <w:autoSpaceDE w:val="0"/>
      <w:autoSpaceDN w:val="0"/>
      <w:adjustRightInd w:val="0"/>
    </w:pPr>
    <w:rPr>
      <w:rFonts w:ascii="Microsoft Sans Serif" w:eastAsia="Times New Roman" w:hAnsi="Microsoft Sans Serif"/>
      <w:szCs w:val="24"/>
    </w:rPr>
  </w:style>
  <w:style w:type="paragraph" w:styleId="Heading2">
    <w:name w:val="heading 2"/>
    <w:basedOn w:val="Normal"/>
    <w:next w:val="Normal"/>
    <w:link w:val="Heading2Char"/>
    <w:uiPriority w:val="9"/>
    <w:semiHidden/>
    <w:unhideWhenUsed/>
    <w:qFormat/>
    <w:rsid w:val="0006217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unhideWhenUsed/>
    <w:qFormat/>
    <w:rsid w:val="00D322EE"/>
    <w:pPr>
      <w:keepNext/>
      <w:widowControl/>
      <w:autoSpaceDE/>
      <w:autoSpaceDN/>
      <w:adjustRightInd/>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062170"/>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9"/>
    <w:unhideWhenUsed/>
    <w:qFormat/>
    <w:rsid w:val="00062170"/>
    <w:pPr>
      <w:keepNext/>
      <w:keepLines/>
      <w:widowControl/>
      <w:autoSpaceDE/>
      <w:autoSpaceDN/>
      <w:adjustRightInd/>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EE"/>
    <w:rPr>
      <w:rFonts w:ascii="Cambria" w:eastAsia="Times New Roman" w:hAnsi="Cambria" w:cs="Times New Roman"/>
      <w:b/>
      <w:bCs/>
      <w:sz w:val="26"/>
      <w:szCs w:val="26"/>
    </w:rPr>
  </w:style>
  <w:style w:type="paragraph" w:styleId="Header">
    <w:name w:val="header"/>
    <w:basedOn w:val="Normal"/>
    <w:link w:val="HeaderChar"/>
    <w:uiPriority w:val="99"/>
    <w:unhideWhenUsed/>
    <w:rsid w:val="00043767"/>
    <w:pPr>
      <w:tabs>
        <w:tab w:val="center" w:pos="4680"/>
        <w:tab w:val="right" w:pos="9360"/>
      </w:tabs>
    </w:pPr>
  </w:style>
  <w:style w:type="character" w:customStyle="1" w:styleId="HeaderChar">
    <w:name w:val="Header Char"/>
    <w:basedOn w:val="DefaultParagraphFont"/>
    <w:link w:val="Header"/>
    <w:uiPriority w:val="99"/>
    <w:rsid w:val="00043767"/>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043767"/>
    <w:pPr>
      <w:tabs>
        <w:tab w:val="center" w:pos="4680"/>
        <w:tab w:val="right" w:pos="9360"/>
      </w:tabs>
    </w:pPr>
  </w:style>
  <w:style w:type="character" w:customStyle="1" w:styleId="FooterChar">
    <w:name w:val="Footer Char"/>
    <w:basedOn w:val="DefaultParagraphFont"/>
    <w:link w:val="Footer"/>
    <w:uiPriority w:val="99"/>
    <w:rsid w:val="00043767"/>
    <w:rPr>
      <w:rFonts w:ascii="Microsoft Sans Serif" w:eastAsia="Times New Roman" w:hAnsi="Microsoft Sans Serif" w:cs="Times New Roman"/>
      <w:sz w:val="20"/>
      <w:szCs w:val="24"/>
    </w:rPr>
  </w:style>
  <w:style w:type="paragraph" w:styleId="BodyTextIndent">
    <w:name w:val="Body Text Indent"/>
    <w:basedOn w:val="Normal"/>
    <w:link w:val="BodyTextIndentChar"/>
    <w:uiPriority w:val="99"/>
    <w:rsid w:val="00F947B1"/>
    <w:pPr>
      <w:widowControl/>
      <w:autoSpaceDE/>
      <w:autoSpaceDN/>
      <w:adjustRightInd/>
      <w:ind w:left="720"/>
    </w:pPr>
    <w:rPr>
      <w:rFonts w:ascii="Times New Roman" w:hAnsi="Times New Roman"/>
      <w:sz w:val="24"/>
    </w:rPr>
  </w:style>
  <w:style w:type="character" w:customStyle="1" w:styleId="BodyTextIndentChar">
    <w:name w:val="Body Text Indent Char"/>
    <w:basedOn w:val="DefaultParagraphFont"/>
    <w:link w:val="BodyTextIndent"/>
    <w:uiPriority w:val="99"/>
    <w:rsid w:val="00F947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217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06217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062170"/>
    <w:rPr>
      <w:rFonts w:ascii="Cambria" w:eastAsia="Times New Roman" w:hAnsi="Cambria" w:cs="Times New Roman"/>
      <w:color w:val="243F60"/>
    </w:rPr>
  </w:style>
  <w:style w:type="character" w:styleId="Hyperlink">
    <w:name w:val="Hyperlink"/>
    <w:basedOn w:val="DefaultParagraphFont"/>
    <w:uiPriority w:val="99"/>
    <w:rsid w:val="00062170"/>
    <w:rPr>
      <w:color w:val="0000FF"/>
      <w:u w:val="single"/>
    </w:rPr>
  </w:style>
  <w:style w:type="paragraph" w:styleId="ListParagraph">
    <w:name w:val="List Paragraph"/>
    <w:basedOn w:val="Normal"/>
    <w:uiPriority w:val="34"/>
    <w:qFormat/>
    <w:rsid w:val="00624CF6"/>
    <w:pPr>
      <w:ind w:left="720"/>
      <w:contextualSpacing/>
    </w:pPr>
  </w:style>
  <w:style w:type="character" w:styleId="CommentReference">
    <w:name w:val="annotation reference"/>
    <w:basedOn w:val="DefaultParagraphFont"/>
    <w:uiPriority w:val="99"/>
    <w:semiHidden/>
    <w:unhideWhenUsed/>
    <w:rsid w:val="00C84431"/>
    <w:rPr>
      <w:sz w:val="16"/>
      <w:szCs w:val="16"/>
    </w:rPr>
  </w:style>
  <w:style w:type="paragraph" w:styleId="CommentText">
    <w:name w:val="annotation text"/>
    <w:basedOn w:val="Normal"/>
    <w:link w:val="CommentTextChar"/>
    <w:uiPriority w:val="99"/>
    <w:semiHidden/>
    <w:unhideWhenUsed/>
    <w:rsid w:val="00C84431"/>
    <w:rPr>
      <w:szCs w:val="20"/>
    </w:rPr>
  </w:style>
  <w:style w:type="character" w:customStyle="1" w:styleId="CommentTextChar">
    <w:name w:val="Comment Text Char"/>
    <w:basedOn w:val="DefaultParagraphFont"/>
    <w:link w:val="CommentText"/>
    <w:uiPriority w:val="99"/>
    <w:semiHidden/>
    <w:rsid w:val="00C84431"/>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C84431"/>
    <w:rPr>
      <w:b/>
      <w:bCs/>
    </w:rPr>
  </w:style>
  <w:style w:type="character" w:customStyle="1" w:styleId="CommentSubjectChar">
    <w:name w:val="Comment Subject Char"/>
    <w:basedOn w:val="CommentTextChar"/>
    <w:link w:val="CommentSubject"/>
    <w:uiPriority w:val="99"/>
    <w:semiHidden/>
    <w:rsid w:val="00C84431"/>
    <w:rPr>
      <w:rFonts w:ascii="Microsoft Sans Serif" w:eastAsia="Times New Roman" w:hAnsi="Microsoft Sans Serif" w:cs="Times New Roman"/>
      <w:b/>
      <w:bCs/>
      <w:sz w:val="20"/>
      <w:szCs w:val="20"/>
    </w:rPr>
  </w:style>
  <w:style w:type="paragraph" w:styleId="BalloonText">
    <w:name w:val="Balloon Text"/>
    <w:basedOn w:val="Normal"/>
    <w:link w:val="BalloonTextChar"/>
    <w:uiPriority w:val="99"/>
    <w:semiHidden/>
    <w:unhideWhenUsed/>
    <w:rsid w:val="00C84431"/>
    <w:rPr>
      <w:rFonts w:ascii="Tahoma" w:hAnsi="Tahoma" w:cs="Tahoma"/>
      <w:sz w:val="16"/>
      <w:szCs w:val="16"/>
    </w:rPr>
  </w:style>
  <w:style w:type="character" w:customStyle="1" w:styleId="BalloonTextChar">
    <w:name w:val="Balloon Text Char"/>
    <w:basedOn w:val="DefaultParagraphFont"/>
    <w:link w:val="BalloonText"/>
    <w:uiPriority w:val="99"/>
    <w:semiHidden/>
    <w:rsid w:val="00C84431"/>
    <w:rPr>
      <w:rFonts w:ascii="Tahoma" w:eastAsia="Times New Roman" w:hAnsi="Tahoma" w:cs="Tahoma"/>
      <w:sz w:val="16"/>
      <w:szCs w:val="16"/>
    </w:rPr>
  </w:style>
  <w:style w:type="table" w:styleId="TableGrid">
    <w:name w:val="Table Grid"/>
    <w:basedOn w:val="TableNormal"/>
    <w:uiPriority w:val="59"/>
    <w:rsid w:val="00C72F98"/>
    <w:pPr>
      <w:ind w:left="72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72F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C72F9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C72F9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C72F9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74"/>
    <w:pPr>
      <w:widowControl w:val="0"/>
      <w:autoSpaceDE w:val="0"/>
      <w:autoSpaceDN w:val="0"/>
      <w:adjustRightInd w:val="0"/>
    </w:pPr>
    <w:rPr>
      <w:rFonts w:ascii="Microsoft Sans Serif" w:eastAsia="Times New Roman" w:hAnsi="Microsoft Sans Serif"/>
      <w:szCs w:val="24"/>
    </w:rPr>
  </w:style>
  <w:style w:type="paragraph" w:styleId="Heading2">
    <w:name w:val="heading 2"/>
    <w:basedOn w:val="Normal"/>
    <w:next w:val="Normal"/>
    <w:link w:val="Heading2Char"/>
    <w:uiPriority w:val="9"/>
    <w:semiHidden/>
    <w:unhideWhenUsed/>
    <w:qFormat/>
    <w:rsid w:val="0006217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unhideWhenUsed/>
    <w:qFormat/>
    <w:rsid w:val="00D322EE"/>
    <w:pPr>
      <w:keepNext/>
      <w:widowControl/>
      <w:autoSpaceDE/>
      <w:autoSpaceDN/>
      <w:adjustRightInd/>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062170"/>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9"/>
    <w:unhideWhenUsed/>
    <w:qFormat/>
    <w:rsid w:val="00062170"/>
    <w:pPr>
      <w:keepNext/>
      <w:keepLines/>
      <w:widowControl/>
      <w:autoSpaceDE/>
      <w:autoSpaceDN/>
      <w:adjustRightInd/>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EE"/>
    <w:rPr>
      <w:rFonts w:ascii="Cambria" w:eastAsia="Times New Roman" w:hAnsi="Cambria" w:cs="Times New Roman"/>
      <w:b/>
      <w:bCs/>
      <w:sz w:val="26"/>
      <w:szCs w:val="26"/>
    </w:rPr>
  </w:style>
  <w:style w:type="paragraph" w:styleId="Header">
    <w:name w:val="header"/>
    <w:basedOn w:val="Normal"/>
    <w:link w:val="HeaderChar"/>
    <w:uiPriority w:val="99"/>
    <w:unhideWhenUsed/>
    <w:rsid w:val="00043767"/>
    <w:pPr>
      <w:tabs>
        <w:tab w:val="center" w:pos="4680"/>
        <w:tab w:val="right" w:pos="9360"/>
      </w:tabs>
    </w:pPr>
  </w:style>
  <w:style w:type="character" w:customStyle="1" w:styleId="HeaderChar">
    <w:name w:val="Header Char"/>
    <w:basedOn w:val="DefaultParagraphFont"/>
    <w:link w:val="Header"/>
    <w:uiPriority w:val="99"/>
    <w:rsid w:val="00043767"/>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043767"/>
    <w:pPr>
      <w:tabs>
        <w:tab w:val="center" w:pos="4680"/>
        <w:tab w:val="right" w:pos="9360"/>
      </w:tabs>
    </w:pPr>
  </w:style>
  <w:style w:type="character" w:customStyle="1" w:styleId="FooterChar">
    <w:name w:val="Footer Char"/>
    <w:basedOn w:val="DefaultParagraphFont"/>
    <w:link w:val="Footer"/>
    <w:uiPriority w:val="99"/>
    <w:rsid w:val="00043767"/>
    <w:rPr>
      <w:rFonts w:ascii="Microsoft Sans Serif" w:eastAsia="Times New Roman" w:hAnsi="Microsoft Sans Serif" w:cs="Times New Roman"/>
      <w:sz w:val="20"/>
      <w:szCs w:val="24"/>
    </w:rPr>
  </w:style>
  <w:style w:type="paragraph" w:styleId="BodyTextIndent">
    <w:name w:val="Body Text Indent"/>
    <w:basedOn w:val="Normal"/>
    <w:link w:val="BodyTextIndentChar"/>
    <w:uiPriority w:val="99"/>
    <w:rsid w:val="00F947B1"/>
    <w:pPr>
      <w:widowControl/>
      <w:autoSpaceDE/>
      <w:autoSpaceDN/>
      <w:adjustRightInd/>
      <w:ind w:left="720"/>
    </w:pPr>
    <w:rPr>
      <w:rFonts w:ascii="Times New Roman" w:hAnsi="Times New Roman"/>
      <w:sz w:val="24"/>
    </w:rPr>
  </w:style>
  <w:style w:type="character" w:customStyle="1" w:styleId="BodyTextIndentChar">
    <w:name w:val="Body Text Indent Char"/>
    <w:basedOn w:val="DefaultParagraphFont"/>
    <w:link w:val="BodyTextIndent"/>
    <w:uiPriority w:val="99"/>
    <w:rsid w:val="00F947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217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06217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062170"/>
    <w:rPr>
      <w:rFonts w:ascii="Cambria" w:eastAsia="Times New Roman" w:hAnsi="Cambria" w:cs="Times New Roman"/>
      <w:color w:val="243F60"/>
    </w:rPr>
  </w:style>
  <w:style w:type="character" w:styleId="Hyperlink">
    <w:name w:val="Hyperlink"/>
    <w:basedOn w:val="DefaultParagraphFont"/>
    <w:uiPriority w:val="99"/>
    <w:rsid w:val="00062170"/>
    <w:rPr>
      <w:color w:val="0000FF"/>
      <w:u w:val="single"/>
    </w:rPr>
  </w:style>
  <w:style w:type="paragraph" w:styleId="ListParagraph">
    <w:name w:val="List Paragraph"/>
    <w:basedOn w:val="Normal"/>
    <w:uiPriority w:val="34"/>
    <w:qFormat/>
    <w:rsid w:val="00624CF6"/>
    <w:pPr>
      <w:ind w:left="720"/>
      <w:contextualSpacing/>
    </w:pPr>
  </w:style>
  <w:style w:type="character" w:styleId="CommentReference">
    <w:name w:val="annotation reference"/>
    <w:basedOn w:val="DefaultParagraphFont"/>
    <w:uiPriority w:val="99"/>
    <w:semiHidden/>
    <w:unhideWhenUsed/>
    <w:rsid w:val="00C84431"/>
    <w:rPr>
      <w:sz w:val="16"/>
      <w:szCs w:val="16"/>
    </w:rPr>
  </w:style>
  <w:style w:type="paragraph" w:styleId="CommentText">
    <w:name w:val="annotation text"/>
    <w:basedOn w:val="Normal"/>
    <w:link w:val="CommentTextChar"/>
    <w:uiPriority w:val="99"/>
    <w:semiHidden/>
    <w:unhideWhenUsed/>
    <w:rsid w:val="00C84431"/>
    <w:rPr>
      <w:szCs w:val="20"/>
    </w:rPr>
  </w:style>
  <w:style w:type="character" w:customStyle="1" w:styleId="CommentTextChar">
    <w:name w:val="Comment Text Char"/>
    <w:basedOn w:val="DefaultParagraphFont"/>
    <w:link w:val="CommentText"/>
    <w:uiPriority w:val="99"/>
    <w:semiHidden/>
    <w:rsid w:val="00C84431"/>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C84431"/>
    <w:rPr>
      <w:b/>
      <w:bCs/>
    </w:rPr>
  </w:style>
  <w:style w:type="character" w:customStyle="1" w:styleId="CommentSubjectChar">
    <w:name w:val="Comment Subject Char"/>
    <w:basedOn w:val="CommentTextChar"/>
    <w:link w:val="CommentSubject"/>
    <w:uiPriority w:val="99"/>
    <w:semiHidden/>
    <w:rsid w:val="00C84431"/>
    <w:rPr>
      <w:rFonts w:ascii="Microsoft Sans Serif" w:eastAsia="Times New Roman" w:hAnsi="Microsoft Sans Serif" w:cs="Times New Roman"/>
      <w:b/>
      <w:bCs/>
      <w:sz w:val="20"/>
      <w:szCs w:val="20"/>
    </w:rPr>
  </w:style>
  <w:style w:type="paragraph" w:styleId="BalloonText">
    <w:name w:val="Balloon Text"/>
    <w:basedOn w:val="Normal"/>
    <w:link w:val="BalloonTextChar"/>
    <w:uiPriority w:val="99"/>
    <w:semiHidden/>
    <w:unhideWhenUsed/>
    <w:rsid w:val="00C84431"/>
    <w:rPr>
      <w:rFonts w:ascii="Tahoma" w:hAnsi="Tahoma" w:cs="Tahoma"/>
      <w:sz w:val="16"/>
      <w:szCs w:val="16"/>
    </w:rPr>
  </w:style>
  <w:style w:type="character" w:customStyle="1" w:styleId="BalloonTextChar">
    <w:name w:val="Balloon Text Char"/>
    <w:basedOn w:val="DefaultParagraphFont"/>
    <w:link w:val="BalloonText"/>
    <w:uiPriority w:val="99"/>
    <w:semiHidden/>
    <w:rsid w:val="00C84431"/>
    <w:rPr>
      <w:rFonts w:ascii="Tahoma" w:eastAsia="Times New Roman" w:hAnsi="Tahoma" w:cs="Tahoma"/>
      <w:sz w:val="16"/>
      <w:szCs w:val="16"/>
    </w:rPr>
  </w:style>
  <w:style w:type="table" w:styleId="TableGrid">
    <w:name w:val="Table Grid"/>
    <w:basedOn w:val="TableNormal"/>
    <w:uiPriority w:val="59"/>
    <w:rsid w:val="00C72F98"/>
    <w:pPr>
      <w:ind w:left="72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72F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C72F9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C72F9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C72F9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aydah@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arch.phs.wfubmc.edu/messaging/index.cfm?persid=pers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bell@wfubmc.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saydah@cdc.gov" TargetMode="External"/><Relationship Id="rId14" Type="http://schemas.openxmlformats.org/officeDocument/2006/relationships/hyperlink" Target="mailto:Gai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44234-6DF1-4F57-A7F8-76A37D06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22917</CharactersWithSpaces>
  <SharedDoc>false</SharedDoc>
  <HLinks>
    <vt:vector size="24" baseType="variant">
      <vt:variant>
        <vt:i4>589945</vt:i4>
      </vt:variant>
      <vt:variant>
        <vt:i4>9</vt:i4>
      </vt:variant>
      <vt:variant>
        <vt:i4>0</vt:i4>
      </vt:variant>
      <vt:variant>
        <vt:i4>5</vt:i4>
      </vt:variant>
      <vt:variant>
        <vt:lpwstr>mailto:Gai5@cdc.gov</vt:lpwstr>
      </vt:variant>
      <vt:variant>
        <vt:lpwstr/>
      </vt:variant>
      <vt:variant>
        <vt:i4>7143492</vt:i4>
      </vt:variant>
      <vt:variant>
        <vt:i4>6</vt:i4>
      </vt:variant>
      <vt:variant>
        <vt:i4>0</vt:i4>
      </vt:variant>
      <vt:variant>
        <vt:i4>5</vt:i4>
      </vt:variant>
      <vt:variant>
        <vt:lpwstr>mailto:ssaydah@cdc.gov</vt:lpwstr>
      </vt:variant>
      <vt:variant>
        <vt:lpwstr/>
      </vt:variant>
      <vt:variant>
        <vt:i4>7274596</vt:i4>
      </vt:variant>
      <vt:variant>
        <vt:i4>3</vt:i4>
      </vt:variant>
      <vt:variant>
        <vt:i4>0</vt:i4>
      </vt:variant>
      <vt:variant>
        <vt:i4>5</vt:i4>
      </vt:variant>
      <vt:variant>
        <vt:lpwstr>https://search.phs.wfubmc.edu/messaging/index.cfm?persid=pers48</vt:lpwstr>
      </vt:variant>
      <vt:variant>
        <vt:lpwstr/>
      </vt:variant>
      <vt:variant>
        <vt:i4>7143492</vt:i4>
      </vt:variant>
      <vt:variant>
        <vt:i4>0</vt:i4>
      </vt:variant>
      <vt:variant>
        <vt:i4>0</vt:i4>
      </vt:variant>
      <vt:variant>
        <vt:i4>5</vt:i4>
      </vt:variant>
      <vt:variant>
        <vt:lpwstr>mailto:ssaydah@cdc.gov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2014-02-06T16:42:00Z</dcterms:created>
  <dcterms:modified xsi:type="dcterms:W3CDTF">2014-02-25T01:49:00Z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