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ACE" w:rsidRPr="00CA7526" w:rsidRDefault="00AC6ACE" w:rsidP="00423334">
      <w:pPr>
        <w:jc w:val="center"/>
        <w:rPr>
          <w:b/>
          <w:color w:val="000000"/>
        </w:rPr>
      </w:pPr>
      <w:bookmarkStart w:id="0" w:name="_Toc67387400"/>
    </w:p>
    <w:p w:rsidR="00AC6ACE" w:rsidRPr="00CA7526" w:rsidRDefault="00AC6ACE" w:rsidP="00423334">
      <w:pPr>
        <w:jc w:val="center"/>
        <w:rPr>
          <w:b/>
          <w:color w:val="000000"/>
        </w:rPr>
      </w:pPr>
    </w:p>
    <w:p w:rsidR="00AC6ACE" w:rsidRPr="00CA7526" w:rsidRDefault="00AC6ACE" w:rsidP="00423334">
      <w:pPr>
        <w:jc w:val="center"/>
        <w:rPr>
          <w:b/>
          <w:color w:val="000000"/>
        </w:rPr>
      </w:pPr>
    </w:p>
    <w:p w:rsidR="00AC6ACE" w:rsidRPr="00CA7526" w:rsidRDefault="00AC6ACE" w:rsidP="00423334">
      <w:pPr>
        <w:jc w:val="center"/>
        <w:rPr>
          <w:b/>
          <w:color w:val="000000"/>
        </w:rPr>
      </w:pPr>
    </w:p>
    <w:p w:rsidR="00AC6ACE" w:rsidRPr="00CA7526" w:rsidRDefault="00AC6ACE" w:rsidP="00423334">
      <w:pPr>
        <w:jc w:val="center"/>
        <w:rPr>
          <w:b/>
          <w:color w:val="000000"/>
        </w:rPr>
      </w:pPr>
    </w:p>
    <w:p w:rsidR="00AC6ACE" w:rsidRPr="00CA7526" w:rsidRDefault="00AC6ACE" w:rsidP="00423334">
      <w:pPr>
        <w:jc w:val="center"/>
        <w:rPr>
          <w:b/>
          <w:color w:val="000000"/>
        </w:rPr>
      </w:pPr>
    </w:p>
    <w:p w:rsidR="00AC6ACE" w:rsidRPr="00CA7526" w:rsidRDefault="00AC6ACE" w:rsidP="00423334">
      <w:pPr>
        <w:jc w:val="center"/>
        <w:rPr>
          <w:b/>
          <w:color w:val="000000"/>
        </w:rPr>
      </w:pPr>
    </w:p>
    <w:p w:rsidR="006C0E42" w:rsidRPr="009635FD" w:rsidRDefault="006C0E42" w:rsidP="006C0E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28"/>
        </w:rPr>
      </w:pPr>
      <w:r w:rsidRPr="009635FD">
        <w:rPr>
          <w:b/>
          <w:sz w:val="28"/>
          <w:szCs w:val="28"/>
        </w:rPr>
        <w:t>Colorectal Cancer Screening Survey</w:t>
      </w:r>
    </w:p>
    <w:p w:rsidR="006C0E42" w:rsidRPr="00AE2586" w:rsidRDefault="006C0E42" w:rsidP="006C0E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3"/>
          <w:szCs w:val="23"/>
        </w:rPr>
      </w:pPr>
    </w:p>
    <w:p w:rsidR="006C0E42" w:rsidRDefault="006C0E42" w:rsidP="006C0E42">
      <w:pPr>
        <w:spacing w:after="360"/>
        <w:jc w:val="center"/>
        <w:rPr>
          <w:b/>
          <w:color w:val="000000"/>
          <w:sz w:val="28"/>
          <w:szCs w:val="28"/>
        </w:rPr>
      </w:pPr>
      <w:r>
        <w:rPr>
          <w:b/>
          <w:color w:val="000000"/>
          <w:sz w:val="23"/>
          <w:szCs w:val="23"/>
        </w:rPr>
        <w:t>New</w:t>
      </w:r>
    </w:p>
    <w:p w:rsidR="006C0E42" w:rsidRPr="009635FD" w:rsidRDefault="006C0E42" w:rsidP="006C0E42">
      <w:pPr>
        <w:spacing w:after="360"/>
        <w:jc w:val="center"/>
        <w:rPr>
          <w:color w:val="000000"/>
          <w:sz w:val="28"/>
          <w:szCs w:val="28"/>
        </w:rPr>
      </w:pPr>
      <w:r w:rsidRPr="009635FD">
        <w:rPr>
          <w:color w:val="000000"/>
          <w:sz w:val="28"/>
          <w:szCs w:val="28"/>
        </w:rPr>
        <w:t>Supporting Statement</w:t>
      </w:r>
    </w:p>
    <w:p w:rsidR="006C0E42" w:rsidRPr="009635FD" w:rsidRDefault="006C0E42" w:rsidP="006C0E42">
      <w:pPr>
        <w:spacing w:after="360"/>
        <w:jc w:val="center"/>
        <w:rPr>
          <w:color w:val="000000"/>
          <w:sz w:val="28"/>
          <w:szCs w:val="28"/>
        </w:rPr>
      </w:pPr>
      <w:r w:rsidRPr="009635FD">
        <w:rPr>
          <w:color w:val="000000"/>
          <w:sz w:val="28"/>
          <w:szCs w:val="28"/>
        </w:rPr>
        <w:t>Part A: Justification</w:t>
      </w:r>
    </w:p>
    <w:p w:rsidR="00BC12D9" w:rsidRDefault="00BC12D9" w:rsidP="006C0E42">
      <w:pPr>
        <w:spacing w:after="360"/>
        <w:jc w:val="center"/>
        <w:rPr>
          <w:color w:val="000000"/>
          <w:sz w:val="28"/>
          <w:szCs w:val="28"/>
        </w:rPr>
      </w:pPr>
    </w:p>
    <w:p w:rsidR="00AC2139" w:rsidRPr="009635FD" w:rsidRDefault="008B48AD" w:rsidP="006C0E42">
      <w:pPr>
        <w:spacing w:after="360"/>
        <w:jc w:val="center"/>
        <w:rPr>
          <w:color w:val="000000"/>
          <w:sz w:val="28"/>
          <w:szCs w:val="28"/>
        </w:rPr>
      </w:pPr>
      <w:r>
        <w:rPr>
          <w:color w:val="000000"/>
          <w:sz w:val="28"/>
          <w:szCs w:val="28"/>
        </w:rPr>
        <w:t xml:space="preserve">May </w:t>
      </w:r>
      <w:r w:rsidR="007548AB">
        <w:rPr>
          <w:color w:val="000000"/>
          <w:sz w:val="28"/>
          <w:szCs w:val="28"/>
        </w:rPr>
        <w:t>1</w:t>
      </w:r>
      <w:r w:rsidR="00AC2139">
        <w:rPr>
          <w:color w:val="000000"/>
          <w:sz w:val="28"/>
          <w:szCs w:val="28"/>
        </w:rPr>
        <w:t>, 2014</w:t>
      </w:r>
    </w:p>
    <w:p w:rsidR="006C0E42" w:rsidRDefault="006C0E42" w:rsidP="006C0E42">
      <w:pPr>
        <w:spacing w:after="360"/>
        <w:jc w:val="center"/>
        <w:rPr>
          <w:color w:val="000000"/>
        </w:rPr>
      </w:pPr>
    </w:p>
    <w:p w:rsidR="00AC2139" w:rsidRDefault="00AC2139" w:rsidP="006C0E42">
      <w:pPr>
        <w:spacing w:after="360"/>
        <w:jc w:val="center"/>
        <w:rPr>
          <w:color w:val="000000"/>
        </w:rPr>
      </w:pPr>
    </w:p>
    <w:p w:rsidR="00AC2139" w:rsidRDefault="00AC2139" w:rsidP="006C0E42">
      <w:pPr>
        <w:spacing w:after="360"/>
        <w:jc w:val="center"/>
        <w:rPr>
          <w:color w:val="000000"/>
        </w:rPr>
      </w:pPr>
      <w:r>
        <w:rPr>
          <w:color w:val="000000"/>
        </w:rPr>
        <w:t>Point of Contact:</w:t>
      </w:r>
    </w:p>
    <w:p w:rsidR="00AC2139" w:rsidRDefault="00AC2139" w:rsidP="003B7007">
      <w:pPr>
        <w:jc w:val="center"/>
        <w:rPr>
          <w:color w:val="000000"/>
        </w:rPr>
      </w:pPr>
      <w:r>
        <w:rPr>
          <w:color w:val="000000"/>
        </w:rPr>
        <w:t>Florence Tangka, PhD</w:t>
      </w:r>
    </w:p>
    <w:p w:rsidR="00AC2139" w:rsidRPr="009635FD" w:rsidRDefault="00AC2139" w:rsidP="003B7007">
      <w:pPr>
        <w:jc w:val="center"/>
        <w:rPr>
          <w:color w:val="000000"/>
        </w:rPr>
      </w:pPr>
      <w:r>
        <w:rPr>
          <w:color w:val="000000"/>
        </w:rPr>
        <w:t>Division of Cancer Prevention and Control</w:t>
      </w:r>
    </w:p>
    <w:p w:rsidR="006C0E42" w:rsidRPr="009635FD" w:rsidRDefault="006C0E42" w:rsidP="003B7007">
      <w:pPr>
        <w:jc w:val="center"/>
        <w:rPr>
          <w:color w:val="000000"/>
        </w:rPr>
      </w:pPr>
      <w:r w:rsidRPr="009635FD">
        <w:rPr>
          <w:color w:val="000000"/>
        </w:rPr>
        <w:t>Centers for Disease Control and Prevention</w:t>
      </w:r>
    </w:p>
    <w:p w:rsidR="006C0E42" w:rsidRDefault="006C0E42" w:rsidP="003B7007">
      <w:pPr>
        <w:jc w:val="center"/>
        <w:rPr>
          <w:color w:val="000000"/>
        </w:rPr>
      </w:pPr>
      <w:r w:rsidRPr="009635FD">
        <w:rPr>
          <w:color w:val="000000"/>
        </w:rPr>
        <w:t>Atlanta, Georgia</w:t>
      </w:r>
    </w:p>
    <w:p w:rsidR="00AC2139" w:rsidRDefault="00AC2139" w:rsidP="003B7007">
      <w:pPr>
        <w:jc w:val="center"/>
        <w:rPr>
          <w:color w:val="000000"/>
        </w:rPr>
      </w:pPr>
      <w:r>
        <w:rPr>
          <w:color w:val="000000"/>
        </w:rPr>
        <w:t>Telephone (770) 488-1183</w:t>
      </w:r>
    </w:p>
    <w:p w:rsidR="00AC2139" w:rsidRPr="009635FD" w:rsidRDefault="00AC2139" w:rsidP="003B7007">
      <w:pPr>
        <w:jc w:val="center"/>
        <w:rPr>
          <w:color w:val="000000"/>
        </w:rPr>
      </w:pPr>
      <w:r>
        <w:rPr>
          <w:color w:val="000000"/>
        </w:rPr>
        <w:t>Email FBT9@CDC.GOV</w:t>
      </w:r>
    </w:p>
    <w:bookmarkEnd w:id="0"/>
    <w:p w:rsidR="00A14087" w:rsidRPr="00CA7526" w:rsidRDefault="00A14087" w:rsidP="00832BA3">
      <w:pPr>
        <w:rPr>
          <w:b/>
          <w:bCs/>
          <w:caps/>
          <w:color w:val="000000"/>
        </w:rPr>
        <w:sectPr w:rsidR="00A14087" w:rsidRPr="00CA7526" w:rsidSect="0078265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rsidR="00C65FD6" w:rsidRPr="00CA7526" w:rsidRDefault="00C65FD6" w:rsidP="00F72F56">
      <w:pPr>
        <w:pStyle w:val="TOC0"/>
      </w:pPr>
      <w:r w:rsidRPr="00CA7526">
        <w:lastRenderedPageBreak/>
        <w:fldChar w:fldCharType="begin"/>
      </w:r>
      <w:r w:rsidRPr="00CA7526">
        <w:instrText xml:space="preserve"> SEQ CHAPTER \h \r 1</w:instrText>
      </w:r>
      <w:r w:rsidRPr="00CA7526">
        <w:fldChar w:fldCharType="end"/>
      </w:r>
      <w:r w:rsidRPr="00CA7526">
        <w:rPr>
          <w:bCs/>
        </w:rPr>
        <w:t>TABLE OF CONTENTS</w:t>
      </w:r>
    </w:p>
    <w:p w:rsidR="00C65FD6" w:rsidRPr="00CA7526" w:rsidRDefault="00AC6ACE" w:rsidP="00AC6ACE">
      <w:pPr>
        <w:tabs>
          <w:tab w:val="right" w:pos="9360"/>
        </w:tabs>
        <w:rPr>
          <w:color w:val="000000"/>
        </w:rPr>
      </w:pPr>
      <w:r w:rsidRPr="00CA7526">
        <w:rPr>
          <w:b/>
          <w:color w:val="000000"/>
        </w:rPr>
        <w:t>Section</w:t>
      </w:r>
      <w:r w:rsidRPr="00CA7526">
        <w:rPr>
          <w:color w:val="000000"/>
        </w:rPr>
        <w:tab/>
      </w:r>
      <w:r w:rsidRPr="00CA7526">
        <w:rPr>
          <w:b/>
          <w:color w:val="000000"/>
        </w:rPr>
        <w:t>Page</w:t>
      </w:r>
    </w:p>
    <w:p w:rsidR="003B4BED" w:rsidRPr="00CA7526" w:rsidRDefault="00512F04">
      <w:pPr>
        <w:pStyle w:val="TOC1"/>
        <w:tabs>
          <w:tab w:val="left" w:pos="1350"/>
        </w:tabs>
        <w:rPr>
          <w:rFonts w:asciiTheme="minorHAnsi" w:eastAsiaTheme="minorEastAsia" w:hAnsiTheme="minorHAnsi" w:cstheme="minorBidi"/>
          <w:sz w:val="22"/>
          <w:szCs w:val="22"/>
          <w:lang w:eastAsia="zh-CN"/>
        </w:rPr>
      </w:pPr>
      <w:r w:rsidRPr="00CA7526">
        <w:rPr>
          <w:b/>
          <w:bCs/>
          <w:caps/>
          <w:color w:val="000000"/>
        </w:rPr>
        <w:fldChar w:fldCharType="begin"/>
      </w:r>
      <w:r w:rsidRPr="00CA7526">
        <w:rPr>
          <w:b/>
          <w:bCs/>
          <w:caps/>
          <w:color w:val="000000"/>
        </w:rPr>
        <w:instrText xml:space="preserve"> TOC \o "1-3" \h \z \u </w:instrText>
      </w:r>
      <w:r w:rsidRPr="00CA7526">
        <w:rPr>
          <w:b/>
          <w:bCs/>
          <w:caps/>
          <w:color w:val="000000"/>
        </w:rPr>
        <w:fldChar w:fldCharType="separate"/>
      </w:r>
      <w:hyperlink w:anchor="_Toc371431208" w:history="1">
        <w:r w:rsidR="003B4BED" w:rsidRPr="00CA7526">
          <w:rPr>
            <w:rStyle w:val="Hyperlink"/>
          </w:rPr>
          <w:t>A.</w:t>
        </w:r>
        <w:r w:rsidR="003B4BED" w:rsidRPr="00CA7526">
          <w:rPr>
            <w:rFonts w:asciiTheme="minorHAnsi" w:eastAsiaTheme="minorEastAsia" w:hAnsiTheme="minorHAnsi" w:cstheme="minorBidi"/>
            <w:sz w:val="22"/>
            <w:szCs w:val="22"/>
            <w:lang w:eastAsia="zh-CN"/>
          </w:rPr>
          <w:tab/>
        </w:r>
        <w:r w:rsidR="003B4BED" w:rsidRPr="00CA7526">
          <w:rPr>
            <w:rStyle w:val="Hyperlink"/>
          </w:rPr>
          <w:t>Justification</w:t>
        </w:r>
        <w:r w:rsidR="003B4BED" w:rsidRPr="00CA7526">
          <w:rPr>
            <w:webHidden/>
          </w:rPr>
          <w:tab/>
        </w:r>
        <w:r w:rsidR="003B4BED" w:rsidRPr="00CA7526">
          <w:rPr>
            <w:webHidden/>
          </w:rPr>
          <w:fldChar w:fldCharType="begin"/>
        </w:r>
        <w:r w:rsidR="003B4BED" w:rsidRPr="00CA7526">
          <w:rPr>
            <w:webHidden/>
          </w:rPr>
          <w:instrText xml:space="preserve"> PAGEREF _Toc371431208 \h </w:instrText>
        </w:r>
        <w:r w:rsidR="003B4BED" w:rsidRPr="00CA7526">
          <w:rPr>
            <w:webHidden/>
          </w:rPr>
        </w:r>
        <w:r w:rsidR="003B4BED" w:rsidRPr="00CA7526">
          <w:rPr>
            <w:webHidden/>
          </w:rPr>
          <w:fldChar w:fldCharType="separate"/>
        </w:r>
        <w:r w:rsidR="000D6765">
          <w:rPr>
            <w:webHidden/>
          </w:rPr>
          <w:t>1</w:t>
        </w:r>
        <w:r w:rsidR="003B4BED" w:rsidRPr="00CA7526">
          <w:rPr>
            <w:webHidden/>
          </w:rPr>
          <w:fldChar w:fldCharType="end"/>
        </w:r>
      </w:hyperlink>
    </w:p>
    <w:p w:rsidR="003B4BED" w:rsidRPr="00CA7526" w:rsidRDefault="00C9232B">
      <w:pPr>
        <w:pStyle w:val="TOC2"/>
        <w:tabs>
          <w:tab w:val="left" w:pos="1350"/>
        </w:tabs>
        <w:rPr>
          <w:rFonts w:asciiTheme="minorHAnsi" w:eastAsiaTheme="minorEastAsia" w:hAnsiTheme="minorHAnsi" w:cstheme="minorBidi"/>
          <w:sz w:val="22"/>
          <w:szCs w:val="22"/>
          <w:lang w:eastAsia="zh-CN"/>
        </w:rPr>
      </w:pPr>
      <w:hyperlink w:anchor="_Toc371431209" w:history="1">
        <w:r w:rsidR="003B4BED" w:rsidRPr="00CA7526">
          <w:rPr>
            <w:rStyle w:val="Hyperlink"/>
          </w:rPr>
          <w:t>A.1</w:t>
        </w:r>
        <w:r w:rsidR="003B4BED" w:rsidRPr="00CA7526">
          <w:rPr>
            <w:rFonts w:asciiTheme="minorHAnsi" w:eastAsiaTheme="minorEastAsia" w:hAnsiTheme="minorHAnsi" w:cstheme="minorBidi"/>
            <w:sz w:val="22"/>
            <w:szCs w:val="22"/>
            <w:lang w:eastAsia="zh-CN"/>
          </w:rPr>
          <w:tab/>
        </w:r>
        <w:r w:rsidR="003B4BED" w:rsidRPr="00CA7526">
          <w:rPr>
            <w:rStyle w:val="Hyperlink"/>
          </w:rPr>
          <w:t>Circumstances Making the Collection of Information Necessary</w:t>
        </w:r>
        <w:r w:rsidR="003B4BED" w:rsidRPr="00CA7526">
          <w:rPr>
            <w:webHidden/>
          </w:rPr>
          <w:tab/>
        </w:r>
        <w:r w:rsidR="003B4BED" w:rsidRPr="00CA7526">
          <w:rPr>
            <w:webHidden/>
          </w:rPr>
          <w:fldChar w:fldCharType="begin"/>
        </w:r>
        <w:r w:rsidR="003B4BED" w:rsidRPr="00CA7526">
          <w:rPr>
            <w:webHidden/>
          </w:rPr>
          <w:instrText xml:space="preserve"> PAGEREF _Toc371431209 \h </w:instrText>
        </w:r>
        <w:r w:rsidR="003B4BED" w:rsidRPr="00CA7526">
          <w:rPr>
            <w:webHidden/>
          </w:rPr>
        </w:r>
        <w:r w:rsidR="003B4BED" w:rsidRPr="00CA7526">
          <w:rPr>
            <w:webHidden/>
          </w:rPr>
          <w:fldChar w:fldCharType="separate"/>
        </w:r>
        <w:r w:rsidR="000D6765">
          <w:rPr>
            <w:webHidden/>
          </w:rPr>
          <w:t>1</w:t>
        </w:r>
        <w:r w:rsidR="003B4BED" w:rsidRPr="00CA7526">
          <w:rPr>
            <w:webHidden/>
          </w:rPr>
          <w:fldChar w:fldCharType="end"/>
        </w:r>
      </w:hyperlink>
    </w:p>
    <w:p w:rsidR="003B4BED" w:rsidRPr="00CA7526" w:rsidRDefault="00C9232B">
      <w:pPr>
        <w:pStyle w:val="TOC3"/>
        <w:tabs>
          <w:tab w:val="left" w:pos="2340"/>
        </w:tabs>
        <w:rPr>
          <w:rFonts w:asciiTheme="minorHAnsi" w:eastAsiaTheme="minorEastAsia" w:hAnsiTheme="minorHAnsi" w:cstheme="minorBidi"/>
          <w:sz w:val="22"/>
          <w:szCs w:val="22"/>
          <w:lang w:eastAsia="zh-CN"/>
        </w:rPr>
      </w:pPr>
      <w:hyperlink w:anchor="_Toc371431210" w:history="1">
        <w:r w:rsidR="003B4BED" w:rsidRPr="00CA7526">
          <w:rPr>
            <w:rStyle w:val="Hyperlink"/>
          </w:rPr>
          <w:t>A.1.1</w:t>
        </w:r>
        <w:r w:rsidR="003B4BED" w:rsidRPr="00CA7526">
          <w:rPr>
            <w:rFonts w:asciiTheme="minorHAnsi" w:eastAsiaTheme="minorEastAsia" w:hAnsiTheme="minorHAnsi" w:cstheme="minorBidi"/>
            <w:sz w:val="22"/>
            <w:szCs w:val="22"/>
            <w:lang w:eastAsia="zh-CN"/>
          </w:rPr>
          <w:tab/>
        </w:r>
        <w:r w:rsidR="003B4BED" w:rsidRPr="00CA7526">
          <w:rPr>
            <w:rStyle w:val="Hyperlink"/>
          </w:rPr>
          <w:t>Privacy Impact Assessment</w:t>
        </w:r>
        <w:r w:rsidR="003B4BED" w:rsidRPr="00CA7526">
          <w:rPr>
            <w:webHidden/>
          </w:rPr>
          <w:tab/>
        </w:r>
        <w:r w:rsidR="003B4BED" w:rsidRPr="00CA7526">
          <w:rPr>
            <w:webHidden/>
          </w:rPr>
          <w:fldChar w:fldCharType="begin"/>
        </w:r>
        <w:r w:rsidR="003B4BED" w:rsidRPr="00CA7526">
          <w:rPr>
            <w:webHidden/>
          </w:rPr>
          <w:instrText xml:space="preserve"> PAGEREF _Toc371431210 \h </w:instrText>
        </w:r>
        <w:r w:rsidR="003B4BED" w:rsidRPr="00CA7526">
          <w:rPr>
            <w:webHidden/>
          </w:rPr>
        </w:r>
        <w:r w:rsidR="003B4BED" w:rsidRPr="00CA7526">
          <w:rPr>
            <w:webHidden/>
          </w:rPr>
          <w:fldChar w:fldCharType="separate"/>
        </w:r>
        <w:r w:rsidR="000D6765">
          <w:rPr>
            <w:webHidden/>
          </w:rPr>
          <w:t>6</w:t>
        </w:r>
        <w:r w:rsidR="003B4BED" w:rsidRPr="00CA7526">
          <w:rPr>
            <w:webHidden/>
          </w:rPr>
          <w:fldChar w:fldCharType="end"/>
        </w:r>
      </w:hyperlink>
    </w:p>
    <w:p w:rsidR="003B4BED" w:rsidRPr="00CA7526" w:rsidRDefault="00C9232B">
      <w:pPr>
        <w:pStyle w:val="TOC2"/>
        <w:tabs>
          <w:tab w:val="left" w:pos="1350"/>
        </w:tabs>
        <w:rPr>
          <w:rFonts w:asciiTheme="minorHAnsi" w:eastAsiaTheme="minorEastAsia" w:hAnsiTheme="minorHAnsi" w:cstheme="minorBidi"/>
          <w:sz w:val="22"/>
          <w:szCs w:val="22"/>
          <w:lang w:eastAsia="zh-CN"/>
        </w:rPr>
      </w:pPr>
      <w:hyperlink w:anchor="_Toc371431211" w:history="1">
        <w:r w:rsidR="003B4BED" w:rsidRPr="00CA7526">
          <w:rPr>
            <w:rStyle w:val="Hyperlink"/>
          </w:rPr>
          <w:t>A.2</w:t>
        </w:r>
        <w:r w:rsidR="003B4BED" w:rsidRPr="00CA7526">
          <w:rPr>
            <w:rFonts w:asciiTheme="minorHAnsi" w:eastAsiaTheme="minorEastAsia" w:hAnsiTheme="minorHAnsi" w:cstheme="minorBidi"/>
            <w:sz w:val="22"/>
            <w:szCs w:val="22"/>
            <w:lang w:eastAsia="zh-CN"/>
          </w:rPr>
          <w:tab/>
        </w:r>
        <w:r w:rsidR="003B4BED" w:rsidRPr="00CA7526">
          <w:rPr>
            <w:rStyle w:val="Hyperlink"/>
          </w:rPr>
          <w:t>Purposes and Use of the Information Collection</w:t>
        </w:r>
        <w:r w:rsidR="003B4BED" w:rsidRPr="00CA7526">
          <w:rPr>
            <w:webHidden/>
          </w:rPr>
          <w:tab/>
        </w:r>
        <w:r w:rsidR="003B4BED" w:rsidRPr="00CA7526">
          <w:rPr>
            <w:webHidden/>
          </w:rPr>
          <w:fldChar w:fldCharType="begin"/>
        </w:r>
        <w:r w:rsidR="003B4BED" w:rsidRPr="00CA7526">
          <w:rPr>
            <w:webHidden/>
          </w:rPr>
          <w:instrText xml:space="preserve"> PAGEREF _Toc371431211 \h </w:instrText>
        </w:r>
        <w:r w:rsidR="003B4BED" w:rsidRPr="00CA7526">
          <w:rPr>
            <w:webHidden/>
          </w:rPr>
        </w:r>
        <w:r w:rsidR="003B4BED" w:rsidRPr="00CA7526">
          <w:rPr>
            <w:webHidden/>
          </w:rPr>
          <w:fldChar w:fldCharType="separate"/>
        </w:r>
        <w:r w:rsidR="000D6765">
          <w:rPr>
            <w:webHidden/>
          </w:rPr>
          <w:t>10</w:t>
        </w:r>
        <w:r w:rsidR="003B4BED" w:rsidRPr="00CA7526">
          <w:rPr>
            <w:webHidden/>
          </w:rPr>
          <w:fldChar w:fldCharType="end"/>
        </w:r>
      </w:hyperlink>
    </w:p>
    <w:p w:rsidR="003B4BED" w:rsidRPr="00CA7526" w:rsidRDefault="00C9232B">
      <w:pPr>
        <w:pStyle w:val="TOC3"/>
        <w:tabs>
          <w:tab w:val="left" w:pos="2340"/>
        </w:tabs>
        <w:rPr>
          <w:rFonts w:asciiTheme="minorHAnsi" w:eastAsiaTheme="minorEastAsia" w:hAnsiTheme="minorHAnsi" w:cstheme="minorBidi"/>
          <w:sz w:val="22"/>
          <w:szCs w:val="22"/>
          <w:lang w:eastAsia="zh-CN"/>
        </w:rPr>
      </w:pPr>
      <w:hyperlink w:anchor="_Toc371431212" w:history="1">
        <w:r w:rsidR="003B4BED" w:rsidRPr="00CA7526">
          <w:rPr>
            <w:rStyle w:val="Hyperlink"/>
          </w:rPr>
          <w:t>A.2.1</w:t>
        </w:r>
        <w:r w:rsidR="003B4BED" w:rsidRPr="00CA7526">
          <w:rPr>
            <w:rFonts w:asciiTheme="minorHAnsi" w:eastAsiaTheme="minorEastAsia" w:hAnsiTheme="minorHAnsi" w:cstheme="minorBidi"/>
            <w:sz w:val="22"/>
            <w:szCs w:val="22"/>
            <w:lang w:eastAsia="zh-CN"/>
          </w:rPr>
          <w:tab/>
        </w:r>
        <w:r w:rsidR="003B4BED" w:rsidRPr="00CA7526">
          <w:rPr>
            <w:rStyle w:val="Hyperlink"/>
          </w:rPr>
          <w:t>Privacy Impact Assessment Information</w:t>
        </w:r>
        <w:r w:rsidR="003B4BED" w:rsidRPr="00CA7526">
          <w:rPr>
            <w:webHidden/>
          </w:rPr>
          <w:tab/>
        </w:r>
        <w:r w:rsidR="003B4BED" w:rsidRPr="00CA7526">
          <w:rPr>
            <w:webHidden/>
          </w:rPr>
          <w:fldChar w:fldCharType="begin"/>
        </w:r>
        <w:r w:rsidR="003B4BED" w:rsidRPr="00CA7526">
          <w:rPr>
            <w:webHidden/>
          </w:rPr>
          <w:instrText xml:space="preserve"> PAGEREF _Toc371431212 \h </w:instrText>
        </w:r>
        <w:r w:rsidR="003B4BED" w:rsidRPr="00CA7526">
          <w:rPr>
            <w:webHidden/>
          </w:rPr>
        </w:r>
        <w:r w:rsidR="003B4BED" w:rsidRPr="00CA7526">
          <w:rPr>
            <w:webHidden/>
          </w:rPr>
          <w:fldChar w:fldCharType="separate"/>
        </w:r>
        <w:r w:rsidR="000D6765">
          <w:rPr>
            <w:webHidden/>
          </w:rPr>
          <w:t>11</w:t>
        </w:r>
        <w:r w:rsidR="003B4BED" w:rsidRPr="00CA7526">
          <w:rPr>
            <w:webHidden/>
          </w:rPr>
          <w:fldChar w:fldCharType="end"/>
        </w:r>
      </w:hyperlink>
    </w:p>
    <w:p w:rsidR="003B4BED" w:rsidRPr="00CA7526" w:rsidRDefault="00C9232B">
      <w:pPr>
        <w:pStyle w:val="TOC2"/>
        <w:tabs>
          <w:tab w:val="left" w:pos="1350"/>
        </w:tabs>
        <w:rPr>
          <w:rFonts w:asciiTheme="minorHAnsi" w:eastAsiaTheme="minorEastAsia" w:hAnsiTheme="minorHAnsi" w:cstheme="minorBidi"/>
          <w:sz w:val="22"/>
          <w:szCs w:val="22"/>
          <w:lang w:eastAsia="zh-CN"/>
        </w:rPr>
      </w:pPr>
      <w:hyperlink w:anchor="_Toc371431213" w:history="1">
        <w:r w:rsidR="003B4BED" w:rsidRPr="00CA7526">
          <w:rPr>
            <w:rStyle w:val="Hyperlink"/>
          </w:rPr>
          <w:t>A.3</w:t>
        </w:r>
        <w:r w:rsidR="003B4BED" w:rsidRPr="00CA7526">
          <w:rPr>
            <w:rFonts w:asciiTheme="minorHAnsi" w:eastAsiaTheme="minorEastAsia" w:hAnsiTheme="minorHAnsi" w:cstheme="minorBidi"/>
            <w:sz w:val="22"/>
            <w:szCs w:val="22"/>
            <w:lang w:eastAsia="zh-CN"/>
          </w:rPr>
          <w:tab/>
        </w:r>
        <w:r w:rsidR="003B4BED" w:rsidRPr="00CA7526">
          <w:rPr>
            <w:rStyle w:val="Hyperlink"/>
          </w:rPr>
          <w:t>Use of Improved Information Technology and Burden Reduction</w:t>
        </w:r>
        <w:r w:rsidR="003B4BED" w:rsidRPr="00CA7526">
          <w:rPr>
            <w:webHidden/>
          </w:rPr>
          <w:tab/>
        </w:r>
        <w:r w:rsidR="003B4BED" w:rsidRPr="00CA7526">
          <w:rPr>
            <w:webHidden/>
          </w:rPr>
          <w:fldChar w:fldCharType="begin"/>
        </w:r>
        <w:r w:rsidR="003B4BED" w:rsidRPr="00CA7526">
          <w:rPr>
            <w:webHidden/>
          </w:rPr>
          <w:instrText xml:space="preserve"> PAGEREF _Toc371431213 \h </w:instrText>
        </w:r>
        <w:r w:rsidR="003B4BED" w:rsidRPr="00CA7526">
          <w:rPr>
            <w:webHidden/>
          </w:rPr>
        </w:r>
        <w:r w:rsidR="003B4BED" w:rsidRPr="00CA7526">
          <w:rPr>
            <w:webHidden/>
          </w:rPr>
          <w:fldChar w:fldCharType="separate"/>
        </w:r>
        <w:r w:rsidR="000D6765">
          <w:rPr>
            <w:webHidden/>
          </w:rPr>
          <w:t>12</w:t>
        </w:r>
        <w:r w:rsidR="003B4BED" w:rsidRPr="00CA7526">
          <w:rPr>
            <w:webHidden/>
          </w:rPr>
          <w:fldChar w:fldCharType="end"/>
        </w:r>
      </w:hyperlink>
    </w:p>
    <w:p w:rsidR="003B4BED" w:rsidRPr="00CA7526" w:rsidRDefault="00C9232B">
      <w:pPr>
        <w:pStyle w:val="TOC2"/>
        <w:tabs>
          <w:tab w:val="left" w:pos="1350"/>
        </w:tabs>
        <w:rPr>
          <w:rFonts w:asciiTheme="minorHAnsi" w:eastAsiaTheme="minorEastAsia" w:hAnsiTheme="minorHAnsi" w:cstheme="minorBidi"/>
          <w:sz w:val="22"/>
          <w:szCs w:val="22"/>
          <w:lang w:eastAsia="zh-CN"/>
        </w:rPr>
      </w:pPr>
      <w:hyperlink w:anchor="_Toc371431214" w:history="1">
        <w:r w:rsidR="003B4BED" w:rsidRPr="00CA7526">
          <w:rPr>
            <w:rStyle w:val="Hyperlink"/>
          </w:rPr>
          <w:t>A.4</w:t>
        </w:r>
        <w:r w:rsidR="003B4BED" w:rsidRPr="00CA7526">
          <w:rPr>
            <w:rFonts w:asciiTheme="minorHAnsi" w:eastAsiaTheme="minorEastAsia" w:hAnsiTheme="minorHAnsi" w:cstheme="minorBidi"/>
            <w:sz w:val="22"/>
            <w:szCs w:val="22"/>
            <w:lang w:eastAsia="zh-CN"/>
          </w:rPr>
          <w:tab/>
        </w:r>
        <w:r w:rsidR="003B4BED" w:rsidRPr="00CA7526">
          <w:rPr>
            <w:rStyle w:val="Hyperlink"/>
          </w:rPr>
          <w:t>Efforts to Identify Duplication and Use of Similar Information</w:t>
        </w:r>
        <w:r w:rsidR="003B4BED" w:rsidRPr="00CA7526">
          <w:rPr>
            <w:webHidden/>
          </w:rPr>
          <w:tab/>
        </w:r>
        <w:r w:rsidR="003B4BED" w:rsidRPr="00CA7526">
          <w:rPr>
            <w:webHidden/>
          </w:rPr>
          <w:fldChar w:fldCharType="begin"/>
        </w:r>
        <w:r w:rsidR="003B4BED" w:rsidRPr="00CA7526">
          <w:rPr>
            <w:webHidden/>
          </w:rPr>
          <w:instrText xml:space="preserve"> PAGEREF _Toc371431214 \h </w:instrText>
        </w:r>
        <w:r w:rsidR="003B4BED" w:rsidRPr="00CA7526">
          <w:rPr>
            <w:webHidden/>
          </w:rPr>
        </w:r>
        <w:r w:rsidR="003B4BED" w:rsidRPr="00CA7526">
          <w:rPr>
            <w:webHidden/>
          </w:rPr>
          <w:fldChar w:fldCharType="separate"/>
        </w:r>
        <w:r w:rsidR="000D6765">
          <w:rPr>
            <w:webHidden/>
          </w:rPr>
          <w:t>13</w:t>
        </w:r>
        <w:r w:rsidR="003B4BED" w:rsidRPr="00CA7526">
          <w:rPr>
            <w:webHidden/>
          </w:rPr>
          <w:fldChar w:fldCharType="end"/>
        </w:r>
      </w:hyperlink>
    </w:p>
    <w:p w:rsidR="003B4BED" w:rsidRPr="00CA7526" w:rsidRDefault="00C9232B">
      <w:pPr>
        <w:pStyle w:val="TOC2"/>
        <w:tabs>
          <w:tab w:val="left" w:pos="1350"/>
        </w:tabs>
        <w:rPr>
          <w:rFonts w:asciiTheme="minorHAnsi" w:eastAsiaTheme="minorEastAsia" w:hAnsiTheme="minorHAnsi" w:cstheme="minorBidi"/>
          <w:sz w:val="22"/>
          <w:szCs w:val="22"/>
          <w:lang w:eastAsia="zh-CN"/>
        </w:rPr>
      </w:pPr>
      <w:hyperlink w:anchor="_Toc371431215" w:history="1">
        <w:r w:rsidR="003B4BED" w:rsidRPr="00CA7526">
          <w:rPr>
            <w:rStyle w:val="Hyperlink"/>
          </w:rPr>
          <w:t>A.5</w:t>
        </w:r>
        <w:r w:rsidR="003B4BED" w:rsidRPr="00CA7526">
          <w:rPr>
            <w:rFonts w:asciiTheme="minorHAnsi" w:eastAsiaTheme="minorEastAsia" w:hAnsiTheme="minorHAnsi" w:cstheme="minorBidi"/>
            <w:sz w:val="22"/>
            <w:szCs w:val="22"/>
            <w:lang w:eastAsia="zh-CN"/>
          </w:rPr>
          <w:tab/>
        </w:r>
        <w:r w:rsidR="003B4BED" w:rsidRPr="00CA7526">
          <w:rPr>
            <w:rStyle w:val="Hyperlink"/>
          </w:rPr>
          <w:t>Impact on Small Businesses or Other Small Entities</w:t>
        </w:r>
        <w:r w:rsidR="003B4BED" w:rsidRPr="00CA7526">
          <w:rPr>
            <w:webHidden/>
          </w:rPr>
          <w:tab/>
        </w:r>
        <w:r w:rsidR="003B4BED" w:rsidRPr="00CA7526">
          <w:rPr>
            <w:webHidden/>
          </w:rPr>
          <w:fldChar w:fldCharType="begin"/>
        </w:r>
        <w:r w:rsidR="003B4BED" w:rsidRPr="00CA7526">
          <w:rPr>
            <w:webHidden/>
          </w:rPr>
          <w:instrText xml:space="preserve"> PAGEREF _Toc371431215 \h </w:instrText>
        </w:r>
        <w:r w:rsidR="003B4BED" w:rsidRPr="00CA7526">
          <w:rPr>
            <w:webHidden/>
          </w:rPr>
        </w:r>
        <w:r w:rsidR="003B4BED" w:rsidRPr="00CA7526">
          <w:rPr>
            <w:webHidden/>
          </w:rPr>
          <w:fldChar w:fldCharType="separate"/>
        </w:r>
        <w:r w:rsidR="000D6765">
          <w:rPr>
            <w:webHidden/>
          </w:rPr>
          <w:t>16</w:t>
        </w:r>
        <w:r w:rsidR="003B4BED" w:rsidRPr="00CA7526">
          <w:rPr>
            <w:webHidden/>
          </w:rPr>
          <w:fldChar w:fldCharType="end"/>
        </w:r>
      </w:hyperlink>
    </w:p>
    <w:p w:rsidR="003B4BED" w:rsidRPr="00CA7526" w:rsidRDefault="00C9232B">
      <w:pPr>
        <w:pStyle w:val="TOC2"/>
        <w:tabs>
          <w:tab w:val="left" w:pos="1350"/>
        </w:tabs>
        <w:rPr>
          <w:rFonts w:asciiTheme="minorHAnsi" w:eastAsiaTheme="minorEastAsia" w:hAnsiTheme="minorHAnsi" w:cstheme="minorBidi"/>
          <w:sz w:val="22"/>
          <w:szCs w:val="22"/>
          <w:lang w:eastAsia="zh-CN"/>
        </w:rPr>
      </w:pPr>
      <w:hyperlink w:anchor="_Toc371431216" w:history="1">
        <w:r w:rsidR="003B4BED" w:rsidRPr="00CA7526">
          <w:rPr>
            <w:rStyle w:val="Hyperlink"/>
          </w:rPr>
          <w:t>A.6</w:t>
        </w:r>
        <w:r w:rsidR="003B4BED" w:rsidRPr="00CA7526">
          <w:rPr>
            <w:rFonts w:asciiTheme="minorHAnsi" w:eastAsiaTheme="minorEastAsia" w:hAnsiTheme="minorHAnsi" w:cstheme="minorBidi"/>
            <w:sz w:val="22"/>
            <w:szCs w:val="22"/>
            <w:lang w:eastAsia="zh-CN"/>
          </w:rPr>
          <w:tab/>
        </w:r>
        <w:r w:rsidR="003B4BED" w:rsidRPr="00CA7526">
          <w:rPr>
            <w:rStyle w:val="Hyperlink"/>
          </w:rPr>
          <w:t>Consequences of Collecting the Information Less Frequently</w:t>
        </w:r>
        <w:r w:rsidR="003B4BED" w:rsidRPr="00CA7526">
          <w:rPr>
            <w:webHidden/>
          </w:rPr>
          <w:tab/>
        </w:r>
        <w:r w:rsidR="003B4BED" w:rsidRPr="00CA7526">
          <w:rPr>
            <w:webHidden/>
          </w:rPr>
          <w:fldChar w:fldCharType="begin"/>
        </w:r>
        <w:r w:rsidR="003B4BED" w:rsidRPr="00CA7526">
          <w:rPr>
            <w:webHidden/>
          </w:rPr>
          <w:instrText xml:space="preserve"> PAGEREF _Toc371431216 \h </w:instrText>
        </w:r>
        <w:r w:rsidR="003B4BED" w:rsidRPr="00CA7526">
          <w:rPr>
            <w:webHidden/>
          </w:rPr>
        </w:r>
        <w:r w:rsidR="003B4BED" w:rsidRPr="00CA7526">
          <w:rPr>
            <w:webHidden/>
          </w:rPr>
          <w:fldChar w:fldCharType="separate"/>
        </w:r>
        <w:r w:rsidR="000D6765">
          <w:rPr>
            <w:webHidden/>
          </w:rPr>
          <w:t>17</w:t>
        </w:r>
        <w:r w:rsidR="003B4BED" w:rsidRPr="00CA7526">
          <w:rPr>
            <w:webHidden/>
          </w:rPr>
          <w:fldChar w:fldCharType="end"/>
        </w:r>
      </w:hyperlink>
    </w:p>
    <w:p w:rsidR="003B4BED" w:rsidRPr="00CA7526" w:rsidRDefault="00C9232B">
      <w:pPr>
        <w:pStyle w:val="TOC2"/>
        <w:tabs>
          <w:tab w:val="left" w:pos="1350"/>
        </w:tabs>
        <w:rPr>
          <w:rFonts w:asciiTheme="minorHAnsi" w:eastAsiaTheme="minorEastAsia" w:hAnsiTheme="minorHAnsi" w:cstheme="minorBidi"/>
          <w:sz w:val="22"/>
          <w:szCs w:val="22"/>
          <w:lang w:eastAsia="zh-CN"/>
        </w:rPr>
      </w:pPr>
      <w:hyperlink w:anchor="_Toc371431217" w:history="1">
        <w:r w:rsidR="003B4BED" w:rsidRPr="00CA7526">
          <w:rPr>
            <w:rStyle w:val="Hyperlink"/>
          </w:rPr>
          <w:t>A.7</w:t>
        </w:r>
        <w:r w:rsidR="003B4BED" w:rsidRPr="00CA7526">
          <w:rPr>
            <w:rFonts w:asciiTheme="minorHAnsi" w:eastAsiaTheme="minorEastAsia" w:hAnsiTheme="minorHAnsi" w:cstheme="minorBidi"/>
            <w:sz w:val="22"/>
            <w:szCs w:val="22"/>
            <w:lang w:eastAsia="zh-CN"/>
          </w:rPr>
          <w:tab/>
        </w:r>
        <w:r w:rsidR="003B4BED" w:rsidRPr="00CA7526">
          <w:rPr>
            <w:rStyle w:val="Hyperlink"/>
          </w:rPr>
          <w:t>Special Circumstances Relating to the Guidelines of 5 CFR 1320</w:t>
        </w:r>
        <w:r w:rsidR="003B4BED" w:rsidRPr="00CA7526">
          <w:rPr>
            <w:webHidden/>
          </w:rPr>
          <w:tab/>
        </w:r>
        <w:r w:rsidR="003B4BED" w:rsidRPr="00CA7526">
          <w:rPr>
            <w:webHidden/>
          </w:rPr>
          <w:fldChar w:fldCharType="begin"/>
        </w:r>
        <w:r w:rsidR="003B4BED" w:rsidRPr="00CA7526">
          <w:rPr>
            <w:webHidden/>
          </w:rPr>
          <w:instrText xml:space="preserve"> PAGEREF _Toc371431217 \h </w:instrText>
        </w:r>
        <w:r w:rsidR="003B4BED" w:rsidRPr="00CA7526">
          <w:rPr>
            <w:webHidden/>
          </w:rPr>
        </w:r>
        <w:r w:rsidR="003B4BED" w:rsidRPr="00CA7526">
          <w:rPr>
            <w:webHidden/>
          </w:rPr>
          <w:fldChar w:fldCharType="separate"/>
        </w:r>
        <w:r w:rsidR="000D6765">
          <w:rPr>
            <w:webHidden/>
          </w:rPr>
          <w:t>17</w:t>
        </w:r>
        <w:r w:rsidR="003B4BED" w:rsidRPr="00CA7526">
          <w:rPr>
            <w:webHidden/>
          </w:rPr>
          <w:fldChar w:fldCharType="end"/>
        </w:r>
      </w:hyperlink>
    </w:p>
    <w:p w:rsidR="003B4BED" w:rsidRPr="00CA7526" w:rsidRDefault="00C9232B">
      <w:pPr>
        <w:pStyle w:val="TOC2"/>
        <w:tabs>
          <w:tab w:val="left" w:pos="1350"/>
        </w:tabs>
        <w:rPr>
          <w:rFonts w:asciiTheme="minorHAnsi" w:eastAsiaTheme="minorEastAsia" w:hAnsiTheme="minorHAnsi" w:cstheme="minorBidi"/>
          <w:sz w:val="22"/>
          <w:szCs w:val="22"/>
          <w:lang w:eastAsia="zh-CN"/>
        </w:rPr>
      </w:pPr>
      <w:hyperlink w:anchor="_Toc371431218" w:history="1">
        <w:r w:rsidR="003B4BED" w:rsidRPr="00CA7526">
          <w:rPr>
            <w:rStyle w:val="Hyperlink"/>
          </w:rPr>
          <w:t>A.8</w:t>
        </w:r>
        <w:r w:rsidR="003B4BED" w:rsidRPr="00CA7526">
          <w:rPr>
            <w:rFonts w:asciiTheme="minorHAnsi" w:eastAsiaTheme="minorEastAsia" w:hAnsiTheme="minorHAnsi" w:cstheme="minorBidi"/>
            <w:sz w:val="22"/>
            <w:szCs w:val="22"/>
            <w:lang w:eastAsia="zh-CN"/>
          </w:rPr>
          <w:tab/>
        </w:r>
        <w:r w:rsidR="003B4BED" w:rsidRPr="00CA7526">
          <w:rPr>
            <w:rStyle w:val="Hyperlink"/>
          </w:rPr>
          <w:t>Comments in Response to the Federal Register Notice and Efforts to Consult Outside the Agency</w:t>
        </w:r>
        <w:r w:rsidR="003B4BED" w:rsidRPr="00CA7526">
          <w:rPr>
            <w:webHidden/>
          </w:rPr>
          <w:tab/>
        </w:r>
        <w:r w:rsidR="003B4BED" w:rsidRPr="00CA7526">
          <w:rPr>
            <w:webHidden/>
          </w:rPr>
          <w:fldChar w:fldCharType="begin"/>
        </w:r>
        <w:r w:rsidR="003B4BED" w:rsidRPr="00CA7526">
          <w:rPr>
            <w:webHidden/>
          </w:rPr>
          <w:instrText xml:space="preserve"> PAGEREF _Toc371431218 \h </w:instrText>
        </w:r>
        <w:r w:rsidR="003B4BED" w:rsidRPr="00CA7526">
          <w:rPr>
            <w:webHidden/>
          </w:rPr>
        </w:r>
        <w:r w:rsidR="003B4BED" w:rsidRPr="00CA7526">
          <w:rPr>
            <w:webHidden/>
          </w:rPr>
          <w:fldChar w:fldCharType="separate"/>
        </w:r>
        <w:r w:rsidR="000D6765">
          <w:rPr>
            <w:webHidden/>
          </w:rPr>
          <w:t>17</w:t>
        </w:r>
        <w:r w:rsidR="003B4BED" w:rsidRPr="00CA7526">
          <w:rPr>
            <w:webHidden/>
          </w:rPr>
          <w:fldChar w:fldCharType="end"/>
        </w:r>
      </w:hyperlink>
    </w:p>
    <w:p w:rsidR="003B4BED" w:rsidRPr="00CA7526" w:rsidRDefault="00C9232B">
      <w:pPr>
        <w:pStyle w:val="TOC2"/>
        <w:tabs>
          <w:tab w:val="left" w:pos="1350"/>
        </w:tabs>
        <w:rPr>
          <w:rFonts w:asciiTheme="minorHAnsi" w:eastAsiaTheme="minorEastAsia" w:hAnsiTheme="minorHAnsi" w:cstheme="minorBidi"/>
          <w:sz w:val="22"/>
          <w:szCs w:val="22"/>
          <w:lang w:eastAsia="zh-CN"/>
        </w:rPr>
      </w:pPr>
      <w:hyperlink w:anchor="_Toc371431219" w:history="1">
        <w:r w:rsidR="003B4BED" w:rsidRPr="00CA7526">
          <w:rPr>
            <w:rStyle w:val="Hyperlink"/>
          </w:rPr>
          <w:t>A.9</w:t>
        </w:r>
        <w:r w:rsidR="003B4BED" w:rsidRPr="00CA7526">
          <w:rPr>
            <w:rFonts w:asciiTheme="minorHAnsi" w:eastAsiaTheme="minorEastAsia" w:hAnsiTheme="minorHAnsi" w:cstheme="minorBidi"/>
            <w:sz w:val="22"/>
            <w:szCs w:val="22"/>
            <w:lang w:eastAsia="zh-CN"/>
          </w:rPr>
          <w:tab/>
        </w:r>
        <w:r w:rsidR="003B4BED" w:rsidRPr="00CA7526">
          <w:rPr>
            <w:rStyle w:val="Hyperlink"/>
          </w:rPr>
          <w:t>Explanation of Any Payment or Gift to Respondents</w:t>
        </w:r>
        <w:r w:rsidR="003B4BED" w:rsidRPr="00CA7526">
          <w:rPr>
            <w:webHidden/>
          </w:rPr>
          <w:tab/>
        </w:r>
        <w:r w:rsidR="003B4BED" w:rsidRPr="00CA7526">
          <w:rPr>
            <w:webHidden/>
          </w:rPr>
          <w:fldChar w:fldCharType="begin"/>
        </w:r>
        <w:r w:rsidR="003B4BED" w:rsidRPr="00CA7526">
          <w:rPr>
            <w:webHidden/>
          </w:rPr>
          <w:instrText xml:space="preserve"> PAGEREF _Toc371431219 \h </w:instrText>
        </w:r>
        <w:r w:rsidR="003B4BED" w:rsidRPr="00CA7526">
          <w:rPr>
            <w:webHidden/>
          </w:rPr>
        </w:r>
        <w:r w:rsidR="003B4BED" w:rsidRPr="00CA7526">
          <w:rPr>
            <w:webHidden/>
          </w:rPr>
          <w:fldChar w:fldCharType="separate"/>
        </w:r>
        <w:r w:rsidR="000D6765">
          <w:rPr>
            <w:webHidden/>
          </w:rPr>
          <w:t>18</w:t>
        </w:r>
        <w:r w:rsidR="003B4BED" w:rsidRPr="00CA7526">
          <w:rPr>
            <w:webHidden/>
          </w:rPr>
          <w:fldChar w:fldCharType="end"/>
        </w:r>
      </w:hyperlink>
    </w:p>
    <w:p w:rsidR="003B4BED" w:rsidRPr="00CA7526" w:rsidRDefault="00C9232B">
      <w:pPr>
        <w:pStyle w:val="TOC2"/>
        <w:tabs>
          <w:tab w:val="left" w:pos="2340"/>
        </w:tabs>
        <w:rPr>
          <w:rFonts w:asciiTheme="minorHAnsi" w:eastAsiaTheme="minorEastAsia" w:hAnsiTheme="minorHAnsi" w:cstheme="minorBidi"/>
          <w:sz w:val="22"/>
          <w:szCs w:val="22"/>
          <w:lang w:eastAsia="zh-CN"/>
        </w:rPr>
      </w:pPr>
      <w:hyperlink w:anchor="_Toc371431220" w:history="1">
        <w:r w:rsidR="003B4BED" w:rsidRPr="00CA7526">
          <w:rPr>
            <w:rStyle w:val="Hyperlink"/>
          </w:rPr>
          <w:t>A.10</w:t>
        </w:r>
        <w:r w:rsidR="003B4BED" w:rsidRPr="00CA7526">
          <w:rPr>
            <w:rFonts w:asciiTheme="minorHAnsi" w:eastAsiaTheme="minorEastAsia" w:hAnsiTheme="minorHAnsi" w:cstheme="minorBidi"/>
            <w:sz w:val="22"/>
            <w:szCs w:val="22"/>
            <w:lang w:eastAsia="zh-CN"/>
          </w:rPr>
          <w:tab/>
        </w:r>
        <w:r w:rsidR="003B4BED" w:rsidRPr="00CA7526">
          <w:rPr>
            <w:rStyle w:val="Hyperlink"/>
          </w:rPr>
          <w:t>Assurance of Confidentiality Provided to Respondents</w:t>
        </w:r>
        <w:r w:rsidR="003B4BED" w:rsidRPr="00CA7526">
          <w:rPr>
            <w:webHidden/>
          </w:rPr>
          <w:tab/>
        </w:r>
        <w:r w:rsidR="003B4BED" w:rsidRPr="00CA7526">
          <w:rPr>
            <w:webHidden/>
          </w:rPr>
          <w:fldChar w:fldCharType="begin"/>
        </w:r>
        <w:r w:rsidR="003B4BED" w:rsidRPr="00CA7526">
          <w:rPr>
            <w:webHidden/>
          </w:rPr>
          <w:instrText xml:space="preserve"> PAGEREF _Toc371431220 \h </w:instrText>
        </w:r>
        <w:r w:rsidR="003B4BED" w:rsidRPr="00CA7526">
          <w:rPr>
            <w:webHidden/>
          </w:rPr>
        </w:r>
        <w:r w:rsidR="003B4BED" w:rsidRPr="00CA7526">
          <w:rPr>
            <w:webHidden/>
          </w:rPr>
          <w:fldChar w:fldCharType="separate"/>
        </w:r>
        <w:r w:rsidR="000D6765">
          <w:rPr>
            <w:webHidden/>
          </w:rPr>
          <w:t>19</w:t>
        </w:r>
        <w:r w:rsidR="003B4BED" w:rsidRPr="00CA7526">
          <w:rPr>
            <w:webHidden/>
          </w:rPr>
          <w:fldChar w:fldCharType="end"/>
        </w:r>
      </w:hyperlink>
    </w:p>
    <w:p w:rsidR="003B4BED" w:rsidRPr="00CA7526" w:rsidRDefault="00C9232B">
      <w:pPr>
        <w:pStyle w:val="TOC3"/>
        <w:tabs>
          <w:tab w:val="left" w:pos="2340"/>
        </w:tabs>
        <w:rPr>
          <w:rFonts w:asciiTheme="minorHAnsi" w:eastAsiaTheme="minorEastAsia" w:hAnsiTheme="minorHAnsi" w:cstheme="minorBidi"/>
          <w:sz w:val="22"/>
          <w:szCs w:val="22"/>
          <w:lang w:eastAsia="zh-CN"/>
        </w:rPr>
      </w:pPr>
      <w:hyperlink w:anchor="_Toc371431221" w:history="1">
        <w:r w:rsidR="003B4BED" w:rsidRPr="00CA7526">
          <w:rPr>
            <w:rStyle w:val="Hyperlink"/>
          </w:rPr>
          <w:t>A.10.1</w:t>
        </w:r>
        <w:r w:rsidR="003B4BED" w:rsidRPr="00CA7526">
          <w:rPr>
            <w:rFonts w:asciiTheme="minorHAnsi" w:eastAsiaTheme="minorEastAsia" w:hAnsiTheme="minorHAnsi" w:cstheme="minorBidi"/>
            <w:sz w:val="22"/>
            <w:szCs w:val="22"/>
            <w:lang w:eastAsia="zh-CN"/>
          </w:rPr>
          <w:tab/>
        </w:r>
        <w:r w:rsidR="003B4BED" w:rsidRPr="00CA7526">
          <w:rPr>
            <w:rStyle w:val="Hyperlink"/>
          </w:rPr>
          <w:t>Privacy Impact Assessment Information</w:t>
        </w:r>
        <w:r w:rsidR="003B4BED" w:rsidRPr="00CA7526">
          <w:rPr>
            <w:webHidden/>
          </w:rPr>
          <w:tab/>
        </w:r>
        <w:r w:rsidR="003B4BED" w:rsidRPr="00CA7526">
          <w:rPr>
            <w:webHidden/>
          </w:rPr>
          <w:fldChar w:fldCharType="begin"/>
        </w:r>
        <w:r w:rsidR="003B4BED" w:rsidRPr="00CA7526">
          <w:rPr>
            <w:webHidden/>
          </w:rPr>
          <w:instrText xml:space="preserve"> PAGEREF _Toc371431221 \h </w:instrText>
        </w:r>
        <w:r w:rsidR="003B4BED" w:rsidRPr="00CA7526">
          <w:rPr>
            <w:webHidden/>
          </w:rPr>
        </w:r>
        <w:r w:rsidR="003B4BED" w:rsidRPr="00CA7526">
          <w:rPr>
            <w:webHidden/>
          </w:rPr>
          <w:fldChar w:fldCharType="separate"/>
        </w:r>
        <w:r w:rsidR="000D6765">
          <w:rPr>
            <w:webHidden/>
          </w:rPr>
          <w:t>19</w:t>
        </w:r>
        <w:r w:rsidR="003B4BED" w:rsidRPr="00CA7526">
          <w:rPr>
            <w:webHidden/>
          </w:rPr>
          <w:fldChar w:fldCharType="end"/>
        </w:r>
      </w:hyperlink>
    </w:p>
    <w:p w:rsidR="003B4BED" w:rsidRPr="00CA7526" w:rsidRDefault="00C9232B">
      <w:pPr>
        <w:pStyle w:val="TOC2"/>
        <w:tabs>
          <w:tab w:val="left" w:pos="2340"/>
        </w:tabs>
        <w:rPr>
          <w:rFonts w:asciiTheme="minorHAnsi" w:eastAsiaTheme="minorEastAsia" w:hAnsiTheme="minorHAnsi" w:cstheme="minorBidi"/>
          <w:sz w:val="22"/>
          <w:szCs w:val="22"/>
          <w:lang w:eastAsia="zh-CN"/>
        </w:rPr>
      </w:pPr>
      <w:hyperlink w:anchor="_Toc371431222" w:history="1">
        <w:r w:rsidR="003B4BED" w:rsidRPr="00CA7526">
          <w:rPr>
            <w:rStyle w:val="Hyperlink"/>
          </w:rPr>
          <w:t>A.11</w:t>
        </w:r>
        <w:r w:rsidR="003B4BED" w:rsidRPr="00CA7526">
          <w:rPr>
            <w:rFonts w:asciiTheme="minorHAnsi" w:eastAsiaTheme="minorEastAsia" w:hAnsiTheme="minorHAnsi" w:cstheme="minorBidi"/>
            <w:sz w:val="22"/>
            <w:szCs w:val="22"/>
            <w:lang w:eastAsia="zh-CN"/>
          </w:rPr>
          <w:tab/>
        </w:r>
        <w:r w:rsidR="003B4BED" w:rsidRPr="00CA7526">
          <w:rPr>
            <w:rStyle w:val="Hyperlink"/>
          </w:rPr>
          <w:t>Justification for Sensitive Questions</w:t>
        </w:r>
        <w:r w:rsidR="003B4BED" w:rsidRPr="00CA7526">
          <w:rPr>
            <w:webHidden/>
          </w:rPr>
          <w:tab/>
        </w:r>
        <w:r w:rsidR="003B4BED" w:rsidRPr="00CA7526">
          <w:rPr>
            <w:webHidden/>
          </w:rPr>
          <w:fldChar w:fldCharType="begin"/>
        </w:r>
        <w:r w:rsidR="003B4BED" w:rsidRPr="00CA7526">
          <w:rPr>
            <w:webHidden/>
          </w:rPr>
          <w:instrText xml:space="preserve"> PAGEREF _Toc371431222 \h </w:instrText>
        </w:r>
        <w:r w:rsidR="003B4BED" w:rsidRPr="00CA7526">
          <w:rPr>
            <w:webHidden/>
          </w:rPr>
        </w:r>
        <w:r w:rsidR="003B4BED" w:rsidRPr="00CA7526">
          <w:rPr>
            <w:webHidden/>
          </w:rPr>
          <w:fldChar w:fldCharType="separate"/>
        </w:r>
        <w:r w:rsidR="000D6765">
          <w:rPr>
            <w:webHidden/>
          </w:rPr>
          <w:t>20</w:t>
        </w:r>
        <w:r w:rsidR="003B4BED" w:rsidRPr="00CA7526">
          <w:rPr>
            <w:webHidden/>
          </w:rPr>
          <w:fldChar w:fldCharType="end"/>
        </w:r>
      </w:hyperlink>
    </w:p>
    <w:p w:rsidR="003B4BED" w:rsidRPr="00CA7526" w:rsidRDefault="00C9232B">
      <w:pPr>
        <w:pStyle w:val="TOC2"/>
        <w:tabs>
          <w:tab w:val="left" w:pos="2340"/>
        </w:tabs>
        <w:rPr>
          <w:rFonts w:asciiTheme="minorHAnsi" w:eastAsiaTheme="minorEastAsia" w:hAnsiTheme="minorHAnsi" w:cstheme="minorBidi"/>
          <w:sz w:val="22"/>
          <w:szCs w:val="22"/>
          <w:lang w:eastAsia="zh-CN"/>
        </w:rPr>
      </w:pPr>
      <w:hyperlink w:anchor="_Toc371431223" w:history="1">
        <w:r w:rsidR="003B4BED" w:rsidRPr="00CA7526">
          <w:rPr>
            <w:rStyle w:val="Hyperlink"/>
          </w:rPr>
          <w:t>A.12</w:t>
        </w:r>
        <w:r w:rsidR="003B4BED" w:rsidRPr="00CA7526">
          <w:rPr>
            <w:rFonts w:asciiTheme="minorHAnsi" w:eastAsiaTheme="minorEastAsia" w:hAnsiTheme="minorHAnsi" w:cstheme="minorBidi"/>
            <w:sz w:val="22"/>
            <w:szCs w:val="22"/>
            <w:lang w:eastAsia="zh-CN"/>
          </w:rPr>
          <w:tab/>
        </w:r>
        <w:r w:rsidR="003B4BED" w:rsidRPr="00CA7526">
          <w:rPr>
            <w:rStyle w:val="Hyperlink"/>
          </w:rPr>
          <w:t>Estimates of Annualized Burden Hours and Costs</w:t>
        </w:r>
        <w:r w:rsidR="003B4BED" w:rsidRPr="00CA7526">
          <w:rPr>
            <w:webHidden/>
          </w:rPr>
          <w:tab/>
        </w:r>
        <w:r w:rsidR="003B4BED" w:rsidRPr="00CA7526">
          <w:rPr>
            <w:webHidden/>
          </w:rPr>
          <w:fldChar w:fldCharType="begin"/>
        </w:r>
        <w:r w:rsidR="003B4BED" w:rsidRPr="00CA7526">
          <w:rPr>
            <w:webHidden/>
          </w:rPr>
          <w:instrText xml:space="preserve"> PAGEREF _Toc371431223 \h </w:instrText>
        </w:r>
        <w:r w:rsidR="003B4BED" w:rsidRPr="00CA7526">
          <w:rPr>
            <w:webHidden/>
          </w:rPr>
        </w:r>
        <w:r w:rsidR="003B4BED" w:rsidRPr="00CA7526">
          <w:rPr>
            <w:webHidden/>
          </w:rPr>
          <w:fldChar w:fldCharType="separate"/>
        </w:r>
        <w:r w:rsidR="000D6765">
          <w:rPr>
            <w:webHidden/>
          </w:rPr>
          <w:t>20</w:t>
        </w:r>
        <w:r w:rsidR="003B4BED" w:rsidRPr="00CA7526">
          <w:rPr>
            <w:webHidden/>
          </w:rPr>
          <w:fldChar w:fldCharType="end"/>
        </w:r>
      </w:hyperlink>
    </w:p>
    <w:p w:rsidR="003B4BED" w:rsidRPr="00CA7526" w:rsidRDefault="00C9232B">
      <w:pPr>
        <w:pStyle w:val="TOC2"/>
        <w:tabs>
          <w:tab w:val="left" w:pos="2340"/>
        </w:tabs>
        <w:rPr>
          <w:rFonts w:asciiTheme="minorHAnsi" w:eastAsiaTheme="minorEastAsia" w:hAnsiTheme="minorHAnsi" w:cstheme="minorBidi"/>
          <w:sz w:val="22"/>
          <w:szCs w:val="22"/>
          <w:lang w:eastAsia="zh-CN"/>
        </w:rPr>
      </w:pPr>
      <w:hyperlink w:anchor="_Toc371431224" w:history="1">
        <w:r w:rsidR="003B4BED" w:rsidRPr="00CA7526">
          <w:rPr>
            <w:rStyle w:val="Hyperlink"/>
          </w:rPr>
          <w:t>A.13</w:t>
        </w:r>
        <w:r w:rsidR="003B4BED" w:rsidRPr="00CA7526">
          <w:rPr>
            <w:rFonts w:asciiTheme="minorHAnsi" w:eastAsiaTheme="minorEastAsia" w:hAnsiTheme="minorHAnsi" w:cstheme="minorBidi"/>
            <w:sz w:val="22"/>
            <w:szCs w:val="22"/>
            <w:lang w:eastAsia="zh-CN"/>
          </w:rPr>
          <w:tab/>
        </w:r>
        <w:r w:rsidR="003B4BED" w:rsidRPr="00CA7526">
          <w:rPr>
            <w:rStyle w:val="Hyperlink"/>
          </w:rPr>
          <w:t>Estimates of Other Total Annual Cost Burden to Respondents or Recordkeepers</w:t>
        </w:r>
        <w:r w:rsidR="003B4BED" w:rsidRPr="00CA7526">
          <w:rPr>
            <w:webHidden/>
          </w:rPr>
          <w:tab/>
        </w:r>
        <w:r w:rsidR="003B4BED" w:rsidRPr="00CA7526">
          <w:rPr>
            <w:webHidden/>
          </w:rPr>
          <w:fldChar w:fldCharType="begin"/>
        </w:r>
        <w:r w:rsidR="003B4BED" w:rsidRPr="00CA7526">
          <w:rPr>
            <w:webHidden/>
          </w:rPr>
          <w:instrText xml:space="preserve"> PAGEREF _Toc371431224 \h </w:instrText>
        </w:r>
        <w:r w:rsidR="003B4BED" w:rsidRPr="00CA7526">
          <w:rPr>
            <w:webHidden/>
          </w:rPr>
        </w:r>
        <w:r w:rsidR="003B4BED" w:rsidRPr="00CA7526">
          <w:rPr>
            <w:webHidden/>
          </w:rPr>
          <w:fldChar w:fldCharType="separate"/>
        </w:r>
        <w:r w:rsidR="000D6765">
          <w:rPr>
            <w:webHidden/>
          </w:rPr>
          <w:t>22</w:t>
        </w:r>
        <w:r w:rsidR="003B4BED" w:rsidRPr="00CA7526">
          <w:rPr>
            <w:webHidden/>
          </w:rPr>
          <w:fldChar w:fldCharType="end"/>
        </w:r>
      </w:hyperlink>
    </w:p>
    <w:p w:rsidR="003B4BED" w:rsidRPr="00CA7526" w:rsidRDefault="00C9232B">
      <w:pPr>
        <w:pStyle w:val="TOC2"/>
        <w:tabs>
          <w:tab w:val="left" w:pos="2340"/>
        </w:tabs>
        <w:rPr>
          <w:rFonts w:asciiTheme="minorHAnsi" w:eastAsiaTheme="minorEastAsia" w:hAnsiTheme="minorHAnsi" w:cstheme="minorBidi"/>
          <w:sz w:val="22"/>
          <w:szCs w:val="22"/>
          <w:lang w:eastAsia="zh-CN"/>
        </w:rPr>
      </w:pPr>
      <w:hyperlink w:anchor="_Toc371431225" w:history="1">
        <w:r w:rsidR="003B4BED" w:rsidRPr="00CA7526">
          <w:rPr>
            <w:rStyle w:val="Hyperlink"/>
          </w:rPr>
          <w:t>A.14</w:t>
        </w:r>
        <w:r w:rsidR="003B4BED" w:rsidRPr="00CA7526">
          <w:rPr>
            <w:rFonts w:asciiTheme="minorHAnsi" w:eastAsiaTheme="minorEastAsia" w:hAnsiTheme="minorHAnsi" w:cstheme="minorBidi"/>
            <w:sz w:val="22"/>
            <w:szCs w:val="22"/>
            <w:lang w:eastAsia="zh-CN"/>
          </w:rPr>
          <w:tab/>
        </w:r>
        <w:r w:rsidR="003B4BED" w:rsidRPr="00CA7526">
          <w:rPr>
            <w:rStyle w:val="Hyperlink"/>
          </w:rPr>
          <w:t>Annualized Cost to the Federal Government</w:t>
        </w:r>
        <w:r w:rsidR="003B4BED" w:rsidRPr="00CA7526">
          <w:rPr>
            <w:webHidden/>
          </w:rPr>
          <w:tab/>
        </w:r>
        <w:r w:rsidR="003B4BED" w:rsidRPr="00CA7526">
          <w:rPr>
            <w:webHidden/>
          </w:rPr>
          <w:fldChar w:fldCharType="begin"/>
        </w:r>
        <w:r w:rsidR="003B4BED" w:rsidRPr="00CA7526">
          <w:rPr>
            <w:webHidden/>
          </w:rPr>
          <w:instrText xml:space="preserve"> PAGEREF _Toc371431225 \h </w:instrText>
        </w:r>
        <w:r w:rsidR="003B4BED" w:rsidRPr="00CA7526">
          <w:rPr>
            <w:webHidden/>
          </w:rPr>
        </w:r>
        <w:r w:rsidR="003B4BED" w:rsidRPr="00CA7526">
          <w:rPr>
            <w:webHidden/>
          </w:rPr>
          <w:fldChar w:fldCharType="separate"/>
        </w:r>
        <w:r w:rsidR="000D6765">
          <w:rPr>
            <w:webHidden/>
          </w:rPr>
          <w:t>22</w:t>
        </w:r>
        <w:r w:rsidR="003B4BED" w:rsidRPr="00CA7526">
          <w:rPr>
            <w:webHidden/>
          </w:rPr>
          <w:fldChar w:fldCharType="end"/>
        </w:r>
      </w:hyperlink>
    </w:p>
    <w:p w:rsidR="003B4BED" w:rsidRPr="00CA7526" w:rsidRDefault="00C9232B">
      <w:pPr>
        <w:pStyle w:val="TOC2"/>
        <w:tabs>
          <w:tab w:val="left" w:pos="2340"/>
        </w:tabs>
        <w:rPr>
          <w:rFonts w:asciiTheme="minorHAnsi" w:eastAsiaTheme="minorEastAsia" w:hAnsiTheme="minorHAnsi" w:cstheme="minorBidi"/>
          <w:sz w:val="22"/>
          <w:szCs w:val="22"/>
          <w:lang w:eastAsia="zh-CN"/>
        </w:rPr>
      </w:pPr>
      <w:hyperlink w:anchor="_Toc371431226" w:history="1">
        <w:r w:rsidR="003B4BED" w:rsidRPr="00CA7526">
          <w:rPr>
            <w:rStyle w:val="Hyperlink"/>
          </w:rPr>
          <w:t>A.15</w:t>
        </w:r>
        <w:r w:rsidR="003B4BED" w:rsidRPr="00CA7526">
          <w:rPr>
            <w:rFonts w:asciiTheme="minorHAnsi" w:eastAsiaTheme="minorEastAsia" w:hAnsiTheme="minorHAnsi" w:cstheme="minorBidi"/>
            <w:sz w:val="22"/>
            <w:szCs w:val="22"/>
            <w:lang w:eastAsia="zh-CN"/>
          </w:rPr>
          <w:tab/>
        </w:r>
        <w:r w:rsidR="003B4BED" w:rsidRPr="00CA7526">
          <w:rPr>
            <w:rStyle w:val="Hyperlink"/>
          </w:rPr>
          <w:t>Explanation for Program Changes or Adjustments</w:t>
        </w:r>
        <w:r w:rsidR="003B4BED" w:rsidRPr="00CA7526">
          <w:rPr>
            <w:webHidden/>
          </w:rPr>
          <w:tab/>
        </w:r>
        <w:r w:rsidR="003B4BED" w:rsidRPr="00CA7526">
          <w:rPr>
            <w:webHidden/>
          </w:rPr>
          <w:fldChar w:fldCharType="begin"/>
        </w:r>
        <w:r w:rsidR="003B4BED" w:rsidRPr="00CA7526">
          <w:rPr>
            <w:webHidden/>
          </w:rPr>
          <w:instrText xml:space="preserve"> PAGEREF _Toc371431226 \h </w:instrText>
        </w:r>
        <w:r w:rsidR="003B4BED" w:rsidRPr="00CA7526">
          <w:rPr>
            <w:webHidden/>
          </w:rPr>
        </w:r>
        <w:r w:rsidR="003B4BED" w:rsidRPr="00CA7526">
          <w:rPr>
            <w:webHidden/>
          </w:rPr>
          <w:fldChar w:fldCharType="separate"/>
        </w:r>
        <w:r w:rsidR="000D6765">
          <w:rPr>
            <w:webHidden/>
          </w:rPr>
          <w:t>23</w:t>
        </w:r>
        <w:r w:rsidR="003B4BED" w:rsidRPr="00CA7526">
          <w:rPr>
            <w:webHidden/>
          </w:rPr>
          <w:fldChar w:fldCharType="end"/>
        </w:r>
      </w:hyperlink>
    </w:p>
    <w:p w:rsidR="003B4BED" w:rsidRPr="00CA7526" w:rsidRDefault="00C9232B">
      <w:pPr>
        <w:pStyle w:val="TOC2"/>
        <w:tabs>
          <w:tab w:val="left" w:pos="2340"/>
        </w:tabs>
        <w:rPr>
          <w:rFonts w:asciiTheme="minorHAnsi" w:eastAsiaTheme="minorEastAsia" w:hAnsiTheme="minorHAnsi" w:cstheme="minorBidi"/>
          <w:sz w:val="22"/>
          <w:szCs w:val="22"/>
          <w:lang w:eastAsia="zh-CN"/>
        </w:rPr>
      </w:pPr>
      <w:hyperlink w:anchor="_Toc371431227" w:history="1">
        <w:r w:rsidR="003B4BED" w:rsidRPr="00CA7526">
          <w:rPr>
            <w:rStyle w:val="Hyperlink"/>
          </w:rPr>
          <w:t>A.16</w:t>
        </w:r>
        <w:r w:rsidR="003B4BED" w:rsidRPr="00CA7526">
          <w:rPr>
            <w:rFonts w:asciiTheme="minorHAnsi" w:eastAsiaTheme="minorEastAsia" w:hAnsiTheme="minorHAnsi" w:cstheme="minorBidi"/>
            <w:sz w:val="22"/>
            <w:szCs w:val="22"/>
            <w:lang w:eastAsia="zh-CN"/>
          </w:rPr>
          <w:tab/>
        </w:r>
        <w:r w:rsidR="003B4BED" w:rsidRPr="00CA7526">
          <w:rPr>
            <w:rStyle w:val="Hyperlink"/>
          </w:rPr>
          <w:t>Plans for Tabulation and Publication and Project Time Schedule</w:t>
        </w:r>
        <w:r w:rsidR="003B4BED" w:rsidRPr="00CA7526">
          <w:rPr>
            <w:webHidden/>
          </w:rPr>
          <w:tab/>
        </w:r>
        <w:r w:rsidR="003B4BED" w:rsidRPr="00CA7526">
          <w:rPr>
            <w:webHidden/>
          </w:rPr>
          <w:fldChar w:fldCharType="begin"/>
        </w:r>
        <w:r w:rsidR="003B4BED" w:rsidRPr="00CA7526">
          <w:rPr>
            <w:webHidden/>
          </w:rPr>
          <w:instrText xml:space="preserve"> PAGEREF _Toc371431227 \h </w:instrText>
        </w:r>
        <w:r w:rsidR="003B4BED" w:rsidRPr="00CA7526">
          <w:rPr>
            <w:webHidden/>
          </w:rPr>
        </w:r>
        <w:r w:rsidR="003B4BED" w:rsidRPr="00CA7526">
          <w:rPr>
            <w:webHidden/>
          </w:rPr>
          <w:fldChar w:fldCharType="separate"/>
        </w:r>
        <w:r w:rsidR="000D6765">
          <w:rPr>
            <w:webHidden/>
          </w:rPr>
          <w:t>23</w:t>
        </w:r>
        <w:r w:rsidR="003B4BED" w:rsidRPr="00CA7526">
          <w:rPr>
            <w:webHidden/>
          </w:rPr>
          <w:fldChar w:fldCharType="end"/>
        </w:r>
      </w:hyperlink>
    </w:p>
    <w:p w:rsidR="003B4BED" w:rsidRPr="00CA7526" w:rsidRDefault="00C9232B">
      <w:pPr>
        <w:pStyle w:val="TOC2"/>
        <w:tabs>
          <w:tab w:val="left" w:pos="2340"/>
        </w:tabs>
        <w:rPr>
          <w:rFonts w:asciiTheme="minorHAnsi" w:eastAsiaTheme="minorEastAsia" w:hAnsiTheme="minorHAnsi" w:cstheme="minorBidi"/>
          <w:sz w:val="22"/>
          <w:szCs w:val="22"/>
          <w:lang w:eastAsia="zh-CN"/>
        </w:rPr>
      </w:pPr>
      <w:hyperlink w:anchor="_Toc371431228" w:history="1">
        <w:r w:rsidR="003B4BED" w:rsidRPr="00CA7526">
          <w:rPr>
            <w:rStyle w:val="Hyperlink"/>
          </w:rPr>
          <w:t>A.17</w:t>
        </w:r>
        <w:r w:rsidR="003B4BED" w:rsidRPr="00CA7526">
          <w:rPr>
            <w:rFonts w:asciiTheme="minorHAnsi" w:eastAsiaTheme="minorEastAsia" w:hAnsiTheme="minorHAnsi" w:cstheme="minorBidi"/>
            <w:sz w:val="22"/>
            <w:szCs w:val="22"/>
            <w:lang w:eastAsia="zh-CN"/>
          </w:rPr>
          <w:tab/>
        </w:r>
        <w:r w:rsidR="003B4BED" w:rsidRPr="00CA7526">
          <w:rPr>
            <w:rStyle w:val="Hyperlink"/>
          </w:rPr>
          <w:t>Reason(s) Display of OMB Expiration Date Is Inappropriate</w:t>
        </w:r>
        <w:r w:rsidR="003B4BED" w:rsidRPr="00CA7526">
          <w:rPr>
            <w:webHidden/>
          </w:rPr>
          <w:tab/>
        </w:r>
        <w:r w:rsidR="003B4BED" w:rsidRPr="00CA7526">
          <w:rPr>
            <w:webHidden/>
          </w:rPr>
          <w:fldChar w:fldCharType="begin"/>
        </w:r>
        <w:r w:rsidR="003B4BED" w:rsidRPr="00CA7526">
          <w:rPr>
            <w:webHidden/>
          </w:rPr>
          <w:instrText xml:space="preserve"> PAGEREF _Toc371431228 \h </w:instrText>
        </w:r>
        <w:r w:rsidR="003B4BED" w:rsidRPr="00CA7526">
          <w:rPr>
            <w:webHidden/>
          </w:rPr>
        </w:r>
        <w:r w:rsidR="003B4BED" w:rsidRPr="00CA7526">
          <w:rPr>
            <w:webHidden/>
          </w:rPr>
          <w:fldChar w:fldCharType="separate"/>
        </w:r>
        <w:r w:rsidR="000D6765">
          <w:rPr>
            <w:webHidden/>
          </w:rPr>
          <w:t>24</w:t>
        </w:r>
        <w:r w:rsidR="003B4BED" w:rsidRPr="00CA7526">
          <w:rPr>
            <w:webHidden/>
          </w:rPr>
          <w:fldChar w:fldCharType="end"/>
        </w:r>
      </w:hyperlink>
    </w:p>
    <w:p w:rsidR="003B4BED" w:rsidRPr="00CA7526" w:rsidRDefault="00C9232B">
      <w:pPr>
        <w:pStyle w:val="TOC2"/>
        <w:tabs>
          <w:tab w:val="left" w:pos="2340"/>
        </w:tabs>
        <w:rPr>
          <w:rFonts w:asciiTheme="minorHAnsi" w:eastAsiaTheme="minorEastAsia" w:hAnsiTheme="minorHAnsi" w:cstheme="minorBidi"/>
          <w:sz w:val="22"/>
          <w:szCs w:val="22"/>
          <w:lang w:eastAsia="zh-CN"/>
        </w:rPr>
      </w:pPr>
      <w:hyperlink w:anchor="_Toc371431229" w:history="1">
        <w:r w:rsidR="003B4BED" w:rsidRPr="00CA7526">
          <w:rPr>
            <w:rStyle w:val="Hyperlink"/>
          </w:rPr>
          <w:t>A.18</w:t>
        </w:r>
        <w:r w:rsidR="003B4BED" w:rsidRPr="00CA7526">
          <w:rPr>
            <w:rFonts w:asciiTheme="minorHAnsi" w:eastAsiaTheme="minorEastAsia" w:hAnsiTheme="minorHAnsi" w:cstheme="minorBidi"/>
            <w:sz w:val="22"/>
            <w:szCs w:val="22"/>
            <w:lang w:eastAsia="zh-CN"/>
          </w:rPr>
          <w:tab/>
        </w:r>
        <w:r w:rsidR="003B4BED" w:rsidRPr="00CA7526">
          <w:rPr>
            <w:rStyle w:val="Hyperlink"/>
          </w:rPr>
          <w:t>Exceptions to Certification for Paperwork Reduction Act Submissions</w:t>
        </w:r>
        <w:r w:rsidR="003B4BED" w:rsidRPr="00CA7526">
          <w:rPr>
            <w:webHidden/>
          </w:rPr>
          <w:tab/>
        </w:r>
        <w:r w:rsidR="003B4BED" w:rsidRPr="00CA7526">
          <w:rPr>
            <w:webHidden/>
          </w:rPr>
          <w:fldChar w:fldCharType="begin"/>
        </w:r>
        <w:r w:rsidR="003B4BED" w:rsidRPr="00CA7526">
          <w:rPr>
            <w:webHidden/>
          </w:rPr>
          <w:instrText xml:space="preserve"> PAGEREF _Toc371431229 \h </w:instrText>
        </w:r>
        <w:r w:rsidR="003B4BED" w:rsidRPr="00CA7526">
          <w:rPr>
            <w:webHidden/>
          </w:rPr>
        </w:r>
        <w:r w:rsidR="003B4BED" w:rsidRPr="00CA7526">
          <w:rPr>
            <w:webHidden/>
          </w:rPr>
          <w:fldChar w:fldCharType="separate"/>
        </w:r>
        <w:r w:rsidR="000D6765">
          <w:rPr>
            <w:webHidden/>
          </w:rPr>
          <w:t>24</w:t>
        </w:r>
        <w:r w:rsidR="003B4BED" w:rsidRPr="00CA7526">
          <w:rPr>
            <w:webHidden/>
          </w:rPr>
          <w:fldChar w:fldCharType="end"/>
        </w:r>
      </w:hyperlink>
    </w:p>
    <w:p w:rsidR="003B4BED" w:rsidRPr="00CA7526" w:rsidRDefault="00C9232B">
      <w:pPr>
        <w:pStyle w:val="TOC1"/>
        <w:rPr>
          <w:rFonts w:asciiTheme="minorHAnsi" w:eastAsiaTheme="minorEastAsia" w:hAnsiTheme="minorHAnsi" w:cstheme="minorBidi"/>
          <w:sz w:val="22"/>
          <w:szCs w:val="22"/>
          <w:lang w:eastAsia="zh-CN"/>
        </w:rPr>
      </w:pPr>
      <w:hyperlink w:anchor="_Toc371431230" w:history="1">
        <w:r w:rsidR="003B4BED" w:rsidRPr="00CA7526">
          <w:rPr>
            <w:rStyle w:val="Hyperlink"/>
          </w:rPr>
          <w:t>References</w:t>
        </w:r>
        <w:r w:rsidR="003B4BED" w:rsidRPr="00CA7526">
          <w:rPr>
            <w:webHidden/>
          </w:rPr>
          <w:tab/>
        </w:r>
        <w:r w:rsidR="003B4BED" w:rsidRPr="00CA7526">
          <w:rPr>
            <w:webHidden/>
          </w:rPr>
          <w:fldChar w:fldCharType="begin"/>
        </w:r>
        <w:r w:rsidR="003B4BED" w:rsidRPr="00CA7526">
          <w:rPr>
            <w:webHidden/>
          </w:rPr>
          <w:instrText xml:space="preserve"> PAGEREF _Toc371431230 \h </w:instrText>
        </w:r>
        <w:r w:rsidR="003B4BED" w:rsidRPr="00CA7526">
          <w:rPr>
            <w:webHidden/>
          </w:rPr>
        </w:r>
        <w:r w:rsidR="003B4BED" w:rsidRPr="00CA7526">
          <w:rPr>
            <w:webHidden/>
          </w:rPr>
          <w:fldChar w:fldCharType="separate"/>
        </w:r>
        <w:r w:rsidR="000D6765">
          <w:rPr>
            <w:webHidden/>
          </w:rPr>
          <w:t>25</w:t>
        </w:r>
        <w:r w:rsidR="003B4BED" w:rsidRPr="00CA7526">
          <w:rPr>
            <w:webHidden/>
          </w:rPr>
          <w:fldChar w:fldCharType="end"/>
        </w:r>
      </w:hyperlink>
    </w:p>
    <w:p w:rsidR="00F72F56" w:rsidRPr="00CA7526" w:rsidRDefault="00512F04" w:rsidP="00A935D1">
      <w:pPr>
        <w:rPr>
          <w:noProof/>
        </w:rPr>
      </w:pPr>
      <w:r w:rsidRPr="00CA7526">
        <w:rPr>
          <w:noProof/>
        </w:rPr>
        <w:fldChar w:fldCharType="end"/>
      </w:r>
      <w:bookmarkStart w:id="1" w:name="_Toc79980788"/>
    </w:p>
    <w:p w:rsidR="00A935D1" w:rsidRPr="00CA7526" w:rsidRDefault="00A935D1" w:rsidP="00A935D1"/>
    <w:p w:rsidR="00906A4B" w:rsidRPr="00CA7526" w:rsidRDefault="00906A4B">
      <w:pPr>
        <w:rPr>
          <w:b/>
          <w:caps/>
          <w:noProof/>
          <w:sz w:val="28"/>
          <w:szCs w:val="20"/>
        </w:rPr>
      </w:pPr>
      <w:r w:rsidRPr="00CA7526">
        <w:rPr>
          <w:noProof/>
        </w:rPr>
        <w:br w:type="page"/>
      </w:r>
    </w:p>
    <w:p w:rsidR="00F72F56" w:rsidRPr="00CA7526" w:rsidRDefault="00F72F56" w:rsidP="00F72F56">
      <w:pPr>
        <w:rPr>
          <w:noProof/>
        </w:rPr>
      </w:pPr>
    </w:p>
    <w:p w:rsidR="003B4BED" w:rsidRPr="00CA7526" w:rsidRDefault="003B4BED" w:rsidP="00F72F56">
      <w:pPr>
        <w:rPr>
          <w:noProof/>
        </w:rPr>
      </w:pPr>
    </w:p>
    <w:p w:rsidR="00451757" w:rsidRPr="00CA7526" w:rsidRDefault="00451757" w:rsidP="00451757">
      <w:pPr>
        <w:pStyle w:val="TOC0"/>
      </w:pPr>
      <w:r w:rsidRPr="00CA7526">
        <w:t>LIST OF ATTACHMENTS</w:t>
      </w:r>
    </w:p>
    <w:p w:rsidR="00451757" w:rsidRPr="00CA7526" w:rsidRDefault="00451757" w:rsidP="00451757">
      <w:pPr>
        <w:tabs>
          <w:tab w:val="left" w:pos="-1200"/>
          <w:tab w:val="left" w:pos="-720"/>
        </w:tabs>
        <w:ind w:left="2160" w:hanging="2160"/>
      </w:pPr>
    </w:p>
    <w:p w:rsidR="003B7007" w:rsidRPr="00CA7526" w:rsidRDefault="003B7007" w:rsidP="003B7007">
      <w:pPr>
        <w:ind w:left="1710" w:hanging="1710"/>
      </w:pPr>
      <w:r w:rsidRPr="00CA7526">
        <w:t>Attachment 1: Public Health Service Act</w:t>
      </w:r>
    </w:p>
    <w:p w:rsidR="003B7007" w:rsidRDefault="003B7007" w:rsidP="003B7007">
      <w:pPr>
        <w:ind w:left="1710" w:hanging="1710"/>
      </w:pPr>
      <w:r w:rsidRPr="00CA7526">
        <w:t xml:space="preserve">Attachment 2: </w:t>
      </w:r>
      <w:r>
        <w:t xml:space="preserve">Overview of Survey and </w:t>
      </w:r>
      <w:r w:rsidRPr="00CA7526">
        <w:t>S</w:t>
      </w:r>
      <w:r>
        <w:t>creen Shots</w:t>
      </w:r>
      <w:r w:rsidRPr="00CA7526">
        <w:t xml:space="preserve"> </w:t>
      </w:r>
    </w:p>
    <w:p w:rsidR="003B7007" w:rsidRDefault="003B7007" w:rsidP="00167E80">
      <w:pPr>
        <w:ind w:left="1710" w:hanging="1710"/>
      </w:pPr>
      <w:r>
        <w:t>Attachment 3: Experimental Design</w:t>
      </w:r>
      <w:r w:rsidR="00167E80">
        <w:t xml:space="preserve"> and 10 Blocks of DCE Questions</w:t>
      </w:r>
    </w:p>
    <w:p w:rsidR="003B7007" w:rsidRPr="00CA7526" w:rsidRDefault="003B7007" w:rsidP="00CB17A4">
      <w:r w:rsidRPr="00CA7526">
        <w:t>Attachment 4: Federal Register Notice</w:t>
      </w:r>
    </w:p>
    <w:p w:rsidR="003B7007" w:rsidRPr="00CA7526" w:rsidRDefault="003B7007" w:rsidP="00CB17A4">
      <w:r w:rsidRPr="00CA7526">
        <w:t xml:space="preserve">Attachment </w:t>
      </w:r>
      <w:r w:rsidR="00CB17A4">
        <w:t>5</w:t>
      </w:r>
      <w:r w:rsidRPr="00CA7526">
        <w:t>: Summary of Public Comments and CDC Response</w:t>
      </w:r>
    </w:p>
    <w:p w:rsidR="003B7007" w:rsidRPr="00CA7526" w:rsidRDefault="003B7007" w:rsidP="00CB17A4">
      <w:r w:rsidRPr="00CA7526">
        <w:t xml:space="preserve">Attachment </w:t>
      </w:r>
      <w:r w:rsidR="00CB17A4">
        <w:t>6</w:t>
      </w:r>
      <w:r w:rsidRPr="00CA7526">
        <w:t>: RTI Institutional Review Board Approval</w:t>
      </w:r>
    </w:p>
    <w:p w:rsidR="003B7007" w:rsidRPr="00CA7526" w:rsidRDefault="003B7007" w:rsidP="003B7007">
      <w:r>
        <w:t xml:space="preserve">Attachment </w:t>
      </w:r>
      <w:r w:rsidR="00CB17A4">
        <w:t>7</w:t>
      </w:r>
      <w:r w:rsidRPr="00CA7526">
        <w:t>: KN’s Privacy Statement</w:t>
      </w:r>
    </w:p>
    <w:p w:rsidR="003B7007" w:rsidRDefault="003B7007" w:rsidP="003B7007">
      <w:r w:rsidRPr="00CA7526">
        <w:t xml:space="preserve">Attachment </w:t>
      </w:r>
      <w:r w:rsidR="00CB17A4">
        <w:t>8</w:t>
      </w:r>
      <w:r w:rsidRPr="00CA7526">
        <w:t>: Invitation Email for Respondents</w:t>
      </w:r>
    </w:p>
    <w:p w:rsidR="003B7007" w:rsidRPr="00CA7526" w:rsidRDefault="003B7007" w:rsidP="003B7007"/>
    <w:p w:rsidR="00F72F56" w:rsidRPr="00CA7526" w:rsidRDefault="00F72F56" w:rsidP="00F72F56">
      <w:pPr>
        <w:rPr>
          <w:noProof/>
        </w:rPr>
      </w:pPr>
    </w:p>
    <w:p w:rsidR="00F72F56" w:rsidRPr="00CA7526" w:rsidRDefault="00F72F56" w:rsidP="00932612">
      <w:pPr>
        <w:pStyle w:val="Heading1"/>
        <w:rPr>
          <w:color w:val="000000"/>
        </w:rPr>
        <w:sectPr w:rsidR="00F72F56" w:rsidRPr="00CA7526" w:rsidSect="00CB0350">
          <w:footerReference w:type="default" r:id="rId15"/>
          <w:pgSz w:w="12240" w:h="15840"/>
          <w:pgMar w:top="1440" w:right="1440" w:bottom="1440" w:left="1440" w:header="720" w:footer="720" w:gutter="0"/>
          <w:pgNumType w:fmt="lowerRoman" w:start="3"/>
          <w:cols w:space="720"/>
        </w:sectPr>
      </w:pPr>
    </w:p>
    <w:p w:rsidR="009B6C75" w:rsidRDefault="009B6C75" w:rsidP="0089151D">
      <w:pPr>
        <w:pStyle w:val="Heading1"/>
        <w:rPr>
          <w:color w:val="000000"/>
        </w:rPr>
      </w:pPr>
      <w:bookmarkStart w:id="2" w:name="_Toc371431208"/>
      <w:r>
        <w:rPr>
          <w:color w:val="000000"/>
        </w:rPr>
        <w:lastRenderedPageBreak/>
        <w:t>OverVIEW</w:t>
      </w:r>
    </w:p>
    <w:p w:rsidR="009B6C75" w:rsidRDefault="00EB0B31" w:rsidP="00AB5685">
      <w:pPr>
        <w:spacing w:line="360" w:lineRule="auto"/>
        <w:ind w:firstLine="720"/>
      </w:pPr>
      <w:r w:rsidRPr="00CA7526">
        <w:t xml:space="preserve">The Centers for Disease Control (CDC) is requesting </w:t>
      </w:r>
      <w:r w:rsidR="0000640D">
        <w:t xml:space="preserve">OMB </w:t>
      </w:r>
      <w:r w:rsidRPr="00CA7526">
        <w:t xml:space="preserve">approval </w:t>
      </w:r>
      <w:r w:rsidR="00085F69">
        <w:t>for a</w:t>
      </w:r>
      <w:r w:rsidRPr="00CA7526">
        <w:t xml:space="preserve"> new information </w:t>
      </w:r>
      <w:r w:rsidR="003B7007">
        <w:t xml:space="preserve">collection </w:t>
      </w:r>
      <w:r w:rsidRPr="00CA7526">
        <w:t xml:space="preserve">to quantitatively assess </w:t>
      </w:r>
      <w:r w:rsidR="0000640D">
        <w:t xml:space="preserve">consumer </w:t>
      </w:r>
      <w:r w:rsidRPr="00CA7526">
        <w:t xml:space="preserve">preferences for </w:t>
      </w:r>
      <w:r>
        <w:t>colorectal cancer (</w:t>
      </w:r>
      <w:r w:rsidRPr="00CA7526">
        <w:t>CRC</w:t>
      </w:r>
      <w:r>
        <w:t>)</w:t>
      </w:r>
      <w:r w:rsidRPr="00CA7526">
        <w:t xml:space="preserve"> screening procedures</w:t>
      </w:r>
      <w:r w:rsidR="000D24FA">
        <w:t xml:space="preserve"> and factors that affect those preferences</w:t>
      </w:r>
      <w:r w:rsidR="00F11D1E">
        <w:t xml:space="preserve">.  </w:t>
      </w:r>
      <w:r w:rsidR="008E15D0">
        <w:t xml:space="preserve">The information collection is </w:t>
      </w:r>
      <w:r w:rsidR="003B7007">
        <w:t>designed as</w:t>
      </w:r>
      <w:r w:rsidR="008E15D0">
        <w:t xml:space="preserve"> a </w:t>
      </w:r>
      <w:r w:rsidR="003B7007">
        <w:t xml:space="preserve">stated-preference survey using the </w:t>
      </w:r>
      <w:r w:rsidR="008E15D0">
        <w:t>discrete choice experiment</w:t>
      </w:r>
      <w:r w:rsidR="00D5094B">
        <w:t xml:space="preserve"> (DCE)</w:t>
      </w:r>
      <w:r w:rsidR="003B7007">
        <w:t xml:space="preserve"> approach (also known as a conjoint survey)</w:t>
      </w:r>
      <w:r w:rsidR="008E15D0">
        <w:t xml:space="preserve">.  </w:t>
      </w:r>
      <w:r w:rsidR="00B012BF">
        <w:t>Respondent</w:t>
      </w:r>
      <w:r w:rsidR="00F11D1E">
        <w:t xml:space="preserve">s will be asked to choose between hypothetical CRC screening tests </w:t>
      </w:r>
      <w:r w:rsidR="00187091">
        <w:t>that have different</w:t>
      </w:r>
      <w:r w:rsidR="00F11D1E">
        <w:t xml:space="preserve"> characteristics, </w:t>
      </w:r>
      <w:r w:rsidR="00E11B7F">
        <w:t>called “</w:t>
      </w:r>
      <w:r w:rsidR="00A736E1">
        <w:t>attributes.</w:t>
      </w:r>
      <w:r w:rsidR="00E11B7F">
        <w:t>”</w:t>
      </w:r>
      <w:r w:rsidR="00A736E1">
        <w:t xml:space="preserve">  </w:t>
      </w:r>
      <w:r w:rsidR="00AA3B78">
        <w:t>Each respondent will be asked to make 5 “</w:t>
      </w:r>
      <w:r w:rsidR="00CB4445">
        <w:t xml:space="preserve">CRC </w:t>
      </w:r>
      <w:r w:rsidR="0097143D">
        <w:t xml:space="preserve">test </w:t>
      </w:r>
      <w:r w:rsidR="00AA3B78">
        <w:t xml:space="preserve">A versus </w:t>
      </w:r>
      <w:r w:rsidR="00CB4445">
        <w:t xml:space="preserve">CRC </w:t>
      </w:r>
      <w:r w:rsidR="0097143D">
        <w:t xml:space="preserve">test </w:t>
      </w:r>
      <w:r w:rsidR="00AA3B78">
        <w:t xml:space="preserve">B” choices in which the attributes of test A and </w:t>
      </w:r>
      <w:r w:rsidR="00A4467B">
        <w:t xml:space="preserve">the attributes of </w:t>
      </w:r>
      <w:r w:rsidR="00AA3B78">
        <w:t xml:space="preserve">test B vary.  </w:t>
      </w:r>
      <w:r w:rsidR="00A736E1">
        <w:t xml:space="preserve">The </w:t>
      </w:r>
      <w:r w:rsidR="002224E9">
        <w:t>choices presented to respondents are</w:t>
      </w:r>
      <w:r w:rsidR="00A736E1">
        <w:t xml:space="preserve"> designed to</w:t>
      </w:r>
      <w:r w:rsidR="00F11D1E">
        <w:t xml:space="preserve"> elucidate the relative importance of </w:t>
      </w:r>
      <w:r w:rsidR="00AA3B78">
        <w:t>the</w:t>
      </w:r>
      <w:r w:rsidR="00F11D1E">
        <w:t xml:space="preserve"> attributes in </w:t>
      </w:r>
      <w:r w:rsidR="00AA3B78">
        <w:t>consumer</w:t>
      </w:r>
      <w:r w:rsidR="002224E9">
        <w:t xml:space="preserve"> </w:t>
      </w:r>
      <w:r w:rsidR="00F11D1E">
        <w:t>decision making</w:t>
      </w:r>
      <w:r w:rsidR="00964B45">
        <w:t xml:space="preserve">. </w:t>
      </w:r>
      <w:r w:rsidRPr="00CA7526">
        <w:t xml:space="preserve"> </w:t>
      </w:r>
      <w:r>
        <w:t>Respondents will be men and women</w:t>
      </w:r>
      <w:r w:rsidR="002053A8">
        <w:t>,</w:t>
      </w:r>
      <w:r>
        <w:t xml:space="preserve"> ages 5</w:t>
      </w:r>
      <w:r w:rsidR="00C35DE4">
        <w:t>0</w:t>
      </w:r>
      <w:r>
        <w:t>-75 years of age</w:t>
      </w:r>
      <w:r w:rsidR="000F0B0D">
        <w:t xml:space="preserve">, who </w:t>
      </w:r>
      <w:r w:rsidR="00C35DE4">
        <w:t xml:space="preserve">are recommended by the U.S. Preventive Services Task Force to be screened for </w:t>
      </w:r>
      <w:r w:rsidR="00B32A60">
        <w:t xml:space="preserve">CRC. </w:t>
      </w:r>
      <w:r>
        <w:t xml:space="preserve"> </w:t>
      </w:r>
      <w:r w:rsidR="00F24301">
        <w:t>The study design will also allow CDC to</w:t>
      </w:r>
      <w:r w:rsidRPr="00CA7526">
        <w:t xml:space="preserve"> </w:t>
      </w:r>
      <w:r>
        <w:t>examine</w:t>
      </w:r>
      <w:r w:rsidRPr="00CA7526">
        <w:t xml:space="preserve"> how preferences for screening tests are affected by risk perceptions, </w:t>
      </w:r>
      <w:r>
        <w:t xml:space="preserve">real-life </w:t>
      </w:r>
      <w:r w:rsidRPr="00CA7526">
        <w:t>experience</w:t>
      </w:r>
      <w:r>
        <w:t xml:space="preserve"> with CRC screening</w:t>
      </w:r>
      <w:r w:rsidR="00F24301">
        <w:t>,</w:t>
      </w:r>
      <w:r w:rsidRPr="00CA7526">
        <w:t xml:space="preserve"> and </w:t>
      </w:r>
      <w:r>
        <w:t xml:space="preserve">exposure to </w:t>
      </w:r>
      <w:r w:rsidRPr="00CA7526">
        <w:t xml:space="preserve">two information sheets on CRC screening developed as part of CDC’s Screen for Life program. </w:t>
      </w:r>
      <w:r w:rsidR="008E15D0">
        <w:t xml:space="preserve"> Findings </w:t>
      </w:r>
      <w:r w:rsidRPr="00CA7526">
        <w:t xml:space="preserve">will help CDC </w:t>
      </w:r>
      <w:r w:rsidR="00005DF4">
        <w:t>improve CRC screening rates</w:t>
      </w:r>
      <w:r w:rsidR="002A2930">
        <w:t xml:space="preserve"> in the target population</w:t>
      </w:r>
      <w:r w:rsidR="00005DF4">
        <w:t xml:space="preserve"> through the </w:t>
      </w:r>
      <w:r w:rsidRPr="00CA7526">
        <w:t>develop</w:t>
      </w:r>
      <w:r w:rsidR="00005DF4">
        <w:t>ment</w:t>
      </w:r>
      <w:r w:rsidR="00B32A60">
        <w:t>, implementation, and dissemination</w:t>
      </w:r>
      <w:r w:rsidR="00005DF4">
        <w:t xml:space="preserve"> of</w:t>
      </w:r>
      <w:r w:rsidRPr="00CA7526">
        <w:t xml:space="preserve"> public health interventions and education materials t</w:t>
      </w:r>
      <w:r w:rsidR="00B012BF">
        <w:t>hat address specific</w:t>
      </w:r>
      <w:r w:rsidR="00005DF4">
        <w:t xml:space="preserve"> consumer</w:t>
      </w:r>
      <w:r w:rsidR="00B012BF">
        <w:t xml:space="preserve"> concerns</w:t>
      </w:r>
      <w:r w:rsidR="005841BD">
        <w:t xml:space="preserve"> and take their preferences into consideration</w:t>
      </w:r>
      <w:r w:rsidRPr="00CA7526">
        <w:t>. OMB approval is requested for one year.</w:t>
      </w:r>
    </w:p>
    <w:p w:rsidR="00A602FE" w:rsidRPr="003B7007" w:rsidRDefault="00A602FE" w:rsidP="00AB5685">
      <w:pPr>
        <w:spacing w:line="360" w:lineRule="auto"/>
        <w:ind w:firstLine="720"/>
      </w:pPr>
    </w:p>
    <w:p w:rsidR="0089151D" w:rsidRPr="00CA7526" w:rsidRDefault="00D43F13" w:rsidP="0089151D">
      <w:pPr>
        <w:pStyle w:val="Heading1"/>
        <w:rPr>
          <w:color w:val="000000"/>
          <w:szCs w:val="20"/>
        </w:rPr>
      </w:pPr>
      <w:r w:rsidRPr="00CA7526">
        <w:rPr>
          <w:color w:val="000000"/>
        </w:rPr>
        <w:t>A.</w:t>
      </w:r>
      <w:r w:rsidR="00932612" w:rsidRPr="00CA7526">
        <w:rPr>
          <w:color w:val="000000"/>
        </w:rPr>
        <w:tab/>
      </w:r>
      <w:r w:rsidRPr="00CA7526">
        <w:rPr>
          <w:color w:val="000000"/>
        </w:rPr>
        <w:t>Justification</w:t>
      </w:r>
      <w:bookmarkStart w:id="3" w:name="_Toc88033459"/>
      <w:bookmarkEnd w:id="1"/>
      <w:bookmarkEnd w:id="2"/>
    </w:p>
    <w:p w:rsidR="00495ADF" w:rsidRPr="00CA7526" w:rsidRDefault="00495ADF" w:rsidP="00495ADF">
      <w:pPr>
        <w:pStyle w:val="Heading2"/>
      </w:pPr>
      <w:bookmarkStart w:id="4" w:name="_Toc371431209"/>
      <w:r w:rsidRPr="00CA7526">
        <w:t>A.1</w:t>
      </w:r>
      <w:r w:rsidRPr="00CA7526">
        <w:tab/>
        <w:t>Circumstances Making the Collection of Information Necessary</w:t>
      </w:r>
      <w:bookmarkEnd w:id="3"/>
      <w:bookmarkEnd w:id="4"/>
    </w:p>
    <w:p w:rsidR="007548AB" w:rsidRDefault="007548AB" w:rsidP="007548AB">
      <w:pPr>
        <w:pStyle w:val="BodyText1"/>
        <w:spacing w:line="360" w:lineRule="auto"/>
      </w:pPr>
      <w:r w:rsidRPr="00CA7526">
        <w:t xml:space="preserve">A significant public health gap in terms of eliminating preventable deaths remains because of continued unhealthy behaviors (Kant et al., 2007; </w:t>
      </w:r>
      <w:proofErr w:type="spellStart"/>
      <w:r w:rsidRPr="00CA7526">
        <w:t>Kumanyika</w:t>
      </w:r>
      <w:proofErr w:type="spellEnd"/>
      <w:r w:rsidRPr="00CA7526">
        <w:t>, 2005; IOM, 2005). This gap disproportionately affects low-income, minority, uninsured or under-insured populations and stems in part from a failure to receive basic clinical preventative services such as cancer screening, and identification of other risk factors such as obesity, physical inactivity, excessive alcohol consumption and tobacco use (</w:t>
      </w:r>
      <w:proofErr w:type="spellStart"/>
      <w:r w:rsidRPr="00CA7526">
        <w:t>Sambamoorthi</w:t>
      </w:r>
      <w:proofErr w:type="spellEnd"/>
      <w:r w:rsidRPr="00CA7526">
        <w:t xml:space="preserve"> and </w:t>
      </w:r>
      <w:proofErr w:type="spellStart"/>
      <w:r w:rsidRPr="00CA7526">
        <w:t>McAlpine</w:t>
      </w:r>
      <w:proofErr w:type="spellEnd"/>
      <w:r w:rsidRPr="00CA7526">
        <w:t>, 2003). Social determinants also play a role: people need to have an environment that supports healthy choices. Additionally, the CDC-NCI-ACS report (</w:t>
      </w:r>
      <w:proofErr w:type="spellStart"/>
      <w:r w:rsidRPr="00CA7526">
        <w:t>Jemal</w:t>
      </w:r>
      <w:proofErr w:type="spellEnd"/>
      <w:r w:rsidRPr="00CA7526">
        <w:t xml:space="preserve"> et al., 2008) articulates a real challenge: large health gains due to the elimination of key risk factors such as smoking have been reduced among </w:t>
      </w:r>
      <w:r w:rsidRPr="00CA7526">
        <w:lastRenderedPageBreak/>
        <w:t xml:space="preserve">those who are able to change behavior or who have access to quality medical care. This suggests that incremental gains in the future are likely to be harder to achieve without an improved understanding of the multi-dimensional determinants of individual decision-making and behavior. </w:t>
      </w:r>
    </w:p>
    <w:p w:rsidR="007548AB" w:rsidRDefault="007548AB" w:rsidP="007548AB">
      <w:pPr>
        <w:pStyle w:val="BodyText1"/>
        <w:spacing w:line="360" w:lineRule="auto"/>
      </w:pPr>
      <w:r w:rsidRPr="00CA7526">
        <w:t xml:space="preserve">The Centers for Disease Control (CDC) is requesting </w:t>
      </w:r>
      <w:r>
        <w:t xml:space="preserve">OMB </w:t>
      </w:r>
      <w:r w:rsidRPr="00CA7526">
        <w:t xml:space="preserve">approval </w:t>
      </w:r>
      <w:r>
        <w:t>for a</w:t>
      </w:r>
      <w:r w:rsidRPr="00CA7526">
        <w:t xml:space="preserve"> new information </w:t>
      </w:r>
      <w:r>
        <w:t xml:space="preserve">collection </w:t>
      </w:r>
      <w:r w:rsidRPr="00CA7526">
        <w:t xml:space="preserve">to quantitatively assess </w:t>
      </w:r>
      <w:r>
        <w:t xml:space="preserve">consumer </w:t>
      </w:r>
      <w:r w:rsidRPr="00CA7526">
        <w:t xml:space="preserve">preferences for </w:t>
      </w:r>
      <w:r>
        <w:t>colorectal cancer (</w:t>
      </w:r>
      <w:r w:rsidRPr="00CA7526">
        <w:t>CRC</w:t>
      </w:r>
      <w:r>
        <w:t>)</w:t>
      </w:r>
      <w:r w:rsidRPr="00CA7526">
        <w:t xml:space="preserve"> screening procedures</w:t>
      </w:r>
      <w:r>
        <w:t xml:space="preserve"> and factors that affect those preferences.  The information collection is designed as a stated-preference survey using the discrete choice experiment (DCE) approach (also known as a conjoint survey).  </w:t>
      </w:r>
    </w:p>
    <w:p w:rsidR="006421AB" w:rsidRDefault="005841BD" w:rsidP="007A74AD">
      <w:pPr>
        <w:pStyle w:val="BodyText1"/>
        <w:spacing w:line="360" w:lineRule="auto"/>
        <w:rPr>
          <w:color w:val="000000"/>
        </w:rPr>
      </w:pPr>
      <w:r w:rsidRPr="00CA7526">
        <w:t xml:space="preserve">CDC selected CRC screening for </w:t>
      </w:r>
      <w:r w:rsidR="000C21CF">
        <w:t xml:space="preserve">the </w:t>
      </w:r>
      <w:r w:rsidRPr="00CA7526">
        <w:t xml:space="preserve">study because </w:t>
      </w:r>
      <w:r w:rsidR="002B2B81">
        <w:t>CRC</w:t>
      </w:r>
      <w:r w:rsidRPr="00CA7526">
        <w:t xml:space="preserve"> is the second leading cause of cancer related death in the U.S. (U.S. Cancer Statistics Working Group, 2013) and early screening can prevent deaths, but screening rates are low. The U.S. Preventive Services Task Force gives CRC screening for individuals age</w:t>
      </w:r>
      <w:r>
        <w:t>s</w:t>
      </w:r>
      <w:r w:rsidRPr="00CA7526">
        <w:t xml:space="preserve"> 50 to 75 its strongest recommendation, indicating that based on evidence there is high certainty that the net benefit of CRC screening is substantial. </w:t>
      </w:r>
      <w:r>
        <w:t>However, a</w:t>
      </w:r>
      <w:r w:rsidRPr="00CA7526">
        <w:rPr>
          <w:color w:val="000000"/>
        </w:rPr>
        <w:t>s of 20</w:t>
      </w:r>
      <w:r w:rsidR="002853B0">
        <w:rPr>
          <w:color w:val="000000"/>
        </w:rPr>
        <w:t>12, only 65</w:t>
      </w:r>
      <w:r w:rsidRPr="00CA7526">
        <w:rPr>
          <w:color w:val="000000"/>
        </w:rPr>
        <w:t xml:space="preserve">% of adults aged 50–75 years </w:t>
      </w:r>
      <w:r w:rsidR="002853B0">
        <w:rPr>
          <w:color w:val="000000"/>
        </w:rPr>
        <w:t>reported being up to date with CRC screening recommend</w:t>
      </w:r>
      <w:r w:rsidR="006421AB">
        <w:rPr>
          <w:color w:val="000000"/>
        </w:rPr>
        <w:t>ation (</w:t>
      </w:r>
      <w:proofErr w:type="spellStart"/>
      <w:r w:rsidR="006421AB">
        <w:rPr>
          <w:color w:val="000000"/>
        </w:rPr>
        <w:t>Klabunde</w:t>
      </w:r>
      <w:proofErr w:type="spellEnd"/>
      <w:r w:rsidR="006421AB">
        <w:rPr>
          <w:color w:val="000000"/>
        </w:rPr>
        <w:t>, et al</w:t>
      </w:r>
      <w:r w:rsidR="00392471">
        <w:rPr>
          <w:color w:val="000000"/>
        </w:rPr>
        <w:t>.</w:t>
      </w:r>
      <w:r w:rsidR="002853B0">
        <w:rPr>
          <w:color w:val="000000"/>
        </w:rPr>
        <w:t>, 2013)</w:t>
      </w:r>
      <w:r w:rsidRPr="00CA7526">
        <w:rPr>
          <w:color w:val="000000"/>
        </w:rPr>
        <w:t>.</w:t>
      </w:r>
    </w:p>
    <w:p w:rsidR="001F7365" w:rsidRPr="00BC4932" w:rsidRDefault="001F7365" w:rsidP="007A74AD">
      <w:pPr>
        <w:spacing w:after="240" w:line="360" w:lineRule="auto"/>
        <w:ind w:firstLine="720"/>
      </w:pPr>
      <w:r>
        <w:t xml:space="preserve">One of the </w:t>
      </w:r>
      <w:r w:rsidRPr="00BC4932">
        <w:t xml:space="preserve">Healthy People 2020 </w:t>
      </w:r>
      <w:r>
        <w:t>objectives is to increase the proportion of eligible adults who receive CRC to 70.5 for eligible population by 20</w:t>
      </w:r>
      <w:r w:rsidR="00B65C71">
        <w:t>2</w:t>
      </w:r>
      <w:r>
        <w:t>0 (Department of Health and Human Services, 2013).</w:t>
      </w:r>
      <w:r w:rsidRPr="00BC4932">
        <w:t xml:space="preserve"> Effective </w:t>
      </w:r>
      <w:r w:rsidR="001A5E0F">
        <w:t xml:space="preserve">CRC screening </w:t>
      </w:r>
      <w:r w:rsidRPr="00BC4932">
        <w:t xml:space="preserve">programs </w:t>
      </w:r>
      <w:r w:rsidR="001A5E0F">
        <w:t xml:space="preserve">(including public health messages) are critical </w:t>
      </w:r>
      <w:r w:rsidR="00C36916">
        <w:t>to bring the benefits of screening to the</w:t>
      </w:r>
      <w:r w:rsidR="001A5E0F">
        <w:t xml:space="preserve"> eligible population </w:t>
      </w:r>
      <w:r w:rsidR="00C36916">
        <w:t xml:space="preserve">and reach </w:t>
      </w:r>
      <w:r w:rsidR="001A5E0F">
        <w:t xml:space="preserve">national </w:t>
      </w:r>
      <w:r w:rsidR="00C36916">
        <w:t xml:space="preserve">cancer prevention and control </w:t>
      </w:r>
      <w:r w:rsidR="001A5E0F">
        <w:t>goal</w:t>
      </w:r>
      <w:r w:rsidR="00C36916">
        <w:t>s</w:t>
      </w:r>
      <w:r w:rsidR="001A5E0F">
        <w:t xml:space="preserve">. </w:t>
      </w:r>
    </w:p>
    <w:p w:rsidR="00E44619" w:rsidRDefault="00F81C5E" w:rsidP="00F42D12">
      <w:pPr>
        <w:spacing w:after="240" w:line="360" w:lineRule="auto"/>
        <w:ind w:firstLine="720"/>
        <w:rPr>
          <w:color w:val="000000"/>
        </w:rPr>
      </w:pPr>
      <w:r>
        <w:t>Different</w:t>
      </w:r>
      <w:r w:rsidRPr="00BC4932">
        <w:t xml:space="preserve"> types of interventions</w:t>
      </w:r>
      <w:r w:rsidR="00A14E8A">
        <w:t xml:space="preserve"> have been developed, including </w:t>
      </w:r>
      <w:r w:rsidRPr="00BC4932">
        <w:t xml:space="preserve">patient and provider reminders, </w:t>
      </w:r>
      <w:r w:rsidR="00A14E8A">
        <w:t xml:space="preserve">small media, and </w:t>
      </w:r>
      <w:r w:rsidRPr="00BC4932">
        <w:t xml:space="preserve">financial incentives </w:t>
      </w:r>
      <w:r w:rsidR="00A14E8A">
        <w:t xml:space="preserve">that </w:t>
      </w:r>
      <w:r w:rsidRPr="00BC4932">
        <w:t xml:space="preserve">are effective in increasing </w:t>
      </w:r>
      <w:r w:rsidR="00B65C71">
        <w:t xml:space="preserve">cancer </w:t>
      </w:r>
      <w:r w:rsidRPr="00BC4932">
        <w:t>screening</w:t>
      </w:r>
      <w:r w:rsidR="00A14E8A">
        <w:t xml:space="preserve"> (</w:t>
      </w:r>
      <w:r w:rsidR="000118C4">
        <w:t>Community Preventive Services Taskforce, 2012)</w:t>
      </w:r>
      <w:r>
        <w:t>.</w:t>
      </w:r>
      <w:r w:rsidRPr="00BC4932">
        <w:t xml:space="preserve"> </w:t>
      </w:r>
      <w:r w:rsidR="000118C4">
        <w:t>Unfortunat</w:t>
      </w:r>
      <w:r w:rsidR="004F51B5">
        <w:t>ely, these interventions have no</w:t>
      </w:r>
      <w:r w:rsidR="000118C4">
        <w:t>t been widely used</w:t>
      </w:r>
      <w:r w:rsidR="004F51B5">
        <w:t xml:space="preserve"> </w:t>
      </w:r>
      <w:r w:rsidR="004F51B5">
        <w:rPr>
          <w:color w:val="000000"/>
        </w:rPr>
        <w:t>(Klabunde, et al, 2013</w:t>
      </w:r>
      <w:r w:rsidR="004F51B5">
        <w:t xml:space="preserve">). </w:t>
      </w:r>
      <w:r w:rsidR="00223088">
        <w:t xml:space="preserve">Factors such as trouble in selecting among effective tests, costs and complexity of the interventions may explain some of the reasons </w:t>
      </w:r>
      <w:r w:rsidR="00B50937">
        <w:t xml:space="preserve">for limited dissemination. </w:t>
      </w:r>
      <w:r w:rsidR="0089151D" w:rsidRPr="00CA7526">
        <w:t xml:space="preserve">The challenge for public health is to identify </w:t>
      </w:r>
      <w:r w:rsidR="00B50937">
        <w:t xml:space="preserve">approaches </w:t>
      </w:r>
      <w:r w:rsidR="0089151D" w:rsidRPr="00CA7526">
        <w:t>that might be effective in reaching members of the public</w:t>
      </w:r>
      <w:r w:rsidR="00B50937">
        <w:t>, particularly those</w:t>
      </w:r>
      <w:r w:rsidR="00891D23">
        <w:t xml:space="preserve"> </w:t>
      </w:r>
      <w:r w:rsidR="0089151D" w:rsidRPr="00CA7526">
        <w:t xml:space="preserve">who do not respond to traditional public health messages and interventions designed to support healthy behaviors. An underutilized </w:t>
      </w:r>
      <w:r w:rsidR="0089151D" w:rsidRPr="00CA7526">
        <w:lastRenderedPageBreak/>
        <w:t>intervention does not solve the problem for which it was intended, potentially wastes the resources that went into its development and implementation, and has forgone benefits from alternative uses of these resources.</w:t>
      </w:r>
      <w:r w:rsidR="007E6C44">
        <w:t xml:space="preserve"> </w:t>
      </w:r>
      <w:r w:rsidR="00E44619">
        <w:rPr>
          <w:color w:val="000000"/>
        </w:rPr>
        <w:t xml:space="preserve">To increase the effectiveness of a CRC screening program, the eligible population </w:t>
      </w:r>
      <w:r w:rsidR="006733F1">
        <w:rPr>
          <w:color w:val="000000"/>
        </w:rPr>
        <w:t xml:space="preserve">needs to be aware of the benefits of CRC screening services; </w:t>
      </w:r>
      <w:r w:rsidR="00E44619">
        <w:rPr>
          <w:color w:val="000000"/>
        </w:rPr>
        <w:t>the services must be available, easil</w:t>
      </w:r>
      <w:r w:rsidR="006733F1">
        <w:rPr>
          <w:color w:val="000000"/>
        </w:rPr>
        <w:t>y accessible, affordable and acceptable to the target population</w:t>
      </w:r>
      <w:r w:rsidR="000962A5">
        <w:rPr>
          <w:color w:val="000000"/>
        </w:rPr>
        <w:t xml:space="preserve"> (</w:t>
      </w:r>
      <w:proofErr w:type="spellStart"/>
      <w:r w:rsidR="000962A5">
        <w:rPr>
          <w:color w:val="000000"/>
        </w:rPr>
        <w:t>Pignone</w:t>
      </w:r>
      <w:proofErr w:type="spellEnd"/>
      <w:r w:rsidR="000962A5">
        <w:rPr>
          <w:color w:val="000000"/>
        </w:rPr>
        <w:t xml:space="preserve"> et al</w:t>
      </w:r>
      <w:r w:rsidR="00392471">
        <w:rPr>
          <w:color w:val="000000"/>
        </w:rPr>
        <w:t>.</w:t>
      </w:r>
      <w:r w:rsidR="000962A5">
        <w:rPr>
          <w:color w:val="000000"/>
        </w:rPr>
        <w:t>, 2014)</w:t>
      </w:r>
      <w:r w:rsidR="006733F1">
        <w:rPr>
          <w:color w:val="000000"/>
        </w:rPr>
        <w:t>. One approach for informing decisions about</w:t>
      </w:r>
      <w:r w:rsidR="007E6C44">
        <w:rPr>
          <w:color w:val="000000"/>
        </w:rPr>
        <w:t xml:space="preserve"> potential ways to raise CRC screening rates is to elicit feedback</w:t>
      </w:r>
      <w:r w:rsidR="00891D23">
        <w:rPr>
          <w:color w:val="000000"/>
        </w:rPr>
        <w:t xml:space="preserve"> from the target population</w:t>
      </w:r>
      <w:r w:rsidR="007E6C44">
        <w:rPr>
          <w:color w:val="000000"/>
        </w:rPr>
        <w:t xml:space="preserve"> about the features of potential CRC screening tests</w:t>
      </w:r>
      <w:r w:rsidR="00B65C71">
        <w:rPr>
          <w:color w:val="000000"/>
        </w:rPr>
        <w:t xml:space="preserve"> and what factors influence screening preferences</w:t>
      </w:r>
      <w:r w:rsidR="007E6C44">
        <w:rPr>
          <w:color w:val="000000"/>
        </w:rPr>
        <w:t>.</w:t>
      </w:r>
    </w:p>
    <w:p w:rsidR="007E6C44" w:rsidRPr="006F3958" w:rsidRDefault="007E6C44" w:rsidP="00F42D12">
      <w:pPr>
        <w:spacing w:after="240" w:line="360" w:lineRule="auto"/>
        <w:ind w:firstLine="720"/>
      </w:pPr>
      <w:r>
        <w:rPr>
          <w:color w:val="000000"/>
        </w:rPr>
        <w:t xml:space="preserve">A possible potential method for eliciting such feedback </w:t>
      </w:r>
      <w:r w:rsidR="00891D23">
        <w:rPr>
          <w:color w:val="000000"/>
        </w:rPr>
        <w:t xml:space="preserve">from the target population </w:t>
      </w:r>
      <w:r>
        <w:rPr>
          <w:color w:val="000000"/>
        </w:rPr>
        <w:t>is via</w:t>
      </w:r>
      <w:r w:rsidR="00B27B14">
        <w:rPr>
          <w:color w:val="000000"/>
        </w:rPr>
        <w:t xml:space="preserve"> </w:t>
      </w:r>
      <w:r w:rsidR="00E71591">
        <w:rPr>
          <w:color w:val="000000"/>
        </w:rPr>
        <w:t xml:space="preserve">a </w:t>
      </w:r>
      <w:r w:rsidR="00B27B14" w:rsidRPr="00CA7526">
        <w:t xml:space="preserve">stated-preference (SP) </w:t>
      </w:r>
      <w:r w:rsidR="00D5094B">
        <w:t>discrete choice experiment (DCE) survey</w:t>
      </w:r>
      <w:r w:rsidR="00B27B14" w:rsidRPr="00CA7526">
        <w:t xml:space="preserve">, also known </w:t>
      </w:r>
      <w:r w:rsidR="00B27B14">
        <w:t xml:space="preserve">as a </w:t>
      </w:r>
      <w:r w:rsidR="00D5094B" w:rsidRPr="00CA7526">
        <w:t xml:space="preserve">conjoint analysis </w:t>
      </w:r>
      <w:r w:rsidR="00D5094B">
        <w:t>survey</w:t>
      </w:r>
      <w:r w:rsidR="00B27B14">
        <w:t xml:space="preserve">. DCE assumes that CRC screening </w:t>
      </w:r>
      <w:r w:rsidR="00712790">
        <w:t>programs</w:t>
      </w:r>
      <w:r w:rsidR="00B27B14">
        <w:t xml:space="preserve"> can be described in terms</w:t>
      </w:r>
      <w:r w:rsidR="00B5115B">
        <w:t xml:space="preserve"> of their attributes or features. </w:t>
      </w:r>
      <w:r w:rsidR="00E056FC">
        <w:t>Analyzing the data from DCE surveys</w:t>
      </w:r>
      <w:r w:rsidR="00712790" w:rsidRPr="00CA7526">
        <w:t xml:space="preserve"> allows the estimation of quantitative weights that can be used to measure the strength of preferences for different attributes of screening programs</w:t>
      </w:r>
      <w:r w:rsidR="00E056FC">
        <w:t>. The results can be used to</w:t>
      </w:r>
      <w:r w:rsidR="00712790" w:rsidRPr="00CA7526">
        <w:t xml:space="preserve"> rank the attributes </w:t>
      </w:r>
      <w:r w:rsidR="00E056FC">
        <w:t xml:space="preserve">of screening tests </w:t>
      </w:r>
      <w:r w:rsidR="00712790" w:rsidRPr="00CA7526">
        <w:t xml:space="preserve">in order of preference and </w:t>
      </w:r>
      <w:r w:rsidR="00E056FC">
        <w:t xml:space="preserve">to </w:t>
      </w:r>
      <w:r w:rsidR="00712790" w:rsidRPr="00CA7526">
        <w:t xml:space="preserve">test the impact of respondent characteristics </w:t>
      </w:r>
      <w:r w:rsidR="00E71591">
        <w:t>such as risk perception</w:t>
      </w:r>
      <w:r w:rsidR="00AB5685">
        <w:t>s</w:t>
      </w:r>
      <w:r w:rsidR="00EE5DF5">
        <w:t>, experience with CRC screening,</w:t>
      </w:r>
      <w:r w:rsidR="00E71591">
        <w:t xml:space="preserve"> </w:t>
      </w:r>
      <w:r w:rsidR="00712790" w:rsidRPr="00CA7526">
        <w:t xml:space="preserve">and </w:t>
      </w:r>
      <w:r w:rsidR="00E056FC">
        <w:t xml:space="preserve">exposure to </w:t>
      </w:r>
      <w:r w:rsidR="00712790" w:rsidRPr="00CA7526">
        <w:t>information treatments on preferences</w:t>
      </w:r>
      <w:r w:rsidR="00E056FC">
        <w:t xml:space="preserve"> for these attributes</w:t>
      </w:r>
      <w:r w:rsidR="00712790" w:rsidRPr="00CA7526">
        <w:t>.</w:t>
      </w:r>
      <w:r w:rsidR="00712790" w:rsidRPr="003854C2">
        <w:t xml:space="preserve"> </w:t>
      </w:r>
      <w:r w:rsidR="00B5115B">
        <w:t xml:space="preserve">By understanding </w:t>
      </w:r>
      <w:r w:rsidR="00EE5DF5">
        <w:t xml:space="preserve">people’s preferences for </w:t>
      </w:r>
      <w:r w:rsidR="00B5115B">
        <w:t xml:space="preserve">different attributes and </w:t>
      </w:r>
      <w:r w:rsidR="00EE5DF5">
        <w:t>what affects preferences</w:t>
      </w:r>
      <w:r w:rsidR="00B5115B">
        <w:t>, effective CRC screening programs</w:t>
      </w:r>
      <w:r w:rsidR="00A602FE">
        <w:t>--</w:t>
      </w:r>
      <w:r w:rsidR="00B5115B">
        <w:t>including effective communication messages</w:t>
      </w:r>
      <w:r w:rsidR="00A602FE">
        <w:t>--</w:t>
      </w:r>
      <w:r w:rsidR="00B5115B">
        <w:t xml:space="preserve"> can be </w:t>
      </w:r>
      <w:r w:rsidR="000962A5">
        <w:t xml:space="preserve">developed and implemented to address </w:t>
      </w:r>
      <w:r w:rsidR="00A602FE">
        <w:t xml:space="preserve">consumer </w:t>
      </w:r>
      <w:r w:rsidR="000962A5">
        <w:t xml:space="preserve">needs </w:t>
      </w:r>
      <w:r w:rsidR="008534CA">
        <w:t>and preferences (</w:t>
      </w:r>
      <w:proofErr w:type="spellStart"/>
      <w:r w:rsidR="008534CA">
        <w:t>Pignone</w:t>
      </w:r>
      <w:proofErr w:type="spellEnd"/>
      <w:r w:rsidR="008534CA">
        <w:t xml:space="preserve"> et al</w:t>
      </w:r>
      <w:r w:rsidR="00392471">
        <w:t>.</w:t>
      </w:r>
      <w:r w:rsidR="008534CA">
        <w:t xml:space="preserve">, 2014; </w:t>
      </w:r>
      <w:proofErr w:type="spellStart"/>
      <w:r w:rsidR="008534CA">
        <w:t>Viney</w:t>
      </w:r>
      <w:proofErr w:type="spellEnd"/>
      <w:r w:rsidR="008534CA">
        <w:t xml:space="preserve"> et al</w:t>
      </w:r>
      <w:r w:rsidR="00392471">
        <w:t>.</w:t>
      </w:r>
      <w:r w:rsidR="008534CA">
        <w:t>, 2002)</w:t>
      </w:r>
      <w:r w:rsidR="00891D23">
        <w:t>.</w:t>
      </w:r>
      <w:r w:rsidR="00711675">
        <w:t xml:space="preserve"> </w:t>
      </w:r>
      <w:r w:rsidR="00E056FC">
        <w:t>We identified 15</w:t>
      </w:r>
      <w:r w:rsidR="00711675">
        <w:t xml:space="preserve"> DCE</w:t>
      </w:r>
      <w:r w:rsidR="00E056FC">
        <w:t xml:space="preserve"> experiments</w:t>
      </w:r>
      <w:r w:rsidR="00711675">
        <w:t xml:space="preserve"> to understand eligible population preferences for CRC screening tests</w:t>
      </w:r>
      <w:r w:rsidR="00AB5685">
        <w:t>.</w:t>
      </w:r>
      <w:r w:rsidR="00711675">
        <w:t xml:space="preserve"> </w:t>
      </w:r>
      <w:r w:rsidR="006F3958">
        <w:t xml:space="preserve"> </w:t>
      </w:r>
      <w:r w:rsidR="00E056FC" w:rsidRPr="00CA7526">
        <w:t xml:space="preserve">The studies provided useful information in the design of the current survey, but they were not directly applicable to the CDC’s goal to identify public health strategies to promote the use of </w:t>
      </w:r>
      <w:r w:rsidR="00E056FC">
        <w:t xml:space="preserve">CRC </w:t>
      </w:r>
      <w:r w:rsidR="00E056FC" w:rsidRPr="00CA7526">
        <w:t>screening tests</w:t>
      </w:r>
      <w:r w:rsidR="00A602FE">
        <w:t xml:space="preserve"> and to develop public health messages</w:t>
      </w:r>
      <w:r w:rsidR="00E056FC" w:rsidRPr="00CA7526">
        <w:t xml:space="preserve">. </w:t>
      </w:r>
      <w:r w:rsidR="00711675">
        <w:t xml:space="preserve"> </w:t>
      </w:r>
      <w:r w:rsidR="00B5115B">
        <w:t xml:space="preserve"> </w:t>
      </w:r>
      <w:r w:rsidR="00B27B14">
        <w:t xml:space="preserve"> </w:t>
      </w:r>
      <w:r>
        <w:rPr>
          <w:color w:val="000000"/>
        </w:rPr>
        <w:t xml:space="preserve"> </w:t>
      </w:r>
    </w:p>
    <w:p w:rsidR="00A00A50" w:rsidRDefault="00290AA5" w:rsidP="007A74AD">
      <w:pPr>
        <w:pStyle w:val="BodyText1"/>
        <w:spacing w:line="360" w:lineRule="auto"/>
        <w:rPr>
          <w:color w:val="000000"/>
        </w:rPr>
      </w:pPr>
      <w:r w:rsidRPr="00CA7526">
        <w:t>CDC requests OMB approval to collect information</w:t>
      </w:r>
      <w:r w:rsidR="00BA20AB">
        <w:t xml:space="preserve"> from </w:t>
      </w:r>
      <w:proofErr w:type="gramStart"/>
      <w:r w:rsidR="00BA20AB">
        <w:t>adults</w:t>
      </w:r>
      <w:proofErr w:type="gramEnd"/>
      <w:r w:rsidR="00BA20AB">
        <w:t xml:space="preserve"> ages 5</w:t>
      </w:r>
      <w:r w:rsidR="00617722">
        <w:t>0</w:t>
      </w:r>
      <w:r w:rsidR="00BA20AB">
        <w:t>-75 years</w:t>
      </w:r>
      <w:r w:rsidRPr="00CA7526">
        <w:t xml:space="preserve"> </w:t>
      </w:r>
      <w:r w:rsidR="00E95DA3">
        <w:t>about</w:t>
      </w:r>
      <w:r w:rsidRPr="00CA7526">
        <w:t xml:space="preserve"> </w:t>
      </w:r>
      <w:r w:rsidR="00BA20AB">
        <w:t xml:space="preserve">their preferences </w:t>
      </w:r>
      <w:r w:rsidR="00A602FE">
        <w:t xml:space="preserve">and values </w:t>
      </w:r>
      <w:r w:rsidR="00BA20AB">
        <w:t xml:space="preserve">regarding </w:t>
      </w:r>
      <w:r w:rsidRPr="00CA7526">
        <w:t>CRC</w:t>
      </w:r>
      <w:r w:rsidR="00617722">
        <w:t xml:space="preserve"> screening tests</w:t>
      </w:r>
      <w:r w:rsidR="00BA20AB">
        <w:t>. Information to be collected will include</w:t>
      </w:r>
      <w:r w:rsidR="00617722">
        <w:t>:</w:t>
      </w:r>
      <w:r w:rsidRPr="00CA7526">
        <w:t xml:space="preserve"> measure</w:t>
      </w:r>
      <w:r w:rsidR="00A66BE1">
        <w:t>s of</w:t>
      </w:r>
      <w:r w:rsidRPr="00CA7526">
        <w:t xml:space="preserve"> individuals’ preferences for different characteristics of screening tests; measure</w:t>
      </w:r>
      <w:r w:rsidR="00A66BE1">
        <w:t xml:space="preserve">s of </w:t>
      </w:r>
      <w:r w:rsidRPr="00CA7526">
        <w:t xml:space="preserve">the impact of </w:t>
      </w:r>
      <w:r w:rsidR="00A66BE1">
        <w:t>different public health messages (</w:t>
      </w:r>
      <w:r w:rsidRPr="00CA7526">
        <w:t>two different fact sheets</w:t>
      </w:r>
      <w:r w:rsidR="00A66BE1">
        <w:t>)</w:t>
      </w:r>
      <w:r w:rsidRPr="00CA7526">
        <w:t xml:space="preserve"> on colon cancer screening test preferences</w:t>
      </w:r>
      <w:r w:rsidR="00A66BE1">
        <w:t>; and measures of screening behavior, barriers to screening, and perceptions of CRC risk</w:t>
      </w:r>
      <w:r w:rsidR="00F17D94">
        <w:t>.</w:t>
      </w:r>
      <w:r w:rsidR="00A00A50">
        <w:t xml:space="preserve"> </w:t>
      </w:r>
      <w:r w:rsidR="00A00A50" w:rsidRPr="00A00A50">
        <w:rPr>
          <w:color w:val="000000"/>
        </w:rPr>
        <w:t xml:space="preserve">The public health community needs more data on the factors that lead </w:t>
      </w:r>
      <w:r w:rsidR="00A00A50" w:rsidRPr="00A00A50">
        <w:rPr>
          <w:color w:val="000000"/>
        </w:rPr>
        <w:lastRenderedPageBreak/>
        <w:t xml:space="preserve">people not to get screened. Do people underestimate their risk? Do they think the tests are not accurate enough? Do people think that the screening test will be so uncomfortable that they refuse to get one? Are the costs of the tests, both in money and time, too high? Can simple </w:t>
      </w:r>
      <w:r w:rsidR="00617722">
        <w:rPr>
          <w:color w:val="000000"/>
        </w:rPr>
        <w:t>public health messages</w:t>
      </w:r>
      <w:r w:rsidR="00A00A50" w:rsidRPr="00A00A50">
        <w:rPr>
          <w:color w:val="000000"/>
        </w:rPr>
        <w:t xml:space="preserve"> affect people’s willingness to get screened? Information on these questions will help</w:t>
      </w:r>
      <w:r w:rsidR="008C7175">
        <w:rPr>
          <w:color w:val="000000"/>
        </w:rPr>
        <w:t xml:space="preserve"> policy makers,</w:t>
      </w:r>
      <w:r w:rsidR="00A00A50" w:rsidRPr="00A00A50">
        <w:rPr>
          <w:color w:val="000000"/>
        </w:rPr>
        <w:t xml:space="preserve"> health</w:t>
      </w:r>
      <w:r w:rsidR="00A00A50" w:rsidRPr="003719D4">
        <w:rPr>
          <w:color w:val="000000"/>
        </w:rPr>
        <w:t xml:space="preserve"> care professionals and public health officials better understand patient </w:t>
      </w:r>
      <w:r w:rsidR="00E71591">
        <w:rPr>
          <w:color w:val="000000"/>
        </w:rPr>
        <w:t xml:space="preserve">preferences </w:t>
      </w:r>
      <w:r w:rsidR="00A00A50" w:rsidRPr="003719D4">
        <w:rPr>
          <w:color w:val="000000"/>
        </w:rPr>
        <w:t xml:space="preserve">and will help improve </w:t>
      </w:r>
      <w:r w:rsidR="00AB642B">
        <w:rPr>
          <w:color w:val="000000"/>
        </w:rPr>
        <w:t xml:space="preserve">development, implementation and dissemination of effective programs (including effective </w:t>
      </w:r>
      <w:r w:rsidR="00A00A50" w:rsidRPr="003719D4">
        <w:rPr>
          <w:color w:val="000000"/>
        </w:rPr>
        <w:t>education</w:t>
      </w:r>
      <w:r w:rsidR="00AB642B">
        <w:rPr>
          <w:color w:val="000000"/>
        </w:rPr>
        <w:t xml:space="preserve"> materials and communication strategies) to promote CRC screening</w:t>
      </w:r>
      <w:r w:rsidR="00A00A50" w:rsidRPr="003719D4">
        <w:rPr>
          <w:color w:val="000000"/>
        </w:rPr>
        <w:t>.</w:t>
      </w:r>
    </w:p>
    <w:p w:rsidR="00906A4B" w:rsidRPr="00CA7526" w:rsidRDefault="00E95DA3" w:rsidP="00F42D12">
      <w:pPr>
        <w:pStyle w:val="BodyText1"/>
        <w:spacing w:line="360" w:lineRule="auto"/>
      </w:pPr>
      <w:r w:rsidRPr="00CA7526">
        <w:t>Information will be collected from a sample of 2,000</w:t>
      </w:r>
      <w:r w:rsidR="00E12141">
        <w:t xml:space="preserve"> eligible</w:t>
      </w:r>
      <w:r w:rsidRPr="00CA7526">
        <w:t xml:space="preserve"> adults through a Web-based survey administered by </w:t>
      </w:r>
      <w:proofErr w:type="spellStart"/>
      <w:r w:rsidRPr="00CA7526">
        <w:t>GfK</w:t>
      </w:r>
      <w:proofErr w:type="spellEnd"/>
      <w:r w:rsidRPr="00CA7526">
        <w:t xml:space="preserve"> Knowledge Networks (KN). Respondents will be randomly selected from the KN </w:t>
      </w:r>
      <w:proofErr w:type="spellStart"/>
      <w:r w:rsidRPr="00CA7526">
        <w:t>KnowledgePanel</w:t>
      </w:r>
      <w:proofErr w:type="spellEnd"/>
      <w:r w:rsidRPr="00CA7526">
        <w:t>®.</w:t>
      </w:r>
      <w:r>
        <w:t xml:space="preserve">  </w:t>
      </w:r>
      <w:r w:rsidRPr="00CA7526">
        <w:t>CDC is authorized to conduct this information collection under the Public Health Service Act (41USC 241) Section 301 (</w:t>
      </w:r>
      <w:r w:rsidRPr="00CA7526">
        <w:rPr>
          <w:b/>
        </w:rPr>
        <w:t>Attachment 1</w:t>
      </w:r>
      <w:r w:rsidRPr="00CA7526">
        <w:t>).</w:t>
      </w:r>
      <w:r w:rsidR="0089151D" w:rsidRPr="00CA7526">
        <w:t>The Colorectal Cancer Screening Survey</w:t>
      </w:r>
      <w:r w:rsidR="00FA1700">
        <w:t xml:space="preserve"> is based on </w:t>
      </w:r>
      <w:r w:rsidR="00617722">
        <w:t xml:space="preserve">a </w:t>
      </w:r>
      <w:r w:rsidR="00FA1700">
        <w:t>DCE</w:t>
      </w:r>
      <w:r w:rsidR="00617722">
        <w:t xml:space="preserve"> survey</w:t>
      </w:r>
      <w:r w:rsidR="00FA1700">
        <w:t>. The</w:t>
      </w:r>
      <w:r w:rsidR="0089151D" w:rsidRPr="00CA7526">
        <w:t xml:space="preserve"> </w:t>
      </w:r>
      <w:r w:rsidR="00617722">
        <w:t xml:space="preserve">survey </w:t>
      </w:r>
      <w:r w:rsidR="0089151D" w:rsidRPr="00CA7526">
        <w:t xml:space="preserve">instrument will consist of </w:t>
      </w:r>
      <w:r w:rsidR="00582B90">
        <w:t xml:space="preserve">a fixed portion of </w:t>
      </w:r>
      <w:r w:rsidR="0089151D" w:rsidRPr="00CA7526">
        <w:t xml:space="preserve">core questions that are presented to all respondents, and </w:t>
      </w:r>
      <w:r w:rsidR="00617722">
        <w:t>two</w:t>
      </w:r>
      <w:r w:rsidR="0089151D" w:rsidRPr="00CA7526">
        <w:t xml:space="preserve"> variable portion</w:t>
      </w:r>
      <w:r w:rsidR="00617722">
        <w:t xml:space="preserve">s. The first variable portion is an information treatment where respondents will be randomly assigned to get no additional information or to view one of two </w:t>
      </w:r>
      <w:r w:rsidR="00617722" w:rsidRPr="00CA7526">
        <w:t xml:space="preserve">information sheets on CRC screening developed as part of CDC’s Screen for Life program. </w:t>
      </w:r>
      <w:r w:rsidR="00617722">
        <w:t xml:space="preserve"> The second variable portion </w:t>
      </w:r>
      <w:r w:rsidR="0089151D" w:rsidRPr="00CA7526">
        <w:t xml:space="preserve">will consist of 5 </w:t>
      </w:r>
      <w:r w:rsidR="00D5094B">
        <w:t>DCE</w:t>
      </w:r>
      <w:r w:rsidR="0089151D" w:rsidRPr="00CA7526">
        <w:t xml:space="preserve"> questions that ask respondents to choose between different hypothetical CRC screening tests. </w:t>
      </w:r>
      <w:r w:rsidR="00DE5838">
        <w:t>Participants in previous similar studies</w:t>
      </w:r>
      <w:r w:rsidR="00D5094B">
        <w:t xml:space="preserve"> have completed similar tasks</w:t>
      </w:r>
      <w:r w:rsidR="00DE5838">
        <w:t xml:space="preserve"> (</w:t>
      </w:r>
      <w:r w:rsidR="00617722">
        <w:t xml:space="preserve">for example, see </w:t>
      </w:r>
      <w:r w:rsidR="00617722" w:rsidRPr="00CA7526">
        <w:t>Marshall, McGregor and Currie</w:t>
      </w:r>
      <w:r w:rsidR="00617722">
        <w:t xml:space="preserve">, </w:t>
      </w:r>
      <w:r w:rsidR="00E71591" w:rsidRPr="00CA7526">
        <w:t xml:space="preserve">2010 </w:t>
      </w:r>
      <w:r w:rsidR="00E71591">
        <w:t>for</w:t>
      </w:r>
      <w:r w:rsidR="00617722">
        <w:t xml:space="preserve"> a summary of a number of DCE surveys focusing on CRC screening). </w:t>
      </w:r>
      <w:r w:rsidR="00DE5838">
        <w:t xml:space="preserve">). </w:t>
      </w:r>
      <w:r w:rsidR="0089151D" w:rsidRPr="00CA7526">
        <w:t xml:space="preserve">The hypothetical CRC screening tests are described by a set of attributes, and the levels of these attributes will be varied to create different hypothetical tests (see </w:t>
      </w:r>
      <w:r w:rsidR="00906A4B" w:rsidRPr="00CA7526">
        <w:rPr>
          <w:b/>
          <w:bCs/>
        </w:rPr>
        <w:t>Exhibit </w:t>
      </w:r>
      <w:r w:rsidR="0089151D" w:rsidRPr="00CA7526">
        <w:rPr>
          <w:b/>
          <w:bCs/>
        </w:rPr>
        <w:t>A.1</w:t>
      </w:r>
      <w:r w:rsidR="0089151D" w:rsidRPr="00CA7526">
        <w:t xml:space="preserve"> for a summary of Attributes and Levels).</w:t>
      </w:r>
      <w:r w:rsidR="0062693A">
        <w:t xml:space="preserve"> The attribute levels </w:t>
      </w:r>
      <w:r w:rsidR="0000244E">
        <w:t>were reviewed by clinical experts in CDC. The attribute levels f</w:t>
      </w:r>
      <w:r w:rsidR="0062693A">
        <w:t xml:space="preserve">or sensitivity are based on </w:t>
      </w:r>
      <w:proofErr w:type="spellStart"/>
      <w:r w:rsidR="0062693A">
        <w:t>Zauber</w:t>
      </w:r>
      <w:proofErr w:type="spellEnd"/>
      <w:r w:rsidR="0062693A">
        <w:t xml:space="preserve"> et al. (200</w:t>
      </w:r>
      <w:r w:rsidR="0000244E">
        <w:t>8</w:t>
      </w:r>
      <w:r w:rsidR="0062693A">
        <w:t>).</w:t>
      </w:r>
    </w:p>
    <w:p w:rsidR="00D543D3" w:rsidRPr="00CA7526" w:rsidRDefault="00D543D3" w:rsidP="00F42D12">
      <w:pPr>
        <w:pStyle w:val="BodyText1"/>
        <w:spacing w:line="360" w:lineRule="auto"/>
      </w:pPr>
      <w:r w:rsidRPr="00CA7526">
        <w:t xml:space="preserve">Because there are too many combinations of attribute levels to evaluate the entire set, </w:t>
      </w:r>
      <w:r w:rsidR="00D5094B">
        <w:t>DCE</w:t>
      </w:r>
      <w:r w:rsidRPr="00CA7526">
        <w:t xml:space="preserve"> surveys use experimental design programs to create a limited set of questions that provide enough variation to estimate the weights respondents place on different attribute levels. We will use a standard experimental design program (</w:t>
      </w:r>
      <w:proofErr w:type="spellStart"/>
      <w:r w:rsidR="004E5471">
        <w:t>N</w:t>
      </w:r>
      <w:r w:rsidR="00BE4278">
        <w:t>G</w:t>
      </w:r>
      <w:r w:rsidR="004E5471">
        <w:t>ene</w:t>
      </w:r>
      <w:proofErr w:type="spellEnd"/>
      <w:r w:rsidR="006C4B6F">
        <w:t xml:space="preserve">, </w:t>
      </w:r>
      <w:proofErr w:type="spellStart"/>
      <w:r w:rsidR="006C4B6F">
        <w:t>ChoiceMetrics</w:t>
      </w:r>
      <w:proofErr w:type="spellEnd"/>
      <w:r w:rsidR="008C2B74">
        <w:t xml:space="preserve"> 2012</w:t>
      </w:r>
      <w:r w:rsidRPr="00CA7526">
        <w:t xml:space="preserve">) to create </w:t>
      </w:r>
      <w:r w:rsidR="00D858E0">
        <w:t>ten</w:t>
      </w:r>
      <w:r w:rsidRPr="00CA7526">
        <w:t xml:space="preserve"> sets of 5 </w:t>
      </w:r>
      <w:r w:rsidR="00D5094B">
        <w:t>DCE</w:t>
      </w:r>
      <w:r w:rsidRPr="00CA7526">
        <w:t xml:space="preserve"> questions. The 5 </w:t>
      </w:r>
      <w:r w:rsidR="00D5094B">
        <w:t>DCE</w:t>
      </w:r>
      <w:r w:rsidRPr="00CA7526">
        <w:t xml:space="preserve"> questions constitute </w:t>
      </w:r>
      <w:r w:rsidR="00D5094B">
        <w:t>a</w:t>
      </w:r>
      <w:r w:rsidRPr="00CA7526">
        <w:t xml:space="preserve"> variable portion of the survey instrument.</w:t>
      </w:r>
      <w:r w:rsidR="00906A4B" w:rsidRPr="00CA7526">
        <w:t xml:space="preserve"> </w:t>
      </w:r>
      <w:r w:rsidRPr="00CA7526">
        <w:t xml:space="preserve">The design will balance the number of times each level appears alone and with other attribute levels </w:t>
      </w:r>
      <w:r w:rsidRPr="00CA7526">
        <w:lastRenderedPageBreak/>
        <w:t>and there will be no dominated pairs (pairs where one test has better levels for all attributes).</w:t>
      </w:r>
      <w:r w:rsidR="00D5094B">
        <w:t xml:space="preserve"> Note that the first two attributes will be presented on separate rows to make the information easier to read, however it will actually be a single attribute.  The first level of “What can the test find?” will always be presented with the first level of “How often do you take the test?” and similarly for the second levels and the third levels.</w:t>
      </w:r>
    </w:p>
    <w:p w:rsidR="0089151D" w:rsidRPr="00CA7526" w:rsidRDefault="0089151D" w:rsidP="003B2ECF">
      <w:pPr>
        <w:pStyle w:val="FigureTitle"/>
      </w:pPr>
      <w:bookmarkStart w:id="5" w:name="_Toc371430961"/>
      <w:r w:rsidRPr="00CA7526">
        <w:t>Exhibit A.1. Attributes and Levels</w:t>
      </w:r>
      <w:bookmarkEnd w:id="5"/>
    </w:p>
    <w:tbl>
      <w:tblPr>
        <w:tblW w:w="9360" w:type="dxa"/>
        <w:tblInd w:w="86" w:type="dxa"/>
        <w:tblBorders>
          <w:top w:val="single" w:sz="12" w:space="0" w:color="auto"/>
          <w:bottom w:val="single" w:sz="12" w:space="0" w:color="auto"/>
        </w:tblBorders>
        <w:tblLayout w:type="fixed"/>
        <w:tblCellMar>
          <w:left w:w="115" w:type="dxa"/>
          <w:right w:w="115" w:type="dxa"/>
        </w:tblCellMar>
        <w:tblLook w:val="04A0" w:firstRow="1" w:lastRow="0" w:firstColumn="1" w:lastColumn="0" w:noHBand="0" w:noVBand="1"/>
      </w:tblPr>
      <w:tblGrid>
        <w:gridCol w:w="3359"/>
        <w:gridCol w:w="6001"/>
      </w:tblGrid>
      <w:tr w:rsidR="0089151D" w:rsidRPr="00CA7526" w:rsidTr="00DA617A">
        <w:trPr>
          <w:cantSplit/>
        </w:trPr>
        <w:tc>
          <w:tcPr>
            <w:tcW w:w="3359" w:type="dxa"/>
            <w:tcBorders>
              <w:top w:val="single" w:sz="12" w:space="0" w:color="auto"/>
              <w:bottom w:val="single" w:sz="6" w:space="0" w:color="auto"/>
            </w:tcBorders>
            <w:shd w:val="clear" w:color="auto" w:fill="auto"/>
          </w:tcPr>
          <w:p w:rsidR="0089151D" w:rsidRPr="00CA7526" w:rsidRDefault="0089151D" w:rsidP="00D543D3">
            <w:pPr>
              <w:pStyle w:val="TableHeaders"/>
            </w:pPr>
            <w:r w:rsidRPr="00CA7526">
              <w:t>Attribute</w:t>
            </w:r>
          </w:p>
        </w:tc>
        <w:tc>
          <w:tcPr>
            <w:tcW w:w="6001" w:type="dxa"/>
            <w:tcBorders>
              <w:top w:val="single" w:sz="12" w:space="0" w:color="auto"/>
              <w:bottom w:val="single" w:sz="6" w:space="0" w:color="auto"/>
            </w:tcBorders>
            <w:shd w:val="clear" w:color="auto" w:fill="auto"/>
          </w:tcPr>
          <w:p w:rsidR="0089151D" w:rsidRPr="00CA7526" w:rsidRDefault="0089151D" w:rsidP="00D543D3">
            <w:pPr>
              <w:pStyle w:val="TableHeaders"/>
            </w:pPr>
            <w:r w:rsidRPr="00CA7526">
              <w:t>Levels</w:t>
            </w:r>
          </w:p>
        </w:tc>
      </w:tr>
      <w:tr w:rsidR="0089151D" w:rsidRPr="00CA7526" w:rsidTr="00DA617A">
        <w:trPr>
          <w:cantSplit/>
        </w:trPr>
        <w:tc>
          <w:tcPr>
            <w:tcW w:w="3359" w:type="dxa"/>
            <w:tcBorders>
              <w:top w:val="single" w:sz="6" w:space="0" w:color="auto"/>
              <w:bottom w:val="single" w:sz="2" w:space="0" w:color="auto"/>
            </w:tcBorders>
            <w:shd w:val="clear" w:color="auto" w:fill="auto"/>
          </w:tcPr>
          <w:p w:rsidR="00906A4B" w:rsidRPr="00CA7526" w:rsidRDefault="0089151D" w:rsidP="00D543D3">
            <w:pPr>
              <w:pStyle w:val="TableText"/>
              <w:keepNext/>
            </w:pPr>
            <w:r w:rsidRPr="00CA7526">
              <w:t>What can the test find</w:t>
            </w:r>
            <w:r w:rsidR="00D5094B">
              <w:t>?</w:t>
            </w:r>
          </w:p>
          <w:p w:rsidR="0089151D" w:rsidRPr="00CA7526" w:rsidRDefault="0089151D" w:rsidP="00D543D3">
            <w:pPr>
              <w:pStyle w:val="TableText"/>
              <w:keepNext/>
            </w:pPr>
          </w:p>
        </w:tc>
        <w:tc>
          <w:tcPr>
            <w:tcW w:w="6001" w:type="dxa"/>
            <w:tcBorders>
              <w:top w:val="single" w:sz="6" w:space="0" w:color="auto"/>
              <w:bottom w:val="single" w:sz="2" w:space="0" w:color="auto"/>
            </w:tcBorders>
            <w:shd w:val="clear" w:color="auto" w:fill="auto"/>
          </w:tcPr>
          <w:p w:rsidR="0089151D" w:rsidRPr="00CA7526" w:rsidRDefault="0089151D" w:rsidP="00D5094B">
            <w:pPr>
              <w:pStyle w:val="TableBulletLM"/>
              <w:keepNext/>
            </w:pPr>
            <w:r w:rsidRPr="00CA7526">
              <w:t xml:space="preserve">Detects some colorectal cancer </w:t>
            </w:r>
            <w:r w:rsidR="00DA617A" w:rsidRPr="00907085">
              <w:t>(50%</w:t>
            </w:r>
            <w:r w:rsidR="00DA617A">
              <w:t xml:space="preserve"> - 70%</w:t>
            </w:r>
            <w:r w:rsidR="00DA617A" w:rsidRPr="00907085">
              <w:t xml:space="preserve">) </w:t>
            </w:r>
            <w:r w:rsidRPr="00CA7526">
              <w:t>and very few pre-cancerous polyps (</w:t>
            </w:r>
            <w:r w:rsidR="00DA617A" w:rsidRPr="00907085">
              <w:t>10%</w:t>
            </w:r>
            <w:r w:rsidR="00DA617A">
              <w:t xml:space="preserve"> - 25%</w:t>
            </w:r>
            <w:r w:rsidRPr="00CA7526">
              <w:t xml:space="preserve">) </w:t>
            </w:r>
          </w:p>
          <w:p w:rsidR="0089151D" w:rsidRPr="00CA7526" w:rsidRDefault="0089151D" w:rsidP="00D5094B">
            <w:pPr>
              <w:pStyle w:val="TableBulletLM"/>
              <w:keepNext/>
            </w:pPr>
            <w:r w:rsidRPr="00CA7526">
              <w:t xml:space="preserve">Detects some colorectal cancer </w:t>
            </w:r>
            <w:r w:rsidR="00DA617A" w:rsidRPr="00907085">
              <w:t>(50%</w:t>
            </w:r>
            <w:r w:rsidR="00DA617A">
              <w:t xml:space="preserve"> - 70%</w:t>
            </w:r>
            <w:r w:rsidR="00DA617A" w:rsidRPr="00907085">
              <w:t xml:space="preserve">) </w:t>
            </w:r>
            <w:r w:rsidRPr="00CA7526">
              <w:t xml:space="preserve">and some pre-cancerous polyps </w:t>
            </w:r>
            <w:r w:rsidR="00DA617A" w:rsidRPr="00907085">
              <w:t>(50%</w:t>
            </w:r>
            <w:r w:rsidR="00DA617A">
              <w:t xml:space="preserve"> - 70%</w:t>
            </w:r>
            <w:r w:rsidR="00DA617A" w:rsidRPr="00907085">
              <w:t>)</w:t>
            </w:r>
            <w:r w:rsidRPr="00CA7526">
              <w:t xml:space="preserve"> </w:t>
            </w:r>
          </w:p>
          <w:p w:rsidR="0089151D" w:rsidRPr="00CA7526" w:rsidRDefault="0089151D" w:rsidP="00D5094B">
            <w:pPr>
              <w:pStyle w:val="TableBulletLM"/>
              <w:keepNext/>
            </w:pPr>
            <w:r w:rsidRPr="00CA7526">
              <w:t>Detects most colorectal cancer (</w:t>
            </w:r>
            <w:r w:rsidR="00DA617A">
              <w:t>90% to</w:t>
            </w:r>
            <w:r w:rsidRPr="00CA7526">
              <w:t xml:space="preserve"> 95%) and most pre-cancerous polyps (</w:t>
            </w:r>
            <w:r w:rsidR="00DA617A">
              <w:t>90% to</w:t>
            </w:r>
            <w:r w:rsidRPr="00CA7526">
              <w:t xml:space="preserve"> 95%) </w:t>
            </w:r>
          </w:p>
        </w:tc>
      </w:tr>
      <w:tr w:rsidR="00D5094B" w:rsidRPr="00CA7526" w:rsidTr="00DA617A">
        <w:trPr>
          <w:cantSplit/>
        </w:trPr>
        <w:tc>
          <w:tcPr>
            <w:tcW w:w="3359" w:type="dxa"/>
            <w:tcBorders>
              <w:top w:val="single" w:sz="2" w:space="0" w:color="auto"/>
              <w:bottom w:val="single" w:sz="2" w:space="0" w:color="auto"/>
            </w:tcBorders>
            <w:shd w:val="clear" w:color="auto" w:fill="auto"/>
          </w:tcPr>
          <w:p w:rsidR="00D5094B" w:rsidRPr="00CA7526" w:rsidRDefault="00D5094B" w:rsidP="00D543D3">
            <w:pPr>
              <w:pStyle w:val="TableText"/>
              <w:keepNext/>
            </w:pPr>
            <w:r>
              <w:t>How often do you take the test</w:t>
            </w:r>
          </w:p>
        </w:tc>
        <w:tc>
          <w:tcPr>
            <w:tcW w:w="6001" w:type="dxa"/>
            <w:tcBorders>
              <w:top w:val="single" w:sz="2" w:space="0" w:color="auto"/>
              <w:bottom w:val="single" w:sz="2" w:space="0" w:color="auto"/>
            </w:tcBorders>
            <w:shd w:val="clear" w:color="auto" w:fill="auto"/>
          </w:tcPr>
          <w:p w:rsidR="00D5094B" w:rsidRDefault="00D5094B" w:rsidP="00D543D3">
            <w:pPr>
              <w:pStyle w:val="TableBulletLM"/>
              <w:keepNext/>
            </w:pPr>
            <w:r w:rsidRPr="00CA7526">
              <w:t>Once every year</w:t>
            </w:r>
          </w:p>
          <w:p w:rsidR="00D5094B" w:rsidRDefault="00D5094B" w:rsidP="00D543D3">
            <w:pPr>
              <w:pStyle w:val="TableBulletLM"/>
              <w:keepNext/>
            </w:pPr>
            <w:r w:rsidRPr="00CA7526">
              <w:t>Once every 5 years</w:t>
            </w:r>
          </w:p>
          <w:p w:rsidR="00D5094B" w:rsidRPr="00CA7526" w:rsidRDefault="00D5094B" w:rsidP="00D543D3">
            <w:pPr>
              <w:pStyle w:val="TableBulletLM"/>
              <w:keepNext/>
            </w:pPr>
            <w:r w:rsidRPr="00CA7526">
              <w:t>Once every 10 years</w:t>
            </w:r>
          </w:p>
        </w:tc>
      </w:tr>
      <w:tr w:rsidR="0089151D" w:rsidRPr="00CA7526" w:rsidTr="00DA617A">
        <w:trPr>
          <w:cantSplit/>
        </w:trPr>
        <w:tc>
          <w:tcPr>
            <w:tcW w:w="3359" w:type="dxa"/>
            <w:tcBorders>
              <w:top w:val="single" w:sz="2" w:space="0" w:color="auto"/>
              <w:bottom w:val="single" w:sz="2" w:space="0" w:color="auto"/>
            </w:tcBorders>
            <w:shd w:val="clear" w:color="auto" w:fill="auto"/>
          </w:tcPr>
          <w:p w:rsidR="0089151D" w:rsidRPr="00CA7526" w:rsidRDefault="0089151D" w:rsidP="00D543D3">
            <w:pPr>
              <w:pStyle w:val="TableText"/>
              <w:keepNext/>
            </w:pPr>
            <w:r w:rsidRPr="00CA7526">
              <w:t>Can the test remove cancer and polyps?</w:t>
            </w:r>
          </w:p>
        </w:tc>
        <w:tc>
          <w:tcPr>
            <w:tcW w:w="6001" w:type="dxa"/>
            <w:tcBorders>
              <w:top w:val="single" w:sz="2" w:space="0" w:color="auto"/>
              <w:bottom w:val="single" w:sz="2" w:space="0" w:color="auto"/>
            </w:tcBorders>
            <w:shd w:val="clear" w:color="auto" w:fill="auto"/>
          </w:tcPr>
          <w:p w:rsidR="0089151D" w:rsidRPr="00CA7526" w:rsidRDefault="0089151D" w:rsidP="00D543D3">
            <w:pPr>
              <w:pStyle w:val="TableBulletLM"/>
              <w:keepNext/>
            </w:pPr>
            <w:r w:rsidRPr="00CA7526">
              <w:t>Yes</w:t>
            </w:r>
          </w:p>
          <w:p w:rsidR="0089151D" w:rsidRPr="00CA7526" w:rsidRDefault="0089151D" w:rsidP="00D543D3">
            <w:pPr>
              <w:pStyle w:val="TableBulletLM"/>
              <w:keepNext/>
            </w:pPr>
            <w:r w:rsidRPr="00CA7526">
              <w:t>No</w:t>
            </w:r>
          </w:p>
        </w:tc>
      </w:tr>
      <w:tr w:rsidR="0089151D" w:rsidRPr="00CA7526" w:rsidTr="00DA617A">
        <w:trPr>
          <w:cantSplit/>
        </w:trPr>
        <w:tc>
          <w:tcPr>
            <w:tcW w:w="3359" w:type="dxa"/>
            <w:tcBorders>
              <w:top w:val="single" w:sz="2" w:space="0" w:color="auto"/>
              <w:bottom w:val="single" w:sz="2" w:space="0" w:color="auto"/>
            </w:tcBorders>
            <w:shd w:val="clear" w:color="auto" w:fill="auto"/>
          </w:tcPr>
          <w:p w:rsidR="0089151D" w:rsidRPr="00CA7526" w:rsidRDefault="0089151D" w:rsidP="00D543D3">
            <w:pPr>
              <w:pStyle w:val="TableText"/>
              <w:keepNext/>
              <w:rPr>
                <w:bCs/>
              </w:rPr>
            </w:pPr>
            <w:r w:rsidRPr="00CA7526">
              <w:rPr>
                <w:bCs/>
              </w:rPr>
              <w:t>Preparation before the test</w:t>
            </w:r>
          </w:p>
        </w:tc>
        <w:tc>
          <w:tcPr>
            <w:tcW w:w="6001" w:type="dxa"/>
            <w:tcBorders>
              <w:top w:val="single" w:sz="2" w:space="0" w:color="auto"/>
              <w:bottom w:val="single" w:sz="2" w:space="0" w:color="auto"/>
            </w:tcBorders>
            <w:shd w:val="clear" w:color="auto" w:fill="auto"/>
          </w:tcPr>
          <w:p w:rsidR="0089151D" w:rsidRPr="00CA7526" w:rsidRDefault="0089151D" w:rsidP="00D543D3">
            <w:pPr>
              <w:pStyle w:val="TableBulletLM"/>
              <w:keepNext/>
            </w:pPr>
            <w:r w:rsidRPr="00CA7526">
              <w:t>No preparation</w:t>
            </w:r>
          </w:p>
          <w:p w:rsidR="00906A4B" w:rsidRPr="00CA7526" w:rsidRDefault="0000244E" w:rsidP="0000244E">
            <w:pPr>
              <w:pStyle w:val="TableBulletLM"/>
              <w:keepNext/>
            </w:pPr>
            <w:r>
              <w:t>D</w:t>
            </w:r>
            <w:r w:rsidR="0089151D" w:rsidRPr="00CA7526">
              <w:t>iet restrictions</w:t>
            </w:r>
            <w:r>
              <w:t xml:space="preserve"> 1 day before and day of test</w:t>
            </w:r>
          </w:p>
          <w:p w:rsidR="0089151D" w:rsidRPr="00CA7526" w:rsidRDefault="0000244E" w:rsidP="00D543D3">
            <w:pPr>
              <w:pStyle w:val="TableBulletLM"/>
              <w:keepNext/>
              <w:rPr>
                <w:bCs/>
              </w:rPr>
            </w:pPr>
            <w:r>
              <w:t>D</w:t>
            </w:r>
            <w:r w:rsidRPr="00CA7526">
              <w:t>iet restrictions</w:t>
            </w:r>
            <w:r>
              <w:t xml:space="preserve"> 1 day before and day of test</w:t>
            </w:r>
            <w:r w:rsidRPr="00CA7526" w:rsidDel="0000244E">
              <w:t xml:space="preserve"> </w:t>
            </w:r>
            <w:r w:rsidR="0089151D" w:rsidRPr="00CA7526">
              <w:t>and laxative use</w:t>
            </w:r>
            <w:r w:rsidR="0089151D" w:rsidRPr="00CA7526">
              <w:rPr>
                <w:bCs/>
              </w:rPr>
              <w:t xml:space="preserve"> </w:t>
            </w:r>
          </w:p>
        </w:tc>
      </w:tr>
      <w:tr w:rsidR="0089151D" w:rsidRPr="00CA7526" w:rsidTr="00DA617A">
        <w:trPr>
          <w:cantSplit/>
        </w:trPr>
        <w:tc>
          <w:tcPr>
            <w:tcW w:w="3359" w:type="dxa"/>
            <w:tcBorders>
              <w:top w:val="single" w:sz="2" w:space="0" w:color="auto"/>
              <w:bottom w:val="single" w:sz="2" w:space="0" w:color="auto"/>
            </w:tcBorders>
            <w:shd w:val="clear" w:color="auto" w:fill="auto"/>
          </w:tcPr>
          <w:p w:rsidR="0089151D" w:rsidRPr="00CA7526" w:rsidRDefault="0089151D" w:rsidP="00D543D3">
            <w:pPr>
              <w:pStyle w:val="TableText"/>
              <w:keepNext/>
            </w:pPr>
            <w:r w:rsidRPr="00CA7526">
              <w:t>Discomfort and activity limitations during and after the test</w:t>
            </w:r>
          </w:p>
        </w:tc>
        <w:tc>
          <w:tcPr>
            <w:tcW w:w="6001" w:type="dxa"/>
            <w:tcBorders>
              <w:top w:val="single" w:sz="2" w:space="0" w:color="auto"/>
              <w:bottom w:val="single" w:sz="2" w:space="0" w:color="auto"/>
            </w:tcBorders>
            <w:shd w:val="clear" w:color="auto" w:fill="auto"/>
          </w:tcPr>
          <w:p w:rsidR="0089151D" w:rsidRPr="00CA7526" w:rsidRDefault="0089151D" w:rsidP="00D543D3">
            <w:pPr>
              <w:pStyle w:val="TableBulletLM"/>
              <w:keepNext/>
            </w:pPr>
            <w:r w:rsidRPr="00CA7526">
              <w:t>No discomfort/ After test, all activities as usual</w:t>
            </w:r>
          </w:p>
          <w:p w:rsidR="0089151D" w:rsidRPr="00CA7526" w:rsidRDefault="0089151D" w:rsidP="00D543D3">
            <w:pPr>
              <w:pStyle w:val="TableBulletLM"/>
              <w:keepNext/>
            </w:pPr>
            <w:r w:rsidRPr="00CA7526">
              <w:t>During test, discomfort like cramps/ After test, all activities as usual</w:t>
            </w:r>
          </w:p>
          <w:p w:rsidR="0089151D" w:rsidRPr="00CA7526" w:rsidRDefault="0089151D" w:rsidP="00D543D3">
            <w:pPr>
              <w:pStyle w:val="TableBulletLM"/>
              <w:keepNext/>
            </w:pPr>
            <w:r w:rsidRPr="00CA7526">
              <w:t>During test, sedative</w:t>
            </w:r>
            <w:r w:rsidRPr="00CA7526">
              <w:rPr>
                <w:b/>
                <w:bCs/>
              </w:rPr>
              <w:t xml:space="preserve"> </w:t>
            </w:r>
            <w:r w:rsidRPr="00CA7526">
              <w:t>so no discomfort/ After test, no driving a</w:t>
            </w:r>
            <w:r w:rsidR="00D543D3" w:rsidRPr="00CA7526">
              <w:t>nd limited activity rest of day</w:t>
            </w:r>
          </w:p>
        </w:tc>
      </w:tr>
      <w:tr w:rsidR="0089151D" w:rsidRPr="00CA7526" w:rsidTr="00DA617A">
        <w:trPr>
          <w:cantSplit/>
        </w:trPr>
        <w:tc>
          <w:tcPr>
            <w:tcW w:w="3359" w:type="dxa"/>
            <w:tcBorders>
              <w:top w:val="single" w:sz="2" w:space="0" w:color="auto"/>
              <w:bottom w:val="single" w:sz="12" w:space="0" w:color="auto"/>
            </w:tcBorders>
            <w:shd w:val="clear" w:color="auto" w:fill="auto"/>
          </w:tcPr>
          <w:p w:rsidR="0089151D" w:rsidRPr="00CA7526" w:rsidRDefault="0089151D" w:rsidP="00D543D3">
            <w:pPr>
              <w:pStyle w:val="TableText"/>
              <w:keepNext/>
              <w:rPr>
                <w:bCs/>
              </w:rPr>
            </w:pPr>
            <w:r w:rsidRPr="00CA7526">
              <w:rPr>
                <w:bCs/>
              </w:rPr>
              <w:t>Out of pocket cost to you per test</w:t>
            </w:r>
          </w:p>
        </w:tc>
        <w:tc>
          <w:tcPr>
            <w:tcW w:w="6001" w:type="dxa"/>
            <w:tcBorders>
              <w:top w:val="single" w:sz="2" w:space="0" w:color="auto"/>
              <w:bottom w:val="single" w:sz="12" w:space="0" w:color="auto"/>
            </w:tcBorders>
            <w:shd w:val="clear" w:color="auto" w:fill="auto"/>
          </w:tcPr>
          <w:p w:rsidR="0089151D" w:rsidRPr="00CA7526" w:rsidRDefault="0089151D" w:rsidP="00D543D3">
            <w:pPr>
              <w:pStyle w:val="TableBulletLM"/>
              <w:keepNext/>
            </w:pPr>
            <w:r w:rsidRPr="00CA7526">
              <w:t>$0 (no cost to you)</w:t>
            </w:r>
          </w:p>
          <w:p w:rsidR="0089151D" w:rsidRPr="00CA7526" w:rsidRDefault="0089151D" w:rsidP="00D543D3">
            <w:pPr>
              <w:pStyle w:val="TableBulletLM"/>
              <w:keepNext/>
            </w:pPr>
            <w:r w:rsidRPr="00CA7526">
              <w:t>$10</w:t>
            </w:r>
          </w:p>
          <w:p w:rsidR="0089151D" w:rsidRPr="00CA7526" w:rsidRDefault="0089151D" w:rsidP="00D543D3">
            <w:pPr>
              <w:pStyle w:val="TableBulletLM"/>
              <w:keepNext/>
            </w:pPr>
            <w:r w:rsidRPr="00CA7526">
              <w:t>$50</w:t>
            </w:r>
          </w:p>
          <w:p w:rsidR="0089151D" w:rsidRPr="00CA7526" w:rsidRDefault="0089151D" w:rsidP="00D543D3">
            <w:pPr>
              <w:pStyle w:val="TableBulletLM"/>
              <w:keepNext/>
            </w:pPr>
            <w:r w:rsidRPr="00CA7526">
              <w:t>$200</w:t>
            </w:r>
          </w:p>
          <w:p w:rsidR="0089151D" w:rsidRPr="00CA7526" w:rsidRDefault="0089151D" w:rsidP="00D543D3">
            <w:pPr>
              <w:pStyle w:val="TableBulletLM"/>
              <w:keepNext/>
            </w:pPr>
            <w:r w:rsidRPr="00CA7526">
              <w:t>$500</w:t>
            </w:r>
          </w:p>
        </w:tc>
      </w:tr>
    </w:tbl>
    <w:p w:rsidR="0089151D" w:rsidRPr="00CA7526" w:rsidRDefault="0089151D" w:rsidP="00D543D3">
      <w:pPr>
        <w:pStyle w:val="Source"/>
      </w:pPr>
    </w:p>
    <w:p w:rsidR="0089151D" w:rsidRPr="00CA7526" w:rsidRDefault="0089151D" w:rsidP="00FE05DD">
      <w:pPr>
        <w:pStyle w:val="BodyText1"/>
      </w:pPr>
      <w:r w:rsidRPr="00CA7526">
        <w:t>Two randomizations are built into the experimental design:</w:t>
      </w:r>
    </w:p>
    <w:p w:rsidR="0089151D" w:rsidRPr="00CA7526" w:rsidRDefault="00D543D3" w:rsidP="00D858E0">
      <w:pPr>
        <w:pStyle w:val="bullets-blank"/>
      </w:pPr>
      <w:r w:rsidRPr="00CA7526">
        <w:t>1.</w:t>
      </w:r>
      <w:r w:rsidRPr="00CA7526">
        <w:tab/>
      </w:r>
      <w:r w:rsidR="0089151D" w:rsidRPr="00CA7526">
        <w:t>Each respondent will be randomly assigned to one of the</w:t>
      </w:r>
      <w:r w:rsidR="00D858E0">
        <w:t xml:space="preserve"> ten</w:t>
      </w:r>
      <w:r w:rsidR="0089151D" w:rsidRPr="00CA7526">
        <w:t xml:space="preserve"> sets of 5 </w:t>
      </w:r>
      <w:r w:rsidR="00D5094B">
        <w:t>DCE</w:t>
      </w:r>
      <w:r w:rsidR="0089151D" w:rsidRPr="00CA7526">
        <w:t xml:space="preserve"> questions (the variable portion of the survey instrument).</w:t>
      </w:r>
    </w:p>
    <w:p w:rsidR="0089151D" w:rsidRPr="00CA7526" w:rsidRDefault="00D543D3" w:rsidP="00D543D3">
      <w:pPr>
        <w:pStyle w:val="bullets-blank"/>
      </w:pPr>
      <w:r w:rsidRPr="00CA7526">
        <w:t>2.</w:t>
      </w:r>
      <w:r w:rsidRPr="00CA7526">
        <w:tab/>
      </w:r>
      <w:r w:rsidR="0089151D" w:rsidRPr="00CA7526">
        <w:t>Each respondent will be randomly assigned to one of three information treatments:</w:t>
      </w:r>
    </w:p>
    <w:p w:rsidR="00906A4B" w:rsidRPr="00CA7526" w:rsidRDefault="00D543D3" w:rsidP="00D543D3">
      <w:pPr>
        <w:pStyle w:val="bullets-blank"/>
        <w:ind w:left="1440"/>
      </w:pPr>
      <w:r w:rsidRPr="00CA7526">
        <w:t>I.</w:t>
      </w:r>
      <w:r w:rsidRPr="00CA7526">
        <w:tab/>
      </w:r>
      <w:r w:rsidR="0089151D" w:rsidRPr="00CA7526">
        <w:t>a control group that receives no additional information about CRC screening;</w:t>
      </w:r>
    </w:p>
    <w:p w:rsidR="00906A4B" w:rsidRPr="00CA7526" w:rsidRDefault="00D543D3" w:rsidP="00D543D3">
      <w:pPr>
        <w:pStyle w:val="bullets-blank"/>
        <w:ind w:left="1440"/>
      </w:pPr>
      <w:r w:rsidRPr="00CA7526">
        <w:lastRenderedPageBreak/>
        <w:t>II.</w:t>
      </w:r>
      <w:r w:rsidRPr="00CA7526">
        <w:tab/>
      </w:r>
      <w:r w:rsidR="0089151D" w:rsidRPr="00CA7526">
        <w:t xml:space="preserve">a treatment group that receives a </w:t>
      </w:r>
      <w:r w:rsidR="00906A4B" w:rsidRPr="00CA7526">
        <w:t>“</w:t>
      </w:r>
      <w:r w:rsidR="0089151D" w:rsidRPr="00CA7526">
        <w:t>No Excuses</w:t>
      </w:r>
      <w:r w:rsidR="00906A4B" w:rsidRPr="00CA7526">
        <w:t>”</w:t>
      </w:r>
      <w:r w:rsidR="0089151D" w:rsidRPr="00CA7526">
        <w:t xml:space="preserve"> educational flyer designed by the CDC Screen for Life program to dispel many common reasons for not getting a colonoscopy; or</w:t>
      </w:r>
    </w:p>
    <w:p w:rsidR="0089151D" w:rsidRPr="00CA7526" w:rsidRDefault="00D543D3" w:rsidP="00D543D3">
      <w:pPr>
        <w:pStyle w:val="bullets-blank"/>
        <w:ind w:left="1440"/>
      </w:pPr>
      <w:r w:rsidRPr="00CA7526">
        <w:t>III.</w:t>
      </w:r>
      <w:r w:rsidRPr="00CA7526">
        <w:tab/>
      </w:r>
      <w:r w:rsidR="0089151D" w:rsidRPr="00CA7526">
        <w:t>a treatment group that receives a two-page Fact Sheet about CRC and screening options designed by the CDC Screen for Life program.</w:t>
      </w:r>
    </w:p>
    <w:p w:rsidR="0089151D" w:rsidRPr="00CA7526" w:rsidRDefault="0089151D" w:rsidP="00F42D12">
      <w:pPr>
        <w:pStyle w:val="BodyText1"/>
        <w:spacing w:line="360" w:lineRule="auto"/>
      </w:pPr>
      <w:r w:rsidRPr="00CA7526">
        <w:t>The first randomization will allow us to determine the rate at which respondents are willing to trade off one attribute for another and to rank the importance of the various attributes and changes in attribute levels.</w:t>
      </w:r>
      <w:r w:rsidR="00906A4B" w:rsidRPr="00CA7526">
        <w:t xml:space="preserve"> </w:t>
      </w:r>
      <w:r w:rsidRPr="00CA7526">
        <w:t xml:space="preserve">The second randomization will allow us to assess the impact of the </w:t>
      </w:r>
      <w:r w:rsidR="00906A4B" w:rsidRPr="00CA7526">
        <w:t>“</w:t>
      </w:r>
      <w:r w:rsidRPr="00CA7526">
        <w:t>No Excuses</w:t>
      </w:r>
      <w:r w:rsidR="00906A4B" w:rsidRPr="00CA7526">
        <w:t>”</w:t>
      </w:r>
      <w:r w:rsidRPr="00CA7526">
        <w:t xml:space="preserve"> flyer and the Fact Sheet on respondent preferences.</w:t>
      </w:r>
    </w:p>
    <w:p w:rsidR="0089151D" w:rsidRPr="00CA7526" w:rsidRDefault="00906A4B" w:rsidP="00D543D3">
      <w:pPr>
        <w:pStyle w:val="Heading3"/>
        <w:rPr>
          <w:lang w:val="en-US"/>
        </w:rPr>
      </w:pPr>
      <w:bookmarkStart w:id="6" w:name="_Toc371431210"/>
      <w:r w:rsidRPr="00CA7526">
        <w:rPr>
          <w:lang w:val="en-US"/>
        </w:rPr>
        <w:t>A.1.1</w:t>
      </w:r>
      <w:r w:rsidRPr="00CA7526">
        <w:rPr>
          <w:lang w:val="en-US"/>
        </w:rPr>
        <w:tab/>
      </w:r>
      <w:r w:rsidR="0089151D" w:rsidRPr="00CA7526">
        <w:rPr>
          <w:lang w:val="en-US"/>
        </w:rPr>
        <w:t>Privacy Impact Assessment</w:t>
      </w:r>
      <w:bookmarkEnd w:id="6"/>
    </w:p>
    <w:p w:rsidR="0089151D" w:rsidRPr="00CA7526" w:rsidRDefault="0089151D" w:rsidP="00D543D3">
      <w:pPr>
        <w:pStyle w:val="Heading4"/>
      </w:pPr>
      <w:r w:rsidRPr="00CA7526">
        <w:t>Overview of the Data Collection System</w:t>
      </w:r>
    </w:p>
    <w:p w:rsidR="00F70BAA" w:rsidRDefault="0089151D" w:rsidP="007A74AD">
      <w:pPr>
        <w:pStyle w:val="BodyText1"/>
        <w:spacing w:line="360" w:lineRule="auto"/>
      </w:pPr>
      <w:r w:rsidRPr="00CA7526">
        <w:t xml:space="preserve">CDC has contracted with RTI International in Research Triangle Park, NC, to conduct a self-administered, Web-based survey in conjunction with </w:t>
      </w:r>
      <w:proofErr w:type="spellStart"/>
      <w:r w:rsidRPr="00CA7526">
        <w:t>GfK</w:t>
      </w:r>
      <w:proofErr w:type="spellEnd"/>
      <w:r w:rsidRPr="00CA7526">
        <w:t xml:space="preserve"> KN </w:t>
      </w:r>
      <w:proofErr w:type="spellStart"/>
      <w:r w:rsidRPr="00CA7526">
        <w:t>KnowledgePanel</w:t>
      </w:r>
      <w:proofErr w:type="spellEnd"/>
      <w:r w:rsidRPr="00CA7526">
        <w:t xml:space="preserve">® as a data collection partner (subcontractor to RTI International). Data will be maintained in de-identified form by RTI and CDC in accordance with IRB approvals for this study. The online survey sample of 2,000 respondents will be drawn from the general U.S. adult population on the </w:t>
      </w:r>
      <w:proofErr w:type="spellStart"/>
      <w:r w:rsidRPr="00CA7526">
        <w:t>KnowledgePanel</w:t>
      </w:r>
      <w:proofErr w:type="spellEnd"/>
      <w:r w:rsidRPr="00CA7526">
        <w:t xml:space="preserve">® ages </w:t>
      </w:r>
      <w:r w:rsidR="00D5094B">
        <w:t>50</w:t>
      </w:r>
      <w:r w:rsidRPr="00CA7526">
        <w:t xml:space="preserve"> to 75.</w:t>
      </w:r>
      <w:r w:rsidR="00906A4B" w:rsidRPr="00CA7526">
        <w:t xml:space="preserve"> </w:t>
      </w:r>
      <w:r w:rsidRPr="00CA7526">
        <w:t>A pretest of study procedures will be conducted with approximately 30 respondents prior to fielding the final survey.</w:t>
      </w:r>
    </w:p>
    <w:p w:rsidR="0089151D" w:rsidRPr="00CA7526" w:rsidRDefault="00F70BAA" w:rsidP="007A74AD">
      <w:pPr>
        <w:pStyle w:val="BodyText1"/>
        <w:spacing w:line="360" w:lineRule="auto"/>
      </w:pPr>
      <w:r>
        <w:t xml:space="preserve">The proposed experimental design will assess 3 information treatments and 10 blocks of </w:t>
      </w:r>
      <w:r w:rsidR="00D5094B">
        <w:t>DCE</w:t>
      </w:r>
      <w:r>
        <w:t xml:space="preserve"> questions.  Each respondent will be randomized to </w:t>
      </w:r>
      <w:r w:rsidR="005F77D7">
        <w:t>one</w:t>
      </w:r>
      <w:r>
        <w:t xml:space="preserve"> information treatment and </w:t>
      </w:r>
      <w:r w:rsidR="005F77D7">
        <w:t>one</w:t>
      </w:r>
      <w:r>
        <w:t xml:space="preserve"> block of</w:t>
      </w:r>
      <w:r w:rsidR="005F77D7">
        <w:t xml:space="preserve"> </w:t>
      </w:r>
      <w:r w:rsidR="00D5094B">
        <w:t>DCE</w:t>
      </w:r>
      <w:r>
        <w:t xml:space="preserve"> questions.  </w:t>
      </w:r>
      <w:r w:rsidR="00AC573B">
        <w:t>As a result, the survey consists of fixed portions (in which the same information or question is presented to all respondents) and variable portions that depend on the respondent’s assignment to information treatment and block.</w:t>
      </w:r>
      <w:r w:rsidR="005F77D7">
        <w:t xml:space="preserve">  Screen shots of an example survey are provided in </w:t>
      </w:r>
      <w:r w:rsidR="005F77D7" w:rsidRPr="00167E80">
        <w:rPr>
          <w:b/>
        </w:rPr>
        <w:t>Attachment 2</w:t>
      </w:r>
      <w:r w:rsidR="000B38FB">
        <w:rPr>
          <w:b/>
        </w:rPr>
        <w:t xml:space="preserve">, </w:t>
      </w:r>
      <w:r w:rsidR="00167E80">
        <w:rPr>
          <w:b/>
        </w:rPr>
        <w:t>Overview of</w:t>
      </w:r>
      <w:r w:rsidR="000B38FB">
        <w:rPr>
          <w:b/>
        </w:rPr>
        <w:t xml:space="preserve"> Survey</w:t>
      </w:r>
      <w:r w:rsidR="00167E80">
        <w:rPr>
          <w:b/>
        </w:rPr>
        <w:t xml:space="preserve"> and Screen Shots</w:t>
      </w:r>
      <w:r w:rsidR="005F77D7">
        <w:t xml:space="preserve">. The screen shot file is annotated with comments that explain which </w:t>
      </w:r>
      <w:r w:rsidR="00EC5FCD">
        <w:t>screen shots are part of the fixed instrument</w:t>
      </w:r>
      <w:r w:rsidR="005F77D7">
        <w:t xml:space="preserve"> and which </w:t>
      </w:r>
      <w:r w:rsidR="00EC5FCD">
        <w:t xml:space="preserve">screen shots are part of the variable </w:t>
      </w:r>
      <w:r w:rsidR="0014061B">
        <w:t>sections</w:t>
      </w:r>
      <w:r w:rsidR="00EC5FCD">
        <w:t xml:space="preserve"> of the instrument</w:t>
      </w:r>
      <w:r w:rsidR="005F77D7">
        <w:t xml:space="preserve">.  For demonstration purposes, the variable portion of </w:t>
      </w:r>
      <w:r w:rsidR="005F77D7" w:rsidRPr="000B38FB">
        <w:t>Attachment 2 s</w:t>
      </w:r>
      <w:r w:rsidR="005F77D7">
        <w:t xml:space="preserve">hows the complete set of </w:t>
      </w:r>
      <w:r w:rsidR="00D5094B">
        <w:t>DCE</w:t>
      </w:r>
      <w:r w:rsidR="005F77D7">
        <w:t xml:space="preserve"> questions presented to respondents in Block 1.</w:t>
      </w:r>
      <w:r w:rsidR="0014061B">
        <w:t xml:space="preserve">  A summary of t</w:t>
      </w:r>
      <w:r w:rsidR="005F77D7">
        <w:t xml:space="preserve">he questions </w:t>
      </w:r>
      <w:r w:rsidR="0014061B">
        <w:t>applicable to respondents in Blocks 2-9 is</w:t>
      </w:r>
      <w:r w:rsidR="005F77D7">
        <w:t xml:space="preserve"> provided in </w:t>
      </w:r>
      <w:r w:rsidR="005F77D7" w:rsidRPr="00167E80">
        <w:rPr>
          <w:b/>
        </w:rPr>
        <w:t>Attachment 3</w:t>
      </w:r>
      <w:r w:rsidR="000B38FB">
        <w:rPr>
          <w:b/>
        </w:rPr>
        <w:t xml:space="preserve">, </w:t>
      </w:r>
      <w:r w:rsidR="00167E80">
        <w:rPr>
          <w:b/>
        </w:rPr>
        <w:t>Experimental Design and 10 Blocks of DCE Questions</w:t>
      </w:r>
      <w:r w:rsidR="00EC5FCD">
        <w:t>.</w:t>
      </w:r>
      <w:r w:rsidR="005F77D7">
        <w:t xml:space="preserve"> </w:t>
      </w:r>
      <w:r w:rsidR="00AC573B">
        <w:t xml:space="preserve">  </w:t>
      </w:r>
    </w:p>
    <w:p w:rsidR="0089151D" w:rsidRPr="00F42D12" w:rsidRDefault="0089151D" w:rsidP="007A74AD">
      <w:pPr>
        <w:pStyle w:val="Heading4"/>
        <w:spacing w:line="360" w:lineRule="auto"/>
        <w:rPr>
          <w:i w:val="0"/>
          <w:u w:val="single"/>
        </w:rPr>
      </w:pPr>
      <w:r w:rsidRPr="00F42D12">
        <w:rPr>
          <w:i w:val="0"/>
          <w:u w:val="single"/>
        </w:rPr>
        <w:lastRenderedPageBreak/>
        <w:t xml:space="preserve">Items of Information to be </w:t>
      </w:r>
      <w:proofErr w:type="gramStart"/>
      <w:r w:rsidRPr="00F42D12">
        <w:rPr>
          <w:i w:val="0"/>
          <w:u w:val="single"/>
        </w:rPr>
        <w:t>Collected</w:t>
      </w:r>
      <w:proofErr w:type="gramEnd"/>
    </w:p>
    <w:p w:rsidR="0089151D" w:rsidRPr="00CA7526" w:rsidRDefault="0089151D" w:rsidP="007A74AD">
      <w:pPr>
        <w:pStyle w:val="BodyText1"/>
        <w:spacing w:line="360" w:lineRule="auto"/>
      </w:pPr>
    </w:p>
    <w:p w:rsidR="0089151D" w:rsidRPr="00CA7526" w:rsidRDefault="0089151D" w:rsidP="007A74AD">
      <w:pPr>
        <w:pStyle w:val="Heading4"/>
        <w:spacing w:line="360" w:lineRule="auto"/>
      </w:pPr>
      <w:r w:rsidRPr="00CA7526">
        <w:t>Section 1</w:t>
      </w:r>
      <w:r w:rsidR="006D1185">
        <w:t xml:space="preserve"> (fixed)</w:t>
      </w:r>
      <w:r w:rsidRPr="00CA7526">
        <w:t>: Informed consent</w:t>
      </w:r>
      <w:r w:rsidR="00AB5685">
        <w:t xml:space="preserve"> </w:t>
      </w:r>
      <w:r w:rsidR="00167E80">
        <w:t>(</w:t>
      </w:r>
      <w:r w:rsidR="00167E80" w:rsidRPr="00B21F87">
        <w:rPr>
          <w:b/>
          <w:bCs w:val="0"/>
        </w:rPr>
        <w:t xml:space="preserve">Attachment </w:t>
      </w:r>
      <w:r w:rsidR="000C4907">
        <w:rPr>
          <w:b/>
          <w:bCs w:val="0"/>
        </w:rPr>
        <w:t>2</w:t>
      </w:r>
      <w:r w:rsidR="00167E80">
        <w:t xml:space="preserve"> </w:t>
      </w:r>
      <w:r w:rsidR="00167E80" w:rsidRPr="000D6765">
        <w:t>page</w:t>
      </w:r>
      <w:r w:rsidR="00167E80" w:rsidRPr="005820DF">
        <w:t>s</w:t>
      </w:r>
      <w:r w:rsidR="00167E80">
        <w:t xml:space="preserve"> 4-6)</w:t>
      </w:r>
    </w:p>
    <w:p w:rsidR="0089151D" w:rsidRPr="00CA7526" w:rsidRDefault="0089151D" w:rsidP="007A74AD">
      <w:pPr>
        <w:pStyle w:val="BodyText1"/>
        <w:spacing w:line="360" w:lineRule="auto"/>
      </w:pPr>
      <w:r w:rsidRPr="00CA7526">
        <w:t>This section presents a description of the Colorectal Cancer Screening Survey, the risks and benefits and asks the respondent whether they agree to take the survey</w:t>
      </w:r>
      <w:r w:rsidR="000E1070">
        <w:t>.</w:t>
      </w:r>
    </w:p>
    <w:p w:rsidR="00167E80" w:rsidRPr="00B21F87" w:rsidRDefault="0089151D" w:rsidP="007A74AD">
      <w:pPr>
        <w:pStyle w:val="Heading4"/>
        <w:spacing w:line="360" w:lineRule="auto"/>
        <w:rPr>
          <w:b/>
          <w:bCs w:val="0"/>
        </w:rPr>
      </w:pPr>
      <w:r w:rsidRPr="00CA7526">
        <w:t>Section 2</w:t>
      </w:r>
      <w:r w:rsidR="006D1185">
        <w:t xml:space="preserve"> (fixed)</w:t>
      </w:r>
      <w:r w:rsidRPr="00CA7526">
        <w:t xml:space="preserve">: Introducing the Survey Issues </w:t>
      </w:r>
      <w:r w:rsidR="00167E80">
        <w:t>(</w:t>
      </w:r>
      <w:r w:rsidR="000C4907">
        <w:rPr>
          <w:b/>
          <w:bCs w:val="0"/>
        </w:rPr>
        <w:t>Attachment 2</w:t>
      </w:r>
      <w:r w:rsidR="00167E80">
        <w:t xml:space="preserve"> </w:t>
      </w:r>
      <w:r w:rsidR="00167E80" w:rsidRPr="000D6765">
        <w:t>page</w:t>
      </w:r>
      <w:r w:rsidR="00167E80" w:rsidRPr="005820DF">
        <w:t>s</w:t>
      </w:r>
      <w:r w:rsidR="00167E80">
        <w:t xml:space="preserve"> 7-11)</w:t>
      </w:r>
    </w:p>
    <w:p w:rsidR="00906A4B" w:rsidRPr="00CA7526" w:rsidRDefault="0089151D" w:rsidP="007A74AD">
      <w:pPr>
        <w:pStyle w:val="BodyText1"/>
        <w:spacing w:line="360" w:lineRule="auto"/>
      </w:pPr>
      <w:r w:rsidRPr="00CA7526">
        <w:t xml:space="preserve">The text introduces CRC, including key risk factors. It asks participants a set of background questions regarding their own and any known relatives and acquaintances history of colon cancer and colonoscopies. The text on </w:t>
      </w:r>
      <w:r w:rsidRPr="000D6765">
        <w:t>page</w:t>
      </w:r>
      <w:r w:rsidRPr="00CA7526">
        <w:t xml:space="preserve"> </w:t>
      </w:r>
      <w:r w:rsidR="00167E80">
        <w:t>7</w:t>
      </w:r>
      <w:r w:rsidRPr="00CA7526">
        <w:t xml:space="preserve"> comes from </w:t>
      </w:r>
      <w:hyperlink r:id="rId16" w:history="1">
        <w:r w:rsidRPr="00CA7526">
          <w:rPr>
            <w:rStyle w:val="Hyperlink"/>
          </w:rPr>
          <w:t>http://www.cdc.gov/cancer/colorectal/basic_info/facts.htm</w:t>
        </w:r>
      </w:hyperlink>
      <w:r w:rsidRPr="00CA7526">
        <w:t xml:space="preserve"> and the image comes from </w:t>
      </w:r>
      <w:hyperlink r:id="rId17" w:history="1">
        <w:r w:rsidRPr="00CA7526">
          <w:rPr>
            <w:rStyle w:val="Hyperlink"/>
          </w:rPr>
          <w:t>http://digestive.niddk.nih.gov/ddiseases/pubs/virtualcolonoscopy/</w:t>
        </w:r>
      </w:hyperlink>
      <w:r w:rsidRPr="00CA7526">
        <w:t>.</w:t>
      </w:r>
    </w:p>
    <w:p w:rsidR="0089151D" w:rsidRPr="00CA7526" w:rsidRDefault="0089151D" w:rsidP="007A74AD">
      <w:pPr>
        <w:pStyle w:val="BodyText1"/>
        <w:spacing w:line="360" w:lineRule="auto"/>
      </w:pPr>
      <w:r w:rsidRPr="00CA7526">
        <w:t xml:space="preserve">The questions will be used to help calculate objective and subjective perception of risk of CRC. The responses will be used to summarize information about the respondents and as variables in the analysis for the </w:t>
      </w:r>
      <w:r w:rsidR="00D5094B">
        <w:t>DCE</w:t>
      </w:r>
      <w:r w:rsidRPr="00CA7526">
        <w:t xml:space="preserve"> questions.</w:t>
      </w:r>
    </w:p>
    <w:p w:rsidR="00167E80" w:rsidRPr="00CA7526" w:rsidRDefault="0089151D" w:rsidP="007A74AD">
      <w:pPr>
        <w:pStyle w:val="Heading4"/>
        <w:spacing w:line="360" w:lineRule="auto"/>
      </w:pPr>
      <w:r w:rsidRPr="00CA7526">
        <w:t>Section 3</w:t>
      </w:r>
      <w:r w:rsidR="006D1185">
        <w:t xml:space="preserve"> (fixed)</w:t>
      </w:r>
      <w:r w:rsidRPr="00CA7526">
        <w:t xml:space="preserve">: Features of CRC Screening Tests </w:t>
      </w:r>
      <w:r w:rsidR="00167E80">
        <w:t>(</w:t>
      </w:r>
      <w:r w:rsidR="00167E80" w:rsidRPr="00421AF5">
        <w:rPr>
          <w:b/>
          <w:bCs w:val="0"/>
        </w:rPr>
        <w:t xml:space="preserve">Attachment </w:t>
      </w:r>
      <w:r w:rsidR="000C4907">
        <w:rPr>
          <w:b/>
          <w:bCs w:val="0"/>
        </w:rPr>
        <w:t>2</w:t>
      </w:r>
      <w:r w:rsidR="00167E80">
        <w:t xml:space="preserve"> </w:t>
      </w:r>
      <w:r w:rsidR="00167E80" w:rsidRPr="000D6765">
        <w:t>page</w:t>
      </w:r>
      <w:r w:rsidR="00167E80" w:rsidRPr="005820DF">
        <w:t>s</w:t>
      </w:r>
      <w:r w:rsidR="00167E80">
        <w:t xml:space="preserve"> 12-21)</w:t>
      </w:r>
    </w:p>
    <w:p w:rsidR="00906A4B" w:rsidRPr="00CA7526" w:rsidRDefault="0089151D" w:rsidP="007A74AD">
      <w:pPr>
        <w:pStyle w:val="BodyText1"/>
        <w:spacing w:line="360" w:lineRule="auto"/>
      </w:pPr>
      <w:r w:rsidRPr="00CA7526">
        <w:t xml:space="preserve">Respondents are introduced to attributes of </w:t>
      </w:r>
      <w:r w:rsidR="00167E80">
        <w:t>the</w:t>
      </w:r>
      <w:r w:rsidRPr="00CA7526">
        <w:t xml:space="preserve"> hypothetical CRC screening test</w:t>
      </w:r>
      <w:r w:rsidR="00167E80">
        <w:t>s</w:t>
      </w:r>
      <w:r w:rsidRPr="00CA7526">
        <w:t>. The attributes are: what can the test find</w:t>
      </w:r>
      <w:r w:rsidR="00167E80">
        <w:t xml:space="preserve"> and</w:t>
      </w:r>
      <w:r w:rsidRPr="00CA7526">
        <w:t xml:space="preserve"> </w:t>
      </w:r>
      <w:r w:rsidR="000E1070" w:rsidRPr="00CA7526">
        <w:t>how often you should take the test</w:t>
      </w:r>
      <w:r w:rsidR="000E1070">
        <w:t>,</w:t>
      </w:r>
      <w:r w:rsidR="000E1070" w:rsidRPr="00CA7526">
        <w:t xml:space="preserve"> </w:t>
      </w:r>
      <w:r w:rsidRPr="00CA7526">
        <w:t>can the test remove cancer and polyps, preparation before the test, discomfort and activity limitations during and after the test</w:t>
      </w:r>
      <w:proofErr w:type="gramStart"/>
      <w:r w:rsidRPr="00CA7526">
        <w:t>,  and</w:t>
      </w:r>
      <w:proofErr w:type="gramEnd"/>
      <w:r w:rsidRPr="00CA7526">
        <w:t xml:space="preserve"> cost of the test. Each of these attributes has multiple possible levels to them. Participants are asked a series of questions related to the attributes. The questions collect information that will be used to assess respondent</w:t>
      </w:r>
      <w:r w:rsidR="00906A4B" w:rsidRPr="00CA7526">
        <w:t>’</w:t>
      </w:r>
      <w:r w:rsidRPr="00CA7526">
        <w:t xml:space="preserve">s perceptions of screening attributes, identify potential barriers to screening, and to break up the text to make the survey more interesting to the respondent. The responses will be used to summarize information about the respondents and as variables in the analysis of the </w:t>
      </w:r>
      <w:r w:rsidR="00D5094B">
        <w:t>DCE</w:t>
      </w:r>
      <w:r w:rsidRPr="00CA7526">
        <w:t xml:space="preserve"> questions.</w:t>
      </w:r>
    </w:p>
    <w:p w:rsidR="00167E80" w:rsidRPr="00CA7526" w:rsidRDefault="0089151D" w:rsidP="007A74AD">
      <w:pPr>
        <w:pStyle w:val="Heading4"/>
        <w:spacing w:line="360" w:lineRule="auto"/>
      </w:pPr>
      <w:r w:rsidRPr="00CA7526">
        <w:t>Section 4</w:t>
      </w:r>
      <w:r w:rsidR="00872FAA">
        <w:t xml:space="preserve"> (variable)</w:t>
      </w:r>
      <w:r w:rsidRPr="00CA7526">
        <w:t xml:space="preserve">: CRC Screening Information Sheets </w:t>
      </w:r>
      <w:r w:rsidR="00167E80">
        <w:t>(</w:t>
      </w:r>
      <w:r w:rsidR="00167E80" w:rsidRPr="00421AF5">
        <w:rPr>
          <w:b/>
          <w:bCs w:val="0"/>
        </w:rPr>
        <w:t xml:space="preserve">Attachment </w:t>
      </w:r>
      <w:r w:rsidR="000C4907">
        <w:rPr>
          <w:b/>
          <w:bCs w:val="0"/>
        </w:rPr>
        <w:t>2</w:t>
      </w:r>
      <w:r w:rsidR="00167E80">
        <w:t xml:space="preserve"> </w:t>
      </w:r>
      <w:r w:rsidR="00167E80" w:rsidRPr="000D6765">
        <w:t>page</w:t>
      </w:r>
      <w:r w:rsidR="00167E80" w:rsidRPr="005820DF">
        <w:t>s</w:t>
      </w:r>
      <w:r w:rsidR="00167E80">
        <w:t xml:space="preserve"> 22-26)</w:t>
      </w:r>
    </w:p>
    <w:p w:rsidR="0089151D" w:rsidRPr="00CA7526" w:rsidRDefault="0089151D" w:rsidP="007A74AD">
      <w:pPr>
        <w:pStyle w:val="BodyText1"/>
        <w:spacing w:line="360" w:lineRule="auto"/>
      </w:pPr>
      <w:r w:rsidRPr="00CA7526">
        <w:t xml:space="preserve">The survey will have three randomly assigned information treatments. A control group will get no additional information. Two treatment groups will get different information sheets </w:t>
      </w:r>
      <w:r w:rsidRPr="00CA7526">
        <w:lastRenderedPageBreak/>
        <w:t xml:space="preserve">informing people why they should get screening tests. The survey includes two different information sheets: </w:t>
      </w:r>
      <w:r w:rsidR="00906A4B" w:rsidRPr="00CA7526">
        <w:t>“</w:t>
      </w:r>
      <w:r w:rsidRPr="00CA7526">
        <w:t>No Excuses</w:t>
      </w:r>
      <w:r w:rsidR="00906A4B" w:rsidRPr="00CA7526">
        <w:t>”</w:t>
      </w:r>
      <w:r w:rsidRPr="00CA7526">
        <w:t xml:space="preserve"> flyer and a Standard Fact Sheet. The </w:t>
      </w:r>
      <w:r w:rsidR="00906A4B" w:rsidRPr="00CA7526">
        <w:t>“</w:t>
      </w:r>
      <w:r w:rsidRPr="00CA7526">
        <w:t>No Excuses</w:t>
      </w:r>
      <w:r w:rsidR="00906A4B" w:rsidRPr="00CA7526">
        <w:t>”</w:t>
      </w:r>
      <w:r w:rsidRPr="00CA7526">
        <w:t xml:space="preserve"> flyer dispels many common reasons why people fail to get a colonoscopy. The Standard Fact Sheet provides information on benefits associated with CRC screening, and risks of CRC.</w:t>
      </w:r>
    </w:p>
    <w:p w:rsidR="0089151D" w:rsidRPr="00CA7526" w:rsidRDefault="0089151D" w:rsidP="007A74AD">
      <w:pPr>
        <w:pStyle w:val="BodyText1"/>
        <w:spacing w:line="360" w:lineRule="auto"/>
      </w:pPr>
      <w:r w:rsidRPr="00CA7526">
        <w:t>The two information sheets were developed by CDC as part of the Screen for Life materials for public health awareness campaigns (</w:t>
      </w:r>
      <w:hyperlink r:id="rId18" w:history="1">
        <w:r w:rsidR="004862B3" w:rsidRPr="00CA7526">
          <w:rPr>
            <w:rStyle w:val="Hyperlink"/>
          </w:rPr>
          <w:t>http://www.cdc.gov/cancer/colorectal/sfl/print_materials.htm</w:t>
        </w:r>
      </w:hyperlink>
      <w:r w:rsidRPr="00CA7526">
        <w:t xml:space="preserve">). The information treatments are included to test whether additional information about CRC and screening tests will make respondents more likely to say they will get tested in the future and whether the information will change their preferences over the attributes of CRC screening tests in the </w:t>
      </w:r>
      <w:r w:rsidR="00D5094B">
        <w:t>DCE</w:t>
      </w:r>
      <w:r w:rsidRPr="00CA7526">
        <w:t xml:space="preserve"> questions.</w:t>
      </w:r>
    </w:p>
    <w:p w:rsidR="00167E80" w:rsidRPr="00CA7526" w:rsidRDefault="0089151D" w:rsidP="007A74AD">
      <w:pPr>
        <w:pStyle w:val="Heading4"/>
        <w:spacing w:line="360" w:lineRule="auto"/>
      </w:pPr>
      <w:r w:rsidRPr="00CA7526">
        <w:t xml:space="preserve">Section 5: </w:t>
      </w:r>
      <w:r w:rsidR="00167E80">
        <w:t>DCE</w:t>
      </w:r>
      <w:r w:rsidRPr="00CA7526">
        <w:t xml:space="preserve"> Questions </w:t>
      </w:r>
      <w:r w:rsidR="00167E80">
        <w:t>(</w:t>
      </w:r>
      <w:r w:rsidR="000C4907">
        <w:rPr>
          <w:b/>
          <w:bCs w:val="0"/>
        </w:rPr>
        <w:t>Attachment 2</w:t>
      </w:r>
      <w:r w:rsidR="00167E80">
        <w:t xml:space="preserve"> </w:t>
      </w:r>
      <w:r w:rsidR="00167E80" w:rsidRPr="000D6765">
        <w:t>page</w:t>
      </w:r>
      <w:r w:rsidR="00167E80">
        <w:t>s 27-38)</w:t>
      </w:r>
    </w:p>
    <w:p w:rsidR="006F3463" w:rsidRPr="000C4907" w:rsidRDefault="006F3463" w:rsidP="007A74AD">
      <w:pPr>
        <w:pStyle w:val="BodyText1"/>
        <w:spacing w:line="360" w:lineRule="auto"/>
      </w:pPr>
      <w:r w:rsidRPr="00167E80">
        <w:t xml:space="preserve">The survey instrument includes 5 </w:t>
      </w:r>
      <w:r w:rsidR="00D5094B" w:rsidRPr="00167E80">
        <w:t>DCE</w:t>
      </w:r>
      <w:r w:rsidRPr="00167E80">
        <w:t xml:space="preserve"> questions (</w:t>
      </w:r>
      <w:r w:rsidR="00167E80">
        <w:t>labeled Choi</w:t>
      </w:r>
      <w:r w:rsidR="00CB17A4">
        <w:t>ce 1 to Choice 5 in Attachment 2</w:t>
      </w:r>
      <w:r w:rsidRPr="00167E80">
        <w:t xml:space="preserve">). </w:t>
      </w:r>
      <w:r w:rsidR="0089151D" w:rsidRPr="00167E80">
        <w:t>Respondents will</w:t>
      </w:r>
      <w:r w:rsidR="00167E80">
        <w:t xml:space="preserve"> be</w:t>
      </w:r>
      <w:r w:rsidR="0089151D" w:rsidRPr="00167E80">
        <w:t xml:space="preserve"> randomly assigned one of the </w:t>
      </w:r>
      <w:r w:rsidR="00D858E0" w:rsidRPr="00167E80">
        <w:t xml:space="preserve">ten </w:t>
      </w:r>
      <w:r w:rsidR="0089151D" w:rsidRPr="00167E80">
        <w:t xml:space="preserve">sets of 5 </w:t>
      </w:r>
      <w:r w:rsidR="00D5094B" w:rsidRPr="00167E80">
        <w:t>DCE</w:t>
      </w:r>
      <w:r w:rsidR="0089151D" w:rsidRPr="00167E80">
        <w:t xml:space="preserve"> questions that present a choice between two hypothetical CRC screening tests. The tests are described by the attributes presented in Section 3 of the survey</w:t>
      </w:r>
      <w:r w:rsidRPr="00167E80">
        <w:t xml:space="preserve"> (see Exhibit A.1)</w:t>
      </w:r>
      <w:r w:rsidR="0089151D" w:rsidRPr="00167E80">
        <w:t xml:space="preserve">. The attribute levels will vary across respondents according to the experimental design. </w:t>
      </w:r>
      <w:r w:rsidRPr="00B21F87">
        <w:rPr>
          <w:b/>
          <w:bCs/>
        </w:rPr>
        <w:t>Attachment</w:t>
      </w:r>
      <w:r w:rsidR="000C4907">
        <w:rPr>
          <w:b/>
          <w:bCs/>
        </w:rPr>
        <w:t xml:space="preserve"> 3</w:t>
      </w:r>
      <w:r w:rsidRPr="00B21F87">
        <w:t xml:space="preserve"> contains the experimental design showing the attribute levels for all </w:t>
      </w:r>
      <w:r w:rsidR="000C4907">
        <w:t>ten</w:t>
      </w:r>
      <w:r w:rsidRPr="000C4907">
        <w:t xml:space="preserve"> sets of 5 questions.</w:t>
      </w:r>
    </w:p>
    <w:p w:rsidR="00906A4B" w:rsidRPr="00CA7526" w:rsidRDefault="0089151D" w:rsidP="007A74AD">
      <w:pPr>
        <w:pStyle w:val="BodyText1"/>
        <w:spacing w:line="360" w:lineRule="auto"/>
      </w:pPr>
      <w:r w:rsidRPr="00CA7526">
        <w:t xml:space="preserve">Before the </w:t>
      </w:r>
      <w:r w:rsidR="00D5094B">
        <w:t>DCE</w:t>
      </w:r>
      <w:r w:rsidRPr="00CA7526">
        <w:t xml:space="preserve"> questions, we included a script emphasizing the potential for hypothetical bias, a bias that arises when people answer questions about hypothetical situations differently than if they faced an identical real choice. Such scripts, known as </w:t>
      </w:r>
      <w:r w:rsidR="00906A4B" w:rsidRPr="00CA7526">
        <w:t>“</w:t>
      </w:r>
      <w:r w:rsidRPr="00CA7526">
        <w:t>cheap talk</w:t>
      </w:r>
      <w:r w:rsidR="00906A4B" w:rsidRPr="00CA7526">
        <w:t>”</w:t>
      </w:r>
      <w:r w:rsidRPr="00CA7526">
        <w:t xml:space="preserve"> scripts, have been found in some studies to reduce hypothetical bias in responses (for example, see Cummings and Taylor, 1999 and Landry and List, 2007).</w:t>
      </w:r>
    </w:p>
    <w:p w:rsidR="00906A4B" w:rsidRPr="00CA7526" w:rsidRDefault="0089151D" w:rsidP="007A74AD">
      <w:pPr>
        <w:pStyle w:val="BodyText1"/>
        <w:spacing w:line="360" w:lineRule="auto"/>
      </w:pPr>
      <w:r w:rsidRPr="00CA7526">
        <w:t xml:space="preserve">The </w:t>
      </w:r>
      <w:r w:rsidR="00D5094B">
        <w:t>DCE</w:t>
      </w:r>
      <w:r w:rsidRPr="00CA7526">
        <w:t xml:space="preserve"> questions ask the respondent to select their preferred test. After each question, there are 3 follow-up questions.</w:t>
      </w:r>
    </w:p>
    <w:p w:rsidR="00906A4B" w:rsidRPr="00CA7526" w:rsidRDefault="0089151D" w:rsidP="00831D1F">
      <w:pPr>
        <w:pStyle w:val="bullets"/>
      </w:pPr>
      <w:r w:rsidRPr="00CA7526">
        <w:t>First, the respondent is asked whether they would get the test they preferred if it were the only test available.</w:t>
      </w:r>
    </w:p>
    <w:p w:rsidR="0089151D" w:rsidRPr="00CA7526" w:rsidRDefault="0089151D" w:rsidP="00831D1F">
      <w:pPr>
        <w:pStyle w:val="bullets"/>
      </w:pPr>
      <w:r w:rsidRPr="00CA7526">
        <w:t xml:space="preserve">Next, the respondent is asked how certain they are of their response. Past research suggests that highly certain responses are associated with lower hypothetical bias (see Champ et al., 1997, who used voluntary donations to an environmental </w:t>
      </w:r>
      <w:proofErr w:type="gramStart"/>
      <w:r w:rsidRPr="00CA7526">
        <w:t>good,</w:t>
      </w:r>
      <w:proofErr w:type="gramEnd"/>
      <w:r w:rsidRPr="00CA7526">
        <w:t xml:space="preserve"> and </w:t>
      </w:r>
      <w:proofErr w:type="spellStart"/>
      <w:r w:rsidRPr="00CA7526">
        <w:lastRenderedPageBreak/>
        <w:t>Blumenschein</w:t>
      </w:r>
      <w:proofErr w:type="spellEnd"/>
      <w:r w:rsidRPr="00CA7526">
        <w:t xml:space="preserve"> et al., 2008, who looked at a diabetes management program). The responses will be used to assess the sensitivity of the results to different assumptions about whether a respondent would really get the test or not based on their stated certainty.</w:t>
      </w:r>
    </w:p>
    <w:p w:rsidR="0089151D" w:rsidRPr="00CA7526" w:rsidRDefault="0089151D" w:rsidP="00831D1F">
      <w:pPr>
        <w:pStyle w:val="bullets"/>
      </w:pPr>
      <w:r w:rsidRPr="00CA7526">
        <w:t>Finally, if the preferred test is recommended for every year, respondents are reminded of the cost and asked whether they would really get the test every year. This question was added after pretesting suggested respondents were ignoring the recommended frequency was yearly and the cost was high.</w:t>
      </w:r>
    </w:p>
    <w:p w:rsidR="00906A4B" w:rsidRPr="00CA7526" w:rsidRDefault="0089151D" w:rsidP="00F42D12">
      <w:pPr>
        <w:pStyle w:val="BodyText1"/>
        <w:spacing w:line="360" w:lineRule="auto"/>
      </w:pPr>
      <w:r w:rsidRPr="00CA7526">
        <w:t xml:space="preserve">The responses to the </w:t>
      </w:r>
      <w:r w:rsidR="00D5094B">
        <w:t>DCE</w:t>
      </w:r>
      <w:r w:rsidRPr="00CA7526">
        <w:t xml:space="preserve"> questions will be analyzed to provide quantitative preference weights to rank the attributes and attribute levels and to test for significant differences between attribute levels. The weights can be used to rank tests with different characteristics and to predict the percent of the sample that would get a test with a specific set of characteristics. By interacting responses to other questions with the </w:t>
      </w:r>
      <w:r w:rsidR="00D5094B">
        <w:t>DCE</w:t>
      </w:r>
      <w:r w:rsidRPr="00CA7526">
        <w:t xml:space="preserve"> responses, we can test whether respondent</w:t>
      </w:r>
      <w:r w:rsidR="00906A4B" w:rsidRPr="00CA7526">
        <w:t>’</w:t>
      </w:r>
      <w:r w:rsidRPr="00CA7526">
        <w:t>s characteristics and opinions or the information treatments influence preferences for tests with different attributes and the probability of getting a test.</w:t>
      </w:r>
    </w:p>
    <w:p w:rsidR="0089151D" w:rsidRPr="00CA7526" w:rsidRDefault="0089151D" w:rsidP="00F42D12">
      <w:pPr>
        <w:pStyle w:val="Heading4"/>
        <w:spacing w:line="360" w:lineRule="auto"/>
      </w:pPr>
      <w:r w:rsidRPr="00CA7526">
        <w:t xml:space="preserve">Section 6: History with CRC screening and perceptions about tests </w:t>
      </w:r>
      <w:r w:rsidR="000C4907">
        <w:t>(</w:t>
      </w:r>
      <w:r w:rsidR="000C4907">
        <w:rPr>
          <w:b/>
          <w:bCs w:val="0"/>
        </w:rPr>
        <w:t>Attachment 2</w:t>
      </w:r>
      <w:r w:rsidR="000C4907">
        <w:t xml:space="preserve"> </w:t>
      </w:r>
      <w:r w:rsidR="000C4907" w:rsidRPr="000D6765">
        <w:t>page</w:t>
      </w:r>
      <w:r w:rsidR="000C4907" w:rsidRPr="00B176D3">
        <w:t>s</w:t>
      </w:r>
      <w:r w:rsidR="000C4907">
        <w:t xml:space="preserve"> 39-52)</w:t>
      </w:r>
    </w:p>
    <w:p w:rsidR="0089151D" w:rsidRPr="00CA7526" w:rsidRDefault="0089151D" w:rsidP="00F42D12">
      <w:pPr>
        <w:pStyle w:val="BodyText1"/>
        <w:spacing w:line="360" w:lineRule="auto"/>
      </w:pPr>
      <w:r w:rsidRPr="00CA7526">
        <w:t xml:space="preserve">Respondents are asked questions about past CRC screening tests that have been recommended, which tests they got, and the reasons they have or have not received </w:t>
      </w:r>
      <w:r w:rsidR="0068387F">
        <w:t xml:space="preserve">a </w:t>
      </w:r>
      <w:r w:rsidRPr="00CA7526">
        <w:t xml:space="preserve">different screening test. These questions will provide information on what tests doctors are recommending, what tests respondents are getting, their reported reasons for not getting tests and their perceptions of what it is like to get a colonoscopy. They will be used as variables in the analysis of the </w:t>
      </w:r>
      <w:r w:rsidR="00D5094B">
        <w:t>DCE</w:t>
      </w:r>
      <w:r w:rsidRPr="00CA7526">
        <w:t xml:space="preserve"> questions and to help CDC understand factors affecting screening behavior.</w:t>
      </w:r>
    </w:p>
    <w:p w:rsidR="0089151D" w:rsidRPr="00CA7526" w:rsidRDefault="0089151D" w:rsidP="00F42D12">
      <w:pPr>
        <w:pStyle w:val="BodyText1"/>
        <w:spacing w:line="360" w:lineRule="auto"/>
      </w:pPr>
      <w:r w:rsidRPr="00CA7526">
        <w:t xml:space="preserve">As part of the survey, we will also collect revealed preference data on actual experiences with CRC screening to compare with the responses to the SP </w:t>
      </w:r>
      <w:r w:rsidR="00D5094B">
        <w:t>DCE</w:t>
      </w:r>
      <w:r w:rsidRPr="00CA7526">
        <w:t xml:space="preserve"> questions. Participants who have had colonoscopies are asked to detail their experiences with a colonoscopy based on the attributes used in the </w:t>
      </w:r>
      <w:r w:rsidR="00D5094B">
        <w:t>DCE</w:t>
      </w:r>
      <w:r w:rsidRPr="00CA7526">
        <w:t xml:space="preserve"> questions. Respondents who have not had colonoscopies are asked to use the attributes from the </w:t>
      </w:r>
      <w:r w:rsidR="00D5094B">
        <w:t>DCE</w:t>
      </w:r>
      <w:r w:rsidRPr="00CA7526">
        <w:t xml:space="preserve"> questions to describe what they think the test will be like.</w:t>
      </w:r>
      <w:r w:rsidR="00906A4B" w:rsidRPr="00CA7526">
        <w:t xml:space="preserve"> </w:t>
      </w:r>
      <w:r w:rsidRPr="00CA7526">
        <w:t xml:space="preserve">The data on actual experiences and expected experiences can be analyzed jointly with the </w:t>
      </w:r>
      <w:r w:rsidR="00D5094B">
        <w:t>DCE</w:t>
      </w:r>
      <w:r w:rsidRPr="00CA7526">
        <w:t xml:space="preserve"> data to look at how experience affects preferences.</w:t>
      </w:r>
    </w:p>
    <w:p w:rsidR="0089151D" w:rsidRPr="00CA7526" w:rsidRDefault="0089151D" w:rsidP="00F42D12">
      <w:pPr>
        <w:pStyle w:val="Heading4"/>
        <w:spacing w:line="360" w:lineRule="auto"/>
      </w:pPr>
      <w:r w:rsidRPr="00CA7526">
        <w:lastRenderedPageBreak/>
        <w:t xml:space="preserve">Section 7: Health and health behaviors </w:t>
      </w:r>
      <w:r w:rsidR="000C4907">
        <w:t>(</w:t>
      </w:r>
      <w:r w:rsidR="000C4907">
        <w:rPr>
          <w:b/>
          <w:bCs w:val="0"/>
        </w:rPr>
        <w:t>Attachment 2</w:t>
      </w:r>
      <w:r w:rsidR="000C4907">
        <w:t xml:space="preserve"> </w:t>
      </w:r>
      <w:r w:rsidR="000C4907" w:rsidRPr="000D6765">
        <w:t>page</w:t>
      </w:r>
      <w:r w:rsidR="000C4907" w:rsidRPr="00554CD2">
        <w:t>s</w:t>
      </w:r>
      <w:r w:rsidR="000C4907">
        <w:t xml:space="preserve"> 53-65)</w:t>
      </w:r>
    </w:p>
    <w:p w:rsidR="0089151D" w:rsidRPr="00CA7526" w:rsidRDefault="0089151D" w:rsidP="00F42D12">
      <w:pPr>
        <w:pStyle w:val="BodyText1"/>
        <w:spacing w:line="360" w:lineRule="auto"/>
      </w:pPr>
      <w:r w:rsidRPr="00CA7526">
        <w:t>The final section includes questions about health and health behaviors. These questions will be used to calculate an objective measure of the respondent</w:t>
      </w:r>
      <w:r w:rsidR="00906A4B" w:rsidRPr="00CA7526">
        <w:t>’</w:t>
      </w:r>
      <w:r w:rsidRPr="00CA7526">
        <w:t xml:space="preserve">s risk of CRC cancer and provide information on overall health and access to medical care. The responses will be used to characterize the survey </w:t>
      </w:r>
      <w:r w:rsidR="009A27F1">
        <w:t xml:space="preserve">sample </w:t>
      </w:r>
      <w:r w:rsidRPr="00CA7526">
        <w:t xml:space="preserve">and as variables in the analysis of the </w:t>
      </w:r>
      <w:r w:rsidR="00D5094B">
        <w:t>DCE</w:t>
      </w:r>
      <w:r w:rsidRPr="00CA7526">
        <w:t xml:space="preserve"> data.</w:t>
      </w:r>
    </w:p>
    <w:p w:rsidR="00E7030A" w:rsidRDefault="00E7030A" w:rsidP="00F42D12">
      <w:pPr>
        <w:pStyle w:val="Heading4"/>
        <w:spacing w:line="360" w:lineRule="auto"/>
      </w:pPr>
      <w:r>
        <w:t>Questions from Other Surveys</w:t>
      </w:r>
    </w:p>
    <w:p w:rsidR="00E7030A" w:rsidRDefault="00E7030A" w:rsidP="007A74AD">
      <w:pPr>
        <w:spacing w:line="360" w:lineRule="auto"/>
      </w:pPr>
      <w:r>
        <w:tab/>
        <w:t xml:space="preserve">The survey includes a number of questions that are also used in other surveys. </w:t>
      </w:r>
      <w:r w:rsidR="00C6293D" w:rsidRPr="00C6293D">
        <w:t>Section A.4 contains a list of the questions that came from other surveys and the sources. The q</w:t>
      </w:r>
      <w:r w:rsidR="00C6293D">
        <w:t xml:space="preserve">uestions were included to provide external comparisons and broaden the usefulness of the survey. The questions from the </w:t>
      </w:r>
      <w:r w:rsidR="007A74AD">
        <w:t>CRC</w:t>
      </w:r>
      <w:r w:rsidR="00C6293D">
        <w:t xml:space="preserve"> risk calculator were included to provide an objective measure of </w:t>
      </w:r>
      <w:r w:rsidR="009A27F1">
        <w:t>CRC</w:t>
      </w:r>
      <w:r w:rsidR="00C6293D">
        <w:t xml:space="preserve"> risk for each respondent.</w:t>
      </w:r>
    </w:p>
    <w:p w:rsidR="00C6293D" w:rsidRDefault="00C6293D" w:rsidP="00F42D12">
      <w:pPr>
        <w:spacing w:line="360" w:lineRule="auto"/>
      </w:pPr>
    </w:p>
    <w:p w:rsidR="0089151D" w:rsidRPr="00CA7526" w:rsidRDefault="0089151D" w:rsidP="00F42D12">
      <w:pPr>
        <w:pStyle w:val="Heading4"/>
        <w:spacing w:line="360" w:lineRule="auto"/>
      </w:pPr>
      <w:r w:rsidRPr="00CA7526">
        <w:t>Identification of Website(s) and Website Content Directed at Children Under 13 Years of Age</w:t>
      </w:r>
    </w:p>
    <w:p w:rsidR="0089151D" w:rsidRPr="00CA7526" w:rsidRDefault="0089151D" w:rsidP="00F42D12">
      <w:pPr>
        <w:pStyle w:val="BodyText1"/>
        <w:spacing w:line="360" w:lineRule="auto"/>
        <w:rPr>
          <w:b/>
          <w:bCs/>
        </w:rPr>
      </w:pPr>
      <w:r w:rsidRPr="00CA7526">
        <w:t xml:space="preserve">Target respondents are </w:t>
      </w:r>
      <w:proofErr w:type="gramStart"/>
      <w:r w:rsidRPr="00CA7526">
        <w:t>adults</w:t>
      </w:r>
      <w:proofErr w:type="gramEnd"/>
      <w:r w:rsidRPr="00CA7526">
        <w:t xml:space="preserve"> ages </w:t>
      </w:r>
      <w:r w:rsidR="00D5094B">
        <w:t>50</w:t>
      </w:r>
      <w:r w:rsidRPr="00CA7526">
        <w:t xml:space="preserve"> to 75 years. KN</w:t>
      </w:r>
      <w:r w:rsidR="00906A4B" w:rsidRPr="00CA7526">
        <w:t>’</w:t>
      </w:r>
      <w:r w:rsidRPr="00CA7526">
        <w:t xml:space="preserve">s Web-based survey will only be accessible to participants of the study. There is no Website content directed at children </w:t>
      </w:r>
      <w:proofErr w:type="gramStart"/>
      <w:r w:rsidRPr="00CA7526">
        <w:t>under</w:t>
      </w:r>
      <w:proofErr w:type="gramEnd"/>
      <w:r w:rsidRPr="00CA7526">
        <w:t xml:space="preserve"> 13 years of age.</w:t>
      </w:r>
    </w:p>
    <w:p w:rsidR="00495ADF" w:rsidRPr="00CA7526" w:rsidRDefault="00495ADF" w:rsidP="00F42D12">
      <w:pPr>
        <w:pStyle w:val="Heading2"/>
        <w:spacing w:line="360" w:lineRule="auto"/>
      </w:pPr>
      <w:bookmarkStart w:id="7" w:name="_Toc88033460"/>
      <w:bookmarkStart w:id="8" w:name="_Toc371431211"/>
      <w:r w:rsidRPr="00CA7526">
        <w:t>A.2</w:t>
      </w:r>
      <w:r w:rsidRPr="00CA7526">
        <w:tab/>
        <w:t>Purposes and Use of the Information</w:t>
      </w:r>
      <w:bookmarkEnd w:id="7"/>
      <w:r w:rsidRPr="00CA7526">
        <w:t xml:space="preserve"> Collection</w:t>
      </w:r>
      <w:bookmarkEnd w:id="8"/>
    </w:p>
    <w:p w:rsidR="0089151D" w:rsidRPr="00CA7526" w:rsidRDefault="0089151D" w:rsidP="007A74AD">
      <w:pPr>
        <w:pStyle w:val="BodyText1"/>
        <w:spacing w:line="360" w:lineRule="auto"/>
      </w:pPr>
      <w:r w:rsidRPr="00CA7526">
        <w:t xml:space="preserve">The information from the Colorectal Cancer Screening Survey will help CDC, the wider public health community and </w:t>
      </w:r>
      <w:r w:rsidR="005820DF">
        <w:t>health care</w:t>
      </w:r>
      <w:r w:rsidRPr="00CA7526">
        <w:t xml:space="preserve"> providers better understand </w:t>
      </w:r>
      <w:r w:rsidR="000C4907">
        <w:t>the preferences eligible populations have regarding CRC screening.</w:t>
      </w:r>
      <w:r w:rsidRPr="00CA7526">
        <w:t xml:space="preserve"> Specifically, the survey will</w:t>
      </w:r>
    </w:p>
    <w:p w:rsidR="0089151D" w:rsidRPr="00CA7526" w:rsidRDefault="0089151D" w:rsidP="00831D1F">
      <w:pPr>
        <w:pStyle w:val="bullets"/>
      </w:pPr>
      <w:r w:rsidRPr="00CA7526">
        <w:t>Provide quantitative preference weights for the attributes of screening tests to assess how people view the attributes and tests and the rate at which they would be able to trade-off improvements in one attribute over another.</w:t>
      </w:r>
    </w:p>
    <w:p w:rsidR="0089151D" w:rsidRPr="00CA7526" w:rsidRDefault="0089151D" w:rsidP="00831D1F">
      <w:pPr>
        <w:pStyle w:val="bullets"/>
      </w:pPr>
      <w:r w:rsidRPr="00CA7526">
        <w:t>Understand how respondent</w:t>
      </w:r>
      <w:r w:rsidR="00906A4B" w:rsidRPr="00CA7526">
        <w:t>’</w:t>
      </w:r>
      <w:r w:rsidRPr="00CA7526">
        <w:t>s objective CRC risk and their subjective perception of that risk affect their desire to get screened.</w:t>
      </w:r>
    </w:p>
    <w:p w:rsidR="00906A4B" w:rsidRPr="00CA7526" w:rsidRDefault="0089151D" w:rsidP="00831D1F">
      <w:pPr>
        <w:pStyle w:val="bullets"/>
      </w:pPr>
      <w:r w:rsidRPr="00CA7526">
        <w:t xml:space="preserve">Understand how past screening behavior and </w:t>
      </w:r>
      <w:r w:rsidR="00CA7526" w:rsidRPr="00CA7526">
        <w:t>perceptions</w:t>
      </w:r>
      <w:r w:rsidRPr="00CA7526">
        <w:t xml:space="preserve"> of screening tests affect willingness to be screened and the weight they place on different attributes of screening tests.</w:t>
      </w:r>
    </w:p>
    <w:p w:rsidR="0089151D" w:rsidRPr="00CA7526" w:rsidRDefault="0089151D" w:rsidP="00831D1F">
      <w:pPr>
        <w:pStyle w:val="bullets"/>
      </w:pPr>
      <w:r w:rsidRPr="00CA7526">
        <w:lastRenderedPageBreak/>
        <w:t>Assess the impact of fact sheets on CRC screening developed by CDC as part of the Screen for Life program.</w:t>
      </w:r>
    </w:p>
    <w:p w:rsidR="0089151D" w:rsidRPr="00CA7526" w:rsidRDefault="0089151D" w:rsidP="00831D1F">
      <w:pPr>
        <w:pStyle w:val="bullets"/>
      </w:pPr>
      <w:r w:rsidRPr="00CA7526">
        <w:t>Identify barriers to screening in terms of test attributes, attitudes and past experience.</w:t>
      </w:r>
    </w:p>
    <w:p w:rsidR="0089151D" w:rsidRDefault="0089151D" w:rsidP="00F42D12">
      <w:pPr>
        <w:pStyle w:val="BodyText1"/>
        <w:spacing w:line="360" w:lineRule="auto"/>
      </w:pPr>
      <w:r w:rsidRPr="00CA7526">
        <w:t>The information from this survey will be useful in the design</w:t>
      </w:r>
      <w:r w:rsidR="008E70F2">
        <w:t>, development, and implementation</w:t>
      </w:r>
      <w:r w:rsidRPr="00CA7526">
        <w:t xml:space="preserve"> of public health interventions that can improve cancer screening rates. Under the Affordable Care Act, most people will have access to CRC screening at no cost, although there will still be some cases where people will have a co-pay.</w:t>
      </w:r>
      <w:r w:rsidR="00906A4B" w:rsidRPr="00CA7526">
        <w:t xml:space="preserve"> </w:t>
      </w:r>
      <w:r w:rsidRPr="00CA7526">
        <w:t xml:space="preserve">Because cost will be an attribute of the screening tests included in the survey, the survey will provide information on the extent to which cost is a significant barrier to screening relative to other test attributes. Right now, CDC </w:t>
      </w:r>
      <w:r w:rsidR="000C4907">
        <w:t>devotes most of its funding</w:t>
      </w:r>
      <w:r w:rsidRPr="00CA7526">
        <w:t xml:space="preserve"> on </w:t>
      </w:r>
      <w:r w:rsidR="008448C8">
        <w:t xml:space="preserve">population-based evidence-driven </w:t>
      </w:r>
      <w:r w:rsidRPr="00CA7526">
        <w:t xml:space="preserve">screening promotion activities, such as </w:t>
      </w:r>
      <w:r w:rsidR="00B60988">
        <w:t xml:space="preserve">group </w:t>
      </w:r>
      <w:r w:rsidRPr="00CA7526">
        <w:t>education, and less money on actual provision of screening tests. The information from the survey will help identify barriers and educational opportunities to address through screening promotion programs.</w:t>
      </w:r>
    </w:p>
    <w:p w:rsidR="002830E4" w:rsidRDefault="002830E4" w:rsidP="007A74AD">
      <w:pPr>
        <w:spacing w:line="360" w:lineRule="auto"/>
        <w:ind w:firstLine="720"/>
      </w:pPr>
      <w:r w:rsidRPr="00776503">
        <w:rPr>
          <w:rFonts w:asciiTheme="majorBidi" w:hAnsiTheme="majorBidi" w:cstheme="majorBidi"/>
        </w:rPr>
        <w:t xml:space="preserve">The information will be useful not just for CDC, but for </w:t>
      </w:r>
      <w:r>
        <w:rPr>
          <w:rFonts w:asciiTheme="majorBidi" w:hAnsiTheme="majorBidi" w:cstheme="majorBidi"/>
        </w:rPr>
        <w:t>other researchers and agencies as well. For example, t</w:t>
      </w:r>
      <w:r w:rsidRPr="00776503">
        <w:rPr>
          <w:rFonts w:asciiTheme="majorBidi" w:hAnsiTheme="majorBidi" w:cstheme="majorBidi"/>
        </w:rPr>
        <w:t xml:space="preserve">he Centers </w:t>
      </w:r>
      <w:r w:rsidRPr="0062693A">
        <w:rPr>
          <w:rFonts w:asciiTheme="majorBidi" w:hAnsiTheme="majorBidi" w:cstheme="majorBidi"/>
        </w:rPr>
        <w:t xml:space="preserve">for Medicare </w:t>
      </w:r>
      <w:r>
        <w:rPr>
          <w:rFonts w:asciiTheme="majorBidi" w:hAnsiTheme="majorBidi" w:cstheme="majorBidi"/>
        </w:rPr>
        <w:t>and</w:t>
      </w:r>
      <w:r w:rsidRPr="0062693A">
        <w:rPr>
          <w:rFonts w:asciiTheme="majorBidi" w:hAnsiTheme="majorBidi" w:cstheme="majorBidi"/>
        </w:rPr>
        <w:t xml:space="preserve"> Medicaid Service</w:t>
      </w:r>
      <w:r>
        <w:rPr>
          <w:rFonts w:asciiTheme="majorBidi" w:hAnsiTheme="majorBidi" w:cstheme="majorBidi"/>
        </w:rPr>
        <w:t xml:space="preserve"> (is also interested in increasing screening among the Medicare population. </w:t>
      </w:r>
      <w:r>
        <w:t>While Medicare covers several CRC screening tests, the uptake of screening remains below the 2020 target of 70.5%. Understanding individual</w:t>
      </w:r>
      <w:r w:rsidR="007A74AD">
        <w:t>’</w:t>
      </w:r>
      <w:r>
        <w:t xml:space="preserve">s </w:t>
      </w:r>
      <w:r w:rsidR="009A27F1">
        <w:t>preferences regarding CRC</w:t>
      </w:r>
      <w:r>
        <w:t xml:space="preserve"> screening would be helpful to eliminating existing barriers and implementing appropriate programs to increase screening which has been shown to reduce mortality and, in some instances, prevent cancer. The planned CDC study will produce valuable information to assist in optimizing screening for the general U.S. </w:t>
      </w:r>
      <w:r w:rsidR="008442BC">
        <w:t xml:space="preserve">eligible </w:t>
      </w:r>
      <w:r>
        <w:t>population.</w:t>
      </w:r>
    </w:p>
    <w:p w:rsidR="002830E4" w:rsidRPr="00CA7526" w:rsidRDefault="002830E4" w:rsidP="00F42D12">
      <w:pPr>
        <w:pStyle w:val="BodyText1"/>
        <w:spacing w:line="360" w:lineRule="auto"/>
      </w:pPr>
    </w:p>
    <w:p w:rsidR="0089151D" w:rsidRPr="00CA7526" w:rsidRDefault="00831D1F" w:rsidP="00F42D12">
      <w:pPr>
        <w:pStyle w:val="Heading3"/>
        <w:spacing w:line="360" w:lineRule="auto"/>
        <w:rPr>
          <w:lang w:val="en-US"/>
        </w:rPr>
      </w:pPr>
      <w:bookmarkStart w:id="9" w:name="_Toc371431212"/>
      <w:r w:rsidRPr="00CA7526">
        <w:rPr>
          <w:lang w:val="en-US"/>
        </w:rPr>
        <w:t>A.2.1</w:t>
      </w:r>
      <w:r w:rsidRPr="00CA7526">
        <w:rPr>
          <w:lang w:val="en-US"/>
        </w:rPr>
        <w:tab/>
      </w:r>
      <w:r w:rsidR="0089151D" w:rsidRPr="00CA7526">
        <w:rPr>
          <w:lang w:val="en-US"/>
        </w:rPr>
        <w:t>Privacy Impact Assessment Information</w:t>
      </w:r>
      <w:bookmarkEnd w:id="9"/>
    </w:p>
    <w:p w:rsidR="0089151D" w:rsidRPr="00CA7526" w:rsidRDefault="0089151D" w:rsidP="00F42D12">
      <w:pPr>
        <w:pStyle w:val="BodyText1"/>
        <w:spacing w:line="360" w:lineRule="auto"/>
      </w:pPr>
      <w:r w:rsidRPr="00CA7526">
        <w:t xml:space="preserve">The survey instrument will not collect Information in Identifiable Form (IIF). The data collection partner, KN, maintains IIF on its web survey panel (the </w:t>
      </w:r>
      <w:proofErr w:type="spellStart"/>
      <w:r w:rsidRPr="00CA7526">
        <w:t>KnowledgePanel</w:t>
      </w:r>
      <w:proofErr w:type="spellEnd"/>
      <w:r w:rsidRPr="00CA7526">
        <w:t xml:space="preserve">®). This information is not being collected anew for this research study. Under subcontract to RTI, KN will use contact information to draw a nationally representative survey sample in the target age range and to issue unique, secure invitations to sampled individuals. IIF will not be included in the data released to RTI or CDC. The survey collects only non-sensitive information: </w:t>
      </w:r>
      <w:proofErr w:type="spellStart"/>
      <w:r w:rsidRPr="00CA7526">
        <w:lastRenderedPageBreak/>
        <w:t>sociodemographics</w:t>
      </w:r>
      <w:proofErr w:type="spellEnd"/>
      <w:r w:rsidRPr="00CA7526">
        <w:t>, past CRC screening questions, and prospective questions surrounding screenings.</w:t>
      </w:r>
    </w:p>
    <w:p w:rsidR="0089151D" w:rsidRPr="00CA7526" w:rsidRDefault="0089151D" w:rsidP="00F42D12">
      <w:pPr>
        <w:pStyle w:val="BodyText1"/>
        <w:spacing w:line="360" w:lineRule="auto"/>
      </w:pPr>
      <w:r w:rsidRPr="00CA7526">
        <w:t>Participants who become part of KN</w:t>
      </w:r>
      <w:r w:rsidR="00906A4B" w:rsidRPr="00CA7526">
        <w:t>’</w:t>
      </w:r>
      <w:r w:rsidRPr="00CA7526">
        <w:t xml:space="preserve">s panel, and therefore become eligible to complete surveys, are given a copy of the KN </w:t>
      </w:r>
      <w:hyperlink r:id="rId19" w:history="1">
        <w:r w:rsidRPr="00CA7526">
          <w:rPr>
            <w:rStyle w:val="Hyperlink"/>
          </w:rPr>
          <w:t>Privacy and Term of Use Policy</w:t>
        </w:r>
      </w:hyperlink>
      <w:r w:rsidRPr="00CA7526">
        <w:rPr>
          <w:rStyle w:val="Hyperlink"/>
        </w:rPr>
        <w:t xml:space="preserve"> </w:t>
      </w:r>
      <w:r w:rsidRPr="00CA7526">
        <w:t>outlining what information is collected and how it is used, and data security procedures. The document also explains how panel members can update, restrict, or remove their personal information and how they can quit the panel and ask for data to be destroyed.</w:t>
      </w:r>
    </w:p>
    <w:p w:rsidR="0089151D" w:rsidRPr="00CA7526" w:rsidRDefault="0089151D" w:rsidP="007A74AD">
      <w:pPr>
        <w:pStyle w:val="BodyText1"/>
        <w:spacing w:line="360" w:lineRule="auto"/>
      </w:pPr>
      <w:r w:rsidRPr="00CA7526">
        <w:t xml:space="preserve">The data collection partner, KN, also allows respondents to resume a survey that is suspended if respondents feel uncomfortable or need to take a break in the middle of the administration. </w:t>
      </w:r>
      <w:r w:rsidR="001166C0">
        <w:t>A</w:t>
      </w:r>
      <w:r w:rsidRPr="00CA7526">
        <w:t xml:space="preserve">ll respondents </w:t>
      </w:r>
      <w:r w:rsidR="001166C0">
        <w:t xml:space="preserve">will be </w:t>
      </w:r>
      <w:r w:rsidR="008442BC">
        <w:t>at least 50</w:t>
      </w:r>
      <w:r w:rsidRPr="00CA7526">
        <w:t xml:space="preserve"> years of age,</w:t>
      </w:r>
      <w:r w:rsidR="001166C0">
        <w:t xml:space="preserve"> and participation is voluntary</w:t>
      </w:r>
      <w:r w:rsidRPr="00CA7526">
        <w:t>. Finally, since respondents use their own computers (or computers provided by KN) to complete surveys, they are able to complete the survey at their leisure, selecting the most convenient time and comfortable setting from which to complete the survey.</w:t>
      </w:r>
    </w:p>
    <w:p w:rsidR="00495ADF" w:rsidRPr="00CA7526" w:rsidRDefault="00495ADF" w:rsidP="00F42D12">
      <w:pPr>
        <w:pStyle w:val="Heading2"/>
        <w:spacing w:line="360" w:lineRule="auto"/>
      </w:pPr>
      <w:bookmarkStart w:id="10" w:name="_Toc88033467"/>
      <w:bookmarkStart w:id="11" w:name="_Toc371431213"/>
      <w:r w:rsidRPr="00CA7526">
        <w:t>A.3</w:t>
      </w:r>
      <w:r w:rsidRPr="00CA7526">
        <w:tab/>
      </w:r>
      <w:bookmarkEnd w:id="10"/>
      <w:r w:rsidRPr="00CA7526">
        <w:t>Use of Improved Information Technology and Burden Reduction</w:t>
      </w:r>
      <w:bookmarkEnd w:id="11"/>
    </w:p>
    <w:p w:rsidR="0089151D" w:rsidRPr="00CA7526" w:rsidRDefault="0089151D" w:rsidP="00F42D12">
      <w:pPr>
        <w:pStyle w:val="BodyText1"/>
        <w:spacing w:line="360" w:lineRule="auto"/>
      </w:pPr>
      <w:r w:rsidRPr="00CA7526">
        <w:t>This study will rely on Web surveys to be self-administered at home on personal computers. The Web panel we are using for this study is KN</w:t>
      </w:r>
      <w:r w:rsidR="00906A4B" w:rsidRPr="00CA7526">
        <w:t>’</w:t>
      </w:r>
      <w:r w:rsidRPr="00CA7526">
        <w:t xml:space="preserve">s </w:t>
      </w:r>
      <w:proofErr w:type="spellStart"/>
      <w:r w:rsidRPr="00CA7526">
        <w:t>KnowledgePanel</w:t>
      </w:r>
      <w:proofErr w:type="spellEnd"/>
      <w:r w:rsidRPr="00CA7526">
        <w:t xml:space="preserve">®. </w:t>
      </w:r>
      <w:r w:rsidR="00906A4B" w:rsidRPr="00CA7526">
        <w:rPr>
          <w:b/>
          <w:bCs/>
        </w:rPr>
        <w:t>Attachment </w:t>
      </w:r>
      <w:r w:rsidR="003B2ECF">
        <w:rPr>
          <w:b/>
          <w:bCs/>
        </w:rPr>
        <w:t>2</w:t>
      </w:r>
      <w:r w:rsidRPr="00CA7526">
        <w:t xml:space="preserve"> provides screen shots from the survey to provide a sense of how the layout will look to respondents.</w:t>
      </w:r>
    </w:p>
    <w:p w:rsidR="0089151D" w:rsidRPr="00CA7526" w:rsidRDefault="0089151D" w:rsidP="007A74AD">
      <w:pPr>
        <w:pStyle w:val="BodyText1"/>
        <w:spacing w:line="360" w:lineRule="auto"/>
      </w:pPr>
      <w:r w:rsidRPr="00CA7526">
        <w:t xml:space="preserve">Utilization of this online panel provides a number </w:t>
      </w:r>
      <w:r w:rsidR="008442BC">
        <w:t xml:space="preserve">of </w:t>
      </w:r>
      <w:r w:rsidRPr="00CA7526">
        <w:t>methodological advantages including increased accuracy in measurement of key variables of interest, attractive sample characteristics, and reduced burden on study participants. This approach also yields significant cost efficiencies compared to other modes of data collection such as telephone surveys. These advantages include but are not limited to:</w:t>
      </w:r>
    </w:p>
    <w:p w:rsidR="0089151D" w:rsidRPr="00CA7526" w:rsidRDefault="0089151D" w:rsidP="00BA395E">
      <w:pPr>
        <w:pStyle w:val="bullets"/>
      </w:pPr>
      <w:r w:rsidRPr="00CA7526">
        <w:t xml:space="preserve">Increased privacy (compared to telephone interviewing) reduces vulnerability to bias from socially desirable survey responses, particularly on subjects such as </w:t>
      </w:r>
      <w:r w:rsidR="00BA395E">
        <w:t>compliance with recommended health screening tests</w:t>
      </w:r>
      <w:r w:rsidRPr="00CA7526">
        <w:t>. Surveys are self-administered in a private setting and respondents do not speak to human interviewers as they would with telephone surveys.</w:t>
      </w:r>
    </w:p>
    <w:p w:rsidR="0089151D" w:rsidRPr="00CA7526" w:rsidRDefault="0089151D" w:rsidP="00831D1F">
      <w:pPr>
        <w:pStyle w:val="bullets"/>
      </w:pPr>
      <w:r w:rsidRPr="00CA7526">
        <w:lastRenderedPageBreak/>
        <w:t>Flexible and timely data collection</w:t>
      </w:r>
      <w:r w:rsidR="00906A4B" w:rsidRPr="00CA7526">
        <w:t>—</w:t>
      </w:r>
      <w:r w:rsidRPr="00CA7526">
        <w:t>Because KN does not involve human interviewers and all ensuing requirements for interviewer training and quality control, it is easier and cheaper to launch surveys very quickly.</w:t>
      </w:r>
    </w:p>
    <w:p w:rsidR="0089151D" w:rsidRPr="00CA7526" w:rsidRDefault="0089151D" w:rsidP="00831D1F">
      <w:pPr>
        <w:pStyle w:val="bullets"/>
      </w:pPr>
      <w:r w:rsidRPr="00CA7526">
        <w:t>Significant cost savings over traditional telephone surveys (due to lack of human interviewers and interviewer training).</w:t>
      </w:r>
    </w:p>
    <w:p w:rsidR="00906A4B" w:rsidRPr="00CA7526" w:rsidRDefault="0089151D" w:rsidP="00F42D12">
      <w:pPr>
        <w:pStyle w:val="BodyText1"/>
        <w:spacing w:line="360" w:lineRule="auto"/>
      </w:pPr>
      <w:r w:rsidRPr="00CA7526">
        <w:t xml:space="preserve">Finally, </w:t>
      </w:r>
      <w:proofErr w:type="spellStart"/>
      <w:r w:rsidRPr="00CA7526">
        <w:t>KnowledgePanel</w:t>
      </w:r>
      <w:proofErr w:type="spellEnd"/>
      <w:r w:rsidRPr="00CA7526">
        <w:t>® has been used for a number of similar evaluation studies, including CDC media evaluation studies led by RTI. OMB</w:t>
      </w:r>
      <w:r w:rsidR="003B2ECF">
        <w:t xml:space="preserve"> has </w:t>
      </w:r>
      <w:r w:rsidRPr="00CA7526">
        <w:t xml:space="preserve">approved </w:t>
      </w:r>
      <w:r w:rsidR="003B2ECF">
        <w:t xml:space="preserve">at least 14 </w:t>
      </w:r>
      <w:r w:rsidRPr="00CA7526">
        <w:t>studies that have utilized KN</w:t>
      </w:r>
      <w:r w:rsidR="00906A4B" w:rsidRPr="00CA7526">
        <w:t>’</w:t>
      </w:r>
      <w:r w:rsidRPr="00CA7526">
        <w:t xml:space="preserve"> </w:t>
      </w:r>
      <w:proofErr w:type="spellStart"/>
      <w:r w:rsidRPr="00CA7526">
        <w:t>KnowledgePanel</w:t>
      </w:r>
      <w:proofErr w:type="spellEnd"/>
      <w:r w:rsidRPr="00CA7526">
        <w:t>®.</w:t>
      </w:r>
    </w:p>
    <w:p w:rsidR="00495ADF" w:rsidRPr="00CA7526" w:rsidRDefault="00495ADF" w:rsidP="007F576C">
      <w:pPr>
        <w:pStyle w:val="Heading2"/>
      </w:pPr>
      <w:bookmarkStart w:id="12" w:name="_Toc88033468"/>
      <w:bookmarkStart w:id="13" w:name="_Toc371431214"/>
      <w:r w:rsidRPr="00CA7526">
        <w:t>A.4</w:t>
      </w:r>
      <w:r w:rsidRPr="00CA7526">
        <w:tab/>
      </w:r>
      <w:bookmarkEnd w:id="12"/>
      <w:r w:rsidRPr="00CA7526">
        <w:t>Efforts to Identify Duplication and Use of Similar Information</w:t>
      </w:r>
      <w:bookmarkEnd w:id="13"/>
    </w:p>
    <w:p w:rsidR="0089151D" w:rsidRPr="00CA7526" w:rsidRDefault="0089151D" w:rsidP="00F42D12">
      <w:pPr>
        <w:pStyle w:val="BodyText1"/>
        <w:spacing w:line="360" w:lineRule="auto"/>
      </w:pPr>
      <w:r w:rsidRPr="00CA7526">
        <w:t xml:space="preserve">In a literature review conducted to design the current survey, we identified 14 SP  surveys that looked </w:t>
      </w:r>
      <w:r w:rsidR="007E7948">
        <w:t xml:space="preserve">at </w:t>
      </w:r>
      <w:r w:rsidRPr="00CA7526">
        <w:t xml:space="preserve">CRC screening </w:t>
      </w:r>
      <w:r w:rsidR="00891D23">
        <w:t>published between 1990</w:t>
      </w:r>
      <w:r w:rsidR="00E056FC">
        <w:t xml:space="preserve"> and </w:t>
      </w:r>
      <w:r w:rsidR="00891D23">
        <w:t>July 2013</w:t>
      </w:r>
      <w:r w:rsidR="00E056FC">
        <w:t>, an additional article published more recently (</w:t>
      </w:r>
      <w:proofErr w:type="spellStart"/>
      <w:r w:rsidR="00E056FC">
        <w:t>Pignone</w:t>
      </w:r>
      <w:proofErr w:type="spellEnd"/>
      <w:r w:rsidR="00E056FC">
        <w:t xml:space="preserve"> et al.</w:t>
      </w:r>
      <w:r w:rsidR="00392471">
        <w:t>,</w:t>
      </w:r>
      <w:r w:rsidR="00E056FC">
        <w:t xml:space="preserve"> 2014)</w:t>
      </w:r>
      <w:r w:rsidR="00BA395E">
        <w:t>,</w:t>
      </w:r>
      <w:r w:rsidR="00E056FC">
        <w:t xml:space="preserve"> </w:t>
      </w:r>
      <w:r w:rsidRPr="00CA7526">
        <w:t>and two review articles on CRC SP studies (Marshall, McGregor and Currie</w:t>
      </w:r>
      <w:r w:rsidR="00CA7526">
        <w:t xml:space="preserve">, </w:t>
      </w:r>
      <w:r w:rsidRPr="00CA7526">
        <w:t xml:space="preserve">2010 and </w:t>
      </w:r>
      <w:proofErr w:type="spellStart"/>
      <w:r w:rsidRPr="00CA7526">
        <w:t>Ghanouni</w:t>
      </w:r>
      <w:proofErr w:type="spellEnd"/>
      <w:r w:rsidRPr="00CA7526">
        <w:t xml:space="preserve"> et al.</w:t>
      </w:r>
      <w:r w:rsidR="00CA7526">
        <w:t>,</w:t>
      </w:r>
      <w:r w:rsidRPr="00CA7526">
        <w:t xml:space="preserve"> 2013). Out of the 1</w:t>
      </w:r>
      <w:r w:rsidR="008442BC">
        <w:t>5</w:t>
      </w:r>
      <w:r w:rsidRPr="00CA7526">
        <w:t xml:space="preserve"> surveys, only three were conducted in the U.S. Because of differences in medical practice and insurance reimbursement, studies conducted in other countries are of limited use for designing U.S. programs. For example, several studies conducted in France focused on stool tests and did not include colonoscopies because they are not widely administered in France. Of the three studies conducted in the U.S., two used a forced-choice design that asks respondents to select one of the screening options and does not offer the choice of not getting a test.</w:t>
      </w:r>
      <w:r w:rsidR="00906A4B" w:rsidRPr="00CA7526">
        <w:t xml:space="preserve"> </w:t>
      </w:r>
      <w:r w:rsidRPr="00CA7526">
        <w:t>With the forced choice design, the researcher does not learn as much about why individuals choose not to get screened, which is one of CDC</w:t>
      </w:r>
      <w:r w:rsidR="00906A4B" w:rsidRPr="00CA7526">
        <w:t>’</w:t>
      </w:r>
      <w:r w:rsidRPr="00CA7526">
        <w:t>s goals. The studies provided useful information in the design of the current survey, but they were not directly applicable to the CDC</w:t>
      </w:r>
      <w:r w:rsidR="00906A4B" w:rsidRPr="00CA7526">
        <w:t>’</w:t>
      </w:r>
      <w:r w:rsidRPr="00CA7526">
        <w:t xml:space="preserve">s goal to identify public health strategies to promote the use of </w:t>
      </w:r>
      <w:r w:rsidR="007E7948">
        <w:t xml:space="preserve">CRC </w:t>
      </w:r>
      <w:r w:rsidRPr="00CA7526">
        <w:t xml:space="preserve">screening tests. Unlike the surveys identified in our review of the literature, the survey described in this request incorporates CDC education materials to test the impact on choices, a comparison of actual experiences with colonoscopies (revealed preference data) with the attribute levels used in the </w:t>
      </w:r>
      <w:r w:rsidR="00D5094B">
        <w:t>DCE</w:t>
      </w:r>
      <w:r w:rsidRPr="00CA7526">
        <w:t xml:space="preserve"> survey (SP  data), and measures of subjective and objective CRC risk as an explanation for choices.</w:t>
      </w:r>
    </w:p>
    <w:p w:rsidR="00906A4B" w:rsidRPr="00CA7526" w:rsidRDefault="0089151D" w:rsidP="00F42D12">
      <w:pPr>
        <w:pStyle w:val="BodyText1"/>
        <w:spacing w:line="360" w:lineRule="auto"/>
      </w:pPr>
      <w:r w:rsidRPr="00CA7526">
        <w:t xml:space="preserve">CDC </w:t>
      </w:r>
      <w:r w:rsidR="00216508">
        <w:t>has obtained OMB approval for separate but complementary information collection (Impact Evaluation of CDC’s Colorectal Cancer Control Program, OMB No. 0920-0992, exp. 9/30/2016)</w:t>
      </w:r>
      <w:r w:rsidRPr="00CA7526">
        <w:t xml:space="preserve">. In 2013 and 2015, CDC </w:t>
      </w:r>
      <w:r w:rsidR="00216508">
        <w:t>will collect information</w:t>
      </w:r>
      <w:r w:rsidRPr="00CA7526">
        <w:t xml:space="preserve"> in several states to evaluate the </w:t>
      </w:r>
      <w:r w:rsidRPr="00CA7526">
        <w:lastRenderedPageBreak/>
        <w:t>impact of a program to promote CRC screening, the Colorectal Cancer Control Program (CRCCP).</w:t>
      </w:r>
      <w:r w:rsidR="00906A4B" w:rsidRPr="00CA7526">
        <w:t xml:space="preserve"> </w:t>
      </w:r>
      <w:r w:rsidR="00216508">
        <w:t xml:space="preserve">The </w:t>
      </w:r>
      <w:r w:rsidRPr="00CA7526">
        <w:t xml:space="preserve">CRCCP evaluation </w:t>
      </w:r>
      <w:r w:rsidR="00216508">
        <w:t xml:space="preserve">plan </w:t>
      </w:r>
      <w:r w:rsidRPr="00CA7526">
        <w:t xml:space="preserve">and the </w:t>
      </w:r>
      <w:r w:rsidR="00216508">
        <w:t xml:space="preserve">Web-based </w:t>
      </w:r>
      <w:r w:rsidRPr="00CA7526">
        <w:t xml:space="preserve">Colorectal Cancer Screening Survey proposed in this ICR have different </w:t>
      </w:r>
      <w:proofErr w:type="gramStart"/>
      <w:r w:rsidRPr="00CA7526">
        <w:t>aims,</w:t>
      </w:r>
      <w:proofErr w:type="gramEnd"/>
      <w:r w:rsidRPr="00CA7526">
        <w:t xml:space="preserve"> however </w:t>
      </w:r>
      <w:r w:rsidR="00216508">
        <w:t>findings</w:t>
      </w:r>
      <w:r w:rsidRPr="00CA7526">
        <w:t xml:space="preserve"> from the two surveys will complement and reinforce each other. Both surveys will help CDC understand factors that influence whether individuals get screening for CRC screening.</w:t>
      </w:r>
      <w:r w:rsidR="00906A4B" w:rsidRPr="00CA7526">
        <w:t xml:space="preserve"> </w:t>
      </w:r>
      <w:r w:rsidR="00906A4B" w:rsidRPr="00CA7526">
        <w:rPr>
          <w:b/>
        </w:rPr>
        <w:t>Exhibit </w:t>
      </w:r>
      <w:r w:rsidRPr="00CA7526">
        <w:rPr>
          <w:b/>
        </w:rPr>
        <w:t>A.</w:t>
      </w:r>
      <w:r w:rsidR="00BA395E">
        <w:rPr>
          <w:b/>
        </w:rPr>
        <w:t>2</w:t>
      </w:r>
      <w:r w:rsidRPr="00CA7526">
        <w:t xml:space="preserve"> describes the differences between the two surveys.</w:t>
      </w:r>
    </w:p>
    <w:p w:rsidR="0089151D" w:rsidRPr="00CA7526" w:rsidRDefault="0089151D" w:rsidP="003B2ECF">
      <w:pPr>
        <w:pStyle w:val="FigureTitle"/>
      </w:pPr>
      <w:bookmarkStart w:id="14" w:name="_Toc371430963"/>
      <w:r w:rsidRPr="00CA7526">
        <w:t>Exhibit A.</w:t>
      </w:r>
      <w:r w:rsidR="003B2ECF">
        <w:t>2</w:t>
      </w:r>
      <w:r w:rsidRPr="00CA7526">
        <w:t>. Comparison of the Colorectal Cancer Screening Survey and the CRCCP Evaluation</w:t>
      </w:r>
      <w:bookmarkEnd w:id="14"/>
    </w:p>
    <w:tbl>
      <w:tblPr>
        <w:tblW w:w="9360" w:type="dxa"/>
        <w:tblInd w:w="86" w:type="dxa"/>
        <w:tblBorders>
          <w:top w:val="single" w:sz="12" w:space="0" w:color="auto"/>
          <w:bottom w:val="single" w:sz="12" w:space="0" w:color="auto"/>
        </w:tblBorders>
        <w:tblLayout w:type="fixed"/>
        <w:tblCellMar>
          <w:left w:w="115" w:type="dxa"/>
          <w:right w:w="115" w:type="dxa"/>
        </w:tblCellMar>
        <w:tblLook w:val="04A0" w:firstRow="1" w:lastRow="0" w:firstColumn="1" w:lastColumn="0" w:noHBand="0" w:noVBand="1"/>
      </w:tblPr>
      <w:tblGrid>
        <w:gridCol w:w="2189"/>
        <w:gridCol w:w="3780"/>
        <w:gridCol w:w="3391"/>
      </w:tblGrid>
      <w:tr w:rsidR="0089151D" w:rsidRPr="00CA7526" w:rsidTr="004862B3">
        <w:trPr>
          <w:cantSplit/>
        </w:trPr>
        <w:tc>
          <w:tcPr>
            <w:tcW w:w="2189" w:type="dxa"/>
            <w:tcBorders>
              <w:top w:val="single" w:sz="12" w:space="0" w:color="auto"/>
              <w:bottom w:val="single" w:sz="6" w:space="0" w:color="auto"/>
            </w:tcBorders>
            <w:shd w:val="clear" w:color="auto" w:fill="auto"/>
            <w:vAlign w:val="bottom"/>
          </w:tcPr>
          <w:p w:rsidR="0089151D" w:rsidRPr="00CA7526" w:rsidRDefault="0089151D" w:rsidP="004862B3">
            <w:pPr>
              <w:pStyle w:val="TableHeaders"/>
              <w:spacing w:before="20" w:after="20"/>
            </w:pPr>
            <w:r w:rsidRPr="00CA7526">
              <w:t>Survey</w:t>
            </w:r>
          </w:p>
        </w:tc>
        <w:tc>
          <w:tcPr>
            <w:tcW w:w="3780" w:type="dxa"/>
            <w:tcBorders>
              <w:top w:val="single" w:sz="12" w:space="0" w:color="auto"/>
              <w:bottom w:val="single" w:sz="6" w:space="0" w:color="auto"/>
            </w:tcBorders>
            <w:vAlign w:val="bottom"/>
          </w:tcPr>
          <w:p w:rsidR="0089151D" w:rsidRPr="00CA7526" w:rsidRDefault="0089151D" w:rsidP="004862B3">
            <w:pPr>
              <w:pStyle w:val="TableHeaders"/>
              <w:spacing w:before="20" w:after="20"/>
            </w:pPr>
            <w:r w:rsidRPr="00CA7526">
              <w:t>Colorectal Cancer Screening Survey</w:t>
            </w:r>
          </w:p>
        </w:tc>
        <w:tc>
          <w:tcPr>
            <w:tcW w:w="3391" w:type="dxa"/>
            <w:tcBorders>
              <w:top w:val="single" w:sz="12" w:space="0" w:color="auto"/>
              <w:bottom w:val="single" w:sz="6" w:space="0" w:color="auto"/>
            </w:tcBorders>
            <w:vAlign w:val="bottom"/>
          </w:tcPr>
          <w:p w:rsidR="0089151D" w:rsidRPr="00CA7526" w:rsidRDefault="0089151D" w:rsidP="004862B3">
            <w:pPr>
              <w:pStyle w:val="TableHeaders"/>
              <w:spacing w:before="20" w:after="20"/>
            </w:pPr>
            <w:r w:rsidRPr="00CA7526">
              <w:t xml:space="preserve">Colorectal Cancer Control Program (CRCCP) Evaluation </w:t>
            </w:r>
            <w:r w:rsidR="004862B3" w:rsidRPr="00CA7526">
              <w:t>Survey</w:t>
            </w:r>
          </w:p>
        </w:tc>
      </w:tr>
      <w:tr w:rsidR="0089151D" w:rsidRPr="00CA7526" w:rsidTr="004862B3">
        <w:trPr>
          <w:cantSplit/>
        </w:trPr>
        <w:tc>
          <w:tcPr>
            <w:tcW w:w="2189" w:type="dxa"/>
            <w:tcBorders>
              <w:top w:val="single" w:sz="6" w:space="0" w:color="auto"/>
            </w:tcBorders>
            <w:shd w:val="clear" w:color="auto" w:fill="auto"/>
          </w:tcPr>
          <w:p w:rsidR="0089151D" w:rsidRPr="00CA7526" w:rsidRDefault="0089151D" w:rsidP="004862B3">
            <w:pPr>
              <w:pStyle w:val="TableText"/>
              <w:spacing w:before="20" w:after="20"/>
              <w:rPr>
                <w:b/>
              </w:rPr>
            </w:pPr>
            <w:r w:rsidRPr="00CA7526">
              <w:rPr>
                <w:b/>
              </w:rPr>
              <w:t>Geographic coverage of sample</w:t>
            </w:r>
          </w:p>
        </w:tc>
        <w:tc>
          <w:tcPr>
            <w:tcW w:w="3780" w:type="dxa"/>
            <w:tcBorders>
              <w:top w:val="single" w:sz="6" w:space="0" w:color="auto"/>
            </w:tcBorders>
          </w:tcPr>
          <w:p w:rsidR="00906A4B" w:rsidRPr="00CA7526" w:rsidRDefault="0089151D" w:rsidP="004862B3">
            <w:pPr>
              <w:pStyle w:val="TableText"/>
              <w:spacing w:before="20" w:after="20"/>
            </w:pPr>
            <w:r w:rsidRPr="00CA7526">
              <w:t>National sample</w:t>
            </w:r>
          </w:p>
          <w:p w:rsidR="0089151D" w:rsidRPr="00CA7526" w:rsidRDefault="0089151D" w:rsidP="004862B3">
            <w:pPr>
              <w:pStyle w:val="TableText"/>
              <w:spacing w:before="20" w:after="20"/>
            </w:pPr>
          </w:p>
        </w:tc>
        <w:tc>
          <w:tcPr>
            <w:tcW w:w="3391" w:type="dxa"/>
            <w:tcBorders>
              <w:top w:val="single" w:sz="6" w:space="0" w:color="auto"/>
            </w:tcBorders>
          </w:tcPr>
          <w:p w:rsidR="0089151D" w:rsidRPr="00CA7526" w:rsidRDefault="0089151D" w:rsidP="004862B3">
            <w:pPr>
              <w:pStyle w:val="TableText"/>
              <w:spacing w:before="20" w:after="20"/>
            </w:pPr>
            <w:r w:rsidRPr="00CA7526">
              <w:t>6 states: 3 CRCCP grantee states (Alabama, Nebraska, Washington); 3 non-CRCCP states (Tennessee, Oklahoma, Wisconsin)</w:t>
            </w:r>
          </w:p>
        </w:tc>
      </w:tr>
      <w:tr w:rsidR="0089151D" w:rsidRPr="00CA7526" w:rsidTr="004862B3">
        <w:trPr>
          <w:cantSplit/>
        </w:trPr>
        <w:tc>
          <w:tcPr>
            <w:tcW w:w="2189" w:type="dxa"/>
            <w:shd w:val="clear" w:color="auto" w:fill="auto"/>
          </w:tcPr>
          <w:p w:rsidR="0089151D" w:rsidRPr="00CA7526" w:rsidRDefault="0089151D" w:rsidP="004862B3">
            <w:pPr>
              <w:pStyle w:val="TableText"/>
              <w:spacing w:before="20" w:after="20"/>
              <w:rPr>
                <w:b/>
              </w:rPr>
            </w:pPr>
            <w:r w:rsidRPr="00CA7526">
              <w:rPr>
                <w:b/>
              </w:rPr>
              <w:t>Sample age range and size</w:t>
            </w:r>
          </w:p>
        </w:tc>
        <w:tc>
          <w:tcPr>
            <w:tcW w:w="3780" w:type="dxa"/>
          </w:tcPr>
          <w:p w:rsidR="0089151D" w:rsidRPr="00CA7526" w:rsidRDefault="0089151D" w:rsidP="004862B3">
            <w:pPr>
              <w:pStyle w:val="TableText"/>
              <w:spacing w:before="20" w:after="20"/>
            </w:pPr>
            <w:r w:rsidRPr="00CA7526">
              <w:t>Age of sample:</w:t>
            </w:r>
            <w:r w:rsidR="00906A4B" w:rsidRPr="00CA7526">
              <w:t xml:space="preserve"> </w:t>
            </w:r>
            <w:r w:rsidR="00D5094B">
              <w:t>50</w:t>
            </w:r>
            <w:r w:rsidR="00906A4B" w:rsidRPr="00CA7526">
              <w:t>–7</w:t>
            </w:r>
            <w:r w:rsidRPr="00CA7526">
              <w:t>5</w:t>
            </w:r>
          </w:p>
          <w:p w:rsidR="0089151D" w:rsidRPr="00CA7526" w:rsidRDefault="0089151D" w:rsidP="004862B3">
            <w:pPr>
              <w:pStyle w:val="TableText"/>
              <w:spacing w:before="20" w:after="20"/>
            </w:pPr>
            <w:r w:rsidRPr="00CA7526">
              <w:t>Sample size: 2,000</w:t>
            </w:r>
          </w:p>
        </w:tc>
        <w:tc>
          <w:tcPr>
            <w:tcW w:w="3391" w:type="dxa"/>
          </w:tcPr>
          <w:p w:rsidR="0089151D" w:rsidRPr="00CA7526" w:rsidRDefault="0089151D" w:rsidP="004862B3">
            <w:pPr>
              <w:pStyle w:val="TableText"/>
              <w:spacing w:before="20" w:after="20"/>
            </w:pPr>
            <w:r w:rsidRPr="00CA7526">
              <w:t>Age of sample: 50</w:t>
            </w:r>
            <w:r w:rsidR="00906A4B" w:rsidRPr="00CA7526">
              <w:t>–7</w:t>
            </w:r>
            <w:r w:rsidRPr="00CA7526">
              <w:t>5</w:t>
            </w:r>
          </w:p>
          <w:p w:rsidR="0089151D" w:rsidRPr="00CA7526" w:rsidRDefault="0089151D" w:rsidP="004862B3">
            <w:pPr>
              <w:pStyle w:val="TableText"/>
              <w:spacing w:before="20" w:after="20"/>
            </w:pPr>
            <w:r w:rsidRPr="00CA7526">
              <w:t>Sample size: 3,200 respondents</w:t>
            </w:r>
          </w:p>
        </w:tc>
      </w:tr>
      <w:tr w:rsidR="0089151D" w:rsidRPr="00CA7526" w:rsidTr="004862B3">
        <w:trPr>
          <w:cantSplit/>
        </w:trPr>
        <w:tc>
          <w:tcPr>
            <w:tcW w:w="2189" w:type="dxa"/>
            <w:tcBorders>
              <w:bottom w:val="nil"/>
            </w:tcBorders>
            <w:shd w:val="clear" w:color="auto" w:fill="auto"/>
          </w:tcPr>
          <w:p w:rsidR="0089151D" w:rsidRPr="00CA7526" w:rsidRDefault="0089151D" w:rsidP="004862B3">
            <w:pPr>
              <w:pStyle w:val="TableText"/>
              <w:spacing w:before="20" w:after="20"/>
              <w:rPr>
                <w:b/>
              </w:rPr>
            </w:pPr>
            <w:r w:rsidRPr="00CA7526">
              <w:rPr>
                <w:b/>
              </w:rPr>
              <w:t>Mode of survey administration</w:t>
            </w:r>
          </w:p>
        </w:tc>
        <w:tc>
          <w:tcPr>
            <w:tcW w:w="3780" w:type="dxa"/>
            <w:tcBorders>
              <w:bottom w:val="nil"/>
            </w:tcBorders>
          </w:tcPr>
          <w:p w:rsidR="0089151D" w:rsidRPr="00CA7526" w:rsidRDefault="0089151D" w:rsidP="004862B3">
            <w:pPr>
              <w:pStyle w:val="TableText"/>
              <w:spacing w:before="20" w:after="20"/>
            </w:pPr>
            <w:r w:rsidRPr="00CA7526">
              <w:t xml:space="preserve">Web-based survey administered to a random sample from the KN </w:t>
            </w:r>
            <w:proofErr w:type="spellStart"/>
            <w:r w:rsidRPr="00CA7526">
              <w:t>KnowledgePanel</w:t>
            </w:r>
            <w:proofErr w:type="spellEnd"/>
            <w:r w:rsidRPr="00CA7526">
              <w:t xml:space="preserve"> </w:t>
            </w:r>
          </w:p>
        </w:tc>
        <w:tc>
          <w:tcPr>
            <w:tcW w:w="3391" w:type="dxa"/>
            <w:tcBorders>
              <w:bottom w:val="nil"/>
            </w:tcBorders>
          </w:tcPr>
          <w:p w:rsidR="0089151D" w:rsidRPr="00CA7526" w:rsidRDefault="0089151D" w:rsidP="004862B3">
            <w:pPr>
              <w:pStyle w:val="TableText"/>
              <w:spacing w:before="20" w:after="20"/>
            </w:pPr>
            <w:r w:rsidRPr="00CA7526">
              <w:t>Telephone</w:t>
            </w:r>
          </w:p>
        </w:tc>
      </w:tr>
      <w:tr w:rsidR="0089151D" w:rsidRPr="00CA7526" w:rsidTr="004862B3">
        <w:trPr>
          <w:cantSplit/>
        </w:trPr>
        <w:tc>
          <w:tcPr>
            <w:tcW w:w="2189" w:type="dxa"/>
            <w:tcBorders>
              <w:top w:val="nil"/>
              <w:bottom w:val="single" w:sz="6" w:space="0" w:color="auto"/>
            </w:tcBorders>
            <w:shd w:val="clear" w:color="auto" w:fill="auto"/>
          </w:tcPr>
          <w:p w:rsidR="0089151D" w:rsidRPr="00CA7526" w:rsidRDefault="0089151D" w:rsidP="004862B3">
            <w:pPr>
              <w:pStyle w:val="TableText"/>
              <w:spacing w:before="20" w:after="20"/>
              <w:rPr>
                <w:b/>
              </w:rPr>
            </w:pPr>
            <w:r w:rsidRPr="00CA7526">
              <w:rPr>
                <w:b/>
              </w:rPr>
              <w:t>Number of data collections</w:t>
            </w:r>
          </w:p>
        </w:tc>
        <w:tc>
          <w:tcPr>
            <w:tcW w:w="3780" w:type="dxa"/>
            <w:tcBorders>
              <w:top w:val="nil"/>
              <w:bottom w:val="single" w:sz="6" w:space="0" w:color="auto"/>
            </w:tcBorders>
          </w:tcPr>
          <w:p w:rsidR="0089151D" w:rsidRPr="00CA7526" w:rsidRDefault="0089151D" w:rsidP="004862B3">
            <w:pPr>
              <w:pStyle w:val="TableText"/>
              <w:spacing w:before="20" w:after="20"/>
            </w:pPr>
            <w:r w:rsidRPr="00CA7526">
              <w:t>One-time data collection</w:t>
            </w:r>
          </w:p>
        </w:tc>
        <w:tc>
          <w:tcPr>
            <w:tcW w:w="3391" w:type="dxa"/>
            <w:tcBorders>
              <w:top w:val="nil"/>
              <w:bottom w:val="single" w:sz="6" w:space="0" w:color="auto"/>
            </w:tcBorders>
          </w:tcPr>
          <w:p w:rsidR="0089151D" w:rsidRPr="00CA7526" w:rsidRDefault="0089151D" w:rsidP="004862B3">
            <w:pPr>
              <w:pStyle w:val="TableText"/>
              <w:spacing w:before="20" w:after="20"/>
            </w:pPr>
            <w:r w:rsidRPr="00CA7526">
              <w:t>Two surveys administered pre- and post-intervention (Fall 2013 and Fall 2015)</w:t>
            </w:r>
          </w:p>
        </w:tc>
      </w:tr>
    </w:tbl>
    <w:p w:rsidR="004862B3" w:rsidRPr="00CA7526" w:rsidRDefault="004862B3" w:rsidP="004862B3">
      <w:pPr>
        <w:pStyle w:val="Source"/>
        <w:jc w:val="right"/>
      </w:pPr>
      <w:r w:rsidRPr="00CA7526">
        <w:t>(</w:t>
      </w:r>
      <w:proofErr w:type="gramStart"/>
      <w:r w:rsidRPr="00CA7526">
        <w:t>continued</w:t>
      </w:r>
      <w:proofErr w:type="gramEnd"/>
      <w:r w:rsidRPr="00CA7526">
        <w:t>)</w:t>
      </w:r>
    </w:p>
    <w:p w:rsidR="007A74AD" w:rsidRDefault="007A74AD">
      <w:pPr>
        <w:rPr>
          <w:b/>
          <w:szCs w:val="20"/>
        </w:rPr>
      </w:pPr>
      <w:r>
        <w:br w:type="page"/>
      </w:r>
    </w:p>
    <w:p w:rsidR="004862B3" w:rsidRPr="00CA7526" w:rsidRDefault="004862B3" w:rsidP="003B2ECF">
      <w:pPr>
        <w:pStyle w:val="FigureTitleContinued"/>
      </w:pPr>
      <w:r w:rsidRPr="00CA7526">
        <w:lastRenderedPageBreak/>
        <w:t>Exhibit A.</w:t>
      </w:r>
      <w:r w:rsidR="003B2ECF">
        <w:t>2</w:t>
      </w:r>
      <w:r w:rsidRPr="00CA7526">
        <w:t>. Comparison of the Colorectal Cancer Screening Survey and the CRCCP Evaluation (continued)</w:t>
      </w:r>
    </w:p>
    <w:tbl>
      <w:tblPr>
        <w:tblW w:w="9360" w:type="dxa"/>
        <w:tblInd w:w="86" w:type="dxa"/>
        <w:tblBorders>
          <w:top w:val="single" w:sz="12" w:space="0" w:color="auto"/>
          <w:bottom w:val="single" w:sz="12" w:space="0" w:color="auto"/>
        </w:tblBorders>
        <w:tblLayout w:type="fixed"/>
        <w:tblCellMar>
          <w:left w:w="115" w:type="dxa"/>
          <w:right w:w="115" w:type="dxa"/>
        </w:tblCellMar>
        <w:tblLook w:val="04A0" w:firstRow="1" w:lastRow="0" w:firstColumn="1" w:lastColumn="0" w:noHBand="0" w:noVBand="1"/>
      </w:tblPr>
      <w:tblGrid>
        <w:gridCol w:w="2189"/>
        <w:gridCol w:w="3780"/>
        <w:gridCol w:w="3391"/>
      </w:tblGrid>
      <w:tr w:rsidR="004862B3" w:rsidRPr="00CA7526" w:rsidTr="004862B3">
        <w:trPr>
          <w:cantSplit/>
        </w:trPr>
        <w:tc>
          <w:tcPr>
            <w:tcW w:w="2189" w:type="dxa"/>
            <w:tcBorders>
              <w:top w:val="single" w:sz="12" w:space="0" w:color="auto"/>
              <w:bottom w:val="single" w:sz="6" w:space="0" w:color="auto"/>
            </w:tcBorders>
            <w:shd w:val="clear" w:color="auto" w:fill="auto"/>
            <w:vAlign w:val="bottom"/>
          </w:tcPr>
          <w:p w:rsidR="004862B3" w:rsidRPr="00CA7526" w:rsidRDefault="004862B3" w:rsidP="004862B3">
            <w:pPr>
              <w:pStyle w:val="TableHeaders"/>
              <w:spacing w:before="20" w:after="20"/>
            </w:pPr>
            <w:r w:rsidRPr="00CA7526">
              <w:t>Survey</w:t>
            </w:r>
          </w:p>
        </w:tc>
        <w:tc>
          <w:tcPr>
            <w:tcW w:w="3780" w:type="dxa"/>
            <w:tcBorders>
              <w:top w:val="single" w:sz="12" w:space="0" w:color="auto"/>
              <w:bottom w:val="single" w:sz="6" w:space="0" w:color="auto"/>
            </w:tcBorders>
            <w:vAlign w:val="bottom"/>
          </w:tcPr>
          <w:p w:rsidR="004862B3" w:rsidRPr="00CA7526" w:rsidRDefault="004862B3" w:rsidP="004862B3">
            <w:pPr>
              <w:pStyle w:val="TableHeaders"/>
              <w:spacing w:before="20" w:after="20"/>
            </w:pPr>
            <w:r w:rsidRPr="00CA7526">
              <w:t>Colorectal Cancer Screening Survey</w:t>
            </w:r>
          </w:p>
        </w:tc>
        <w:tc>
          <w:tcPr>
            <w:tcW w:w="3391" w:type="dxa"/>
            <w:tcBorders>
              <w:top w:val="single" w:sz="12" w:space="0" w:color="auto"/>
              <w:bottom w:val="single" w:sz="6" w:space="0" w:color="auto"/>
            </w:tcBorders>
            <w:vAlign w:val="bottom"/>
          </w:tcPr>
          <w:p w:rsidR="004862B3" w:rsidRPr="00CA7526" w:rsidRDefault="004862B3" w:rsidP="004862B3">
            <w:pPr>
              <w:pStyle w:val="TableHeaders"/>
              <w:spacing w:before="20" w:after="20"/>
            </w:pPr>
            <w:r w:rsidRPr="00CA7526">
              <w:t>Colorectal Cancer Control Program (CRCCP) Evaluation Survey</w:t>
            </w:r>
          </w:p>
        </w:tc>
      </w:tr>
      <w:tr w:rsidR="0089151D" w:rsidRPr="00CA7526" w:rsidTr="004862B3">
        <w:trPr>
          <w:cantSplit/>
        </w:trPr>
        <w:tc>
          <w:tcPr>
            <w:tcW w:w="2189" w:type="dxa"/>
            <w:shd w:val="clear" w:color="auto" w:fill="auto"/>
          </w:tcPr>
          <w:p w:rsidR="0089151D" w:rsidRPr="00CA7526" w:rsidRDefault="0089151D" w:rsidP="004862B3">
            <w:pPr>
              <w:pStyle w:val="TableText"/>
              <w:spacing w:before="20" w:after="20"/>
              <w:rPr>
                <w:b/>
              </w:rPr>
            </w:pPr>
            <w:r w:rsidRPr="00CA7526">
              <w:rPr>
                <w:b/>
              </w:rPr>
              <w:t>Purpose and approach</w:t>
            </w:r>
          </w:p>
        </w:tc>
        <w:tc>
          <w:tcPr>
            <w:tcW w:w="3780" w:type="dxa"/>
          </w:tcPr>
          <w:p w:rsidR="0089151D" w:rsidRPr="00CA7526" w:rsidRDefault="0089151D" w:rsidP="004862B3">
            <w:pPr>
              <w:pStyle w:val="TableText"/>
              <w:spacing w:before="20" w:after="20"/>
            </w:pPr>
            <w:r w:rsidRPr="00CA7526">
              <w:t xml:space="preserve">Understand preferences for CRC screening tests and barriers to getting screened. Employs the </w:t>
            </w:r>
            <w:r w:rsidR="00D5094B">
              <w:t>DCE</w:t>
            </w:r>
            <w:r w:rsidRPr="00CA7526">
              <w:t xml:space="preserve"> survey approach to provide a quantitative ranking of CRC screening test attributes and test the impact of respondent</w:t>
            </w:r>
            <w:r w:rsidR="00906A4B" w:rsidRPr="00CA7526">
              <w:t>’</w:t>
            </w:r>
            <w:r w:rsidRPr="00CA7526">
              <w:t xml:space="preserve">s characteristics, risk perceptions, CRC screening experience and information treatments on preferences for CRC screening tests. </w:t>
            </w:r>
          </w:p>
        </w:tc>
        <w:tc>
          <w:tcPr>
            <w:tcW w:w="3391" w:type="dxa"/>
          </w:tcPr>
          <w:p w:rsidR="0089151D" w:rsidRPr="00CA7526" w:rsidRDefault="0089151D" w:rsidP="004862B3">
            <w:pPr>
              <w:pStyle w:val="TableText"/>
              <w:spacing w:before="20" w:after="20"/>
            </w:pPr>
            <w:r w:rsidRPr="00CA7526">
              <w:rPr>
                <w:color w:val="000000"/>
              </w:rPr>
              <w:t>Support a rigorous impact evaluation of the CRCCP, a new public health model intended to increase population-level CRC rates.</w:t>
            </w:r>
          </w:p>
        </w:tc>
      </w:tr>
      <w:tr w:rsidR="0089151D" w:rsidRPr="00CA7526" w:rsidTr="004862B3">
        <w:trPr>
          <w:cantSplit/>
        </w:trPr>
        <w:tc>
          <w:tcPr>
            <w:tcW w:w="2189" w:type="dxa"/>
            <w:shd w:val="clear" w:color="auto" w:fill="auto"/>
          </w:tcPr>
          <w:p w:rsidR="0089151D" w:rsidRPr="00CA7526" w:rsidRDefault="0089151D" w:rsidP="004862B3">
            <w:pPr>
              <w:pStyle w:val="TableText"/>
              <w:spacing w:before="20" w:after="20"/>
              <w:rPr>
                <w:b/>
              </w:rPr>
            </w:pPr>
            <w:r w:rsidRPr="00CA7526">
              <w:rPr>
                <w:b/>
              </w:rPr>
              <w:t>Questions</w:t>
            </w:r>
          </w:p>
        </w:tc>
        <w:tc>
          <w:tcPr>
            <w:tcW w:w="3780" w:type="dxa"/>
          </w:tcPr>
          <w:p w:rsidR="0089151D" w:rsidRPr="00CA7526" w:rsidRDefault="0089151D" w:rsidP="004862B3">
            <w:pPr>
              <w:pStyle w:val="TableText"/>
              <w:spacing w:before="20" w:after="20"/>
            </w:pPr>
            <w:r w:rsidRPr="00CA7526">
              <w:t>Survey includes questions on individual knowledge, attitudes, and CRC screening behavior</w:t>
            </w:r>
          </w:p>
          <w:p w:rsidR="0089151D" w:rsidRPr="00CA7526" w:rsidRDefault="0089151D" w:rsidP="004862B3">
            <w:pPr>
              <w:spacing w:before="20" w:after="20"/>
              <w:rPr>
                <w:sz w:val="22"/>
                <w:szCs w:val="22"/>
              </w:rPr>
            </w:pPr>
          </w:p>
          <w:p w:rsidR="0089151D" w:rsidRPr="00CA7526" w:rsidRDefault="0089151D" w:rsidP="004862B3">
            <w:pPr>
              <w:pStyle w:val="TableText"/>
              <w:spacing w:before="20" w:after="20"/>
            </w:pPr>
            <w:r w:rsidRPr="00CA7526">
              <w:t>Plus:</w:t>
            </w:r>
          </w:p>
          <w:p w:rsidR="00906A4B" w:rsidRPr="00CA7526" w:rsidRDefault="00D5094B" w:rsidP="004862B3">
            <w:pPr>
              <w:pStyle w:val="TableBulletLM"/>
              <w:spacing w:before="20" w:after="20"/>
            </w:pPr>
            <w:r>
              <w:t>DCE</w:t>
            </w:r>
            <w:r w:rsidR="0089151D" w:rsidRPr="00CA7526">
              <w:t xml:space="preserve"> questions that offer a choice between hypothetical screening tests with different characteristics. </w:t>
            </w:r>
            <w:r>
              <w:t>DCE</w:t>
            </w:r>
            <w:r w:rsidR="0089151D" w:rsidRPr="00CA7526">
              <w:t xml:space="preserve"> surveys allow the researcher to calculate quantitative preference weights to measure the importance of different test characteristics on individual decisions.</w:t>
            </w:r>
          </w:p>
          <w:p w:rsidR="0089151D" w:rsidRPr="00CA7526" w:rsidRDefault="0089151D" w:rsidP="004862B3">
            <w:pPr>
              <w:pStyle w:val="TableBulletLM"/>
              <w:spacing w:before="20" w:after="20"/>
            </w:pPr>
            <w:r w:rsidRPr="00CA7526">
              <w:t xml:space="preserve">The options offered in the </w:t>
            </w:r>
            <w:r w:rsidR="00D5094B">
              <w:t>DCE</w:t>
            </w:r>
            <w:r w:rsidRPr="00CA7526">
              <w:t xml:space="preserve"> questions will allow CDC to evaluate preferences for tests that may be developed in the future and are not currently available.</w:t>
            </w:r>
          </w:p>
          <w:p w:rsidR="0089151D" w:rsidRPr="00CA7526" w:rsidRDefault="0089151D" w:rsidP="004862B3">
            <w:pPr>
              <w:pStyle w:val="TableBulletLM"/>
              <w:spacing w:before="20" w:after="20"/>
            </w:pPr>
            <w:r w:rsidRPr="00CA7526">
              <w:t>The survey contains questions needed to calculate objective CRC risk, which will be compared to the respondent</w:t>
            </w:r>
            <w:r w:rsidR="00906A4B" w:rsidRPr="00CA7526">
              <w:t>’</w:t>
            </w:r>
            <w:r w:rsidRPr="00CA7526">
              <w:t xml:space="preserve">s subjective risk perceptions and used to analyze the choices from the </w:t>
            </w:r>
            <w:r w:rsidR="00D5094B">
              <w:t>DCE</w:t>
            </w:r>
            <w:r w:rsidRPr="00CA7526">
              <w:t xml:space="preserve"> survey.</w:t>
            </w:r>
          </w:p>
        </w:tc>
        <w:tc>
          <w:tcPr>
            <w:tcW w:w="3391" w:type="dxa"/>
          </w:tcPr>
          <w:p w:rsidR="0089151D" w:rsidRPr="00CA7526" w:rsidRDefault="0089151D" w:rsidP="004862B3">
            <w:pPr>
              <w:pStyle w:val="TableText"/>
              <w:spacing w:before="20" w:after="20"/>
            </w:pPr>
            <w:r w:rsidRPr="00CA7526">
              <w:t>The population survey will provide data on proximal outcomes of interest (e.g., individual-level knowledge and attitudes about CRC screening) and data on CRC screening behavior.</w:t>
            </w:r>
          </w:p>
        </w:tc>
      </w:tr>
    </w:tbl>
    <w:p w:rsidR="0089151D" w:rsidRPr="00CA7526" w:rsidRDefault="0089151D" w:rsidP="00FA1104">
      <w:pPr>
        <w:pStyle w:val="Source"/>
      </w:pPr>
    </w:p>
    <w:p w:rsidR="0089151D" w:rsidRPr="00CA7526" w:rsidRDefault="0089151D" w:rsidP="00F42D12">
      <w:pPr>
        <w:pStyle w:val="BodyText1"/>
        <w:spacing w:line="360" w:lineRule="auto"/>
      </w:pPr>
      <w:r w:rsidRPr="00CA7526">
        <w:t>The Colorectal Cancer Screening Survey will incorporate some of the questions from the survey to evaluate the CDC</w:t>
      </w:r>
      <w:r w:rsidR="00906A4B" w:rsidRPr="00CA7526">
        <w:t>’</w:t>
      </w:r>
      <w:r w:rsidRPr="00CA7526">
        <w:t xml:space="preserve">s CRCCP (see below for a list of the questions from other surveys incorporated into this survey). Together the data from the two surveys will provide a more </w:t>
      </w:r>
      <w:r w:rsidRPr="00CA7526">
        <w:lastRenderedPageBreak/>
        <w:t>complete picture of screening preferences and the effectiveness of public health interventions to raise screening rates.</w:t>
      </w:r>
    </w:p>
    <w:p w:rsidR="0089151D" w:rsidRPr="00CA7526" w:rsidRDefault="0089151D" w:rsidP="00F42D12">
      <w:pPr>
        <w:pStyle w:val="BodyText1"/>
        <w:spacing w:line="360" w:lineRule="auto"/>
      </w:pPr>
      <w:r w:rsidRPr="00CA7526">
        <w:t>Some of the questions in the Colorectal Cancer Screening</w:t>
      </w:r>
      <w:r w:rsidR="007E7948">
        <w:t xml:space="preserve"> Survey</w:t>
      </w:r>
      <w:r w:rsidRPr="00CA7526">
        <w:t xml:space="preserve"> are drawn from other survey instruments. Using questions from existing surveys help provide external comparisons for sample characteristics and survey results.</w:t>
      </w:r>
      <w:r w:rsidR="00906A4B" w:rsidRPr="00CA7526">
        <w:t xml:space="preserve"> </w:t>
      </w:r>
      <w:r w:rsidR="00906A4B" w:rsidRPr="00CA7526">
        <w:rPr>
          <w:b/>
          <w:bCs/>
        </w:rPr>
        <w:t>Exhibit </w:t>
      </w:r>
      <w:r w:rsidRPr="00CA7526">
        <w:rPr>
          <w:b/>
          <w:bCs/>
        </w:rPr>
        <w:t>A.</w:t>
      </w:r>
      <w:r w:rsidR="00E61464">
        <w:rPr>
          <w:b/>
          <w:bCs/>
        </w:rPr>
        <w:t>3</w:t>
      </w:r>
      <w:r w:rsidRPr="00CA7526">
        <w:t xml:space="preserve"> provides information on questions taken from other surveys.</w:t>
      </w:r>
    </w:p>
    <w:p w:rsidR="0089151D" w:rsidRPr="00CA7526" w:rsidRDefault="0089151D" w:rsidP="003B2ECF">
      <w:pPr>
        <w:pStyle w:val="FigureTitle"/>
      </w:pPr>
      <w:bookmarkStart w:id="15" w:name="_Toc371430964"/>
      <w:r w:rsidRPr="00CA7526">
        <w:t>Exhibit A.</w:t>
      </w:r>
      <w:r w:rsidR="003B2ECF">
        <w:t>3</w:t>
      </w:r>
      <w:r w:rsidRPr="00CA7526">
        <w:t>. Sources for Questions</w:t>
      </w:r>
      <w:bookmarkEnd w:id="15"/>
    </w:p>
    <w:tbl>
      <w:tblPr>
        <w:tblW w:w="9360" w:type="dxa"/>
        <w:tblInd w:w="86" w:type="dxa"/>
        <w:tblBorders>
          <w:top w:val="single" w:sz="12" w:space="0" w:color="auto"/>
          <w:bottom w:val="single" w:sz="12" w:space="0" w:color="auto"/>
        </w:tblBorders>
        <w:tblLayout w:type="fixed"/>
        <w:tblCellMar>
          <w:left w:w="115" w:type="dxa"/>
          <w:right w:w="115" w:type="dxa"/>
        </w:tblCellMar>
        <w:tblLook w:val="04A0" w:firstRow="1" w:lastRow="0" w:firstColumn="1" w:lastColumn="0" w:noHBand="0" w:noVBand="1"/>
      </w:tblPr>
      <w:tblGrid>
        <w:gridCol w:w="3089"/>
        <w:gridCol w:w="6271"/>
      </w:tblGrid>
      <w:tr w:rsidR="0089151D" w:rsidRPr="00CA7526" w:rsidTr="004862B3">
        <w:trPr>
          <w:cantSplit/>
        </w:trPr>
        <w:tc>
          <w:tcPr>
            <w:tcW w:w="3089" w:type="dxa"/>
            <w:tcBorders>
              <w:top w:val="single" w:sz="12" w:space="0" w:color="auto"/>
              <w:bottom w:val="single" w:sz="6" w:space="0" w:color="auto"/>
            </w:tcBorders>
            <w:shd w:val="clear" w:color="auto" w:fill="auto"/>
          </w:tcPr>
          <w:p w:rsidR="0089151D" w:rsidRPr="00CA7526" w:rsidRDefault="0089151D" w:rsidP="00FA1104">
            <w:pPr>
              <w:pStyle w:val="TableHeaders"/>
            </w:pPr>
            <w:r w:rsidRPr="00CA7526">
              <w:t xml:space="preserve">Questions or </w:t>
            </w:r>
            <w:r w:rsidR="004862B3" w:rsidRPr="00CA7526">
              <w:t>Text</w:t>
            </w:r>
          </w:p>
        </w:tc>
        <w:tc>
          <w:tcPr>
            <w:tcW w:w="6271" w:type="dxa"/>
            <w:tcBorders>
              <w:top w:val="single" w:sz="12" w:space="0" w:color="auto"/>
              <w:bottom w:val="single" w:sz="6" w:space="0" w:color="auto"/>
            </w:tcBorders>
            <w:shd w:val="clear" w:color="auto" w:fill="auto"/>
          </w:tcPr>
          <w:p w:rsidR="0089151D" w:rsidRPr="00CA7526" w:rsidRDefault="0089151D" w:rsidP="00FA1104">
            <w:pPr>
              <w:pStyle w:val="TableHeaders"/>
            </w:pPr>
            <w:r w:rsidRPr="00CA7526">
              <w:t>Source</w:t>
            </w:r>
          </w:p>
        </w:tc>
      </w:tr>
      <w:tr w:rsidR="0089151D" w:rsidRPr="00CA7526" w:rsidTr="004862B3">
        <w:trPr>
          <w:cantSplit/>
        </w:trPr>
        <w:tc>
          <w:tcPr>
            <w:tcW w:w="3089" w:type="dxa"/>
            <w:tcBorders>
              <w:top w:val="single" w:sz="6" w:space="0" w:color="auto"/>
            </w:tcBorders>
            <w:shd w:val="clear" w:color="auto" w:fill="auto"/>
          </w:tcPr>
          <w:p w:rsidR="0089151D" w:rsidRPr="00CA7526" w:rsidRDefault="0089151D" w:rsidP="00E61464">
            <w:pPr>
              <w:pStyle w:val="TableText"/>
            </w:pPr>
            <w:r w:rsidRPr="00CA7526">
              <w:t xml:space="preserve">The text and image on </w:t>
            </w:r>
            <w:r w:rsidR="00E61464">
              <w:t xml:space="preserve">Attachment 2 </w:t>
            </w:r>
            <w:r w:rsidRPr="000D6765">
              <w:t>page</w:t>
            </w:r>
            <w:r w:rsidRPr="00CA7526">
              <w:t xml:space="preserve"> </w:t>
            </w:r>
            <w:r w:rsidR="00E61464">
              <w:t>4</w:t>
            </w:r>
            <w:r w:rsidRPr="00CA7526">
              <w:t xml:space="preserve"> describing </w:t>
            </w:r>
            <w:r w:rsidR="00E61464">
              <w:t>CRC</w:t>
            </w:r>
            <w:r w:rsidRPr="00CA7526">
              <w:t xml:space="preserve"> </w:t>
            </w:r>
          </w:p>
        </w:tc>
        <w:tc>
          <w:tcPr>
            <w:tcW w:w="6271" w:type="dxa"/>
            <w:tcBorders>
              <w:top w:val="single" w:sz="6" w:space="0" w:color="auto"/>
            </w:tcBorders>
            <w:shd w:val="clear" w:color="auto" w:fill="auto"/>
          </w:tcPr>
          <w:p w:rsidR="0089151D" w:rsidRPr="00CA7526" w:rsidRDefault="0089151D" w:rsidP="00FA1104">
            <w:pPr>
              <w:pStyle w:val="TableText"/>
              <w:rPr>
                <w:rStyle w:val="Hyperlink"/>
                <w:szCs w:val="22"/>
              </w:rPr>
            </w:pPr>
            <w:r w:rsidRPr="00CA7526">
              <w:t xml:space="preserve">Text: </w:t>
            </w:r>
            <w:hyperlink r:id="rId20" w:history="1">
              <w:r w:rsidRPr="00CA7526">
                <w:rPr>
                  <w:rStyle w:val="Hyperlink"/>
                  <w:szCs w:val="22"/>
                </w:rPr>
                <w:t>http://www.cdc.gov/cancer/colorectal/basic_info/facts.htm</w:t>
              </w:r>
            </w:hyperlink>
          </w:p>
          <w:p w:rsidR="0089151D" w:rsidRPr="00CA7526" w:rsidRDefault="0089151D" w:rsidP="00FA1104">
            <w:pPr>
              <w:pStyle w:val="TableText"/>
              <w:rPr>
                <w:color w:val="0000FF"/>
                <w:u w:val="single"/>
              </w:rPr>
            </w:pPr>
            <w:r w:rsidRPr="00CA7526">
              <w:rPr>
                <w:rStyle w:val="Hyperlink"/>
                <w:szCs w:val="22"/>
              </w:rPr>
              <w:t>Image:</w:t>
            </w:r>
            <w:r w:rsidRPr="00CA7526">
              <w:t xml:space="preserve"> </w:t>
            </w:r>
            <w:hyperlink r:id="rId21" w:history="1">
              <w:r w:rsidRPr="00CA7526">
                <w:rPr>
                  <w:rStyle w:val="Hyperlink"/>
                  <w:szCs w:val="22"/>
                </w:rPr>
                <w:t>http://digestive.niddk.nih.gov/ddiseases/pubs/virtualcolonoscopy/</w:t>
              </w:r>
            </w:hyperlink>
          </w:p>
        </w:tc>
      </w:tr>
      <w:tr w:rsidR="0089151D" w:rsidRPr="00CA7526" w:rsidTr="004862B3">
        <w:trPr>
          <w:cantSplit/>
        </w:trPr>
        <w:tc>
          <w:tcPr>
            <w:tcW w:w="3089" w:type="dxa"/>
            <w:shd w:val="clear" w:color="auto" w:fill="auto"/>
          </w:tcPr>
          <w:p w:rsidR="0089151D" w:rsidRPr="00CA7526" w:rsidRDefault="0089151D" w:rsidP="00FA1104">
            <w:pPr>
              <w:pStyle w:val="TableText"/>
            </w:pPr>
            <w:r w:rsidRPr="00CA7526">
              <w:t>Questions 1, 4, 5, 73</w:t>
            </w:r>
            <w:r w:rsidR="00906A4B" w:rsidRPr="00CA7526">
              <w:t>–8</w:t>
            </w:r>
            <w:r w:rsidRPr="00CA7526">
              <w:t>5</w:t>
            </w:r>
          </w:p>
        </w:tc>
        <w:tc>
          <w:tcPr>
            <w:tcW w:w="6271" w:type="dxa"/>
            <w:shd w:val="clear" w:color="auto" w:fill="auto"/>
          </w:tcPr>
          <w:p w:rsidR="0089151D" w:rsidRPr="00CA7526" w:rsidRDefault="0089151D" w:rsidP="00FA1104">
            <w:pPr>
              <w:pStyle w:val="TableText"/>
            </w:pPr>
            <w:r w:rsidRPr="00CA7526">
              <w:t xml:space="preserve">The Colon Cancer Risk Calculator developed by the </w:t>
            </w:r>
            <w:proofErr w:type="spellStart"/>
            <w:r w:rsidRPr="00CA7526">
              <w:t>Siteman</w:t>
            </w:r>
            <w:proofErr w:type="spellEnd"/>
            <w:r w:rsidRPr="00CA7526">
              <w:t xml:space="preserve"> Cancer Center at Barnes Jewish Hospital and Washington University School of Medicine (</w:t>
            </w:r>
            <w:hyperlink r:id="rId22" w:history="1">
              <w:r w:rsidRPr="00CA7526">
                <w:rPr>
                  <w:rStyle w:val="Hyperlink"/>
                  <w:szCs w:val="22"/>
                </w:rPr>
                <w:t>http://www.yourdiseaserisk.wustl.edu/YDRDefault.aspx?ScreenControl=YDRGeneral&amp;ScreenName=YDRcolon</w:t>
              </w:r>
            </w:hyperlink>
            <w:r w:rsidRPr="00CA7526">
              <w:t xml:space="preserve">). </w:t>
            </w:r>
          </w:p>
        </w:tc>
      </w:tr>
      <w:tr w:rsidR="0089151D" w:rsidRPr="00CA7526" w:rsidTr="004862B3">
        <w:trPr>
          <w:cantSplit/>
        </w:trPr>
        <w:tc>
          <w:tcPr>
            <w:tcW w:w="3089" w:type="dxa"/>
            <w:shd w:val="clear" w:color="auto" w:fill="auto"/>
          </w:tcPr>
          <w:p w:rsidR="0089151D" w:rsidRPr="00CA7526" w:rsidRDefault="0089151D" w:rsidP="00FA1104">
            <w:pPr>
              <w:pStyle w:val="TableText"/>
            </w:pPr>
            <w:r w:rsidRPr="00CA7526">
              <w:t xml:space="preserve">Questions </w:t>
            </w:r>
            <w:r w:rsidR="00C6293D" w:rsidRPr="00F1780A">
              <w:rPr>
                <w:rFonts w:asciiTheme="majorBidi" w:hAnsiTheme="majorBidi" w:cstheme="majorBidi"/>
              </w:rPr>
              <w:t>7, 40, 42, 4</w:t>
            </w:r>
            <w:r w:rsidR="00C6293D">
              <w:rPr>
                <w:rFonts w:asciiTheme="majorBidi" w:hAnsiTheme="majorBidi" w:cstheme="majorBidi"/>
              </w:rPr>
              <w:t>5</w:t>
            </w:r>
            <w:r w:rsidR="00C6293D" w:rsidRPr="00F1780A">
              <w:rPr>
                <w:rFonts w:asciiTheme="majorBidi" w:hAnsiTheme="majorBidi" w:cstheme="majorBidi"/>
              </w:rPr>
              <w:t>-47</w:t>
            </w:r>
            <w:r w:rsidR="00C6293D">
              <w:rPr>
                <w:rFonts w:asciiTheme="majorBidi" w:hAnsiTheme="majorBidi" w:cstheme="majorBidi"/>
              </w:rPr>
              <w:t>, 51</w:t>
            </w:r>
            <w:r w:rsidR="00C6293D" w:rsidRPr="00F1780A">
              <w:rPr>
                <w:rFonts w:asciiTheme="majorBidi" w:hAnsiTheme="majorBidi" w:cstheme="majorBidi"/>
              </w:rPr>
              <w:t xml:space="preserve"> (7, 42, 4</w:t>
            </w:r>
            <w:r w:rsidR="00C6293D">
              <w:rPr>
                <w:rFonts w:asciiTheme="majorBidi" w:hAnsiTheme="majorBidi" w:cstheme="majorBidi"/>
              </w:rPr>
              <w:t>7 and 51</w:t>
            </w:r>
            <w:r w:rsidR="00C6293D" w:rsidRPr="00F1780A">
              <w:rPr>
                <w:rFonts w:asciiTheme="majorBidi" w:hAnsiTheme="majorBidi" w:cstheme="majorBidi"/>
              </w:rPr>
              <w:t xml:space="preserve"> slightly revised from NHIS</w:t>
            </w:r>
            <w:r w:rsidR="00C6293D">
              <w:rPr>
                <w:rFonts w:asciiTheme="majorBidi" w:hAnsiTheme="majorBidi" w:cstheme="majorBidi"/>
              </w:rPr>
              <w:t xml:space="preserve"> wording</w:t>
            </w:r>
            <w:r w:rsidR="00C6293D" w:rsidRPr="00F1780A">
              <w:rPr>
                <w:rFonts w:asciiTheme="majorBidi" w:hAnsiTheme="majorBidi" w:cstheme="majorBidi"/>
              </w:rPr>
              <w:t>)</w:t>
            </w:r>
          </w:p>
        </w:tc>
        <w:tc>
          <w:tcPr>
            <w:tcW w:w="6271" w:type="dxa"/>
            <w:shd w:val="clear" w:color="auto" w:fill="auto"/>
          </w:tcPr>
          <w:p w:rsidR="0089151D" w:rsidRPr="00CA7526" w:rsidRDefault="0089151D" w:rsidP="00FA1104">
            <w:pPr>
              <w:pStyle w:val="TableText"/>
            </w:pPr>
            <w:r w:rsidRPr="00CA7526">
              <w:t>2010 National Health Interview Survey (NHIS</w:t>
            </w:r>
            <w:r w:rsidR="001811C2">
              <w:t>; OMB No. 0920-0914, exp. 1/31/2013</w:t>
            </w:r>
            <w:r w:rsidRPr="00CA7526">
              <w:t xml:space="preserve">) questions about colon cancer and screening tests </w:t>
            </w:r>
            <w:hyperlink r:id="rId23" w:history="1">
              <w:r w:rsidRPr="00CA7526">
                <w:rPr>
                  <w:rStyle w:val="Hyperlink"/>
                  <w:szCs w:val="22"/>
                </w:rPr>
                <w:t>ftp://ftp.cdc.gov/pub/Health_Statistics/NCHS/Survey_Questionnaires/NHIS/2010/English/qcancer.pdf</w:t>
              </w:r>
            </w:hyperlink>
          </w:p>
        </w:tc>
      </w:tr>
      <w:tr w:rsidR="0089151D" w:rsidRPr="00CA7526" w:rsidTr="004862B3">
        <w:trPr>
          <w:cantSplit/>
        </w:trPr>
        <w:tc>
          <w:tcPr>
            <w:tcW w:w="3089" w:type="dxa"/>
            <w:shd w:val="clear" w:color="auto" w:fill="auto"/>
          </w:tcPr>
          <w:p w:rsidR="0089151D" w:rsidRPr="00CA7526" w:rsidRDefault="0089151D" w:rsidP="00FA1104">
            <w:pPr>
              <w:pStyle w:val="TableText"/>
            </w:pPr>
            <w:r w:rsidRPr="00CA7526">
              <w:t>Questions 55</w:t>
            </w:r>
            <w:r w:rsidR="00906A4B" w:rsidRPr="00CA7526">
              <w:t>–5</w:t>
            </w:r>
            <w:r w:rsidRPr="00CA7526">
              <w:t xml:space="preserve">9 </w:t>
            </w:r>
          </w:p>
        </w:tc>
        <w:tc>
          <w:tcPr>
            <w:tcW w:w="6271" w:type="dxa"/>
            <w:shd w:val="clear" w:color="auto" w:fill="auto"/>
          </w:tcPr>
          <w:p w:rsidR="0089151D" w:rsidRPr="00CA7526" w:rsidRDefault="0089151D" w:rsidP="00FA1104">
            <w:pPr>
              <w:pStyle w:val="TableText"/>
            </w:pPr>
            <w:r w:rsidRPr="00CA7526">
              <w:t>From the survey for the Impact Evaluation of CDC</w:t>
            </w:r>
            <w:r w:rsidR="00906A4B" w:rsidRPr="00CA7526">
              <w:t>’</w:t>
            </w:r>
            <w:r w:rsidRPr="00CA7526">
              <w:t>s Colorectal Cancer Control Program (CRCCP)</w:t>
            </w:r>
            <w:r w:rsidR="001811C2">
              <w:t>, OMB No. 0920-0992</w:t>
            </w:r>
            <w:r w:rsidRPr="00CA7526">
              <w:t>.</w:t>
            </w:r>
          </w:p>
        </w:tc>
      </w:tr>
      <w:tr w:rsidR="0089151D" w:rsidRPr="00CA7526" w:rsidTr="004862B3">
        <w:trPr>
          <w:cantSplit/>
        </w:trPr>
        <w:tc>
          <w:tcPr>
            <w:tcW w:w="3089" w:type="dxa"/>
            <w:shd w:val="clear" w:color="auto" w:fill="auto"/>
          </w:tcPr>
          <w:p w:rsidR="0089151D" w:rsidRPr="00CA7526" w:rsidRDefault="0089151D" w:rsidP="00FA1104">
            <w:pPr>
              <w:pStyle w:val="TableText"/>
            </w:pPr>
            <w:r w:rsidRPr="00CA7526">
              <w:t>Questions 64</w:t>
            </w:r>
            <w:r w:rsidR="00906A4B" w:rsidRPr="00CA7526">
              <w:t>–6</w:t>
            </w:r>
            <w:r w:rsidRPr="00CA7526">
              <w:t xml:space="preserve">7 </w:t>
            </w:r>
          </w:p>
        </w:tc>
        <w:tc>
          <w:tcPr>
            <w:tcW w:w="6271" w:type="dxa"/>
            <w:shd w:val="clear" w:color="auto" w:fill="auto"/>
          </w:tcPr>
          <w:p w:rsidR="0089151D" w:rsidRPr="00CA7526" w:rsidRDefault="0089151D" w:rsidP="00FA1104">
            <w:pPr>
              <w:pStyle w:val="TableText"/>
            </w:pPr>
            <w:r w:rsidRPr="00CA7526">
              <w:t>CDC Healthy Days items from HRQOL-4</w:t>
            </w:r>
          </w:p>
          <w:p w:rsidR="0089151D" w:rsidRPr="00CA7526" w:rsidRDefault="00C9232B" w:rsidP="00FA1104">
            <w:pPr>
              <w:pStyle w:val="TableText"/>
            </w:pPr>
            <w:hyperlink r:id="rId24" w:anchor="1" w:history="1">
              <w:r w:rsidR="0089151D" w:rsidRPr="00CA7526">
                <w:rPr>
                  <w:rStyle w:val="Hyperlink"/>
                  <w:szCs w:val="22"/>
                </w:rPr>
                <w:t>http://www.cdc.gov/hrqol/hrqol14_measure.htm#1</w:t>
              </w:r>
            </w:hyperlink>
          </w:p>
        </w:tc>
      </w:tr>
      <w:tr w:rsidR="0089151D" w:rsidRPr="00CA7526" w:rsidTr="004862B3">
        <w:trPr>
          <w:cantSplit/>
        </w:trPr>
        <w:tc>
          <w:tcPr>
            <w:tcW w:w="3089" w:type="dxa"/>
            <w:shd w:val="clear" w:color="auto" w:fill="auto"/>
          </w:tcPr>
          <w:p w:rsidR="0089151D" w:rsidRPr="00CA7526" w:rsidRDefault="0089151D" w:rsidP="00FA1104">
            <w:pPr>
              <w:pStyle w:val="TableText"/>
            </w:pPr>
            <w:r w:rsidRPr="00CA7526">
              <w:t>Questions 68</w:t>
            </w:r>
            <w:r w:rsidR="00906A4B" w:rsidRPr="00CA7526">
              <w:t>–7</w:t>
            </w:r>
            <w:r w:rsidRPr="00CA7526">
              <w:t xml:space="preserve">2 </w:t>
            </w:r>
          </w:p>
        </w:tc>
        <w:tc>
          <w:tcPr>
            <w:tcW w:w="6271" w:type="dxa"/>
            <w:shd w:val="clear" w:color="auto" w:fill="auto"/>
          </w:tcPr>
          <w:p w:rsidR="0089151D" w:rsidRPr="00CA7526" w:rsidRDefault="0089151D" w:rsidP="00FA1104">
            <w:pPr>
              <w:pStyle w:val="TableText"/>
            </w:pPr>
            <w:r w:rsidRPr="00CA7526">
              <w:t>2010 NHIS questions about where respondent gets medical treatment</w:t>
            </w:r>
            <w:r w:rsidR="001811C2">
              <w:t xml:space="preserve"> (OMB No. 0920-0914, exp. 1/31/2013)</w:t>
            </w:r>
            <w:r w:rsidRPr="00CA7526">
              <w:t>.</w:t>
            </w:r>
          </w:p>
          <w:p w:rsidR="0089151D" w:rsidRPr="00CA7526" w:rsidRDefault="00C9232B" w:rsidP="00FA1104">
            <w:pPr>
              <w:pStyle w:val="TableText"/>
            </w:pPr>
            <w:hyperlink r:id="rId25" w:history="1">
              <w:r w:rsidR="0089151D" w:rsidRPr="00CA7526">
                <w:rPr>
                  <w:rStyle w:val="Hyperlink"/>
                  <w:szCs w:val="22"/>
                </w:rPr>
                <w:t>ftp://ftp.cdc.gov/pub/Health_Statistics/NCHS/Survey_Questionnaires/NHIS/2011/English/qadult.pdf</w:t>
              </w:r>
            </w:hyperlink>
          </w:p>
        </w:tc>
      </w:tr>
    </w:tbl>
    <w:p w:rsidR="0089151D" w:rsidRPr="00CA7526" w:rsidRDefault="0089151D" w:rsidP="00FA1104">
      <w:pPr>
        <w:pStyle w:val="Source"/>
      </w:pPr>
    </w:p>
    <w:p w:rsidR="00495ADF" w:rsidRPr="00CA7526" w:rsidRDefault="00495ADF" w:rsidP="007F576C">
      <w:pPr>
        <w:pStyle w:val="Heading2"/>
      </w:pPr>
      <w:bookmarkStart w:id="16" w:name="_Toc88033469"/>
      <w:bookmarkStart w:id="17" w:name="_Toc371431215"/>
      <w:r w:rsidRPr="00CA7526">
        <w:t>A.5</w:t>
      </w:r>
      <w:r w:rsidRPr="00CA7526">
        <w:tab/>
      </w:r>
      <w:bookmarkEnd w:id="16"/>
      <w:r w:rsidRPr="00CA7526">
        <w:t>Impact on Small Businesses or Other Small Entities</w:t>
      </w:r>
      <w:bookmarkEnd w:id="17"/>
    </w:p>
    <w:p w:rsidR="00906A4B" w:rsidRPr="00CA7526" w:rsidRDefault="0089151D" w:rsidP="00F42D12">
      <w:pPr>
        <w:pStyle w:val="BodyText1"/>
        <w:spacing w:line="360" w:lineRule="auto"/>
      </w:pPr>
      <w:r w:rsidRPr="00CA7526">
        <w:t>The survey will only be sent to households, and will not impact small businesses or other small entities.</w:t>
      </w:r>
    </w:p>
    <w:p w:rsidR="00495ADF" w:rsidRPr="00CA7526" w:rsidRDefault="00495ADF" w:rsidP="00F42D12">
      <w:pPr>
        <w:pStyle w:val="Heading2"/>
        <w:spacing w:line="360" w:lineRule="auto"/>
      </w:pPr>
      <w:bookmarkStart w:id="18" w:name="_Toc88033470"/>
      <w:bookmarkStart w:id="19" w:name="_Toc371431216"/>
      <w:r w:rsidRPr="00CA7526">
        <w:lastRenderedPageBreak/>
        <w:t>A.6</w:t>
      </w:r>
      <w:r w:rsidRPr="00CA7526">
        <w:tab/>
      </w:r>
      <w:bookmarkEnd w:id="18"/>
      <w:r w:rsidRPr="00CA7526">
        <w:t>Consequences of Collecting the Information Less Frequently</w:t>
      </w:r>
      <w:bookmarkEnd w:id="19"/>
    </w:p>
    <w:p w:rsidR="00495ADF" w:rsidRPr="00CA7526" w:rsidRDefault="0089151D" w:rsidP="00F42D12">
      <w:pPr>
        <w:pStyle w:val="BodyText1"/>
        <w:spacing w:line="360" w:lineRule="auto"/>
      </w:pPr>
      <w:r w:rsidRPr="00CA7526">
        <w:t>This is not a periodic data collection. If the Agency did not conduct the survey, CDC would lack quantitative information on public preferences for CRC screening cancer that could be used to design more effective screening tests and more effective public and provider education</w:t>
      </w:r>
      <w:r w:rsidR="008442BC">
        <w:t xml:space="preserve"> materials</w:t>
      </w:r>
      <w:r w:rsidRPr="00CA7526">
        <w:t>. Improving CDC</w:t>
      </w:r>
      <w:r w:rsidR="00906A4B" w:rsidRPr="00CA7526">
        <w:t>’</w:t>
      </w:r>
      <w:r w:rsidRPr="00CA7526">
        <w:t>s understanding of screening will help public health officials respond to the large, preventable burden of disease from cancer that remains, despite decades of improved cancer screening and therapies. The survey will examine how changing messaging and types of tests used can influence people</w:t>
      </w:r>
      <w:r w:rsidR="00906A4B" w:rsidRPr="00CA7526">
        <w:t>’</w:t>
      </w:r>
      <w:r w:rsidRPr="00CA7526">
        <w:t>s willingness to receive these treatments. As outlined in Section A1, this has large impacts for health care spending, both at the private and public level.</w:t>
      </w:r>
    </w:p>
    <w:p w:rsidR="00495ADF" w:rsidRPr="00CA7526" w:rsidRDefault="00495ADF" w:rsidP="00F42D12">
      <w:pPr>
        <w:pStyle w:val="Heading2"/>
        <w:spacing w:line="360" w:lineRule="auto"/>
      </w:pPr>
      <w:bookmarkStart w:id="20" w:name="_Toc88033471"/>
      <w:bookmarkStart w:id="21" w:name="_Toc371431217"/>
      <w:r w:rsidRPr="00CA7526">
        <w:t>A.7</w:t>
      </w:r>
      <w:r w:rsidRPr="00CA7526">
        <w:tab/>
      </w:r>
      <w:bookmarkEnd w:id="20"/>
      <w:r w:rsidRPr="00CA7526">
        <w:t>Special Circumstances Relating to the Guidelines of 5 CFR</w:t>
      </w:r>
      <w:r w:rsidR="0089151D" w:rsidRPr="00CA7526">
        <w:t xml:space="preserve"> </w:t>
      </w:r>
      <w:r w:rsidRPr="00CA7526">
        <w:t>1320</w:t>
      </w:r>
      <w:bookmarkEnd w:id="21"/>
    </w:p>
    <w:p w:rsidR="00495ADF" w:rsidRPr="00CA7526" w:rsidRDefault="0089151D" w:rsidP="00F42D12">
      <w:pPr>
        <w:pStyle w:val="BodyText1"/>
        <w:spacing w:line="360" w:lineRule="auto"/>
      </w:pPr>
      <w:r w:rsidRPr="00CA7526">
        <w:t>All information collection and recordkeeping activities in this submission are consistent with the guidelines in 5 CFR 1320.6.</w:t>
      </w:r>
    </w:p>
    <w:p w:rsidR="00495ADF" w:rsidRPr="00CA7526" w:rsidRDefault="00495ADF" w:rsidP="00B14DA8">
      <w:pPr>
        <w:pStyle w:val="Heading2"/>
      </w:pPr>
      <w:bookmarkStart w:id="22" w:name="_Toc88033472"/>
      <w:bookmarkStart w:id="23" w:name="_Toc371431218"/>
      <w:r w:rsidRPr="00CA7526">
        <w:t>A.8</w:t>
      </w:r>
      <w:r w:rsidRPr="00CA7526">
        <w:tab/>
      </w:r>
      <w:bookmarkEnd w:id="22"/>
      <w:r w:rsidRPr="00CA7526">
        <w:t>Comments in Response to the Federal Register Notice and Efforts to Consult Outside the Agency</w:t>
      </w:r>
      <w:bookmarkEnd w:id="23"/>
    </w:p>
    <w:p w:rsidR="0089151D" w:rsidRPr="00CA7526" w:rsidRDefault="00FA1104" w:rsidP="00CB17A4">
      <w:pPr>
        <w:pStyle w:val="bullets-blank"/>
      </w:pPr>
      <w:r w:rsidRPr="00CA7526">
        <w:t>A.</w:t>
      </w:r>
      <w:r w:rsidRPr="00CA7526">
        <w:tab/>
      </w:r>
      <w:r w:rsidR="0089151D" w:rsidRPr="00CA7526">
        <w:t xml:space="preserve">A 60-day Federal Register Notice was published in the </w:t>
      </w:r>
      <w:r w:rsidR="0089151D" w:rsidRPr="00CA7526">
        <w:rPr>
          <w:i/>
          <w:iCs/>
        </w:rPr>
        <w:t xml:space="preserve">Federal Register </w:t>
      </w:r>
      <w:r w:rsidR="0089151D" w:rsidRPr="00CA7526">
        <w:t>on September 5, 2013</w:t>
      </w:r>
      <w:r w:rsidR="008B48AD">
        <w:t>, vol. 78, no. 172</w:t>
      </w:r>
      <w:r w:rsidR="00C9232B">
        <w:t>, page 54653</w:t>
      </w:r>
      <w:bookmarkStart w:id="24" w:name="_GoBack"/>
      <w:bookmarkEnd w:id="24"/>
      <w:r w:rsidR="0089151D" w:rsidRPr="00CA7526">
        <w:t xml:space="preserve"> (see </w:t>
      </w:r>
      <w:r w:rsidR="00906A4B" w:rsidRPr="00CA7526">
        <w:rPr>
          <w:b/>
          <w:bCs/>
        </w:rPr>
        <w:t>Attachment </w:t>
      </w:r>
      <w:r w:rsidR="0089151D" w:rsidRPr="00CA7526">
        <w:rPr>
          <w:b/>
          <w:bCs/>
        </w:rPr>
        <w:t>4</w:t>
      </w:r>
      <w:r w:rsidR="0089151D" w:rsidRPr="00CA7526">
        <w:t xml:space="preserve">). One public comment received and acknowledged. See </w:t>
      </w:r>
      <w:r w:rsidR="00906A4B" w:rsidRPr="00CA7526">
        <w:rPr>
          <w:b/>
          <w:bCs/>
        </w:rPr>
        <w:t>Attachment </w:t>
      </w:r>
      <w:r w:rsidR="0089151D" w:rsidRPr="00CA7526">
        <w:rPr>
          <w:b/>
          <w:bCs/>
        </w:rPr>
        <w:t>5</w:t>
      </w:r>
      <w:r w:rsidR="0089151D" w:rsidRPr="00CA7526">
        <w:t xml:space="preserve"> for a summary of public comments.</w:t>
      </w:r>
    </w:p>
    <w:p w:rsidR="0089151D" w:rsidRPr="00CA7526" w:rsidRDefault="00FA1104" w:rsidP="00FA1104">
      <w:pPr>
        <w:pStyle w:val="bullets-blank"/>
      </w:pPr>
      <w:r w:rsidRPr="00CA7526">
        <w:t>B.</w:t>
      </w:r>
      <w:r w:rsidRPr="00CA7526">
        <w:tab/>
      </w:r>
      <w:r w:rsidR="00286CB1">
        <w:t>Efforts to Consult Outside the Agency</w:t>
      </w:r>
    </w:p>
    <w:p w:rsidR="00E61464" w:rsidRDefault="0062693A" w:rsidP="00F42D12">
      <w:pPr>
        <w:spacing w:line="360" w:lineRule="auto"/>
        <w:ind w:firstLine="720"/>
        <w:rPr>
          <w:rFonts w:asciiTheme="majorBidi" w:hAnsiTheme="majorBidi" w:cstheme="majorBidi"/>
        </w:rPr>
      </w:pPr>
      <w:r>
        <w:t xml:space="preserve">The survey was reviewed by several other federal agencies. </w:t>
      </w:r>
      <w:r w:rsidRPr="00E61464">
        <w:rPr>
          <w:b/>
          <w:bCs/>
        </w:rPr>
        <w:t xml:space="preserve">Dr. </w:t>
      </w:r>
      <w:r w:rsidRPr="00E61464">
        <w:rPr>
          <w:rFonts w:asciiTheme="majorBidi" w:hAnsiTheme="majorBidi" w:cstheme="majorBidi"/>
          <w:b/>
          <w:bCs/>
        </w:rPr>
        <w:t>Louis B. Jacques</w:t>
      </w:r>
      <w:r w:rsidRPr="00E61464">
        <w:rPr>
          <w:rFonts w:asciiTheme="majorBidi" w:hAnsiTheme="majorBidi" w:cstheme="majorBidi"/>
        </w:rPr>
        <w:t xml:space="preserve"> </w:t>
      </w:r>
      <w:r>
        <w:rPr>
          <w:rFonts w:asciiTheme="majorBidi" w:hAnsiTheme="majorBidi" w:cstheme="majorBidi"/>
        </w:rPr>
        <w:t>(</w:t>
      </w:r>
      <w:r w:rsidRPr="00E61464">
        <w:rPr>
          <w:rFonts w:asciiTheme="majorBidi" w:hAnsiTheme="majorBidi" w:cstheme="majorBidi"/>
        </w:rPr>
        <w:t>Director, Coverage &amp; Analysis Group</w:t>
      </w:r>
      <w:r>
        <w:rPr>
          <w:rFonts w:asciiTheme="majorBidi" w:hAnsiTheme="majorBidi" w:cstheme="majorBidi"/>
        </w:rPr>
        <w:t xml:space="preserve">, </w:t>
      </w:r>
      <w:r w:rsidRPr="00E61464">
        <w:rPr>
          <w:rFonts w:asciiTheme="majorBidi" w:hAnsiTheme="majorBidi" w:cstheme="majorBidi"/>
        </w:rPr>
        <w:t>Center for Clinical Standards and Quality</w:t>
      </w:r>
      <w:r>
        <w:rPr>
          <w:rFonts w:asciiTheme="majorBidi" w:hAnsiTheme="majorBidi" w:cstheme="majorBidi"/>
        </w:rPr>
        <w:t xml:space="preserve">, </w:t>
      </w:r>
      <w:r w:rsidRPr="00E61464">
        <w:rPr>
          <w:rFonts w:asciiTheme="majorBidi" w:hAnsiTheme="majorBidi" w:cstheme="majorBidi"/>
        </w:rPr>
        <w:t>Centers for Medicare &amp; Medicaid Services</w:t>
      </w:r>
      <w:r>
        <w:rPr>
          <w:rFonts w:asciiTheme="majorBidi" w:hAnsiTheme="majorBidi" w:cstheme="majorBidi"/>
        </w:rPr>
        <w:t xml:space="preserve">) provided the following comment: </w:t>
      </w:r>
    </w:p>
    <w:p w:rsidR="00AB5685" w:rsidRDefault="00AB5685" w:rsidP="00E61464">
      <w:pPr>
        <w:ind w:firstLine="720"/>
        <w:rPr>
          <w:rFonts w:asciiTheme="majorBidi" w:hAnsiTheme="majorBidi" w:cstheme="majorBidi"/>
        </w:rPr>
      </w:pPr>
    </w:p>
    <w:p w:rsidR="00E61464" w:rsidRDefault="0062693A" w:rsidP="00E61464">
      <w:pPr>
        <w:ind w:left="720"/>
      </w:pPr>
      <w:r>
        <w:rPr>
          <w:rFonts w:asciiTheme="majorBidi" w:hAnsiTheme="majorBidi" w:cstheme="majorBidi"/>
        </w:rPr>
        <w:t>“</w:t>
      </w:r>
      <w:r>
        <w:t>Since incidence and prevalence of colorectal cancer increase with age, screening for CRC is important for the Medicare population. While Medicare covers several CRC screening tests, the uptake of screening remains below the 2020 target of 70.5%. Understanding why individuals do not undergo screening would be helpful to eliminating existing barriers and implementing appropriate programs to increase screening which has been shown to reduce mortality and, in some instances, prevent cancer. The planned CDC study would produce valuable information to assist in optimizing screening for the general U.S. population and particularly for the Medicare population.”</w:t>
      </w:r>
    </w:p>
    <w:p w:rsidR="00E61464" w:rsidRDefault="00E61464" w:rsidP="00B21F87">
      <w:pPr>
        <w:ind w:firstLine="720"/>
        <w:rPr>
          <w:b/>
          <w:bCs/>
        </w:rPr>
      </w:pPr>
    </w:p>
    <w:p w:rsidR="00E61464" w:rsidRDefault="00E61464" w:rsidP="00F42D12">
      <w:pPr>
        <w:spacing w:line="360" w:lineRule="auto"/>
        <w:ind w:firstLine="720"/>
      </w:pPr>
      <w:r w:rsidRPr="00B21F87">
        <w:rPr>
          <w:b/>
          <w:bCs/>
        </w:rPr>
        <w:t xml:space="preserve">Dr. Ann M. Geiger </w:t>
      </w:r>
      <w:r w:rsidRPr="00B21F87">
        <w:t>(Chief, Health Services and Economics Branch, Applied Research Program, division of Cancer Control and Population Sciences, National Cancer Institute)</w:t>
      </w:r>
      <w:r>
        <w:t xml:space="preserve"> provided a letter of support stating:</w:t>
      </w:r>
    </w:p>
    <w:p w:rsidR="00E61464" w:rsidRDefault="00E61464" w:rsidP="00E61464">
      <w:pPr>
        <w:pStyle w:val="Default"/>
      </w:pPr>
    </w:p>
    <w:p w:rsidR="00E61464" w:rsidRPr="00E61464" w:rsidRDefault="00E61464" w:rsidP="00B21F87">
      <w:pPr>
        <w:ind w:left="720" w:firstLine="60"/>
      </w:pPr>
      <w:r w:rsidRPr="00E61464">
        <w:t>“</w:t>
      </w:r>
      <w:r w:rsidRPr="00B21F87">
        <w:t>Thank you for the opportunity to review the Colorectal Cancer Screening Survey proposal. The study you propose will help address a critical question in the literature: what characteristics of the different colorectal cancer screening modalities do patients prefer? National Health Interview Survey data (2010) show that a 58.6% of adults 50 and older were not screened (well below the 2020 target of 70.5%). The USPSTF recommends a range of screening modalities, including blood stool testing and colonoscopy, but the screening modality used most frequency and increasing most rapidly is colonoscopy. Colonoscopy is expensive and invasive, and may not be preferred by all adults in the age-eligible range for screening. The literature provides little guidance about why some individuals do not undergo CRC screening or what test they would prefer. The proposed study would produce valuable information to help the scientific community better understand patient preference in the general U.S. population and deserves strong support.”</w:t>
      </w:r>
    </w:p>
    <w:p w:rsidR="000E1070" w:rsidRPr="000E1070" w:rsidRDefault="000E1070" w:rsidP="00B21F87">
      <w:pPr>
        <w:ind w:firstLine="720"/>
      </w:pPr>
    </w:p>
    <w:p w:rsidR="00495ADF" w:rsidRPr="00CA7526" w:rsidRDefault="00495ADF" w:rsidP="00E07659">
      <w:pPr>
        <w:pStyle w:val="Heading2"/>
      </w:pPr>
      <w:bookmarkStart w:id="25" w:name="_Toc88033473"/>
      <w:bookmarkStart w:id="26" w:name="_Toc371431219"/>
      <w:r w:rsidRPr="00CA7526">
        <w:t>A.9</w:t>
      </w:r>
      <w:r w:rsidRPr="00CA7526">
        <w:tab/>
      </w:r>
      <w:bookmarkEnd w:id="25"/>
      <w:r w:rsidRPr="00CA7526">
        <w:t>Explanation of Any Payment or Gift to Respondents</w:t>
      </w:r>
      <w:bookmarkEnd w:id="26"/>
    </w:p>
    <w:p w:rsidR="00906A4B" w:rsidRPr="00CA7526" w:rsidRDefault="0089151D" w:rsidP="00F42D12">
      <w:pPr>
        <w:pStyle w:val="BodyText1"/>
        <w:spacing w:line="360" w:lineRule="auto"/>
      </w:pPr>
      <w:r w:rsidRPr="00CA7526">
        <w:t xml:space="preserve">All respondents will be recruited from an online research panel (the </w:t>
      </w:r>
      <w:r w:rsidR="00906A4B" w:rsidRPr="00CA7526">
        <w:t>“</w:t>
      </w:r>
      <w:proofErr w:type="spellStart"/>
      <w:r w:rsidRPr="00CA7526">
        <w:t>KnowledgePanel</w:t>
      </w:r>
      <w:proofErr w:type="spellEnd"/>
      <w:r w:rsidRPr="00CA7526">
        <w:t>®</w:t>
      </w:r>
      <w:r w:rsidR="00906A4B" w:rsidRPr="00CA7526">
        <w:t>”</w:t>
      </w:r>
      <w:r w:rsidRPr="00CA7526">
        <w:t>) maintained by the data collection partner, KN.</w:t>
      </w:r>
      <w:r w:rsidR="00906A4B" w:rsidRPr="00CA7526">
        <w:t xml:space="preserve"> </w:t>
      </w:r>
      <w:r w:rsidRPr="00CA7526">
        <w:t xml:space="preserve">Research participants will be offered a small non-cash incentive by KN to complete the proposed research survey. KN requires that any survey to its panelists provide such </w:t>
      </w:r>
      <w:r w:rsidR="00906A4B" w:rsidRPr="00CA7526">
        <w:t>“</w:t>
      </w:r>
      <w:r w:rsidRPr="00CA7526">
        <w:t>points,</w:t>
      </w:r>
      <w:r w:rsidR="00906A4B" w:rsidRPr="00CA7526">
        <w:t>”</w:t>
      </w:r>
      <w:r w:rsidRPr="00CA7526">
        <w:t xml:space="preserve"> which can be redeemed for raffle entries, various gifts, or cash at regular intervals. The total monetary equivalent of the points for this one-time survey will not exceed $10. This honorarium is intended to recognize the time burden placed on the participants, encourage their cooperation, and to convey appreciation for contributing to this important study. Numerous empirical studies have shown that honoraria can significantly increase response rates (Abreu &amp; Winters, 1999; </w:t>
      </w:r>
      <w:proofErr w:type="spellStart"/>
      <w:r w:rsidRPr="00CA7526">
        <w:t>Shettle</w:t>
      </w:r>
      <w:proofErr w:type="spellEnd"/>
      <w:r w:rsidRPr="00CA7526">
        <w:t xml:space="preserve"> &amp; Mooney, 1999). The decision to use honoraria for this study is based on findings reported in current research publications and several projects conducted by KN and RTI, which found that use of an honorarium increases response rates among adults. All participant remuneration will be approved by the RTI International Institutional Review Board (IRB, see </w:t>
      </w:r>
      <w:r w:rsidR="00906A4B" w:rsidRPr="00CA7526">
        <w:rPr>
          <w:b/>
          <w:bCs/>
        </w:rPr>
        <w:t>Attachment </w:t>
      </w:r>
      <w:r w:rsidRPr="00CA7526">
        <w:rPr>
          <w:b/>
          <w:bCs/>
        </w:rPr>
        <w:t xml:space="preserve">6 </w:t>
      </w:r>
      <w:r w:rsidRPr="00CA7526">
        <w:t>for RTI IRB approval).</w:t>
      </w:r>
    </w:p>
    <w:p w:rsidR="0089151D" w:rsidRPr="00CA7526" w:rsidRDefault="00495ADF" w:rsidP="00F42D12">
      <w:pPr>
        <w:pStyle w:val="Heading2"/>
        <w:spacing w:line="360" w:lineRule="auto"/>
      </w:pPr>
      <w:bookmarkStart w:id="27" w:name="_Toc88033474"/>
      <w:bookmarkStart w:id="28" w:name="_Toc371431220"/>
      <w:r w:rsidRPr="00CA7526">
        <w:lastRenderedPageBreak/>
        <w:t>A.10</w:t>
      </w:r>
      <w:r w:rsidRPr="00CA7526">
        <w:tab/>
      </w:r>
      <w:bookmarkEnd w:id="27"/>
      <w:r w:rsidRPr="00CA7526">
        <w:t>Assurance of Confidentiality Provided to Respondents</w:t>
      </w:r>
      <w:bookmarkEnd w:id="28"/>
    </w:p>
    <w:p w:rsidR="00906A4B" w:rsidRPr="00CA7526" w:rsidRDefault="0089151D" w:rsidP="00F42D12">
      <w:pPr>
        <w:pStyle w:val="BodyText1"/>
        <w:spacing w:line="360" w:lineRule="auto"/>
      </w:pPr>
      <w:r w:rsidRPr="00CA7526">
        <w:t>All procedures have been developed, in accordance with federal, state, and local guidelines, to ensure that the rights and privacy of participants are protected and maintained. The RTI IRB reviewed and approved all instruments, informed consent materials, and data collection and management procedures (</w:t>
      </w:r>
      <w:r w:rsidR="00906A4B" w:rsidRPr="00CA7526">
        <w:rPr>
          <w:b/>
          <w:bCs/>
        </w:rPr>
        <w:t>Attachment </w:t>
      </w:r>
      <w:r w:rsidRPr="00CA7526">
        <w:rPr>
          <w:b/>
          <w:bCs/>
        </w:rPr>
        <w:t>6</w:t>
      </w:r>
      <w:r w:rsidRPr="00CA7526">
        <w:t xml:space="preserve"> for RTI IRB approval).</w:t>
      </w:r>
    </w:p>
    <w:p w:rsidR="0089151D" w:rsidRPr="00CA7526" w:rsidRDefault="00906A4B" w:rsidP="00F42D12">
      <w:pPr>
        <w:pStyle w:val="Heading3"/>
        <w:spacing w:line="360" w:lineRule="auto"/>
        <w:rPr>
          <w:lang w:val="en-US"/>
        </w:rPr>
      </w:pPr>
      <w:bookmarkStart w:id="29" w:name="_Toc371431221"/>
      <w:r w:rsidRPr="00CA7526">
        <w:rPr>
          <w:lang w:val="en-US"/>
        </w:rPr>
        <w:t>A.10.1</w:t>
      </w:r>
      <w:r w:rsidRPr="00CA7526">
        <w:rPr>
          <w:lang w:val="en-US"/>
        </w:rPr>
        <w:tab/>
      </w:r>
      <w:r w:rsidR="0089151D" w:rsidRPr="00CA7526">
        <w:rPr>
          <w:lang w:val="en-US"/>
        </w:rPr>
        <w:t>Privacy Impact Assessment Information</w:t>
      </w:r>
      <w:bookmarkEnd w:id="29"/>
    </w:p>
    <w:p w:rsidR="002E73F1" w:rsidRPr="00B21F87" w:rsidRDefault="002E73F1" w:rsidP="00F42D12">
      <w:pPr>
        <w:pStyle w:val="BodyText1"/>
        <w:spacing w:line="360" w:lineRule="auto"/>
        <w:ind w:firstLine="0"/>
        <w:rPr>
          <w:i/>
        </w:rPr>
      </w:pPr>
      <w:r w:rsidRPr="00B21F87">
        <w:rPr>
          <w:i/>
        </w:rPr>
        <w:t>Privacy Act Determination</w:t>
      </w:r>
    </w:p>
    <w:p w:rsidR="00906A4B" w:rsidRPr="00CA7526" w:rsidRDefault="0089151D" w:rsidP="00F42D12">
      <w:pPr>
        <w:pStyle w:val="BodyText1"/>
        <w:spacing w:line="360" w:lineRule="auto"/>
      </w:pPr>
      <w:r w:rsidRPr="00CA7526">
        <w:t>This submission has been reviewed by CDC</w:t>
      </w:r>
      <w:r w:rsidR="00906A4B" w:rsidRPr="00CA7526">
        <w:t>’</w:t>
      </w:r>
      <w:r w:rsidRPr="00CA7526">
        <w:t>s National Center for Chronic Disease Prevention and Health Promotion and CDC</w:t>
      </w:r>
      <w:r w:rsidR="00906A4B" w:rsidRPr="00CA7526">
        <w:t>’</w:t>
      </w:r>
      <w:r w:rsidRPr="00CA7526">
        <w:t>s Information Collection Review Office, which have determined that the Privacy Act does not apply.</w:t>
      </w:r>
      <w:r w:rsidR="00906A4B" w:rsidRPr="00CA7526">
        <w:t xml:space="preserve"> </w:t>
      </w:r>
      <w:r w:rsidRPr="00CA7526">
        <w:t>Although identifiable information about respondents will be used to facilitate initial contact and follow-up, the identifying information is maintained in a secure, pre-existing records system owned by KN.</w:t>
      </w:r>
      <w:r w:rsidR="00906A4B" w:rsidRPr="00CA7526">
        <w:t xml:space="preserve"> </w:t>
      </w:r>
      <w:r w:rsidRPr="00CA7526">
        <w:t>The response data transmitted from KN to RTI International, the data analysis contractor, will be de-identified prior to transmission and analysis.</w:t>
      </w:r>
    </w:p>
    <w:p w:rsidR="0089151D" w:rsidRPr="00CA7526" w:rsidRDefault="0089151D" w:rsidP="00F42D12">
      <w:pPr>
        <w:pStyle w:val="Heading4"/>
        <w:spacing w:line="360" w:lineRule="auto"/>
      </w:pPr>
      <w:r w:rsidRPr="00CA7526">
        <w:t>Safeguards</w:t>
      </w:r>
    </w:p>
    <w:p w:rsidR="00906A4B" w:rsidRPr="00CA7526" w:rsidRDefault="0089151D" w:rsidP="00F42D12">
      <w:pPr>
        <w:pStyle w:val="BodyText1"/>
        <w:spacing w:line="360" w:lineRule="auto"/>
      </w:pPr>
      <w:r w:rsidRPr="00CA7526">
        <w:t xml:space="preserve">All data files on multi-user systems will be under the control of a database manager, with access limited to project staff on a </w:t>
      </w:r>
      <w:r w:rsidR="00906A4B" w:rsidRPr="00CA7526">
        <w:t>“</w:t>
      </w:r>
      <w:r w:rsidRPr="00CA7526">
        <w:t>need-to-know</w:t>
      </w:r>
      <w:r w:rsidR="00906A4B" w:rsidRPr="00CA7526">
        <w:t>”</w:t>
      </w:r>
      <w:r w:rsidRPr="00CA7526">
        <w:t xml:space="preserve"> basis only. KN has developed a secure transmission and collection protocol, including the use of system passwords, and two separate sets of firewalls to prevent unauthorized access to the system. Neither questionnaires nor survey responses are stored onto the KN-provided laptops; questionnaires are administered dynamically over the Internet. </w:t>
      </w:r>
      <w:proofErr w:type="gramStart"/>
      <w:r w:rsidRPr="00CA7526">
        <w:t>Survey responses are written in real-time directly to KN</w:t>
      </w:r>
      <w:r w:rsidR="00906A4B" w:rsidRPr="00CA7526">
        <w:t>’</w:t>
      </w:r>
      <w:r w:rsidRPr="00CA7526">
        <w:t xml:space="preserve"> server and are then stored in a local Oracle database.</w:t>
      </w:r>
      <w:proofErr w:type="gramEnd"/>
      <w:r w:rsidRPr="00CA7526">
        <w:t xml:space="preserve"> The database is protected primarily through firewall restrictions, password protection, and 128-bit encryption technology. Individual identifying information will be maintained separately from completed questionnaires and from computerized data files used for analysis. A detailed description of KN privacy safeguards is provided with this submission (</w:t>
      </w:r>
      <w:r w:rsidR="00906A4B" w:rsidRPr="00CA7526">
        <w:rPr>
          <w:b/>
          <w:bCs/>
        </w:rPr>
        <w:t>Attachment </w:t>
      </w:r>
      <w:r w:rsidRPr="00CA7526">
        <w:rPr>
          <w:b/>
          <w:bCs/>
        </w:rPr>
        <w:t>7</w:t>
      </w:r>
      <w:r w:rsidRPr="00CA7526">
        <w:t>). No respondent identifiers will be contained in reports to CDC and results will only present data in aggregate.</w:t>
      </w:r>
    </w:p>
    <w:p w:rsidR="0089151D" w:rsidRPr="00CA7526" w:rsidRDefault="0089151D" w:rsidP="00F42D12">
      <w:pPr>
        <w:pStyle w:val="Heading4"/>
        <w:spacing w:line="360" w:lineRule="auto"/>
      </w:pPr>
      <w:r w:rsidRPr="00CA7526">
        <w:lastRenderedPageBreak/>
        <w:t>Consent</w:t>
      </w:r>
    </w:p>
    <w:p w:rsidR="0089151D" w:rsidRPr="00CA7526" w:rsidRDefault="0089151D" w:rsidP="00F42D12">
      <w:pPr>
        <w:pStyle w:val="BodyText1"/>
        <w:spacing w:line="360" w:lineRule="auto"/>
      </w:pPr>
      <w:r w:rsidRPr="00CA7526">
        <w:t>All respondents will be assured that the information they provide will be maintained in a secure manner and will be used only for the purpose of this research. Please refer to the assurances and study descriptions that are included in the Consent Process (</w:t>
      </w:r>
      <w:r w:rsidR="00906A4B" w:rsidRPr="00CA7526">
        <w:rPr>
          <w:b/>
        </w:rPr>
        <w:t>Attachment </w:t>
      </w:r>
      <w:r w:rsidR="00CB17A4">
        <w:rPr>
          <w:b/>
        </w:rPr>
        <w:t xml:space="preserve">2 </w:t>
      </w:r>
      <w:r w:rsidR="00CB17A4" w:rsidRPr="000D6765">
        <w:rPr>
          <w:b/>
        </w:rPr>
        <w:t>page</w:t>
      </w:r>
      <w:r w:rsidR="00CB17A4">
        <w:rPr>
          <w:b/>
        </w:rPr>
        <w:t>s 4-6</w:t>
      </w:r>
      <w:r w:rsidRPr="00CA7526">
        <w:t>).</w:t>
      </w:r>
      <w:r w:rsidR="00906A4B" w:rsidRPr="00CA7526">
        <w:t xml:space="preserve"> </w:t>
      </w:r>
      <w:r w:rsidRPr="00CA7526">
        <w:t>Respondents will be told that the information obtained from all of the surveys will be combined into a summary report so that details of individual questionnaires cannot be linked to a specific participant.</w:t>
      </w:r>
    </w:p>
    <w:p w:rsidR="0089151D" w:rsidRPr="00CA7526" w:rsidRDefault="0089151D" w:rsidP="00F42D12">
      <w:pPr>
        <w:pStyle w:val="Heading4"/>
        <w:spacing w:line="360" w:lineRule="auto"/>
      </w:pPr>
      <w:r w:rsidRPr="00CA7526">
        <w:t>Nature of Participation</w:t>
      </w:r>
    </w:p>
    <w:p w:rsidR="0089151D" w:rsidRPr="00CA7526" w:rsidRDefault="0089151D" w:rsidP="00F42D12">
      <w:pPr>
        <w:pStyle w:val="BodyText1"/>
        <w:spacing w:line="360" w:lineRule="auto"/>
      </w:pPr>
      <w:r w:rsidRPr="00CA7526">
        <w:t>Respondents will participate on a voluntary basis.</w:t>
      </w:r>
      <w:r w:rsidR="00906A4B" w:rsidRPr="00CA7526">
        <w:t xml:space="preserve"> </w:t>
      </w:r>
      <w:r w:rsidRPr="00CA7526">
        <w:t xml:space="preserve">The voluntary nature of the information collection is described in the introductory section of the Consent Process (see </w:t>
      </w:r>
      <w:r w:rsidR="00906A4B" w:rsidRPr="00CA7526">
        <w:rPr>
          <w:b/>
        </w:rPr>
        <w:t>Attachment </w:t>
      </w:r>
      <w:r w:rsidR="00CB17A4">
        <w:rPr>
          <w:b/>
        </w:rPr>
        <w:t xml:space="preserve">2 </w:t>
      </w:r>
      <w:r w:rsidR="00CB17A4" w:rsidRPr="000D6765">
        <w:rPr>
          <w:b/>
        </w:rPr>
        <w:t>page</w:t>
      </w:r>
      <w:r w:rsidR="00CB17A4" w:rsidRPr="000F5F26">
        <w:rPr>
          <w:b/>
        </w:rPr>
        <w:t>s</w:t>
      </w:r>
      <w:r w:rsidR="00CB17A4">
        <w:rPr>
          <w:b/>
        </w:rPr>
        <w:t xml:space="preserve"> 4-6</w:t>
      </w:r>
      <w:r w:rsidRPr="00CA7526">
        <w:t>) and the initial contact email (</w:t>
      </w:r>
      <w:r w:rsidR="00906A4B" w:rsidRPr="00CA7526">
        <w:rPr>
          <w:b/>
          <w:bCs/>
        </w:rPr>
        <w:t>Attachment </w:t>
      </w:r>
      <w:r w:rsidR="00CB17A4">
        <w:rPr>
          <w:b/>
          <w:bCs/>
        </w:rPr>
        <w:t>8</w:t>
      </w:r>
      <w:r w:rsidRPr="00CA7526">
        <w:t>).</w:t>
      </w:r>
    </w:p>
    <w:p w:rsidR="00495ADF" w:rsidRPr="00CA7526" w:rsidRDefault="00495ADF" w:rsidP="00F42D12">
      <w:pPr>
        <w:pStyle w:val="Heading2"/>
        <w:spacing w:line="360" w:lineRule="auto"/>
      </w:pPr>
      <w:bookmarkStart w:id="30" w:name="_Toc88033477"/>
      <w:bookmarkStart w:id="31" w:name="_Toc371431222"/>
      <w:r w:rsidRPr="00CA7526">
        <w:t>A.11</w:t>
      </w:r>
      <w:r w:rsidRPr="00CA7526">
        <w:tab/>
      </w:r>
      <w:bookmarkEnd w:id="30"/>
      <w:r w:rsidRPr="00CA7526">
        <w:t>Justification for Sensitive Questions</w:t>
      </w:r>
      <w:bookmarkEnd w:id="31"/>
    </w:p>
    <w:p w:rsidR="000B5679" w:rsidRDefault="0089151D" w:rsidP="00F42D12">
      <w:pPr>
        <w:pStyle w:val="BodyText1"/>
        <w:spacing w:line="360" w:lineRule="auto"/>
      </w:pPr>
      <w:r w:rsidRPr="00CA7526">
        <w:t>The majority of questions asked will not be of a sensitive nature. However, it will be necessary to ask some questions that may be considered to be of a sensitive nature in order to assess specific health behaviors related to cancer screening tests and cancer history in the respondent</w:t>
      </w:r>
      <w:r w:rsidR="00906A4B" w:rsidRPr="00CA7526">
        <w:t>’</w:t>
      </w:r>
      <w:r w:rsidRPr="00CA7526">
        <w:t>s family. These questions are essential to the objectives of this information collection. To address any concerns about inadvertent disclosure of sensitive information, respondents will be fully informed of the applicable privacy safeguards</w:t>
      </w:r>
      <w:r w:rsidR="000B5679">
        <w:t>.</w:t>
      </w:r>
      <w:r w:rsidR="000B5679" w:rsidRPr="00CA7526" w:rsidDel="000B5679">
        <w:t xml:space="preserve"> </w:t>
      </w:r>
    </w:p>
    <w:p w:rsidR="00906A4B" w:rsidRDefault="0089151D" w:rsidP="00FA1104">
      <w:pPr>
        <w:pStyle w:val="bullets"/>
      </w:pPr>
      <w:r w:rsidRPr="00CA7526">
        <w:t>Participants will be provided with a specific toll-free phone number (linking directly to the RTI IRB Office) to call in case there is a question or concern about the sensitive issue.</w:t>
      </w:r>
    </w:p>
    <w:p w:rsidR="000B5679" w:rsidRPr="00CA7526" w:rsidRDefault="000B5679" w:rsidP="000B5679">
      <w:pPr>
        <w:pStyle w:val="bullets"/>
      </w:pPr>
      <w:r w:rsidRPr="00CA7526">
        <w:t>Web surveys are entirely self-administered and maximize respondent privacy without the need to verbalize responses.</w:t>
      </w:r>
    </w:p>
    <w:p w:rsidR="000B5679" w:rsidRPr="00CA7526" w:rsidRDefault="000B5679" w:rsidP="000B5679">
      <w:pPr>
        <w:pStyle w:val="bullets"/>
        <w:numPr>
          <w:ilvl w:val="0"/>
          <w:numId w:val="0"/>
        </w:numPr>
        <w:ind w:left="720"/>
      </w:pPr>
    </w:p>
    <w:p w:rsidR="0089151D" w:rsidRPr="00CA7526" w:rsidRDefault="0089151D" w:rsidP="00FA1104">
      <w:pPr>
        <w:pStyle w:val="BodyText1"/>
      </w:pPr>
      <w:r w:rsidRPr="00CA7526">
        <w:t>Finally, KN will only provide data to RTI and CDC with all identifiers removed.</w:t>
      </w:r>
    </w:p>
    <w:p w:rsidR="00495ADF" w:rsidRPr="00CA7526" w:rsidRDefault="00495ADF" w:rsidP="00F66166">
      <w:pPr>
        <w:pStyle w:val="Heading2"/>
      </w:pPr>
      <w:bookmarkStart w:id="32" w:name="_Toc88033478"/>
      <w:bookmarkStart w:id="33" w:name="_Toc371431223"/>
      <w:r w:rsidRPr="00CA7526">
        <w:t>A.12</w:t>
      </w:r>
      <w:r w:rsidRPr="00CA7526">
        <w:tab/>
      </w:r>
      <w:bookmarkEnd w:id="32"/>
      <w:r w:rsidRPr="00CA7526">
        <w:t>Estimates of Annualized Burden Hours and Costs</w:t>
      </w:r>
      <w:bookmarkEnd w:id="33"/>
    </w:p>
    <w:p w:rsidR="00A602FE" w:rsidRDefault="0089151D" w:rsidP="00A602FE">
      <w:pPr>
        <w:pStyle w:val="BodyText1"/>
        <w:spacing w:line="360" w:lineRule="auto"/>
      </w:pPr>
      <w:r w:rsidRPr="00CA7526">
        <w:t>Information collection will include a web-based survey instrument (</w:t>
      </w:r>
      <w:r w:rsidR="00286CB1">
        <w:t xml:space="preserve">see </w:t>
      </w:r>
      <w:r w:rsidRPr="00CA7526">
        <w:t>Colorectal Cancer Screening</w:t>
      </w:r>
      <w:r w:rsidR="008442BC">
        <w:t xml:space="preserve"> Survey</w:t>
      </w:r>
      <w:r w:rsidRPr="00CA7526">
        <w:t xml:space="preserve">, </w:t>
      </w:r>
      <w:r w:rsidR="00906A4B" w:rsidRPr="00CA7526">
        <w:rPr>
          <w:b/>
          <w:bCs/>
        </w:rPr>
        <w:t>Attachment </w:t>
      </w:r>
      <w:r w:rsidRPr="00CA7526">
        <w:rPr>
          <w:b/>
          <w:bCs/>
        </w:rPr>
        <w:t>2</w:t>
      </w:r>
      <w:r w:rsidR="000F5F26">
        <w:rPr>
          <w:b/>
          <w:bCs/>
        </w:rPr>
        <w:t>,</w:t>
      </w:r>
      <w:r w:rsidR="000F5F26">
        <w:rPr>
          <w:bCs/>
        </w:rPr>
        <w:t xml:space="preserve"> which also provides an overview of the instrument</w:t>
      </w:r>
      <w:r w:rsidRPr="00CA7526">
        <w:t xml:space="preserve">). </w:t>
      </w:r>
      <w:r w:rsidR="00A602FE">
        <w:t>The</w:t>
      </w:r>
      <w:r w:rsidR="00A602FE" w:rsidRPr="00CA7526">
        <w:t xml:space="preserve"> </w:t>
      </w:r>
      <w:r w:rsidR="00A602FE">
        <w:lastRenderedPageBreak/>
        <w:t xml:space="preserve">survey </w:t>
      </w:r>
      <w:r w:rsidR="00A602FE" w:rsidRPr="00CA7526">
        <w:t xml:space="preserve">instrument will consist of </w:t>
      </w:r>
      <w:r w:rsidR="00A602FE">
        <w:t xml:space="preserve">a fixed portion of </w:t>
      </w:r>
      <w:r w:rsidR="00A602FE" w:rsidRPr="00CA7526">
        <w:t xml:space="preserve">core questions that are presented to all respondents, and </w:t>
      </w:r>
      <w:r w:rsidR="00A602FE">
        <w:t>two</w:t>
      </w:r>
      <w:r w:rsidR="00A602FE" w:rsidRPr="00CA7526">
        <w:t xml:space="preserve"> variable portion</w:t>
      </w:r>
      <w:r w:rsidR="00A602FE">
        <w:t xml:space="preserve">s. The first variable portion is an information treatment where respondents will be randomly assigned to get no additional information or to view one of two </w:t>
      </w:r>
      <w:r w:rsidR="00A602FE" w:rsidRPr="00CA7526">
        <w:t xml:space="preserve">information sheets on CRC screening developed as part of CDC’s Screen for Life program. </w:t>
      </w:r>
      <w:r w:rsidR="00A602FE">
        <w:t xml:space="preserve"> The second variable portion </w:t>
      </w:r>
      <w:r w:rsidR="00A602FE" w:rsidRPr="00CA7526">
        <w:t xml:space="preserve">will consist of 5 </w:t>
      </w:r>
      <w:r w:rsidR="00A602FE">
        <w:t>DCE</w:t>
      </w:r>
      <w:r w:rsidR="00A602FE" w:rsidRPr="00CA7526">
        <w:t xml:space="preserve"> questions that ask respondents to choose between different hypothetical CRC screening tests.</w:t>
      </w:r>
      <w:r w:rsidR="00A602FE">
        <w:t xml:space="preserve">  </w:t>
      </w:r>
      <w:r w:rsidR="00A602FE" w:rsidRPr="000D6765">
        <w:rPr>
          <w:b/>
        </w:rPr>
        <w:t>Attachment 3</w:t>
      </w:r>
      <w:r w:rsidR="00A602FE">
        <w:t xml:space="preserve"> provides a summary of the experimental design and 10 blocks of DCE questions that relate to the major variable portion of the survey instrument.</w:t>
      </w:r>
    </w:p>
    <w:p w:rsidR="0089151D" w:rsidRDefault="00906A4B" w:rsidP="007A74AD">
      <w:pPr>
        <w:pStyle w:val="BodyText1"/>
        <w:spacing w:line="360" w:lineRule="auto"/>
      </w:pPr>
      <w:r w:rsidRPr="00CA7526">
        <w:rPr>
          <w:b/>
          <w:bCs/>
        </w:rPr>
        <w:t>Exhibit </w:t>
      </w:r>
      <w:r w:rsidR="0089151D" w:rsidRPr="00CA7526">
        <w:rPr>
          <w:b/>
          <w:bCs/>
        </w:rPr>
        <w:t>A.</w:t>
      </w:r>
      <w:r w:rsidR="007A74AD">
        <w:rPr>
          <w:b/>
          <w:bCs/>
        </w:rPr>
        <w:t>4A</w:t>
      </w:r>
      <w:r w:rsidR="0089151D" w:rsidRPr="00CA7526">
        <w:t xml:space="preserve"> summarizes the burden estimates for data collection. For the pretest, </w:t>
      </w:r>
      <w:r w:rsidR="00A03EB4">
        <w:t>w</w:t>
      </w:r>
      <w:r w:rsidR="0089151D" w:rsidRPr="00CA7526">
        <w:t>e assume that 30 respondents (approximately 70%</w:t>
      </w:r>
      <w:r w:rsidR="00A03EB4">
        <w:t xml:space="preserve"> of those sent an email invitation</w:t>
      </w:r>
      <w:r w:rsidR="0089151D" w:rsidRPr="00CA7526">
        <w:t>) will take the pretest, which will take</w:t>
      </w:r>
      <w:r w:rsidR="00A03EB4">
        <w:t xml:space="preserve"> approximately</w:t>
      </w:r>
      <w:r w:rsidR="0089151D" w:rsidRPr="00CA7526">
        <w:t xml:space="preserve"> 2</w:t>
      </w:r>
      <w:r w:rsidR="000B5679">
        <w:t>2</w:t>
      </w:r>
      <w:r w:rsidR="0089151D" w:rsidRPr="00CA7526">
        <w:t xml:space="preserve"> minutes to complete</w:t>
      </w:r>
      <w:r w:rsidR="000B5679">
        <w:t xml:space="preserve"> for the respondents who do not receive one of the two information treatments and 25 minutes for those who receive one of the two information treatments</w:t>
      </w:r>
      <w:r w:rsidR="0089151D" w:rsidRPr="00CA7526">
        <w:t xml:space="preserve">. </w:t>
      </w:r>
      <w:r w:rsidR="00A03EB4">
        <w:t>For the final survey, w</w:t>
      </w:r>
      <w:r w:rsidR="0089151D" w:rsidRPr="00CA7526">
        <w:t xml:space="preserve">e assume that approximately 70% (2,000) will take the final survey, which will take </w:t>
      </w:r>
      <w:r w:rsidR="00A03EB4">
        <w:t>approximately</w:t>
      </w:r>
      <w:r w:rsidR="00A03EB4" w:rsidRPr="00CA7526">
        <w:t xml:space="preserve"> 2</w:t>
      </w:r>
      <w:r w:rsidR="00A03EB4">
        <w:t>2</w:t>
      </w:r>
      <w:r w:rsidR="00A03EB4" w:rsidRPr="00CA7526">
        <w:t xml:space="preserve"> minutes to complete</w:t>
      </w:r>
      <w:r w:rsidR="00A03EB4">
        <w:t xml:space="preserve"> for the respondents who do not receive one of the two information treatments and 25 minutes for those who receive one of the two information treatments</w:t>
      </w:r>
      <w:r w:rsidR="00A03EB4" w:rsidRPr="00CA7526">
        <w:t>.</w:t>
      </w:r>
    </w:p>
    <w:p w:rsidR="009B7A42" w:rsidRPr="00CA7526" w:rsidRDefault="009B7A42" w:rsidP="009B7A42">
      <w:pPr>
        <w:pStyle w:val="FigureTitle"/>
      </w:pPr>
      <w:r w:rsidRPr="00CA7526">
        <w:t>Exhibit A.</w:t>
      </w:r>
      <w:r>
        <w:t>4A</w:t>
      </w:r>
      <w:r w:rsidRPr="00CA7526">
        <w:t>. Estimated Annualized Burden to Respondents</w:t>
      </w:r>
    </w:p>
    <w:tbl>
      <w:tblPr>
        <w:tblW w:w="9360" w:type="dxa"/>
        <w:tblInd w:w="86" w:type="dxa"/>
        <w:tblBorders>
          <w:top w:val="single" w:sz="12" w:space="0" w:color="auto"/>
          <w:bottom w:val="single" w:sz="12" w:space="0" w:color="auto"/>
          <w:insideH w:val="single" w:sz="6" w:space="0" w:color="auto"/>
          <w:insideV w:val="single" w:sz="6" w:space="0" w:color="auto"/>
        </w:tblBorders>
        <w:tblLayout w:type="fixed"/>
        <w:tblCellMar>
          <w:left w:w="58" w:type="dxa"/>
          <w:right w:w="58" w:type="dxa"/>
        </w:tblCellMar>
        <w:tblLook w:val="04A0" w:firstRow="1" w:lastRow="0" w:firstColumn="1" w:lastColumn="0" w:noHBand="0" w:noVBand="1"/>
      </w:tblPr>
      <w:tblGrid>
        <w:gridCol w:w="1666"/>
        <w:gridCol w:w="2810"/>
        <w:gridCol w:w="1231"/>
        <w:gridCol w:w="1210"/>
        <w:gridCol w:w="1110"/>
        <w:gridCol w:w="1333"/>
      </w:tblGrid>
      <w:tr w:rsidR="009B7A42" w:rsidRPr="00CA7526" w:rsidTr="00C9232B">
        <w:trPr>
          <w:cantSplit/>
        </w:trPr>
        <w:tc>
          <w:tcPr>
            <w:tcW w:w="1666" w:type="dxa"/>
            <w:shd w:val="clear" w:color="auto" w:fill="auto"/>
            <w:vAlign w:val="bottom"/>
            <w:hideMark/>
          </w:tcPr>
          <w:p w:rsidR="009B7A42" w:rsidRPr="00CA7526" w:rsidRDefault="009B7A42" w:rsidP="00C9232B">
            <w:pPr>
              <w:pStyle w:val="TableHeaders"/>
              <w:rPr>
                <w:sz w:val="20"/>
              </w:rPr>
            </w:pPr>
            <w:r w:rsidRPr="00CA7526">
              <w:rPr>
                <w:sz w:val="20"/>
              </w:rPr>
              <w:t>Type of Respondent</w:t>
            </w:r>
          </w:p>
        </w:tc>
        <w:tc>
          <w:tcPr>
            <w:tcW w:w="2810" w:type="dxa"/>
            <w:vAlign w:val="bottom"/>
          </w:tcPr>
          <w:p w:rsidR="009B7A42" w:rsidRPr="00CA7526" w:rsidRDefault="009B7A42" w:rsidP="00C9232B">
            <w:pPr>
              <w:pStyle w:val="TableHeaders"/>
              <w:rPr>
                <w:sz w:val="20"/>
              </w:rPr>
            </w:pPr>
            <w:r w:rsidRPr="00CA7526">
              <w:rPr>
                <w:sz w:val="20"/>
              </w:rPr>
              <w:t>Form Name</w:t>
            </w:r>
          </w:p>
        </w:tc>
        <w:tc>
          <w:tcPr>
            <w:tcW w:w="1231" w:type="dxa"/>
            <w:shd w:val="clear" w:color="auto" w:fill="auto"/>
            <w:vAlign w:val="bottom"/>
            <w:hideMark/>
          </w:tcPr>
          <w:p w:rsidR="009B7A42" w:rsidRPr="00CA7526" w:rsidRDefault="009B7A42" w:rsidP="00C9232B">
            <w:pPr>
              <w:pStyle w:val="TableHeaders"/>
              <w:rPr>
                <w:sz w:val="20"/>
              </w:rPr>
            </w:pPr>
            <w:r w:rsidRPr="00CA7526">
              <w:rPr>
                <w:sz w:val="20"/>
              </w:rPr>
              <w:t>No. of Respondents</w:t>
            </w:r>
          </w:p>
        </w:tc>
        <w:tc>
          <w:tcPr>
            <w:tcW w:w="1210" w:type="dxa"/>
            <w:shd w:val="clear" w:color="auto" w:fill="auto"/>
            <w:vAlign w:val="bottom"/>
            <w:hideMark/>
          </w:tcPr>
          <w:p w:rsidR="009B7A42" w:rsidRPr="00CA7526" w:rsidRDefault="009B7A42" w:rsidP="00C9232B">
            <w:pPr>
              <w:pStyle w:val="TableHeaders"/>
              <w:rPr>
                <w:sz w:val="20"/>
              </w:rPr>
            </w:pPr>
            <w:r w:rsidRPr="00CA7526">
              <w:rPr>
                <w:sz w:val="20"/>
              </w:rPr>
              <w:t>No. of Responses per Respondent</w:t>
            </w:r>
          </w:p>
        </w:tc>
        <w:tc>
          <w:tcPr>
            <w:tcW w:w="1110" w:type="dxa"/>
            <w:shd w:val="clear" w:color="auto" w:fill="auto"/>
            <w:vAlign w:val="bottom"/>
            <w:hideMark/>
          </w:tcPr>
          <w:p w:rsidR="009B7A42" w:rsidRPr="00CA7526" w:rsidRDefault="009B7A42" w:rsidP="00C9232B">
            <w:pPr>
              <w:pStyle w:val="TableHeaders"/>
              <w:rPr>
                <w:sz w:val="20"/>
              </w:rPr>
            </w:pPr>
            <w:r w:rsidRPr="00CA7526">
              <w:rPr>
                <w:sz w:val="20"/>
              </w:rPr>
              <w:t>Average Burden per Response (in hr)</w:t>
            </w:r>
          </w:p>
        </w:tc>
        <w:tc>
          <w:tcPr>
            <w:tcW w:w="1333" w:type="dxa"/>
            <w:shd w:val="clear" w:color="auto" w:fill="auto"/>
            <w:vAlign w:val="bottom"/>
            <w:hideMark/>
          </w:tcPr>
          <w:p w:rsidR="009B7A42" w:rsidRPr="00CA7526" w:rsidRDefault="009B7A42" w:rsidP="00C9232B">
            <w:pPr>
              <w:pStyle w:val="TableHeaders"/>
              <w:rPr>
                <w:sz w:val="20"/>
              </w:rPr>
            </w:pPr>
            <w:r w:rsidRPr="00CA7526">
              <w:rPr>
                <w:sz w:val="20"/>
              </w:rPr>
              <w:t>Total Burden (in hr)</w:t>
            </w:r>
          </w:p>
        </w:tc>
      </w:tr>
      <w:tr w:rsidR="009B7A42" w:rsidRPr="00CA7526" w:rsidTr="00C9232B">
        <w:trPr>
          <w:cantSplit/>
        </w:trPr>
        <w:tc>
          <w:tcPr>
            <w:tcW w:w="1666" w:type="dxa"/>
            <w:vMerge w:val="restart"/>
            <w:shd w:val="clear" w:color="auto" w:fill="auto"/>
            <w:vAlign w:val="center"/>
          </w:tcPr>
          <w:p w:rsidR="009B7A42" w:rsidRPr="00CA7526" w:rsidRDefault="009B7A42" w:rsidP="00C9232B">
            <w:pPr>
              <w:pStyle w:val="TableText"/>
              <w:rPr>
                <w:sz w:val="20"/>
              </w:rPr>
            </w:pPr>
            <w:r w:rsidRPr="00CA7526">
              <w:rPr>
                <w:sz w:val="20"/>
              </w:rPr>
              <w:t>Pre-Test Participants</w:t>
            </w:r>
          </w:p>
        </w:tc>
        <w:tc>
          <w:tcPr>
            <w:tcW w:w="2810" w:type="dxa"/>
            <w:vAlign w:val="center"/>
          </w:tcPr>
          <w:p w:rsidR="009B7A42" w:rsidRPr="00CA7526" w:rsidRDefault="009B7A42" w:rsidP="00C9232B">
            <w:pPr>
              <w:pStyle w:val="TableText"/>
              <w:rPr>
                <w:sz w:val="20"/>
              </w:rPr>
            </w:pPr>
            <w:r w:rsidRPr="00CA7526">
              <w:rPr>
                <w:sz w:val="20"/>
              </w:rPr>
              <w:t>Colorectal Cancer Screening Survey</w:t>
            </w:r>
            <w:r>
              <w:rPr>
                <w:sz w:val="20"/>
              </w:rPr>
              <w:t xml:space="preserve"> – control group (no information treatment)</w:t>
            </w:r>
          </w:p>
        </w:tc>
        <w:tc>
          <w:tcPr>
            <w:tcW w:w="1231" w:type="dxa"/>
            <w:shd w:val="clear" w:color="auto" w:fill="auto"/>
            <w:vAlign w:val="center"/>
          </w:tcPr>
          <w:p w:rsidR="009B7A42" w:rsidRPr="00CA7526" w:rsidRDefault="009B7A42" w:rsidP="00C9232B">
            <w:pPr>
              <w:pStyle w:val="TableText"/>
              <w:tabs>
                <w:tab w:val="decimal" w:pos="748"/>
              </w:tabs>
              <w:rPr>
                <w:color w:val="000000"/>
                <w:sz w:val="20"/>
              </w:rPr>
            </w:pPr>
            <w:r>
              <w:rPr>
                <w:color w:val="000000"/>
                <w:sz w:val="20"/>
              </w:rPr>
              <w:t>10</w:t>
            </w:r>
          </w:p>
        </w:tc>
        <w:tc>
          <w:tcPr>
            <w:tcW w:w="1210" w:type="dxa"/>
            <w:shd w:val="clear" w:color="auto" w:fill="auto"/>
            <w:vAlign w:val="center"/>
          </w:tcPr>
          <w:p w:rsidR="009B7A42" w:rsidRPr="00CA7526" w:rsidRDefault="009B7A42" w:rsidP="00C9232B">
            <w:pPr>
              <w:pStyle w:val="TableText"/>
              <w:jc w:val="center"/>
              <w:rPr>
                <w:bCs/>
                <w:sz w:val="20"/>
              </w:rPr>
            </w:pPr>
            <w:r>
              <w:rPr>
                <w:bCs/>
                <w:sz w:val="20"/>
              </w:rPr>
              <w:t>1</w:t>
            </w:r>
          </w:p>
        </w:tc>
        <w:tc>
          <w:tcPr>
            <w:tcW w:w="1110" w:type="dxa"/>
            <w:shd w:val="clear" w:color="auto" w:fill="auto"/>
            <w:vAlign w:val="center"/>
          </w:tcPr>
          <w:p w:rsidR="009B7A42" w:rsidRPr="00CA7526" w:rsidRDefault="009B7A42" w:rsidP="00C9232B">
            <w:pPr>
              <w:pStyle w:val="TableText"/>
              <w:tabs>
                <w:tab w:val="decimal" w:pos="377"/>
              </w:tabs>
              <w:rPr>
                <w:bCs/>
                <w:sz w:val="20"/>
              </w:rPr>
            </w:pPr>
            <w:r>
              <w:rPr>
                <w:bCs/>
                <w:sz w:val="20"/>
              </w:rPr>
              <w:t>22/60</w:t>
            </w:r>
          </w:p>
        </w:tc>
        <w:tc>
          <w:tcPr>
            <w:tcW w:w="1333" w:type="dxa"/>
            <w:shd w:val="clear" w:color="auto" w:fill="auto"/>
            <w:vAlign w:val="center"/>
          </w:tcPr>
          <w:p w:rsidR="009B7A42" w:rsidRPr="00CA7526" w:rsidRDefault="009B7A42" w:rsidP="00C9232B">
            <w:pPr>
              <w:pStyle w:val="TableText"/>
              <w:tabs>
                <w:tab w:val="decimal" w:pos="797"/>
              </w:tabs>
              <w:rPr>
                <w:color w:val="000000"/>
                <w:sz w:val="20"/>
              </w:rPr>
            </w:pPr>
            <w:r>
              <w:rPr>
                <w:color w:val="000000"/>
                <w:sz w:val="20"/>
              </w:rPr>
              <w:t>4</w:t>
            </w:r>
          </w:p>
        </w:tc>
      </w:tr>
      <w:tr w:rsidR="009B7A42" w:rsidRPr="00CA7526" w:rsidTr="00C9232B">
        <w:trPr>
          <w:cantSplit/>
        </w:trPr>
        <w:tc>
          <w:tcPr>
            <w:tcW w:w="1666" w:type="dxa"/>
            <w:vMerge/>
            <w:shd w:val="clear" w:color="auto" w:fill="auto"/>
            <w:vAlign w:val="center"/>
          </w:tcPr>
          <w:p w:rsidR="009B7A42" w:rsidRPr="00CA7526" w:rsidRDefault="009B7A42" w:rsidP="00C9232B">
            <w:pPr>
              <w:pStyle w:val="TableText"/>
              <w:rPr>
                <w:sz w:val="20"/>
              </w:rPr>
            </w:pPr>
          </w:p>
        </w:tc>
        <w:tc>
          <w:tcPr>
            <w:tcW w:w="2810" w:type="dxa"/>
            <w:vAlign w:val="center"/>
          </w:tcPr>
          <w:p w:rsidR="009B7A42" w:rsidRPr="00CA7526" w:rsidRDefault="009B7A42" w:rsidP="00C9232B">
            <w:pPr>
              <w:pStyle w:val="TableText"/>
              <w:rPr>
                <w:color w:val="000000"/>
                <w:sz w:val="20"/>
              </w:rPr>
            </w:pPr>
            <w:r w:rsidRPr="00CA7526">
              <w:rPr>
                <w:sz w:val="20"/>
              </w:rPr>
              <w:t>Colorectal Cancer Screening Survey</w:t>
            </w:r>
            <w:r>
              <w:rPr>
                <w:sz w:val="20"/>
              </w:rPr>
              <w:t xml:space="preserve"> – information treatment groups</w:t>
            </w:r>
          </w:p>
        </w:tc>
        <w:tc>
          <w:tcPr>
            <w:tcW w:w="1231" w:type="dxa"/>
            <w:shd w:val="clear" w:color="auto" w:fill="auto"/>
            <w:vAlign w:val="center"/>
          </w:tcPr>
          <w:p w:rsidR="009B7A42" w:rsidRPr="00CA7526" w:rsidRDefault="009B7A42" w:rsidP="00C9232B">
            <w:pPr>
              <w:pStyle w:val="TableText"/>
              <w:tabs>
                <w:tab w:val="decimal" w:pos="748"/>
              </w:tabs>
              <w:rPr>
                <w:color w:val="000000"/>
                <w:sz w:val="20"/>
              </w:rPr>
            </w:pPr>
            <w:r>
              <w:rPr>
                <w:color w:val="000000"/>
                <w:sz w:val="20"/>
              </w:rPr>
              <w:t>2</w:t>
            </w:r>
            <w:r w:rsidRPr="00CA7526">
              <w:rPr>
                <w:color w:val="000000"/>
                <w:sz w:val="20"/>
              </w:rPr>
              <w:t>0</w:t>
            </w:r>
          </w:p>
        </w:tc>
        <w:tc>
          <w:tcPr>
            <w:tcW w:w="1210" w:type="dxa"/>
            <w:shd w:val="clear" w:color="auto" w:fill="auto"/>
            <w:vAlign w:val="center"/>
          </w:tcPr>
          <w:p w:rsidR="009B7A42" w:rsidRPr="00CA7526" w:rsidRDefault="009B7A42" w:rsidP="00C9232B">
            <w:pPr>
              <w:pStyle w:val="TableText"/>
              <w:jc w:val="center"/>
              <w:rPr>
                <w:bCs/>
                <w:sz w:val="20"/>
              </w:rPr>
            </w:pPr>
            <w:r w:rsidRPr="00CA7526">
              <w:rPr>
                <w:bCs/>
                <w:sz w:val="20"/>
              </w:rPr>
              <w:t>1</w:t>
            </w:r>
          </w:p>
        </w:tc>
        <w:tc>
          <w:tcPr>
            <w:tcW w:w="1110" w:type="dxa"/>
            <w:shd w:val="clear" w:color="auto" w:fill="auto"/>
            <w:vAlign w:val="center"/>
          </w:tcPr>
          <w:p w:rsidR="009B7A42" w:rsidRPr="00CA7526" w:rsidRDefault="009B7A42" w:rsidP="00C9232B">
            <w:pPr>
              <w:pStyle w:val="TableText"/>
              <w:tabs>
                <w:tab w:val="decimal" w:pos="377"/>
              </w:tabs>
              <w:rPr>
                <w:bCs/>
                <w:sz w:val="20"/>
              </w:rPr>
            </w:pPr>
            <w:r w:rsidRPr="00CA7526">
              <w:rPr>
                <w:bCs/>
                <w:sz w:val="20"/>
              </w:rPr>
              <w:t>2</w:t>
            </w:r>
            <w:r>
              <w:rPr>
                <w:bCs/>
                <w:sz w:val="20"/>
              </w:rPr>
              <w:t>5</w:t>
            </w:r>
            <w:r w:rsidRPr="00CA7526">
              <w:rPr>
                <w:bCs/>
                <w:sz w:val="20"/>
              </w:rPr>
              <w:t>/60</w:t>
            </w:r>
          </w:p>
        </w:tc>
        <w:tc>
          <w:tcPr>
            <w:tcW w:w="1333" w:type="dxa"/>
            <w:shd w:val="clear" w:color="auto" w:fill="auto"/>
            <w:vAlign w:val="center"/>
          </w:tcPr>
          <w:p w:rsidR="009B7A42" w:rsidRPr="00CA7526" w:rsidRDefault="009B7A42" w:rsidP="00C9232B">
            <w:pPr>
              <w:pStyle w:val="TableText"/>
              <w:tabs>
                <w:tab w:val="decimal" w:pos="797"/>
              </w:tabs>
              <w:rPr>
                <w:color w:val="000000"/>
                <w:sz w:val="20"/>
              </w:rPr>
            </w:pPr>
            <w:r>
              <w:rPr>
                <w:color w:val="000000"/>
                <w:sz w:val="20"/>
              </w:rPr>
              <w:t>8</w:t>
            </w:r>
          </w:p>
        </w:tc>
      </w:tr>
      <w:tr w:rsidR="009B7A42" w:rsidRPr="00CA7526" w:rsidTr="00C9232B">
        <w:trPr>
          <w:cantSplit/>
        </w:trPr>
        <w:tc>
          <w:tcPr>
            <w:tcW w:w="1666" w:type="dxa"/>
            <w:vMerge w:val="restart"/>
            <w:shd w:val="clear" w:color="auto" w:fill="auto"/>
            <w:vAlign w:val="center"/>
          </w:tcPr>
          <w:p w:rsidR="009B7A42" w:rsidRPr="00CA7526" w:rsidRDefault="009B7A42" w:rsidP="00C9232B">
            <w:pPr>
              <w:pStyle w:val="TableText"/>
              <w:rPr>
                <w:sz w:val="20"/>
              </w:rPr>
            </w:pPr>
            <w:r w:rsidRPr="00CA7526">
              <w:rPr>
                <w:sz w:val="20"/>
              </w:rPr>
              <w:t>Study Participants</w:t>
            </w:r>
          </w:p>
        </w:tc>
        <w:tc>
          <w:tcPr>
            <w:tcW w:w="2810" w:type="dxa"/>
            <w:vAlign w:val="center"/>
          </w:tcPr>
          <w:p w:rsidR="009B7A42" w:rsidRPr="00CA7526" w:rsidRDefault="009B7A42" w:rsidP="00C9232B">
            <w:pPr>
              <w:pStyle w:val="TableText"/>
              <w:rPr>
                <w:color w:val="000000"/>
                <w:sz w:val="20"/>
              </w:rPr>
            </w:pPr>
            <w:r w:rsidRPr="00CA7526">
              <w:rPr>
                <w:sz w:val="20"/>
              </w:rPr>
              <w:t>Colorectal Cancer Screening Survey</w:t>
            </w:r>
            <w:r>
              <w:rPr>
                <w:sz w:val="20"/>
              </w:rPr>
              <w:t xml:space="preserve"> – control group (no information treatment)</w:t>
            </w:r>
          </w:p>
        </w:tc>
        <w:tc>
          <w:tcPr>
            <w:tcW w:w="1231" w:type="dxa"/>
            <w:shd w:val="clear" w:color="auto" w:fill="auto"/>
            <w:vAlign w:val="center"/>
          </w:tcPr>
          <w:p w:rsidR="009B7A42" w:rsidRPr="00CA7526" w:rsidRDefault="009B7A42" w:rsidP="00C9232B">
            <w:pPr>
              <w:pStyle w:val="TableText"/>
              <w:tabs>
                <w:tab w:val="decimal" w:pos="748"/>
              </w:tabs>
              <w:rPr>
                <w:color w:val="000000"/>
                <w:sz w:val="20"/>
              </w:rPr>
            </w:pPr>
            <w:r>
              <w:rPr>
                <w:color w:val="000000"/>
                <w:sz w:val="20"/>
              </w:rPr>
              <w:t>667</w:t>
            </w:r>
          </w:p>
        </w:tc>
        <w:tc>
          <w:tcPr>
            <w:tcW w:w="1210" w:type="dxa"/>
            <w:shd w:val="clear" w:color="auto" w:fill="auto"/>
            <w:vAlign w:val="center"/>
          </w:tcPr>
          <w:p w:rsidR="009B7A42" w:rsidRPr="00CA7526" w:rsidRDefault="008B48AD" w:rsidP="00C9232B">
            <w:pPr>
              <w:pStyle w:val="TableText"/>
              <w:jc w:val="center"/>
              <w:rPr>
                <w:bCs/>
                <w:sz w:val="20"/>
              </w:rPr>
            </w:pPr>
            <w:r>
              <w:rPr>
                <w:bCs/>
                <w:sz w:val="20"/>
              </w:rPr>
              <w:t>1</w:t>
            </w:r>
          </w:p>
        </w:tc>
        <w:tc>
          <w:tcPr>
            <w:tcW w:w="1110" w:type="dxa"/>
            <w:shd w:val="clear" w:color="auto" w:fill="auto"/>
            <w:vAlign w:val="center"/>
          </w:tcPr>
          <w:p w:rsidR="009B7A42" w:rsidRPr="00CA7526" w:rsidRDefault="009B7A42" w:rsidP="00C9232B">
            <w:pPr>
              <w:pStyle w:val="TableText"/>
              <w:tabs>
                <w:tab w:val="decimal" w:pos="377"/>
              </w:tabs>
              <w:rPr>
                <w:bCs/>
                <w:sz w:val="20"/>
              </w:rPr>
            </w:pPr>
            <w:r>
              <w:rPr>
                <w:bCs/>
                <w:sz w:val="20"/>
              </w:rPr>
              <w:t>22/60</w:t>
            </w:r>
          </w:p>
        </w:tc>
        <w:tc>
          <w:tcPr>
            <w:tcW w:w="1333" w:type="dxa"/>
            <w:shd w:val="clear" w:color="auto" w:fill="auto"/>
            <w:vAlign w:val="center"/>
          </w:tcPr>
          <w:p w:rsidR="009B7A42" w:rsidRPr="00CA7526" w:rsidRDefault="009B7A42" w:rsidP="00C9232B">
            <w:pPr>
              <w:pStyle w:val="TableText"/>
              <w:tabs>
                <w:tab w:val="decimal" w:pos="797"/>
              </w:tabs>
              <w:rPr>
                <w:color w:val="000000"/>
                <w:sz w:val="20"/>
              </w:rPr>
            </w:pPr>
            <w:r>
              <w:rPr>
                <w:color w:val="000000"/>
                <w:sz w:val="20"/>
              </w:rPr>
              <w:t>245</w:t>
            </w:r>
          </w:p>
        </w:tc>
      </w:tr>
      <w:tr w:rsidR="009B7A42" w:rsidRPr="00CA7526" w:rsidTr="00C9232B">
        <w:trPr>
          <w:cantSplit/>
        </w:trPr>
        <w:tc>
          <w:tcPr>
            <w:tcW w:w="1666" w:type="dxa"/>
            <w:vMerge/>
            <w:shd w:val="clear" w:color="auto" w:fill="auto"/>
            <w:vAlign w:val="center"/>
            <w:hideMark/>
          </w:tcPr>
          <w:p w:rsidR="009B7A42" w:rsidRPr="00CA7526" w:rsidRDefault="009B7A42" w:rsidP="00C9232B">
            <w:pPr>
              <w:pStyle w:val="TableText"/>
              <w:rPr>
                <w:bCs/>
                <w:sz w:val="20"/>
              </w:rPr>
            </w:pPr>
          </w:p>
        </w:tc>
        <w:tc>
          <w:tcPr>
            <w:tcW w:w="2810" w:type="dxa"/>
            <w:vAlign w:val="center"/>
          </w:tcPr>
          <w:p w:rsidR="009B7A42" w:rsidRPr="00CA7526" w:rsidRDefault="009B7A42" w:rsidP="00C9232B">
            <w:pPr>
              <w:pStyle w:val="TableText"/>
              <w:rPr>
                <w:color w:val="000000"/>
                <w:sz w:val="20"/>
              </w:rPr>
            </w:pPr>
            <w:r w:rsidRPr="00CA7526">
              <w:rPr>
                <w:sz w:val="20"/>
              </w:rPr>
              <w:t>Colorectal Cancer Screening Survey</w:t>
            </w:r>
            <w:r>
              <w:rPr>
                <w:sz w:val="20"/>
              </w:rPr>
              <w:t xml:space="preserve"> – information treatment groups</w:t>
            </w:r>
          </w:p>
        </w:tc>
        <w:tc>
          <w:tcPr>
            <w:tcW w:w="1231" w:type="dxa"/>
            <w:shd w:val="clear" w:color="auto" w:fill="auto"/>
            <w:vAlign w:val="center"/>
            <w:hideMark/>
          </w:tcPr>
          <w:p w:rsidR="009B7A42" w:rsidRPr="00CA7526" w:rsidRDefault="009B7A42" w:rsidP="00C9232B">
            <w:pPr>
              <w:pStyle w:val="TableText"/>
              <w:tabs>
                <w:tab w:val="decimal" w:pos="748"/>
              </w:tabs>
              <w:rPr>
                <w:bCs/>
                <w:sz w:val="20"/>
              </w:rPr>
            </w:pPr>
            <w:r>
              <w:rPr>
                <w:color w:val="000000"/>
                <w:sz w:val="20"/>
              </w:rPr>
              <w:t>1,333</w:t>
            </w:r>
          </w:p>
        </w:tc>
        <w:tc>
          <w:tcPr>
            <w:tcW w:w="1210" w:type="dxa"/>
            <w:shd w:val="clear" w:color="auto" w:fill="auto"/>
            <w:vAlign w:val="center"/>
            <w:hideMark/>
          </w:tcPr>
          <w:p w:rsidR="009B7A42" w:rsidRPr="00CA7526" w:rsidRDefault="009B7A42" w:rsidP="00C9232B">
            <w:pPr>
              <w:pStyle w:val="TableText"/>
              <w:jc w:val="center"/>
              <w:rPr>
                <w:bCs/>
                <w:sz w:val="20"/>
              </w:rPr>
            </w:pPr>
            <w:r w:rsidRPr="00CA7526">
              <w:rPr>
                <w:bCs/>
                <w:sz w:val="20"/>
              </w:rPr>
              <w:t>1</w:t>
            </w:r>
          </w:p>
        </w:tc>
        <w:tc>
          <w:tcPr>
            <w:tcW w:w="1110" w:type="dxa"/>
            <w:shd w:val="clear" w:color="auto" w:fill="auto"/>
            <w:vAlign w:val="center"/>
            <w:hideMark/>
          </w:tcPr>
          <w:p w:rsidR="009B7A42" w:rsidRPr="00CA7526" w:rsidRDefault="009B7A42" w:rsidP="00C9232B">
            <w:pPr>
              <w:pStyle w:val="TableText"/>
              <w:tabs>
                <w:tab w:val="decimal" w:pos="377"/>
              </w:tabs>
              <w:rPr>
                <w:bCs/>
                <w:sz w:val="20"/>
              </w:rPr>
            </w:pPr>
            <w:r w:rsidRPr="00CA7526">
              <w:rPr>
                <w:bCs/>
                <w:sz w:val="20"/>
              </w:rPr>
              <w:t>2</w:t>
            </w:r>
            <w:r>
              <w:rPr>
                <w:bCs/>
                <w:sz w:val="20"/>
              </w:rPr>
              <w:t>5</w:t>
            </w:r>
            <w:r w:rsidRPr="00CA7526">
              <w:rPr>
                <w:bCs/>
                <w:sz w:val="20"/>
              </w:rPr>
              <w:t>/60</w:t>
            </w:r>
          </w:p>
        </w:tc>
        <w:tc>
          <w:tcPr>
            <w:tcW w:w="1333" w:type="dxa"/>
            <w:shd w:val="clear" w:color="auto" w:fill="auto"/>
            <w:vAlign w:val="center"/>
            <w:hideMark/>
          </w:tcPr>
          <w:p w:rsidR="009B7A42" w:rsidRPr="00CA7526" w:rsidRDefault="009B7A42" w:rsidP="00C9232B">
            <w:pPr>
              <w:pStyle w:val="TableText"/>
              <w:tabs>
                <w:tab w:val="decimal" w:pos="797"/>
              </w:tabs>
              <w:rPr>
                <w:color w:val="000000"/>
                <w:sz w:val="20"/>
              </w:rPr>
            </w:pPr>
            <w:r>
              <w:rPr>
                <w:color w:val="000000"/>
                <w:sz w:val="20"/>
              </w:rPr>
              <w:t>555</w:t>
            </w:r>
          </w:p>
        </w:tc>
      </w:tr>
      <w:tr w:rsidR="009B7A42" w:rsidRPr="00CA7526" w:rsidTr="00C9232B">
        <w:trPr>
          <w:cantSplit/>
        </w:trPr>
        <w:tc>
          <w:tcPr>
            <w:tcW w:w="1666" w:type="dxa"/>
            <w:shd w:val="clear" w:color="auto" w:fill="auto"/>
            <w:vAlign w:val="center"/>
          </w:tcPr>
          <w:p w:rsidR="009B7A42" w:rsidRPr="00CA7526" w:rsidRDefault="009B7A42" w:rsidP="00C9232B">
            <w:pPr>
              <w:pStyle w:val="TableText"/>
              <w:rPr>
                <w:sz w:val="20"/>
              </w:rPr>
            </w:pPr>
          </w:p>
        </w:tc>
        <w:tc>
          <w:tcPr>
            <w:tcW w:w="6361" w:type="dxa"/>
            <w:gridSpan w:val="4"/>
            <w:vAlign w:val="center"/>
          </w:tcPr>
          <w:p w:rsidR="009B7A42" w:rsidRPr="00CA7526" w:rsidRDefault="009B7A42" w:rsidP="00C9232B">
            <w:pPr>
              <w:pStyle w:val="TableText"/>
              <w:jc w:val="right"/>
              <w:rPr>
                <w:bCs/>
                <w:sz w:val="20"/>
              </w:rPr>
            </w:pPr>
            <w:r w:rsidRPr="00CA7526">
              <w:rPr>
                <w:sz w:val="20"/>
              </w:rPr>
              <w:t>Total</w:t>
            </w:r>
          </w:p>
        </w:tc>
        <w:tc>
          <w:tcPr>
            <w:tcW w:w="1333" w:type="dxa"/>
            <w:shd w:val="clear" w:color="auto" w:fill="auto"/>
            <w:vAlign w:val="center"/>
          </w:tcPr>
          <w:p w:rsidR="009B7A42" w:rsidRPr="00CA7526" w:rsidRDefault="009B7A42" w:rsidP="00C9232B">
            <w:pPr>
              <w:pStyle w:val="TableText"/>
              <w:tabs>
                <w:tab w:val="decimal" w:pos="797"/>
              </w:tabs>
              <w:rPr>
                <w:color w:val="000000"/>
                <w:sz w:val="20"/>
              </w:rPr>
            </w:pPr>
            <w:r>
              <w:rPr>
                <w:color w:val="000000"/>
                <w:sz w:val="20"/>
              </w:rPr>
              <w:t>812</w:t>
            </w:r>
          </w:p>
        </w:tc>
      </w:tr>
    </w:tbl>
    <w:p w:rsidR="009B7A42" w:rsidRPr="00F42D12" w:rsidRDefault="009B7A42" w:rsidP="007A74AD">
      <w:pPr>
        <w:pStyle w:val="BodyText1"/>
        <w:spacing w:line="360" w:lineRule="auto"/>
        <w:rPr>
          <w:b/>
          <w:bCs/>
        </w:rPr>
      </w:pPr>
    </w:p>
    <w:p w:rsidR="00906A4B" w:rsidRPr="008B48AD" w:rsidRDefault="0089151D" w:rsidP="008B48AD">
      <w:pPr>
        <w:pStyle w:val="FootnoteText"/>
        <w:spacing w:line="360" w:lineRule="auto"/>
        <w:rPr>
          <w:sz w:val="24"/>
        </w:rPr>
      </w:pPr>
      <w:r w:rsidRPr="008B48AD">
        <w:rPr>
          <w:b/>
          <w:sz w:val="24"/>
        </w:rPr>
        <w:lastRenderedPageBreak/>
        <w:t>Total Cost:</w:t>
      </w:r>
      <w:r w:rsidRPr="008B48AD">
        <w:rPr>
          <w:sz w:val="24"/>
        </w:rPr>
        <w:t xml:space="preserve"> </w:t>
      </w:r>
      <w:r w:rsidR="00F62BF6" w:rsidRPr="008B48AD">
        <w:rPr>
          <w:b/>
          <w:bCs/>
          <w:sz w:val="24"/>
        </w:rPr>
        <w:t xml:space="preserve">Exhibit A.4B </w:t>
      </w:r>
      <w:r w:rsidR="00F62BF6" w:rsidRPr="008B48AD">
        <w:rPr>
          <w:bCs/>
          <w:sz w:val="24"/>
        </w:rPr>
        <w:t xml:space="preserve">summarizes the </w:t>
      </w:r>
      <w:r w:rsidR="00B60AD4" w:rsidRPr="008B48AD">
        <w:rPr>
          <w:bCs/>
          <w:sz w:val="24"/>
        </w:rPr>
        <w:t xml:space="preserve">estimated value of the time that </w:t>
      </w:r>
      <w:r w:rsidR="00F62BF6" w:rsidRPr="008B48AD">
        <w:rPr>
          <w:bCs/>
          <w:sz w:val="24"/>
        </w:rPr>
        <w:t>respondents</w:t>
      </w:r>
      <w:r w:rsidR="00B60AD4" w:rsidRPr="008B48AD">
        <w:rPr>
          <w:bCs/>
          <w:sz w:val="24"/>
        </w:rPr>
        <w:t xml:space="preserve"> dedicate to participating in the survey</w:t>
      </w:r>
      <w:r w:rsidR="00F62BF6" w:rsidRPr="008B48AD">
        <w:rPr>
          <w:bCs/>
          <w:sz w:val="24"/>
        </w:rPr>
        <w:t>.</w:t>
      </w:r>
      <w:r w:rsidR="00F62BF6" w:rsidRPr="008B48AD">
        <w:rPr>
          <w:sz w:val="24"/>
        </w:rPr>
        <w:t xml:space="preserve"> </w:t>
      </w:r>
      <w:r w:rsidRPr="008B48AD">
        <w:rPr>
          <w:sz w:val="24"/>
        </w:rPr>
        <w:t xml:space="preserve">The </w:t>
      </w:r>
      <w:r w:rsidR="00B60AD4" w:rsidRPr="008B48AD">
        <w:rPr>
          <w:sz w:val="24"/>
        </w:rPr>
        <w:t>es</w:t>
      </w:r>
      <w:r w:rsidR="00894A87">
        <w:rPr>
          <w:sz w:val="24"/>
        </w:rPr>
        <w:t xml:space="preserve">timated average hourly wage is </w:t>
      </w:r>
      <w:r w:rsidRPr="008B48AD">
        <w:rPr>
          <w:sz w:val="24"/>
        </w:rPr>
        <w:t>$2</w:t>
      </w:r>
      <w:r w:rsidR="00F62BF6" w:rsidRPr="008B48AD">
        <w:rPr>
          <w:sz w:val="24"/>
        </w:rPr>
        <w:t>1.77</w:t>
      </w:r>
      <w:r w:rsidRPr="008B48AD">
        <w:rPr>
          <w:sz w:val="24"/>
        </w:rPr>
        <w:t xml:space="preserve"> per hour</w:t>
      </w:r>
      <w:r w:rsidR="008B48AD" w:rsidRPr="008B48AD">
        <w:rPr>
          <w:sz w:val="24"/>
        </w:rPr>
        <w:t xml:space="preserve"> (</w:t>
      </w:r>
      <w:r w:rsidR="008B48AD">
        <w:rPr>
          <w:sz w:val="24"/>
        </w:rPr>
        <w:t>based</w:t>
      </w:r>
      <w:r w:rsidR="008B48AD" w:rsidRPr="008B48AD">
        <w:rPr>
          <w:sz w:val="24"/>
        </w:rPr>
        <w:t xml:space="preserve"> on an </w:t>
      </w:r>
      <w:r w:rsidR="00894A87">
        <w:rPr>
          <w:sz w:val="24"/>
        </w:rPr>
        <w:t>average hourly wage of $21.77, s</w:t>
      </w:r>
      <w:r w:rsidR="008B48AD" w:rsidRPr="008B48AD">
        <w:rPr>
          <w:sz w:val="24"/>
        </w:rPr>
        <w:t xml:space="preserve">ee </w:t>
      </w:r>
      <w:r w:rsidR="008B48AD" w:rsidRPr="008B48AD">
        <w:rPr>
          <w:i/>
          <w:sz w:val="24"/>
        </w:rPr>
        <w:t>BLS Employer costs for Employee Compensation—December 2013</w:t>
      </w:r>
      <w:r w:rsidR="00894A87">
        <w:rPr>
          <w:sz w:val="24"/>
        </w:rPr>
        <w:t xml:space="preserve"> at </w:t>
      </w:r>
      <w:hyperlink r:id="rId26" w:history="1">
        <w:r w:rsidR="008B48AD" w:rsidRPr="008B48AD">
          <w:rPr>
            <w:rStyle w:val="Hyperlink"/>
            <w:sz w:val="24"/>
          </w:rPr>
          <w:t>http://www.bls.gov/news.release/ecec.t01.htm</w:t>
        </w:r>
      </w:hyperlink>
      <w:r w:rsidR="00894A87">
        <w:rPr>
          <w:sz w:val="24"/>
        </w:rPr>
        <w:t xml:space="preserve"> </w:t>
      </w:r>
      <w:r w:rsidR="008B48AD" w:rsidRPr="008B48AD">
        <w:rPr>
          <w:sz w:val="24"/>
        </w:rPr>
        <w:t>)</w:t>
      </w:r>
      <w:r w:rsidRPr="008B48AD">
        <w:rPr>
          <w:sz w:val="24"/>
        </w:rPr>
        <w:t xml:space="preserve">. Respondents will spend an annual total of </w:t>
      </w:r>
      <w:r w:rsidR="00CB17A4" w:rsidRPr="008B48AD">
        <w:rPr>
          <w:sz w:val="24"/>
        </w:rPr>
        <w:t>812</w:t>
      </w:r>
      <w:r w:rsidRPr="008B48AD">
        <w:rPr>
          <w:sz w:val="24"/>
        </w:rPr>
        <w:t xml:space="preserve"> hours at a cost of $</w:t>
      </w:r>
      <w:r w:rsidR="00F42D12" w:rsidRPr="008B48AD">
        <w:rPr>
          <w:sz w:val="24"/>
        </w:rPr>
        <w:t>17,677</w:t>
      </w:r>
      <w:r w:rsidRPr="008B48AD">
        <w:rPr>
          <w:sz w:val="24"/>
        </w:rPr>
        <w:t>.</w:t>
      </w:r>
    </w:p>
    <w:p w:rsidR="007A74AD" w:rsidRPr="00CA7526" w:rsidRDefault="007A74AD" w:rsidP="007A74AD">
      <w:pPr>
        <w:pStyle w:val="FigureTitle"/>
      </w:pPr>
      <w:r w:rsidRPr="00CA7526">
        <w:t>Exhibit A.</w:t>
      </w:r>
      <w:r>
        <w:t>4B</w:t>
      </w:r>
      <w:r w:rsidRPr="00CA7526">
        <w:t xml:space="preserve">. Estimated Annualized </w:t>
      </w:r>
      <w:r>
        <w:t>Cost</w:t>
      </w:r>
      <w:r w:rsidRPr="00CA7526">
        <w:t xml:space="preserve"> to Respondents</w:t>
      </w:r>
    </w:p>
    <w:tbl>
      <w:tblPr>
        <w:tblW w:w="9360" w:type="dxa"/>
        <w:tblInd w:w="86" w:type="dxa"/>
        <w:tblBorders>
          <w:top w:val="single" w:sz="12" w:space="0" w:color="auto"/>
          <w:bottom w:val="single" w:sz="12" w:space="0" w:color="auto"/>
          <w:insideH w:val="single" w:sz="6" w:space="0" w:color="auto"/>
          <w:insideV w:val="single" w:sz="6" w:space="0" w:color="auto"/>
        </w:tblBorders>
        <w:tblLayout w:type="fixed"/>
        <w:tblCellMar>
          <w:left w:w="58" w:type="dxa"/>
          <w:right w:w="58" w:type="dxa"/>
        </w:tblCellMar>
        <w:tblLook w:val="04A0" w:firstRow="1" w:lastRow="0" w:firstColumn="1" w:lastColumn="0" w:noHBand="0" w:noVBand="1"/>
      </w:tblPr>
      <w:tblGrid>
        <w:gridCol w:w="1666"/>
        <w:gridCol w:w="2810"/>
        <w:gridCol w:w="1231"/>
        <w:gridCol w:w="1210"/>
        <w:gridCol w:w="1110"/>
        <w:gridCol w:w="1333"/>
      </w:tblGrid>
      <w:tr w:rsidR="007A74AD" w:rsidRPr="00CA7526" w:rsidTr="00F42D12">
        <w:trPr>
          <w:cantSplit/>
        </w:trPr>
        <w:tc>
          <w:tcPr>
            <w:tcW w:w="1666" w:type="dxa"/>
            <w:shd w:val="clear" w:color="auto" w:fill="auto"/>
            <w:vAlign w:val="bottom"/>
            <w:hideMark/>
          </w:tcPr>
          <w:p w:rsidR="007A74AD" w:rsidRPr="00CA7526" w:rsidRDefault="007A74AD" w:rsidP="005820DF">
            <w:pPr>
              <w:pStyle w:val="TableHeaders"/>
              <w:rPr>
                <w:sz w:val="20"/>
              </w:rPr>
            </w:pPr>
            <w:r w:rsidRPr="00CA7526">
              <w:rPr>
                <w:sz w:val="20"/>
              </w:rPr>
              <w:t>Type of Respondent</w:t>
            </w:r>
          </w:p>
        </w:tc>
        <w:tc>
          <w:tcPr>
            <w:tcW w:w="2810" w:type="dxa"/>
            <w:vAlign w:val="bottom"/>
          </w:tcPr>
          <w:p w:rsidR="007A74AD" w:rsidRPr="00CA7526" w:rsidRDefault="007A74AD" w:rsidP="005820DF">
            <w:pPr>
              <w:pStyle w:val="TableHeaders"/>
              <w:rPr>
                <w:sz w:val="20"/>
              </w:rPr>
            </w:pPr>
            <w:r w:rsidRPr="00CA7526">
              <w:rPr>
                <w:sz w:val="20"/>
              </w:rPr>
              <w:t>Form Name</w:t>
            </w:r>
          </w:p>
        </w:tc>
        <w:tc>
          <w:tcPr>
            <w:tcW w:w="1231" w:type="dxa"/>
            <w:shd w:val="clear" w:color="auto" w:fill="auto"/>
            <w:vAlign w:val="bottom"/>
            <w:hideMark/>
          </w:tcPr>
          <w:p w:rsidR="007A74AD" w:rsidRPr="00CA7526" w:rsidRDefault="007A74AD" w:rsidP="005820DF">
            <w:pPr>
              <w:pStyle w:val="TableHeaders"/>
              <w:rPr>
                <w:sz w:val="20"/>
              </w:rPr>
            </w:pPr>
            <w:r w:rsidRPr="00CA7526">
              <w:rPr>
                <w:sz w:val="20"/>
              </w:rPr>
              <w:t>No. of Respondents</w:t>
            </w:r>
          </w:p>
        </w:tc>
        <w:tc>
          <w:tcPr>
            <w:tcW w:w="1210" w:type="dxa"/>
            <w:shd w:val="clear" w:color="auto" w:fill="auto"/>
            <w:vAlign w:val="bottom"/>
          </w:tcPr>
          <w:p w:rsidR="007A74AD" w:rsidRPr="00CA7526" w:rsidRDefault="007A74AD" w:rsidP="005820DF">
            <w:pPr>
              <w:pStyle w:val="TableHeaders"/>
              <w:rPr>
                <w:sz w:val="20"/>
              </w:rPr>
            </w:pPr>
            <w:r w:rsidRPr="00CA7526">
              <w:rPr>
                <w:sz w:val="20"/>
              </w:rPr>
              <w:t>Total Burden (in hr)</w:t>
            </w:r>
          </w:p>
        </w:tc>
        <w:tc>
          <w:tcPr>
            <w:tcW w:w="1110" w:type="dxa"/>
            <w:shd w:val="clear" w:color="auto" w:fill="auto"/>
            <w:vAlign w:val="bottom"/>
          </w:tcPr>
          <w:p w:rsidR="007A74AD" w:rsidRPr="00CA7526" w:rsidRDefault="007A74AD" w:rsidP="005820DF">
            <w:pPr>
              <w:pStyle w:val="TableHeaders"/>
              <w:rPr>
                <w:sz w:val="20"/>
              </w:rPr>
            </w:pPr>
            <w:r>
              <w:rPr>
                <w:sz w:val="20"/>
              </w:rPr>
              <w:t>Hourly Wage Rate</w:t>
            </w:r>
          </w:p>
        </w:tc>
        <w:tc>
          <w:tcPr>
            <w:tcW w:w="1333" w:type="dxa"/>
            <w:shd w:val="clear" w:color="auto" w:fill="auto"/>
            <w:vAlign w:val="bottom"/>
          </w:tcPr>
          <w:p w:rsidR="007A74AD" w:rsidRPr="00CA7526" w:rsidRDefault="007A74AD" w:rsidP="005820DF">
            <w:pPr>
              <w:pStyle w:val="TableHeaders"/>
              <w:rPr>
                <w:sz w:val="20"/>
              </w:rPr>
            </w:pPr>
            <w:r>
              <w:rPr>
                <w:sz w:val="20"/>
              </w:rPr>
              <w:t>Total Cost</w:t>
            </w:r>
          </w:p>
        </w:tc>
      </w:tr>
      <w:tr w:rsidR="00F62BF6" w:rsidRPr="00CA7526" w:rsidTr="005820DF">
        <w:trPr>
          <w:cantSplit/>
        </w:trPr>
        <w:tc>
          <w:tcPr>
            <w:tcW w:w="1666" w:type="dxa"/>
            <w:vMerge w:val="restart"/>
            <w:shd w:val="clear" w:color="auto" w:fill="auto"/>
            <w:vAlign w:val="center"/>
          </w:tcPr>
          <w:p w:rsidR="00F62BF6" w:rsidRPr="00CA7526" w:rsidRDefault="00F62BF6" w:rsidP="005820DF">
            <w:pPr>
              <w:pStyle w:val="TableText"/>
              <w:rPr>
                <w:sz w:val="20"/>
              </w:rPr>
            </w:pPr>
          </w:p>
        </w:tc>
        <w:tc>
          <w:tcPr>
            <w:tcW w:w="2810" w:type="dxa"/>
            <w:vAlign w:val="center"/>
          </w:tcPr>
          <w:p w:rsidR="00F62BF6" w:rsidRPr="00CA7526" w:rsidRDefault="00F62BF6" w:rsidP="005820DF">
            <w:pPr>
              <w:pStyle w:val="TableText"/>
              <w:rPr>
                <w:sz w:val="20"/>
              </w:rPr>
            </w:pPr>
            <w:r w:rsidRPr="00CA7526">
              <w:rPr>
                <w:sz w:val="20"/>
              </w:rPr>
              <w:t>Colorectal Cancer Screening Survey</w:t>
            </w:r>
            <w:r>
              <w:rPr>
                <w:sz w:val="20"/>
              </w:rPr>
              <w:t xml:space="preserve"> – control group (no information treatment)</w:t>
            </w:r>
          </w:p>
        </w:tc>
        <w:tc>
          <w:tcPr>
            <w:tcW w:w="1231" w:type="dxa"/>
            <w:shd w:val="clear" w:color="auto" w:fill="auto"/>
            <w:vAlign w:val="center"/>
          </w:tcPr>
          <w:p w:rsidR="00F62BF6" w:rsidRPr="00CA7526" w:rsidRDefault="00F62BF6" w:rsidP="005820DF">
            <w:pPr>
              <w:pStyle w:val="TableText"/>
              <w:tabs>
                <w:tab w:val="decimal" w:pos="748"/>
              </w:tabs>
              <w:rPr>
                <w:color w:val="000000"/>
                <w:sz w:val="20"/>
              </w:rPr>
            </w:pPr>
            <w:r>
              <w:rPr>
                <w:color w:val="000000"/>
                <w:sz w:val="20"/>
              </w:rPr>
              <w:t>10</w:t>
            </w:r>
          </w:p>
        </w:tc>
        <w:tc>
          <w:tcPr>
            <w:tcW w:w="1210" w:type="dxa"/>
            <w:shd w:val="clear" w:color="auto" w:fill="auto"/>
            <w:vAlign w:val="center"/>
          </w:tcPr>
          <w:p w:rsidR="00F62BF6" w:rsidRPr="00CA7526" w:rsidRDefault="00F62BF6" w:rsidP="005820DF">
            <w:pPr>
              <w:pStyle w:val="TableText"/>
              <w:jc w:val="center"/>
              <w:rPr>
                <w:bCs/>
                <w:sz w:val="20"/>
              </w:rPr>
            </w:pPr>
            <w:r>
              <w:rPr>
                <w:color w:val="000000"/>
                <w:sz w:val="20"/>
              </w:rPr>
              <w:t>4</w:t>
            </w:r>
          </w:p>
        </w:tc>
        <w:tc>
          <w:tcPr>
            <w:tcW w:w="1110" w:type="dxa"/>
            <w:shd w:val="clear" w:color="auto" w:fill="auto"/>
            <w:vAlign w:val="center"/>
          </w:tcPr>
          <w:p w:rsidR="00F62BF6" w:rsidRPr="00CA7526" w:rsidRDefault="00F62BF6" w:rsidP="005820DF">
            <w:pPr>
              <w:pStyle w:val="TableText"/>
              <w:tabs>
                <w:tab w:val="decimal" w:pos="377"/>
              </w:tabs>
              <w:rPr>
                <w:bCs/>
                <w:sz w:val="20"/>
              </w:rPr>
            </w:pPr>
            <w:r>
              <w:rPr>
                <w:bCs/>
                <w:sz w:val="20"/>
              </w:rPr>
              <w:t>$21.77</w:t>
            </w:r>
          </w:p>
        </w:tc>
        <w:tc>
          <w:tcPr>
            <w:tcW w:w="1333" w:type="dxa"/>
            <w:shd w:val="clear" w:color="auto" w:fill="auto"/>
            <w:vAlign w:val="center"/>
          </w:tcPr>
          <w:p w:rsidR="00F62BF6" w:rsidRPr="00CA7526" w:rsidRDefault="00F62BF6" w:rsidP="005820DF">
            <w:pPr>
              <w:pStyle w:val="TableText"/>
              <w:tabs>
                <w:tab w:val="decimal" w:pos="797"/>
              </w:tabs>
              <w:rPr>
                <w:color w:val="000000"/>
                <w:sz w:val="20"/>
              </w:rPr>
            </w:pPr>
            <w:r>
              <w:rPr>
                <w:color w:val="000000"/>
                <w:sz w:val="20"/>
              </w:rPr>
              <w:t>$87</w:t>
            </w:r>
          </w:p>
        </w:tc>
      </w:tr>
      <w:tr w:rsidR="00F62BF6" w:rsidRPr="00CA7526" w:rsidTr="005820DF">
        <w:trPr>
          <w:cantSplit/>
        </w:trPr>
        <w:tc>
          <w:tcPr>
            <w:tcW w:w="1666" w:type="dxa"/>
            <w:vMerge/>
            <w:shd w:val="clear" w:color="auto" w:fill="auto"/>
            <w:vAlign w:val="center"/>
          </w:tcPr>
          <w:p w:rsidR="00F62BF6" w:rsidRPr="00CA7526" w:rsidRDefault="00F62BF6" w:rsidP="005820DF">
            <w:pPr>
              <w:pStyle w:val="TableText"/>
              <w:rPr>
                <w:sz w:val="20"/>
              </w:rPr>
            </w:pPr>
          </w:p>
        </w:tc>
        <w:tc>
          <w:tcPr>
            <w:tcW w:w="2810" w:type="dxa"/>
            <w:vAlign w:val="center"/>
          </w:tcPr>
          <w:p w:rsidR="00F62BF6" w:rsidRPr="00CA7526" w:rsidRDefault="00F62BF6" w:rsidP="005820DF">
            <w:pPr>
              <w:pStyle w:val="TableText"/>
              <w:rPr>
                <w:color w:val="000000"/>
                <w:sz w:val="20"/>
              </w:rPr>
            </w:pPr>
            <w:r w:rsidRPr="00CA7526">
              <w:rPr>
                <w:sz w:val="20"/>
              </w:rPr>
              <w:t>Colorectal Cancer Screening Survey</w:t>
            </w:r>
            <w:r>
              <w:rPr>
                <w:sz w:val="20"/>
              </w:rPr>
              <w:t xml:space="preserve"> – information treatment groups</w:t>
            </w:r>
          </w:p>
        </w:tc>
        <w:tc>
          <w:tcPr>
            <w:tcW w:w="1231" w:type="dxa"/>
            <w:shd w:val="clear" w:color="auto" w:fill="auto"/>
            <w:vAlign w:val="center"/>
          </w:tcPr>
          <w:p w:rsidR="00F62BF6" w:rsidRPr="00CA7526" w:rsidRDefault="00F62BF6" w:rsidP="005820DF">
            <w:pPr>
              <w:pStyle w:val="TableText"/>
              <w:tabs>
                <w:tab w:val="decimal" w:pos="748"/>
              </w:tabs>
              <w:rPr>
                <w:color w:val="000000"/>
                <w:sz w:val="20"/>
              </w:rPr>
            </w:pPr>
            <w:r>
              <w:rPr>
                <w:color w:val="000000"/>
                <w:sz w:val="20"/>
              </w:rPr>
              <w:t>2</w:t>
            </w:r>
            <w:r w:rsidRPr="00CA7526">
              <w:rPr>
                <w:color w:val="000000"/>
                <w:sz w:val="20"/>
              </w:rPr>
              <w:t>0</w:t>
            </w:r>
          </w:p>
        </w:tc>
        <w:tc>
          <w:tcPr>
            <w:tcW w:w="1210" w:type="dxa"/>
            <w:shd w:val="clear" w:color="auto" w:fill="auto"/>
            <w:vAlign w:val="center"/>
          </w:tcPr>
          <w:p w:rsidR="00F62BF6" w:rsidRPr="00CA7526" w:rsidRDefault="00F62BF6" w:rsidP="005820DF">
            <w:pPr>
              <w:pStyle w:val="TableText"/>
              <w:jc w:val="center"/>
              <w:rPr>
                <w:bCs/>
                <w:sz w:val="20"/>
              </w:rPr>
            </w:pPr>
            <w:r>
              <w:rPr>
                <w:color w:val="000000"/>
                <w:sz w:val="20"/>
              </w:rPr>
              <w:t>8</w:t>
            </w:r>
          </w:p>
        </w:tc>
        <w:tc>
          <w:tcPr>
            <w:tcW w:w="1110" w:type="dxa"/>
            <w:shd w:val="clear" w:color="auto" w:fill="auto"/>
            <w:vAlign w:val="center"/>
          </w:tcPr>
          <w:p w:rsidR="00F62BF6" w:rsidRPr="00CA7526" w:rsidRDefault="00F62BF6" w:rsidP="005820DF">
            <w:pPr>
              <w:pStyle w:val="TableText"/>
              <w:tabs>
                <w:tab w:val="decimal" w:pos="377"/>
              </w:tabs>
              <w:rPr>
                <w:bCs/>
                <w:sz w:val="20"/>
              </w:rPr>
            </w:pPr>
            <w:r>
              <w:rPr>
                <w:bCs/>
                <w:sz w:val="20"/>
              </w:rPr>
              <w:t>$21.77</w:t>
            </w:r>
          </w:p>
        </w:tc>
        <w:tc>
          <w:tcPr>
            <w:tcW w:w="1333" w:type="dxa"/>
            <w:shd w:val="clear" w:color="auto" w:fill="auto"/>
            <w:vAlign w:val="center"/>
          </w:tcPr>
          <w:p w:rsidR="00F62BF6" w:rsidRPr="00CA7526" w:rsidRDefault="00F62BF6" w:rsidP="005820DF">
            <w:pPr>
              <w:pStyle w:val="TableText"/>
              <w:tabs>
                <w:tab w:val="decimal" w:pos="797"/>
              </w:tabs>
              <w:rPr>
                <w:color w:val="000000"/>
                <w:sz w:val="20"/>
              </w:rPr>
            </w:pPr>
            <w:r>
              <w:rPr>
                <w:color w:val="000000"/>
                <w:sz w:val="20"/>
              </w:rPr>
              <w:t>$174</w:t>
            </w:r>
          </w:p>
        </w:tc>
      </w:tr>
      <w:tr w:rsidR="00F62BF6" w:rsidRPr="00CA7526" w:rsidTr="005820DF">
        <w:trPr>
          <w:cantSplit/>
        </w:trPr>
        <w:tc>
          <w:tcPr>
            <w:tcW w:w="1666" w:type="dxa"/>
            <w:vMerge w:val="restart"/>
            <w:shd w:val="clear" w:color="auto" w:fill="auto"/>
            <w:vAlign w:val="center"/>
          </w:tcPr>
          <w:p w:rsidR="00F62BF6" w:rsidRPr="00CA7526" w:rsidRDefault="00F62BF6" w:rsidP="005820DF">
            <w:pPr>
              <w:pStyle w:val="TableText"/>
              <w:rPr>
                <w:sz w:val="20"/>
              </w:rPr>
            </w:pPr>
            <w:r w:rsidRPr="00CA7526">
              <w:rPr>
                <w:sz w:val="20"/>
              </w:rPr>
              <w:t>Study Participants</w:t>
            </w:r>
          </w:p>
        </w:tc>
        <w:tc>
          <w:tcPr>
            <w:tcW w:w="2810" w:type="dxa"/>
            <w:vAlign w:val="center"/>
          </w:tcPr>
          <w:p w:rsidR="00F62BF6" w:rsidRPr="00CA7526" w:rsidRDefault="00F62BF6" w:rsidP="005820DF">
            <w:pPr>
              <w:pStyle w:val="TableText"/>
              <w:rPr>
                <w:color w:val="000000"/>
                <w:sz w:val="20"/>
              </w:rPr>
            </w:pPr>
            <w:r w:rsidRPr="00CA7526">
              <w:rPr>
                <w:sz w:val="20"/>
              </w:rPr>
              <w:t>Colorectal Cancer Screening Survey</w:t>
            </w:r>
            <w:r>
              <w:rPr>
                <w:sz w:val="20"/>
              </w:rPr>
              <w:t xml:space="preserve"> – control group (no information treatment)</w:t>
            </w:r>
          </w:p>
        </w:tc>
        <w:tc>
          <w:tcPr>
            <w:tcW w:w="1231" w:type="dxa"/>
            <w:shd w:val="clear" w:color="auto" w:fill="auto"/>
            <w:vAlign w:val="center"/>
          </w:tcPr>
          <w:p w:rsidR="00F62BF6" w:rsidRPr="00CA7526" w:rsidRDefault="00F62BF6" w:rsidP="005820DF">
            <w:pPr>
              <w:pStyle w:val="TableText"/>
              <w:tabs>
                <w:tab w:val="decimal" w:pos="748"/>
              </w:tabs>
              <w:rPr>
                <w:color w:val="000000"/>
                <w:sz w:val="20"/>
              </w:rPr>
            </w:pPr>
            <w:r>
              <w:rPr>
                <w:color w:val="000000"/>
                <w:sz w:val="20"/>
              </w:rPr>
              <w:t>667</w:t>
            </w:r>
          </w:p>
        </w:tc>
        <w:tc>
          <w:tcPr>
            <w:tcW w:w="1210" w:type="dxa"/>
            <w:shd w:val="clear" w:color="auto" w:fill="auto"/>
            <w:vAlign w:val="center"/>
          </w:tcPr>
          <w:p w:rsidR="00F62BF6" w:rsidRPr="00CA7526" w:rsidRDefault="00F62BF6" w:rsidP="005820DF">
            <w:pPr>
              <w:pStyle w:val="TableText"/>
              <w:jc w:val="center"/>
              <w:rPr>
                <w:bCs/>
                <w:sz w:val="20"/>
              </w:rPr>
            </w:pPr>
            <w:r>
              <w:rPr>
                <w:color w:val="000000"/>
                <w:sz w:val="20"/>
              </w:rPr>
              <w:t>245</w:t>
            </w:r>
          </w:p>
        </w:tc>
        <w:tc>
          <w:tcPr>
            <w:tcW w:w="1110" w:type="dxa"/>
            <w:shd w:val="clear" w:color="auto" w:fill="auto"/>
            <w:vAlign w:val="center"/>
          </w:tcPr>
          <w:p w:rsidR="00F62BF6" w:rsidRPr="00CA7526" w:rsidRDefault="00F62BF6" w:rsidP="005820DF">
            <w:pPr>
              <w:pStyle w:val="TableText"/>
              <w:tabs>
                <w:tab w:val="decimal" w:pos="377"/>
              </w:tabs>
              <w:rPr>
                <w:bCs/>
                <w:sz w:val="20"/>
              </w:rPr>
            </w:pPr>
            <w:r>
              <w:rPr>
                <w:bCs/>
                <w:sz w:val="20"/>
              </w:rPr>
              <w:t>$21.77</w:t>
            </w:r>
          </w:p>
        </w:tc>
        <w:tc>
          <w:tcPr>
            <w:tcW w:w="1333" w:type="dxa"/>
            <w:shd w:val="clear" w:color="auto" w:fill="auto"/>
            <w:vAlign w:val="center"/>
          </w:tcPr>
          <w:p w:rsidR="00F62BF6" w:rsidRPr="00CA7526" w:rsidRDefault="00F62BF6" w:rsidP="005820DF">
            <w:pPr>
              <w:pStyle w:val="TableText"/>
              <w:tabs>
                <w:tab w:val="decimal" w:pos="797"/>
              </w:tabs>
              <w:rPr>
                <w:color w:val="000000"/>
                <w:sz w:val="20"/>
              </w:rPr>
            </w:pPr>
            <w:r>
              <w:rPr>
                <w:color w:val="000000"/>
                <w:sz w:val="20"/>
              </w:rPr>
              <w:t>$5,334</w:t>
            </w:r>
          </w:p>
        </w:tc>
      </w:tr>
      <w:tr w:rsidR="00F62BF6" w:rsidRPr="00CA7526" w:rsidTr="00F42D12">
        <w:trPr>
          <w:cantSplit/>
        </w:trPr>
        <w:tc>
          <w:tcPr>
            <w:tcW w:w="1666" w:type="dxa"/>
            <w:vMerge/>
            <w:shd w:val="clear" w:color="auto" w:fill="auto"/>
            <w:vAlign w:val="center"/>
            <w:hideMark/>
          </w:tcPr>
          <w:p w:rsidR="00F62BF6" w:rsidRPr="00CA7526" w:rsidRDefault="00F62BF6" w:rsidP="005820DF">
            <w:pPr>
              <w:pStyle w:val="TableText"/>
              <w:rPr>
                <w:bCs/>
                <w:sz w:val="20"/>
              </w:rPr>
            </w:pPr>
          </w:p>
        </w:tc>
        <w:tc>
          <w:tcPr>
            <w:tcW w:w="2810" w:type="dxa"/>
            <w:vAlign w:val="center"/>
          </w:tcPr>
          <w:p w:rsidR="00F62BF6" w:rsidRPr="00CA7526" w:rsidRDefault="00F62BF6" w:rsidP="005820DF">
            <w:pPr>
              <w:pStyle w:val="TableText"/>
              <w:rPr>
                <w:color w:val="000000"/>
                <w:sz w:val="20"/>
              </w:rPr>
            </w:pPr>
            <w:r w:rsidRPr="00CA7526">
              <w:rPr>
                <w:sz w:val="20"/>
              </w:rPr>
              <w:t>Colorectal Cancer Screening Survey</w:t>
            </w:r>
            <w:r>
              <w:rPr>
                <w:sz w:val="20"/>
              </w:rPr>
              <w:t xml:space="preserve"> – information treatment groups</w:t>
            </w:r>
          </w:p>
        </w:tc>
        <w:tc>
          <w:tcPr>
            <w:tcW w:w="1231" w:type="dxa"/>
            <w:shd w:val="clear" w:color="auto" w:fill="auto"/>
            <w:vAlign w:val="center"/>
            <w:hideMark/>
          </w:tcPr>
          <w:p w:rsidR="00F62BF6" w:rsidRPr="00CA7526" w:rsidRDefault="00F62BF6" w:rsidP="005820DF">
            <w:pPr>
              <w:pStyle w:val="TableText"/>
              <w:tabs>
                <w:tab w:val="decimal" w:pos="748"/>
              </w:tabs>
              <w:rPr>
                <w:bCs/>
                <w:sz w:val="20"/>
              </w:rPr>
            </w:pPr>
            <w:r>
              <w:rPr>
                <w:color w:val="000000"/>
                <w:sz w:val="20"/>
              </w:rPr>
              <w:t>1,333</w:t>
            </w:r>
          </w:p>
        </w:tc>
        <w:tc>
          <w:tcPr>
            <w:tcW w:w="1210" w:type="dxa"/>
            <w:shd w:val="clear" w:color="auto" w:fill="auto"/>
            <w:vAlign w:val="center"/>
          </w:tcPr>
          <w:p w:rsidR="00F62BF6" w:rsidRPr="00CA7526" w:rsidRDefault="00F62BF6" w:rsidP="005820DF">
            <w:pPr>
              <w:pStyle w:val="TableText"/>
              <w:jc w:val="center"/>
              <w:rPr>
                <w:bCs/>
                <w:sz w:val="20"/>
              </w:rPr>
            </w:pPr>
            <w:r>
              <w:rPr>
                <w:color w:val="000000"/>
                <w:sz w:val="20"/>
              </w:rPr>
              <w:t>555</w:t>
            </w:r>
          </w:p>
        </w:tc>
        <w:tc>
          <w:tcPr>
            <w:tcW w:w="1110" w:type="dxa"/>
            <w:shd w:val="clear" w:color="auto" w:fill="auto"/>
            <w:vAlign w:val="center"/>
          </w:tcPr>
          <w:p w:rsidR="00F62BF6" w:rsidRPr="00CA7526" w:rsidRDefault="00F62BF6" w:rsidP="005820DF">
            <w:pPr>
              <w:pStyle w:val="TableText"/>
              <w:tabs>
                <w:tab w:val="decimal" w:pos="377"/>
              </w:tabs>
              <w:rPr>
                <w:bCs/>
                <w:sz w:val="20"/>
              </w:rPr>
            </w:pPr>
            <w:r>
              <w:rPr>
                <w:bCs/>
                <w:sz w:val="20"/>
              </w:rPr>
              <w:t>$21.77</w:t>
            </w:r>
          </w:p>
        </w:tc>
        <w:tc>
          <w:tcPr>
            <w:tcW w:w="1333" w:type="dxa"/>
            <w:shd w:val="clear" w:color="auto" w:fill="auto"/>
            <w:vAlign w:val="center"/>
          </w:tcPr>
          <w:p w:rsidR="00F62BF6" w:rsidRPr="00CA7526" w:rsidRDefault="00F62BF6" w:rsidP="005820DF">
            <w:pPr>
              <w:pStyle w:val="TableText"/>
              <w:tabs>
                <w:tab w:val="decimal" w:pos="797"/>
              </w:tabs>
              <w:rPr>
                <w:color w:val="000000"/>
                <w:sz w:val="20"/>
              </w:rPr>
            </w:pPr>
            <w:r>
              <w:rPr>
                <w:color w:val="000000"/>
                <w:sz w:val="20"/>
              </w:rPr>
              <w:t>$12,082</w:t>
            </w:r>
          </w:p>
        </w:tc>
      </w:tr>
      <w:tr w:rsidR="007A74AD" w:rsidRPr="00CA7526" w:rsidTr="005820DF">
        <w:trPr>
          <w:cantSplit/>
        </w:trPr>
        <w:tc>
          <w:tcPr>
            <w:tcW w:w="1666" w:type="dxa"/>
            <w:shd w:val="clear" w:color="auto" w:fill="auto"/>
            <w:vAlign w:val="center"/>
          </w:tcPr>
          <w:p w:rsidR="007A74AD" w:rsidRPr="00CA7526" w:rsidRDefault="007A74AD" w:rsidP="005820DF">
            <w:pPr>
              <w:pStyle w:val="TableText"/>
              <w:rPr>
                <w:sz w:val="20"/>
              </w:rPr>
            </w:pPr>
          </w:p>
        </w:tc>
        <w:tc>
          <w:tcPr>
            <w:tcW w:w="6361" w:type="dxa"/>
            <w:gridSpan w:val="4"/>
            <w:vAlign w:val="center"/>
          </w:tcPr>
          <w:p w:rsidR="007A74AD" w:rsidRPr="00CA7526" w:rsidRDefault="007A74AD" w:rsidP="005820DF">
            <w:pPr>
              <w:pStyle w:val="TableText"/>
              <w:jc w:val="right"/>
              <w:rPr>
                <w:bCs/>
                <w:sz w:val="20"/>
              </w:rPr>
            </w:pPr>
            <w:r w:rsidRPr="00CA7526">
              <w:rPr>
                <w:sz w:val="20"/>
              </w:rPr>
              <w:t>Total</w:t>
            </w:r>
          </w:p>
        </w:tc>
        <w:tc>
          <w:tcPr>
            <w:tcW w:w="1333" w:type="dxa"/>
            <w:shd w:val="clear" w:color="auto" w:fill="auto"/>
            <w:vAlign w:val="center"/>
          </w:tcPr>
          <w:p w:rsidR="007A74AD" w:rsidRPr="00CA7526" w:rsidRDefault="00F42D12" w:rsidP="005820DF">
            <w:pPr>
              <w:pStyle w:val="TableText"/>
              <w:tabs>
                <w:tab w:val="decimal" w:pos="797"/>
              </w:tabs>
              <w:rPr>
                <w:color w:val="000000"/>
                <w:sz w:val="20"/>
              </w:rPr>
            </w:pPr>
            <w:r>
              <w:rPr>
                <w:color w:val="000000"/>
                <w:sz w:val="20"/>
              </w:rPr>
              <w:t>$17,677</w:t>
            </w:r>
          </w:p>
        </w:tc>
      </w:tr>
    </w:tbl>
    <w:p w:rsidR="007A74AD" w:rsidRDefault="007A74AD" w:rsidP="007A74AD">
      <w:pPr>
        <w:pStyle w:val="Source"/>
      </w:pPr>
    </w:p>
    <w:p w:rsidR="00441B12" w:rsidRPr="00CA7526" w:rsidRDefault="00441B12" w:rsidP="004862B3">
      <w:pPr>
        <w:pStyle w:val="Source"/>
      </w:pPr>
    </w:p>
    <w:p w:rsidR="00495ADF" w:rsidRPr="00CA7526" w:rsidRDefault="00495ADF" w:rsidP="00F66166">
      <w:pPr>
        <w:pStyle w:val="Heading2"/>
      </w:pPr>
      <w:bookmarkStart w:id="34" w:name="_Toc88033479"/>
      <w:bookmarkStart w:id="35" w:name="_Toc371431224"/>
      <w:r w:rsidRPr="00CA7526">
        <w:t>A.13</w:t>
      </w:r>
      <w:r w:rsidRPr="00CA7526">
        <w:tab/>
      </w:r>
      <w:bookmarkEnd w:id="34"/>
      <w:r w:rsidRPr="00CA7526">
        <w:t xml:space="preserve">Estimates of Other Total Annual Cost Burden to Respondents or </w:t>
      </w:r>
      <w:proofErr w:type="spellStart"/>
      <w:r w:rsidRPr="00CA7526">
        <w:t>Recordkeepers</w:t>
      </w:r>
      <w:bookmarkEnd w:id="35"/>
      <w:proofErr w:type="spellEnd"/>
    </w:p>
    <w:p w:rsidR="00495ADF" w:rsidRPr="00CA7526" w:rsidRDefault="0089151D" w:rsidP="00FE05DD">
      <w:pPr>
        <w:pStyle w:val="BodyText1"/>
      </w:pPr>
      <w:proofErr w:type="gramStart"/>
      <w:r w:rsidRPr="00CA7526">
        <w:t>None.</w:t>
      </w:r>
      <w:proofErr w:type="gramEnd"/>
    </w:p>
    <w:p w:rsidR="00495ADF" w:rsidRPr="00CA7526" w:rsidRDefault="00495ADF" w:rsidP="00D358C3">
      <w:pPr>
        <w:pStyle w:val="Heading2"/>
      </w:pPr>
      <w:bookmarkStart w:id="36" w:name="_Toc88033480"/>
      <w:bookmarkStart w:id="37" w:name="_Toc371431225"/>
      <w:r w:rsidRPr="00CA7526">
        <w:t>A.14</w:t>
      </w:r>
      <w:r w:rsidRPr="00CA7526">
        <w:tab/>
      </w:r>
      <w:bookmarkEnd w:id="36"/>
      <w:r w:rsidRPr="00CA7526">
        <w:t>Annualized Cost to the Federal Government</w:t>
      </w:r>
      <w:bookmarkEnd w:id="37"/>
    </w:p>
    <w:p w:rsidR="0089151D" w:rsidRPr="00CA7526" w:rsidRDefault="0089151D" w:rsidP="00F42D12">
      <w:pPr>
        <w:pStyle w:val="BodyText1"/>
        <w:spacing w:line="360" w:lineRule="auto"/>
      </w:pPr>
      <w:r w:rsidRPr="00CA7526">
        <w:t>This information collection will occur in 2014, thus the annual cost to the Federal government is estimated to be $208,681 (</w:t>
      </w:r>
      <w:r w:rsidR="00906A4B" w:rsidRPr="00CA7526">
        <w:rPr>
          <w:b/>
          <w:bCs/>
        </w:rPr>
        <w:t>Exhibit </w:t>
      </w:r>
      <w:r w:rsidRPr="00CA7526">
        <w:rPr>
          <w:b/>
          <w:bCs/>
        </w:rPr>
        <w:t>A.</w:t>
      </w:r>
      <w:r w:rsidR="00CB17A4">
        <w:rPr>
          <w:b/>
          <w:bCs/>
        </w:rPr>
        <w:t>5</w:t>
      </w:r>
      <w:r w:rsidRPr="00CA7526">
        <w:t>).</w:t>
      </w:r>
      <w:r w:rsidR="00906A4B" w:rsidRPr="00CA7526">
        <w:t xml:space="preserve"> </w:t>
      </w:r>
      <w:r w:rsidRPr="00CA7526">
        <w:t>This information collection is funded through a contract with RTI International.</w:t>
      </w:r>
      <w:r w:rsidR="00906A4B" w:rsidRPr="00CA7526">
        <w:t xml:space="preserve"> </w:t>
      </w:r>
      <w:r w:rsidRPr="00CA7526">
        <w:t xml:space="preserve">The total estimated costs attributable to this data collection for the contract with RTI are $200,019. This includes the full cost of the data collection, data analysis, survey development and project management (literature review, coordination with CDC, instrument development, reporting, RTI IRB and progress reporting and project management). Two CDC health </w:t>
      </w:r>
      <w:r w:rsidR="008442BC">
        <w:t>economists</w:t>
      </w:r>
      <w:r w:rsidRPr="00CA7526">
        <w:t xml:space="preserve"> are responsible for overseeing the content of </w:t>
      </w:r>
      <w:r w:rsidRPr="00CA7526">
        <w:lastRenderedPageBreak/>
        <w:t>this information collection, overall project management, and coordination with other CDC activities at a cost of $8,622.</w:t>
      </w:r>
    </w:p>
    <w:p w:rsidR="0089151D" w:rsidRPr="00CA7526" w:rsidRDefault="0089151D" w:rsidP="003B2ECF">
      <w:pPr>
        <w:pStyle w:val="FigureTitle"/>
      </w:pPr>
      <w:bookmarkStart w:id="38" w:name="_Toc371430966"/>
      <w:r w:rsidRPr="00CA7526">
        <w:t>Exhibit A.</w:t>
      </w:r>
      <w:r w:rsidR="003B2ECF">
        <w:t>5</w:t>
      </w:r>
      <w:r w:rsidRPr="00CA7526">
        <w:t>. Cost to Government</w:t>
      </w:r>
      <w:bookmarkEnd w:id="38"/>
    </w:p>
    <w:tbl>
      <w:tblPr>
        <w:tblW w:w="9360" w:type="dxa"/>
        <w:tblInd w:w="86" w:type="dxa"/>
        <w:tblBorders>
          <w:top w:val="single" w:sz="12" w:space="0" w:color="auto"/>
          <w:bottom w:val="single" w:sz="12" w:space="0" w:color="auto"/>
          <w:insideH w:val="single" w:sz="6" w:space="0" w:color="auto"/>
          <w:insideV w:val="single" w:sz="6" w:space="0" w:color="auto"/>
        </w:tblBorders>
        <w:tblLayout w:type="fixed"/>
        <w:tblCellMar>
          <w:left w:w="115" w:type="dxa"/>
          <w:right w:w="115" w:type="dxa"/>
        </w:tblCellMar>
        <w:tblLook w:val="00A0" w:firstRow="1" w:lastRow="0" w:firstColumn="1" w:lastColumn="0" w:noHBand="0" w:noVBand="0"/>
      </w:tblPr>
      <w:tblGrid>
        <w:gridCol w:w="2909"/>
        <w:gridCol w:w="1771"/>
        <w:gridCol w:w="3269"/>
        <w:gridCol w:w="1411"/>
      </w:tblGrid>
      <w:tr w:rsidR="0089151D" w:rsidRPr="00CA7526" w:rsidTr="00AD5C89">
        <w:trPr>
          <w:cantSplit/>
        </w:trPr>
        <w:tc>
          <w:tcPr>
            <w:tcW w:w="9360" w:type="dxa"/>
            <w:gridSpan w:val="4"/>
            <w:vAlign w:val="bottom"/>
          </w:tcPr>
          <w:p w:rsidR="0089151D" w:rsidRPr="00CA7526" w:rsidRDefault="0089151D" w:rsidP="00FA1104">
            <w:pPr>
              <w:pStyle w:val="TableHeaders"/>
            </w:pPr>
            <w:r w:rsidRPr="00CA7526">
              <w:t>Itemized Cost to the Federal Government</w:t>
            </w:r>
          </w:p>
        </w:tc>
      </w:tr>
      <w:tr w:rsidR="0089151D" w:rsidRPr="00CA7526" w:rsidTr="00AD5C89">
        <w:trPr>
          <w:cantSplit/>
        </w:trPr>
        <w:tc>
          <w:tcPr>
            <w:tcW w:w="2909" w:type="dxa"/>
            <w:vAlign w:val="bottom"/>
          </w:tcPr>
          <w:p w:rsidR="0089151D" w:rsidRPr="00CA7526" w:rsidRDefault="0089151D" w:rsidP="00FA1104">
            <w:pPr>
              <w:pStyle w:val="TableHeaders"/>
            </w:pPr>
            <w:r w:rsidRPr="00CA7526">
              <w:t>CDC Staff Member</w:t>
            </w:r>
          </w:p>
        </w:tc>
        <w:tc>
          <w:tcPr>
            <w:tcW w:w="1771" w:type="dxa"/>
            <w:vAlign w:val="bottom"/>
          </w:tcPr>
          <w:p w:rsidR="0089151D" w:rsidRPr="00CA7526" w:rsidRDefault="0089151D" w:rsidP="00FA1104">
            <w:pPr>
              <w:pStyle w:val="TableHeaders"/>
            </w:pPr>
            <w:r w:rsidRPr="00CA7526">
              <w:t>Annual Salary</w:t>
            </w:r>
          </w:p>
        </w:tc>
        <w:tc>
          <w:tcPr>
            <w:tcW w:w="3269" w:type="dxa"/>
            <w:vAlign w:val="bottom"/>
          </w:tcPr>
          <w:p w:rsidR="0089151D" w:rsidRPr="00CA7526" w:rsidRDefault="0089151D" w:rsidP="00FA1104">
            <w:pPr>
              <w:pStyle w:val="TableHeaders"/>
            </w:pPr>
            <w:r w:rsidRPr="00CA7526">
              <w:t>% Allocation (Annualized</w:t>
            </w:r>
            <w:r w:rsidR="00AD5C89" w:rsidRPr="00CA7526">
              <w:t>)</w:t>
            </w:r>
          </w:p>
        </w:tc>
        <w:tc>
          <w:tcPr>
            <w:tcW w:w="1411" w:type="dxa"/>
            <w:vAlign w:val="bottom"/>
          </w:tcPr>
          <w:p w:rsidR="0089151D" w:rsidRPr="00CA7526" w:rsidRDefault="0089151D" w:rsidP="00FA1104">
            <w:pPr>
              <w:pStyle w:val="TableHeaders"/>
            </w:pPr>
            <w:r w:rsidRPr="00CA7526">
              <w:t>Cost</w:t>
            </w:r>
          </w:p>
        </w:tc>
      </w:tr>
      <w:tr w:rsidR="0089151D" w:rsidRPr="00CA7526" w:rsidTr="00AD5C89">
        <w:trPr>
          <w:cantSplit/>
        </w:trPr>
        <w:tc>
          <w:tcPr>
            <w:tcW w:w="2909" w:type="dxa"/>
          </w:tcPr>
          <w:p w:rsidR="0089151D" w:rsidRPr="00CA7526" w:rsidRDefault="0089151D" w:rsidP="00FA1104">
            <w:pPr>
              <w:pStyle w:val="TableText"/>
            </w:pPr>
            <w:r w:rsidRPr="00CA7526">
              <w:t>GS-14</w:t>
            </w:r>
          </w:p>
        </w:tc>
        <w:tc>
          <w:tcPr>
            <w:tcW w:w="1771" w:type="dxa"/>
          </w:tcPr>
          <w:p w:rsidR="0089151D" w:rsidRPr="00CA7526" w:rsidRDefault="0089151D" w:rsidP="00AD5C89">
            <w:pPr>
              <w:pStyle w:val="TableText"/>
              <w:jc w:val="center"/>
            </w:pPr>
            <w:r w:rsidRPr="00CA7526">
              <w:t>$107,770</w:t>
            </w:r>
          </w:p>
        </w:tc>
        <w:tc>
          <w:tcPr>
            <w:tcW w:w="3269" w:type="dxa"/>
          </w:tcPr>
          <w:p w:rsidR="0089151D" w:rsidRPr="00CA7526" w:rsidRDefault="0089151D" w:rsidP="00AD5C89">
            <w:pPr>
              <w:pStyle w:val="TableText"/>
              <w:jc w:val="center"/>
            </w:pPr>
            <w:r w:rsidRPr="00CA7526">
              <w:t>8%</w:t>
            </w:r>
          </w:p>
        </w:tc>
        <w:tc>
          <w:tcPr>
            <w:tcW w:w="1411" w:type="dxa"/>
          </w:tcPr>
          <w:p w:rsidR="0089151D" w:rsidRPr="00CA7526" w:rsidRDefault="0089151D" w:rsidP="00AD5C89">
            <w:pPr>
              <w:pStyle w:val="TableText"/>
              <w:tabs>
                <w:tab w:val="decimal" w:pos="965"/>
              </w:tabs>
            </w:pPr>
            <w:r w:rsidRPr="00CA7526">
              <w:t>$8,622</w:t>
            </w:r>
          </w:p>
        </w:tc>
      </w:tr>
      <w:tr w:rsidR="0089151D" w:rsidRPr="00CA7526" w:rsidTr="00AD5C89">
        <w:trPr>
          <w:cantSplit/>
        </w:trPr>
        <w:tc>
          <w:tcPr>
            <w:tcW w:w="2909" w:type="dxa"/>
          </w:tcPr>
          <w:p w:rsidR="0089151D" w:rsidRPr="00CA7526" w:rsidRDefault="0089151D" w:rsidP="00FA1104">
            <w:pPr>
              <w:pStyle w:val="TableText"/>
            </w:pPr>
          </w:p>
        </w:tc>
        <w:tc>
          <w:tcPr>
            <w:tcW w:w="1771" w:type="dxa"/>
          </w:tcPr>
          <w:p w:rsidR="0089151D" w:rsidRPr="00CA7526" w:rsidRDefault="0089151D" w:rsidP="00AD5C89">
            <w:pPr>
              <w:pStyle w:val="TableText"/>
              <w:jc w:val="center"/>
            </w:pPr>
          </w:p>
        </w:tc>
        <w:tc>
          <w:tcPr>
            <w:tcW w:w="3269" w:type="dxa"/>
          </w:tcPr>
          <w:p w:rsidR="0089151D" w:rsidRPr="00CA7526" w:rsidRDefault="0089151D" w:rsidP="00AD5C89">
            <w:pPr>
              <w:pStyle w:val="TableText"/>
              <w:jc w:val="right"/>
              <w:rPr>
                <w:b/>
              </w:rPr>
            </w:pPr>
            <w:r w:rsidRPr="00CA7526">
              <w:rPr>
                <w:b/>
              </w:rPr>
              <w:t>Subtotal, CDC Personnel</w:t>
            </w:r>
          </w:p>
        </w:tc>
        <w:tc>
          <w:tcPr>
            <w:tcW w:w="1411" w:type="dxa"/>
          </w:tcPr>
          <w:p w:rsidR="0089151D" w:rsidRPr="00CA7526" w:rsidRDefault="0089151D" w:rsidP="00AD5C89">
            <w:pPr>
              <w:pStyle w:val="TableText"/>
              <w:tabs>
                <w:tab w:val="decimal" w:pos="965"/>
              </w:tabs>
              <w:rPr>
                <w:b/>
              </w:rPr>
            </w:pPr>
            <w:r w:rsidRPr="00CA7526">
              <w:rPr>
                <w:b/>
              </w:rPr>
              <w:t>$8,662</w:t>
            </w:r>
          </w:p>
        </w:tc>
      </w:tr>
      <w:tr w:rsidR="0089151D" w:rsidRPr="00CA7526" w:rsidTr="00AD5C89">
        <w:trPr>
          <w:cantSplit/>
        </w:trPr>
        <w:tc>
          <w:tcPr>
            <w:tcW w:w="2909" w:type="dxa"/>
          </w:tcPr>
          <w:p w:rsidR="0089151D" w:rsidRPr="00CA7526" w:rsidRDefault="0089151D" w:rsidP="00FA1104">
            <w:pPr>
              <w:pStyle w:val="TableText"/>
              <w:rPr>
                <w:b/>
              </w:rPr>
            </w:pPr>
            <w:r w:rsidRPr="00CA7526">
              <w:rPr>
                <w:b/>
              </w:rPr>
              <w:t>Contractual Costs for Data Collection and Management (RTI)</w:t>
            </w:r>
          </w:p>
        </w:tc>
        <w:tc>
          <w:tcPr>
            <w:tcW w:w="1771" w:type="dxa"/>
          </w:tcPr>
          <w:p w:rsidR="0089151D" w:rsidRPr="00CA7526" w:rsidRDefault="0089151D" w:rsidP="00AD5C89">
            <w:pPr>
              <w:pStyle w:val="TableText"/>
              <w:jc w:val="center"/>
            </w:pPr>
          </w:p>
        </w:tc>
        <w:tc>
          <w:tcPr>
            <w:tcW w:w="3269" w:type="dxa"/>
          </w:tcPr>
          <w:p w:rsidR="0089151D" w:rsidRPr="00CA7526" w:rsidRDefault="0089151D" w:rsidP="00AD5C89">
            <w:pPr>
              <w:pStyle w:val="TableText"/>
              <w:jc w:val="right"/>
              <w:rPr>
                <w:b/>
              </w:rPr>
            </w:pPr>
            <w:r w:rsidRPr="00CA7526">
              <w:rPr>
                <w:b/>
              </w:rPr>
              <w:t>Subtotal, Contractual Costs</w:t>
            </w:r>
          </w:p>
        </w:tc>
        <w:tc>
          <w:tcPr>
            <w:tcW w:w="1411" w:type="dxa"/>
          </w:tcPr>
          <w:p w:rsidR="0089151D" w:rsidRPr="00CA7526" w:rsidRDefault="0089151D" w:rsidP="00AD5C89">
            <w:pPr>
              <w:pStyle w:val="TableText"/>
              <w:tabs>
                <w:tab w:val="decimal" w:pos="965"/>
              </w:tabs>
              <w:rPr>
                <w:b/>
              </w:rPr>
            </w:pPr>
            <w:r w:rsidRPr="00CA7526">
              <w:rPr>
                <w:b/>
              </w:rPr>
              <w:t>$200,019</w:t>
            </w:r>
          </w:p>
        </w:tc>
      </w:tr>
      <w:tr w:rsidR="0089151D" w:rsidRPr="00CA7526" w:rsidTr="00AD5C89">
        <w:trPr>
          <w:cantSplit/>
        </w:trPr>
        <w:tc>
          <w:tcPr>
            <w:tcW w:w="2909" w:type="dxa"/>
          </w:tcPr>
          <w:p w:rsidR="0089151D" w:rsidRPr="00CA7526" w:rsidRDefault="0089151D" w:rsidP="00FA1104">
            <w:pPr>
              <w:pStyle w:val="TableText"/>
            </w:pPr>
          </w:p>
        </w:tc>
        <w:tc>
          <w:tcPr>
            <w:tcW w:w="1771" w:type="dxa"/>
          </w:tcPr>
          <w:p w:rsidR="0089151D" w:rsidRPr="00CA7526" w:rsidRDefault="0089151D" w:rsidP="00AD5C89">
            <w:pPr>
              <w:pStyle w:val="TableText"/>
              <w:jc w:val="center"/>
            </w:pPr>
          </w:p>
        </w:tc>
        <w:tc>
          <w:tcPr>
            <w:tcW w:w="3269" w:type="dxa"/>
          </w:tcPr>
          <w:p w:rsidR="0089151D" w:rsidRPr="00CA7526" w:rsidRDefault="0089151D" w:rsidP="00AD5C89">
            <w:pPr>
              <w:pStyle w:val="TableText"/>
              <w:jc w:val="right"/>
            </w:pPr>
            <w:r w:rsidRPr="00CA7526">
              <w:t>Total</w:t>
            </w:r>
          </w:p>
        </w:tc>
        <w:tc>
          <w:tcPr>
            <w:tcW w:w="1411" w:type="dxa"/>
          </w:tcPr>
          <w:p w:rsidR="0089151D" w:rsidRPr="00CA7526" w:rsidRDefault="0089151D" w:rsidP="00AD5C89">
            <w:pPr>
              <w:pStyle w:val="TableText"/>
              <w:tabs>
                <w:tab w:val="decimal" w:pos="965"/>
              </w:tabs>
              <w:rPr>
                <w:b/>
              </w:rPr>
            </w:pPr>
            <w:r w:rsidRPr="00CA7526">
              <w:rPr>
                <w:b/>
              </w:rPr>
              <w:t>$208,681</w:t>
            </w:r>
          </w:p>
        </w:tc>
      </w:tr>
    </w:tbl>
    <w:p w:rsidR="0089151D" w:rsidRPr="00CA7526" w:rsidRDefault="0089151D" w:rsidP="00FA1104">
      <w:pPr>
        <w:pStyle w:val="Source"/>
      </w:pPr>
    </w:p>
    <w:p w:rsidR="00F72F56" w:rsidRPr="00CA7526" w:rsidRDefault="00F72F56" w:rsidP="00F72F56">
      <w:pPr>
        <w:pStyle w:val="Heading2"/>
      </w:pPr>
      <w:bookmarkStart w:id="39" w:name="_Toc88033481"/>
      <w:bookmarkStart w:id="40" w:name="_Toc371431226"/>
      <w:r w:rsidRPr="00CA7526">
        <w:t>A.15</w:t>
      </w:r>
      <w:r w:rsidRPr="00CA7526">
        <w:tab/>
      </w:r>
      <w:bookmarkEnd w:id="39"/>
      <w:r w:rsidRPr="00CA7526">
        <w:t>Explanation for Program Changes or Adjustments</w:t>
      </w:r>
      <w:bookmarkEnd w:id="40"/>
    </w:p>
    <w:p w:rsidR="00F72F56" w:rsidRPr="00CA7526" w:rsidRDefault="008B48AD" w:rsidP="00FE05DD">
      <w:pPr>
        <w:pStyle w:val="BodyText1"/>
      </w:pPr>
      <w:r>
        <w:t>This is a new data collection</w:t>
      </w:r>
      <w:r w:rsidR="00B60AD4">
        <w:t>.</w:t>
      </w:r>
    </w:p>
    <w:p w:rsidR="00495ADF" w:rsidRPr="00CA7526" w:rsidRDefault="00495ADF" w:rsidP="00F72F56">
      <w:pPr>
        <w:pStyle w:val="Heading2"/>
      </w:pPr>
      <w:bookmarkStart w:id="41" w:name="_Toc88033482"/>
      <w:bookmarkStart w:id="42" w:name="_Toc371431227"/>
      <w:r w:rsidRPr="00CA7526">
        <w:t>A.16</w:t>
      </w:r>
      <w:r w:rsidRPr="00CA7526">
        <w:tab/>
      </w:r>
      <w:bookmarkEnd w:id="41"/>
      <w:r w:rsidRPr="00CA7526">
        <w:t>Plans for Tabulation and Publication and Project Time Schedule</w:t>
      </w:r>
      <w:bookmarkEnd w:id="42"/>
    </w:p>
    <w:p w:rsidR="0089151D" w:rsidRPr="00CA7526" w:rsidRDefault="0089151D" w:rsidP="00F42D12">
      <w:pPr>
        <w:pStyle w:val="BodyText1"/>
        <w:spacing w:line="360" w:lineRule="auto"/>
      </w:pPr>
      <w:r w:rsidRPr="00CA7526">
        <w:t>After data collection is complete, RTI will prepare a final report presenting the results from the survey. Section B.2 describes the analytical techniques that will be used to summarize the results. It should be noted that while the KN panel</w:t>
      </w:r>
      <w:r w:rsidR="00906A4B" w:rsidRPr="00CA7526">
        <w:t>’</w:t>
      </w:r>
      <w:r w:rsidRPr="00CA7526">
        <w:t>s recruitment procedures are designed to approximate a nationally representative sample, the limitations associated with the panel decrease our capacity to draw nationally representative conclusions. Although KN panelists must be invited to participate and cannot volunteer on their own, there may be systematic differences between individuals who choose to join an ongoing internet panel and the type of individuals who do not wish to participate in either an internet panel and/or over an ongoing committee. In addition, while KN goes to great lengths to ensure that persons who are not web-users are included in the sample, the web medium may introduce some bias towards panelists more comfortable with web-based communication. Therefore, evaluation results must be interpreted with appropriate caution regarding our ability to generalize the findings to the national population.</w:t>
      </w:r>
    </w:p>
    <w:p w:rsidR="0089151D" w:rsidRPr="00CA7526" w:rsidRDefault="0089151D" w:rsidP="00F42D12">
      <w:pPr>
        <w:pStyle w:val="BodyText1"/>
        <w:spacing w:line="360" w:lineRule="auto"/>
      </w:pPr>
      <w:r w:rsidRPr="00CA7526">
        <w:t xml:space="preserve">The time schedule for the project is presented in </w:t>
      </w:r>
      <w:r w:rsidR="00906A4B" w:rsidRPr="00CA7526">
        <w:rPr>
          <w:b/>
          <w:bCs/>
        </w:rPr>
        <w:t>Exhibit </w:t>
      </w:r>
      <w:r w:rsidRPr="00CA7526">
        <w:rPr>
          <w:b/>
          <w:bCs/>
        </w:rPr>
        <w:t>A6</w:t>
      </w:r>
      <w:r w:rsidRPr="00CA7526">
        <w:t xml:space="preserve">. The reporting and dissemination mechanism will consist of three primary components: (1) summary statistics (in </w:t>
      </w:r>
      <w:r w:rsidRPr="00CA7526">
        <w:lastRenderedPageBreak/>
        <w:t>the form of Power Point presentations and other briefings; (2</w:t>
      </w:r>
      <w:r w:rsidR="00906A4B" w:rsidRPr="00CA7526">
        <w:t>) </w:t>
      </w:r>
      <w:r w:rsidRPr="00CA7526">
        <w:t>a report summarizing findings from this information collection and (3</w:t>
      </w:r>
      <w:r w:rsidR="00906A4B" w:rsidRPr="00CA7526">
        <w:t>) </w:t>
      </w:r>
      <w:r w:rsidRPr="00CA7526">
        <w:t>at least one peer-reviewed journal article that documents the preferences for CRC screening test attributes. In recognizing the aforementioned data limitations, all communications about the evaluation results via these publication formats will carefully enumerate and describe those data limitations and ensure that evaluation results are interpreted with appropriate care and caution</w:t>
      </w:r>
    </w:p>
    <w:p w:rsidR="0089151D" w:rsidRPr="00CA7526" w:rsidRDefault="0089151D" w:rsidP="003B2ECF">
      <w:pPr>
        <w:pStyle w:val="FigureTitle"/>
      </w:pPr>
      <w:bookmarkStart w:id="43" w:name="_Toc371430967"/>
      <w:r w:rsidRPr="00CA7526">
        <w:t>Exhibit A.</w:t>
      </w:r>
      <w:r w:rsidR="003B2ECF">
        <w:t>6</w:t>
      </w:r>
      <w:r w:rsidRPr="00CA7526">
        <w:t>. Time Schedule</w:t>
      </w:r>
      <w:bookmarkEnd w:id="43"/>
    </w:p>
    <w:tbl>
      <w:tblPr>
        <w:tblW w:w="9360" w:type="dxa"/>
        <w:tblInd w:w="86" w:type="dxa"/>
        <w:tblBorders>
          <w:top w:val="single" w:sz="12" w:space="0" w:color="auto"/>
          <w:bottom w:val="single" w:sz="12" w:space="0" w:color="auto"/>
        </w:tblBorders>
        <w:tblLayout w:type="fixed"/>
        <w:tblCellMar>
          <w:left w:w="43" w:type="dxa"/>
          <w:right w:w="43" w:type="dxa"/>
        </w:tblCellMar>
        <w:tblLook w:val="04A0" w:firstRow="1" w:lastRow="0" w:firstColumn="1" w:lastColumn="0" w:noHBand="0" w:noVBand="1"/>
      </w:tblPr>
      <w:tblGrid>
        <w:gridCol w:w="2198"/>
        <w:gridCol w:w="7162"/>
      </w:tblGrid>
      <w:tr w:rsidR="0089151D" w:rsidRPr="00CA7526" w:rsidTr="00FA1104">
        <w:trPr>
          <w:cantSplit/>
        </w:trPr>
        <w:tc>
          <w:tcPr>
            <w:tcW w:w="1933" w:type="dxa"/>
            <w:tcBorders>
              <w:top w:val="single" w:sz="12" w:space="0" w:color="auto"/>
              <w:bottom w:val="single" w:sz="6" w:space="0" w:color="auto"/>
            </w:tcBorders>
            <w:shd w:val="clear" w:color="auto" w:fill="auto"/>
            <w:vAlign w:val="bottom"/>
          </w:tcPr>
          <w:p w:rsidR="0089151D" w:rsidRPr="00CA7526" w:rsidRDefault="0089151D" w:rsidP="00FA1104">
            <w:pPr>
              <w:pStyle w:val="TableHeaders"/>
            </w:pPr>
            <w:r w:rsidRPr="00CA7526">
              <w:t>Date</w:t>
            </w:r>
          </w:p>
        </w:tc>
        <w:tc>
          <w:tcPr>
            <w:tcW w:w="6300" w:type="dxa"/>
            <w:tcBorders>
              <w:top w:val="single" w:sz="12" w:space="0" w:color="auto"/>
              <w:bottom w:val="single" w:sz="6" w:space="0" w:color="auto"/>
            </w:tcBorders>
            <w:shd w:val="clear" w:color="auto" w:fill="auto"/>
            <w:vAlign w:val="bottom"/>
          </w:tcPr>
          <w:p w:rsidR="0089151D" w:rsidRPr="00CA7526" w:rsidRDefault="0089151D" w:rsidP="00FA1104">
            <w:pPr>
              <w:pStyle w:val="TableHeaders"/>
            </w:pPr>
            <w:r w:rsidRPr="00CA7526">
              <w:t>Project Activity</w:t>
            </w:r>
          </w:p>
        </w:tc>
      </w:tr>
      <w:tr w:rsidR="0089151D" w:rsidRPr="00CA7526" w:rsidTr="00FA1104">
        <w:trPr>
          <w:cantSplit/>
        </w:trPr>
        <w:tc>
          <w:tcPr>
            <w:tcW w:w="1933" w:type="dxa"/>
            <w:tcBorders>
              <w:top w:val="single" w:sz="6" w:space="0" w:color="auto"/>
            </w:tcBorders>
            <w:shd w:val="clear" w:color="auto" w:fill="auto"/>
          </w:tcPr>
          <w:p w:rsidR="0089151D" w:rsidRPr="00CA7526" w:rsidRDefault="00DB48BF" w:rsidP="00FA1104">
            <w:pPr>
              <w:pStyle w:val="TableText"/>
            </w:pPr>
            <w:r>
              <w:t>June</w:t>
            </w:r>
            <w:r w:rsidRPr="00CA7526">
              <w:t xml:space="preserve"> </w:t>
            </w:r>
            <w:r w:rsidR="0089151D" w:rsidRPr="00CA7526">
              <w:t>2014</w:t>
            </w:r>
          </w:p>
        </w:tc>
        <w:tc>
          <w:tcPr>
            <w:tcW w:w="6300" w:type="dxa"/>
            <w:tcBorders>
              <w:top w:val="single" w:sz="6" w:space="0" w:color="auto"/>
            </w:tcBorders>
            <w:shd w:val="clear" w:color="auto" w:fill="auto"/>
          </w:tcPr>
          <w:p w:rsidR="0089151D" w:rsidRPr="00CA7526" w:rsidRDefault="0089151D" w:rsidP="00FA1104">
            <w:pPr>
              <w:pStyle w:val="TableText"/>
            </w:pPr>
            <w:r w:rsidRPr="00CA7526">
              <w:t>Survey to KN for programming</w:t>
            </w:r>
          </w:p>
        </w:tc>
      </w:tr>
      <w:tr w:rsidR="0089151D" w:rsidRPr="00CA7526" w:rsidTr="00FA1104">
        <w:trPr>
          <w:cantSplit/>
        </w:trPr>
        <w:tc>
          <w:tcPr>
            <w:tcW w:w="1933" w:type="dxa"/>
            <w:shd w:val="clear" w:color="auto" w:fill="auto"/>
          </w:tcPr>
          <w:p w:rsidR="0089151D" w:rsidRPr="00CA7526" w:rsidRDefault="00DB48BF" w:rsidP="00DB48BF">
            <w:pPr>
              <w:pStyle w:val="TableText"/>
            </w:pPr>
            <w:r>
              <w:t>June</w:t>
            </w:r>
            <w:r w:rsidR="0089151D" w:rsidRPr="00CA7526">
              <w:t xml:space="preserve"> 2014</w:t>
            </w:r>
          </w:p>
        </w:tc>
        <w:tc>
          <w:tcPr>
            <w:tcW w:w="6300" w:type="dxa"/>
            <w:shd w:val="clear" w:color="auto" w:fill="auto"/>
          </w:tcPr>
          <w:p w:rsidR="0089151D" w:rsidRPr="00CA7526" w:rsidRDefault="0089151D" w:rsidP="00FA1104">
            <w:pPr>
              <w:pStyle w:val="TableText"/>
            </w:pPr>
            <w:r w:rsidRPr="00CA7526">
              <w:t>Pretest of survey on KN</w:t>
            </w:r>
          </w:p>
        </w:tc>
      </w:tr>
      <w:tr w:rsidR="0089151D" w:rsidRPr="00CA7526" w:rsidTr="00FA1104">
        <w:trPr>
          <w:cantSplit/>
        </w:trPr>
        <w:tc>
          <w:tcPr>
            <w:tcW w:w="1933" w:type="dxa"/>
            <w:shd w:val="clear" w:color="auto" w:fill="auto"/>
          </w:tcPr>
          <w:p w:rsidR="0089151D" w:rsidRPr="00CA7526" w:rsidRDefault="00DB48BF" w:rsidP="00DB48BF">
            <w:pPr>
              <w:pStyle w:val="TableText"/>
            </w:pPr>
            <w:r>
              <w:t>July</w:t>
            </w:r>
            <w:r w:rsidR="0089151D" w:rsidRPr="00CA7526">
              <w:t xml:space="preserve"> 2014</w:t>
            </w:r>
          </w:p>
        </w:tc>
        <w:tc>
          <w:tcPr>
            <w:tcW w:w="6300" w:type="dxa"/>
            <w:shd w:val="clear" w:color="auto" w:fill="auto"/>
          </w:tcPr>
          <w:p w:rsidR="0089151D" w:rsidRPr="00CA7526" w:rsidRDefault="0089151D" w:rsidP="00FA1104">
            <w:pPr>
              <w:pStyle w:val="TableText"/>
            </w:pPr>
            <w:r w:rsidRPr="00CA7526">
              <w:t>Field final survey</w:t>
            </w:r>
          </w:p>
        </w:tc>
      </w:tr>
      <w:tr w:rsidR="0089151D" w:rsidRPr="00CA7526" w:rsidTr="00FA1104">
        <w:trPr>
          <w:cantSplit/>
        </w:trPr>
        <w:tc>
          <w:tcPr>
            <w:tcW w:w="1933" w:type="dxa"/>
            <w:shd w:val="clear" w:color="auto" w:fill="auto"/>
          </w:tcPr>
          <w:p w:rsidR="0089151D" w:rsidRPr="00CA7526" w:rsidRDefault="00DB48BF" w:rsidP="00DB48BF">
            <w:pPr>
              <w:pStyle w:val="TableText"/>
            </w:pPr>
            <w:r>
              <w:t>August</w:t>
            </w:r>
            <w:r w:rsidR="0089151D" w:rsidRPr="00CA7526">
              <w:t xml:space="preserve"> 2014</w:t>
            </w:r>
          </w:p>
        </w:tc>
        <w:tc>
          <w:tcPr>
            <w:tcW w:w="6300" w:type="dxa"/>
            <w:shd w:val="clear" w:color="auto" w:fill="auto"/>
          </w:tcPr>
          <w:p w:rsidR="0089151D" w:rsidRPr="00CA7526" w:rsidRDefault="0089151D" w:rsidP="00FA1104">
            <w:pPr>
              <w:pStyle w:val="TableText"/>
            </w:pPr>
            <w:r w:rsidRPr="00CA7526">
              <w:t>Data analysis</w:t>
            </w:r>
          </w:p>
        </w:tc>
      </w:tr>
      <w:tr w:rsidR="0089151D" w:rsidRPr="00CA7526" w:rsidTr="00FA1104">
        <w:trPr>
          <w:cantSplit/>
        </w:trPr>
        <w:tc>
          <w:tcPr>
            <w:tcW w:w="1933" w:type="dxa"/>
            <w:shd w:val="clear" w:color="auto" w:fill="auto"/>
          </w:tcPr>
          <w:p w:rsidR="0089151D" w:rsidRPr="00CA7526" w:rsidRDefault="00DB48BF" w:rsidP="00DB48BF">
            <w:pPr>
              <w:pStyle w:val="TableText"/>
            </w:pPr>
            <w:r>
              <w:t>September</w:t>
            </w:r>
            <w:r w:rsidR="0089151D" w:rsidRPr="00CA7526">
              <w:t xml:space="preserve"> 2014</w:t>
            </w:r>
          </w:p>
        </w:tc>
        <w:tc>
          <w:tcPr>
            <w:tcW w:w="6300" w:type="dxa"/>
            <w:shd w:val="clear" w:color="auto" w:fill="auto"/>
          </w:tcPr>
          <w:p w:rsidR="0089151D" w:rsidRPr="00CA7526" w:rsidRDefault="0089151D" w:rsidP="00FA1104">
            <w:pPr>
              <w:pStyle w:val="TableText"/>
            </w:pPr>
            <w:r w:rsidRPr="00CA7526">
              <w:t>Draft report and manuscript</w:t>
            </w:r>
          </w:p>
        </w:tc>
      </w:tr>
      <w:tr w:rsidR="0089151D" w:rsidRPr="00CA7526" w:rsidTr="00FA1104">
        <w:trPr>
          <w:cantSplit/>
        </w:trPr>
        <w:tc>
          <w:tcPr>
            <w:tcW w:w="1933" w:type="dxa"/>
            <w:shd w:val="clear" w:color="auto" w:fill="auto"/>
          </w:tcPr>
          <w:p w:rsidR="0089151D" w:rsidRPr="00CA7526" w:rsidRDefault="00DB48BF" w:rsidP="00FA1104">
            <w:pPr>
              <w:pStyle w:val="TableText"/>
            </w:pPr>
            <w:r>
              <w:t>September</w:t>
            </w:r>
            <w:r w:rsidR="0089151D" w:rsidRPr="00CA7526">
              <w:t xml:space="preserve"> 2014</w:t>
            </w:r>
          </w:p>
        </w:tc>
        <w:tc>
          <w:tcPr>
            <w:tcW w:w="6300" w:type="dxa"/>
            <w:shd w:val="clear" w:color="auto" w:fill="auto"/>
          </w:tcPr>
          <w:p w:rsidR="0089151D" w:rsidRPr="00CA7526" w:rsidRDefault="0089151D" w:rsidP="00FA1104">
            <w:pPr>
              <w:pStyle w:val="TableText"/>
            </w:pPr>
            <w:r w:rsidRPr="00CA7526">
              <w:t>Final report and manuscript submitted to peer reviewed journal</w:t>
            </w:r>
          </w:p>
        </w:tc>
      </w:tr>
    </w:tbl>
    <w:p w:rsidR="0089151D" w:rsidRPr="00CA7526" w:rsidRDefault="0089151D" w:rsidP="00FA1104">
      <w:pPr>
        <w:pStyle w:val="Source"/>
      </w:pPr>
    </w:p>
    <w:p w:rsidR="00495ADF" w:rsidRPr="00CA7526" w:rsidRDefault="00495ADF" w:rsidP="006E2440">
      <w:pPr>
        <w:pStyle w:val="Heading2"/>
      </w:pPr>
      <w:bookmarkStart w:id="44" w:name="_Toc88033483"/>
      <w:bookmarkStart w:id="45" w:name="_Toc371431228"/>
      <w:r w:rsidRPr="00CA7526">
        <w:t>A.17</w:t>
      </w:r>
      <w:r w:rsidRPr="00CA7526">
        <w:tab/>
      </w:r>
      <w:bookmarkStart w:id="46" w:name="_Toc88033484"/>
      <w:bookmarkEnd w:id="44"/>
      <w:r w:rsidRPr="00CA7526">
        <w:t>Reason(s) Display of OMB Expiration Date Is Inappropriate</w:t>
      </w:r>
      <w:bookmarkEnd w:id="45"/>
    </w:p>
    <w:p w:rsidR="00495ADF" w:rsidRPr="00CA7526" w:rsidRDefault="0089151D" w:rsidP="00FE05DD">
      <w:pPr>
        <w:pStyle w:val="BodyText1"/>
      </w:pPr>
      <w:r w:rsidRPr="00CA7526">
        <w:t>Not Applicable.</w:t>
      </w:r>
    </w:p>
    <w:p w:rsidR="00495ADF" w:rsidRPr="00CA7526" w:rsidRDefault="00495ADF" w:rsidP="006E2440">
      <w:pPr>
        <w:pStyle w:val="Heading2"/>
      </w:pPr>
      <w:bookmarkStart w:id="47" w:name="_Toc371431229"/>
      <w:r w:rsidRPr="00CA7526">
        <w:t>A.18</w:t>
      </w:r>
      <w:r w:rsidRPr="00CA7526">
        <w:tab/>
      </w:r>
      <w:bookmarkEnd w:id="46"/>
      <w:r w:rsidRPr="00CA7526">
        <w:t>Exceptions to Certification for Paperwork Reduction Act Submissions</w:t>
      </w:r>
      <w:bookmarkEnd w:id="47"/>
    </w:p>
    <w:p w:rsidR="00906A4B" w:rsidRPr="00CA7526" w:rsidRDefault="0089151D" w:rsidP="00FE05DD">
      <w:pPr>
        <w:pStyle w:val="BodyText1"/>
        <w:rPr>
          <w:bCs/>
        </w:rPr>
      </w:pPr>
      <w:r w:rsidRPr="00CA7526">
        <w:t>There are no exceptions to the certification</w:t>
      </w:r>
      <w:bookmarkStart w:id="48" w:name="RANGE!A1:G111"/>
      <w:bookmarkEnd w:id="48"/>
      <w:r w:rsidRPr="00CA7526">
        <w:rPr>
          <w:bCs/>
        </w:rPr>
        <w:t>.</w:t>
      </w:r>
    </w:p>
    <w:p w:rsidR="0089151D" w:rsidRPr="00CA7526" w:rsidRDefault="0089151D">
      <w:pPr>
        <w:rPr>
          <w:rFonts w:ascii="Times New Roman Bold" w:hAnsi="Times New Roman Bold"/>
          <w:b/>
          <w:bCs/>
          <w:caps/>
        </w:rPr>
      </w:pPr>
      <w:bookmarkStart w:id="49" w:name="_Toc88033509"/>
      <w:r w:rsidRPr="00CA7526">
        <w:br w:type="page"/>
      </w:r>
    </w:p>
    <w:p w:rsidR="004920B6" w:rsidRPr="00CA7526" w:rsidRDefault="004920B6" w:rsidP="00F20A34">
      <w:pPr>
        <w:pStyle w:val="Heading1"/>
      </w:pPr>
      <w:bookmarkStart w:id="50" w:name="_Toc371431230"/>
      <w:r w:rsidRPr="00CA7526">
        <w:lastRenderedPageBreak/>
        <w:t>References</w:t>
      </w:r>
      <w:bookmarkEnd w:id="49"/>
      <w:bookmarkEnd w:id="50"/>
    </w:p>
    <w:p w:rsidR="0089151D" w:rsidRPr="00CA7526" w:rsidRDefault="0089151D" w:rsidP="0089151D">
      <w:pPr>
        <w:pStyle w:val="biblio"/>
      </w:pPr>
      <w:r w:rsidRPr="00CA7526">
        <w:t>Abreu</w:t>
      </w:r>
      <w:r w:rsidR="00F2651F" w:rsidRPr="00CA7526">
        <w:t>,</w:t>
      </w:r>
      <w:r w:rsidRPr="00CA7526">
        <w:t xml:space="preserve"> D</w:t>
      </w:r>
      <w:r w:rsidR="00F2651F" w:rsidRPr="00CA7526">
        <w:t>. </w:t>
      </w:r>
      <w:r w:rsidRPr="00CA7526">
        <w:t>A</w:t>
      </w:r>
      <w:r w:rsidR="00F2651F" w:rsidRPr="00CA7526">
        <w:t>.</w:t>
      </w:r>
      <w:r w:rsidRPr="00CA7526">
        <w:t xml:space="preserve">, </w:t>
      </w:r>
      <w:r w:rsidR="00F2651F" w:rsidRPr="00CA7526">
        <w:t xml:space="preserve">&amp; </w:t>
      </w:r>
      <w:proofErr w:type="gramStart"/>
      <w:r w:rsidRPr="00CA7526">
        <w:t>Winters</w:t>
      </w:r>
      <w:proofErr w:type="gramEnd"/>
      <w:r w:rsidR="00F2651F" w:rsidRPr="00CA7526">
        <w:t>,</w:t>
      </w:r>
      <w:r w:rsidRPr="00CA7526">
        <w:t xml:space="preserve"> F</w:t>
      </w:r>
      <w:r w:rsidR="00F2651F" w:rsidRPr="00CA7526">
        <w:t>. </w:t>
      </w:r>
      <w:r w:rsidRPr="00CA7526">
        <w:t xml:space="preserve">G. (1999). </w:t>
      </w:r>
      <w:proofErr w:type="gramStart"/>
      <w:r w:rsidRPr="00CA7526">
        <w:t>Using monetary incentives to reduce attrition in the survey of income and program participation.</w:t>
      </w:r>
      <w:proofErr w:type="gramEnd"/>
      <w:r w:rsidRPr="00CA7526">
        <w:t xml:space="preserve"> Proceedings of the Survey Research Methods Section, American Statistical Association, Washington, DC, 17, 533</w:t>
      </w:r>
      <w:r w:rsidR="00906A4B" w:rsidRPr="00CA7526">
        <w:t>–5</w:t>
      </w:r>
      <w:r w:rsidRPr="00CA7526">
        <w:t>38.</w:t>
      </w:r>
    </w:p>
    <w:p w:rsidR="00F2651F" w:rsidRDefault="0089151D" w:rsidP="0089151D">
      <w:pPr>
        <w:pStyle w:val="biblio"/>
        <w:rPr>
          <w:color w:val="222222"/>
        </w:rPr>
      </w:pPr>
      <w:proofErr w:type="spellStart"/>
      <w:proofErr w:type="gramStart"/>
      <w:r w:rsidRPr="00CA7526">
        <w:t>Blumenschein</w:t>
      </w:r>
      <w:proofErr w:type="spellEnd"/>
      <w:r w:rsidR="00F2651F" w:rsidRPr="00CA7526">
        <w:t>,</w:t>
      </w:r>
      <w:r w:rsidRPr="00CA7526">
        <w:t xml:space="preserve"> K</w:t>
      </w:r>
      <w:r w:rsidR="00F2651F" w:rsidRPr="00CA7526">
        <w:t>.</w:t>
      </w:r>
      <w:r w:rsidRPr="00CA7526">
        <w:t xml:space="preserve">, </w:t>
      </w:r>
      <w:proofErr w:type="spellStart"/>
      <w:r w:rsidRPr="00CA7526">
        <w:t>Blomquist</w:t>
      </w:r>
      <w:proofErr w:type="spellEnd"/>
      <w:r w:rsidR="00F2651F" w:rsidRPr="00CA7526">
        <w:t>,</w:t>
      </w:r>
      <w:r w:rsidRPr="00CA7526">
        <w:t xml:space="preserve"> G</w:t>
      </w:r>
      <w:r w:rsidR="00F2651F" w:rsidRPr="00CA7526">
        <w:t>. </w:t>
      </w:r>
      <w:r w:rsidRPr="00CA7526">
        <w:t>C</w:t>
      </w:r>
      <w:r w:rsidR="00F2651F" w:rsidRPr="00CA7526">
        <w:t>.</w:t>
      </w:r>
      <w:r w:rsidRPr="00CA7526">
        <w:t xml:space="preserve">, </w:t>
      </w:r>
      <w:proofErr w:type="spellStart"/>
      <w:r w:rsidRPr="00CA7526">
        <w:t>Johannesson</w:t>
      </w:r>
      <w:proofErr w:type="spellEnd"/>
      <w:r w:rsidR="00F2651F" w:rsidRPr="00CA7526">
        <w:t>,</w:t>
      </w:r>
      <w:r w:rsidRPr="00CA7526">
        <w:t xml:space="preserve"> M</w:t>
      </w:r>
      <w:r w:rsidR="00F2651F" w:rsidRPr="00CA7526">
        <w:t>.</w:t>
      </w:r>
      <w:r w:rsidRPr="00CA7526">
        <w:t>, Horn</w:t>
      </w:r>
      <w:r w:rsidR="00F2651F" w:rsidRPr="00CA7526">
        <w:t>,</w:t>
      </w:r>
      <w:r w:rsidRPr="00CA7526">
        <w:t xml:space="preserve"> N</w:t>
      </w:r>
      <w:r w:rsidR="00F2651F" w:rsidRPr="00CA7526">
        <w:t>.</w:t>
      </w:r>
      <w:r w:rsidRPr="00CA7526">
        <w:t xml:space="preserve">, </w:t>
      </w:r>
      <w:r w:rsidR="00F2651F" w:rsidRPr="00CA7526">
        <w:t xml:space="preserve">&amp; </w:t>
      </w:r>
      <w:r w:rsidRPr="00CA7526">
        <w:t>Freeman</w:t>
      </w:r>
      <w:r w:rsidR="00F2651F" w:rsidRPr="00CA7526">
        <w:t>,</w:t>
      </w:r>
      <w:r w:rsidRPr="00CA7526">
        <w:t xml:space="preserve"> P. </w:t>
      </w:r>
      <w:r w:rsidR="00F2651F" w:rsidRPr="00CA7526">
        <w:t>(2008).</w:t>
      </w:r>
      <w:proofErr w:type="gramEnd"/>
      <w:r w:rsidR="00F2651F" w:rsidRPr="00CA7526">
        <w:t xml:space="preserve"> </w:t>
      </w:r>
      <w:proofErr w:type="gramStart"/>
      <w:r w:rsidRPr="00CA7526">
        <w:t>Eliciting willingness to pay without bias: evidence from a field experiment.</w:t>
      </w:r>
      <w:proofErr w:type="gramEnd"/>
      <w:r w:rsidRPr="00CA7526">
        <w:t xml:space="preserve"> </w:t>
      </w:r>
      <w:r w:rsidRPr="00CA7526">
        <w:rPr>
          <w:i/>
        </w:rPr>
        <w:t>The Economic Journal</w:t>
      </w:r>
      <w:r w:rsidR="00F2651F" w:rsidRPr="00CA7526">
        <w:rPr>
          <w:i/>
        </w:rPr>
        <w:t xml:space="preserve">, </w:t>
      </w:r>
      <w:r w:rsidRPr="00CA7526">
        <w:rPr>
          <w:i/>
        </w:rPr>
        <w:t>118</w:t>
      </w:r>
      <w:r w:rsidRPr="00CA7526">
        <w:t>(January)</w:t>
      </w:r>
      <w:r w:rsidR="00F2651F" w:rsidRPr="00CA7526">
        <w:t>,</w:t>
      </w:r>
      <w:r w:rsidRPr="00CA7526">
        <w:t xml:space="preserve"> </w:t>
      </w:r>
      <w:r w:rsidRPr="00CA7526">
        <w:rPr>
          <w:color w:val="222222"/>
        </w:rPr>
        <w:t>114</w:t>
      </w:r>
      <w:r w:rsidR="00906A4B" w:rsidRPr="00CA7526">
        <w:rPr>
          <w:color w:val="222222"/>
        </w:rPr>
        <w:t>–1</w:t>
      </w:r>
      <w:r w:rsidRPr="00CA7526">
        <w:rPr>
          <w:color w:val="222222"/>
        </w:rPr>
        <w:t xml:space="preserve">37. </w:t>
      </w:r>
    </w:p>
    <w:p w:rsidR="0089151D" w:rsidRDefault="0089151D" w:rsidP="0089151D">
      <w:pPr>
        <w:pStyle w:val="biblio"/>
      </w:pPr>
      <w:proofErr w:type="gramStart"/>
      <w:r w:rsidRPr="00CA7526">
        <w:t>Champ,</w:t>
      </w:r>
      <w:proofErr w:type="gramEnd"/>
      <w:r w:rsidRPr="00CA7526">
        <w:t xml:space="preserve"> P.</w:t>
      </w:r>
      <w:r w:rsidR="00F2651F" w:rsidRPr="00CA7526">
        <w:t> </w:t>
      </w:r>
      <w:r w:rsidRPr="00CA7526">
        <w:t xml:space="preserve">A., </w:t>
      </w:r>
      <w:r w:rsidR="00F2651F" w:rsidRPr="00CA7526">
        <w:t xml:space="preserve">Bishop, </w:t>
      </w:r>
      <w:r w:rsidRPr="00CA7526">
        <w:t>R.</w:t>
      </w:r>
      <w:r w:rsidR="00F2651F" w:rsidRPr="00CA7526">
        <w:t> C.</w:t>
      </w:r>
      <w:r w:rsidRPr="00CA7526">
        <w:t xml:space="preserve">, </w:t>
      </w:r>
      <w:r w:rsidR="00F2651F" w:rsidRPr="00CA7526">
        <w:t xml:space="preserve">Brown, </w:t>
      </w:r>
      <w:r w:rsidRPr="00CA7526">
        <w:t>T.</w:t>
      </w:r>
      <w:r w:rsidR="00F2651F" w:rsidRPr="00CA7526">
        <w:t> C.</w:t>
      </w:r>
      <w:r w:rsidRPr="00CA7526">
        <w:t xml:space="preserve">, </w:t>
      </w:r>
      <w:r w:rsidR="00F2651F" w:rsidRPr="00CA7526">
        <w:t xml:space="preserve">&amp; </w:t>
      </w:r>
      <w:r w:rsidRPr="00CA7526">
        <w:t>McCollum</w:t>
      </w:r>
      <w:r w:rsidR="00F2651F" w:rsidRPr="00CA7526">
        <w:t>, D. W</w:t>
      </w:r>
      <w:r w:rsidRPr="00CA7526">
        <w:t xml:space="preserve">. </w:t>
      </w:r>
      <w:r w:rsidR="00F2651F" w:rsidRPr="00CA7526">
        <w:t>(</w:t>
      </w:r>
      <w:r w:rsidRPr="00CA7526">
        <w:t>1997</w:t>
      </w:r>
      <w:r w:rsidR="00F2651F" w:rsidRPr="00CA7526">
        <w:t>)</w:t>
      </w:r>
      <w:r w:rsidRPr="00CA7526">
        <w:t xml:space="preserve">. </w:t>
      </w:r>
      <w:proofErr w:type="gramStart"/>
      <w:r w:rsidRPr="00CA7526">
        <w:t xml:space="preserve">Using </w:t>
      </w:r>
      <w:r w:rsidR="00F2651F" w:rsidRPr="00CA7526">
        <w:t>donation mechanisms to value nonuse benefits from public goods</w:t>
      </w:r>
      <w:r w:rsidRPr="00CA7526">
        <w:t>.</w:t>
      </w:r>
      <w:proofErr w:type="gramEnd"/>
      <w:r w:rsidRPr="00CA7526">
        <w:t xml:space="preserve"> </w:t>
      </w:r>
      <w:r w:rsidRPr="00CA7526">
        <w:rPr>
          <w:i/>
          <w:iCs/>
        </w:rPr>
        <w:t>Journal of Environmental Economics and Management</w:t>
      </w:r>
      <w:r w:rsidR="00F2651F" w:rsidRPr="00CA7526">
        <w:t xml:space="preserve">, </w:t>
      </w:r>
      <w:r w:rsidRPr="00CA7526">
        <w:rPr>
          <w:i/>
        </w:rPr>
        <w:t>33</w:t>
      </w:r>
      <w:r w:rsidRPr="00CA7526">
        <w:t>(2)</w:t>
      </w:r>
      <w:r w:rsidR="00F2651F" w:rsidRPr="00CA7526">
        <w:t xml:space="preserve">, </w:t>
      </w:r>
      <w:r w:rsidRPr="00CA7526">
        <w:t>151–</w:t>
      </w:r>
      <w:r w:rsidR="00F2651F" w:rsidRPr="00CA7526">
        <w:t>1</w:t>
      </w:r>
      <w:r w:rsidRPr="00CA7526">
        <w:t>62.</w:t>
      </w:r>
    </w:p>
    <w:p w:rsidR="006C4B6F" w:rsidRDefault="006C4B6F" w:rsidP="0089151D">
      <w:pPr>
        <w:pStyle w:val="biblio"/>
      </w:pPr>
      <w:proofErr w:type="spellStart"/>
      <w:proofErr w:type="gramStart"/>
      <w:r w:rsidRPr="006C4B6F">
        <w:t>ChoiceMetrics</w:t>
      </w:r>
      <w:proofErr w:type="spellEnd"/>
      <w:r w:rsidRPr="006C4B6F">
        <w:t>.</w:t>
      </w:r>
      <w:proofErr w:type="gramEnd"/>
      <w:r w:rsidRPr="006C4B6F">
        <w:t xml:space="preserve"> </w:t>
      </w:r>
      <w:proofErr w:type="spellStart"/>
      <w:r w:rsidRPr="006C4B6F">
        <w:t>Ngene</w:t>
      </w:r>
      <w:proofErr w:type="spellEnd"/>
      <w:r w:rsidRPr="006C4B6F">
        <w:t xml:space="preserve"> 1.1.1 User Manual &amp; Reference Guide. </w:t>
      </w:r>
      <w:proofErr w:type="gramStart"/>
      <w:r w:rsidRPr="006C4B6F">
        <w:t>Australia, 2012.</w:t>
      </w:r>
      <w:proofErr w:type="gramEnd"/>
    </w:p>
    <w:p w:rsidR="000118C4" w:rsidRDefault="000118C4" w:rsidP="000118C4">
      <w:pPr>
        <w:ind w:left="720" w:hanging="720"/>
        <w:rPr>
          <w:color w:val="000000"/>
          <w:shd w:val="clear" w:color="auto" w:fill="FFFFFF"/>
        </w:rPr>
      </w:pPr>
      <w:proofErr w:type="gramStart"/>
      <w:r>
        <w:rPr>
          <w:color w:val="000000"/>
          <w:shd w:val="clear" w:color="auto" w:fill="FFFFFF"/>
        </w:rPr>
        <w:t>Community Preventive Services Taskforce</w:t>
      </w:r>
      <w:r w:rsidRPr="00196E5D">
        <w:rPr>
          <w:color w:val="000000"/>
          <w:shd w:val="clear" w:color="auto" w:fill="FFFFFF"/>
        </w:rPr>
        <w:t>.</w:t>
      </w:r>
      <w:proofErr w:type="gramEnd"/>
      <w:r w:rsidRPr="00196E5D">
        <w:rPr>
          <w:color w:val="000000"/>
          <w:shd w:val="clear" w:color="auto" w:fill="FFFFFF"/>
        </w:rPr>
        <w:t xml:space="preserve"> Cancer Prevention and Control 2012; Available from: </w:t>
      </w:r>
      <w:hyperlink r:id="rId27" w:history="1">
        <w:r w:rsidRPr="00AB0E03">
          <w:rPr>
            <w:rStyle w:val="Hyperlink"/>
            <w:shd w:val="clear" w:color="auto" w:fill="FFFFFF"/>
          </w:rPr>
          <w:t>http://www.thecommunityguide.org/cancer/index.html</w:t>
        </w:r>
      </w:hyperlink>
      <w:r w:rsidRPr="00196E5D">
        <w:rPr>
          <w:color w:val="000000"/>
          <w:shd w:val="clear" w:color="auto" w:fill="FFFFFF"/>
        </w:rPr>
        <w:t>.</w:t>
      </w:r>
      <w:r>
        <w:rPr>
          <w:color w:val="000000"/>
          <w:shd w:val="clear" w:color="auto" w:fill="FFFFFF"/>
        </w:rPr>
        <w:t xml:space="preserve"> </w:t>
      </w:r>
      <w:proofErr w:type="gramStart"/>
      <w:r>
        <w:rPr>
          <w:color w:val="000000"/>
          <w:shd w:val="clear" w:color="auto" w:fill="FFFFFF"/>
        </w:rPr>
        <w:t>Accessed on April 11, 2014.</w:t>
      </w:r>
      <w:proofErr w:type="gramEnd"/>
    </w:p>
    <w:p w:rsidR="00EE5DF5" w:rsidRPr="00196E5D" w:rsidRDefault="00EE5DF5" w:rsidP="000118C4">
      <w:pPr>
        <w:ind w:left="720" w:hanging="720"/>
        <w:rPr>
          <w:color w:val="000000"/>
          <w:shd w:val="clear" w:color="auto" w:fill="FFFFFF"/>
        </w:rPr>
      </w:pPr>
    </w:p>
    <w:p w:rsidR="0089151D" w:rsidRPr="00CA7526" w:rsidRDefault="0089151D" w:rsidP="0089151D">
      <w:pPr>
        <w:pStyle w:val="biblio"/>
      </w:pPr>
      <w:proofErr w:type="gramStart"/>
      <w:r w:rsidRPr="00CA7526">
        <w:t>Cummings, R.</w:t>
      </w:r>
      <w:r w:rsidR="00F2651F" w:rsidRPr="00CA7526">
        <w:t> </w:t>
      </w:r>
      <w:r w:rsidRPr="00CA7526">
        <w:t xml:space="preserve">G., </w:t>
      </w:r>
      <w:r w:rsidR="00F2651F" w:rsidRPr="00CA7526">
        <w:t xml:space="preserve">&amp; Taylor, </w:t>
      </w:r>
      <w:r w:rsidRPr="00CA7526">
        <w:t>L.</w:t>
      </w:r>
      <w:r w:rsidR="00F2651F" w:rsidRPr="00CA7526">
        <w:t> </w:t>
      </w:r>
      <w:r w:rsidRPr="00CA7526">
        <w:t xml:space="preserve">O. </w:t>
      </w:r>
      <w:r w:rsidR="00F2651F" w:rsidRPr="00CA7526">
        <w:t>(</w:t>
      </w:r>
      <w:r w:rsidRPr="00CA7526">
        <w:t>1999</w:t>
      </w:r>
      <w:r w:rsidR="00F2651F" w:rsidRPr="00CA7526">
        <w:t>)</w:t>
      </w:r>
      <w:r w:rsidRPr="00CA7526">
        <w:t>.</w:t>
      </w:r>
      <w:proofErr w:type="gramEnd"/>
      <w:r w:rsidRPr="00CA7526">
        <w:t xml:space="preserve"> Unbiased </w:t>
      </w:r>
      <w:r w:rsidR="00F2651F" w:rsidRPr="00CA7526">
        <w:t>value estimates for environmental goods: cheap talk design for the contingent valuation method</w:t>
      </w:r>
      <w:r w:rsidRPr="00CA7526">
        <w:t xml:space="preserve">. </w:t>
      </w:r>
      <w:r w:rsidRPr="00CA7526">
        <w:rPr>
          <w:i/>
          <w:iCs/>
        </w:rPr>
        <w:t>American Economic Review</w:t>
      </w:r>
      <w:r w:rsidR="00F2651F" w:rsidRPr="00CA7526">
        <w:t xml:space="preserve">, </w:t>
      </w:r>
      <w:r w:rsidRPr="00CA7526">
        <w:rPr>
          <w:i/>
        </w:rPr>
        <w:t>89</w:t>
      </w:r>
      <w:r w:rsidRPr="00CA7526">
        <w:t>(3)</w:t>
      </w:r>
      <w:r w:rsidR="00F2651F" w:rsidRPr="00CA7526">
        <w:t xml:space="preserve">, </w:t>
      </w:r>
      <w:r w:rsidRPr="00CA7526">
        <w:t>649–</w:t>
      </w:r>
      <w:r w:rsidR="00F2651F" w:rsidRPr="00CA7526">
        <w:t>6</w:t>
      </w:r>
      <w:r w:rsidRPr="00CA7526">
        <w:t>65.</w:t>
      </w:r>
    </w:p>
    <w:p w:rsidR="006440CB" w:rsidRDefault="006440CB" w:rsidP="0089151D">
      <w:pPr>
        <w:pStyle w:val="biblio"/>
        <w:rPr>
          <w:color w:val="000000"/>
          <w:shd w:val="clear" w:color="auto" w:fill="FFFFFF"/>
        </w:rPr>
      </w:pPr>
      <w:proofErr w:type="gramStart"/>
      <w:r>
        <w:rPr>
          <w:color w:val="000000"/>
          <w:shd w:val="clear" w:color="auto" w:fill="FFFFFF"/>
        </w:rPr>
        <w:t>Department of Health and Human Services</w:t>
      </w:r>
      <w:r w:rsidRPr="00196E5D">
        <w:rPr>
          <w:color w:val="000000"/>
          <w:shd w:val="clear" w:color="auto" w:fill="FFFFFF"/>
        </w:rPr>
        <w:t>.</w:t>
      </w:r>
      <w:proofErr w:type="gramEnd"/>
      <w:r w:rsidRPr="00196E5D">
        <w:rPr>
          <w:color w:val="000000"/>
          <w:shd w:val="clear" w:color="auto" w:fill="FFFFFF"/>
        </w:rPr>
        <w:t xml:space="preserve"> </w:t>
      </w:r>
      <w:proofErr w:type="gramStart"/>
      <w:r w:rsidRPr="00196E5D">
        <w:rPr>
          <w:color w:val="000000"/>
          <w:shd w:val="clear" w:color="auto" w:fill="FFFFFF"/>
        </w:rPr>
        <w:t>Healthy People 2020 Disparities in Clin</w:t>
      </w:r>
      <w:r>
        <w:rPr>
          <w:color w:val="000000"/>
          <w:shd w:val="clear" w:color="auto" w:fill="FFFFFF"/>
        </w:rPr>
        <w:t>ical Preventive Services.</w:t>
      </w:r>
      <w:proofErr w:type="gramEnd"/>
      <w:r>
        <w:rPr>
          <w:color w:val="000000"/>
          <w:shd w:val="clear" w:color="auto" w:fill="FFFFFF"/>
        </w:rPr>
        <w:t xml:space="preserve">  2013. </w:t>
      </w:r>
      <w:r w:rsidRPr="00196E5D">
        <w:rPr>
          <w:color w:val="000000"/>
          <w:shd w:val="clear" w:color="auto" w:fill="FFFFFF"/>
        </w:rPr>
        <w:t xml:space="preserve">Available from: </w:t>
      </w:r>
      <w:hyperlink r:id="rId28" w:history="1">
        <w:r w:rsidRPr="00AB0E03">
          <w:rPr>
            <w:rStyle w:val="Hyperlink"/>
            <w:shd w:val="clear" w:color="auto" w:fill="FFFFFF"/>
          </w:rPr>
          <w:t>http://www.healthypeople.gov/2020/LHI/clinicalPreventive.aspx?tab=data</w:t>
        </w:r>
      </w:hyperlink>
      <w:r w:rsidRPr="00196E5D">
        <w:rPr>
          <w:color w:val="000000"/>
          <w:shd w:val="clear" w:color="auto" w:fill="FFFFFF"/>
        </w:rPr>
        <w:t>.</w:t>
      </w:r>
      <w:r w:rsidR="000118C4">
        <w:rPr>
          <w:color w:val="000000"/>
          <w:shd w:val="clear" w:color="auto" w:fill="FFFFFF"/>
        </w:rPr>
        <w:t xml:space="preserve">  </w:t>
      </w:r>
      <w:proofErr w:type="gramStart"/>
      <w:r w:rsidR="000118C4">
        <w:rPr>
          <w:color w:val="000000"/>
          <w:shd w:val="clear" w:color="auto" w:fill="FFFFFF"/>
        </w:rPr>
        <w:t>Accessed on April 11,</w:t>
      </w:r>
      <w:r>
        <w:rPr>
          <w:color w:val="000000"/>
          <w:shd w:val="clear" w:color="auto" w:fill="FFFFFF"/>
        </w:rPr>
        <w:t xml:space="preserve"> 2014.</w:t>
      </w:r>
      <w:proofErr w:type="gramEnd"/>
    </w:p>
    <w:p w:rsidR="006421AB" w:rsidRDefault="006421AB" w:rsidP="002B2BCC">
      <w:pPr>
        <w:pStyle w:val="biblio"/>
      </w:pPr>
      <w:proofErr w:type="spellStart"/>
      <w:proofErr w:type="gramStart"/>
      <w:r>
        <w:t>Klabunde</w:t>
      </w:r>
      <w:proofErr w:type="spellEnd"/>
      <w:r w:rsidR="002B2BCC">
        <w:t>,</w:t>
      </w:r>
      <w:r>
        <w:t xml:space="preserve"> C.N., </w:t>
      </w:r>
      <w:r w:rsidR="002B2BCC">
        <w:t>Joseph, D.A., King, J.B. White, A, &amp; Plescia, M. (2013</w:t>
      </w:r>
      <w:r w:rsidRPr="00CA7526">
        <w:t>).</w:t>
      </w:r>
      <w:proofErr w:type="gramEnd"/>
      <w:r w:rsidRPr="00CA7526">
        <w:t xml:space="preserve"> Vital signs: colorectal cancer screening </w:t>
      </w:r>
      <w:r w:rsidR="00030C6F">
        <w:t xml:space="preserve">test use - </w:t>
      </w:r>
      <w:r w:rsidR="002B2BCC">
        <w:t>United States</w:t>
      </w:r>
      <w:r w:rsidR="00030C6F">
        <w:t>, 2012</w:t>
      </w:r>
      <w:r w:rsidRPr="00CA7526">
        <w:t xml:space="preserve">. </w:t>
      </w:r>
      <w:proofErr w:type="gramStart"/>
      <w:r w:rsidRPr="00CA7526">
        <w:rPr>
          <w:rStyle w:val="Emphasis"/>
          <w:color w:val="000000"/>
          <w:szCs w:val="22"/>
        </w:rPr>
        <w:t>MMWR.</w:t>
      </w:r>
      <w:proofErr w:type="gramEnd"/>
      <w:r w:rsidRPr="00CA7526">
        <w:rPr>
          <w:rStyle w:val="Emphasis"/>
          <w:color w:val="000000"/>
          <w:szCs w:val="22"/>
        </w:rPr>
        <w:t xml:space="preserve"> Morbidity and Mortality Weekly Report, </w:t>
      </w:r>
      <w:r w:rsidR="002B2BCC">
        <w:rPr>
          <w:rStyle w:val="Emphasis"/>
          <w:color w:val="000000"/>
          <w:szCs w:val="22"/>
        </w:rPr>
        <w:t xml:space="preserve">2013; </w:t>
      </w:r>
      <w:r w:rsidR="002B2BCC" w:rsidRPr="002B2BCC">
        <w:rPr>
          <w:rStyle w:val="Emphasis"/>
          <w:i w:val="0"/>
          <w:color w:val="000000"/>
          <w:szCs w:val="22"/>
        </w:rPr>
        <w:t>62(44):881-8</w:t>
      </w:r>
      <w:r w:rsidRPr="002B2BCC">
        <w:rPr>
          <w:i/>
        </w:rPr>
        <w:t>.</w:t>
      </w:r>
    </w:p>
    <w:p w:rsidR="0089151D" w:rsidRPr="00CA7526" w:rsidRDefault="0089151D" w:rsidP="0089151D">
      <w:pPr>
        <w:pStyle w:val="biblio"/>
      </w:pPr>
      <w:proofErr w:type="gramStart"/>
      <w:r w:rsidRPr="00CA7526">
        <w:t>Landry, C.</w:t>
      </w:r>
      <w:r w:rsidR="00F2651F" w:rsidRPr="00CA7526">
        <w:t>,</w:t>
      </w:r>
      <w:r w:rsidRPr="00CA7526">
        <w:t xml:space="preserve"> </w:t>
      </w:r>
      <w:r w:rsidR="00F2651F" w:rsidRPr="00CA7526">
        <w:t xml:space="preserve">&amp; List, </w:t>
      </w:r>
      <w:r w:rsidRPr="00CA7526">
        <w:t>J.</w:t>
      </w:r>
      <w:r w:rsidR="00F2651F" w:rsidRPr="00CA7526">
        <w:t> </w:t>
      </w:r>
      <w:r w:rsidRPr="00CA7526">
        <w:t xml:space="preserve">A. </w:t>
      </w:r>
      <w:r w:rsidR="00F2651F" w:rsidRPr="00CA7526">
        <w:t>(</w:t>
      </w:r>
      <w:r w:rsidRPr="00CA7526">
        <w:t>2007</w:t>
      </w:r>
      <w:r w:rsidR="00F2651F" w:rsidRPr="00CA7526">
        <w:t>)</w:t>
      </w:r>
      <w:r w:rsidRPr="00CA7526">
        <w:t>.</w:t>
      </w:r>
      <w:proofErr w:type="gramEnd"/>
      <w:r w:rsidRPr="00CA7526">
        <w:t xml:space="preserve"> Using </w:t>
      </w:r>
      <w:r w:rsidR="00F2651F" w:rsidRPr="00CA7526">
        <w:t>ex ante approaches to obtain credible signals for value in contingent markets: evidence from the field.</w:t>
      </w:r>
      <w:r w:rsidRPr="00CA7526">
        <w:t xml:space="preserve"> </w:t>
      </w:r>
      <w:r w:rsidRPr="00CA7526">
        <w:rPr>
          <w:i/>
          <w:iCs/>
        </w:rPr>
        <w:t>American Journal of Agricultural Economics</w:t>
      </w:r>
      <w:r w:rsidR="00F2651F" w:rsidRPr="00CA7526">
        <w:t xml:space="preserve">, </w:t>
      </w:r>
      <w:r w:rsidRPr="00CA7526">
        <w:rPr>
          <w:i/>
        </w:rPr>
        <w:t>89</w:t>
      </w:r>
      <w:r w:rsidRPr="00CA7526">
        <w:t>(2)</w:t>
      </w:r>
      <w:r w:rsidR="00F2651F" w:rsidRPr="00CA7526">
        <w:t>,</w:t>
      </w:r>
      <w:r w:rsidRPr="00CA7526">
        <w:t xml:space="preserve"> 420</w:t>
      </w:r>
      <w:r w:rsidR="00906A4B" w:rsidRPr="00CA7526">
        <w:t>–4</w:t>
      </w:r>
      <w:r w:rsidRPr="00CA7526">
        <w:t>29</w:t>
      </w:r>
    </w:p>
    <w:p w:rsidR="0089151D" w:rsidRDefault="0089151D" w:rsidP="0089151D">
      <w:pPr>
        <w:pStyle w:val="biblio"/>
      </w:pPr>
      <w:proofErr w:type="gramStart"/>
      <w:r w:rsidRPr="00CA7526">
        <w:t>Marshall</w:t>
      </w:r>
      <w:r w:rsidR="00F2651F" w:rsidRPr="00CA7526">
        <w:t>,</w:t>
      </w:r>
      <w:r w:rsidRPr="00CA7526">
        <w:t xml:space="preserve"> D</w:t>
      </w:r>
      <w:r w:rsidR="00F2651F" w:rsidRPr="00CA7526">
        <w:t>.</w:t>
      </w:r>
      <w:r w:rsidRPr="00CA7526">
        <w:t>, McGregor</w:t>
      </w:r>
      <w:r w:rsidR="00F2651F" w:rsidRPr="00CA7526">
        <w:t>,</w:t>
      </w:r>
      <w:r w:rsidRPr="00CA7526">
        <w:t xml:space="preserve"> S</w:t>
      </w:r>
      <w:r w:rsidR="00F2651F" w:rsidRPr="00CA7526">
        <w:t>. </w:t>
      </w:r>
      <w:r w:rsidRPr="00CA7526">
        <w:t>E</w:t>
      </w:r>
      <w:r w:rsidR="00F2651F" w:rsidRPr="00CA7526">
        <w:t>.</w:t>
      </w:r>
      <w:r w:rsidRPr="00CA7526">
        <w:t xml:space="preserve">, </w:t>
      </w:r>
      <w:r w:rsidR="00F2651F" w:rsidRPr="00CA7526">
        <w:t xml:space="preserve">&amp; </w:t>
      </w:r>
      <w:r w:rsidRPr="00CA7526">
        <w:t>Currie</w:t>
      </w:r>
      <w:r w:rsidR="00F2651F" w:rsidRPr="00CA7526">
        <w:t>,</w:t>
      </w:r>
      <w:r w:rsidRPr="00CA7526">
        <w:t xml:space="preserve"> G. </w:t>
      </w:r>
      <w:r w:rsidR="00F2651F" w:rsidRPr="00CA7526">
        <w:t>(</w:t>
      </w:r>
      <w:r w:rsidRPr="00CA7526">
        <w:t>2010</w:t>
      </w:r>
      <w:r w:rsidR="00F2651F" w:rsidRPr="00CA7526">
        <w:t>)</w:t>
      </w:r>
      <w:r w:rsidRPr="00CA7526">
        <w:t>.</w:t>
      </w:r>
      <w:proofErr w:type="gramEnd"/>
      <w:r w:rsidRPr="00CA7526">
        <w:t xml:space="preserve"> Measuring </w:t>
      </w:r>
      <w:r w:rsidR="00F2651F" w:rsidRPr="00CA7526">
        <w:t>preferences for colorectal cancer screening: what are the implications for moving forward</w:t>
      </w:r>
      <w:r w:rsidRPr="00CA7526">
        <w:t xml:space="preserve">? </w:t>
      </w:r>
      <w:r w:rsidRPr="00CA7526">
        <w:rPr>
          <w:i/>
          <w:iCs/>
        </w:rPr>
        <w:t>Patient</w:t>
      </w:r>
      <w:r w:rsidR="00F2651F" w:rsidRPr="00CA7526">
        <w:rPr>
          <w:i/>
          <w:iCs/>
        </w:rPr>
        <w:t xml:space="preserve">, </w:t>
      </w:r>
      <w:r w:rsidRPr="00CA7526">
        <w:rPr>
          <w:i/>
        </w:rPr>
        <w:t>3</w:t>
      </w:r>
      <w:r w:rsidRPr="00CA7526">
        <w:t>(2)</w:t>
      </w:r>
      <w:r w:rsidR="00F2651F" w:rsidRPr="00CA7526">
        <w:t xml:space="preserve">, </w:t>
      </w:r>
      <w:r w:rsidRPr="00CA7526">
        <w:t>79</w:t>
      </w:r>
      <w:r w:rsidR="00906A4B" w:rsidRPr="00CA7526">
        <w:t>–8</w:t>
      </w:r>
      <w:r w:rsidRPr="00CA7526">
        <w:t xml:space="preserve">9. </w:t>
      </w:r>
      <w:proofErr w:type="gramStart"/>
      <w:r w:rsidRPr="00CA7526">
        <w:t>doi</w:t>
      </w:r>
      <w:proofErr w:type="gramEnd"/>
      <w:r w:rsidRPr="00CA7526">
        <w:t>: 10.2165/11532250-000000000-00000. PubMed PMID: 22273359.</w:t>
      </w:r>
    </w:p>
    <w:p w:rsidR="00DF65BB" w:rsidRDefault="00DF65BB" w:rsidP="00DF65BB">
      <w:pPr>
        <w:pStyle w:val="biblio"/>
      </w:pPr>
      <w:proofErr w:type="spellStart"/>
      <w:r>
        <w:t>Pignone</w:t>
      </w:r>
      <w:proofErr w:type="spellEnd"/>
      <w:r>
        <w:t xml:space="preserve">, M.P., </w:t>
      </w:r>
      <w:proofErr w:type="spellStart"/>
      <w:r>
        <w:t>Crutchfiel</w:t>
      </w:r>
      <w:proofErr w:type="spellEnd"/>
      <w:r>
        <w:t xml:space="preserve">, T.M., Brown, P., </w:t>
      </w:r>
      <w:proofErr w:type="spellStart"/>
      <w:r>
        <w:t>Hawlwy</w:t>
      </w:r>
      <w:proofErr w:type="spellEnd"/>
      <w:r>
        <w:t xml:space="preserve">, S.T., </w:t>
      </w:r>
      <w:proofErr w:type="spellStart"/>
      <w:r>
        <w:t>Laping</w:t>
      </w:r>
      <w:proofErr w:type="spellEnd"/>
      <w:r>
        <w:t xml:space="preserve">, J., Lewis, C.L., Lich, K. H., Richardson, L., Tangka, F., Wheeler, S.B. (2014) </w:t>
      </w:r>
      <w:r w:rsidRPr="00BC4932">
        <w:t>Using a discrete choice experiment to inform the design of programs to promote colon cancer screening for vulnerable populations in North Carolina</w:t>
      </w:r>
      <w:r>
        <w:t xml:space="preserve">. </w:t>
      </w:r>
      <w:r w:rsidRPr="00EB3F32">
        <w:rPr>
          <w:i/>
        </w:rPr>
        <w:t>In Press</w:t>
      </w:r>
      <w:r>
        <w:t xml:space="preserve"> </w:t>
      </w:r>
    </w:p>
    <w:p w:rsidR="0089151D" w:rsidRDefault="0089151D" w:rsidP="0089151D">
      <w:pPr>
        <w:pStyle w:val="biblio"/>
      </w:pPr>
      <w:r w:rsidRPr="00CA7526">
        <w:lastRenderedPageBreak/>
        <w:t>Planning Committee on Estimating the Contributions of Lifestyle-Related Factors to Preventable Death, Board on Population Health and Public Health Practice (BPH), Institute of Medicine (IOM).</w:t>
      </w:r>
      <w:r w:rsidR="001E1ED5" w:rsidRPr="00CA7526">
        <w:t xml:space="preserve"> (2005).</w:t>
      </w:r>
      <w:r w:rsidRPr="00CA7526">
        <w:t xml:space="preserve"> </w:t>
      </w:r>
      <w:proofErr w:type="gramStart"/>
      <w:r w:rsidRPr="00CA7526">
        <w:rPr>
          <w:i/>
          <w:iCs/>
        </w:rPr>
        <w:t>Estimating</w:t>
      </w:r>
      <w:proofErr w:type="gramEnd"/>
      <w:r w:rsidRPr="00CA7526">
        <w:rPr>
          <w:i/>
          <w:iCs/>
        </w:rPr>
        <w:t xml:space="preserve"> the </w:t>
      </w:r>
      <w:r w:rsidR="001E1ED5" w:rsidRPr="00CA7526">
        <w:rPr>
          <w:i/>
          <w:iCs/>
        </w:rPr>
        <w:t>contributions of lifestyle-related factors to preventable death: a workshop summary planning committee on estimating the contributions of lifestyle-related factors to preventable death</w:t>
      </w:r>
      <w:r w:rsidRPr="00CA7526">
        <w:t>. Washington, DC</w:t>
      </w:r>
      <w:r w:rsidR="001E1ED5" w:rsidRPr="00CA7526">
        <w:t>: IOM</w:t>
      </w:r>
      <w:r w:rsidRPr="00CA7526">
        <w:t>.</w:t>
      </w:r>
    </w:p>
    <w:p w:rsidR="0089151D" w:rsidRPr="00CA7526" w:rsidRDefault="0089151D" w:rsidP="0089151D">
      <w:pPr>
        <w:pStyle w:val="biblio"/>
      </w:pPr>
      <w:proofErr w:type="spellStart"/>
      <w:proofErr w:type="gramStart"/>
      <w:r w:rsidRPr="00CA7526">
        <w:t>Shettle</w:t>
      </w:r>
      <w:proofErr w:type="spellEnd"/>
      <w:r w:rsidR="001E1ED5" w:rsidRPr="00CA7526">
        <w:t>,</w:t>
      </w:r>
      <w:r w:rsidRPr="00CA7526">
        <w:t xml:space="preserve"> C</w:t>
      </w:r>
      <w:r w:rsidR="001E1ED5" w:rsidRPr="00CA7526">
        <w:t>.</w:t>
      </w:r>
      <w:r w:rsidRPr="00CA7526">
        <w:t xml:space="preserve">, </w:t>
      </w:r>
      <w:r w:rsidR="001E1ED5" w:rsidRPr="00CA7526">
        <w:t xml:space="preserve">&amp; </w:t>
      </w:r>
      <w:r w:rsidRPr="00CA7526">
        <w:t>Mooney</w:t>
      </w:r>
      <w:r w:rsidR="001E1ED5" w:rsidRPr="00CA7526">
        <w:t>,</w:t>
      </w:r>
      <w:r w:rsidRPr="00CA7526">
        <w:t xml:space="preserve"> G. </w:t>
      </w:r>
      <w:r w:rsidR="001E1ED5" w:rsidRPr="00CA7526">
        <w:t>(1999).</w:t>
      </w:r>
      <w:proofErr w:type="gramEnd"/>
      <w:r w:rsidR="001E1ED5" w:rsidRPr="00CA7526">
        <w:t xml:space="preserve"> </w:t>
      </w:r>
      <w:proofErr w:type="gramStart"/>
      <w:r w:rsidRPr="00CA7526">
        <w:t>Monetary incentives in U.S. government surveys.</w:t>
      </w:r>
      <w:proofErr w:type="gramEnd"/>
      <w:r w:rsidRPr="00CA7526">
        <w:t xml:space="preserve"> </w:t>
      </w:r>
      <w:r w:rsidR="001E1ED5" w:rsidRPr="00CA7526">
        <w:rPr>
          <w:i/>
          <w:iCs/>
        </w:rPr>
        <w:t>Journal of Official Statistics</w:t>
      </w:r>
      <w:r w:rsidR="001E1ED5" w:rsidRPr="00CA7526">
        <w:t>,</w:t>
      </w:r>
      <w:r w:rsidRPr="00CA7526">
        <w:t xml:space="preserve"> </w:t>
      </w:r>
      <w:r w:rsidRPr="00CA7526">
        <w:rPr>
          <w:i/>
        </w:rPr>
        <w:t>15</w:t>
      </w:r>
      <w:r w:rsidR="001E1ED5" w:rsidRPr="00CA7526">
        <w:t xml:space="preserve">(2), </w:t>
      </w:r>
      <w:r w:rsidRPr="00CA7526">
        <w:t>231</w:t>
      </w:r>
      <w:r w:rsidR="00906A4B" w:rsidRPr="00CA7526">
        <w:t>–</w:t>
      </w:r>
      <w:r w:rsidR="001E1ED5" w:rsidRPr="00CA7526">
        <w:t>2</w:t>
      </w:r>
      <w:r w:rsidR="00906A4B" w:rsidRPr="00CA7526">
        <w:t>5</w:t>
      </w:r>
      <w:r w:rsidRPr="00CA7526">
        <w:t>0.</w:t>
      </w:r>
    </w:p>
    <w:p w:rsidR="0089151D" w:rsidRDefault="0089151D" w:rsidP="0089151D">
      <w:pPr>
        <w:pStyle w:val="biblio"/>
        <w:rPr>
          <w:u w:val="single"/>
        </w:rPr>
      </w:pPr>
      <w:r w:rsidRPr="00CA7526">
        <w:t xml:space="preserve">U.S. Cancer Statistics Working Group. </w:t>
      </w:r>
      <w:r w:rsidR="001E1ED5" w:rsidRPr="00CA7526">
        <w:t xml:space="preserve">(2013). </w:t>
      </w:r>
      <w:r w:rsidRPr="00CA7526">
        <w:rPr>
          <w:rStyle w:val="Emphasis"/>
          <w:color w:val="000000"/>
          <w:szCs w:val="22"/>
        </w:rPr>
        <w:t>United States Cancer Statistics: 1999–2009 Incidence and Mortality Web-based Report.</w:t>
      </w:r>
      <w:r w:rsidRPr="00CA7526">
        <w:t xml:space="preserve"> Atlanta (GA): Department of Health and Human Services, Centers for Disease Control and Prevention, and National Cancer Institute. </w:t>
      </w:r>
      <w:proofErr w:type="gramStart"/>
      <w:r w:rsidR="001E1ED5" w:rsidRPr="00CA7526">
        <w:t>Retrieved from</w:t>
      </w:r>
      <w:r w:rsidRPr="00CA7526">
        <w:t xml:space="preserve"> </w:t>
      </w:r>
      <w:hyperlink r:id="rId29" w:history="1">
        <w:r w:rsidRPr="00CA7526">
          <w:rPr>
            <w:u w:val="single"/>
          </w:rPr>
          <w:t>http://www.cdc.gov/uscs.</w:t>
        </w:r>
        <w:proofErr w:type="gramEnd"/>
      </w:hyperlink>
    </w:p>
    <w:p w:rsidR="00C43B8A" w:rsidRPr="00196E5D" w:rsidRDefault="00C43B8A" w:rsidP="00C43B8A">
      <w:pPr>
        <w:ind w:left="720" w:hanging="720"/>
        <w:rPr>
          <w:color w:val="000000"/>
          <w:shd w:val="clear" w:color="auto" w:fill="FFFFFF"/>
        </w:rPr>
      </w:pPr>
      <w:proofErr w:type="spellStart"/>
      <w:r w:rsidRPr="00196E5D">
        <w:rPr>
          <w:color w:val="000000"/>
          <w:shd w:val="clear" w:color="auto" w:fill="FFFFFF"/>
        </w:rPr>
        <w:t>Viney</w:t>
      </w:r>
      <w:proofErr w:type="spellEnd"/>
      <w:r w:rsidRPr="00196E5D">
        <w:rPr>
          <w:color w:val="000000"/>
          <w:shd w:val="clear" w:color="auto" w:fill="FFFFFF"/>
        </w:rPr>
        <w:t xml:space="preserve"> R, </w:t>
      </w:r>
      <w:proofErr w:type="spellStart"/>
      <w:r w:rsidRPr="00196E5D">
        <w:rPr>
          <w:color w:val="000000"/>
          <w:shd w:val="clear" w:color="auto" w:fill="FFFFFF"/>
        </w:rPr>
        <w:t>Lancsar</w:t>
      </w:r>
      <w:proofErr w:type="spellEnd"/>
      <w:r w:rsidRPr="00196E5D">
        <w:rPr>
          <w:color w:val="000000"/>
          <w:shd w:val="clear" w:color="auto" w:fill="FFFFFF"/>
        </w:rPr>
        <w:t xml:space="preserve"> E, Louviere J. Discrete choice experiments to measure consumer preferences for health and </w:t>
      </w:r>
      <w:r w:rsidR="005820DF">
        <w:rPr>
          <w:color w:val="000000"/>
          <w:shd w:val="clear" w:color="auto" w:fill="FFFFFF"/>
        </w:rPr>
        <w:t>health care</w:t>
      </w:r>
      <w:r w:rsidRPr="00196E5D">
        <w:rPr>
          <w:color w:val="000000"/>
          <w:shd w:val="clear" w:color="auto" w:fill="FFFFFF"/>
        </w:rPr>
        <w:t xml:space="preserve">. Expert </w:t>
      </w:r>
      <w:r>
        <w:rPr>
          <w:color w:val="000000"/>
          <w:shd w:val="clear" w:color="auto" w:fill="FFFFFF"/>
        </w:rPr>
        <w:t>Rev</w:t>
      </w:r>
      <w:r w:rsidRPr="00196E5D">
        <w:rPr>
          <w:color w:val="000000"/>
          <w:shd w:val="clear" w:color="auto" w:fill="FFFFFF"/>
        </w:rPr>
        <w:t xml:space="preserve"> of </w:t>
      </w:r>
      <w:proofErr w:type="spellStart"/>
      <w:r>
        <w:rPr>
          <w:color w:val="000000"/>
          <w:shd w:val="clear" w:color="auto" w:fill="FFFFFF"/>
        </w:rPr>
        <w:t>P</w:t>
      </w:r>
      <w:r w:rsidRPr="00196E5D">
        <w:rPr>
          <w:color w:val="000000"/>
          <w:shd w:val="clear" w:color="auto" w:fill="FFFFFF"/>
        </w:rPr>
        <w:t>harmacoecon</w:t>
      </w:r>
      <w:proofErr w:type="spellEnd"/>
      <w:r w:rsidRPr="00196E5D">
        <w:rPr>
          <w:color w:val="000000"/>
          <w:shd w:val="clear" w:color="auto" w:fill="FFFFFF"/>
        </w:rPr>
        <w:t xml:space="preserve"> </w:t>
      </w:r>
      <w:r>
        <w:rPr>
          <w:color w:val="000000"/>
          <w:shd w:val="clear" w:color="auto" w:fill="FFFFFF"/>
        </w:rPr>
        <w:t>Outcomes Res</w:t>
      </w:r>
      <w:r w:rsidRPr="00196E5D">
        <w:rPr>
          <w:color w:val="000000"/>
          <w:shd w:val="clear" w:color="auto" w:fill="FFFFFF"/>
        </w:rPr>
        <w:t>. 2002 Aug</w:t>
      </w:r>
      <w:proofErr w:type="gramStart"/>
      <w:r w:rsidRPr="00196E5D">
        <w:rPr>
          <w:color w:val="000000"/>
          <w:shd w:val="clear" w:color="auto" w:fill="FFFFFF"/>
        </w:rPr>
        <w:t>;2</w:t>
      </w:r>
      <w:proofErr w:type="gramEnd"/>
      <w:r w:rsidRPr="00196E5D">
        <w:rPr>
          <w:color w:val="000000"/>
          <w:shd w:val="clear" w:color="auto" w:fill="FFFFFF"/>
        </w:rPr>
        <w:t>(4):319-26.</w:t>
      </w:r>
    </w:p>
    <w:p w:rsidR="0062693A" w:rsidRPr="0000244E" w:rsidRDefault="0062693A" w:rsidP="0000244E">
      <w:pPr>
        <w:pStyle w:val="biblio"/>
      </w:pPr>
      <w:proofErr w:type="spellStart"/>
      <w:r>
        <w:t>Zauber</w:t>
      </w:r>
      <w:proofErr w:type="spellEnd"/>
      <w:r>
        <w:t xml:space="preserve">, A.G., </w:t>
      </w:r>
      <w:proofErr w:type="spellStart"/>
      <w:r>
        <w:t>Lansdorp-Vogelaar</w:t>
      </w:r>
      <w:proofErr w:type="spellEnd"/>
      <w:r>
        <w:t xml:space="preserve">, I., Knudsen, A. B., </w:t>
      </w:r>
      <w:proofErr w:type="spellStart"/>
      <w:r>
        <w:t>Wilschut</w:t>
      </w:r>
      <w:proofErr w:type="spellEnd"/>
      <w:r>
        <w:t xml:space="preserve">, J., van </w:t>
      </w:r>
      <w:proofErr w:type="spellStart"/>
      <w:r>
        <w:t>Ballegooijen</w:t>
      </w:r>
      <w:proofErr w:type="spellEnd"/>
      <w:r w:rsidR="0000244E">
        <w:t xml:space="preserve">, M., &amp; Kuntz, K.M. (2008). </w:t>
      </w:r>
      <w:proofErr w:type="gramStart"/>
      <w:r w:rsidR="0000244E">
        <w:t xml:space="preserve">Evaluating Test Strategies for Colorectal Cancer Screening: A Decision </w:t>
      </w:r>
      <w:proofErr w:type="spellStart"/>
      <w:r w:rsidR="0000244E">
        <w:t>Analsyis</w:t>
      </w:r>
      <w:proofErr w:type="spellEnd"/>
      <w:r w:rsidR="0000244E">
        <w:t xml:space="preserve"> for the U.S. Preventative Services Task Force.</w:t>
      </w:r>
      <w:proofErr w:type="gramEnd"/>
      <w:r w:rsidR="0000244E">
        <w:t xml:space="preserve"> </w:t>
      </w:r>
      <w:r w:rsidR="0000244E">
        <w:rPr>
          <w:i/>
          <w:iCs/>
        </w:rPr>
        <w:t>Annals of Internal Medicine</w:t>
      </w:r>
      <w:r w:rsidR="0000244E">
        <w:t>, 149(9): 659-669.</w:t>
      </w:r>
    </w:p>
    <w:p w:rsidR="00D43F13" w:rsidRPr="00CA7526" w:rsidRDefault="00D43F13" w:rsidP="00B21F87">
      <w:pPr>
        <w:rPr>
          <w:color w:val="000000"/>
        </w:rPr>
      </w:pPr>
    </w:p>
    <w:sectPr w:rsidR="00D43F13" w:rsidRPr="00CA7526" w:rsidSect="00E67EB8">
      <w:footerReference w:type="default" r:id="rId30"/>
      <w:footerReference w:type="first" r:id="rId31"/>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32B" w:rsidRDefault="00C9232B">
      <w:r>
        <w:separator/>
      </w:r>
    </w:p>
  </w:endnote>
  <w:endnote w:type="continuationSeparator" w:id="0">
    <w:p w:rsidR="00C9232B" w:rsidRDefault="00C92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Optima">
    <w:altName w:val="Courier"/>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32B" w:rsidRDefault="00C9232B" w:rsidP="00FA70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9232B" w:rsidRDefault="00C923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32B" w:rsidRDefault="00C923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32B" w:rsidRDefault="00C9232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32B" w:rsidRDefault="00C9232B">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32B" w:rsidRPr="00906F6F" w:rsidRDefault="00C9232B" w:rsidP="00924407">
    <w:pPr>
      <w:pStyle w:val="Footer"/>
      <w:jc w:val="center"/>
    </w:pPr>
    <w:r>
      <w:rPr>
        <w:rStyle w:val="PageNumber"/>
      </w:rPr>
      <w:fldChar w:fldCharType="begin"/>
    </w:r>
    <w:r>
      <w:rPr>
        <w:rStyle w:val="PageNumber"/>
      </w:rPr>
      <w:instrText xml:space="preserve"> PAGE </w:instrText>
    </w:r>
    <w:r>
      <w:rPr>
        <w:rStyle w:val="PageNumber"/>
      </w:rPr>
      <w:fldChar w:fldCharType="separate"/>
    </w:r>
    <w:r w:rsidR="00FC6952">
      <w:rPr>
        <w:rStyle w:val="PageNumber"/>
        <w:noProof/>
      </w:rPr>
      <w:t>26</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32B" w:rsidRDefault="00C9232B" w:rsidP="00906F6F">
    <w:pPr>
      <w:pStyle w:val="Footer"/>
      <w:jc w:val="center"/>
    </w:pPr>
    <w:r>
      <w:rPr>
        <w:rStyle w:val="PageNumber"/>
      </w:rPr>
      <w:fldChar w:fldCharType="begin"/>
    </w:r>
    <w:r>
      <w:rPr>
        <w:rStyle w:val="PageNumber"/>
      </w:rPr>
      <w:instrText xml:space="preserve"> PAGE </w:instrText>
    </w:r>
    <w:r>
      <w:rPr>
        <w:rStyle w:val="PageNumber"/>
      </w:rPr>
      <w:fldChar w:fldCharType="separate"/>
    </w:r>
    <w:r w:rsidR="00FC6952">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32B" w:rsidRDefault="00C9232B">
      <w:r>
        <w:separator/>
      </w:r>
    </w:p>
  </w:footnote>
  <w:footnote w:type="continuationSeparator" w:id="0">
    <w:p w:rsidR="00C9232B" w:rsidRDefault="00C923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32B" w:rsidRDefault="00C923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32B" w:rsidRDefault="00C923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32B" w:rsidRDefault="00C923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1066F"/>
    <w:multiLevelType w:val="hybridMultilevel"/>
    <w:tmpl w:val="3B546066"/>
    <w:lvl w:ilvl="0" w:tplc="C6B46444">
      <w:start w:val="1"/>
      <w:numFmt w:val="decimal"/>
      <w:pStyle w:val="ListNumber2"/>
      <w:lvlText w:val="%1."/>
      <w:lvlJc w:val="left"/>
      <w:pPr>
        <w:ind w:left="72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738689C"/>
    <w:multiLevelType w:val="hybridMultilevel"/>
    <w:tmpl w:val="BB961120"/>
    <w:lvl w:ilvl="0" w:tplc="4524D1A2">
      <w:start w:val="1"/>
      <w:numFmt w:val="bullet"/>
      <w:pStyle w:val="bullets"/>
      <w:lvlText w:val="•"/>
      <w:lvlJc w:val="left"/>
      <w:pPr>
        <w:ind w:left="1080" w:hanging="360"/>
      </w:pPr>
      <w:rPr>
        <w:rFonts w:ascii="Arial" w:hAnsi="Arial" w:hint="default"/>
        <w:sz w:val="24"/>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18856A84"/>
    <w:multiLevelType w:val="hybridMultilevel"/>
    <w:tmpl w:val="41E8DD42"/>
    <w:lvl w:ilvl="0" w:tplc="B2808384">
      <w:start w:val="1"/>
      <w:numFmt w:val="bullet"/>
      <w:pStyle w:val="bullets-3rdlevel"/>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189C44D4"/>
    <w:multiLevelType w:val="hybridMultilevel"/>
    <w:tmpl w:val="6706BC2E"/>
    <w:lvl w:ilvl="0" w:tplc="FFFFFFFF">
      <w:start w:val="1"/>
      <w:numFmt w:val="bullet"/>
      <w:pStyle w:val="NumberBullets"/>
      <w:lvlText w:val="o"/>
      <w:lvlJc w:val="left"/>
      <w:pPr>
        <w:tabs>
          <w:tab w:val="num" w:pos="720"/>
        </w:tabs>
        <w:ind w:left="720" w:hanging="360"/>
      </w:pPr>
      <w:rPr>
        <w:rFonts w:ascii="Courier New" w:hAnsi="Courier New"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nsid w:val="2C155484"/>
    <w:multiLevelType w:val="hybridMultilevel"/>
    <w:tmpl w:val="880CCB78"/>
    <w:lvl w:ilvl="0" w:tplc="A44EE664">
      <w:start w:val="1"/>
      <w:numFmt w:val="bullet"/>
      <w:lvlText w:val=""/>
      <w:lvlJc w:val="left"/>
      <w:pPr>
        <w:tabs>
          <w:tab w:val="num" w:pos="1080"/>
        </w:tabs>
        <w:ind w:left="1080" w:hanging="360"/>
      </w:pPr>
      <w:rPr>
        <w:rFonts w:ascii="Symbol" w:hAnsi="Symbol" w:hint="default"/>
        <w:sz w:val="18"/>
      </w:rPr>
    </w:lvl>
    <w:lvl w:ilvl="1" w:tplc="8B2C8FE0" w:tentative="1">
      <w:start w:val="1"/>
      <w:numFmt w:val="lowerLetter"/>
      <w:lvlText w:val="%2."/>
      <w:lvlJc w:val="left"/>
      <w:pPr>
        <w:tabs>
          <w:tab w:val="num" w:pos="1800"/>
        </w:tabs>
        <w:ind w:left="1800" w:hanging="360"/>
      </w:pPr>
      <w:rPr>
        <w:rFonts w:cs="Times New Roman"/>
      </w:rPr>
    </w:lvl>
    <w:lvl w:ilvl="2" w:tplc="10222A1C" w:tentative="1">
      <w:start w:val="1"/>
      <w:numFmt w:val="lowerRoman"/>
      <w:lvlText w:val="%3."/>
      <w:lvlJc w:val="right"/>
      <w:pPr>
        <w:tabs>
          <w:tab w:val="num" w:pos="2520"/>
        </w:tabs>
        <w:ind w:left="2520" w:hanging="180"/>
      </w:pPr>
      <w:rPr>
        <w:rFonts w:cs="Times New Roman"/>
      </w:rPr>
    </w:lvl>
    <w:lvl w:ilvl="3" w:tplc="037E3BFA" w:tentative="1">
      <w:start w:val="1"/>
      <w:numFmt w:val="decimal"/>
      <w:lvlText w:val="%4."/>
      <w:lvlJc w:val="left"/>
      <w:pPr>
        <w:tabs>
          <w:tab w:val="num" w:pos="3240"/>
        </w:tabs>
        <w:ind w:left="3240" w:hanging="360"/>
      </w:pPr>
      <w:rPr>
        <w:rFonts w:cs="Times New Roman"/>
      </w:rPr>
    </w:lvl>
    <w:lvl w:ilvl="4" w:tplc="5B543716" w:tentative="1">
      <w:start w:val="1"/>
      <w:numFmt w:val="lowerLetter"/>
      <w:lvlText w:val="%5."/>
      <w:lvlJc w:val="left"/>
      <w:pPr>
        <w:tabs>
          <w:tab w:val="num" w:pos="3960"/>
        </w:tabs>
        <w:ind w:left="3960" w:hanging="360"/>
      </w:pPr>
      <w:rPr>
        <w:rFonts w:cs="Times New Roman"/>
      </w:rPr>
    </w:lvl>
    <w:lvl w:ilvl="5" w:tplc="AA82E764" w:tentative="1">
      <w:start w:val="1"/>
      <w:numFmt w:val="lowerRoman"/>
      <w:lvlText w:val="%6."/>
      <w:lvlJc w:val="right"/>
      <w:pPr>
        <w:tabs>
          <w:tab w:val="num" w:pos="4680"/>
        </w:tabs>
        <w:ind w:left="4680" w:hanging="180"/>
      </w:pPr>
      <w:rPr>
        <w:rFonts w:cs="Times New Roman"/>
      </w:rPr>
    </w:lvl>
    <w:lvl w:ilvl="6" w:tplc="A6D6D02C" w:tentative="1">
      <w:start w:val="1"/>
      <w:numFmt w:val="decimal"/>
      <w:lvlText w:val="%7."/>
      <w:lvlJc w:val="left"/>
      <w:pPr>
        <w:tabs>
          <w:tab w:val="num" w:pos="5400"/>
        </w:tabs>
        <w:ind w:left="5400" w:hanging="360"/>
      </w:pPr>
      <w:rPr>
        <w:rFonts w:cs="Times New Roman"/>
      </w:rPr>
    </w:lvl>
    <w:lvl w:ilvl="7" w:tplc="BD9EFA68" w:tentative="1">
      <w:start w:val="1"/>
      <w:numFmt w:val="lowerLetter"/>
      <w:lvlText w:val="%8."/>
      <w:lvlJc w:val="left"/>
      <w:pPr>
        <w:tabs>
          <w:tab w:val="num" w:pos="6120"/>
        </w:tabs>
        <w:ind w:left="6120" w:hanging="360"/>
      </w:pPr>
      <w:rPr>
        <w:rFonts w:cs="Times New Roman"/>
      </w:rPr>
    </w:lvl>
    <w:lvl w:ilvl="8" w:tplc="14625B2E" w:tentative="1">
      <w:start w:val="1"/>
      <w:numFmt w:val="lowerRoman"/>
      <w:lvlText w:val="%9."/>
      <w:lvlJc w:val="right"/>
      <w:pPr>
        <w:tabs>
          <w:tab w:val="num" w:pos="6840"/>
        </w:tabs>
        <w:ind w:left="6840" w:hanging="180"/>
      </w:pPr>
      <w:rPr>
        <w:rFonts w:cs="Times New Roman"/>
      </w:rPr>
    </w:lvl>
  </w:abstractNum>
  <w:abstractNum w:abstractNumId="5">
    <w:nsid w:val="2D071E66"/>
    <w:multiLevelType w:val="hybridMultilevel"/>
    <w:tmpl w:val="6C1E3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F46BE5"/>
    <w:multiLevelType w:val="hybridMultilevel"/>
    <w:tmpl w:val="2078D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4C3806"/>
    <w:multiLevelType w:val="hybridMultilevel"/>
    <w:tmpl w:val="FB50C2C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33E05C70"/>
    <w:multiLevelType w:val="hybridMultilevel"/>
    <w:tmpl w:val="11068702"/>
    <w:lvl w:ilvl="0" w:tplc="FB709222">
      <w:start w:val="1"/>
      <w:numFmt w:val="bullet"/>
      <w:pStyle w:val="TableBulletLM"/>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A16F82"/>
    <w:multiLevelType w:val="hybridMultilevel"/>
    <w:tmpl w:val="3202C8A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0">
    <w:nsid w:val="46BB49E4"/>
    <w:multiLevelType w:val="hybridMultilevel"/>
    <w:tmpl w:val="F0CC4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0657F4"/>
    <w:multiLevelType w:val="hybridMultilevel"/>
    <w:tmpl w:val="F964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4F0800"/>
    <w:multiLevelType w:val="hybridMultilevel"/>
    <w:tmpl w:val="73A63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6D4520"/>
    <w:multiLevelType w:val="hybridMultilevel"/>
    <w:tmpl w:val="AA783492"/>
    <w:lvl w:ilvl="0" w:tplc="2488E650">
      <w:start w:val="1"/>
      <w:numFmt w:val="bullet"/>
      <w:pStyle w:val="bullets-2ndlevel"/>
      <w:lvlText w:val="–"/>
      <w:lvlJc w:val="left"/>
      <w:pPr>
        <w:tabs>
          <w:tab w:val="num" w:pos="1800"/>
        </w:tabs>
        <w:ind w:left="1800" w:hanging="360"/>
      </w:pPr>
      <w:rPr>
        <w:rFonts w:ascii="Arial" w:hAnsi="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5CBA035D"/>
    <w:multiLevelType w:val="hybridMultilevel"/>
    <w:tmpl w:val="5170B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5821F1"/>
    <w:multiLevelType w:val="hybridMultilevel"/>
    <w:tmpl w:val="7AA20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F19151F"/>
    <w:multiLevelType w:val="hybridMultilevel"/>
    <w:tmpl w:val="D084D9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8">
    <w:nsid w:val="67B6765C"/>
    <w:multiLevelType w:val="hybridMultilevel"/>
    <w:tmpl w:val="5B1A6CA6"/>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7F85892"/>
    <w:multiLevelType w:val="hybridMultilevel"/>
    <w:tmpl w:val="18140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771EE0"/>
    <w:multiLevelType w:val="hybridMultilevel"/>
    <w:tmpl w:val="5DE8F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6E17451"/>
    <w:multiLevelType w:val="hybridMultilevel"/>
    <w:tmpl w:val="2F844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F652A91"/>
    <w:multiLevelType w:val="hybridMultilevel"/>
    <w:tmpl w:val="6322A8B0"/>
    <w:lvl w:ilvl="0" w:tplc="04090013">
      <w:start w:val="1"/>
      <w:numFmt w:val="upp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3"/>
  </w:num>
  <w:num w:numId="2">
    <w:abstractNumId w:val="17"/>
  </w:num>
  <w:num w:numId="3">
    <w:abstractNumId w:val="0"/>
  </w:num>
  <w:num w:numId="4">
    <w:abstractNumId w:val="7"/>
  </w:num>
  <w:num w:numId="5">
    <w:abstractNumId w:val="4"/>
  </w:num>
  <w:num w:numId="6">
    <w:abstractNumId w:val="20"/>
  </w:num>
  <w:num w:numId="7">
    <w:abstractNumId w:val="8"/>
  </w:num>
  <w:num w:numId="8">
    <w:abstractNumId w:val="21"/>
  </w:num>
  <w:num w:numId="9">
    <w:abstractNumId w:val="12"/>
  </w:num>
  <w:num w:numId="10">
    <w:abstractNumId w:val="14"/>
  </w:num>
  <w:num w:numId="11">
    <w:abstractNumId w:val="19"/>
  </w:num>
  <w:num w:numId="12">
    <w:abstractNumId w:val="22"/>
  </w:num>
  <w:num w:numId="13">
    <w:abstractNumId w:val="9"/>
  </w:num>
  <w:num w:numId="14">
    <w:abstractNumId w:val="11"/>
  </w:num>
  <w:num w:numId="15">
    <w:abstractNumId w:val="18"/>
  </w:num>
  <w:num w:numId="16">
    <w:abstractNumId w:val="6"/>
  </w:num>
  <w:num w:numId="17">
    <w:abstractNumId w:val="15"/>
  </w:num>
  <w:num w:numId="18">
    <w:abstractNumId w:val="16"/>
  </w:num>
  <w:num w:numId="19">
    <w:abstractNumId w:val="2"/>
  </w:num>
  <w:num w:numId="20">
    <w:abstractNumId w:val="13"/>
  </w:num>
  <w:num w:numId="21">
    <w:abstractNumId w:val="1"/>
  </w:num>
  <w:num w:numId="22">
    <w:abstractNumId w:val="1"/>
    <w:lvlOverride w:ilvl="0">
      <w:startOverride w:val="1"/>
    </w:lvlOverride>
  </w:num>
  <w:num w:numId="23">
    <w:abstractNumId w:val="10"/>
  </w:num>
  <w:num w:numId="24">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8" w:nlCheck="1" w:checkStyle="1"/>
  <w:activeWritingStyle w:appName="MSWord" w:lang="en-CA" w:vendorID="64" w:dllVersion="131078" w:nlCheck="1" w:checkStyle="1"/>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7ED"/>
    <w:rsid w:val="0000244E"/>
    <w:rsid w:val="00005DF4"/>
    <w:rsid w:val="0000640D"/>
    <w:rsid w:val="00010285"/>
    <w:rsid w:val="000118C4"/>
    <w:rsid w:val="00016E5D"/>
    <w:rsid w:val="0001715E"/>
    <w:rsid w:val="00021B81"/>
    <w:rsid w:val="000227ED"/>
    <w:rsid w:val="00022FFE"/>
    <w:rsid w:val="00030C6F"/>
    <w:rsid w:val="00037570"/>
    <w:rsid w:val="00053D33"/>
    <w:rsid w:val="00055BD4"/>
    <w:rsid w:val="00056215"/>
    <w:rsid w:val="00056850"/>
    <w:rsid w:val="0006113D"/>
    <w:rsid w:val="0006128E"/>
    <w:rsid w:val="00072C63"/>
    <w:rsid w:val="00076442"/>
    <w:rsid w:val="00081B2D"/>
    <w:rsid w:val="00082A5D"/>
    <w:rsid w:val="00085F69"/>
    <w:rsid w:val="0009491F"/>
    <w:rsid w:val="00095B10"/>
    <w:rsid w:val="000962A5"/>
    <w:rsid w:val="000965F4"/>
    <w:rsid w:val="000A1BC4"/>
    <w:rsid w:val="000A3D71"/>
    <w:rsid w:val="000A609C"/>
    <w:rsid w:val="000B38FB"/>
    <w:rsid w:val="000B5679"/>
    <w:rsid w:val="000B5B19"/>
    <w:rsid w:val="000C0BF4"/>
    <w:rsid w:val="000C21CF"/>
    <w:rsid w:val="000C4907"/>
    <w:rsid w:val="000D24FA"/>
    <w:rsid w:val="000D6765"/>
    <w:rsid w:val="000E1070"/>
    <w:rsid w:val="000E395A"/>
    <w:rsid w:val="000E6546"/>
    <w:rsid w:val="000F0B0D"/>
    <w:rsid w:val="000F3D28"/>
    <w:rsid w:val="000F5F26"/>
    <w:rsid w:val="00112C2B"/>
    <w:rsid w:val="0011387B"/>
    <w:rsid w:val="0011486A"/>
    <w:rsid w:val="001166C0"/>
    <w:rsid w:val="001302E1"/>
    <w:rsid w:val="0014061B"/>
    <w:rsid w:val="00151395"/>
    <w:rsid w:val="00152DFC"/>
    <w:rsid w:val="00155573"/>
    <w:rsid w:val="00162E9D"/>
    <w:rsid w:val="00167E80"/>
    <w:rsid w:val="0017124A"/>
    <w:rsid w:val="00171303"/>
    <w:rsid w:val="001737AB"/>
    <w:rsid w:val="00175EE3"/>
    <w:rsid w:val="00180162"/>
    <w:rsid w:val="001811C2"/>
    <w:rsid w:val="00182ED7"/>
    <w:rsid w:val="001832DE"/>
    <w:rsid w:val="0018563E"/>
    <w:rsid w:val="00187091"/>
    <w:rsid w:val="00194A21"/>
    <w:rsid w:val="00196926"/>
    <w:rsid w:val="001A1A89"/>
    <w:rsid w:val="001A5E0F"/>
    <w:rsid w:val="001B27C8"/>
    <w:rsid w:val="001B2F93"/>
    <w:rsid w:val="001B6122"/>
    <w:rsid w:val="001B78C1"/>
    <w:rsid w:val="001C4E6E"/>
    <w:rsid w:val="001D33C9"/>
    <w:rsid w:val="001D3F98"/>
    <w:rsid w:val="001D598A"/>
    <w:rsid w:val="001D5EC8"/>
    <w:rsid w:val="001E1ED5"/>
    <w:rsid w:val="001E2C0E"/>
    <w:rsid w:val="001E63EF"/>
    <w:rsid w:val="001E736B"/>
    <w:rsid w:val="001F7365"/>
    <w:rsid w:val="002037BC"/>
    <w:rsid w:val="002053A8"/>
    <w:rsid w:val="00207E8F"/>
    <w:rsid w:val="00213567"/>
    <w:rsid w:val="00216508"/>
    <w:rsid w:val="002179E0"/>
    <w:rsid w:val="00221D72"/>
    <w:rsid w:val="002224E9"/>
    <w:rsid w:val="00223088"/>
    <w:rsid w:val="00223327"/>
    <w:rsid w:val="00223CDD"/>
    <w:rsid w:val="00236BC0"/>
    <w:rsid w:val="00237321"/>
    <w:rsid w:val="00242D2C"/>
    <w:rsid w:val="00246CCD"/>
    <w:rsid w:val="00250016"/>
    <w:rsid w:val="0025209F"/>
    <w:rsid w:val="00255827"/>
    <w:rsid w:val="002677ED"/>
    <w:rsid w:val="00274C42"/>
    <w:rsid w:val="002772A2"/>
    <w:rsid w:val="002830E4"/>
    <w:rsid w:val="002853B0"/>
    <w:rsid w:val="00286CB1"/>
    <w:rsid w:val="00287A6D"/>
    <w:rsid w:val="00290AA5"/>
    <w:rsid w:val="0029307A"/>
    <w:rsid w:val="002A1235"/>
    <w:rsid w:val="002A2930"/>
    <w:rsid w:val="002A38E7"/>
    <w:rsid w:val="002B12CC"/>
    <w:rsid w:val="002B2B81"/>
    <w:rsid w:val="002B2BCC"/>
    <w:rsid w:val="002B6332"/>
    <w:rsid w:val="002C3412"/>
    <w:rsid w:val="002C60A4"/>
    <w:rsid w:val="002C78C3"/>
    <w:rsid w:val="002D42E3"/>
    <w:rsid w:val="002D5E11"/>
    <w:rsid w:val="002E39B8"/>
    <w:rsid w:val="002E73F1"/>
    <w:rsid w:val="002F13DB"/>
    <w:rsid w:val="002F3B3B"/>
    <w:rsid w:val="002F48EC"/>
    <w:rsid w:val="002F6523"/>
    <w:rsid w:val="00302FC2"/>
    <w:rsid w:val="00305805"/>
    <w:rsid w:val="003270D3"/>
    <w:rsid w:val="00327FF0"/>
    <w:rsid w:val="00331E3B"/>
    <w:rsid w:val="00334B7A"/>
    <w:rsid w:val="0033644C"/>
    <w:rsid w:val="003378A5"/>
    <w:rsid w:val="00343192"/>
    <w:rsid w:val="00347889"/>
    <w:rsid w:val="00347EBC"/>
    <w:rsid w:val="003506F4"/>
    <w:rsid w:val="00353D07"/>
    <w:rsid w:val="003540A9"/>
    <w:rsid w:val="00354255"/>
    <w:rsid w:val="00354793"/>
    <w:rsid w:val="00357746"/>
    <w:rsid w:val="00357AF0"/>
    <w:rsid w:val="0037320E"/>
    <w:rsid w:val="00381174"/>
    <w:rsid w:val="003854C2"/>
    <w:rsid w:val="0039187D"/>
    <w:rsid w:val="00392471"/>
    <w:rsid w:val="003B2ECF"/>
    <w:rsid w:val="003B4BED"/>
    <w:rsid w:val="003B4C9B"/>
    <w:rsid w:val="003B7007"/>
    <w:rsid w:val="003D3586"/>
    <w:rsid w:val="003D5F0F"/>
    <w:rsid w:val="003D6EC3"/>
    <w:rsid w:val="003E0A59"/>
    <w:rsid w:val="003E5576"/>
    <w:rsid w:val="003F02AD"/>
    <w:rsid w:val="00400488"/>
    <w:rsid w:val="00402BAD"/>
    <w:rsid w:val="004059D1"/>
    <w:rsid w:val="0041691A"/>
    <w:rsid w:val="00423334"/>
    <w:rsid w:val="00427554"/>
    <w:rsid w:val="004316FE"/>
    <w:rsid w:val="00434BC5"/>
    <w:rsid w:val="00434DFE"/>
    <w:rsid w:val="00441B12"/>
    <w:rsid w:val="00451757"/>
    <w:rsid w:val="00453377"/>
    <w:rsid w:val="0045406A"/>
    <w:rsid w:val="00463AEE"/>
    <w:rsid w:val="00463DD1"/>
    <w:rsid w:val="00466CA9"/>
    <w:rsid w:val="00470086"/>
    <w:rsid w:val="0047358D"/>
    <w:rsid w:val="00475CDB"/>
    <w:rsid w:val="00475E78"/>
    <w:rsid w:val="0047674A"/>
    <w:rsid w:val="0048022B"/>
    <w:rsid w:val="004862B3"/>
    <w:rsid w:val="004920B6"/>
    <w:rsid w:val="00492F67"/>
    <w:rsid w:val="00495ADF"/>
    <w:rsid w:val="004A2778"/>
    <w:rsid w:val="004B3E35"/>
    <w:rsid w:val="004C0743"/>
    <w:rsid w:val="004C0E0E"/>
    <w:rsid w:val="004C436D"/>
    <w:rsid w:val="004C439D"/>
    <w:rsid w:val="004C56A3"/>
    <w:rsid w:val="004D0161"/>
    <w:rsid w:val="004D3C37"/>
    <w:rsid w:val="004E0E8D"/>
    <w:rsid w:val="004E330F"/>
    <w:rsid w:val="004E5471"/>
    <w:rsid w:val="004E698E"/>
    <w:rsid w:val="004E72FF"/>
    <w:rsid w:val="004F167F"/>
    <w:rsid w:val="004F51B5"/>
    <w:rsid w:val="0050115D"/>
    <w:rsid w:val="00504DCF"/>
    <w:rsid w:val="00511375"/>
    <w:rsid w:val="00512F04"/>
    <w:rsid w:val="00513E02"/>
    <w:rsid w:val="0051577F"/>
    <w:rsid w:val="00516D68"/>
    <w:rsid w:val="00517264"/>
    <w:rsid w:val="005217EF"/>
    <w:rsid w:val="00531587"/>
    <w:rsid w:val="00534DAB"/>
    <w:rsid w:val="005375D0"/>
    <w:rsid w:val="00541CA2"/>
    <w:rsid w:val="005453DD"/>
    <w:rsid w:val="00546209"/>
    <w:rsid w:val="00551F4D"/>
    <w:rsid w:val="00554CD2"/>
    <w:rsid w:val="00557329"/>
    <w:rsid w:val="0055752E"/>
    <w:rsid w:val="005749DD"/>
    <w:rsid w:val="0057707D"/>
    <w:rsid w:val="005820DF"/>
    <w:rsid w:val="00582B90"/>
    <w:rsid w:val="0058360B"/>
    <w:rsid w:val="005841BD"/>
    <w:rsid w:val="005909A3"/>
    <w:rsid w:val="00590C43"/>
    <w:rsid w:val="005A236D"/>
    <w:rsid w:val="005A283A"/>
    <w:rsid w:val="005A2AF9"/>
    <w:rsid w:val="005A7F97"/>
    <w:rsid w:val="005B21C5"/>
    <w:rsid w:val="005B4154"/>
    <w:rsid w:val="005C255F"/>
    <w:rsid w:val="005D2BB1"/>
    <w:rsid w:val="005E1462"/>
    <w:rsid w:val="005E217C"/>
    <w:rsid w:val="005E62F2"/>
    <w:rsid w:val="005F3E92"/>
    <w:rsid w:val="005F77D7"/>
    <w:rsid w:val="006040A6"/>
    <w:rsid w:val="006048A8"/>
    <w:rsid w:val="00605B8B"/>
    <w:rsid w:val="00613A18"/>
    <w:rsid w:val="00617722"/>
    <w:rsid w:val="00622A6F"/>
    <w:rsid w:val="0062693A"/>
    <w:rsid w:val="006269EB"/>
    <w:rsid w:val="00626DBA"/>
    <w:rsid w:val="00632AAE"/>
    <w:rsid w:val="00635CB0"/>
    <w:rsid w:val="006421AB"/>
    <w:rsid w:val="006440CB"/>
    <w:rsid w:val="006445EE"/>
    <w:rsid w:val="0064504C"/>
    <w:rsid w:val="00657935"/>
    <w:rsid w:val="0065799B"/>
    <w:rsid w:val="00660D5F"/>
    <w:rsid w:val="0066120E"/>
    <w:rsid w:val="00662BD9"/>
    <w:rsid w:val="00663D09"/>
    <w:rsid w:val="006640E8"/>
    <w:rsid w:val="006713F3"/>
    <w:rsid w:val="006733F1"/>
    <w:rsid w:val="006763FF"/>
    <w:rsid w:val="0068387F"/>
    <w:rsid w:val="00696EB0"/>
    <w:rsid w:val="006A10BF"/>
    <w:rsid w:val="006A2387"/>
    <w:rsid w:val="006A604F"/>
    <w:rsid w:val="006B14CF"/>
    <w:rsid w:val="006B3CB0"/>
    <w:rsid w:val="006B4955"/>
    <w:rsid w:val="006C0A3E"/>
    <w:rsid w:val="006C0E42"/>
    <w:rsid w:val="006C4B6F"/>
    <w:rsid w:val="006D1185"/>
    <w:rsid w:val="006D3678"/>
    <w:rsid w:val="006D4600"/>
    <w:rsid w:val="006E2440"/>
    <w:rsid w:val="006E5049"/>
    <w:rsid w:val="006F3463"/>
    <w:rsid w:val="006F3958"/>
    <w:rsid w:val="00706653"/>
    <w:rsid w:val="00707527"/>
    <w:rsid w:val="00707F96"/>
    <w:rsid w:val="00711675"/>
    <w:rsid w:val="00712259"/>
    <w:rsid w:val="00712790"/>
    <w:rsid w:val="0071443E"/>
    <w:rsid w:val="00717571"/>
    <w:rsid w:val="0072055E"/>
    <w:rsid w:val="00720E5F"/>
    <w:rsid w:val="00722078"/>
    <w:rsid w:val="00726255"/>
    <w:rsid w:val="00736695"/>
    <w:rsid w:val="00737857"/>
    <w:rsid w:val="00747F72"/>
    <w:rsid w:val="0075331E"/>
    <w:rsid w:val="007548AB"/>
    <w:rsid w:val="00755297"/>
    <w:rsid w:val="0076448A"/>
    <w:rsid w:val="00764529"/>
    <w:rsid w:val="00773689"/>
    <w:rsid w:val="00775802"/>
    <w:rsid w:val="00782650"/>
    <w:rsid w:val="007838EC"/>
    <w:rsid w:val="00786C85"/>
    <w:rsid w:val="00787D03"/>
    <w:rsid w:val="007A74AD"/>
    <w:rsid w:val="007B18BA"/>
    <w:rsid w:val="007B3015"/>
    <w:rsid w:val="007B5258"/>
    <w:rsid w:val="007B5719"/>
    <w:rsid w:val="007C3C05"/>
    <w:rsid w:val="007C47F1"/>
    <w:rsid w:val="007C4A4E"/>
    <w:rsid w:val="007C5DCF"/>
    <w:rsid w:val="007C7074"/>
    <w:rsid w:val="007D3125"/>
    <w:rsid w:val="007E15BB"/>
    <w:rsid w:val="007E16F1"/>
    <w:rsid w:val="007E3F38"/>
    <w:rsid w:val="007E4A5C"/>
    <w:rsid w:val="007E6753"/>
    <w:rsid w:val="007E6C44"/>
    <w:rsid w:val="007E7948"/>
    <w:rsid w:val="007F293F"/>
    <w:rsid w:val="007F50C9"/>
    <w:rsid w:val="007F576C"/>
    <w:rsid w:val="007F7D99"/>
    <w:rsid w:val="00804E98"/>
    <w:rsid w:val="00807E0E"/>
    <w:rsid w:val="00810192"/>
    <w:rsid w:val="0081656F"/>
    <w:rsid w:val="00816A7D"/>
    <w:rsid w:val="008241F7"/>
    <w:rsid w:val="00831D1F"/>
    <w:rsid w:val="00832BA3"/>
    <w:rsid w:val="008357CC"/>
    <w:rsid w:val="008423C2"/>
    <w:rsid w:val="008442BC"/>
    <w:rsid w:val="008448C8"/>
    <w:rsid w:val="00847929"/>
    <w:rsid w:val="00851983"/>
    <w:rsid w:val="008534CA"/>
    <w:rsid w:val="00856CF5"/>
    <w:rsid w:val="0086043F"/>
    <w:rsid w:val="00870307"/>
    <w:rsid w:val="00872FAA"/>
    <w:rsid w:val="0087417D"/>
    <w:rsid w:val="008807B7"/>
    <w:rsid w:val="008808FA"/>
    <w:rsid w:val="008815DF"/>
    <w:rsid w:val="0089151D"/>
    <w:rsid w:val="00891D23"/>
    <w:rsid w:val="00894A87"/>
    <w:rsid w:val="008A0231"/>
    <w:rsid w:val="008A0A0F"/>
    <w:rsid w:val="008A3CF6"/>
    <w:rsid w:val="008A4C91"/>
    <w:rsid w:val="008B3BC8"/>
    <w:rsid w:val="008B48AD"/>
    <w:rsid w:val="008B61A1"/>
    <w:rsid w:val="008B79CD"/>
    <w:rsid w:val="008C2B74"/>
    <w:rsid w:val="008C3FC1"/>
    <w:rsid w:val="008C7175"/>
    <w:rsid w:val="008D0635"/>
    <w:rsid w:val="008D1165"/>
    <w:rsid w:val="008D43BE"/>
    <w:rsid w:val="008E0EF2"/>
    <w:rsid w:val="008E15D0"/>
    <w:rsid w:val="008E70F2"/>
    <w:rsid w:val="008E7D6E"/>
    <w:rsid w:val="008F5037"/>
    <w:rsid w:val="008F55FE"/>
    <w:rsid w:val="00900586"/>
    <w:rsid w:val="00906A4B"/>
    <w:rsid w:val="00906F6F"/>
    <w:rsid w:val="009164CC"/>
    <w:rsid w:val="0092164B"/>
    <w:rsid w:val="00924407"/>
    <w:rsid w:val="00926D45"/>
    <w:rsid w:val="00932612"/>
    <w:rsid w:val="00932B36"/>
    <w:rsid w:val="00937302"/>
    <w:rsid w:val="00943948"/>
    <w:rsid w:val="00944BB4"/>
    <w:rsid w:val="00946D72"/>
    <w:rsid w:val="00947647"/>
    <w:rsid w:val="00947A84"/>
    <w:rsid w:val="00957458"/>
    <w:rsid w:val="00964B45"/>
    <w:rsid w:val="0097143D"/>
    <w:rsid w:val="009752B7"/>
    <w:rsid w:val="00975B68"/>
    <w:rsid w:val="00981374"/>
    <w:rsid w:val="009875AE"/>
    <w:rsid w:val="00997B58"/>
    <w:rsid w:val="009A230F"/>
    <w:rsid w:val="009A27F1"/>
    <w:rsid w:val="009A41A4"/>
    <w:rsid w:val="009A5D09"/>
    <w:rsid w:val="009A703B"/>
    <w:rsid w:val="009A7DB5"/>
    <w:rsid w:val="009B66BB"/>
    <w:rsid w:val="009B6C75"/>
    <w:rsid w:val="009B7424"/>
    <w:rsid w:val="009B7A42"/>
    <w:rsid w:val="009C6EA2"/>
    <w:rsid w:val="009D0E6A"/>
    <w:rsid w:val="009E0FB3"/>
    <w:rsid w:val="009E4DC5"/>
    <w:rsid w:val="009F1792"/>
    <w:rsid w:val="009F448A"/>
    <w:rsid w:val="009F6C56"/>
    <w:rsid w:val="00A00226"/>
    <w:rsid w:val="00A00A50"/>
    <w:rsid w:val="00A00CAE"/>
    <w:rsid w:val="00A03EB4"/>
    <w:rsid w:val="00A14087"/>
    <w:rsid w:val="00A14E8A"/>
    <w:rsid w:val="00A15284"/>
    <w:rsid w:val="00A15F7A"/>
    <w:rsid w:val="00A234D4"/>
    <w:rsid w:val="00A24170"/>
    <w:rsid w:val="00A32B08"/>
    <w:rsid w:val="00A40208"/>
    <w:rsid w:val="00A4467B"/>
    <w:rsid w:val="00A45B43"/>
    <w:rsid w:val="00A46118"/>
    <w:rsid w:val="00A531F7"/>
    <w:rsid w:val="00A53954"/>
    <w:rsid w:val="00A602FE"/>
    <w:rsid w:val="00A61241"/>
    <w:rsid w:val="00A65419"/>
    <w:rsid w:val="00A66BE1"/>
    <w:rsid w:val="00A736E1"/>
    <w:rsid w:val="00A82C13"/>
    <w:rsid w:val="00A861AA"/>
    <w:rsid w:val="00A86AB6"/>
    <w:rsid w:val="00A935D1"/>
    <w:rsid w:val="00A95E62"/>
    <w:rsid w:val="00AA295A"/>
    <w:rsid w:val="00AA3B78"/>
    <w:rsid w:val="00AA573E"/>
    <w:rsid w:val="00AB26EE"/>
    <w:rsid w:val="00AB5685"/>
    <w:rsid w:val="00AB642B"/>
    <w:rsid w:val="00AB6D73"/>
    <w:rsid w:val="00AC2139"/>
    <w:rsid w:val="00AC573B"/>
    <w:rsid w:val="00AC6ACE"/>
    <w:rsid w:val="00AD5C89"/>
    <w:rsid w:val="00AE5483"/>
    <w:rsid w:val="00AE6202"/>
    <w:rsid w:val="00AF376C"/>
    <w:rsid w:val="00B012BF"/>
    <w:rsid w:val="00B14DA8"/>
    <w:rsid w:val="00B176D3"/>
    <w:rsid w:val="00B20569"/>
    <w:rsid w:val="00B21F87"/>
    <w:rsid w:val="00B231F5"/>
    <w:rsid w:val="00B234E3"/>
    <w:rsid w:val="00B26EC9"/>
    <w:rsid w:val="00B27B14"/>
    <w:rsid w:val="00B32A60"/>
    <w:rsid w:val="00B37A70"/>
    <w:rsid w:val="00B432D0"/>
    <w:rsid w:val="00B4410E"/>
    <w:rsid w:val="00B44F86"/>
    <w:rsid w:val="00B50937"/>
    <w:rsid w:val="00B5115B"/>
    <w:rsid w:val="00B53E72"/>
    <w:rsid w:val="00B5639F"/>
    <w:rsid w:val="00B60021"/>
    <w:rsid w:val="00B60988"/>
    <w:rsid w:val="00B60AD4"/>
    <w:rsid w:val="00B61983"/>
    <w:rsid w:val="00B65C71"/>
    <w:rsid w:val="00B76002"/>
    <w:rsid w:val="00B76A67"/>
    <w:rsid w:val="00B77A91"/>
    <w:rsid w:val="00B80442"/>
    <w:rsid w:val="00B854D4"/>
    <w:rsid w:val="00BA20AB"/>
    <w:rsid w:val="00BA395E"/>
    <w:rsid w:val="00BA52EC"/>
    <w:rsid w:val="00BB63B6"/>
    <w:rsid w:val="00BB7CFA"/>
    <w:rsid w:val="00BC12D9"/>
    <w:rsid w:val="00BC27F0"/>
    <w:rsid w:val="00BC378F"/>
    <w:rsid w:val="00BD60B3"/>
    <w:rsid w:val="00BE2D02"/>
    <w:rsid w:val="00BE4187"/>
    <w:rsid w:val="00BE4278"/>
    <w:rsid w:val="00BE4639"/>
    <w:rsid w:val="00C056FE"/>
    <w:rsid w:val="00C149ED"/>
    <w:rsid w:val="00C156AA"/>
    <w:rsid w:val="00C162E9"/>
    <w:rsid w:val="00C16868"/>
    <w:rsid w:val="00C207AD"/>
    <w:rsid w:val="00C32C39"/>
    <w:rsid w:val="00C35DE4"/>
    <w:rsid w:val="00C36916"/>
    <w:rsid w:val="00C40D2F"/>
    <w:rsid w:val="00C40F42"/>
    <w:rsid w:val="00C43B8A"/>
    <w:rsid w:val="00C54030"/>
    <w:rsid w:val="00C56316"/>
    <w:rsid w:val="00C57DB3"/>
    <w:rsid w:val="00C57DF3"/>
    <w:rsid w:val="00C606F0"/>
    <w:rsid w:val="00C62587"/>
    <w:rsid w:val="00C62900"/>
    <w:rsid w:val="00C6293D"/>
    <w:rsid w:val="00C65FD6"/>
    <w:rsid w:val="00C74528"/>
    <w:rsid w:val="00C764DD"/>
    <w:rsid w:val="00C81A36"/>
    <w:rsid w:val="00C844D6"/>
    <w:rsid w:val="00C9232B"/>
    <w:rsid w:val="00C93F07"/>
    <w:rsid w:val="00CA1153"/>
    <w:rsid w:val="00CA33FC"/>
    <w:rsid w:val="00CA4F62"/>
    <w:rsid w:val="00CA6A7F"/>
    <w:rsid w:val="00CA7526"/>
    <w:rsid w:val="00CB0350"/>
    <w:rsid w:val="00CB17A4"/>
    <w:rsid w:val="00CB4445"/>
    <w:rsid w:val="00CB6FA9"/>
    <w:rsid w:val="00CC2139"/>
    <w:rsid w:val="00CD0CA0"/>
    <w:rsid w:val="00CD3575"/>
    <w:rsid w:val="00CD5B39"/>
    <w:rsid w:val="00CD6A6D"/>
    <w:rsid w:val="00CF22F5"/>
    <w:rsid w:val="00D03C09"/>
    <w:rsid w:val="00D34D18"/>
    <w:rsid w:val="00D358C3"/>
    <w:rsid w:val="00D3765A"/>
    <w:rsid w:val="00D428B5"/>
    <w:rsid w:val="00D43F13"/>
    <w:rsid w:val="00D4534A"/>
    <w:rsid w:val="00D46A91"/>
    <w:rsid w:val="00D46D1A"/>
    <w:rsid w:val="00D47208"/>
    <w:rsid w:val="00D5094B"/>
    <w:rsid w:val="00D50C40"/>
    <w:rsid w:val="00D543D3"/>
    <w:rsid w:val="00D557BC"/>
    <w:rsid w:val="00D6798C"/>
    <w:rsid w:val="00D70C31"/>
    <w:rsid w:val="00D70D55"/>
    <w:rsid w:val="00D7688C"/>
    <w:rsid w:val="00D820DC"/>
    <w:rsid w:val="00D858E0"/>
    <w:rsid w:val="00D8725E"/>
    <w:rsid w:val="00D901E3"/>
    <w:rsid w:val="00D924E3"/>
    <w:rsid w:val="00D946CC"/>
    <w:rsid w:val="00D96218"/>
    <w:rsid w:val="00DA0C0D"/>
    <w:rsid w:val="00DA617A"/>
    <w:rsid w:val="00DB48BF"/>
    <w:rsid w:val="00DB5E1A"/>
    <w:rsid w:val="00DC304E"/>
    <w:rsid w:val="00DC69D5"/>
    <w:rsid w:val="00DC6A1B"/>
    <w:rsid w:val="00DC6CC6"/>
    <w:rsid w:val="00DD248A"/>
    <w:rsid w:val="00DD3188"/>
    <w:rsid w:val="00DD549C"/>
    <w:rsid w:val="00DE2328"/>
    <w:rsid w:val="00DE445B"/>
    <w:rsid w:val="00DE5245"/>
    <w:rsid w:val="00DE5838"/>
    <w:rsid w:val="00DF4417"/>
    <w:rsid w:val="00DF65BB"/>
    <w:rsid w:val="00DF693C"/>
    <w:rsid w:val="00DF6E59"/>
    <w:rsid w:val="00E056FC"/>
    <w:rsid w:val="00E07659"/>
    <w:rsid w:val="00E11B7F"/>
    <w:rsid w:val="00E12141"/>
    <w:rsid w:val="00E1300D"/>
    <w:rsid w:val="00E44619"/>
    <w:rsid w:val="00E5341B"/>
    <w:rsid w:val="00E57AD3"/>
    <w:rsid w:val="00E60630"/>
    <w:rsid w:val="00E61464"/>
    <w:rsid w:val="00E62A23"/>
    <w:rsid w:val="00E65D46"/>
    <w:rsid w:val="00E666E3"/>
    <w:rsid w:val="00E66F29"/>
    <w:rsid w:val="00E67EB8"/>
    <w:rsid w:val="00E7030A"/>
    <w:rsid w:val="00E71591"/>
    <w:rsid w:val="00E717B2"/>
    <w:rsid w:val="00E719CF"/>
    <w:rsid w:val="00E81C80"/>
    <w:rsid w:val="00E8217C"/>
    <w:rsid w:val="00E82257"/>
    <w:rsid w:val="00E84824"/>
    <w:rsid w:val="00E85007"/>
    <w:rsid w:val="00E8555C"/>
    <w:rsid w:val="00E87A1C"/>
    <w:rsid w:val="00E90293"/>
    <w:rsid w:val="00E93544"/>
    <w:rsid w:val="00E95DA3"/>
    <w:rsid w:val="00E96025"/>
    <w:rsid w:val="00E97BAB"/>
    <w:rsid w:val="00EA381D"/>
    <w:rsid w:val="00EA4460"/>
    <w:rsid w:val="00EA6BB6"/>
    <w:rsid w:val="00EB0B31"/>
    <w:rsid w:val="00EB2635"/>
    <w:rsid w:val="00EB3F32"/>
    <w:rsid w:val="00EB4CBA"/>
    <w:rsid w:val="00EC13CD"/>
    <w:rsid w:val="00EC2E8F"/>
    <w:rsid w:val="00EC4C91"/>
    <w:rsid w:val="00EC5FCD"/>
    <w:rsid w:val="00EC5FE4"/>
    <w:rsid w:val="00ED16CD"/>
    <w:rsid w:val="00ED69DB"/>
    <w:rsid w:val="00EE3E63"/>
    <w:rsid w:val="00EE42E3"/>
    <w:rsid w:val="00EE5DF5"/>
    <w:rsid w:val="00EE7763"/>
    <w:rsid w:val="00EF2984"/>
    <w:rsid w:val="00EF3F85"/>
    <w:rsid w:val="00F11D1E"/>
    <w:rsid w:val="00F177AE"/>
    <w:rsid w:val="00F17889"/>
    <w:rsid w:val="00F17979"/>
    <w:rsid w:val="00F17D94"/>
    <w:rsid w:val="00F20A34"/>
    <w:rsid w:val="00F22932"/>
    <w:rsid w:val="00F24301"/>
    <w:rsid w:val="00F2651F"/>
    <w:rsid w:val="00F26C05"/>
    <w:rsid w:val="00F30967"/>
    <w:rsid w:val="00F34137"/>
    <w:rsid w:val="00F35E39"/>
    <w:rsid w:val="00F36F93"/>
    <w:rsid w:val="00F41479"/>
    <w:rsid w:val="00F42D12"/>
    <w:rsid w:val="00F430D3"/>
    <w:rsid w:val="00F47939"/>
    <w:rsid w:val="00F512D4"/>
    <w:rsid w:val="00F553C3"/>
    <w:rsid w:val="00F563BE"/>
    <w:rsid w:val="00F57BD7"/>
    <w:rsid w:val="00F62BF6"/>
    <w:rsid w:val="00F62C62"/>
    <w:rsid w:val="00F66166"/>
    <w:rsid w:val="00F6655A"/>
    <w:rsid w:val="00F70BAA"/>
    <w:rsid w:val="00F70D49"/>
    <w:rsid w:val="00F72F56"/>
    <w:rsid w:val="00F81C5E"/>
    <w:rsid w:val="00F82D5A"/>
    <w:rsid w:val="00F84D13"/>
    <w:rsid w:val="00F86544"/>
    <w:rsid w:val="00F87497"/>
    <w:rsid w:val="00F917DB"/>
    <w:rsid w:val="00F97687"/>
    <w:rsid w:val="00FA1104"/>
    <w:rsid w:val="00FA1700"/>
    <w:rsid w:val="00FA525B"/>
    <w:rsid w:val="00FA7085"/>
    <w:rsid w:val="00FB2E0C"/>
    <w:rsid w:val="00FC28BA"/>
    <w:rsid w:val="00FC6952"/>
    <w:rsid w:val="00FD4747"/>
    <w:rsid w:val="00FD4E8D"/>
    <w:rsid w:val="00FD7883"/>
    <w:rsid w:val="00FE05DD"/>
    <w:rsid w:val="00FE3C52"/>
    <w:rsid w:val="00FE75FE"/>
    <w:rsid w:val="00FF423C"/>
    <w:rsid w:val="00FF44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annotation text" w:uiPriority="99"/>
    <w:lsdException w:name="caption" w:semiHidden="1" w:unhideWhenUsed="1" w:qFormat="1"/>
    <w:lsdException w:name="footnote reference" w:uiPriority="99"/>
    <w:lsdException w:name="annotation reference" w:uiPriority="99"/>
    <w:lsdException w:name="List Number 2" w:uiPriority="99"/>
    <w:lsdException w:name="Title" w:qFormat="1"/>
    <w:lsdException w:name="Subtitle" w:qFormat="1"/>
    <w:lsdException w:name="Body Text 3" w:uiPriority="99"/>
    <w:lsdException w:name="Hyperlink" w:uiPriority="99"/>
    <w:lsdException w:name="Strong" w:uiPriority="22"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43D3"/>
    <w:rPr>
      <w:sz w:val="24"/>
      <w:szCs w:val="24"/>
      <w:lang w:eastAsia="en-US"/>
    </w:rPr>
  </w:style>
  <w:style w:type="paragraph" w:styleId="Heading1">
    <w:name w:val="heading 1"/>
    <w:basedOn w:val="Normal"/>
    <w:next w:val="Normal"/>
    <w:qFormat/>
    <w:rsid w:val="00BC378F"/>
    <w:pPr>
      <w:keepNext/>
      <w:spacing w:before="120" w:after="120"/>
      <w:outlineLvl w:val="0"/>
    </w:pPr>
    <w:rPr>
      <w:rFonts w:ascii="Times New Roman Bold" w:hAnsi="Times New Roman Bold"/>
      <w:b/>
      <w:bCs/>
      <w:caps/>
    </w:rPr>
  </w:style>
  <w:style w:type="paragraph" w:styleId="Heading2">
    <w:name w:val="heading 2"/>
    <w:basedOn w:val="Normal"/>
    <w:next w:val="Normal"/>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qFormat/>
    <w:rsid w:val="003B4BED"/>
    <w:pPr>
      <w:keepNext/>
      <w:keepLines/>
      <w:spacing w:before="240" w:after="120"/>
      <w:ind w:left="-86"/>
      <w:outlineLvl w:val="3"/>
    </w:pPr>
    <w:rPr>
      <w:rFonts w:cs="Arial"/>
      <w:bCs/>
      <w:i/>
      <w:szCs w:val="22"/>
    </w:rPr>
  </w:style>
  <w:style w:type="paragraph" w:styleId="Heading5">
    <w:name w:val="heading 5"/>
    <w:basedOn w:val="Normal"/>
    <w:next w:val="Normal"/>
    <w:semiHidden/>
    <w:qFormat/>
    <w:rsid w:val="00BC378F"/>
    <w:pPr>
      <w:keepNext/>
      <w:widowControl w:val="0"/>
      <w:outlineLvl w:val="4"/>
    </w:pPr>
    <w:rPr>
      <w:rFonts w:ascii="Arial" w:hAnsi="Arial" w:cs="Arial"/>
      <w:b/>
      <w:bCs/>
      <w:sz w:val="20"/>
      <w:szCs w:val="20"/>
      <w:u w:val="single"/>
    </w:rPr>
  </w:style>
  <w:style w:type="paragraph" w:styleId="Heading6">
    <w:name w:val="heading 6"/>
    <w:basedOn w:val="Normal"/>
    <w:next w:val="Normal"/>
    <w:semiHidden/>
    <w:qFormat/>
    <w:rsid w:val="00BC378F"/>
    <w:pPr>
      <w:keepNext/>
      <w:jc w:val="center"/>
      <w:outlineLvl w:val="5"/>
    </w:pPr>
    <w:rPr>
      <w:rFonts w:ascii="Arial" w:hAnsi="Arial" w:cs="Arial"/>
      <w:b/>
      <w:bCs/>
    </w:rPr>
  </w:style>
  <w:style w:type="paragraph" w:styleId="Heading7">
    <w:name w:val="heading 7"/>
    <w:basedOn w:val="Normal"/>
    <w:next w:val="Normal"/>
    <w:semiHidden/>
    <w:qFormat/>
    <w:rsid w:val="00BC378F"/>
    <w:pPr>
      <w:keepNext/>
      <w:jc w:val="center"/>
      <w:outlineLvl w:val="6"/>
    </w:pPr>
    <w:rPr>
      <w:rFonts w:ascii="Arial" w:hAnsi="Arial" w:cs="Arial"/>
      <w:b/>
      <w:bCs/>
      <w:sz w:val="16"/>
      <w:szCs w:val="16"/>
    </w:rPr>
  </w:style>
  <w:style w:type="paragraph" w:styleId="Heading8">
    <w:name w:val="heading 8"/>
    <w:basedOn w:val="Normal"/>
    <w:next w:val="Normal"/>
    <w:semiHidden/>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semiHidden/>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D543D3"/>
    <w:pPr>
      <w:numPr>
        <w:numId w:val="21"/>
      </w:numPr>
      <w:spacing w:after="240"/>
    </w:pPr>
    <w:rPr>
      <w:color w:val="000000"/>
    </w:rPr>
  </w:style>
  <w:style w:type="paragraph" w:customStyle="1" w:styleId="exhibitsource">
    <w:name w:val="exhibit source"/>
    <w:basedOn w:val="Normal"/>
    <w:rsid w:val="00F66166"/>
    <w:pPr>
      <w:spacing w:after="120"/>
    </w:pPr>
    <w:rPr>
      <w:sz w:val="20"/>
      <w:szCs w:val="22"/>
    </w:rPr>
  </w:style>
  <w:style w:type="numbering" w:customStyle="1" w:styleId="NoList1">
    <w:name w:val="No List1"/>
    <w:next w:val="NoList"/>
    <w:semiHidden/>
    <w:rsid w:val="00BC378F"/>
  </w:style>
  <w:style w:type="table" w:styleId="TableGrid">
    <w:name w:val="Table Grid"/>
    <w:basedOn w:val="TableNormal"/>
    <w:uiPriority w:val="59"/>
    <w:rsid w:val="006E24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eTitleContinued">
    <w:name w:val="Figure Title Continued"/>
    <w:basedOn w:val="FigureTitle"/>
    <w:qFormat/>
    <w:rsid w:val="00775802"/>
  </w:style>
  <w:style w:type="character" w:styleId="CommentReference">
    <w:name w:val="annotation reference"/>
    <w:uiPriority w:val="99"/>
    <w:rsid w:val="0089151D"/>
    <w:rPr>
      <w:sz w:val="16"/>
      <w:szCs w:val="16"/>
    </w:rPr>
  </w:style>
  <w:style w:type="paragraph" w:styleId="CommentText">
    <w:name w:val="annotation text"/>
    <w:basedOn w:val="Normal"/>
    <w:link w:val="CommentTextChar"/>
    <w:uiPriority w:val="99"/>
    <w:rsid w:val="0089151D"/>
    <w:pPr>
      <w:widowControl w:val="0"/>
      <w:autoSpaceDE w:val="0"/>
      <w:autoSpaceDN w:val="0"/>
      <w:adjustRightInd w:val="0"/>
    </w:pPr>
    <w:rPr>
      <w:sz w:val="20"/>
      <w:szCs w:val="20"/>
    </w:rPr>
  </w:style>
  <w:style w:type="character" w:customStyle="1" w:styleId="CommentTextChar">
    <w:name w:val="Comment Text Char"/>
    <w:basedOn w:val="DefaultParagraphFont"/>
    <w:link w:val="CommentText"/>
    <w:uiPriority w:val="99"/>
    <w:rsid w:val="0089151D"/>
    <w:rPr>
      <w:lang w:eastAsia="en-US"/>
    </w:rPr>
  </w:style>
  <w:style w:type="paragraph" w:customStyle="1" w:styleId="paragraph">
    <w:name w:val="paragraph"/>
    <w:basedOn w:val="Normal"/>
    <w:rsid w:val="00BC378F"/>
    <w:pPr>
      <w:spacing w:before="200" w:line="320" w:lineRule="exact"/>
      <w:ind w:left="1440"/>
    </w:pPr>
  </w:style>
  <w:style w:type="character" w:customStyle="1" w:styleId="bodytextChar">
    <w:name w:val="body text Char"/>
    <w:link w:val="BodyText1"/>
    <w:rsid w:val="00FE05DD"/>
    <w:rPr>
      <w:sz w:val="24"/>
      <w:lang w:eastAsia="en-US"/>
    </w:rPr>
  </w:style>
  <w:style w:type="paragraph" w:styleId="FootnoteText">
    <w:name w:val="footnote text"/>
    <w:aliases w:val="ft,fo"/>
    <w:basedOn w:val="Normal"/>
    <w:link w:val="FootnoteTextChar"/>
    <w:rsid w:val="003B4BED"/>
    <w:pPr>
      <w:widowControl w:val="0"/>
    </w:pPr>
    <w:rPr>
      <w:rFonts w:cs="Courier New"/>
      <w:sz w:val="20"/>
    </w:rPr>
  </w:style>
  <w:style w:type="character" w:styleId="FootnoteReference">
    <w:name w:val="footnote reference"/>
    <w:aliases w:val="fr"/>
    <w:uiPriority w:val="99"/>
    <w:rsid w:val="004862B3"/>
    <w:rPr>
      <w:rFonts w:ascii="Times New Roman" w:hAnsi="Times New Roman" w:cs="Courier New"/>
      <w:sz w:val="24"/>
      <w:szCs w:val="24"/>
      <w:vertAlign w:val="superscript"/>
    </w:rPr>
  </w:style>
  <w:style w:type="character" w:customStyle="1" w:styleId="FootnoteTextChar">
    <w:name w:val="Footnote Text Char"/>
    <w:aliases w:val="ft Char,fo Char"/>
    <w:basedOn w:val="DefaultParagraphFont"/>
    <w:link w:val="FootnoteText"/>
    <w:rsid w:val="003B4BED"/>
    <w:rPr>
      <w:rFonts w:cs="Courier New"/>
      <w:szCs w:val="24"/>
      <w:lang w:eastAsia="en-US"/>
    </w:rPr>
  </w:style>
  <w:style w:type="paragraph" w:styleId="ListParagraph">
    <w:name w:val="List Paragraph"/>
    <w:basedOn w:val="Normal"/>
    <w:uiPriority w:val="34"/>
    <w:qFormat/>
    <w:rsid w:val="0089151D"/>
    <w:pPr>
      <w:spacing w:after="200" w:line="276" w:lineRule="auto"/>
      <w:ind w:left="720"/>
    </w:pPr>
    <w:rPr>
      <w:rFonts w:eastAsia="Calibri" w:cs="Arial"/>
      <w:szCs w:val="22"/>
    </w:rPr>
  </w:style>
  <w:style w:type="paragraph" w:styleId="ListNumber2">
    <w:name w:val="List Number 2"/>
    <w:basedOn w:val="Normal"/>
    <w:uiPriority w:val="99"/>
    <w:unhideWhenUsed/>
    <w:rsid w:val="0089151D"/>
    <w:pPr>
      <w:numPr>
        <w:numId w:val="3"/>
      </w:numPr>
      <w:spacing w:after="120"/>
    </w:pPr>
    <w:rPr>
      <w:rFonts w:ascii="Cambria" w:eastAsia="Calibri" w:hAnsi="Cambria" w:cs="Arial"/>
      <w:sz w:val="22"/>
      <w:szCs w:val="22"/>
    </w:rPr>
  </w:style>
  <w:style w:type="paragraph" w:customStyle="1" w:styleId="heading10">
    <w:name w:val="heading1"/>
    <w:basedOn w:val="Normal"/>
    <w:next w:val="Normal"/>
    <w:semiHidden/>
    <w:rsid w:val="00BC378F"/>
    <w:pPr>
      <w:spacing w:before="120" w:after="120"/>
    </w:pPr>
    <w:rPr>
      <w:b/>
      <w:bCs/>
      <w:sz w:val="22"/>
      <w:szCs w:val="22"/>
    </w:rPr>
  </w:style>
  <w:style w:type="paragraph" w:customStyle="1" w:styleId="heading20">
    <w:name w:val="heading2"/>
    <w:basedOn w:val="Heading3"/>
    <w:next w:val="Normal"/>
    <w:semiHidden/>
    <w:rsid w:val="00BC378F"/>
    <w:pPr>
      <w:spacing w:before="120"/>
    </w:pPr>
    <w:rPr>
      <w:rFonts w:cs="Times New Roman"/>
    </w:rPr>
  </w:style>
  <w:style w:type="paragraph" w:styleId="BalloonText">
    <w:name w:val="Balloon Text"/>
    <w:basedOn w:val="Normal"/>
    <w:semiHidden/>
    <w:rsid w:val="00BC378F"/>
    <w:pPr>
      <w:numPr>
        <w:numId w:val="2"/>
      </w:numPr>
      <w:tabs>
        <w:tab w:val="clear" w:pos="720"/>
        <w:tab w:val="num" w:pos="360"/>
      </w:tabs>
      <w:ind w:left="0" w:firstLine="0"/>
    </w:pPr>
    <w:rPr>
      <w:rFonts w:ascii="Tahoma" w:hAnsi="Tahoma" w:cs="Tahoma"/>
      <w:sz w:val="16"/>
      <w:szCs w:val="16"/>
    </w:rPr>
  </w:style>
  <w:style w:type="paragraph" w:customStyle="1" w:styleId="TableText">
    <w:name w:val="Table Text"/>
    <w:basedOn w:val="Normal"/>
    <w:qFormat/>
    <w:rsid w:val="00D543D3"/>
    <w:pPr>
      <w:spacing w:before="40" w:after="40"/>
    </w:pPr>
    <w:rPr>
      <w:sz w:val="22"/>
      <w:szCs w:val="20"/>
    </w:rPr>
  </w:style>
  <w:style w:type="paragraph" w:styleId="Header">
    <w:name w:val="header"/>
    <w:basedOn w:val="Normal"/>
    <w:rsid w:val="00BC378F"/>
    <w:pPr>
      <w:tabs>
        <w:tab w:val="center" w:pos="4320"/>
        <w:tab w:val="right" w:pos="8640"/>
      </w:tabs>
    </w:pPr>
    <w:rPr>
      <w:sz w:val="20"/>
      <w:szCs w:val="20"/>
    </w:rPr>
  </w:style>
  <w:style w:type="paragraph" w:styleId="Footer">
    <w:name w:val="footer"/>
    <w:basedOn w:val="Normal"/>
    <w:rsid w:val="00BC378F"/>
    <w:pPr>
      <w:tabs>
        <w:tab w:val="center" w:pos="4320"/>
        <w:tab w:val="right" w:pos="8640"/>
      </w:tabs>
    </w:pPr>
    <w:rPr>
      <w:sz w:val="20"/>
      <w:szCs w:val="20"/>
    </w:rPr>
  </w:style>
  <w:style w:type="character" w:styleId="PageNumber">
    <w:name w:val="page number"/>
    <w:rsid w:val="00BC378F"/>
    <w:rPr>
      <w:rFonts w:ascii="Times New Roman" w:hAnsi="Times New Roman"/>
      <w:sz w:val="24"/>
    </w:rPr>
  </w:style>
  <w:style w:type="paragraph" w:customStyle="1" w:styleId="R-Pubs-Pres">
    <w:name w:val="R-Pubs-Pres"/>
    <w:basedOn w:val="Normal"/>
    <w:rsid w:val="0089151D"/>
    <w:pPr>
      <w:keepLines/>
      <w:spacing w:after="220"/>
      <w:ind w:left="446" w:hanging="446"/>
    </w:pPr>
    <w:rPr>
      <w:sz w:val="22"/>
      <w:szCs w:val="20"/>
    </w:rPr>
  </w:style>
  <w:style w:type="paragraph" w:styleId="CommentSubject">
    <w:name w:val="annotation subject"/>
    <w:basedOn w:val="CommentText"/>
    <w:next w:val="CommentText"/>
    <w:link w:val="CommentSubjectChar"/>
    <w:rsid w:val="0089151D"/>
    <w:pPr>
      <w:widowControl/>
      <w:autoSpaceDE/>
      <w:autoSpaceDN/>
      <w:adjustRightInd/>
    </w:pPr>
    <w:rPr>
      <w:b/>
      <w:bCs/>
    </w:rPr>
  </w:style>
  <w:style w:type="character" w:customStyle="1" w:styleId="CommentSubjectChar">
    <w:name w:val="Comment Subject Char"/>
    <w:basedOn w:val="CommentTextChar"/>
    <w:link w:val="CommentSubject"/>
    <w:rsid w:val="0089151D"/>
    <w:rPr>
      <w:b/>
      <w:bCs/>
      <w:lang w:eastAsia="en-US"/>
    </w:rPr>
  </w:style>
  <w:style w:type="paragraph" w:customStyle="1" w:styleId="TableHeaders">
    <w:name w:val="Table Headers"/>
    <w:basedOn w:val="Normal"/>
    <w:qFormat/>
    <w:rsid w:val="00D543D3"/>
    <w:pPr>
      <w:keepNext/>
      <w:spacing w:before="80" w:after="80"/>
      <w:jc w:val="center"/>
    </w:pPr>
    <w:rPr>
      <w:b/>
      <w:sz w:val="22"/>
    </w:rPr>
  </w:style>
  <w:style w:type="paragraph" w:styleId="EndnoteText">
    <w:name w:val="endnote text"/>
    <w:basedOn w:val="Normal"/>
    <w:semiHidden/>
    <w:rsid w:val="00BC378F"/>
    <w:rPr>
      <w:sz w:val="20"/>
      <w:szCs w:val="20"/>
    </w:rPr>
  </w:style>
  <w:style w:type="character" w:styleId="EndnoteReference">
    <w:name w:val="endnote reference"/>
    <w:semiHidden/>
    <w:rsid w:val="00BC378F"/>
    <w:rPr>
      <w:vertAlign w:val="superscript"/>
    </w:rPr>
  </w:style>
  <w:style w:type="paragraph" w:styleId="Title">
    <w:name w:val="Title"/>
    <w:basedOn w:val="Normal"/>
    <w:qFormat/>
    <w:rsid w:val="00BC378F"/>
    <w:pPr>
      <w:ind w:left="-270"/>
      <w:jc w:val="center"/>
    </w:pPr>
    <w:rPr>
      <w:b/>
      <w:bCs/>
    </w:rPr>
  </w:style>
  <w:style w:type="paragraph" w:customStyle="1" w:styleId="TableBulletLM">
    <w:name w:val="Table Bullet LM"/>
    <w:basedOn w:val="Normal"/>
    <w:qFormat/>
    <w:rsid w:val="00D543D3"/>
    <w:pPr>
      <w:widowControl w:val="0"/>
      <w:numPr>
        <w:numId w:val="7"/>
      </w:numPr>
      <w:autoSpaceDE w:val="0"/>
      <w:autoSpaceDN w:val="0"/>
      <w:adjustRightInd w:val="0"/>
      <w:ind w:left="360"/>
    </w:pPr>
    <w:rPr>
      <w:sz w:val="22"/>
      <w:szCs w:val="22"/>
    </w:rPr>
  </w:style>
  <w:style w:type="paragraph" w:customStyle="1" w:styleId="Level1">
    <w:name w:val="Level 1"/>
    <w:basedOn w:val="Normal"/>
    <w:rsid w:val="00BC378F"/>
    <w:pPr>
      <w:widowControl w:val="0"/>
      <w:autoSpaceDE w:val="0"/>
      <w:autoSpaceDN w:val="0"/>
      <w:adjustRightInd w:val="0"/>
      <w:ind w:left="720" w:hanging="720"/>
    </w:pPr>
  </w:style>
  <w:style w:type="character" w:styleId="Hyperlink">
    <w:name w:val="Hyperlink"/>
    <w:uiPriority w:val="99"/>
    <w:rsid w:val="00BC378F"/>
    <w:rPr>
      <w:color w:val="0000FF"/>
      <w:u w:val="single"/>
    </w:rPr>
  </w:style>
  <w:style w:type="paragraph" w:customStyle="1" w:styleId="Source">
    <w:name w:val="Source"/>
    <w:basedOn w:val="Normal"/>
    <w:rsid w:val="00D543D3"/>
    <w:pPr>
      <w:spacing w:before="120" w:after="240"/>
    </w:pPr>
    <w:rPr>
      <w:bCs/>
      <w:sz w:val="22"/>
      <w:szCs w:val="22"/>
    </w:rPr>
  </w:style>
  <w:style w:type="paragraph" w:customStyle="1" w:styleId="bullets-blank">
    <w:name w:val="bullets-blank"/>
    <w:basedOn w:val="Normal"/>
    <w:rsid w:val="00D543D3"/>
    <w:pPr>
      <w:spacing w:after="240"/>
      <w:ind w:left="1080" w:hanging="360"/>
    </w:pPr>
    <w:rPr>
      <w:szCs w:val="20"/>
    </w:rPr>
  </w:style>
  <w:style w:type="paragraph" w:customStyle="1" w:styleId="bullets-3rdlevel">
    <w:name w:val="bullets-3rd level"/>
    <w:rsid w:val="00D543D3"/>
    <w:pPr>
      <w:numPr>
        <w:numId w:val="19"/>
      </w:numPr>
      <w:tabs>
        <w:tab w:val="clear" w:pos="2160"/>
      </w:tabs>
      <w:spacing w:after="120"/>
      <w:ind w:left="1800"/>
    </w:pPr>
    <w:rPr>
      <w:sz w:val="24"/>
      <w:lang w:eastAsia="en-US"/>
    </w:rPr>
  </w:style>
  <w:style w:type="paragraph" w:styleId="E-mailSignature">
    <w:name w:val="E-mail Signature"/>
    <w:basedOn w:val="Normal"/>
    <w:rsid w:val="00BC378F"/>
  </w:style>
  <w:style w:type="paragraph" w:styleId="NormalWeb">
    <w:name w:val="Normal (Web)"/>
    <w:basedOn w:val="Normal"/>
    <w:rsid w:val="00BC378F"/>
    <w:pPr>
      <w:spacing w:before="100" w:beforeAutospacing="1" w:after="100" w:afterAutospacing="1"/>
    </w:pPr>
    <w:rPr>
      <w:rFonts w:ascii="Arial" w:hAnsi="Arial" w:cs="Arial"/>
      <w:color w:val="000000"/>
    </w:rPr>
  </w:style>
  <w:style w:type="character" w:styleId="Strong">
    <w:name w:val="Strong"/>
    <w:uiPriority w:val="22"/>
    <w:qFormat/>
    <w:rsid w:val="00BC378F"/>
    <w:rPr>
      <w:b/>
      <w:bCs/>
    </w:rPr>
  </w:style>
  <w:style w:type="character" w:styleId="Emphasis">
    <w:name w:val="Emphasis"/>
    <w:uiPriority w:val="20"/>
    <w:qFormat/>
    <w:rsid w:val="00BC378F"/>
    <w:rPr>
      <w:i/>
      <w:iCs/>
    </w:rPr>
  </w:style>
  <w:style w:type="paragraph" w:styleId="HTMLPreformatted">
    <w:name w:val="HTML Preformatted"/>
    <w:basedOn w:val="Normal"/>
    <w:semiHidden/>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BC378F"/>
    <w:pPr>
      <w:tabs>
        <w:tab w:val="right" w:leader="dot" w:pos="9350"/>
      </w:tabs>
      <w:spacing w:before="240" w:after="120"/>
      <w:ind w:left="720" w:hanging="360"/>
    </w:pPr>
    <w:rPr>
      <w:noProof/>
    </w:rPr>
  </w:style>
  <w:style w:type="paragraph" w:customStyle="1" w:styleId="BodyText1">
    <w:name w:val="Body Text1"/>
    <w:basedOn w:val="Normal"/>
    <w:link w:val="bodytextChar"/>
    <w:rsid w:val="00FE05DD"/>
    <w:pPr>
      <w:spacing w:after="240" w:line="276" w:lineRule="auto"/>
      <w:ind w:firstLine="720"/>
    </w:pPr>
    <w:rPr>
      <w:szCs w:val="20"/>
    </w:rPr>
  </w:style>
  <w:style w:type="paragraph" w:styleId="TOC2">
    <w:name w:val="toc 2"/>
    <w:basedOn w:val="Normal"/>
    <w:next w:val="Normal"/>
    <w:autoRedefine/>
    <w:uiPriority w:val="39"/>
    <w:rsid w:val="00BC378F"/>
    <w:pPr>
      <w:tabs>
        <w:tab w:val="right" w:leader="dot" w:pos="9350"/>
      </w:tabs>
      <w:spacing w:before="120" w:after="120"/>
      <w:ind w:left="1350" w:hanging="630"/>
    </w:pPr>
    <w:rPr>
      <w:noProof/>
    </w:rPr>
  </w:style>
  <w:style w:type="character" w:customStyle="1" w:styleId="TomMitchell">
    <w:name w:val="Tom Mitchell"/>
    <w:semiHidden/>
    <w:rsid w:val="00BC378F"/>
    <w:rPr>
      <w:rFonts w:ascii="Arial" w:hAnsi="Arial" w:cs="Arial"/>
      <w:color w:val="000080"/>
      <w:sz w:val="20"/>
      <w:szCs w:val="20"/>
    </w:rPr>
  </w:style>
  <w:style w:type="paragraph" w:customStyle="1" w:styleId="Cov-Date">
    <w:name w:val="Cov-Date"/>
    <w:basedOn w:val="Normal"/>
    <w:rsid w:val="00495ADF"/>
    <w:pPr>
      <w:jc w:val="right"/>
    </w:pPr>
    <w:rPr>
      <w:rFonts w:ascii="Arial" w:hAnsi="Arial"/>
      <w:b/>
      <w:sz w:val="28"/>
      <w:szCs w:val="20"/>
    </w:rPr>
  </w:style>
  <w:style w:type="paragraph" w:customStyle="1" w:styleId="Cov-Title">
    <w:name w:val="Cov-Title"/>
    <w:basedOn w:val="Normal"/>
    <w:rsid w:val="00495ADF"/>
    <w:pPr>
      <w:jc w:val="right"/>
    </w:pPr>
    <w:rPr>
      <w:rFonts w:ascii="Arial Black" w:hAnsi="Arial Black"/>
      <w:sz w:val="48"/>
      <w:szCs w:val="20"/>
    </w:rPr>
  </w:style>
  <w:style w:type="paragraph" w:customStyle="1" w:styleId="Cov-Author">
    <w:name w:val="Cov-Author"/>
    <w:basedOn w:val="Normal"/>
    <w:rsid w:val="00495ADF"/>
    <w:pPr>
      <w:jc w:val="right"/>
    </w:pPr>
    <w:rPr>
      <w:rFonts w:ascii="Arial Black" w:hAnsi="Arial Black"/>
      <w:szCs w:val="20"/>
    </w:rPr>
  </w:style>
  <w:style w:type="paragraph" w:customStyle="1" w:styleId="Cov-Address">
    <w:name w:val="Cov-Address"/>
    <w:basedOn w:val="Normal"/>
    <w:rsid w:val="00495ADF"/>
    <w:pPr>
      <w:jc w:val="right"/>
    </w:pPr>
    <w:rPr>
      <w:rFonts w:ascii="Arial" w:hAnsi="Arial"/>
      <w:szCs w:val="20"/>
    </w:rPr>
  </w:style>
  <w:style w:type="paragraph" w:styleId="DocumentMap">
    <w:name w:val="Document Map"/>
    <w:basedOn w:val="Normal"/>
    <w:semiHidden/>
    <w:rsid w:val="00495ADF"/>
    <w:pPr>
      <w:shd w:val="clear" w:color="auto" w:fill="000080"/>
    </w:pPr>
    <w:rPr>
      <w:rFonts w:ascii="Tahoma" w:hAnsi="Tahoma" w:cs="Tahoma"/>
    </w:rPr>
  </w:style>
  <w:style w:type="character" w:customStyle="1" w:styleId="Heading4Char">
    <w:name w:val="Heading 4 Char"/>
    <w:aliases w:val="l4 Char Char,l4 Char1"/>
    <w:semiHidden/>
    <w:rsid w:val="00495ADF"/>
    <w:rPr>
      <w:i/>
      <w:noProof w:val="0"/>
      <w:sz w:val="24"/>
      <w:lang w:val="en-US" w:eastAsia="en-US" w:bidi="ar-SA"/>
    </w:rPr>
  </w:style>
  <w:style w:type="paragraph" w:styleId="TOC4">
    <w:name w:val="toc 4"/>
    <w:basedOn w:val="Normal"/>
    <w:next w:val="Normal"/>
    <w:rsid w:val="00495ADF"/>
    <w:pPr>
      <w:tabs>
        <w:tab w:val="right" w:leader="dot" w:pos="9360"/>
      </w:tabs>
      <w:spacing w:before="60"/>
      <w:ind w:left="3240" w:hanging="720"/>
    </w:pPr>
    <w:rPr>
      <w:szCs w:val="20"/>
    </w:rPr>
  </w:style>
  <w:style w:type="paragraph" w:styleId="TOC3">
    <w:name w:val="toc 3"/>
    <w:basedOn w:val="Normal"/>
    <w:next w:val="Normal"/>
    <w:uiPriority w:val="39"/>
    <w:rsid w:val="006E2440"/>
    <w:pPr>
      <w:tabs>
        <w:tab w:val="right" w:leader="dot" w:pos="9360"/>
      </w:tabs>
      <w:spacing w:before="80" w:after="40"/>
      <w:ind w:left="2340" w:right="720" w:hanging="900"/>
    </w:pPr>
    <w:rPr>
      <w:noProof/>
      <w:szCs w:val="20"/>
    </w:rPr>
  </w:style>
  <w:style w:type="paragraph" w:customStyle="1" w:styleId="Question">
    <w:name w:val="Question"/>
    <w:basedOn w:val="Normal"/>
    <w:semiHidden/>
    <w:rsid w:val="00495ADF"/>
    <w:pPr>
      <w:keepNext/>
      <w:keepLines/>
      <w:spacing w:before="160" w:after="60"/>
      <w:ind w:left="900" w:hanging="547"/>
    </w:pPr>
    <w:rPr>
      <w:rFonts w:ascii="Optima" w:hAnsi="Optima"/>
      <w:sz w:val="22"/>
      <w:szCs w:val="20"/>
    </w:rPr>
  </w:style>
  <w:style w:type="character" w:customStyle="1" w:styleId="Heading7Char">
    <w:name w:val="Heading 7 Char"/>
    <w:semiHidden/>
    <w:rsid w:val="00495ADF"/>
    <w:rPr>
      <w:b/>
      <w:noProof w:val="0"/>
      <w:snapToGrid w:val="0"/>
      <w:sz w:val="24"/>
      <w:u w:val="single"/>
      <w:lang w:val="en-US" w:eastAsia="en-US" w:bidi="ar-SA"/>
    </w:rPr>
  </w:style>
  <w:style w:type="paragraph" w:styleId="TOC5">
    <w:name w:val="toc 5"/>
    <w:basedOn w:val="Normal"/>
    <w:next w:val="Normal"/>
    <w:uiPriority w:val="39"/>
    <w:rsid w:val="00495ADF"/>
    <w:pPr>
      <w:tabs>
        <w:tab w:val="right" w:leader="dot" w:pos="9360"/>
      </w:tabs>
      <w:spacing w:before="40" w:after="40"/>
      <w:ind w:left="1080" w:right="720" w:hanging="1080"/>
    </w:pPr>
    <w:rPr>
      <w:noProof/>
      <w:szCs w:val="20"/>
    </w:rPr>
  </w:style>
  <w:style w:type="paragraph" w:styleId="Index2">
    <w:name w:val="index 2"/>
    <w:basedOn w:val="Normal"/>
    <w:next w:val="Normal"/>
    <w:semiHidden/>
    <w:rsid w:val="00495ADF"/>
    <w:pPr>
      <w:ind w:left="360"/>
    </w:pPr>
    <w:rPr>
      <w:szCs w:val="20"/>
    </w:rPr>
  </w:style>
  <w:style w:type="paragraph" w:styleId="Index1">
    <w:name w:val="index 1"/>
    <w:basedOn w:val="Normal"/>
    <w:next w:val="Normal"/>
    <w:semiHidden/>
    <w:rsid w:val="00495ADF"/>
    <w:rPr>
      <w:szCs w:val="20"/>
    </w:rPr>
  </w:style>
  <w:style w:type="character" w:styleId="LineNumber">
    <w:name w:val="line number"/>
    <w:basedOn w:val="DefaultParagraphFont"/>
    <w:semiHidden/>
    <w:rsid w:val="00495ADF"/>
  </w:style>
  <w:style w:type="paragraph" w:customStyle="1" w:styleId="equation">
    <w:name w:val="equation"/>
    <w:rsid w:val="00495ADF"/>
    <w:pPr>
      <w:tabs>
        <w:tab w:val="center" w:pos="4680"/>
        <w:tab w:val="right" w:pos="9360"/>
      </w:tabs>
      <w:spacing w:after="240" w:line="480" w:lineRule="atLeast"/>
      <w:ind w:firstLine="720"/>
    </w:pPr>
    <w:rPr>
      <w:sz w:val="24"/>
      <w:lang w:eastAsia="en-US"/>
    </w:rPr>
  </w:style>
  <w:style w:type="paragraph" w:customStyle="1" w:styleId="TOC0">
    <w:name w:val="TOC 0"/>
    <w:basedOn w:val="Normal"/>
    <w:rsid w:val="00F72F56"/>
    <w:pPr>
      <w:spacing w:after="240"/>
      <w:jc w:val="center"/>
    </w:pPr>
    <w:rPr>
      <w:b/>
      <w:caps/>
      <w:sz w:val="28"/>
      <w:szCs w:val="20"/>
    </w:rPr>
  </w:style>
  <w:style w:type="paragraph" w:customStyle="1" w:styleId="toc-tabfig">
    <w:name w:val="toc-tab/fig"/>
    <w:basedOn w:val="Normal"/>
    <w:semiHidden/>
    <w:rsid w:val="00495ADF"/>
    <w:pPr>
      <w:tabs>
        <w:tab w:val="right" w:leader="dot" w:pos="9360"/>
      </w:tabs>
      <w:spacing w:before="240" w:after="80"/>
      <w:ind w:left="900" w:hanging="540"/>
    </w:pPr>
    <w:rPr>
      <w:szCs w:val="20"/>
    </w:rPr>
  </w:style>
  <w:style w:type="paragraph" w:customStyle="1" w:styleId="TOCHeader">
    <w:name w:val="TOC Header"/>
    <w:basedOn w:val="Normal"/>
    <w:rsid w:val="00495ADF"/>
    <w:pPr>
      <w:tabs>
        <w:tab w:val="right" w:pos="9360"/>
      </w:tabs>
      <w:spacing w:after="240"/>
    </w:pPr>
    <w:rPr>
      <w:szCs w:val="20"/>
      <w:u w:val="words"/>
    </w:rPr>
  </w:style>
  <w:style w:type="paragraph" w:customStyle="1" w:styleId="bullets-2ndlevel">
    <w:name w:val="bullets-2nd level"/>
    <w:basedOn w:val="Normal"/>
    <w:rsid w:val="00D543D3"/>
    <w:pPr>
      <w:numPr>
        <w:numId w:val="20"/>
      </w:numPr>
      <w:tabs>
        <w:tab w:val="clear" w:pos="1800"/>
      </w:tabs>
      <w:spacing w:after="120"/>
      <w:ind w:left="1440"/>
    </w:pPr>
    <w:rPr>
      <w:szCs w:val="20"/>
    </w:rPr>
  </w:style>
  <w:style w:type="paragraph" w:customStyle="1" w:styleId="biblio">
    <w:name w:val="biblio"/>
    <w:basedOn w:val="Normal"/>
    <w:rsid w:val="00495ADF"/>
    <w:pPr>
      <w:keepLines/>
      <w:spacing w:after="240"/>
      <w:ind w:left="720" w:hanging="720"/>
    </w:pPr>
    <w:rPr>
      <w:szCs w:val="20"/>
    </w:rPr>
  </w:style>
  <w:style w:type="paragraph" w:customStyle="1" w:styleId="NumberBullets">
    <w:name w:val="Number Bullets"/>
    <w:basedOn w:val="Normal"/>
    <w:semiHidden/>
    <w:rsid w:val="00495ADF"/>
    <w:pPr>
      <w:numPr>
        <w:numId w:val="1"/>
      </w:numPr>
      <w:tabs>
        <w:tab w:val="left" w:pos="720"/>
      </w:tabs>
    </w:pPr>
    <w:rPr>
      <w:szCs w:val="20"/>
    </w:rPr>
  </w:style>
  <w:style w:type="paragraph" w:styleId="List3">
    <w:name w:val="List 3"/>
    <w:basedOn w:val="Normal"/>
    <w:semiHidden/>
    <w:rsid w:val="00495ADF"/>
    <w:pPr>
      <w:ind w:left="1915" w:hanging="360"/>
    </w:pPr>
    <w:rPr>
      <w:rFonts w:ascii="Arial" w:hAnsi="Arial"/>
      <w:spacing w:val="-5"/>
      <w:sz w:val="20"/>
      <w:szCs w:val="20"/>
    </w:rPr>
  </w:style>
  <w:style w:type="paragraph" w:customStyle="1" w:styleId="FigureTitle">
    <w:name w:val="Figure Title"/>
    <w:basedOn w:val="Normal"/>
    <w:rsid w:val="00736695"/>
    <w:pPr>
      <w:keepNext/>
      <w:keepLines/>
      <w:spacing w:before="240" w:after="240"/>
    </w:pPr>
    <w:rPr>
      <w:b/>
      <w:szCs w:val="20"/>
    </w:rPr>
  </w:style>
  <w:style w:type="character" w:styleId="FollowedHyperlink">
    <w:name w:val="FollowedHyperlink"/>
    <w:basedOn w:val="DefaultParagraphFont"/>
    <w:rsid w:val="001811C2"/>
    <w:rPr>
      <w:color w:val="800080" w:themeColor="followedHyperlink"/>
      <w:u w:val="single"/>
    </w:rPr>
  </w:style>
  <w:style w:type="character" w:customStyle="1" w:styleId="baec5a81-e4d6-4674-97f3-e9220f0136c1">
    <w:name w:val="baec5a81-e4d6-4674-97f3-e9220f0136c1"/>
    <w:basedOn w:val="DefaultParagraphFont"/>
    <w:rsid w:val="006421AB"/>
  </w:style>
  <w:style w:type="paragraph" w:customStyle="1" w:styleId="Default">
    <w:name w:val="Default"/>
    <w:rsid w:val="00E61464"/>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annotation text" w:uiPriority="99"/>
    <w:lsdException w:name="caption" w:semiHidden="1" w:unhideWhenUsed="1" w:qFormat="1"/>
    <w:lsdException w:name="footnote reference" w:uiPriority="99"/>
    <w:lsdException w:name="annotation reference" w:uiPriority="99"/>
    <w:lsdException w:name="List Number 2" w:uiPriority="99"/>
    <w:lsdException w:name="Title" w:qFormat="1"/>
    <w:lsdException w:name="Subtitle" w:qFormat="1"/>
    <w:lsdException w:name="Body Text 3" w:uiPriority="99"/>
    <w:lsdException w:name="Hyperlink" w:uiPriority="99"/>
    <w:lsdException w:name="Strong" w:uiPriority="22"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43D3"/>
    <w:rPr>
      <w:sz w:val="24"/>
      <w:szCs w:val="24"/>
      <w:lang w:eastAsia="en-US"/>
    </w:rPr>
  </w:style>
  <w:style w:type="paragraph" w:styleId="Heading1">
    <w:name w:val="heading 1"/>
    <w:basedOn w:val="Normal"/>
    <w:next w:val="Normal"/>
    <w:qFormat/>
    <w:rsid w:val="00BC378F"/>
    <w:pPr>
      <w:keepNext/>
      <w:spacing w:before="120" w:after="120"/>
      <w:outlineLvl w:val="0"/>
    </w:pPr>
    <w:rPr>
      <w:rFonts w:ascii="Times New Roman Bold" w:hAnsi="Times New Roman Bold"/>
      <w:b/>
      <w:bCs/>
      <w:caps/>
    </w:rPr>
  </w:style>
  <w:style w:type="paragraph" w:styleId="Heading2">
    <w:name w:val="heading 2"/>
    <w:basedOn w:val="Normal"/>
    <w:next w:val="Normal"/>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qFormat/>
    <w:rsid w:val="003B4BED"/>
    <w:pPr>
      <w:keepNext/>
      <w:keepLines/>
      <w:spacing w:before="240" w:after="120"/>
      <w:ind w:left="-86"/>
      <w:outlineLvl w:val="3"/>
    </w:pPr>
    <w:rPr>
      <w:rFonts w:cs="Arial"/>
      <w:bCs/>
      <w:i/>
      <w:szCs w:val="22"/>
    </w:rPr>
  </w:style>
  <w:style w:type="paragraph" w:styleId="Heading5">
    <w:name w:val="heading 5"/>
    <w:basedOn w:val="Normal"/>
    <w:next w:val="Normal"/>
    <w:semiHidden/>
    <w:qFormat/>
    <w:rsid w:val="00BC378F"/>
    <w:pPr>
      <w:keepNext/>
      <w:widowControl w:val="0"/>
      <w:outlineLvl w:val="4"/>
    </w:pPr>
    <w:rPr>
      <w:rFonts w:ascii="Arial" w:hAnsi="Arial" w:cs="Arial"/>
      <w:b/>
      <w:bCs/>
      <w:sz w:val="20"/>
      <w:szCs w:val="20"/>
      <w:u w:val="single"/>
    </w:rPr>
  </w:style>
  <w:style w:type="paragraph" w:styleId="Heading6">
    <w:name w:val="heading 6"/>
    <w:basedOn w:val="Normal"/>
    <w:next w:val="Normal"/>
    <w:semiHidden/>
    <w:qFormat/>
    <w:rsid w:val="00BC378F"/>
    <w:pPr>
      <w:keepNext/>
      <w:jc w:val="center"/>
      <w:outlineLvl w:val="5"/>
    </w:pPr>
    <w:rPr>
      <w:rFonts w:ascii="Arial" w:hAnsi="Arial" w:cs="Arial"/>
      <w:b/>
      <w:bCs/>
    </w:rPr>
  </w:style>
  <w:style w:type="paragraph" w:styleId="Heading7">
    <w:name w:val="heading 7"/>
    <w:basedOn w:val="Normal"/>
    <w:next w:val="Normal"/>
    <w:semiHidden/>
    <w:qFormat/>
    <w:rsid w:val="00BC378F"/>
    <w:pPr>
      <w:keepNext/>
      <w:jc w:val="center"/>
      <w:outlineLvl w:val="6"/>
    </w:pPr>
    <w:rPr>
      <w:rFonts w:ascii="Arial" w:hAnsi="Arial" w:cs="Arial"/>
      <w:b/>
      <w:bCs/>
      <w:sz w:val="16"/>
      <w:szCs w:val="16"/>
    </w:rPr>
  </w:style>
  <w:style w:type="paragraph" w:styleId="Heading8">
    <w:name w:val="heading 8"/>
    <w:basedOn w:val="Normal"/>
    <w:next w:val="Normal"/>
    <w:semiHidden/>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semiHidden/>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D543D3"/>
    <w:pPr>
      <w:numPr>
        <w:numId w:val="21"/>
      </w:numPr>
      <w:spacing w:after="240"/>
    </w:pPr>
    <w:rPr>
      <w:color w:val="000000"/>
    </w:rPr>
  </w:style>
  <w:style w:type="paragraph" w:customStyle="1" w:styleId="exhibitsource">
    <w:name w:val="exhibit source"/>
    <w:basedOn w:val="Normal"/>
    <w:rsid w:val="00F66166"/>
    <w:pPr>
      <w:spacing w:after="120"/>
    </w:pPr>
    <w:rPr>
      <w:sz w:val="20"/>
      <w:szCs w:val="22"/>
    </w:rPr>
  </w:style>
  <w:style w:type="numbering" w:customStyle="1" w:styleId="NoList1">
    <w:name w:val="No List1"/>
    <w:next w:val="NoList"/>
    <w:semiHidden/>
    <w:rsid w:val="00BC378F"/>
  </w:style>
  <w:style w:type="table" w:styleId="TableGrid">
    <w:name w:val="Table Grid"/>
    <w:basedOn w:val="TableNormal"/>
    <w:uiPriority w:val="59"/>
    <w:rsid w:val="006E24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eTitleContinued">
    <w:name w:val="Figure Title Continued"/>
    <w:basedOn w:val="FigureTitle"/>
    <w:qFormat/>
    <w:rsid w:val="00775802"/>
  </w:style>
  <w:style w:type="character" w:styleId="CommentReference">
    <w:name w:val="annotation reference"/>
    <w:uiPriority w:val="99"/>
    <w:rsid w:val="0089151D"/>
    <w:rPr>
      <w:sz w:val="16"/>
      <w:szCs w:val="16"/>
    </w:rPr>
  </w:style>
  <w:style w:type="paragraph" w:styleId="CommentText">
    <w:name w:val="annotation text"/>
    <w:basedOn w:val="Normal"/>
    <w:link w:val="CommentTextChar"/>
    <w:uiPriority w:val="99"/>
    <w:rsid w:val="0089151D"/>
    <w:pPr>
      <w:widowControl w:val="0"/>
      <w:autoSpaceDE w:val="0"/>
      <w:autoSpaceDN w:val="0"/>
      <w:adjustRightInd w:val="0"/>
    </w:pPr>
    <w:rPr>
      <w:sz w:val="20"/>
      <w:szCs w:val="20"/>
    </w:rPr>
  </w:style>
  <w:style w:type="character" w:customStyle="1" w:styleId="CommentTextChar">
    <w:name w:val="Comment Text Char"/>
    <w:basedOn w:val="DefaultParagraphFont"/>
    <w:link w:val="CommentText"/>
    <w:uiPriority w:val="99"/>
    <w:rsid w:val="0089151D"/>
    <w:rPr>
      <w:lang w:eastAsia="en-US"/>
    </w:rPr>
  </w:style>
  <w:style w:type="paragraph" w:customStyle="1" w:styleId="paragraph">
    <w:name w:val="paragraph"/>
    <w:basedOn w:val="Normal"/>
    <w:rsid w:val="00BC378F"/>
    <w:pPr>
      <w:spacing w:before="200" w:line="320" w:lineRule="exact"/>
      <w:ind w:left="1440"/>
    </w:pPr>
  </w:style>
  <w:style w:type="character" w:customStyle="1" w:styleId="bodytextChar">
    <w:name w:val="body text Char"/>
    <w:link w:val="BodyText1"/>
    <w:rsid w:val="00FE05DD"/>
    <w:rPr>
      <w:sz w:val="24"/>
      <w:lang w:eastAsia="en-US"/>
    </w:rPr>
  </w:style>
  <w:style w:type="paragraph" w:styleId="FootnoteText">
    <w:name w:val="footnote text"/>
    <w:aliases w:val="ft,fo"/>
    <w:basedOn w:val="Normal"/>
    <w:link w:val="FootnoteTextChar"/>
    <w:rsid w:val="003B4BED"/>
    <w:pPr>
      <w:widowControl w:val="0"/>
    </w:pPr>
    <w:rPr>
      <w:rFonts w:cs="Courier New"/>
      <w:sz w:val="20"/>
    </w:rPr>
  </w:style>
  <w:style w:type="character" w:styleId="FootnoteReference">
    <w:name w:val="footnote reference"/>
    <w:aliases w:val="fr"/>
    <w:uiPriority w:val="99"/>
    <w:rsid w:val="004862B3"/>
    <w:rPr>
      <w:rFonts w:ascii="Times New Roman" w:hAnsi="Times New Roman" w:cs="Courier New"/>
      <w:sz w:val="24"/>
      <w:szCs w:val="24"/>
      <w:vertAlign w:val="superscript"/>
    </w:rPr>
  </w:style>
  <w:style w:type="character" w:customStyle="1" w:styleId="FootnoteTextChar">
    <w:name w:val="Footnote Text Char"/>
    <w:aliases w:val="ft Char,fo Char"/>
    <w:basedOn w:val="DefaultParagraphFont"/>
    <w:link w:val="FootnoteText"/>
    <w:rsid w:val="003B4BED"/>
    <w:rPr>
      <w:rFonts w:cs="Courier New"/>
      <w:szCs w:val="24"/>
      <w:lang w:eastAsia="en-US"/>
    </w:rPr>
  </w:style>
  <w:style w:type="paragraph" w:styleId="ListParagraph">
    <w:name w:val="List Paragraph"/>
    <w:basedOn w:val="Normal"/>
    <w:uiPriority w:val="34"/>
    <w:qFormat/>
    <w:rsid w:val="0089151D"/>
    <w:pPr>
      <w:spacing w:after="200" w:line="276" w:lineRule="auto"/>
      <w:ind w:left="720"/>
    </w:pPr>
    <w:rPr>
      <w:rFonts w:eastAsia="Calibri" w:cs="Arial"/>
      <w:szCs w:val="22"/>
    </w:rPr>
  </w:style>
  <w:style w:type="paragraph" w:styleId="ListNumber2">
    <w:name w:val="List Number 2"/>
    <w:basedOn w:val="Normal"/>
    <w:uiPriority w:val="99"/>
    <w:unhideWhenUsed/>
    <w:rsid w:val="0089151D"/>
    <w:pPr>
      <w:numPr>
        <w:numId w:val="3"/>
      </w:numPr>
      <w:spacing w:after="120"/>
    </w:pPr>
    <w:rPr>
      <w:rFonts w:ascii="Cambria" w:eastAsia="Calibri" w:hAnsi="Cambria" w:cs="Arial"/>
      <w:sz w:val="22"/>
      <w:szCs w:val="22"/>
    </w:rPr>
  </w:style>
  <w:style w:type="paragraph" w:customStyle="1" w:styleId="heading10">
    <w:name w:val="heading1"/>
    <w:basedOn w:val="Normal"/>
    <w:next w:val="Normal"/>
    <w:semiHidden/>
    <w:rsid w:val="00BC378F"/>
    <w:pPr>
      <w:spacing w:before="120" w:after="120"/>
    </w:pPr>
    <w:rPr>
      <w:b/>
      <w:bCs/>
      <w:sz w:val="22"/>
      <w:szCs w:val="22"/>
    </w:rPr>
  </w:style>
  <w:style w:type="paragraph" w:customStyle="1" w:styleId="heading20">
    <w:name w:val="heading2"/>
    <w:basedOn w:val="Heading3"/>
    <w:next w:val="Normal"/>
    <w:semiHidden/>
    <w:rsid w:val="00BC378F"/>
    <w:pPr>
      <w:spacing w:before="120"/>
    </w:pPr>
    <w:rPr>
      <w:rFonts w:cs="Times New Roman"/>
    </w:rPr>
  </w:style>
  <w:style w:type="paragraph" w:styleId="BalloonText">
    <w:name w:val="Balloon Text"/>
    <w:basedOn w:val="Normal"/>
    <w:semiHidden/>
    <w:rsid w:val="00BC378F"/>
    <w:pPr>
      <w:numPr>
        <w:numId w:val="2"/>
      </w:numPr>
      <w:tabs>
        <w:tab w:val="clear" w:pos="720"/>
        <w:tab w:val="num" w:pos="360"/>
      </w:tabs>
      <w:ind w:left="0" w:firstLine="0"/>
    </w:pPr>
    <w:rPr>
      <w:rFonts w:ascii="Tahoma" w:hAnsi="Tahoma" w:cs="Tahoma"/>
      <w:sz w:val="16"/>
      <w:szCs w:val="16"/>
    </w:rPr>
  </w:style>
  <w:style w:type="paragraph" w:customStyle="1" w:styleId="TableText">
    <w:name w:val="Table Text"/>
    <w:basedOn w:val="Normal"/>
    <w:qFormat/>
    <w:rsid w:val="00D543D3"/>
    <w:pPr>
      <w:spacing w:before="40" w:after="40"/>
    </w:pPr>
    <w:rPr>
      <w:sz w:val="22"/>
      <w:szCs w:val="20"/>
    </w:rPr>
  </w:style>
  <w:style w:type="paragraph" w:styleId="Header">
    <w:name w:val="header"/>
    <w:basedOn w:val="Normal"/>
    <w:rsid w:val="00BC378F"/>
    <w:pPr>
      <w:tabs>
        <w:tab w:val="center" w:pos="4320"/>
        <w:tab w:val="right" w:pos="8640"/>
      </w:tabs>
    </w:pPr>
    <w:rPr>
      <w:sz w:val="20"/>
      <w:szCs w:val="20"/>
    </w:rPr>
  </w:style>
  <w:style w:type="paragraph" w:styleId="Footer">
    <w:name w:val="footer"/>
    <w:basedOn w:val="Normal"/>
    <w:rsid w:val="00BC378F"/>
    <w:pPr>
      <w:tabs>
        <w:tab w:val="center" w:pos="4320"/>
        <w:tab w:val="right" w:pos="8640"/>
      </w:tabs>
    </w:pPr>
    <w:rPr>
      <w:sz w:val="20"/>
      <w:szCs w:val="20"/>
    </w:rPr>
  </w:style>
  <w:style w:type="character" w:styleId="PageNumber">
    <w:name w:val="page number"/>
    <w:rsid w:val="00BC378F"/>
    <w:rPr>
      <w:rFonts w:ascii="Times New Roman" w:hAnsi="Times New Roman"/>
      <w:sz w:val="24"/>
    </w:rPr>
  </w:style>
  <w:style w:type="paragraph" w:customStyle="1" w:styleId="R-Pubs-Pres">
    <w:name w:val="R-Pubs-Pres"/>
    <w:basedOn w:val="Normal"/>
    <w:rsid w:val="0089151D"/>
    <w:pPr>
      <w:keepLines/>
      <w:spacing w:after="220"/>
      <w:ind w:left="446" w:hanging="446"/>
    </w:pPr>
    <w:rPr>
      <w:sz w:val="22"/>
      <w:szCs w:val="20"/>
    </w:rPr>
  </w:style>
  <w:style w:type="paragraph" w:styleId="CommentSubject">
    <w:name w:val="annotation subject"/>
    <w:basedOn w:val="CommentText"/>
    <w:next w:val="CommentText"/>
    <w:link w:val="CommentSubjectChar"/>
    <w:rsid w:val="0089151D"/>
    <w:pPr>
      <w:widowControl/>
      <w:autoSpaceDE/>
      <w:autoSpaceDN/>
      <w:adjustRightInd/>
    </w:pPr>
    <w:rPr>
      <w:b/>
      <w:bCs/>
    </w:rPr>
  </w:style>
  <w:style w:type="character" w:customStyle="1" w:styleId="CommentSubjectChar">
    <w:name w:val="Comment Subject Char"/>
    <w:basedOn w:val="CommentTextChar"/>
    <w:link w:val="CommentSubject"/>
    <w:rsid w:val="0089151D"/>
    <w:rPr>
      <w:b/>
      <w:bCs/>
      <w:lang w:eastAsia="en-US"/>
    </w:rPr>
  </w:style>
  <w:style w:type="paragraph" w:customStyle="1" w:styleId="TableHeaders">
    <w:name w:val="Table Headers"/>
    <w:basedOn w:val="Normal"/>
    <w:qFormat/>
    <w:rsid w:val="00D543D3"/>
    <w:pPr>
      <w:keepNext/>
      <w:spacing w:before="80" w:after="80"/>
      <w:jc w:val="center"/>
    </w:pPr>
    <w:rPr>
      <w:b/>
      <w:sz w:val="22"/>
    </w:rPr>
  </w:style>
  <w:style w:type="paragraph" w:styleId="EndnoteText">
    <w:name w:val="endnote text"/>
    <w:basedOn w:val="Normal"/>
    <w:semiHidden/>
    <w:rsid w:val="00BC378F"/>
    <w:rPr>
      <w:sz w:val="20"/>
      <w:szCs w:val="20"/>
    </w:rPr>
  </w:style>
  <w:style w:type="character" w:styleId="EndnoteReference">
    <w:name w:val="endnote reference"/>
    <w:semiHidden/>
    <w:rsid w:val="00BC378F"/>
    <w:rPr>
      <w:vertAlign w:val="superscript"/>
    </w:rPr>
  </w:style>
  <w:style w:type="paragraph" w:styleId="Title">
    <w:name w:val="Title"/>
    <w:basedOn w:val="Normal"/>
    <w:qFormat/>
    <w:rsid w:val="00BC378F"/>
    <w:pPr>
      <w:ind w:left="-270"/>
      <w:jc w:val="center"/>
    </w:pPr>
    <w:rPr>
      <w:b/>
      <w:bCs/>
    </w:rPr>
  </w:style>
  <w:style w:type="paragraph" w:customStyle="1" w:styleId="TableBulletLM">
    <w:name w:val="Table Bullet LM"/>
    <w:basedOn w:val="Normal"/>
    <w:qFormat/>
    <w:rsid w:val="00D543D3"/>
    <w:pPr>
      <w:widowControl w:val="0"/>
      <w:numPr>
        <w:numId w:val="7"/>
      </w:numPr>
      <w:autoSpaceDE w:val="0"/>
      <w:autoSpaceDN w:val="0"/>
      <w:adjustRightInd w:val="0"/>
      <w:ind w:left="360"/>
    </w:pPr>
    <w:rPr>
      <w:sz w:val="22"/>
      <w:szCs w:val="22"/>
    </w:rPr>
  </w:style>
  <w:style w:type="paragraph" w:customStyle="1" w:styleId="Level1">
    <w:name w:val="Level 1"/>
    <w:basedOn w:val="Normal"/>
    <w:rsid w:val="00BC378F"/>
    <w:pPr>
      <w:widowControl w:val="0"/>
      <w:autoSpaceDE w:val="0"/>
      <w:autoSpaceDN w:val="0"/>
      <w:adjustRightInd w:val="0"/>
      <w:ind w:left="720" w:hanging="720"/>
    </w:pPr>
  </w:style>
  <w:style w:type="character" w:styleId="Hyperlink">
    <w:name w:val="Hyperlink"/>
    <w:uiPriority w:val="99"/>
    <w:rsid w:val="00BC378F"/>
    <w:rPr>
      <w:color w:val="0000FF"/>
      <w:u w:val="single"/>
    </w:rPr>
  </w:style>
  <w:style w:type="paragraph" w:customStyle="1" w:styleId="Source">
    <w:name w:val="Source"/>
    <w:basedOn w:val="Normal"/>
    <w:rsid w:val="00D543D3"/>
    <w:pPr>
      <w:spacing w:before="120" w:after="240"/>
    </w:pPr>
    <w:rPr>
      <w:bCs/>
      <w:sz w:val="22"/>
      <w:szCs w:val="22"/>
    </w:rPr>
  </w:style>
  <w:style w:type="paragraph" w:customStyle="1" w:styleId="bullets-blank">
    <w:name w:val="bullets-blank"/>
    <w:basedOn w:val="Normal"/>
    <w:rsid w:val="00D543D3"/>
    <w:pPr>
      <w:spacing w:after="240"/>
      <w:ind w:left="1080" w:hanging="360"/>
    </w:pPr>
    <w:rPr>
      <w:szCs w:val="20"/>
    </w:rPr>
  </w:style>
  <w:style w:type="paragraph" w:customStyle="1" w:styleId="bullets-3rdlevel">
    <w:name w:val="bullets-3rd level"/>
    <w:rsid w:val="00D543D3"/>
    <w:pPr>
      <w:numPr>
        <w:numId w:val="19"/>
      </w:numPr>
      <w:tabs>
        <w:tab w:val="clear" w:pos="2160"/>
      </w:tabs>
      <w:spacing w:after="120"/>
      <w:ind w:left="1800"/>
    </w:pPr>
    <w:rPr>
      <w:sz w:val="24"/>
      <w:lang w:eastAsia="en-US"/>
    </w:rPr>
  </w:style>
  <w:style w:type="paragraph" w:styleId="E-mailSignature">
    <w:name w:val="E-mail Signature"/>
    <w:basedOn w:val="Normal"/>
    <w:rsid w:val="00BC378F"/>
  </w:style>
  <w:style w:type="paragraph" w:styleId="NormalWeb">
    <w:name w:val="Normal (Web)"/>
    <w:basedOn w:val="Normal"/>
    <w:rsid w:val="00BC378F"/>
    <w:pPr>
      <w:spacing w:before="100" w:beforeAutospacing="1" w:after="100" w:afterAutospacing="1"/>
    </w:pPr>
    <w:rPr>
      <w:rFonts w:ascii="Arial" w:hAnsi="Arial" w:cs="Arial"/>
      <w:color w:val="000000"/>
    </w:rPr>
  </w:style>
  <w:style w:type="character" w:styleId="Strong">
    <w:name w:val="Strong"/>
    <w:uiPriority w:val="22"/>
    <w:qFormat/>
    <w:rsid w:val="00BC378F"/>
    <w:rPr>
      <w:b/>
      <w:bCs/>
    </w:rPr>
  </w:style>
  <w:style w:type="character" w:styleId="Emphasis">
    <w:name w:val="Emphasis"/>
    <w:uiPriority w:val="20"/>
    <w:qFormat/>
    <w:rsid w:val="00BC378F"/>
    <w:rPr>
      <w:i/>
      <w:iCs/>
    </w:rPr>
  </w:style>
  <w:style w:type="paragraph" w:styleId="HTMLPreformatted">
    <w:name w:val="HTML Preformatted"/>
    <w:basedOn w:val="Normal"/>
    <w:semiHidden/>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BC378F"/>
    <w:pPr>
      <w:tabs>
        <w:tab w:val="right" w:leader="dot" w:pos="9350"/>
      </w:tabs>
      <w:spacing w:before="240" w:after="120"/>
      <w:ind w:left="720" w:hanging="360"/>
    </w:pPr>
    <w:rPr>
      <w:noProof/>
    </w:rPr>
  </w:style>
  <w:style w:type="paragraph" w:customStyle="1" w:styleId="BodyText1">
    <w:name w:val="Body Text1"/>
    <w:basedOn w:val="Normal"/>
    <w:link w:val="bodytextChar"/>
    <w:rsid w:val="00FE05DD"/>
    <w:pPr>
      <w:spacing w:after="240" w:line="276" w:lineRule="auto"/>
      <w:ind w:firstLine="720"/>
    </w:pPr>
    <w:rPr>
      <w:szCs w:val="20"/>
    </w:rPr>
  </w:style>
  <w:style w:type="paragraph" w:styleId="TOC2">
    <w:name w:val="toc 2"/>
    <w:basedOn w:val="Normal"/>
    <w:next w:val="Normal"/>
    <w:autoRedefine/>
    <w:uiPriority w:val="39"/>
    <w:rsid w:val="00BC378F"/>
    <w:pPr>
      <w:tabs>
        <w:tab w:val="right" w:leader="dot" w:pos="9350"/>
      </w:tabs>
      <w:spacing w:before="120" w:after="120"/>
      <w:ind w:left="1350" w:hanging="630"/>
    </w:pPr>
    <w:rPr>
      <w:noProof/>
    </w:rPr>
  </w:style>
  <w:style w:type="character" w:customStyle="1" w:styleId="TomMitchell">
    <w:name w:val="Tom Mitchell"/>
    <w:semiHidden/>
    <w:rsid w:val="00BC378F"/>
    <w:rPr>
      <w:rFonts w:ascii="Arial" w:hAnsi="Arial" w:cs="Arial"/>
      <w:color w:val="000080"/>
      <w:sz w:val="20"/>
      <w:szCs w:val="20"/>
    </w:rPr>
  </w:style>
  <w:style w:type="paragraph" w:customStyle="1" w:styleId="Cov-Date">
    <w:name w:val="Cov-Date"/>
    <w:basedOn w:val="Normal"/>
    <w:rsid w:val="00495ADF"/>
    <w:pPr>
      <w:jc w:val="right"/>
    </w:pPr>
    <w:rPr>
      <w:rFonts w:ascii="Arial" w:hAnsi="Arial"/>
      <w:b/>
      <w:sz w:val="28"/>
      <w:szCs w:val="20"/>
    </w:rPr>
  </w:style>
  <w:style w:type="paragraph" w:customStyle="1" w:styleId="Cov-Title">
    <w:name w:val="Cov-Title"/>
    <w:basedOn w:val="Normal"/>
    <w:rsid w:val="00495ADF"/>
    <w:pPr>
      <w:jc w:val="right"/>
    </w:pPr>
    <w:rPr>
      <w:rFonts w:ascii="Arial Black" w:hAnsi="Arial Black"/>
      <w:sz w:val="48"/>
      <w:szCs w:val="20"/>
    </w:rPr>
  </w:style>
  <w:style w:type="paragraph" w:customStyle="1" w:styleId="Cov-Author">
    <w:name w:val="Cov-Author"/>
    <w:basedOn w:val="Normal"/>
    <w:rsid w:val="00495ADF"/>
    <w:pPr>
      <w:jc w:val="right"/>
    </w:pPr>
    <w:rPr>
      <w:rFonts w:ascii="Arial Black" w:hAnsi="Arial Black"/>
      <w:szCs w:val="20"/>
    </w:rPr>
  </w:style>
  <w:style w:type="paragraph" w:customStyle="1" w:styleId="Cov-Address">
    <w:name w:val="Cov-Address"/>
    <w:basedOn w:val="Normal"/>
    <w:rsid w:val="00495ADF"/>
    <w:pPr>
      <w:jc w:val="right"/>
    </w:pPr>
    <w:rPr>
      <w:rFonts w:ascii="Arial" w:hAnsi="Arial"/>
      <w:szCs w:val="20"/>
    </w:rPr>
  </w:style>
  <w:style w:type="paragraph" w:styleId="DocumentMap">
    <w:name w:val="Document Map"/>
    <w:basedOn w:val="Normal"/>
    <w:semiHidden/>
    <w:rsid w:val="00495ADF"/>
    <w:pPr>
      <w:shd w:val="clear" w:color="auto" w:fill="000080"/>
    </w:pPr>
    <w:rPr>
      <w:rFonts w:ascii="Tahoma" w:hAnsi="Tahoma" w:cs="Tahoma"/>
    </w:rPr>
  </w:style>
  <w:style w:type="character" w:customStyle="1" w:styleId="Heading4Char">
    <w:name w:val="Heading 4 Char"/>
    <w:aliases w:val="l4 Char Char,l4 Char1"/>
    <w:semiHidden/>
    <w:rsid w:val="00495ADF"/>
    <w:rPr>
      <w:i/>
      <w:noProof w:val="0"/>
      <w:sz w:val="24"/>
      <w:lang w:val="en-US" w:eastAsia="en-US" w:bidi="ar-SA"/>
    </w:rPr>
  </w:style>
  <w:style w:type="paragraph" w:styleId="TOC4">
    <w:name w:val="toc 4"/>
    <w:basedOn w:val="Normal"/>
    <w:next w:val="Normal"/>
    <w:rsid w:val="00495ADF"/>
    <w:pPr>
      <w:tabs>
        <w:tab w:val="right" w:leader="dot" w:pos="9360"/>
      </w:tabs>
      <w:spacing w:before="60"/>
      <w:ind w:left="3240" w:hanging="720"/>
    </w:pPr>
    <w:rPr>
      <w:szCs w:val="20"/>
    </w:rPr>
  </w:style>
  <w:style w:type="paragraph" w:styleId="TOC3">
    <w:name w:val="toc 3"/>
    <w:basedOn w:val="Normal"/>
    <w:next w:val="Normal"/>
    <w:uiPriority w:val="39"/>
    <w:rsid w:val="006E2440"/>
    <w:pPr>
      <w:tabs>
        <w:tab w:val="right" w:leader="dot" w:pos="9360"/>
      </w:tabs>
      <w:spacing w:before="80" w:after="40"/>
      <w:ind w:left="2340" w:right="720" w:hanging="900"/>
    </w:pPr>
    <w:rPr>
      <w:noProof/>
      <w:szCs w:val="20"/>
    </w:rPr>
  </w:style>
  <w:style w:type="paragraph" w:customStyle="1" w:styleId="Question">
    <w:name w:val="Question"/>
    <w:basedOn w:val="Normal"/>
    <w:semiHidden/>
    <w:rsid w:val="00495ADF"/>
    <w:pPr>
      <w:keepNext/>
      <w:keepLines/>
      <w:spacing w:before="160" w:after="60"/>
      <w:ind w:left="900" w:hanging="547"/>
    </w:pPr>
    <w:rPr>
      <w:rFonts w:ascii="Optima" w:hAnsi="Optima"/>
      <w:sz w:val="22"/>
      <w:szCs w:val="20"/>
    </w:rPr>
  </w:style>
  <w:style w:type="character" w:customStyle="1" w:styleId="Heading7Char">
    <w:name w:val="Heading 7 Char"/>
    <w:semiHidden/>
    <w:rsid w:val="00495ADF"/>
    <w:rPr>
      <w:b/>
      <w:noProof w:val="0"/>
      <w:snapToGrid w:val="0"/>
      <w:sz w:val="24"/>
      <w:u w:val="single"/>
      <w:lang w:val="en-US" w:eastAsia="en-US" w:bidi="ar-SA"/>
    </w:rPr>
  </w:style>
  <w:style w:type="paragraph" w:styleId="TOC5">
    <w:name w:val="toc 5"/>
    <w:basedOn w:val="Normal"/>
    <w:next w:val="Normal"/>
    <w:uiPriority w:val="39"/>
    <w:rsid w:val="00495ADF"/>
    <w:pPr>
      <w:tabs>
        <w:tab w:val="right" w:leader="dot" w:pos="9360"/>
      </w:tabs>
      <w:spacing w:before="40" w:after="40"/>
      <w:ind w:left="1080" w:right="720" w:hanging="1080"/>
    </w:pPr>
    <w:rPr>
      <w:noProof/>
      <w:szCs w:val="20"/>
    </w:rPr>
  </w:style>
  <w:style w:type="paragraph" w:styleId="Index2">
    <w:name w:val="index 2"/>
    <w:basedOn w:val="Normal"/>
    <w:next w:val="Normal"/>
    <w:semiHidden/>
    <w:rsid w:val="00495ADF"/>
    <w:pPr>
      <w:ind w:left="360"/>
    </w:pPr>
    <w:rPr>
      <w:szCs w:val="20"/>
    </w:rPr>
  </w:style>
  <w:style w:type="paragraph" w:styleId="Index1">
    <w:name w:val="index 1"/>
    <w:basedOn w:val="Normal"/>
    <w:next w:val="Normal"/>
    <w:semiHidden/>
    <w:rsid w:val="00495ADF"/>
    <w:rPr>
      <w:szCs w:val="20"/>
    </w:rPr>
  </w:style>
  <w:style w:type="character" w:styleId="LineNumber">
    <w:name w:val="line number"/>
    <w:basedOn w:val="DefaultParagraphFont"/>
    <w:semiHidden/>
    <w:rsid w:val="00495ADF"/>
  </w:style>
  <w:style w:type="paragraph" w:customStyle="1" w:styleId="equation">
    <w:name w:val="equation"/>
    <w:rsid w:val="00495ADF"/>
    <w:pPr>
      <w:tabs>
        <w:tab w:val="center" w:pos="4680"/>
        <w:tab w:val="right" w:pos="9360"/>
      </w:tabs>
      <w:spacing w:after="240" w:line="480" w:lineRule="atLeast"/>
      <w:ind w:firstLine="720"/>
    </w:pPr>
    <w:rPr>
      <w:sz w:val="24"/>
      <w:lang w:eastAsia="en-US"/>
    </w:rPr>
  </w:style>
  <w:style w:type="paragraph" w:customStyle="1" w:styleId="TOC0">
    <w:name w:val="TOC 0"/>
    <w:basedOn w:val="Normal"/>
    <w:rsid w:val="00F72F56"/>
    <w:pPr>
      <w:spacing w:after="240"/>
      <w:jc w:val="center"/>
    </w:pPr>
    <w:rPr>
      <w:b/>
      <w:caps/>
      <w:sz w:val="28"/>
      <w:szCs w:val="20"/>
    </w:rPr>
  </w:style>
  <w:style w:type="paragraph" w:customStyle="1" w:styleId="toc-tabfig">
    <w:name w:val="toc-tab/fig"/>
    <w:basedOn w:val="Normal"/>
    <w:semiHidden/>
    <w:rsid w:val="00495ADF"/>
    <w:pPr>
      <w:tabs>
        <w:tab w:val="right" w:leader="dot" w:pos="9360"/>
      </w:tabs>
      <w:spacing w:before="240" w:after="80"/>
      <w:ind w:left="900" w:hanging="540"/>
    </w:pPr>
    <w:rPr>
      <w:szCs w:val="20"/>
    </w:rPr>
  </w:style>
  <w:style w:type="paragraph" w:customStyle="1" w:styleId="TOCHeader">
    <w:name w:val="TOC Header"/>
    <w:basedOn w:val="Normal"/>
    <w:rsid w:val="00495ADF"/>
    <w:pPr>
      <w:tabs>
        <w:tab w:val="right" w:pos="9360"/>
      </w:tabs>
      <w:spacing w:after="240"/>
    </w:pPr>
    <w:rPr>
      <w:szCs w:val="20"/>
      <w:u w:val="words"/>
    </w:rPr>
  </w:style>
  <w:style w:type="paragraph" w:customStyle="1" w:styleId="bullets-2ndlevel">
    <w:name w:val="bullets-2nd level"/>
    <w:basedOn w:val="Normal"/>
    <w:rsid w:val="00D543D3"/>
    <w:pPr>
      <w:numPr>
        <w:numId w:val="20"/>
      </w:numPr>
      <w:tabs>
        <w:tab w:val="clear" w:pos="1800"/>
      </w:tabs>
      <w:spacing w:after="120"/>
      <w:ind w:left="1440"/>
    </w:pPr>
    <w:rPr>
      <w:szCs w:val="20"/>
    </w:rPr>
  </w:style>
  <w:style w:type="paragraph" w:customStyle="1" w:styleId="biblio">
    <w:name w:val="biblio"/>
    <w:basedOn w:val="Normal"/>
    <w:rsid w:val="00495ADF"/>
    <w:pPr>
      <w:keepLines/>
      <w:spacing w:after="240"/>
      <w:ind w:left="720" w:hanging="720"/>
    </w:pPr>
    <w:rPr>
      <w:szCs w:val="20"/>
    </w:rPr>
  </w:style>
  <w:style w:type="paragraph" w:customStyle="1" w:styleId="NumberBullets">
    <w:name w:val="Number Bullets"/>
    <w:basedOn w:val="Normal"/>
    <w:semiHidden/>
    <w:rsid w:val="00495ADF"/>
    <w:pPr>
      <w:numPr>
        <w:numId w:val="1"/>
      </w:numPr>
      <w:tabs>
        <w:tab w:val="left" w:pos="720"/>
      </w:tabs>
    </w:pPr>
    <w:rPr>
      <w:szCs w:val="20"/>
    </w:rPr>
  </w:style>
  <w:style w:type="paragraph" w:styleId="List3">
    <w:name w:val="List 3"/>
    <w:basedOn w:val="Normal"/>
    <w:semiHidden/>
    <w:rsid w:val="00495ADF"/>
    <w:pPr>
      <w:ind w:left="1915" w:hanging="360"/>
    </w:pPr>
    <w:rPr>
      <w:rFonts w:ascii="Arial" w:hAnsi="Arial"/>
      <w:spacing w:val="-5"/>
      <w:sz w:val="20"/>
      <w:szCs w:val="20"/>
    </w:rPr>
  </w:style>
  <w:style w:type="paragraph" w:customStyle="1" w:styleId="FigureTitle">
    <w:name w:val="Figure Title"/>
    <w:basedOn w:val="Normal"/>
    <w:rsid w:val="00736695"/>
    <w:pPr>
      <w:keepNext/>
      <w:keepLines/>
      <w:spacing w:before="240" w:after="240"/>
    </w:pPr>
    <w:rPr>
      <w:b/>
      <w:szCs w:val="20"/>
    </w:rPr>
  </w:style>
  <w:style w:type="character" w:styleId="FollowedHyperlink">
    <w:name w:val="FollowedHyperlink"/>
    <w:basedOn w:val="DefaultParagraphFont"/>
    <w:rsid w:val="001811C2"/>
    <w:rPr>
      <w:color w:val="800080" w:themeColor="followedHyperlink"/>
      <w:u w:val="single"/>
    </w:rPr>
  </w:style>
  <w:style w:type="character" w:customStyle="1" w:styleId="baec5a81-e4d6-4674-97f3-e9220f0136c1">
    <w:name w:val="baec5a81-e4d6-4674-97f3-e9220f0136c1"/>
    <w:basedOn w:val="DefaultParagraphFont"/>
    <w:rsid w:val="006421AB"/>
  </w:style>
  <w:style w:type="paragraph" w:customStyle="1" w:styleId="Default">
    <w:name w:val="Default"/>
    <w:rsid w:val="00E6146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39295">
      <w:bodyDiv w:val="1"/>
      <w:marLeft w:val="0"/>
      <w:marRight w:val="0"/>
      <w:marTop w:val="0"/>
      <w:marBottom w:val="0"/>
      <w:divBdr>
        <w:top w:val="none" w:sz="0" w:space="0" w:color="auto"/>
        <w:left w:val="none" w:sz="0" w:space="0" w:color="auto"/>
        <w:bottom w:val="none" w:sz="0" w:space="0" w:color="auto"/>
        <w:right w:val="none" w:sz="0" w:space="0" w:color="auto"/>
      </w:divBdr>
    </w:div>
    <w:div w:id="347097392">
      <w:bodyDiv w:val="1"/>
      <w:marLeft w:val="4"/>
      <w:marRight w:val="4"/>
      <w:marTop w:val="4"/>
      <w:marBottom w:val="4"/>
      <w:divBdr>
        <w:top w:val="none" w:sz="0" w:space="0" w:color="auto"/>
        <w:left w:val="none" w:sz="0" w:space="0" w:color="auto"/>
        <w:bottom w:val="none" w:sz="0" w:space="0" w:color="auto"/>
        <w:right w:val="none" w:sz="0" w:space="0" w:color="auto"/>
      </w:divBdr>
      <w:divsChild>
        <w:div w:id="1791046887">
          <w:marLeft w:val="0"/>
          <w:marRight w:val="0"/>
          <w:marTop w:val="0"/>
          <w:marBottom w:val="0"/>
          <w:divBdr>
            <w:top w:val="none" w:sz="0" w:space="0" w:color="auto"/>
            <w:left w:val="none" w:sz="0" w:space="0" w:color="auto"/>
            <w:bottom w:val="none" w:sz="0" w:space="0" w:color="auto"/>
            <w:right w:val="none" w:sz="0" w:space="0" w:color="auto"/>
          </w:divBdr>
          <w:divsChild>
            <w:div w:id="1165245840">
              <w:marLeft w:val="0"/>
              <w:marRight w:val="0"/>
              <w:marTop w:val="0"/>
              <w:marBottom w:val="0"/>
              <w:divBdr>
                <w:top w:val="none" w:sz="0" w:space="0" w:color="auto"/>
                <w:left w:val="none" w:sz="0" w:space="0" w:color="auto"/>
                <w:bottom w:val="none" w:sz="0" w:space="0" w:color="auto"/>
                <w:right w:val="none" w:sz="0" w:space="0" w:color="auto"/>
              </w:divBdr>
              <w:divsChild>
                <w:div w:id="1421441728">
                  <w:marLeft w:val="0"/>
                  <w:marRight w:val="0"/>
                  <w:marTop w:val="0"/>
                  <w:marBottom w:val="180"/>
                  <w:divBdr>
                    <w:top w:val="none" w:sz="0" w:space="0" w:color="auto"/>
                    <w:left w:val="none" w:sz="0" w:space="0" w:color="auto"/>
                    <w:bottom w:val="none" w:sz="0" w:space="0" w:color="auto"/>
                    <w:right w:val="none" w:sz="0" w:space="0" w:color="auto"/>
                  </w:divBdr>
                  <w:divsChild>
                    <w:div w:id="1506674033">
                      <w:marLeft w:val="0"/>
                      <w:marRight w:val="0"/>
                      <w:marTop w:val="0"/>
                      <w:marBottom w:val="0"/>
                      <w:divBdr>
                        <w:top w:val="none" w:sz="0" w:space="0" w:color="auto"/>
                        <w:left w:val="none" w:sz="0" w:space="0" w:color="auto"/>
                        <w:bottom w:val="none" w:sz="0" w:space="0" w:color="auto"/>
                        <w:right w:val="none" w:sz="0" w:space="0" w:color="auto"/>
                      </w:divBdr>
                      <w:divsChild>
                        <w:div w:id="401757956">
                          <w:marLeft w:val="0"/>
                          <w:marRight w:val="0"/>
                          <w:marTop w:val="150"/>
                          <w:marBottom w:val="0"/>
                          <w:divBdr>
                            <w:top w:val="none" w:sz="0" w:space="0" w:color="auto"/>
                            <w:left w:val="none" w:sz="0" w:space="0" w:color="auto"/>
                            <w:bottom w:val="none" w:sz="0" w:space="0" w:color="auto"/>
                            <w:right w:val="none" w:sz="0" w:space="0" w:color="auto"/>
                          </w:divBdr>
                          <w:divsChild>
                            <w:div w:id="1352953684">
                              <w:marLeft w:val="0"/>
                              <w:marRight w:val="0"/>
                              <w:marTop w:val="0"/>
                              <w:marBottom w:val="0"/>
                              <w:divBdr>
                                <w:top w:val="none" w:sz="0" w:space="0" w:color="auto"/>
                                <w:left w:val="none" w:sz="0" w:space="0" w:color="auto"/>
                                <w:bottom w:val="none" w:sz="0" w:space="0" w:color="auto"/>
                                <w:right w:val="none" w:sz="0" w:space="0" w:color="auto"/>
                              </w:divBdr>
                              <w:divsChild>
                                <w:div w:id="71096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473117">
      <w:bodyDiv w:val="1"/>
      <w:marLeft w:val="0"/>
      <w:marRight w:val="0"/>
      <w:marTop w:val="0"/>
      <w:marBottom w:val="0"/>
      <w:divBdr>
        <w:top w:val="none" w:sz="0" w:space="0" w:color="auto"/>
        <w:left w:val="none" w:sz="0" w:space="0" w:color="auto"/>
        <w:bottom w:val="none" w:sz="0" w:space="0" w:color="auto"/>
        <w:right w:val="none" w:sz="0" w:space="0" w:color="auto"/>
      </w:divBdr>
    </w:div>
    <w:div w:id="501747395">
      <w:bodyDiv w:val="1"/>
      <w:marLeft w:val="0"/>
      <w:marRight w:val="0"/>
      <w:marTop w:val="0"/>
      <w:marBottom w:val="0"/>
      <w:divBdr>
        <w:top w:val="none" w:sz="0" w:space="0" w:color="auto"/>
        <w:left w:val="none" w:sz="0" w:space="0" w:color="auto"/>
        <w:bottom w:val="none" w:sz="0" w:space="0" w:color="auto"/>
        <w:right w:val="none" w:sz="0" w:space="0" w:color="auto"/>
      </w:divBdr>
    </w:div>
    <w:div w:id="767580487">
      <w:bodyDiv w:val="1"/>
      <w:marLeft w:val="0"/>
      <w:marRight w:val="0"/>
      <w:marTop w:val="0"/>
      <w:marBottom w:val="0"/>
      <w:divBdr>
        <w:top w:val="none" w:sz="0" w:space="0" w:color="auto"/>
        <w:left w:val="none" w:sz="0" w:space="0" w:color="auto"/>
        <w:bottom w:val="none" w:sz="0" w:space="0" w:color="auto"/>
        <w:right w:val="none" w:sz="0" w:space="0" w:color="auto"/>
      </w:divBdr>
    </w:div>
    <w:div w:id="813721442">
      <w:bodyDiv w:val="1"/>
      <w:marLeft w:val="0"/>
      <w:marRight w:val="0"/>
      <w:marTop w:val="0"/>
      <w:marBottom w:val="0"/>
      <w:divBdr>
        <w:top w:val="none" w:sz="0" w:space="0" w:color="auto"/>
        <w:left w:val="none" w:sz="0" w:space="0" w:color="auto"/>
        <w:bottom w:val="none" w:sz="0" w:space="0" w:color="auto"/>
        <w:right w:val="none" w:sz="0" w:space="0" w:color="auto"/>
      </w:divBdr>
    </w:div>
    <w:div w:id="1093433060">
      <w:bodyDiv w:val="1"/>
      <w:marLeft w:val="0"/>
      <w:marRight w:val="0"/>
      <w:marTop w:val="0"/>
      <w:marBottom w:val="0"/>
      <w:divBdr>
        <w:top w:val="none" w:sz="0" w:space="0" w:color="auto"/>
        <w:left w:val="none" w:sz="0" w:space="0" w:color="auto"/>
        <w:bottom w:val="none" w:sz="0" w:space="0" w:color="auto"/>
        <w:right w:val="none" w:sz="0" w:space="0" w:color="auto"/>
      </w:divBdr>
    </w:div>
    <w:div w:id="1409768386">
      <w:bodyDiv w:val="1"/>
      <w:marLeft w:val="0"/>
      <w:marRight w:val="0"/>
      <w:marTop w:val="0"/>
      <w:marBottom w:val="0"/>
      <w:divBdr>
        <w:top w:val="none" w:sz="0" w:space="0" w:color="auto"/>
        <w:left w:val="none" w:sz="0" w:space="0" w:color="auto"/>
        <w:bottom w:val="none" w:sz="0" w:space="0" w:color="auto"/>
        <w:right w:val="none" w:sz="0" w:space="0" w:color="auto"/>
      </w:divBdr>
      <w:divsChild>
        <w:div w:id="323512159">
          <w:marLeft w:val="0"/>
          <w:marRight w:val="0"/>
          <w:marTop w:val="0"/>
          <w:marBottom w:val="0"/>
          <w:divBdr>
            <w:top w:val="none" w:sz="0" w:space="0" w:color="auto"/>
            <w:left w:val="none" w:sz="0" w:space="0" w:color="auto"/>
            <w:bottom w:val="none" w:sz="0" w:space="0" w:color="auto"/>
            <w:right w:val="none" w:sz="0" w:space="0" w:color="auto"/>
          </w:divBdr>
          <w:divsChild>
            <w:div w:id="685787642">
              <w:marLeft w:val="0"/>
              <w:marRight w:val="0"/>
              <w:marTop w:val="0"/>
              <w:marBottom w:val="0"/>
              <w:divBdr>
                <w:top w:val="none" w:sz="0" w:space="0" w:color="auto"/>
                <w:left w:val="none" w:sz="0" w:space="0" w:color="auto"/>
                <w:bottom w:val="none" w:sz="0" w:space="0" w:color="auto"/>
                <w:right w:val="none" w:sz="0" w:space="0" w:color="auto"/>
              </w:divBdr>
            </w:div>
            <w:div w:id="792867251">
              <w:marLeft w:val="0"/>
              <w:marRight w:val="0"/>
              <w:marTop w:val="0"/>
              <w:marBottom w:val="0"/>
              <w:divBdr>
                <w:top w:val="none" w:sz="0" w:space="0" w:color="auto"/>
                <w:left w:val="none" w:sz="0" w:space="0" w:color="auto"/>
                <w:bottom w:val="none" w:sz="0" w:space="0" w:color="auto"/>
                <w:right w:val="none" w:sz="0" w:space="0" w:color="auto"/>
              </w:divBdr>
            </w:div>
            <w:div w:id="1109544775">
              <w:marLeft w:val="0"/>
              <w:marRight w:val="0"/>
              <w:marTop w:val="0"/>
              <w:marBottom w:val="0"/>
              <w:divBdr>
                <w:top w:val="none" w:sz="0" w:space="0" w:color="auto"/>
                <w:left w:val="none" w:sz="0" w:space="0" w:color="auto"/>
                <w:bottom w:val="none" w:sz="0" w:space="0" w:color="auto"/>
                <w:right w:val="none" w:sz="0" w:space="0" w:color="auto"/>
              </w:divBdr>
            </w:div>
            <w:div w:id="1285499805">
              <w:marLeft w:val="0"/>
              <w:marRight w:val="0"/>
              <w:marTop w:val="0"/>
              <w:marBottom w:val="0"/>
              <w:divBdr>
                <w:top w:val="none" w:sz="0" w:space="0" w:color="auto"/>
                <w:left w:val="none" w:sz="0" w:space="0" w:color="auto"/>
                <w:bottom w:val="none" w:sz="0" w:space="0" w:color="auto"/>
                <w:right w:val="none" w:sz="0" w:space="0" w:color="auto"/>
              </w:divBdr>
            </w:div>
            <w:div w:id="1682782198">
              <w:marLeft w:val="0"/>
              <w:marRight w:val="0"/>
              <w:marTop w:val="0"/>
              <w:marBottom w:val="0"/>
              <w:divBdr>
                <w:top w:val="none" w:sz="0" w:space="0" w:color="auto"/>
                <w:left w:val="none" w:sz="0" w:space="0" w:color="auto"/>
                <w:bottom w:val="none" w:sz="0" w:space="0" w:color="auto"/>
                <w:right w:val="none" w:sz="0" w:space="0" w:color="auto"/>
              </w:divBdr>
            </w:div>
            <w:div w:id="17317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98243">
      <w:bodyDiv w:val="1"/>
      <w:marLeft w:val="0"/>
      <w:marRight w:val="0"/>
      <w:marTop w:val="0"/>
      <w:marBottom w:val="0"/>
      <w:divBdr>
        <w:top w:val="none" w:sz="0" w:space="0" w:color="auto"/>
        <w:left w:val="none" w:sz="0" w:space="0" w:color="auto"/>
        <w:bottom w:val="none" w:sz="0" w:space="0" w:color="auto"/>
        <w:right w:val="none" w:sz="0" w:space="0" w:color="auto"/>
      </w:divBdr>
    </w:div>
    <w:div w:id="190764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cdc.gov/cancer/colorectal/sfl/print_materials.htm" TargetMode="External"/><Relationship Id="rId26" Type="http://schemas.openxmlformats.org/officeDocument/2006/relationships/hyperlink" Target="http://www.bls.gov/news.release/ecec.t01.htm" TargetMode="External"/><Relationship Id="rId3" Type="http://schemas.openxmlformats.org/officeDocument/2006/relationships/styles" Target="styles.xml"/><Relationship Id="rId21" Type="http://schemas.openxmlformats.org/officeDocument/2006/relationships/hyperlink" Target="http://digestive.niddk.nih.gov/ddiseases/pubs/virtualcolonoscopy/"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digestive.niddk.nih.gov/ddiseases/pubs/virtualcolonoscopy/" TargetMode="External"/><Relationship Id="rId25" Type="http://schemas.openxmlformats.org/officeDocument/2006/relationships/hyperlink" Target="ftp://ftp.cdc.gov/pub/Health_Statistics/NCHS/Survey_Questionnaires/NHIS/2011/English/qadult.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dc.gov/cancer/colorectal/basic_info/facts.htm" TargetMode="External"/><Relationship Id="rId20" Type="http://schemas.openxmlformats.org/officeDocument/2006/relationships/hyperlink" Target="http://www.cdc.gov/cancer/colorectal/basic_info/facts.htm" TargetMode="External"/><Relationship Id="rId29" Type="http://schemas.openxmlformats.org/officeDocument/2006/relationships/hyperlink" Target="http://apps.nccd.cdc.gov/usc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cdc.gov/hrqol/hrqol14_measure.htm"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yperlink" Target="ftp://ftp.cdc.gov/pub/Health_Statistics/NCHS/Survey_Questionnaires/NHIS/2010/English/qcancer.pdf" TargetMode="External"/><Relationship Id="rId28" Type="http://schemas.openxmlformats.org/officeDocument/2006/relationships/hyperlink" Target="http://www.healthypeople.gov/2020/LHI/clinicalPreventive.aspx?tab=data" TargetMode="External"/><Relationship Id="rId10" Type="http://schemas.openxmlformats.org/officeDocument/2006/relationships/header" Target="header2.xml"/><Relationship Id="rId19" Type="http://schemas.openxmlformats.org/officeDocument/2006/relationships/hyperlink" Target="http://www.knowledgenetworks.com/company/privacy.html" TargetMode="External"/><Relationship Id="rId31"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yourdiseaserisk.wustl.edu/YDRDefault.aspx?ScreenControl=YDRGeneral&amp;ScreenName=YDRcolon" TargetMode="External"/><Relationship Id="rId27" Type="http://schemas.openxmlformats.org/officeDocument/2006/relationships/hyperlink" Target="http://www.thecommunityguide.org/cancer/index.html" TargetMode="External"/><Relationship Id="rId30"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I:\Templates\Reports\OMB%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7899ED0-DD6B-4D0F-B820-D8F32A65C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OMB Template.dot</Template>
  <TotalTime>5</TotalTime>
  <Pages>29</Pages>
  <Words>8413</Words>
  <Characters>50746</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59041</CharactersWithSpaces>
  <SharedDoc>false</SharedDoc>
  <HLinks>
    <vt:vector size="240" baseType="variant">
      <vt:variant>
        <vt:i4>1638453</vt:i4>
      </vt:variant>
      <vt:variant>
        <vt:i4>238</vt:i4>
      </vt:variant>
      <vt:variant>
        <vt:i4>0</vt:i4>
      </vt:variant>
      <vt:variant>
        <vt:i4>5</vt:i4>
      </vt:variant>
      <vt:variant>
        <vt:lpwstr/>
      </vt:variant>
      <vt:variant>
        <vt:lpwstr>_Toc88277988</vt:lpwstr>
      </vt:variant>
      <vt:variant>
        <vt:i4>1441845</vt:i4>
      </vt:variant>
      <vt:variant>
        <vt:i4>232</vt:i4>
      </vt:variant>
      <vt:variant>
        <vt:i4>0</vt:i4>
      </vt:variant>
      <vt:variant>
        <vt:i4>5</vt:i4>
      </vt:variant>
      <vt:variant>
        <vt:lpwstr/>
      </vt:variant>
      <vt:variant>
        <vt:lpwstr>_Toc88277987</vt:lpwstr>
      </vt:variant>
      <vt:variant>
        <vt:i4>1507381</vt:i4>
      </vt:variant>
      <vt:variant>
        <vt:i4>226</vt:i4>
      </vt:variant>
      <vt:variant>
        <vt:i4>0</vt:i4>
      </vt:variant>
      <vt:variant>
        <vt:i4>5</vt:i4>
      </vt:variant>
      <vt:variant>
        <vt:lpwstr/>
      </vt:variant>
      <vt:variant>
        <vt:lpwstr>_Toc88277986</vt:lpwstr>
      </vt:variant>
      <vt:variant>
        <vt:i4>1310773</vt:i4>
      </vt:variant>
      <vt:variant>
        <vt:i4>220</vt:i4>
      </vt:variant>
      <vt:variant>
        <vt:i4>0</vt:i4>
      </vt:variant>
      <vt:variant>
        <vt:i4>5</vt:i4>
      </vt:variant>
      <vt:variant>
        <vt:lpwstr/>
      </vt:variant>
      <vt:variant>
        <vt:lpwstr>_Toc88277985</vt:lpwstr>
      </vt:variant>
      <vt:variant>
        <vt:i4>1376309</vt:i4>
      </vt:variant>
      <vt:variant>
        <vt:i4>214</vt:i4>
      </vt:variant>
      <vt:variant>
        <vt:i4>0</vt:i4>
      </vt:variant>
      <vt:variant>
        <vt:i4>5</vt:i4>
      </vt:variant>
      <vt:variant>
        <vt:lpwstr/>
      </vt:variant>
      <vt:variant>
        <vt:lpwstr>_Toc88277984</vt:lpwstr>
      </vt:variant>
      <vt:variant>
        <vt:i4>1179701</vt:i4>
      </vt:variant>
      <vt:variant>
        <vt:i4>208</vt:i4>
      </vt:variant>
      <vt:variant>
        <vt:i4>0</vt:i4>
      </vt:variant>
      <vt:variant>
        <vt:i4>5</vt:i4>
      </vt:variant>
      <vt:variant>
        <vt:lpwstr/>
      </vt:variant>
      <vt:variant>
        <vt:lpwstr>_Toc88277983</vt:lpwstr>
      </vt:variant>
      <vt:variant>
        <vt:i4>1245237</vt:i4>
      </vt:variant>
      <vt:variant>
        <vt:i4>202</vt:i4>
      </vt:variant>
      <vt:variant>
        <vt:i4>0</vt:i4>
      </vt:variant>
      <vt:variant>
        <vt:i4>5</vt:i4>
      </vt:variant>
      <vt:variant>
        <vt:lpwstr/>
      </vt:variant>
      <vt:variant>
        <vt:lpwstr>_Toc88277982</vt:lpwstr>
      </vt:variant>
      <vt:variant>
        <vt:i4>1048629</vt:i4>
      </vt:variant>
      <vt:variant>
        <vt:i4>196</vt:i4>
      </vt:variant>
      <vt:variant>
        <vt:i4>0</vt:i4>
      </vt:variant>
      <vt:variant>
        <vt:i4>5</vt:i4>
      </vt:variant>
      <vt:variant>
        <vt:lpwstr/>
      </vt:variant>
      <vt:variant>
        <vt:lpwstr>_Toc88277981</vt:lpwstr>
      </vt:variant>
      <vt:variant>
        <vt:i4>1114165</vt:i4>
      </vt:variant>
      <vt:variant>
        <vt:i4>190</vt:i4>
      </vt:variant>
      <vt:variant>
        <vt:i4>0</vt:i4>
      </vt:variant>
      <vt:variant>
        <vt:i4>5</vt:i4>
      </vt:variant>
      <vt:variant>
        <vt:lpwstr/>
      </vt:variant>
      <vt:variant>
        <vt:lpwstr>_Toc88277980</vt:lpwstr>
      </vt:variant>
      <vt:variant>
        <vt:i4>1572922</vt:i4>
      </vt:variant>
      <vt:variant>
        <vt:i4>184</vt:i4>
      </vt:variant>
      <vt:variant>
        <vt:i4>0</vt:i4>
      </vt:variant>
      <vt:variant>
        <vt:i4>5</vt:i4>
      </vt:variant>
      <vt:variant>
        <vt:lpwstr/>
      </vt:variant>
      <vt:variant>
        <vt:lpwstr>_Toc88277979</vt:lpwstr>
      </vt:variant>
      <vt:variant>
        <vt:i4>1638458</vt:i4>
      </vt:variant>
      <vt:variant>
        <vt:i4>178</vt:i4>
      </vt:variant>
      <vt:variant>
        <vt:i4>0</vt:i4>
      </vt:variant>
      <vt:variant>
        <vt:i4>5</vt:i4>
      </vt:variant>
      <vt:variant>
        <vt:lpwstr/>
      </vt:variant>
      <vt:variant>
        <vt:lpwstr>_Toc88277978</vt:lpwstr>
      </vt:variant>
      <vt:variant>
        <vt:i4>1441850</vt:i4>
      </vt:variant>
      <vt:variant>
        <vt:i4>172</vt:i4>
      </vt:variant>
      <vt:variant>
        <vt:i4>0</vt:i4>
      </vt:variant>
      <vt:variant>
        <vt:i4>5</vt:i4>
      </vt:variant>
      <vt:variant>
        <vt:lpwstr/>
      </vt:variant>
      <vt:variant>
        <vt:lpwstr>_Toc88277977</vt:lpwstr>
      </vt:variant>
      <vt:variant>
        <vt:i4>1507386</vt:i4>
      </vt:variant>
      <vt:variant>
        <vt:i4>166</vt:i4>
      </vt:variant>
      <vt:variant>
        <vt:i4>0</vt:i4>
      </vt:variant>
      <vt:variant>
        <vt:i4>5</vt:i4>
      </vt:variant>
      <vt:variant>
        <vt:lpwstr/>
      </vt:variant>
      <vt:variant>
        <vt:lpwstr>_Toc88277976</vt:lpwstr>
      </vt:variant>
      <vt:variant>
        <vt:i4>1310778</vt:i4>
      </vt:variant>
      <vt:variant>
        <vt:i4>160</vt:i4>
      </vt:variant>
      <vt:variant>
        <vt:i4>0</vt:i4>
      </vt:variant>
      <vt:variant>
        <vt:i4>5</vt:i4>
      </vt:variant>
      <vt:variant>
        <vt:lpwstr/>
      </vt:variant>
      <vt:variant>
        <vt:lpwstr>_Toc88277975</vt:lpwstr>
      </vt:variant>
      <vt:variant>
        <vt:i4>1376314</vt:i4>
      </vt:variant>
      <vt:variant>
        <vt:i4>154</vt:i4>
      </vt:variant>
      <vt:variant>
        <vt:i4>0</vt:i4>
      </vt:variant>
      <vt:variant>
        <vt:i4>5</vt:i4>
      </vt:variant>
      <vt:variant>
        <vt:lpwstr/>
      </vt:variant>
      <vt:variant>
        <vt:lpwstr>_Toc88277974</vt:lpwstr>
      </vt:variant>
      <vt:variant>
        <vt:i4>1179706</vt:i4>
      </vt:variant>
      <vt:variant>
        <vt:i4>148</vt:i4>
      </vt:variant>
      <vt:variant>
        <vt:i4>0</vt:i4>
      </vt:variant>
      <vt:variant>
        <vt:i4>5</vt:i4>
      </vt:variant>
      <vt:variant>
        <vt:lpwstr/>
      </vt:variant>
      <vt:variant>
        <vt:lpwstr>_Toc88277973</vt:lpwstr>
      </vt:variant>
      <vt:variant>
        <vt:i4>1245242</vt:i4>
      </vt:variant>
      <vt:variant>
        <vt:i4>142</vt:i4>
      </vt:variant>
      <vt:variant>
        <vt:i4>0</vt:i4>
      </vt:variant>
      <vt:variant>
        <vt:i4>5</vt:i4>
      </vt:variant>
      <vt:variant>
        <vt:lpwstr/>
      </vt:variant>
      <vt:variant>
        <vt:lpwstr>_Toc88277972</vt:lpwstr>
      </vt:variant>
      <vt:variant>
        <vt:i4>1048634</vt:i4>
      </vt:variant>
      <vt:variant>
        <vt:i4>136</vt:i4>
      </vt:variant>
      <vt:variant>
        <vt:i4>0</vt:i4>
      </vt:variant>
      <vt:variant>
        <vt:i4>5</vt:i4>
      </vt:variant>
      <vt:variant>
        <vt:lpwstr/>
      </vt:variant>
      <vt:variant>
        <vt:lpwstr>_Toc88277971</vt:lpwstr>
      </vt:variant>
      <vt:variant>
        <vt:i4>1114170</vt:i4>
      </vt:variant>
      <vt:variant>
        <vt:i4>130</vt:i4>
      </vt:variant>
      <vt:variant>
        <vt:i4>0</vt:i4>
      </vt:variant>
      <vt:variant>
        <vt:i4>5</vt:i4>
      </vt:variant>
      <vt:variant>
        <vt:lpwstr/>
      </vt:variant>
      <vt:variant>
        <vt:lpwstr>_Toc88277970</vt:lpwstr>
      </vt:variant>
      <vt:variant>
        <vt:i4>1572923</vt:i4>
      </vt:variant>
      <vt:variant>
        <vt:i4>124</vt:i4>
      </vt:variant>
      <vt:variant>
        <vt:i4>0</vt:i4>
      </vt:variant>
      <vt:variant>
        <vt:i4>5</vt:i4>
      </vt:variant>
      <vt:variant>
        <vt:lpwstr/>
      </vt:variant>
      <vt:variant>
        <vt:lpwstr>_Toc88277969</vt:lpwstr>
      </vt:variant>
      <vt:variant>
        <vt:i4>1638459</vt:i4>
      </vt:variant>
      <vt:variant>
        <vt:i4>118</vt:i4>
      </vt:variant>
      <vt:variant>
        <vt:i4>0</vt:i4>
      </vt:variant>
      <vt:variant>
        <vt:i4>5</vt:i4>
      </vt:variant>
      <vt:variant>
        <vt:lpwstr/>
      </vt:variant>
      <vt:variant>
        <vt:lpwstr>_Toc88277968</vt:lpwstr>
      </vt:variant>
      <vt:variant>
        <vt:i4>1441851</vt:i4>
      </vt:variant>
      <vt:variant>
        <vt:i4>112</vt:i4>
      </vt:variant>
      <vt:variant>
        <vt:i4>0</vt:i4>
      </vt:variant>
      <vt:variant>
        <vt:i4>5</vt:i4>
      </vt:variant>
      <vt:variant>
        <vt:lpwstr/>
      </vt:variant>
      <vt:variant>
        <vt:lpwstr>_Toc88277967</vt:lpwstr>
      </vt:variant>
      <vt:variant>
        <vt:i4>1507387</vt:i4>
      </vt:variant>
      <vt:variant>
        <vt:i4>106</vt:i4>
      </vt:variant>
      <vt:variant>
        <vt:i4>0</vt:i4>
      </vt:variant>
      <vt:variant>
        <vt:i4>5</vt:i4>
      </vt:variant>
      <vt:variant>
        <vt:lpwstr/>
      </vt:variant>
      <vt:variant>
        <vt:lpwstr>_Toc88277966</vt:lpwstr>
      </vt:variant>
      <vt:variant>
        <vt:i4>1310779</vt:i4>
      </vt:variant>
      <vt:variant>
        <vt:i4>100</vt:i4>
      </vt:variant>
      <vt:variant>
        <vt:i4>0</vt:i4>
      </vt:variant>
      <vt:variant>
        <vt:i4>5</vt:i4>
      </vt:variant>
      <vt:variant>
        <vt:lpwstr/>
      </vt:variant>
      <vt:variant>
        <vt:lpwstr>_Toc88277965</vt:lpwstr>
      </vt:variant>
      <vt:variant>
        <vt:i4>1376315</vt:i4>
      </vt:variant>
      <vt:variant>
        <vt:i4>94</vt:i4>
      </vt:variant>
      <vt:variant>
        <vt:i4>0</vt:i4>
      </vt:variant>
      <vt:variant>
        <vt:i4>5</vt:i4>
      </vt:variant>
      <vt:variant>
        <vt:lpwstr/>
      </vt:variant>
      <vt:variant>
        <vt:lpwstr>_Toc88277964</vt:lpwstr>
      </vt:variant>
      <vt:variant>
        <vt:i4>1179707</vt:i4>
      </vt:variant>
      <vt:variant>
        <vt:i4>88</vt:i4>
      </vt:variant>
      <vt:variant>
        <vt:i4>0</vt:i4>
      </vt:variant>
      <vt:variant>
        <vt:i4>5</vt:i4>
      </vt:variant>
      <vt:variant>
        <vt:lpwstr/>
      </vt:variant>
      <vt:variant>
        <vt:lpwstr>_Toc88277963</vt:lpwstr>
      </vt:variant>
      <vt:variant>
        <vt:i4>1245243</vt:i4>
      </vt:variant>
      <vt:variant>
        <vt:i4>82</vt:i4>
      </vt:variant>
      <vt:variant>
        <vt:i4>0</vt:i4>
      </vt:variant>
      <vt:variant>
        <vt:i4>5</vt:i4>
      </vt:variant>
      <vt:variant>
        <vt:lpwstr/>
      </vt:variant>
      <vt:variant>
        <vt:lpwstr>_Toc88277962</vt:lpwstr>
      </vt:variant>
      <vt:variant>
        <vt:i4>1048635</vt:i4>
      </vt:variant>
      <vt:variant>
        <vt:i4>76</vt:i4>
      </vt:variant>
      <vt:variant>
        <vt:i4>0</vt:i4>
      </vt:variant>
      <vt:variant>
        <vt:i4>5</vt:i4>
      </vt:variant>
      <vt:variant>
        <vt:lpwstr/>
      </vt:variant>
      <vt:variant>
        <vt:lpwstr>_Toc88277961</vt:lpwstr>
      </vt:variant>
      <vt:variant>
        <vt:i4>1114171</vt:i4>
      </vt:variant>
      <vt:variant>
        <vt:i4>70</vt:i4>
      </vt:variant>
      <vt:variant>
        <vt:i4>0</vt:i4>
      </vt:variant>
      <vt:variant>
        <vt:i4>5</vt:i4>
      </vt:variant>
      <vt:variant>
        <vt:lpwstr/>
      </vt:variant>
      <vt:variant>
        <vt:lpwstr>_Toc88277960</vt:lpwstr>
      </vt:variant>
      <vt:variant>
        <vt:i4>1572920</vt:i4>
      </vt:variant>
      <vt:variant>
        <vt:i4>64</vt:i4>
      </vt:variant>
      <vt:variant>
        <vt:i4>0</vt:i4>
      </vt:variant>
      <vt:variant>
        <vt:i4>5</vt:i4>
      </vt:variant>
      <vt:variant>
        <vt:lpwstr/>
      </vt:variant>
      <vt:variant>
        <vt:lpwstr>_Toc88277959</vt:lpwstr>
      </vt:variant>
      <vt:variant>
        <vt:i4>1638456</vt:i4>
      </vt:variant>
      <vt:variant>
        <vt:i4>58</vt:i4>
      </vt:variant>
      <vt:variant>
        <vt:i4>0</vt:i4>
      </vt:variant>
      <vt:variant>
        <vt:i4>5</vt:i4>
      </vt:variant>
      <vt:variant>
        <vt:lpwstr/>
      </vt:variant>
      <vt:variant>
        <vt:lpwstr>_Toc88277958</vt:lpwstr>
      </vt:variant>
      <vt:variant>
        <vt:i4>1441848</vt:i4>
      </vt:variant>
      <vt:variant>
        <vt:i4>52</vt:i4>
      </vt:variant>
      <vt:variant>
        <vt:i4>0</vt:i4>
      </vt:variant>
      <vt:variant>
        <vt:i4>5</vt:i4>
      </vt:variant>
      <vt:variant>
        <vt:lpwstr/>
      </vt:variant>
      <vt:variant>
        <vt:lpwstr>_Toc88277957</vt:lpwstr>
      </vt:variant>
      <vt:variant>
        <vt:i4>1507384</vt:i4>
      </vt:variant>
      <vt:variant>
        <vt:i4>46</vt:i4>
      </vt:variant>
      <vt:variant>
        <vt:i4>0</vt:i4>
      </vt:variant>
      <vt:variant>
        <vt:i4>5</vt:i4>
      </vt:variant>
      <vt:variant>
        <vt:lpwstr/>
      </vt:variant>
      <vt:variant>
        <vt:lpwstr>_Toc88277956</vt:lpwstr>
      </vt:variant>
      <vt:variant>
        <vt:i4>1310776</vt:i4>
      </vt:variant>
      <vt:variant>
        <vt:i4>40</vt:i4>
      </vt:variant>
      <vt:variant>
        <vt:i4>0</vt:i4>
      </vt:variant>
      <vt:variant>
        <vt:i4>5</vt:i4>
      </vt:variant>
      <vt:variant>
        <vt:lpwstr/>
      </vt:variant>
      <vt:variant>
        <vt:lpwstr>_Toc88277955</vt:lpwstr>
      </vt:variant>
      <vt:variant>
        <vt:i4>1376312</vt:i4>
      </vt:variant>
      <vt:variant>
        <vt:i4>34</vt:i4>
      </vt:variant>
      <vt:variant>
        <vt:i4>0</vt:i4>
      </vt:variant>
      <vt:variant>
        <vt:i4>5</vt:i4>
      </vt:variant>
      <vt:variant>
        <vt:lpwstr/>
      </vt:variant>
      <vt:variant>
        <vt:lpwstr>_Toc88277954</vt:lpwstr>
      </vt:variant>
      <vt:variant>
        <vt:i4>1179704</vt:i4>
      </vt:variant>
      <vt:variant>
        <vt:i4>28</vt:i4>
      </vt:variant>
      <vt:variant>
        <vt:i4>0</vt:i4>
      </vt:variant>
      <vt:variant>
        <vt:i4>5</vt:i4>
      </vt:variant>
      <vt:variant>
        <vt:lpwstr/>
      </vt:variant>
      <vt:variant>
        <vt:lpwstr>_Toc88277953</vt:lpwstr>
      </vt:variant>
      <vt:variant>
        <vt:i4>1245240</vt:i4>
      </vt:variant>
      <vt:variant>
        <vt:i4>22</vt:i4>
      </vt:variant>
      <vt:variant>
        <vt:i4>0</vt:i4>
      </vt:variant>
      <vt:variant>
        <vt:i4>5</vt:i4>
      </vt:variant>
      <vt:variant>
        <vt:lpwstr/>
      </vt:variant>
      <vt:variant>
        <vt:lpwstr>_Toc88277952</vt:lpwstr>
      </vt:variant>
      <vt:variant>
        <vt:i4>1048632</vt:i4>
      </vt:variant>
      <vt:variant>
        <vt:i4>16</vt:i4>
      </vt:variant>
      <vt:variant>
        <vt:i4>0</vt:i4>
      </vt:variant>
      <vt:variant>
        <vt:i4>5</vt:i4>
      </vt:variant>
      <vt:variant>
        <vt:lpwstr/>
      </vt:variant>
      <vt:variant>
        <vt:lpwstr>_Toc88277951</vt:lpwstr>
      </vt:variant>
      <vt:variant>
        <vt:i4>1114168</vt:i4>
      </vt:variant>
      <vt:variant>
        <vt:i4>10</vt:i4>
      </vt:variant>
      <vt:variant>
        <vt:i4>0</vt:i4>
      </vt:variant>
      <vt:variant>
        <vt:i4>5</vt:i4>
      </vt:variant>
      <vt:variant>
        <vt:lpwstr/>
      </vt:variant>
      <vt:variant>
        <vt:lpwstr>_Toc88277950</vt:lpwstr>
      </vt:variant>
      <vt:variant>
        <vt:i4>1572921</vt:i4>
      </vt:variant>
      <vt:variant>
        <vt:i4>4</vt:i4>
      </vt:variant>
      <vt:variant>
        <vt:i4>0</vt:i4>
      </vt:variant>
      <vt:variant>
        <vt:i4>5</vt:i4>
      </vt:variant>
      <vt:variant>
        <vt:lpwstr/>
      </vt:variant>
      <vt:variant>
        <vt:lpwstr>_Toc88277949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cannada</dc:creator>
  <cp:lastModifiedBy>Marsh, Carol E. (CDC/OPHPR/OD)</cp:lastModifiedBy>
  <cp:revision>4</cp:revision>
  <cp:lastPrinted>2014-04-21T15:45:00Z</cp:lastPrinted>
  <dcterms:created xsi:type="dcterms:W3CDTF">2014-05-01T19:44:00Z</dcterms:created>
  <dcterms:modified xsi:type="dcterms:W3CDTF">2014-05-02T01:38:00Z</dcterms:modified>
</cp:coreProperties>
</file>