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A2181" w14:textId="77777777" w:rsidR="00B46F2C" w:rsidRDefault="00B46F2C" w:rsidP="00830CD0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FD1">
        <w:rPr>
          <w:sz w:val="28"/>
        </w:rPr>
        <w:t>0920-1009</w:t>
      </w:r>
      <w:r>
        <w:rPr>
          <w:sz w:val="28"/>
        </w:rPr>
        <w:t>)</w:t>
      </w:r>
    </w:p>
    <w:p w14:paraId="414434EB" w14:textId="77777777" w:rsidR="000E44C3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6C7E8C" wp14:editId="273FAB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80BC0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B80B6A">
        <w:t xml:space="preserve"> </w:t>
      </w:r>
    </w:p>
    <w:p w14:paraId="70AEFA4D" w14:textId="77777777" w:rsidR="000E44C3" w:rsidRDefault="000E44C3" w:rsidP="00434E33"/>
    <w:p w14:paraId="03C56180" w14:textId="77777777" w:rsidR="00B46F2C" w:rsidRPr="009239AA" w:rsidRDefault="00620F3A" w:rsidP="00434E33">
      <w:pPr>
        <w:rPr>
          <w:b/>
        </w:rPr>
      </w:pPr>
      <w:r>
        <w:t>Customer feedback interviews with</w:t>
      </w:r>
      <w:r w:rsidR="00A86707">
        <w:t xml:space="preserve"> </w:t>
      </w:r>
      <w:r w:rsidR="00D31374">
        <w:t>state-level implementers of “Return to Learn”</w:t>
      </w:r>
    </w:p>
    <w:p w14:paraId="463A12FD" w14:textId="77777777" w:rsidR="00B46F2C" w:rsidRDefault="00B46F2C"/>
    <w:p w14:paraId="3CF7432F" w14:textId="77777777" w:rsidR="00373EF3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86707">
        <w:rPr>
          <w:b/>
        </w:rPr>
        <w:t xml:space="preserve">  </w:t>
      </w:r>
    </w:p>
    <w:p w14:paraId="74D942A7" w14:textId="77777777" w:rsidR="00361B65" w:rsidRDefault="00361B65" w:rsidP="00840FCA"/>
    <w:p w14:paraId="4DDF060A" w14:textId="77777777" w:rsidR="00F02586" w:rsidRDefault="00C9427E" w:rsidP="00840FCA">
      <w:r>
        <w:t xml:space="preserve">The National Center for Injury Prevention and Control (NCIPC) promotes the prevention, recognition, and management of Traumatic Brain Injury (TBI). The NCIPC research agenda </w:t>
      </w:r>
      <w:r w:rsidR="00620F3A">
        <w:t>directs staff</w:t>
      </w:r>
      <w:r>
        <w:t xml:space="preserve"> to understand the effects of state, community, and organizational protocols which aim to enhance the recognition and management of concussions. </w:t>
      </w:r>
    </w:p>
    <w:p w14:paraId="7FF793C2" w14:textId="77777777" w:rsidR="00F02586" w:rsidRDefault="00F02586" w:rsidP="00840FCA"/>
    <w:p w14:paraId="57EC696B" w14:textId="0C34026C" w:rsidR="00DD2CBA" w:rsidRDefault="00C9427E" w:rsidP="00840FCA">
      <w:r>
        <w:t>The goal of this project is to assess the implementation of return-to-learn</w:t>
      </w:r>
      <w:r w:rsidR="00247D67">
        <w:t xml:space="preserve"> (RTL)</w:t>
      </w:r>
      <w:r>
        <w:t xml:space="preserve"> procedures and processe</w:t>
      </w:r>
      <w:r w:rsidR="00F02586">
        <w:t>s,</w:t>
      </w:r>
      <w:r>
        <w:t xml:space="preserve"> and to </w:t>
      </w:r>
      <w:r w:rsidR="00F02586">
        <w:t>determine</w:t>
      </w:r>
      <w:r>
        <w:t xml:space="preserve"> related best practices, successes and challenges. The information collected will assist </w:t>
      </w:r>
      <w:r w:rsidR="00C32192">
        <w:t xml:space="preserve">the </w:t>
      </w:r>
      <w:r>
        <w:t xml:space="preserve">NCIPC TBI team in developing and disseminating </w:t>
      </w:r>
      <w:r w:rsidR="00620F3A">
        <w:t>future products</w:t>
      </w:r>
      <w:r>
        <w:t xml:space="preserve"> </w:t>
      </w:r>
      <w:r w:rsidRPr="00C9427E">
        <w:t xml:space="preserve">(e.g., an implementation toolkit) to assist </w:t>
      </w:r>
      <w:r w:rsidR="00C32192">
        <w:t xml:space="preserve">current and future customers </w:t>
      </w:r>
      <w:r w:rsidR="00620F3A">
        <w:t>such as</w:t>
      </w:r>
      <w:r w:rsidR="00C32192">
        <w:t xml:space="preserve"> </w:t>
      </w:r>
      <w:r w:rsidRPr="00C9427E">
        <w:t xml:space="preserve">schools, school districts, state departments of education, and others </w:t>
      </w:r>
      <w:r w:rsidR="000C038B">
        <w:t xml:space="preserve">from private sector </w:t>
      </w:r>
      <w:r w:rsidRPr="00C9427E">
        <w:t>with return-to-learn practices</w:t>
      </w:r>
      <w:r w:rsidR="00BF4ECA">
        <w:t xml:space="preserve"> for the recognition and management of concussions</w:t>
      </w:r>
      <w:r>
        <w:t xml:space="preserve">. </w:t>
      </w:r>
    </w:p>
    <w:p w14:paraId="2395161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7D89F6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B80B6A">
        <w:t xml:space="preserve">  </w:t>
      </w:r>
    </w:p>
    <w:p w14:paraId="502263C7" w14:textId="77777777" w:rsidR="00B80B6A" w:rsidRDefault="00B80B6A" w:rsidP="00840FCA">
      <w:pPr>
        <w:pStyle w:val="Header"/>
        <w:tabs>
          <w:tab w:val="clear" w:pos="4320"/>
          <w:tab w:val="clear" w:pos="8640"/>
        </w:tabs>
      </w:pPr>
    </w:p>
    <w:p w14:paraId="525AB916" w14:textId="06388B34" w:rsidR="00B46F2C" w:rsidRDefault="00D31374">
      <w:r w:rsidRPr="00D31374">
        <w:t>Key informants within a sample of states stratified by presence</w:t>
      </w:r>
      <w:r w:rsidR="00BF4ECA">
        <w:t xml:space="preserve"> of Return to Learn practices</w:t>
      </w:r>
      <w:r w:rsidRPr="00D31374">
        <w:t xml:space="preserve">; </w:t>
      </w:r>
      <w:r w:rsidR="00620F3A" w:rsidRPr="00D31374">
        <w:t>n</w:t>
      </w:r>
      <w:r w:rsidR="00BF4ECA">
        <w:t>o Return to Learn practices</w:t>
      </w:r>
      <w:r w:rsidR="00620F3A">
        <w:t xml:space="preserve">; and </w:t>
      </w:r>
      <w:r w:rsidRPr="00D31374">
        <w:t>availability and use of voluntary progra</w:t>
      </w:r>
      <w:r w:rsidR="00620F3A">
        <w:t xml:space="preserve">ms (e.g., </w:t>
      </w:r>
      <w:proofErr w:type="spellStart"/>
      <w:r w:rsidR="00620F3A">
        <w:t>BrainSteps</w:t>
      </w:r>
      <w:proofErr w:type="spellEnd"/>
      <w:r w:rsidR="00620F3A">
        <w:t>, REAP).</w:t>
      </w:r>
      <w:r w:rsidRPr="00D31374">
        <w:t xml:space="preserve"> Key informants include state and school district employees charged w</w:t>
      </w:r>
      <w:r w:rsidR="008C5706">
        <w:t xml:space="preserve">ith implementation of </w:t>
      </w:r>
      <w:r w:rsidRPr="00D31374">
        <w:t xml:space="preserve">return-to-learn </w:t>
      </w:r>
      <w:r w:rsidR="00BF4ECA">
        <w:t xml:space="preserve">practices for the recognition and management of concussions, </w:t>
      </w:r>
      <w:r w:rsidR="00BF4ECA" w:rsidRPr="00D31374">
        <w:t>developers</w:t>
      </w:r>
      <w:r w:rsidRPr="00D31374">
        <w:t xml:space="preserve"> of informal return-to-learn processes; </w:t>
      </w:r>
      <w:r w:rsidR="00830CD0">
        <w:t>and</w:t>
      </w:r>
      <w:r w:rsidR="00AB1EDF">
        <w:t xml:space="preserve"> </w:t>
      </w:r>
      <w:r w:rsidRPr="00D31374">
        <w:t>experts on cognitive recovery and returning to a classroom environment after concussion.</w:t>
      </w:r>
    </w:p>
    <w:p w14:paraId="7D7B5B21" w14:textId="77777777" w:rsidR="006E5095" w:rsidRDefault="006E5095" w:rsidP="006E5095"/>
    <w:p w14:paraId="0063EE8A" w14:textId="5D12A2A3" w:rsidR="006E5095" w:rsidRDefault="00685ED5" w:rsidP="006E5095">
      <w:r>
        <w:t xml:space="preserve">Customers are current and future implementers of return to learn protocols. </w:t>
      </w:r>
      <w:r w:rsidR="006E5095" w:rsidRPr="00247D67">
        <w:t>Potential respondents will be invited to participate via email</w:t>
      </w:r>
      <w:r w:rsidR="00BF4ECA">
        <w:t xml:space="preserve"> (Attachment A)</w:t>
      </w:r>
      <w:r w:rsidR="006E5095" w:rsidRPr="00247D67">
        <w:t>. Participation is completely voluntary.</w:t>
      </w:r>
      <w:r>
        <w:t xml:space="preserve"> </w:t>
      </w:r>
    </w:p>
    <w:p w14:paraId="14C2C6D4" w14:textId="77777777" w:rsidR="006E5095" w:rsidRPr="00D31374" w:rsidRDefault="006E5095"/>
    <w:p w14:paraId="0F526A51" w14:textId="77777777" w:rsidR="00D31374" w:rsidRDefault="00D31374">
      <w:pPr>
        <w:rPr>
          <w:b/>
        </w:rPr>
      </w:pPr>
    </w:p>
    <w:p w14:paraId="67C56937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62536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2776F5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14:paraId="530B603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</w:t>
      </w:r>
      <w:r w:rsidR="00620F3A">
        <w:rPr>
          <w:bCs/>
          <w:sz w:val="24"/>
        </w:rPr>
        <w:t>ng (e.g., Website or Software</w:t>
      </w:r>
      <w:r w:rsidR="00620F3A">
        <w:rPr>
          <w:bCs/>
          <w:sz w:val="24"/>
        </w:rPr>
        <w:tab/>
        <w:t xml:space="preserve">[ </w:t>
      </w:r>
      <w:r>
        <w:rPr>
          <w:bCs/>
          <w:sz w:val="24"/>
        </w:rPr>
        <w:t>] Small Discussion Group</w:t>
      </w:r>
    </w:p>
    <w:p w14:paraId="76779F5B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620F3A">
        <w:rPr>
          <w:bCs/>
          <w:sz w:val="24"/>
        </w:rPr>
        <w:t>X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</w:t>
      </w:r>
      <w:r w:rsidR="006E5095">
        <w:rPr>
          <w:bCs/>
          <w:sz w:val="24"/>
          <w:u w:val="single"/>
        </w:rPr>
        <w:t>In person discussion</w:t>
      </w:r>
    </w:p>
    <w:p w14:paraId="662963C9" w14:textId="77777777" w:rsidR="001D0776" w:rsidRDefault="001D0776">
      <w:pPr>
        <w:rPr>
          <w:b/>
        </w:rPr>
      </w:pPr>
    </w:p>
    <w:p w14:paraId="5CE60E6E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0C467D5" w14:textId="77777777" w:rsidR="00B46F2C" w:rsidRDefault="00B46F2C">
      <w:pPr>
        <w:rPr>
          <w:sz w:val="16"/>
          <w:szCs w:val="16"/>
        </w:rPr>
      </w:pPr>
    </w:p>
    <w:p w14:paraId="09D01001" w14:textId="77777777" w:rsidR="00B46F2C" w:rsidRPr="009C13B9" w:rsidRDefault="00B46F2C" w:rsidP="008101A5">
      <w:r>
        <w:t xml:space="preserve">I certify the following to be true: </w:t>
      </w:r>
    </w:p>
    <w:p w14:paraId="0E029D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565EF5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29C71A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6C0F1F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30F6E3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203B5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53531BA4" w14:textId="77777777" w:rsidR="00B46F2C" w:rsidRDefault="00B46F2C" w:rsidP="009C13B9"/>
    <w:p w14:paraId="365839A5" w14:textId="77777777"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_________</w:t>
      </w:r>
      <w:r w:rsidR="008C5706">
        <w:t>Karen</w:t>
      </w:r>
      <w:proofErr w:type="spellEnd"/>
      <w:r w:rsidR="008C5706">
        <w:t xml:space="preserve"> Angel</w:t>
      </w:r>
      <w:r>
        <w:t>______________________________________</w:t>
      </w:r>
    </w:p>
    <w:p w14:paraId="71A84B53" w14:textId="77777777" w:rsidR="00B46F2C" w:rsidRDefault="00B46F2C" w:rsidP="009C13B9">
      <w:pPr>
        <w:pStyle w:val="ListParagraph"/>
        <w:ind w:left="360"/>
      </w:pPr>
    </w:p>
    <w:p w14:paraId="605EADEE" w14:textId="77777777" w:rsidR="008C5706" w:rsidRDefault="008C5706" w:rsidP="009C13B9"/>
    <w:p w14:paraId="2B436A30" w14:textId="77777777" w:rsidR="00B46F2C" w:rsidRDefault="00B46F2C" w:rsidP="009C13B9">
      <w:r>
        <w:t>To assist review, please provide answers to the following question:</w:t>
      </w:r>
    </w:p>
    <w:p w14:paraId="544D8E66" w14:textId="77777777" w:rsidR="00B46F2C" w:rsidRDefault="00B46F2C" w:rsidP="009C13B9">
      <w:pPr>
        <w:pStyle w:val="ListParagraph"/>
        <w:ind w:left="360"/>
      </w:pPr>
    </w:p>
    <w:p w14:paraId="3E5CCC86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1F18FC" w14:textId="2E3ADC7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[] Yes  [</w:t>
      </w:r>
      <w:r w:rsidR="005F625A">
        <w:t>X</w:t>
      </w:r>
      <w:r>
        <w:t xml:space="preserve"> ]  No </w:t>
      </w:r>
    </w:p>
    <w:p w14:paraId="090E2908" w14:textId="5116CCB2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3D6FC4">
        <w:t>yes</w:t>
      </w:r>
      <w:r>
        <w:t>, is the information that will be collected included in records that are subject to the Pri</w:t>
      </w:r>
      <w:r w:rsidR="00533ECA">
        <w:t xml:space="preserve">vacy Act of 1974?   [ </w:t>
      </w:r>
      <w:r w:rsidR="003D6FC4">
        <w:t>] Yes [</w:t>
      </w:r>
      <w:r w:rsidR="00533ECA">
        <w:t>X</w:t>
      </w:r>
      <w:r w:rsidR="003D6FC4">
        <w:t xml:space="preserve"> </w:t>
      </w:r>
      <w:r>
        <w:t xml:space="preserve">] No  </w:t>
      </w:r>
    </w:p>
    <w:p w14:paraId="7F48D532" w14:textId="090E9EE9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533ECA">
        <w:t xml:space="preserve">ords Notice been published?  [ </w:t>
      </w:r>
      <w:r>
        <w:t>] Yes  [</w:t>
      </w:r>
      <w:r w:rsidR="001D27F0">
        <w:t xml:space="preserve"> </w:t>
      </w:r>
      <w:r w:rsidR="00533ECA">
        <w:t>X</w:t>
      </w:r>
      <w:r>
        <w:t>] No</w:t>
      </w:r>
    </w:p>
    <w:p w14:paraId="4E773745" w14:textId="77777777" w:rsidR="00CD2AB0" w:rsidRDefault="00CD2AB0" w:rsidP="003D6FC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2827CF55" w14:textId="77777777" w:rsidR="00B46F2C" w:rsidRPr="00C86E91" w:rsidRDefault="00B46F2C" w:rsidP="00C86E91">
      <w:pPr>
        <w:pStyle w:val="ListParagraph"/>
        <w:ind w:left="0"/>
        <w:rPr>
          <w:b/>
        </w:rPr>
      </w:pPr>
      <w:bookmarkStart w:id="0" w:name="_GoBack"/>
      <w:bookmarkEnd w:id="0"/>
      <w:r>
        <w:rPr>
          <w:b/>
        </w:rPr>
        <w:t>Gifts or Payments:</w:t>
      </w:r>
    </w:p>
    <w:p w14:paraId="1A49C693" w14:textId="77777777" w:rsidR="008C5706" w:rsidRDefault="00B46F2C" w:rsidP="00C86E91">
      <w:r>
        <w:t xml:space="preserve">Is an incentive (e.g., money or reimbursement of expenses, token of appreciation) provided to participants?  [  ] Yes </w:t>
      </w:r>
      <w:proofErr w:type="gramStart"/>
      <w:r>
        <w:t>[</w:t>
      </w:r>
      <w:r w:rsidR="001D27F0">
        <w:t xml:space="preserve"> </w:t>
      </w:r>
      <w:r w:rsidR="00B0355F">
        <w:t>X</w:t>
      </w:r>
      <w:proofErr w:type="gramEnd"/>
      <w:r>
        <w:t>] No</w:t>
      </w:r>
    </w:p>
    <w:p w14:paraId="1B53AEF3" w14:textId="77777777" w:rsidR="008C5706" w:rsidRDefault="008C5706" w:rsidP="00C86E91"/>
    <w:p w14:paraId="746B66EF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758C3AD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710"/>
        <w:gridCol w:w="2250"/>
        <w:gridCol w:w="1296"/>
      </w:tblGrid>
      <w:tr w:rsidR="00B46F2C" w14:paraId="045D955C" w14:textId="77777777" w:rsidTr="00247D67">
        <w:trPr>
          <w:trHeight w:val="274"/>
        </w:trPr>
        <w:tc>
          <w:tcPr>
            <w:tcW w:w="4405" w:type="dxa"/>
          </w:tcPr>
          <w:p w14:paraId="0357B093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14:paraId="561D9A05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14:paraId="48AA8882" w14:textId="77777777" w:rsidR="00B46F2C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  <w:p w14:paraId="5143C322" w14:textId="77777777" w:rsidR="008C5706" w:rsidRPr="00512CA7" w:rsidRDefault="008C5706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1296" w:type="dxa"/>
          </w:tcPr>
          <w:p w14:paraId="2FA1DC60" w14:textId="77777777" w:rsidR="00B46F2C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14:paraId="6F900D5D" w14:textId="77777777" w:rsidR="008C5706" w:rsidRPr="00512CA7" w:rsidRDefault="008C5706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B46F2C" w14:paraId="6AE0B377" w14:textId="77777777" w:rsidTr="00247D67">
        <w:trPr>
          <w:trHeight w:val="274"/>
        </w:trPr>
        <w:tc>
          <w:tcPr>
            <w:tcW w:w="4405" w:type="dxa"/>
          </w:tcPr>
          <w:p w14:paraId="1537A58B" w14:textId="58E588E1" w:rsidR="00B46F2C" w:rsidRDefault="00570C68" w:rsidP="00843796">
            <w:r>
              <w:t>S</w:t>
            </w:r>
            <w:r w:rsidR="003F562B">
              <w:t>tate or local government workers</w:t>
            </w:r>
          </w:p>
          <w:p w14:paraId="12D6850A" w14:textId="77777777" w:rsidR="00247D67" w:rsidRDefault="00247D67" w:rsidP="00843796"/>
        </w:tc>
        <w:tc>
          <w:tcPr>
            <w:tcW w:w="1710" w:type="dxa"/>
          </w:tcPr>
          <w:p w14:paraId="4ABA854F" w14:textId="77777777" w:rsidR="00B46F2C" w:rsidRDefault="00123954" w:rsidP="00843796">
            <w:r>
              <w:t>20</w:t>
            </w:r>
          </w:p>
        </w:tc>
        <w:tc>
          <w:tcPr>
            <w:tcW w:w="2250" w:type="dxa"/>
          </w:tcPr>
          <w:p w14:paraId="7098F5C6" w14:textId="77777777" w:rsidR="00B46F2C" w:rsidRDefault="008C5706" w:rsidP="008C5706">
            <w:r>
              <w:t xml:space="preserve">45/60 </w:t>
            </w:r>
          </w:p>
        </w:tc>
        <w:tc>
          <w:tcPr>
            <w:tcW w:w="1296" w:type="dxa"/>
          </w:tcPr>
          <w:p w14:paraId="3719911C" w14:textId="77777777" w:rsidR="00B46F2C" w:rsidRDefault="00123954" w:rsidP="00843796">
            <w:r>
              <w:t>15</w:t>
            </w:r>
          </w:p>
        </w:tc>
      </w:tr>
      <w:tr w:rsidR="004A00FC" w14:paraId="20A6FE1C" w14:textId="77777777" w:rsidTr="00247D67">
        <w:trPr>
          <w:trHeight w:val="274"/>
        </w:trPr>
        <w:tc>
          <w:tcPr>
            <w:tcW w:w="4405" w:type="dxa"/>
          </w:tcPr>
          <w:p w14:paraId="4951C355" w14:textId="1F168A39" w:rsidR="004A00FC" w:rsidRDefault="00570C68" w:rsidP="004A00FC">
            <w:r>
              <w:t>P</w:t>
            </w:r>
            <w:r w:rsidR="003F562B">
              <w:t>rivate sector</w:t>
            </w:r>
          </w:p>
          <w:p w14:paraId="60BF6B52" w14:textId="77777777" w:rsidR="00123954" w:rsidRDefault="00123954" w:rsidP="004A00FC"/>
        </w:tc>
        <w:tc>
          <w:tcPr>
            <w:tcW w:w="1710" w:type="dxa"/>
          </w:tcPr>
          <w:p w14:paraId="2A8501A8" w14:textId="77777777" w:rsidR="004A00FC" w:rsidRDefault="004A00FC" w:rsidP="00843796">
            <w:r>
              <w:t>1</w:t>
            </w:r>
            <w:r w:rsidR="00247D67">
              <w:t>0</w:t>
            </w:r>
          </w:p>
        </w:tc>
        <w:tc>
          <w:tcPr>
            <w:tcW w:w="2250" w:type="dxa"/>
          </w:tcPr>
          <w:p w14:paraId="4B9D4DD7" w14:textId="77777777" w:rsidR="004A00FC" w:rsidRDefault="004A00FC" w:rsidP="008C5706">
            <w:r>
              <w:t>45</w:t>
            </w:r>
            <w:r w:rsidR="008C5706">
              <w:t xml:space="preserve">/60 </w:t>
            </w:r>
          </w:p>
        </w:tc>
        <w:tc>
          <w:tcPr>
            <w:tcW w:w="1296" w:type="dxa"/>
          </w:tcPr>
          <w:p w14:paraId="6CC019B4" w14:textId="3444DD6A" w:rsidR="004A00FC" w:rsidRDefault="00BF4ECA" w:rsidP="00843796">
            <w:r>
              <w:t>8</w:t>
            </w:r>
          </w:p>
        </w:tc>
      </w:tr>
      <w:tr w:rsidR="00B46F2C" w14:paraId="18CB6FAE" w14:textId="77777777" w:rsidTr="00247D67">
        <w:trPr>
          <w:trHeight w:val="289"/>
        </w:trPr>
        <w:tc>
          <w:tcPr>
            <w:tcW w:w="4405" w:type="dxa"/>
          </w:tcPr>
          <w:p w14:paraId="416F4B6B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65AD1A24" w14:textId="77777777" w:rsidR="00B46F2C" w:rsidRPr="00512CA7" w:rsidRDefault="004A00FC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247D67">
              <w:rPr>
                <w:b/>
              </w:rPr>
              <w:t>0</w:t>
            </w:r>
          </w:p>
        </w:tc>
        <w:tc>
          <w:tcPr>
            <w:tcW w:w="2250" w:type="dxa"/>
          </w:tcPr>
          <w:p w14:paraId="3CD0C1DA" w14:textId="77777777" w:rsidR="00B46F2C" w:rsidRDefault="00B46F2C" w:rsidP="00843796"/>
        </w:tc>
        <w:tc>
          <w:tcPr>
            <w:tcW w:w="1296" w:type="dxa"/>
          </w:tcPr>
          <w:p w14:paraId="2FA99BD1" w14:textId="09953AA7" w:rsidR="00B46F2C" w:rsidRPr="00512CA7" w:rsidRDefault="00BF4ECA" w:rsidP="00843796">
            <w:pPr>
              <w:rPr>
                <w:b/>
              </w:rPr>
            </w:pPr>
            <w:r>
              <w:rPr>
                <w:b/>
              </w:rPr>
              <w:t>23</w:t>
            </w:r>
            <w:r w:rsidR="00247D67">
              <w:rPr>
                <w:b/>
              </w:rPr>
              <w:t xml:space="preserve"> </w:t>
            </w:r>
            <w:r w:rsidR="004A00FC">
              <w:rPr>
                <w:b/>
              </w:rPr>
              <w:t>hours</w:t>
            </w:r>
          </w:p>
        </w:tc>
      </w:tr>
    </w:tbl>
    <w:p w14:paraId="4F881604" w14:textId="77777777" w:rsidR="00B46F2C" w:rsidRDefault="00B46F2C" w:rsidP="00F3170F"/>
    <w:p w14:paraId="32C16CF3" w14:textId="77777777" w:rsidR="00B46F2C" w:rsidRDefault="00B46F2C" w:rsidP="00F3170F"/>
    <w:p w14:paraId="417D636B" w14:textId="72EB7E41" w:rsidR="00B46F2C" w:rsidRDefault="00B46F2C">
      <w:pPr>
        <w:rPr>
          <w:b/>
        </w:rPr>
      </w:pPr>
      <w:r>
        <w:rPr>
          <w:b/>
        </w:rPr>
        <w:t>FEDERAL COST</w:t>
      </w:r>
      <w:r w:rsidRPr="00976ACE">
        <w:rPr>
          <w:b/>
          <w:u w:val="single"/>
        </w:rPr>
        <w:t xml:space="preserve">:  </w:t>
      </w:r>
      <w:r w:rsidR="00A301D1" w:rsidRPr="00976ACE">
        <w:rPr>
          <w:b/>
          <w:u w:val="single"/>
        </w:rPr>
        <w:t xml:space="preserve"> </w:t>
      </w:r>
      <w:r w:rsidR="00976ACE">
        <w:rPr>
          <w:b/>
          <w:u w:val="single"/>
        </w:rPr>
        <w:t xml:space="preserve">                                                                                                        </w:t>
      </w:r>
      <w:r w:rsidR="00BF4ECA">
        <w:rPr>
          <w:b/>
          <w:u w:val="single"/>
        </w:rPr>
        <w:t>$</w:t>
      </w:r>
      <w:r w:rsidR="00E463F8">
        <w:rPr>
          <w:b/>
          <w:u w:val="single"/>
        </w:rPr>
        <w:t>3,876</w:t>
      </w:r>
    </w:p>
    <w:p w14:paraId="025BE21B" w14:textId="77777777" w:rsidR="00A301D1" w:rsidRDefault="00A301D1">
      <w:pPr>
        <w:rPr>
          <w:b/>
          <w:bCs/>
          <w:u w:val="single"/>
        </w:rPr>
      </w:pPr>
    </w:p>
    <w:p w14:paraId="19FDDE4F" w14:textId="077C8ED8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F4ECA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3B462E88" w14:textId="77777777" w:rsidR="00B46F2C" w:rsidRDefault="00B46F2C" w:rsidP="00F06866">
      <w:pPr>
        <w:rPr>
          <w:b/>
        </w:rPr>
      </w:pPr>
    </w:p>
    <w:p w14:paraId="0E73D9DF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0D79F7E9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[] Yes</w:t>
      </w:r>
      <w:r>
        <w:tab/>
        <w:t>[</w:t>
      </w:r>
      <w:r w:rsidR="006A5450">
        <w:t>X</w:t>
      </w:r>
      <w:r>
        <w:t>] No</w:t>
      </w:r>
    </w:p>
    <w:p w14:paraId="1B286C74" w14:textId="77777777" w:rsidR="00B46F2C" w:rsidRDefault="00B46F2C" w:rsidP="00636621">
      <w:pPr>
        <w:pStyle w:val="ListParagraph"/>
      </w:pPr>
    </w:p>
    <w:p w14:paraId="78D56A90" w14:textId="77777777" w:rsidR="00B46F2C" w:rsidRDefault="00B46F2C" w:rsidP="00A403BB">
      <w:r w:rsidRPr="00636621">
        <w:t xml:space="preserve">If the answer is yes, </w:t>
      </w:r>
      <w:r>
        <w:t>please provide a description of both below (or attach the sampling plan</w:t>
      </w:r>
      <w:r w:rsidRPr="00285DC5">
        <w:t>)?   If the answer is no, please provide a description of how you plan to identify your potential group of respondents and how you will select them?</w:t>
      </w:r>
    </w:p>
    <w:p w14:paraId="2E662102" w14:textId="77777777" w:rsidR="002A5844" w:rsidRDefault="002A5844" w:rsidP="00A403BB"/>
    <w:p w14:paraId="1F0D0599" w14:textId="7DC04666" w:rsidR="002A5844" w:rsidRDefault="002A5844" w:rsidP="00A403BB">
      <w:r>
        <w:t xml:space="preserve">Customers are current and future implementers of return to learn protocols. </w:t>
      </w:r>
      <w:r w:rsidR="00BF4ECA">
        <w:t>We will identify and select responders according to the following:</w:t>
      </w:r>
    </w:p>
    <w:p w14:paraId="519C7714" w14:textId="77777777" w:rsidR="005504D8" w:rsidRDefault="005504D8" w:rsidP="00A403BB"/>
    <w:p w14:paraId="7A911274" w14:textId="01CF636F" w:rsidR="00905E6D" w:rsidRDefault="00123954" w:rsidP="00A403BB">
      <w:r w:rsidRPr="00123954">
        <w:rPr>
          <w:b/>
        </w:rPr>
        <w:t>For key i</w:t>
      </w:r>
      <w:r w:rsidR="002A5844" w:rsidRPr="00123954">
        <w:rPr>
          <w:b/>
        </w:rPr>
        <w:t xml:space="preserve">nformants in </w:t>
      </w:r>
      <w:r w:rsidRPr="00123954">
        <w:rPr>
          <w:b/>
        </w:rPr>
        <w:t>s</w:t>
      </w:r>
      <w:r w:rsidR="00E62D21">
        <w:rPr>
          <w:b/>
        </w:rPr>
        <w:t xml:space="preserve">tates with </w:t>
      </w:r>
      <w:r w:rsidR="002A5844" w:rsidRPr="00123954">
        <w:rPr>
          <w:b/>
        </w:rPr>
        <w:t xml:space="preserve">RTL </w:t>
      </w:r>
      <w:r w:rsidR="00BF4ECA">
        <w:rPr>
          <w:b/>
        </w:rPr>
        <w:t>practices</w:t>
      </w:r>
      <w:r w:rsidRPr="00123954">
        <w:rPr>
          <w:b/>
        </w:rPr>
        <w:t>:</w:t>
      </w:r>
      <w:r>
        <w:t xml:space="preserve"> </w:t>
      </w:r>
      <w:r w:rsidR="00E62D21">
        <w:t>W</w:t>
      </w:r>
      <w:r>
        <w:t>e will</w:t>
      </w:r>
      <w:r w:rsidR="002A5844">
        <w:t xml:space="preserve"> identify state departments of education </w:t>
      </w:r>
      <w:r w:rsidR="00694ACF">
        <w:t>or individual school districts, and will detect</w:t>
      </w:r>
      <w:r>
        <w:t xml:space="preserve"> potential </w:t>
      </w:r>
      <w:r w:rsidR="00BF4ECA">
        <w:t>responders</w:t>
      </w:r>
      <w:r w:rsidR="002A5844">
        <w:t xml:space="preserve"> (listed staff, contacts, or directors of particular departments)</w:t>
      </w:r>
      <w:r w:rsidR="00BF4ECA">
        <w:t>.</w:t>
      </w:r>
      <w:r w:rsidR="002A5844">
        <w:t xml:space="preserve"> </w:t>
      </w:r>
      <w:r w:rsidR="00BF4ECA">
        <w:t>W</w:t>
      </w:r>
      <w:r w:rsidR="00905E6D">
        <w:t xml:space="preserve">e will send invitation emails </w:t>
      </w:r>
      <w:r w:rsidR="00BF4ECA">
        <w:t xml:space="preserve">(Attachment A) </w:t>
      </w:r>
      <w:r w:rsidR="00905E6D">
        <w:t>to</w:t>
      </w:r>
      <w:r w:rsidR="00905E6D" w:rsidRPr="00247D67">
        <w:t xml:space="preserve"> informan</w:t>
      </w:r>
      <w:r w:rsidR="00E463F8">
        <w:t xml:space="preserve">ts identified </w:t>
      </w:r>
      <w:r w:rsidR="00BF4ECA">
        <w:t>in 7 of these states</w:t>
      </w:r>
      <w:r w:rsidR="00E463F8">
        <w:t>.</w:t>
      </w:r>
    </w:p>
    <w:p w14:paraId="2A7DE454" w14:textId="77777777" w:rsidR="00E62D21" w:rsidRDefault="00E62D21" w:rsidP="00A403BB"/>
    <w:p w14:paraId="3AAD2B7B" w14:textId="7472C547" w:rsidR="002A5844" w:rsidRDefault="00123954" w:rsidP="00A403BB">
      <w:r w:rsidRPr="00123954">
        <w:rPr>
          <w:b/>
        </w:rPr>
        <w:t>For key informants in s</w:t>
      </w:r>
      <w:r w:rsidR="002A5844" w:rsidRPr="00123954">
        <w:rPr>
          <w:b/>
        </w:rPr>
        <w:t xml:space="preserve">tates without codified RTL </w:t>
      </w:r>
      <w:r w:rsidR="00BF4ECA">
        <w:rPr>
          <w:b/>
        </w:rPr>
        <w:t>practices</w:t>
      </w:r>
      <w:r w:rsidR="002A5844">
        <w:t xml:space="preserve">: </w:t>
      </w:r>
      <w:r>
        <w:t>We will identify interviewees</w:t>
      </w:r>
      <w:r w:rsidR="00694ACF">
        <w:t xml:space="preserve"> </w:t>
      </w:r>
      <w:r w:rsidR="002A5844">
        <w:t xml:space="preserve">through internet research and through referrals from colleagues and other interviewees. </w:t>
      </w:r>
      <w:r w:rsidR="00905E6D">
        <w:t xml:space="preserve">We will send invitation emails to individuals in at least 5 of these states. </w:t>
      </w:r>
    </w:p>
    <w:p w14:paraId="2069D3AB" w14:textId="77777777" w:rsidR="00694ACF" w:rsidRDefault="00694ACF" w:rsidP="00A403BB"/>
    <w:p w14:paraId="16EA13A0" w14:textId="491A6E15" w:rsidR="00DB17B3" w:rsidRPr="00DB17B3" w:rsidRDefault="00123954" w:rsidP="00A403BB">
      <w:pPr>
        <w:rPr>
          <w:highlight w:val="yellow"/>
        </w:rPr>
      </w:pPr>
      <w:r w:rsidRPr="00123954">
        <w:rPr>
          <w:b/>
        </w:rPr>
        <w:t>For key informants in s</w:t>
      </w:r>
      <w:r w:rsidR="002A5844" w:rsidRPr="00123954">
        <w:rPr>
          <w:b/>
        </w:rPr>
        <w:t xml:space="preserve">tates with informal RTL </w:t>
      </w:r>
      <w:r w:rsidR="00BF4ECA">
        <w:rPr>
          <w:b/>
        </w:rPr>
        <w:t>practices</w:t>
      </w:r>
      <w:r w:rsidR="00BF4ECA" w:rsidRPr="00123954">
        <w:rPr>
          <w:b/>
        </w:rPr>
        <w:t xml:space="preserve"> </w:t>
      </w:r>
      <w:r w:rsidR="002A5844" w:rsidRPr="00123954">
        <w:rPr>
          <w:b/>
        </w:rPr>
        <w:t>/programs</w:t>
      </w:r>
      <w:r w:rsidR="003F562B">
        <w:t>:</w:t>
      </w:r>
      <w:r w:rsidR="003F562B" w:rsidRPr="003F562B">
        <w:t xml:space="preserve"> Using referrals and information from our assessment team’s network of colleagues, as well as Interne</w:t>
      </w:r>
      <w:r>
        <w:t xml:space="preserve">t research, we </w:t>
      </w:r>
      <w:r w:rsidR="003F562B">
        <w:t>will identify</w:t>
      </w:r>
      <w:r w:rsidR="003F562B" w:rsidRPr="003F562B">
        <w:t xml:space="preserve"> the directors, developers, and/or heads of established and widely disseminated return-to-learn programs.</w:t>
      </w:r>
      <w:r w:rsidR="00905E6D">
        <w:t xml:space="preserve"> We will send invitation emails </w:t>
      </w:r>
      <w:r w:rsidR="00BF4ECA">
        <w:t xml:space="preserve">(Attachment A) </w:t>
      </w:r>
      <w:r w:rsidR="00905E6D">
        <w:t>to individu</w:t>
      </w:r>
      <w:r w:rsidR="00247D67">
        <w:t xml:space="preserve">als from each of these programs. </w:t>
      </w:r>
    </w:p>
    <w:p w14:paraId="2CFFA60F" w14:textId="77777777" w:rsidR="00B46F2C" w:rsidRPr="00DB17B3" w:rsidRDefault="00B46F2C" w:rsidP="00A403BB">
      <w:pPr>
        <w:rPr>
          <w:highlight w:val="yellow"/>
        </w:rPr>
      </w:pPr>
    </w:p>
    <w:p w14:paraId="66926B7B" w14:textId="77777777" w:rsidR="00A301D1" w:rsidRPr="00DB17B3" w:rsidRDefault="00A301D1" w:rsidP="00A301D1">
      <w:pPr>
        <w:rPr>
          <w:highlight w:val="yellow"/>
        </w:rPr>
      </w:pPr>
    </w:p>
    <w:p w14:paraId="1A324C51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6A671DB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A6A9B67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36D884C7" w14:textId="77777777" w:rsidR="00B46F2C" w:rsidRDefault="003F562B" w:rsidP="001B0AAA">
      <w:pPr>
        <w:ind w:left="720"/>
      </w:pPr>
      <w:r>
        <w:t>[</w:t>
      </w:r>
      <w:r w:rsidR="00B0355F">
        <w:t>X</w:t>
      </w:r>
      <w:r w:rsidR="00B46F2C">
        <w:t>] Telephone</w:t>
      </w:r>
      <w:r w:rsidR="00B46F2C">
        <w:tab/>
      </w:r>
    </w:p>
    <w:p w14:paraId="2B6A8F46" w14:textId="77777777" w:rsidR="00B46F2C" w:rsidRDefault="003F562B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14:paraId="3207471F" w14:textId="77777777" w:rsidR="00B46F2C" w:rsidRDefault="00B46F2C" w:rsidP="001B0AAA">
      <w:pPr>
        <w:ind w:left="720"/>
      </w:pPr>
      <w:r>
        <w:t xml:space="preserve">[  ] Mail </w:t>
      </w:r>
    </w:p>
    <w:p w14:paraId="5C40502B" w14:textId="77777777" w:rsidR="00B46F2C" w:rsidRDefault="00B46F2C" w:rsidP="001B0AAA">
      <w:pPr>
        <w:ind w:left="720"/>
      </w:pPr>
      <w:r>
        <w:t>[  ] Other, Explain</w:t>
      </w:r>
    </w:p>
    <w:p w14:paraId="2A506EA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</w:t>
      </w:r>
      <w:r w:rsidR="00B0355F">
        <w:t>rs or facilitators be used?  [ X</w:t>
      </w:r>
      <w:r>
        <w:t>] Yes [  ] No</w:t>
      </w:r>
    </w:p>
    <w:p w14:paraId="6AB16E6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28DA1BE2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A5467" w14:textId="77777777" w:rsidR="008019CE" w:rsidRDefault="008019CE">
      <w:r>
        <w:separator/>
      </w:r>
    </w:p>
  </w:endnote>
  <w:endnote w:type="continuationSeparator" w:id="0">
    <w:p w14:paraId="3B4753E6" w14:textId="77777777" w:rsidR="008019CE" w:rsidRDefault="0080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F0BCB" w14:textId="77777777" w:rsidR="008019CE" w:rsidRDefault="008019C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C4ED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CE09F" w14:textId="77777777" w:rsidR="008019CE" w:rsidRDefault="008019CE">
      <w:r>
        <w:separator/>
      </w:r>
    </w:p>
  </w:footnote>
  <w:footnote w:type="continuationSeparator" w:id="0">
    <w:p w14:paraId="1C894462" w14:textId="77777777" w:rsidR="008019CE" w:rsidRDefault="0080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5565BF"/>
    <w:multiLevelType w:val="hybridMultilevel"/>
    <w:tmpl w:val="6DACC31C"/>
    <w:lvl w:ilvl="0" w:tplc="4E80D296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41828"/>
    <w:multiLevelType w:val="hybridMultilevel"/>
    <w:tmpl w:val="2A1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4B4B"/>
    <w:rsid w:val="00040DA6"/>
    <w:rsid w:val="00047A64"/>
    <w:rsid w:val="00052104"/>
    <w:rsid w:val="00067329"/>
    <w:rsid w:val="000724FE"/>
    <w:rsid w:val="000B2838"/>
    <w:rsid w:val="000B5CA0"/>
    <w:rsid w:val="000C038B"/>
    <w:rsid w:val="000C0FD1"/>
    <w:rsid w:val="000D44CA"/>
    <w:rsid w:val="000E200B"/>
    <w:rsid w:val="000E44C3"/>
    <w:rsid w:val="000F68BE"/>
    <w:rsid w:val="001013BB"/>
    <w:rsid w:val="00123954"/>
    <w:rsid w:val="00137DD4"/>
    <w:rsid w:val="001927A4"/>
    <w:rsid w:val="00194AC6"/>
    <w:rsid w:val="001A23B0"/>
    <w:rsid w:val="001A25CC"/>
    <w:rsid w:val="001B0AAA"/>
    <w:rsid w:val="001C39F7"/>
    <w:rsid w:val="001D0776"/>
    <w:rsid w:val="001D27F0"/>
    <w:rsid w:val="001E54E3"/>
    <w:rsid w:val="001F7D36"/>
    <w:rsid w:val="00237B48"/>
    <w:rsid w:val="0024521E"/>
    <w:rsid w:val="00247D67"/>
    <w:rsid w:val="00263C3D"/>
    <w:rsid w:val="00274D0B"/>
    <w:rsid w:val="002821FF"/>
    <w:rsid w:val="00285DC5"/>
    <w:rsid w:val="002A5844"/>
    <w:rsid w:val="002B3C95"/>
    <w:rsid w:val="002D0B92"/>
    <w:rsid w:val="002D1F5F"/>
    <w:rsid w:val="0030014C"/>
    <w:rsid w:val="00310F71"/>
    <w:rsid w:val="00354F3D"/>
    <w:rsid w:val="00361B65"/>
    <w:rsid w:val="003675DB"/>
    <w:rsid w:val="00373EF3"/>
    <w:rsid w:val="003D5BBE"/>
    <w:rsid w:val="003D6FC4"/>
    <w:rsid w:val="003E3C61"/>
    <w:rsid w:val="003F1C5B"/>
    <w:rsid w:val="003F562B"/>
    <w:rsid w:val="0041337D"/>
    <w:rsid w:val="00434E33"/>
    <w:rsid w:val="00441434"/>
    <w:rsid w:val="0045264C"/>
    <w:rsid w:val="004876EC"/>
    <w:rsid w:val="004A00FC"/>
    <w:rsid w:val="004D6E14"/>
    <w:rsid w:val="005009B0"/>
    <w:rsid w:val="00512CA7"/>
    <w:rsid w:val="00532FB3"/>
    <w:rsid w:val="00533ECA"/>
    <w:rsid w:val="005504D8"/>
    <w:rsid w:val="0055648E"/>
    <w:rsid w:val="005640FA"/>
    <w:rsid w:val="00564896"/>
    <w:rsid w:val="00570C68"/>
    <w:rsid w:val="005812AE"/>
    <w:rsid w:val="0058506F"/>
    <w:rsid w:val="005A1006"/>
    <w:rsid w:val="005A72E6"/>
    <w:rsid w:val="005E714A"/>
    <w:rsid w:val="005F027A"/>
    <w:rsid w:val="005F625A"/>
    <w:rsid w:val="006140A0"/>
    <w:rsid w:val="00620F3A"/>
    <w:rsid w:val="00636621"/>
    <w:rsid w:val="00642B49"/>
    <w:rsid w:val="00654CD3"/>
    <w:rsid w:val="006576DC"/>
    <w:rsid w:val="006832D9"/>
    <w:rsid w:val="00685ED5"/>
    <w:rsid w:val="0069403B"/>
    <w:rsid w:val="00694ACF"/>
    <w:rsid w:val="006A5450"/>
    <w:rsid w:val="006E12B5"/>
    <w:rsid w:val="006E5095"/>
    <w:rsid w:val="006F3DDE"/>
    <w:rsid w:val="00700664"/>
    <w:rsid w:val="007032F1"/>
    <w:rsid w:val="00704678"/>
    <w:rsid w:val="00717C10"/>
    <w:rsid w:val="00740F33"/>
    <w:rsid w:val="007425E7"/>
    <w:rsid w:val="00742B16"/>
    <w:rsid w:val="00754875"/>
    <w:rsid w:val="00776756"/>
    <w:rsid w:val="00782194"/>
    <w:rsid w:val="00797159"/>
    <w:rsid w:val="00797D10"/>
    <w:rsid w:val="007F446A"/>
    <w:rsid w:val="00801729"/>
    <w:rsid w:val="008019CE"/>
    <w:rsid w:val="00802607"/>
    <w:rsid w:val="008101A5"/>
    <w:rsid w:val="00813766"/>
    <w:rsid w:val="00820FC9"/>
    <w:rsid w:val="00822664"/>
    <w:rsid w:val="00830CD0"/>
    <w:rsid w:val="00840FCA"/>
    <w:rsid w:val="00843796"/>
    <w:rsid w:val="00850152"/>
    <w:rsid w:val="00895229"/>
    <w:rsid w:val="008C5706"/>
    <w:rsid w:val="008F0203"/>
    <w:rsid w:val="008F50D4"/>
    <w:rsid w:val="00905E6D"/>
    <w:rsid w:val="009239AA"/>
    <w:rsid w:val="00933361"/>
    <w:rsid w:val="00935ADA"/>
    <w:rsid w:val="00946B6C"/>
    <w:rsid w:val="00955A71"/>
    <w:rsid w:val="0096108F"/>
    <w:rsid w:val="00976ACE"/>
    <w:rsid w:val="009816A2"/>
    <w:rsid w:val="00983060"/>
    <w:rsid w:val="009C1205"/>
    <w:rsid w:val="009C13B9"/>
    <w:rsid w:val="009D01A2"/>
    <w:rsid w:val="009F5923"/>
    <w:rsid w:val="00A301D1"/>
    <w:rsid w:val="00A403BB"/>
    <w:rsid w:val="00A602E2"/>
    <w:rsid w:val="00A674DF"/>
    <w:rsid w:val="00A71B4D"/>
    <w:rsid w:val="00A83AA6"/>
    <w:rsid w:val="00A86707"/>
    <w:rsid w:val="00AB1EDF"/>
    <w:rsid w:val="00AE1809"/>
    <w:rsid w:val="00B0355F"/>
    <w:rsid w:val="00B46F2C"/>
    <w:rsid w:val="00B659FA"/>
    <w:rsid w:val="00B80B6A"/>
    <w:rsid w:val="00B80D76"/>
    <w:rsid w:val="00B91FA4"/>
    <w:rsid w:val="00BA2105"/>
    <w:rsid w:val="00BA4395"/>
    <w:rsid w:val="00BA7E06"/>
    <w:rsid w:val="00BB1B0E"/>
    <w:rsid w:val="00BB4145"/>
    <w:rsid w:val="00BB43B5"/>
    <w:rsid w:val="00BB6219"/>
    <w:rsid w:val="00BD290F"/>
    <w:rsid w:val="00BE029A"/>
    <w:rsid w:val="00BF1E35"/>
    <w:rsid w:val="00BF4ECA"/>
    <w:rsid w:val="00C14CC4"/>
    <w:rsid w:val="00C32192"/>
    <w:rsid w:val="00C33C52"/>
    <w:rsid w:val="00C40D8B"/>
    <w:rsid w:val="00C6661F"/>
    <w:rsid w:val="00C8407A"/>
    <w:rsid w:val="00C8488C"/>
    <w:rsid w:val="00C862BE"/>
    <w:rsid w:val="00C86E91"/>
    <w:rsid w:val="00C9427E"/>
    <w:rsid w:val="00C956E6"/>
    <w:rsid w:val="00CA0374"/>
    <w:rsid w:val="00CA2650"/>
    <w:rsid w:val="00CB1078"/>
    <w:rsid w:val="00CC6FAF"/>
    <w:rsid w:val="00CC70AE"/>
    <w:rsid w:val="00CD2AB0"/>
    <w:rsid w:val="00D24698"/>
    <w:rsid w:val="00D31374"/>
    <w:rsid w:val="00D6383F"/>
    <w:rsid w:val="00D71221"/>
    <w:rsid w:val="00DB17B3"/>
    <w:rsid w:val="00DB59D0"/>
    <w:rsid w:val="00DB62CF"/>
    <w:rsid w:val="00DC33D3"/>
    <w:rsid w:val="00DC4EDA"/>
    <w:rsid w:val="00DD2CBA"/>
    <w:rsid w:val="00E2594A"/>
    <w:rsid w:val="00E26329"/>
    <w:rsid w:val="00E40B50"/>
    <w:rsid w:val="00E463F8"/>
    <w:rsid w:val="00E50293"/>
    <w:rsid w:val="00E62D21"/>
    <w:rsid w:val="00E65FFC"/>
    <w:rsid w:val="00E80951"/>
    <w:rsid w:val="00E854FE"/>
    <w:rsid w:val="00E86CC6"/>
    <w:rsid w:val="00EA55F8"/>
    <w:rsid w:val="00EB56B3"/>
    <w:rsid w:val="00ED6492"/>
    <w:rsid w:val="00EF2095"/>
    <w:rsid w:val="00F02586"/>
    <w:rsid w:val="00F06866"/>
    <w:rsid w:val="00F15956"/>
    <w:rsid w:val="00F21C7B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0071BAA6"/>
  <w15:docId w15:val="{3F6E5873-2DD6-4CBC-9E95-26C0E87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3D6F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828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(CDC/ONDIEH/NCIPC)</cp:lastModifiedBy>
  <cp:revision>5</cp:revision>
  <cp:lastPrinted>2012-08-06T16:52:00Z</cp:lastPrinted>
  <dcterms:created xsi:type="dcterms:W3CDTF">2016-02-26T00:52:00Z</dcterms:created>
  <dcterms:modified xsi:type="dcterms:W3CDTF">2016-03-01T19:52:00Z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