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9B3794" w:rsidRDefault="00422D38" w:rsidP="00CE5AA9">
      <w:pPr>
        <w:tabs>
          <w:tab w:val="center" w:pos="4680"/>
        </w:tabs>
        <w:spacing w:before="120"/>
        <w:jc w:val="center"/>
        <w:rPr>
          <w:b/>
          <w:bCs/>
          <w:sz w:val="32"/>
          <w:szCs w:val="32"/>
        </w:rPr>
      </w:pPr>
      <w:r>
        <w:rPr>
          <w:b/>
          <w:bCs/>
          <w:sz w:val="32"/>
          <w:szCs w:val="32"/>
        </w:rPr>
        <w:t xml:space="preserve">Delta States Rural Development Network </w:t>
      </w:r>
      <w:proofErr w:type="gramStart"/>
      <w:r>
        <w:rPr>
          <w:b/>
          <w:bCs/>
          <w:sz w:val="32"/>
          <w:szCs w:val="32"/>
        </w:rPr>
        <w:t xml:space="preserve">Grant </w:t>
      </w:r>
      <w:r w:rsidR="00D236ED">
        <w:rPr>
          <w:b/>
          <w:bCs/>
          <w:sz w:val="32"/>
          <w:szCs w:val="32"/>
        </w:rPr>
        <w:t xml:space="preserve"> Program</w:t>
      </w:r>
      <w:proofErr w:type="gramEnd"/>
      <w:r w:rsidR="00D236ED">
        <w:rPr>
          <w:b/>
          <w:bCs/>
          <w:sz w:val="32"/>
          <w:szCs w:val="32"/>
        </w:rPr>
        <w:t xml:space="preserve"> </w:t>
      </w:r>
      <w:r w:rsidR="00145928">
        <w:rPr>
          <w:b/>
          <w:bCs/>
          <w:sz w:val="32"/>
          <w:szCs w:val="32"/>
        </w:rPr>
        <w:t xml:space="preserve">Performance Improvement </w:t>
      </w:r>
      <w:proofErr w:type="spellStart"/>
      <w:r w:rsidR="00D236ED">
        <w:rPr>
          <w:b/>
          <w:bCs/>
          <w:sz w:val="32"/>
          <w:szCs w:val="32"/>
        </w:rPr>
        <w:t>Measures</w:t>
      </w:r>
      <w:r w:rsidR="00145928">
        <w:rPr>
          <w:b/>
          <w:bCs/>
          <w:sz w:val="32"/>
          <w:szCs w:val="32"/>
        </w:rPr>
        <w:t>ment</w:t>
      </w:r>
      <w:proofErr w:type="spellEnd"/>
      <w:r w:rsidR="00145928">
        <w:rPr>
          <w:b/>
          <w:bCs/>
          <w:sz w:val="32"/>
          <w:szCs w:val="32"/>
        </w:rPr>
        <w:t xml:space="preserve"> System </w:t>
      </w:r>
      <w:r w:rsidR="00290AD1">
        <w:rPr>
          <w:b/>
          <w:bCs/>
          <w:sz w:val="32"/>
          <w:szCs w:val="32"/>
        </w:rPr>
        <w:t>Measures</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Pr="00011DA2" w:rsidRDefault="00DE3A45" w:rsidP="00CE5AA9">
      <w:pPr>
        <w:spacing w:before="120"/>
        <w:rPr>
          <w:b/>
          <w:sz w:val="24"/>
        </w:rPr>
      </w:pPr>
      <w:r w:rsidRPr="00011DA2">
        <w:rPr>
          <w:b/>
          <w:sz w:val="24"/>
        </w:rPr>
        <w:t>Terms of Clearance</w:t>
      </w:r>
      <w:r w:rsidR="00BA1A0C" w:rsidRPr="00011DA2">
        <w:rPr>
          <w:b/>
          <w:sz w:val="24"/>
        </w:rPr>
        <w:t>:</w:t>
      </w:r>
      <w:r w:rsidR="00BA1A0C" w:rsidRPr="00011DA2">
        <w:rPr>
          <w:sz w:val="24"/>
        </w:rPr>
        <w:t xml:space="preserve">  </w:t>
      </w:r>
      <w:r w:rsidR="00D236ED" w:rsidRPr="00011DA2">
        <w:rPr>
          <w:sz w:val="24"/>
        </w:rPr>
        <w:t>None</w:t>
      </w:r>
      <w:r w:rsidR="00BA1A0C" w:rsidRPr="00011DA2">
        <w:rPr>
          <w:b/>
          <w:sz w:val="24"/>
        </w:rPr>
        <w:t xml:space="preserve"> </w:t>
      </w:r>
    </w:p>
    <w:p w:rsidR="009B3794" w:rsidRPr="00011DA2" w:rsidRDefault="009B3794" w:rsidP="00CA3DA6">
      <w:pPr>
        <w:spacing w:before="120"/>
        <w:rPr>
          <w:b/>
          <w:bCs/>
          <w:sz w:val="24"/>
        </w:rPr>
      </w:pPr>
      <w:r w:rsidRPr="00011DA2">
        <w:rPr>
          <w:b/>
          <w:bCs/>
          <w:sz w:val="24"/>
        </w:rPr>
        <w:t>A.</w:t>
      </w:r>
      <w:r w:rsidRPr="00011DA2">
        <w:rPr>
          <w:b/>
          <w:bCs/>
          <w:sz w:val="24"/>
        </w:rPr>
        <w:tab/>
        <w:t>Justification</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Circumstances Making the Collection of Information Necessary</w:t>
      </w:r>
    </w:p>
    <w:p w:rsidR="003234E8" w:rsidRPr="00011DA2" w:rsidRDefault="003234E8" w:rsidP="003234E8">
      <w:pPr>
        <w:rPr>
          <w:sz w:val="24"/>
        </w:rPr>
      </w:pPr>
    </w:p>
    <w:p w:rsidR="00D236ED" w:rsidRPr="00011DA2" w:rsidRDefault="00D236ED" w:rsidP="00BB552C">
      <w:pPr>
        <w:ind w:left="360"/>
        <w:rPr>
          <w:color w:val="FF0000"/>
          <w:sz w:val="24"/>
        </w:rPr>
      </w:pPr>
      <w:r w:rsidRPr="00011DA2">
        <w:rPr>
          <w:sz w:val="24"/>
        </w:rPr>
        <w:t xml:space="preserve">The Health Resources and Services Administration (HRSA)’s </w:t>
      </w:r>
      <w:r w:rsidR="008C262F">
        <w:rPr>
          <w:sz w:val="24"/>
        </w:rPr>
        <w:t xml:space="preserve">Federal </w:t>
      </w:r>
      <w:r w:rsidRPr="00011DA2">
        <w:rPr>
          <w:sz w:val="24"/>
        </w:rPr>
        <w:t xml:space="preserve">Office of Rural Health Policy (ORHP) is requesting OMB approval to collect information on grantee activities and performance measures electronically through the Performance Improvement and Measurement System (PIMS).  This activity will collect information for the </w:t>
      </w:r>
      <w:r w:rsidR="00422D38">
        <w:rPr>
          <w:sz w:val="24"/>
        </w:rPr>
        <w:t xml:space="preserve">Delta States Rural Development Network Grant </w:t>
      </w:r>
      <w:r w:rsidR="008C262F">
        <w:rPr>
          <w:sz w:val="24"/>
        </w:rPr>
        <w:t>P</w:t>
      </w:r>
      <w:r w:rsidR="008C262F" w:rsidRPr="00011DA2">
        <w:rPr>
          <w:sz w:val="24"/>
        </w:rPr>
        <w:t xml:space="preserve">rogram </w:t>
      </w:r>
      <w:r w:rsidR="003234E8" w:rsidRPr="00011DA2">
        <w:rPr>
          <w:sz w:val="24"/>
        </w:rPr>
        <w:t>(</w:t>
      </w:r>
      <w:r w:rsidR="00BB4135">
        <w:rPr>
          <w:sz w:val="24"/>
        </w:rPr>
        <w:t xml:space="preserve">Delta </w:t>
      </w:r>
      <w:r w:rsidR="00F60EEA">
        <w:rPr>
          <w:sz w:val="24"/>
        </w:rPr>
        <w:t>States</w:t>
      </w:r>
      <w:r w:rsidR="00BB4135">
        <w:rPr>
          <w:sz w:val="24"/>
        </w:rPr>
        <w:t>)</w:t>
      </w:r>
      <w:r w:rsidR="00FB1BBC">
        <w:rPr>
          <w:sz w:val="24"/>
        </w:rPr>
        <w:t xml:space="preserve"> </w:t>
      </w:r>
      <w:r w:rsidRPr="00011DA2">
        <w:rPr>
          <w:sz w:val="24"/>
        </w:rPr>
        <w:t>to provide HRSA with information on grant activities funded under this program</w:t>
      </w:r>
      <w:r w:rsidR="004050DE" w:rsidRPr="00011DA2">
        <w:rPr>
          <w:sz w:val="24"/>
        </w:rPr>
        <w:t>. These measures last received OMB review and approval under OMB Number 0915-0319 and have</w:t>
      </w:r>
      <w:r w:rsidRPr="00011DA2">
        <w:rPr>
          <w:sz w:val="24"/>
        </w:rPr>
        <w:t xml:space="preserve"> a current expiration date of </w:t>
      </w:r>
      <w:r w:rsidR="004050DE" w:rsidRPr="00011DA2">
        <w:rPr>
          <w:sz w:val="24"/>
        </w:rPr>
        <w:t>August 31, 2014</w:t>
      </w:r>
      <w:r w:rsidRPr="00011DA2">
        <w:rPr>
          <w:sz w:val="24"/>
        </w:rPr>
        <w:t xml:space="preserve">.   </w:t>
      </w:r>
    </w:p>
    <w:p w:rsidR="005C482E" w:rsidRDefault="00D236ED" w:rsidP="005C482E">
      <w:pPr>
        <w:spacing w:before="240"/>
        <w:ind w:left="360"/>
        <w:rPr>
          <w:sz w:val="24"/>
        </w:rPr>
      </w:pPr>
      <w:proofErr w:type="gramStart"/>
      <w:r w:rsidRPr="00011DA2">
        <w:rPr>
          <w:sz w:val="24"/>
        </w:rPr>
        <w:t>In its authorizing language (SEC. 711.</w:t>
      </w:r>
      <w:proofErr w:type="gramEnd"/>
      <w:r w:rsidRPr="00011DA2">
        <w:rPr>
          <w:sz w:val="24"/>
        </w:rPr>
        <w:t xml:space="preserve"> [42 U.S.C. 912]), Congress charged ORHP with “administering grants, cooperative agreements, and contracts to provide technical assistance and other activities as necessary to support activities related to improving health care in rural areas.” ORHP’s mission is to sustain and improve access to quality health care services for rural communities. </w:t>
      </w:r>
    </w:p>
    <w:p w:rsidR="00D236ED" w:rsidRPr="00594FD5" w:rsidRDefault="002E5020" w:rsidP="005C482E">
      <w:pPr>
        <w:spacing w:before="240"/>
        <w:ind w:left="360"/>
        <w:rPr>
          <w:sz w:val="24"/>
        </w:rPr>
      </w:pPr>
      <w:r w:rsidRPr="00594FD5">
        <w:rPr>
          <w:sz w:val="24"/>
        </w:rPr>
        <w:t xml:space="preserve">The </w:t>
      </w:r>
      <w:r w:rsidR="005C482E" w:rsidRPr="00594FD5">
        <w:rPr>
          <w:sz w:val="24"/>
        </w:rPr>
        <w:t xml:space="preserve">Delta States Rural Development </w:t>
      </w:r>
      <w:proofErr w:type="spellStart"/>
      <w:r w:rsidR="00891AEA">
        <w:rPr>
          <w:sz w:val="24"/>
        </w:rPr>
        <w:t>Network</w:t>
      </w:r>
      <w:proofErr w:type="gramStart"/>
      <w:r w:rsidR="00891AEA">
        <w:rPr>
          <w:sz w:val="24"/>
        </w:rPr>
        <w:t>,</w:t>
      </w:r>
      <w:r w:rsidR="008C262F" w:rsidRPr="00594FD5">
        <w:rPr>
          <w:sz w:val="24"/>
        </w:rPr>
        <w:t>Program</w:t>
      </w:r>
      <w:proofErr w:type="spellEnd"/>
      <w:proofErr w:type="gramEnd"/>
      <w:r w:rsidR="008C262F" w:rsidRPr="00594FD5">
        <w:rPr>
          <w:sz w:val="24"/>
        </w:rPr>
        <w:t xml:space="preserve"> </w:t>
      </w:r>
      <w:r w:rsidRPr="00594FD5">
        <w:rPr>
          <w:sz w:val="24"/>
        </w:rPr>
        <w:t xml:space="preserve">is authorized by </w:t>
      </w:r>
      <w:r w:rsidR="00422D38" w:rsidRPr="00594FD5">
        <w:rPr>
          <w:sz w:val="24"/>
        </w:rPr>
        <w:t xml:space="preserve">Section 330A(e), of the Public Health Service (PHS) Act, 42 U.S.C. 254c. This program </w:t>
      </w:r>
      <w:r w:rsidR="00422D38" w:rsidRPr="00594FD5">
        <w:rPr>
          <w:rFonts w:eastAsiaTheme="minorEastAsia" w:cstheme="minorBidi"/>
          <w:sz w:val="24"/>
        </w:rPr>
        <w:t xml:space="preserve">supports projects that demonstrate evidence based and/or promising approaches around cardiovascular disease, diabetes, or obesity in order to improve health status in rural communities throughout the Delta Region.  Key features of programs are collaboration, adoption of an evidence-based approach, demonstration of health outcomes, program </w:t>
      </w:r>
      <w:proofErr w:type="spellStart"/>
      <w:r w:rsidR="00422D38" w:rsidRPr="00594FD5">
        <w:rPr>
          <w:rFonts w:eastAsiaTheme="minorEastAsia" w:cstheme="minorBidi"/>
          <w:sz w:val="24"/>
        </w:rPr>
        <w:t>replicability</w:t>
      </w:r>
      <w:proofErr w:type="spellEnd"/>
      <w:r w:rsidR="00422D38" w:rsidRPr="00594FD5">
        <w:rPr>
          <w:rFonts w:eastAsiaTheme="minorEastAsia" w:cstheme="minorBidi"/>
          <w:sz w:val="24"/>
        </w:rPr>
        <w:t xml:space="preserve"> and sustainability.  </w:t>
      </w:r>
    </w:p>
    <w:p w:rsidR="009B3794" w:rsidRPr="002E37FA" w:rsidRDefault="009B3794" w:rsidP="00CA3DA6">
      <w:pPr>
        <w:numPr>
          <w:ilvl w:val="0"/>
          <w:numId w:val="2"/>
        </w:numPr>
        <w:tabs>
          <w:tab w:val="clear" w:pos="1080"/>
          <w:tab w:val="num" w:pos="360"/>
        </w:tabs>
        <w:spacing w:before="240"/>
        <w:ind w:left="360"/>
        <w:rPr>
          <w:b/>
          <w:sz w:val="24"/>
        </w:rPr>
      </w:pPr>
      <w:r w:rsidRPr="00011DA2">
        <w:rPr>
          <w:b/>
          <w:sz w:val="24"/>
          <w:u w:val="single"/>
        </w:rPr>
        <w:t>Purpose and Use of Information Collection</w:t>
      </w:r>
    </w:p>
    <w:p w:rsidR="002E37FA" w:rsidRPr="00011DA2" w:rsidRDefault="002E37FA" w:rsidP="002E37FA">
      <w:pPr>
        <w:spacing w:before="240"/>
        <w:rPr>
          <w:b/>
          <w:sz w:val="24"/>
        </w:rPr>
      </w:pPr>
    </w:p>
    <w:p w:rsidR="003234E8" w:rsidRPr="00011DA2" w:rsidRDefault="003234E8" w:rsidP="003234E8">
      <w:pPr>
        <w:rPr>
          <w:sz w:val="24"/>
        </w:rPr>
      </w:pPr>
    </w:p>
    <w:p w:rsidR="003234E8" w:rsidRPr="00011DA2" w:rsidRDefault="00DB3582" w:rsidP="00BB552C">
      <w:pPr>
        <w:ind w:left="360"/>
        <w:rPr>
          <w:sz w:val="24"/>
        </w:rPr>
      </w:pPr>
      <w:r>
        <w:rPr>
          <w:sz w:val="24"/>
        </w:rPr>
        <w:lastRenderedPageBreak/>
        <w:t>The ORHP conducts an annual data</w:t>
      </w:r>
      <w:r w:rsidR="003234E8" w:rsidRPr="00011DA2">
        <w:rPr>
          <w:sz w:val="24"/>
        </w:rPr>
        <w:t xml:space="preserve"> collection of user information for the </w:t>
      </w:r>
      <w:r w:rsidR="00BA2B8E">
        <w:rPr>
          <w:sz w:val="24"/>
        </w:rPr>
        <w:t>Delta States</w:t>
      </w:r>
      <w:r w:rsidR="003234E8" w:rsidRPr="00011DA2">
        <w:rPr>
          <w:sz w:val="24"/>
        </w:rPr>
        <w:t xml:space="preserve"> Program</w:t>
      </w:r>
      <w:r w:rsidR="00106D7B">
        <w:rPr>
          <w:sz w:val="24"/>
        </w:rPr>
        <w:t xml:space="preserve"> called the Performance Improvement Measurement System (PIMS)</w:t>
      </w:r>
      <w:r w:rsidR="003234E8" w:rsidRPr="00011DA2">
        <w:rPr>
          <w:sz w:val="24"/>
        </w:rPr>
        <w:t xml:space="preserve">.  The purpose of this data collection is to provide HRSA with information on how well each grantee is meeting the needs of </w:t>
      </w:r>
      <w:r w:rsidR="00BA2B8E">
        <w:rPr>
          <w:sz w:val="24"/>
        </w:rPr>
        <w:t>improving health outc</w:t>
      </w:r>
      <w:r w:rsidR="005C482E">
        <w:rPr>
          <w:sz w:val="24"/>
        </w:rPr>
        <w:t>omes in their Delta communities</w:t>
      </w:r>
      <w:r w:rsidR="002E37FA">
        <w:rPr>
          <w:sz w:val="24"/>
        </w:rPr>
        <w:t xml:space="preserve">, and on how well they are doing </w:t>
      </w:r>
      <w:proofErr w:type="gramStart"/>
      <w:r w:rsidR="002E37FA">
        <w:rPr>
          <w:sz w:val="24"/>
        </w:rPr>
        <w:t xml:space="preserve">in </w:t>
      </w:r>
      <w:r w:rsidR="00BA2B8E">
        <w:rPr>
          <w:sz w:val="24"/>
        </w:rPr>
        <w:t xml:space="preserve"> </w:t>
      </w:r>
      <w:r w:rsidR="003234E8" w:rsidRPr="00011DA2">
        <w:rPr>
          <w:sz w:val="24"/>
        </w:rPr>
        <w:t>planning</w:t>
      </w:r>
      <w:proofErr w:type="gramEnd"/>
      <w:r w:rsidR="003234E8" w:rsidRPr="00011DA2">
        <w:rPr>
          <w:sz w:val="24"/>
        </w:rPr>
        <w:t xml:space="preserve"> and developing an integrated healthcare network.</w:t>
      </w:r>
    </w:p>
    <w:p w:rsidR="003234E8" w:rsidRPr="00011DA2" w:rsidRDefault="003234E8" w:rsidP="00BB552C">
      <w:pPr>
        <w:ind w:left="1080"/>
        <w:rPr>
          <w:sz w:val="24"/>
        </w:rPr>
      </w:pPr>
    </w:p>
    <w:p w:rsidR="003234E8" w:rsidRPr="00011DA2" w:rsidRDefault="003234E8" w:rsidP="00BB552C">
      <w:pPr>
        <w:ind w:left="360"/>
        <w:rPr>
          <w:sz w:val="24"/>
        </w:rPr>
      </w:pPr>
      <w:r w:rsidRPr="00011DA2">
        <w:rPr>
          <w:sz w:val="24"/>
        </w:rPr>
        <w:t xml:space="preserve">Data is collected </w:t>
      </w:r>
      <w:r w:rsidR="00DB3582">
        <w:rPr>
          <w:sz w:val="24"/>
        </w:rPr>
        <w:t>annually and</w:t>
      </w:r>
      <w:r w:rsidRPr="00011DA2">
        <w:rPr>
          <w:sz w:val="24"/>
        </w:rPr>
        <w:t xml:space="preserve"> provides quantitative information about the programs, specifically</w:t>
      </w:r>
      <w:r w:rsidR="008C262F">
        <w:rPr>
          <w:sz w:val="24"/>
        </w:rPr>
        <w:t xml:space="preserve"> the characteristics of</w:t>
      </w:r>
      <w:r w:rsidRPr="00011DA2">
        <w:rPr>
          <w:sz w:val="24"/>
        </w:rPr>
        <w:t xml:space="preserve">: </w:t>
      </w:r>
      <w:r w:rsidR="008A0277" w:rsidRPr="00011DA2">
        <w:rPr>
          <w:sz w:val="24"/>
        </w:rPr>
        <w:t>a</w:t>
      </w:r>
      <w:r w:rsidR="003E7FB2" w:rsidRPr="00011DA2">
        <w:rPr>
          <w:sz w:val="24"/>
        </w:rPr>
        <w:t xml:space="preserve">) </w:t>
      </w:r>
      <w:r w:rsidR="00BA2B8E">
        <w:rPr>
          <w:sz w:val="24"/>
        </w:rPr>
        <w:t>demographics of the population served</w:t>
      </w:r>
      <w:r w:rsidR="008A0277" w:rsidRPr="00011DA2">
        <w:rPr>
          <w:sz w:val="24"/>
        </w:rPr>
        <w:t xml:space="preserve"> b) </w:t>
      </w:r>
      <w:r w:rsidR="00BA2B8E">
        <w:rPr>
          <w:sz w:val="24"/>
        </w:rPr>
        <w:t>health promotion</w:t>
      </w:r>
      <w:r w:rsidR="00637E82">
        <w:rPr>
          <w:sz w:val="24"/>
        </w:rPr>
        <w:t>/services</w:t>
      </w:r>
      <w:r w:rsidR="00BA2B8E">
        <w:rPr>
          <w:sz w:val="24"/>
        </w:rPr>
        <w:t xml:space="preserve"> activities</w:t>
      </w:r>
      <w:r w:rsidR="008A0277" w:rsidRPr="00011DA2">
        <w:rPr>
          <w:sz w:val="24"/>
        </w:rPr>
        <w:t xml:space="preserve"> c) </w:t>
      </w:r>
      <w:r w:rsidR="008C262F">
        <w:rPr>
          <w:sz w:val="24"/>
        </w:rPr>
        <w:t xml:space="preserve">sustainability, and d) </w:t>
      </w:r>
      <w:r w:rsidR="00BA2B8E">
        <w:rPr>
          <w:sz w:val="24"/>
        </w:rPr>
        <w:t>clinical outcomes</w:t>
      </w:r>
      <w:r w:rsidR="008A0277" w:rsidRPr="00011DA2">
        <w:rPr>
          <w:sz w:val="24"/>
        </w:rPr>
        <w:t>.</w:t>
      </w:r>
      <w:r w:rsidRPr="00011DA2">
        <w:rPr>
          <w:sz w:val="24"/>
        </w:rPr>
        <w:t xml:space="preserve">  </w:t>
      </w:r>
    </w:p>
    <w:p w:rsidR="003234E8" w:rsidRPr="00011DA2" w:rsidRDefault="003234E8" w:rsidP="00BB552C">
      <w:pPr>
        <w:ind w:left="360"/>
        <w:rPr>
          <w:sz w:val="24"/>
        </w:rPr>
      </w:pPr>
    </w:p>
    <w:p w:rsidR="003234E8" w:rsidRPr="00011DA2" w:rsidRDefault="003234E8" w:rsidP="00BB552C">
      <w:pPr>
        <w:ind w:left="360"/>
        <w:rPr>
          <w:sz w:val="24"/>
        </w:rPr>
      </w:pPr>
      <w:r w:rsidRPr="00011DA2">
        <w:rPr>
          <w:sz w:val="24"/>
        </w:rPr>
        <w:t xml:space="preserve">This assessment will provide useful information on the </w:t>
      </w:r>
      <w:r w:rsidR="00BA2B8E">
        <w:rPr>
          <w:sz w:val="24"/>
        </w:rPr>
        <w:t>Delta States</w:t>
      </w:r>
      <w:r w:rsidR="00891AEA">
        <w:rPr>
          <w:sz w:val="24"/>
        </w:rPr>
        <w:t xml:space="preserve"> </w:t>
      </w:r>
      <w:r w:rsidR="00A67173">
        <w:rPr>
          <w:sz w:val="24"/>
        </w:rPr>
        <w:t>P</w:t>
      </w:r>
      <w:r w:rsidR="00A67173" w:rsidRPr="00011DA2">
        <w:rPr>
          <w:sz w:val="24"/>
        </w:rPr>
        <w:t xml:space="preserve">rogram </w:t>
      </w:r>
      <w:r w:rsidRPr="00011DA2">
        <w:rPr>
          <w:sz w:val="24"/>
        </w:rPr>
        <w:t xml:space="preserve">and will enable HRSA to </w:t>
      </w:r>
      <w:r w:rsidR="008A0277" w:rsidRPr="00011DA2">
        <w:rPr>
          <w:sz w:val="24"/>
        </w:rPr>
        <w:t>assess the success of the program.</w:t>
      </w:r>
      <w:r w:rsidRPr="00011DA2">
        <w:rPr>
          <w:sz w:val="24"/>
        </w:rPr>
        <w:t xml:space="preserve">  It will also ensure that funded organizations have demonstrated a need for services in their communities and </w:t>
      </w:r>
      <w:r w:rsidR="00F046A6" w:rsidRPr="00011DA2">
        <w:rPr>
          <w:sz w:val="24"/>
        </w:rPr>
        <w:t>those federal funds</w:t>
      </w:r>
      <w:r w:rsidRPr="00011DA2">
        <w:rPr>
          <w:sz w:val="24"/>
        </w:rPr>
        <w:t xml:space="preserve"> are being effectively used to provide services to meet those needs.</w:t>
      </w:r>
    </w:p>
    <w:p w:rsidR="003234E8" w:rsidRPr="00011DA2" w:rsidRDefault="003234E8" w:rsidP="00BB552C">
      <w:pPr>
        <w:ind w:left="360"/>
        <w:rPr>
          <w:sz w:val="24"/>
        </w:rPr>
      </w:pPr>
    </w:p>
    <w:p w:rsidR="003234E8" w:rsidRPr="00011DA2" w:rsidRDefault="003234E8" w:rsidP="00BB552C">
      <w:pPr>
        <w:ind w:left="360"/>
        <w:rPr>
          <w:sz w:val="24"/>
        </w:rPr>
      </w:pPr>
      <w:r w:rsidRPr="00011DA2">
        <w:rPr>
          <w:sz w:val="24"/>
        </w:rPr>
        <w:t xml:space="preserve">The type of information requested in the </w:t>
      </w:r>
      <w:r w:rsidR="00637E82">
        <w:rPr>
          <w:sz w:val="24"/>
        </w:rPr>
        <w:t>Delta States</w:t>
      </w:r>
      <w:r w:rsidRPr="00011DA2">
        <w:rPr>
          <w:sz w:val="24"/>
        </w:rPr>
        <w:t xml:space="preserve"> PIMS enables ORHP to assess the following characteristics about its programs:</w:t>
      </w:r>
    </w:p>
    <w:p w:rsidR="003234E8" w:rsidRPr="00011DA2" w:rsidRDefault="003234E8" w:rsidP="00BB552C">
      <w:pPr>
        <w:ind w:left="1080"/>
        <w:rPr>
          <w:sz w:val="24"/>
        </w:rPr>
      </w:pPr>
    </w:p>
    <w:p w:rsidR="003234E8" w:rsidRPr="00011DA2" w:rsidRDefault="003234E8" w:rsidP="00BB552C">
      <w:pPr>
        <w:widowControl/>
        <w:numPr>
          <w:ilvl w:val="0"/>
          <w:numId w:val="45"/>
        </w:numPr>
        <w:autoSpaceDE/>
        <w:autoSpaceDN/>
        <w:adjustRightInd/>
        <w:ind w:left="1800"/>
        <w:rPr>
          <w:sz w:val="24"/>
        </w:rPr>
      </w:pPr>
      <w:r w:rsidRPr="00011DA2">
        <w:rPr>
          <w:sz w:val="24"/>
        </w:rPr>
        <w:t xml:space="preserve">The </w:t>
      </w:r>
      <w:r w:rsidR="00637E82">
        <w:rPr>
          <w:sz w:val="24"/>
        </w:rPr>
        <w:t>characteristics of the population served through Delta funding</w:t>
      </w:r>
    </w:p>
    <w:p w:rsidR="008A0277" w:rsidRPr="00011DA2" w:rsidRDefault="008A0277" w:rsidP="00BB552C">
      <w:pPr>
        <w:widowControl/>
        <w:numPr>
          <w:ilvl w:val="0"/>
          <w:numId w:val="45"/>
        </w:numPr>
        <w:autoSpaceDE/>
        <w:autoSpaceDN/>
        <w:adjustRightInd/>
        <w:ind w:left="1800"/>
        <w:rPr>
          <w:sz w:val="24"/>
        </w:rPr>
      </w:pPr>
      <w:r w:rsidRPr="00011DA2">
        <w:rPr>
          <w:sz w:val="24"/>
        </w:rPr>
        <w:t xml:space="preserve">The </w:t>
      </w:r>
      <w:r w:rsidR="00637E82">
        <w:rPr>
          <w:sz w:val="24"/>
        </w:rPr>
        <w:t>types of services funded through the program</w:t>
      </w:r>
    </w:p>
    <w:p w:rsidR="008A0277" w:rsidRDefault="008A0277" w:rsidP="00BB552C">
      <w:pPr>
        <w:widowControl/>
        <w:numPr>
          <w:ilvl w:val="0"/>
          <w:numId w:val="45"/>
        </w:numPr>
        <w:autoSpaceDE/>
        <w:autoSpaceDN/>
        <w:adjustRightInd/>
        <w:ind w:left="1800"/>
        <w:rPr>
          <w:sz w:val="24"/>
        </w:rPr>
      </w:pPr>
      <w:r w:rsidRPr="00011DA2">
        <w:rPr>
          <w:sz w:val="24"/>
        </w:rPr>
        <w:t>The types of sustainability efforts</w:t>
      </w:r>
      <w:r w:rsidR="00E9598F" w:rsidRPr="00011DA2">
        <w:rPr>
          <w:sz w:val="24"/>
        </w:rPr>
        <w:t xml:space="preserve"> initiated to maintain </w:t>
      </w:r>
      <w:r w:rsidR="00637E82">
        <w:rPr>
          <w:sz w:val="24"/>
        </w:rPr>
        <w:t>services</w:t>
      </w:r>
    </w:p>
    <w:p w:rsidR="00A67173" w:rsidRPr="00011DA2" w:rsidRDefault="00637E82" w:rsidP="00BB552C">
      <w:pPr>
        <w:widowControl/>
        <w:numPr>
          <w:ilvl w:val="0"/>
          <w:numId w:val="45"/>
        </w:numPr>
        <w:autoSpaceDE/>
        <w:autoSpaceDN/>
        <w:adjustRightInd/>
        <w:ind w:left="1800"/>
        <w:rPr>
          <w:sz w:val="24"/>
        </w:rPr>
      </w:pPr>
      <w:r>
        <w:rPr>
          <w:sz w:val="24"/>
        </w:rPr>
        <w:t xml:space="preserve">The degree to which funding has affected clinical outcomes amongst the population served. </w:t>
      </w:r>
    </w:p>
    <w:p w:rsidR="003234E8" w:rsidRPr="00011DA2" w:rsidRDefault="003234E8" w:rsidP="00BB552C">
      <w:pPr>
        <w:ind w:left="360"/>
        <w:rPr>
          <w:sz w:val="24"/>
        </w:rPr>
      </w:pPr>
    </w:p>
    <w:p w:rsidR="003234E8" w:rsidRPr="00011DA2" w:rsidRDefault="003234E8" w:rsidP="00BB552C">
      <w:pPr>
        <w:ind w:left="360"/>
        <w:rPr>
          <w:sz w:val="24"/>
        </w:rPr>
      </w:pPr>
      <w:r w:rsidRPr="00011DA2">
        <w:rPr>
          <w:sz w:val="24"/>
        </w:rPr>
        <w:t xml:space="preserve">The database is capable of identifying and responding to the needs of the </w:t>
      </w:r>
      <w:r w:rsidR="00637E82">
        <w:rPr>
          <w:sz w:val="24"/>
        </w:rPr>
        <w:t xml:space="preserve">Delta </w:t>
      </w:r>
      <w:proofErr w:type="gramStart"/>
      <w:r w:rsidR="00637E82">
        <w:rPr>
          <w:sz w:val="24"/>
        </w:rPr>
        <w:t xml:space="preserve">States </w:t>
      </w:r>
      <w:r w:rsidRPr="00011DA2">
        <w:rPr>
          <w:sz w:val="24"/>
        </w:rPr>
        <w:t xml:space="preserve"> </w:t>
      </w:r>
      <w:r w:rsidR="008456BF">
        <w:rPr>
          <w:sz w:val="24"/>
        </w:rPr>
        <w:t>Program</w:t>
      </w:r>
      <w:proofErr w:type="gramEnd"/>
      <w:r w:rsidR="008456BF">
        <w:rPr>
          <w:sz w:val="24"/>
        </w:rPr>
        <w:t xml:space="preserve"> </w:t>
      </w:r>
      <w:r w:rsidRPr="00011DA2">
        <w:rPr>
          <w:sz w:val="24"/>
        </w:rPr>
        <w:t>community.  The database</w:t>
      </w:r>
      <w:r w:rsidR="008456BF">
        <w:rPr>
          <w:sz w:val="24"/>
        </w:rPr>
        <w:t>:</w:t>
      </w:r>
    </w:p>
    <w:p w:rsidR="003234E8" w:rsidRPr="00011DA2" w:rsidRDefault="003234E8" w:rsidP="00BB552C">
      <w:pPr>
        <w:ind w:left="1080"/>
        <w:rPr>
          <w:sz w:val="24"/>
        </w:rPr>
      </w:pPr>
    </w:p>
    <w:p w:rsidR="003234E8" w:rsidRPr="00011DA2" w:rsidRDefault="003234E8" w:rsidP="00BB552C">
      <w:pPr>
        <w:widowControl/>
        <w:numPr>
          <w:ilvl w:val="0"/>
          <w:numId w:val="44"/>
        </w:numPr>
        <w:tabs>
          <w:tab w:val="clear" w:pos="720"/>
          <w:tab w:val="num" w:pos="1080"/>
          <w:tab w:val="num" w:pos="1440"/>
        </w:tabs>
        <w:autoSpaceDE/>
        <w:autoSpaceDN/>
        <w:adjustRightInd/>
        <w:ind w:left="1800"/>
        <w:rPr>
          <w:sz w:val="24"/>
        </w:rPr>
      </w:pPr>
      <w:r w:rsidRPr="00011DA2">
        <w:rPr>
          <w:sz w:val="24"/>
        </w:rPr>
        <w:t>Provides uniformly defined data for major ORHP grant programs.</w:t>
      </w:r>
    </w:p>
    <w:p w:rsidR="003234E8" w:rsidRPr="00011DA2" w:rsidRDefault="00E9598F" w:rsidP="00BB552C">
      <w:pPr>
        <w:widowControl/>
        <w:numPr>
          <w:ilvl w:val="0"/>
          <w:numId w:val="44"/>
        </w:numPr>
        <w:tabs>
          <w:tab w:val="clear" w:pos="720"/>
          <w:tab w:val="num" w:pos="1080"/>
          <w:tab w:val="num" w:pos="1440"/>
        </w:tabs>
        <w:autoSpaceDE/>
        <w:autoSpaceDN/>
        <w:adjustRightInd/>
        <w:ind w:left="1800"/>
        <w:rPr>
          <w:sz w:val="24"/>
        </w:rPr>
      </w:pPr>
      <w:r w:rsidRPr="00011DA2">
        <w:rPr>
          <w:sz w:val="24"/>
        </w:rPr>
        <w:t>Yields information</w:t>
      </w:r>
      <w:r w:rsidR="00637E82">
        <w:rPr>
          <w:sz w:val="24"/>
        </w:rPr>
        <w:t xml:space="preserve"> areas </w:t>
      </w:r>
      <w:r w:rsidR="00637E82" w:rsidRPr="00011DA2">
        <w:rPr>
          <w:sz w:val="24"/>
        </w:rPr>
        <w:t>that</w:t>
      </w:r>
      <w:r w:rsidR="00637E82">
        <w:rPr>
          <w:sz w:val="24"/>
        </w:rPr>
        <w:t xml:space="preserve"> may </w:t>
      </w:r>
      <w:r w:rsidR="003234E8" w:rsidRPr="00011DA2">
        <w:rPr>
          <w:sz w:val="24"/>
        </w:rPr>
        <w:t>lack sufficient national and state data.</w:t>
      </w:r>
    </w:p>
    <w:p w:rsidR="003234E8" w:rsidRPr="00011DA2" w:rsidRDefault="003234E8" w:rsidP="00BB552C">
      <w:pPr>
        <w:widowControl/>
        <w:numPr>
          <w:ilvl w:val="0"/>
          <w:numId w:val="44"/>
        </w:numPr>
        <w:tabs>
          <w:tab w:val="clear" w:pos="720"/>
          <w:tab w:val="num" w:pos="1080"/>
          <w:tab w:val="num" w:pos="1440"/>
        </w:tabs>
        <w:autoSpaceDE/>
        <w:autoSpaceDN/>
        <w:adjustRightInd/>
        <w:ind w:left="1800"/>
        <w:rPr>
          <w:sz w:val="24"/>
        </w:rPr>
      </w:pPr>
      <w:r w:rsidRPr="00011DA2">
        <w:rPr>
          <w:sz w:val="24"/>
        </w:rPr>
        <w:t>Facilitates the electronic transmission of data by the grantees, through use of standard formats and definitions.</w:t>
      </w:r>
    </w:p>
    <w:p w:rsidR="009B3794" w:rsidRPr="00011DA2" w:rsidRDefault="009B3794" w:rsidP="00CA3DA6">
      <w:pPr>
        <w:numPr>
          <w:ilvl w:val="0"/>
          <w:numId w:val="2"/>
        </w:numPr>
        <w:tabs>
          <w:tab w:val="clear" w:pos="1080"/>
          <w:tab w:val="num" w:pos="360"/>
        </w:tabs>
        <w:spacing w:before="240"/>
        <w:ind w:left="360"/>
        <w:rPr>
          <w:sz w:val="24"/>
        </w:rPr>
      </w:pPr>
      <w:r w:rsidRPr="00011DA2">
        <w:rPr>
          <w:b/>
          <w:sz w:val="24"/>
          <w:u w:val="single"/>
        </w:rPr>
        <w:t>Use of Improved Information Technology and Burden Reduction</w:t>
      </w:r>
    </w:p>
    <w:p w:rsidR="00713F20" w:rsidRPr="00011DA2" w:rsidRDefault="00713F20" w:rsidP="00BB552C">
      <w:pPr>
        <w:spacing w:before="120"/>
        <w:ind w:left="360"/>
        <w:rPr>
          <w:sz w:val="24"/>
        </w:rPr>
      </w:pPr>
      <w:r w:rsidRPr="00011DA2">
        <w:rPr>
          <w:sz w:val="24"/>
        </w:rPr>
        <w:t>This activity is fully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lastRenderedPageBreak/>
        <w:t>Efforts to  Identify Duplication and Use of Similar Information</w:t>
      </w:r>
    </w:p>
    <w:p w:rsidR="00713F20" w:rsidRPr="00011DA2" w:rsidRDefault="00713F20" w:rsidP="00BB552C">
      <w:pPr>
        <w:spacing w:before="120"/>
        <w:ind w:left="360"/>
        <w:rPr>
          <w:sz w:val="24"/>
        </w:rPr>
      </w:pPr>
      <w:r w:rsidRPr="00011DA2">
        <w:rPr>
          <w:sz w:val="24"/>
        </w:rPr>
        <w:t xml:space="preserve">There is no other data source available that tracks </w:t>
      </w:r>
      <w:r w:rsidR="00E9598F" w:rsidRPr="00011DA2">
        <w:rPr>
          <w:sz w:val="24"/>
        </w:rPr>
        <w:t xml:space="preserve">the characteristics of a </w:t>
      </w:r>
      <w:r w:rsidR="00503EBE">
        <w:rPr>
          <w:sz w:val="24"/>
        </w:rPr>
        <w:t xml:space="preserve">of Federal </w:t>
      </w:r>
      <w:proofErr w:type="gramStart"/>
      <w:r w:rsidR="00503EBE">
        <w:rPr>
          <w:sz w:val="24"/>
        </w:rPr>
        <w:t>funding  in</w:t>
      </w:r>
      <w:proofErr w:type="gramEnd"/>
      <w:r w:rsidR="00503EBE">
        <w:rPr>
          <w:sz w:val="24"/>
        </w:rPr>
        <w:t xml:space="preserve"> the rural counties of the </w:t>
      </w:r>
      <w:r w:rsidR="00FA7F94">
        <w:rPr>
          <w:sz w:val="24"/>
        </w:rPr>
        <w:t>Delta region.</w:t>
      </w:r>
    </w:p>
    <w:p w:rsidR="00713F20" w:rsidRPr="00011DA2" w:rsidRDefault="00713F20" w:rsidP="00CA3DA6">
      <w:pPr>
        <w:spacing w:before="120"/>
        <w:rPr>
          <w:sz w:val="24"/>
        </w:rPr>
      </w:pPr>
    </w:p>
    <w:p w:rsidR="009B3794" w:rsidRPr="00011DA2" w:rsidRDefault="009B3794" w:rsidP="00CA3DA6">
      <w:pPr>
        <w:numPr>
          <w:ilvl w:val="0"/>
          <w:numId w:val="2"/>
        </w:numPr>
        <w:tabs>
          <w:tab w:val="clear" w:pos="1080"/>
          <w:tab w:val="num" w:pos="360"/>
        </w:tabs>
        <w:spacing w:before="240"/>
        <w:ind w:left="360"/>
        <w:rPr>
          <w:color w:val="000000"/>
          <w:sz w:val="24"/>
        </w:rPr>
      </w:pPr>
      <w:r w:rsidRPr="00011DA2">
        <w:rPr>
          <w:b/>
          <w:sz w:val="24"/>
          <w:u w:val="single"/>
        </w:rPr>
        <w:t>Impact on Small Businesses or Other Small Entities</w:t>
      </w:r>
    </w:p>
    <w:p w:rsidR="00713F20" w:rsidRPr="00011DA2" w:rsidRDefault="00713F20" w:rsidP="00BB552C">
      <w:pPr>
        <w:spacing w:before="120"/>
        <w:ind w:left="360"/>
        <w:rPr>
          <w:sz w:val="24"/>
        </w:rPr>
      </w:pPr>
      <w:r w:rsidRPr="00011DA2">
        <w:rPr>
          <w:sz w:val="24"/>
        </w:rPr>
        <w:t>Every effort has been made to ensure the data requested</w:t>
      </w:r>
      <w:r w:rsidR="00932610" w:rsidRPr="00011DA2">
        <w:rPr>
          <w:sz w:val="24"/>
        </w:rPr>
        <w:t xml:space="preserve"> is data that is currently being collected by the projects or can be easily incorporated into normal project procedures. Data being requested by projects is </w:t>
      </w:r>
      <w:r w:rsidRPr="00011DA2">
        <w:rPr>
          <w:sz w:val="24"/>
        </w:rPr>
        <w:t>useful in determining whether grantee goals and objectives are being met. The data collection activities will not have a significant impact on small entities.</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Consequences of Collecting the Information Less Frequent</w:t>
      </w:r>
      <w:r w:rsidR="001325B2" w:rsidRPr="00011DA2">
        <w:rPr>
          <w:b/>
          <w:sz w:val="24"/>
          <w:u w:val="single"/>
        </w:rPr>
        <w:t>ly</w:t>
      </w:r>
    </w:p>
    <w:p w:rsidR="00713F20" w:rsidRPr="00011DA2" w:rsidRDefault="009417EE" w:rsidP="009417EE">
      <w:pPr>
        <w:widowControl/>
        <w:autoSpaceDE/>
        <w:autoSpaceDN/>
        <w:adjustRightInd/>
        <w:spacing w:before="120"/>
        <w:ind w:left="360"/>
        <w:rPr>
          <w:color w:val="000000"/>
          <w:sz w:val="24"/>
        </w:rPr>
      </w:pPr>
      <w:r w:rsidRPr="00011DA2">
        <w:rPr>
          <w:color w:val="000000"/>
          <w:sz w:val="24"/>
        </w:rPr>
        <w:t xml:space="preserve">Respondents will respond to this data collection on </w:t>
      </w:r>
      <w:r w:rsidR="00DB3582">
        <w:rPr>
          <w:color w:val="000000"/>
          <w:sz w:val="24"/>
        </w:rPr>
        <w:t>an annual basis</w:t>
      </w:r>
      <w:r w:rsidRPr="00011DA2">
        <w:rPr>
          <w:color w:val="000000"/>
          <w:sz w:val="24"/>
        </w:rPr>
        <w:t>.</w:t>
      </w:r>
      <w:r w:rsidR="00713F20" w:rsidRPr="00011DA2">
        <w:rPr>
          <w:color w:val="000000"/>
          <w:sz w:val="24"/>
        </w:rPr>
        <w:t xml:space="preserve"> This information is needed by the program, ORHP and HRSA in order to measure effective use of grant dollars to report on progress toward strategic goals and objectives.  There are no legal obstacles to reduce the burden</w:t>
      </w:r>
      <w:r w:rsidRPr="00011DA2">
        <w:rPr>
          <w:color w:val="000000"/>
          <w:sz w:val="24"/>
        </w:rPr>
        <w:t>.</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Special Circumstances Relating to the Guidelines of 5 CFR 1320.5</w:t>
      </w:r>
    </w:p>
    <w:p w:rsidR="00713F20" w:rsidRPr="00011DA2" w:rsidRDefault="00713F20" w:rsidP="00713F20">
      <w:pPr>
        <w:spacing w:before="120"/>
        <w:ind w:left="360"/>
        <w:rPr>
          <w:sz w:val="24"/>
        </w:rPr>
      </w:pPr>
      <w:r w:rsidRPr="00011DA2">
        <w:rPr>
          <w:sz w:val="24"/>
        </w:rPr>
        <w:t xml:space="preserve">This project is consistent with the </w:t>
      </w:r>
      <w:r w:rsidR="00FE686A" w:rsidRPr="00011DA2">
        <w:rPr>
          <w:sz w:val="24"/>
        </w:rPr>
        <w:t>guidelines in 5 CFR 1320.5</w:t>
      </w:r>
      <w:r w:rsidRPr="00011DA2">
        <w:rPr>
          <w:sz w:val="24"/>
        </w:rPr>
        <w:t>.</w:t>
      </w:r>
    </w:p>
    <w:p w:rsidR="009B3794" w:rsidRPr="00011DA2" w:rsidRDefault="009B3794" w:rsidP="00CA3DA6">
      <w:pPr>
        <w:numPr>
          <w:ilvl w:val="0"/>
          <w:numId w:val="2"/>
        </w:numPr>
        <w:tabs>
          <w:tab w:val="clear" w:pos="1080"/>
          <w:tab w:val="num" w:pos="360"/>
        </w:tabs>
        <w:spacing w:before="240"/>
        <w:ind w:left="360"/>
        <w:rPr>
          <w:b/>
          <w:sz w:val="24"/>
        </w:rPr>
      </w:pPr>
      <w:r w:rsidRPr="00011DA2">
        <w:rPr>
          <w:b/>
          <w:iCs/>
          <w:sz w:val="24"/>
          <w:u w:val="single"/>
        </w:rPr>
        <w:t>Comments in Response to the Federal Register</w:t>
      </w:r>
      <w:r w:rsidRPr="00011DA2">
        <w:rPr>
          <w:b/>
          <w:sz w:val="24"/>
          <w:u w:val="single"/>
        </w:rPr>
        <w:t xml:space="preserve"> Notice/Outside Consultation</w:t>
      </w:r>
    </w:p>
    <w:p w:rsidR="00DE3A45" w:rsidRPr="00011DA2" w:rsidRDefault="00DE3A45" w:rsidP="00CA3DA6">
      <w:pPr>
        <w:spacing w:before="120"/>
        <w:rPr>
          <w:b/>
          <w:sz w:val="24"/>
        </w:rPr>
      </w:pPr>
      <w:r w:rsidRPr="00011DA2">
        <w:rPr>
          <w:b/>
          <w:sz w:val="24"/>
        </w:rPr>
        <w:t>Section 8A:</w:t>
      </w:r>
    </w:p>
    <w:p w:rsidR="00713F20" w:rsidRDefault="00713F20" w:rsidP="00713F20">
      <w:pPr>
        <w:spacing w:before="120"/>
        <w:ind w:left="360"/>
        <w:rPr>
          <w:sz w:val="24"/>
        </w:rPr>
      </w:pPr>
      <w:r w:rsidRPr="00011DA2">
        <w:rPr>
          <w:sz w:val="24"/>
        </w:rPr>
        <w:t xml:space="preserve">A 60-day Federal Register Notice was published in the Federal Register on </w:t>
      </w:r>
      <w:r w:rsidR="00067E2E">
        <w:rPr>
          <w:sz w:val="24"/>
        </w:rPr>
        <w:t>February 11</w:t>
      </w:r>
      <w:r w:rsidRPr="00011DA2">
        <w:rPr>
          <w:sz w:val="24"/>
        </w:rPr>
        <w:t>, 201</w:t>
      </w:r>
      <w:r w:rsidR="00067E2E">
        <w:rPr>
          <w:sz w:val="24"/>
        </w:rPr>
        <w:t>4</w:t>
      </w:r>
      <w:r w:rsidRPr="00011DA2">
        <w:rPr>
          <w:sz w:val="24"/>
        </w:rPr>
        <w:t>, vol. 7</w:t>
      </w:r>
      <w:r w:rsidR="00067E2E">
        <w:rPr>
          <w:sz w:val="24"/>
        </w:rPr>
        <w:t>9</w:t>
      </w:r>
      <w:r w:rsidRPr="00011DA2">
        <w:rPr>
          <w:sz w:val="24"/>
        </w:rPr>
        <w:t xml:space="preserve">, No. </w:t>
      </w:r>
      <w:r w:rsidR="00067E2E">
        <w:rPr>
          <w:sz w:val="24"/>
        </w:rPr>
        <w:t>28</w:t>
      </w:r>
      <w:r w:rsidR="003E7FB2" w:rsidRPr="00011DA2">
        <w:rPr>
          <w:sz w:val="24"/>
        </w:rPr>
        <w:t>;</w:t>
      </w:r>
      <w:r w:rsidR="00F534C9" w:rsidRPr="00011DA2">
        <w:rPr>
          <w:sz w:val="24"/>
        </w:rPr>
        <w:t xml:space="preserve"> p. </w:t>
      </w:r>
      <w:r w:rsidR="00067E2E">
        <w:rPr>
          <w:sz w:val="24"/>
        </w:rPr>
        <w:t>8196</w:t>
      </w:r>
      <w:r w:rsidR="00F534C9" w:rsidRPr="00011DA2">
        <w:rPr>
          <w:sz w:val="24"/>
        </w:rPr>
        <w:t xml:space="preserve"> </w:t>
      </w:r>
      <w:r w:rsidR="00F534C9" w:rsidRPr="00B42CA8">
        <w:rPr>
          <w:sz w:val="24"/>
        </w:rPr>
        <w:t>(s</w:t>
      </w:r>
      <w:r w:rsidR="00F50559" w:rsidRPr="00B42CA8">
        <w:rPr>
          <w:sz w:val="24"/>
        </w:rPr>
        <w:t>ee attachment A).</w:t>
      </w:r>
    </w:p>
    <w:p w:rsidR="00F50559" w:rsidRPr="00011DA2" w:rsidRDefault="00D9624C" w:rsidP="00713F20">
      <w:pPr>
        <w:spacing w:before="120"/>
        <w:ind w:left="360"/>
        <w:rPr>
          <w:sz w:val="24"/>
        </w:rPr>
      </w:pPr>
      <w:r>
        <w:rPr>
          <w:sz w:val="24"/>
        </w:rPr>
        <w:t>There were no public comments.</w:t>
      </w:r>
    </w:p>
    <w:p w:rsidR="00F50559" w:rsidRDefault="00F50559" w:rsidP="00CA3DA6">
      <w:pPr>
        <w:spacing w:before="120"/>
        <w:rPr>
          <w:b/>
          <w:sz w:val="24"/>
        </w:rPr>
      </w:pPr>
    </w:p>
    <w:p w:rsidR="00DE3A45" w:rsidRPr="00011DA2" w:rsidRDefault="00DE3A45" w:rsidP="00CA3DA6">
      <w:pPr>
        <w:spacing w:before="120"/>
        <w:rPr>
          <w:b/>
          <w:sz w:val="24"/>
        </w:rPr>
      </w:pPr>
      <w:r w:rsidRPr="00011DA2">
        <w:rPr>
          <w:b/>
          <w:sz w:val="24"/>
        </w:rPr>
        <w:t>Section 8B:</w:t>
      </w:r>
    </w:p>
    <w:p w:rsidR="00713F20" w:rsidRPr="00011DA2" w:rsidRDefault="00713F20" w:rsidP="00713F20">
      <w:pPr>
        <w:spacing w:before="120"/>
        <w:ind w:left="360"/>
        <w:rPr>
          <w:sz w:val="24"/>
        </w:rPr>
      </w:pPr>
      <w:r w:rsidRPr="00011DA2">
        <w:rPr>
          <w:sz w:val="24"/>
        </w:rPr>
        <w:t>In order to create a final set of performance measures that are useful for all program grantees, a</w:t>
      </w:r>
      <w:r w:rsidR="00F534C9" w:rsidRPr="00011DA2">
        <w:rPr>
          <w:sz w:val="24"/>
        </w:rPr>
        <w:t xml:space="preserve"> </w:t>
      </w:r>
      <w:r w:rsidRPr="00011DA2">
        <w:rPr>
          <w:sz w:val="24"/>
        </w:rPr>
        <w:t>set of measures was vetted to nine or less participating grantee organizations in 2013. The following grantees</w:t>
      </w:r>
      <w:r w:rsidR="002C64D1" w:rsidRPr="00011DA2">
        <w:rPr>
          <w:sz w:val="24"/>
        </w:rPr>
        <w:t xml:space="preserve"> were consulted</w:t>
      </w:r>
      <w:r w:rsidRPr="00011DA2">
        <w:rPr>
          <w:sz w:val="24"/>
        </w:rPr>
        <w:t xml:space="preserve">: </w:t>
      </w:r>
    </w:p>
    <w:p w:rsidR="00A20BF0" w:rsidRDefault="00A20BF0" w:rsidP="00A20BF0">
      <w:pPr>
        <w:keepNext/>
        <w:ind w:left="180" w:hanging="180"/>
        <w:rPr>
          <w:rFonts w:ascii="Calibri" w:hAnsi="Calibri"/>
          <w:b/>
          <w:noProof/>
          <w:sz w:val="22"/>
          <w:szCs w:val="22"/>
        </w:rPr>
      </w:pPr>
    </w:p>
    <w:p w:rsidR="00A20BF0" w:rsidRPr="00B42CA8" w:rsidRDefault="00A20BF0" w:rsidP="00A20BF0">
      <w:pPr>
        <w:keepNext/>
        <w:ind w:left="180" w:hanging="180"/>
        <w:rPr>
          <w:b/>
          <w:noProof/>
          <w:sz w:val="22"/>
          <w:szCs w:val="22"/>
        </w:rPr>
      </w:pPr>
      <w:r w:rsidRPr="00B42CA8">
        <w:rPr>
          <w:b/>
          <w:noProof/>
          <w:sz w:val="22"/>
          <w:szCs w:val="22"/>
        </w:rPr>
        <w:t>Loretta Webb Wilson, M.B.A., H.C.M.</w:t>
      </w:r>
    </w:p>
    <w:p w:rsidR="00A20BF0" w:rsidRPr="00B42CA8" w:rsidRDefault="00A20BF0" w:rsidP="00A20BF0">
      <w:pPr>
        <w:keepNext/>
        <w:ind w:left="180" w:hanging="180"/>
        <w:rPr>
          <w:noProof/>
          <w:sz w:val="22"/>
          <w:szCs w:val="22"/>
        </w:rPr>
      </w:pPr>
      <w:r w:rsidRPr="00B42CA8">
        <w:rPr>
          <w:noProof/>
          <w:sz w:val="22"/>
          <w:szCs w:val="22"/>
        </w:rPr>
        <w:t>Community Relation Outreach Manager</w:t>
      </w:r>
    </w:p>
    <w:p w:rsidR="00A20BF0" w:rsidRPr="00B42CA8" w:rsidRDefault="00A20BF0" w:rsidP="00A20BF0">
      <w:pPr>
        <w:keepNext/>
        <w:ind w:left="180" w:hanging="180"/>
        <w:rPr>
          <w:noProof/>
          <w:sz w:val="22"/>
          <w:szCs w:val="22"/>
        </w:rPr>
      </w:pPr>
      <w:r w:rsidRPr="00B42CA8">
        <w:rPr>
          <w:noProof/>
          <w:sz w:val="22"/>
          <w:szCs w:val="22"/>
        </w:rPr>
        <w:t>Tombigbee Healthcare Authority</w:t>
      </w:r>
    </w:p>
    <w:p w:rsidR="00A20BF0" w:rsidRPr="00B42CA8" w:rsidRDefault="00A20BF0" w:rsidP="00A20BF0">
      <w:pPr>
        <w:keepNext/>
        <w:ind w:left="180" w:hanging="180"/>
        <w:rPr>
          <w:noProof/>
          <w:sz w:val="22"/>
          <w:szCs w:val="22"/>
        </w:rPr>
      </w:pPr>
      <w:r w:rsidRPr="00B42CA8">
        <w:rPr>
          <w:noProof/>
          <w:sz w:val="22"/>
          <w:szCs w:val="22"/>
        </w:rPr>
        <w:t>Demopolis, AL  36732</w:t>
      </w:r>
    </w:p>
    <w:p w:rsidR="00A20BF0" w:rsidRDefault="00A20BF0" w:rsidP="00A20BF0">
      <w:pPr>
        <w:keepNext/>
        <w:ind w:left="180" w:hanging="180"/>
        <w:rPr>
          <w:noProof/>
          <w:sz w:val="22"/>
          <w:szCs w:val="22"/>
        </w:rPr>
      </w:pPr>
      <w:r w:rsidRPr="00B42CA8">
        <w:rPr>
          <w:noProof/>
          <w:sz w:val="22"/>
          <w:szCs w:val="22"/>
        </w:rPr>
        <w:t>Phone:  334-287-2610</w:t>
      </w:r>
    </w:p>
    <w:p w:rsidR="00594FD5" w:rsidRPr="00B42CA8" w:rsidRDefault="00594FD5" w:rsidP="00A20BF0">
      <w:pPr>
        <w:keepNext/>
        <w:ind w:left="180" w:hanging="180"/>
        <w:rPr>
          <w:noProof/>
          <w:sz w:val="22"/>
          <w:szCs w:val="22"/>
        </w:rPr>
      </w:pPr>
      <w:r>
        <w:rPr>
          <w:noProof/>
          <w:sz w:val="22"/>
          <w:szCs w:val="22"/>
        </w:rPr>
        <w:t>lwilson@bwwmh.com</w:t>
      </w:r>
    </w:p>
    <w:p w:rsidR="00B42CA8" w:rsidRPr="00B42CA8" w:rsidRDefault="00B42CA8" w:rsidP="00A20BF0">
      <w:pPr>
        <w:keepNext/>
        <w:ind w:left="180" w:hanging="180"/>
        <w:rPr>
          <w:noProof/>
          <w:sz w:val="22"/>
          <w:szCs w:val="22"/>
        </w:rPr>
      </w:pPr>
    </w:p>
    <w:p w:rsidR="00A20BF0" w:rsidRPr="00B42CA8" w:rsidRDefault="00A20BF0" w:rsidP="00A20BF0">
      <w:pPr>
        <w:keepNext/>
        <w:ind w:left="180" w:hanging="180"/>
        <w:rPr>
          <w:b/>
          <w:sz w:val="22"/>
          <w:szCs w:val="22"/>
        </w:rPr>
      </w:pPr>
      <w:r w:rsidRPr="00B42CA8">
        <w:rPr>
          <w:b/>
          <w:noProof/>
          <w:sz w:val="22"/>
          <w:szCs w:val="22"/>
        </w:rPr>
        <w:t>Donna H. Newton, M.S., C.E.P.</w:t>
      </w:r>
    </w:p>
    <w:p w:rsidR="00A20BF0" w:rsidRPr="00B42CA8" w:rsidRDefault="00A20BF0" w:rsidP="00A20BF0">
      <w:pPr>
        <w:keepNext/>
        <w:ind w:left="180" w:hanging="180"/>
        <w:rPr>
          <w:sz w:val="22"/>
          <w:szCs w:val="22"/>
        </w:rPr>
      </w:pPr>
      <w:r w:rsidRPr="00B42CA8">
        <w:rPr>
          <w:noProof/>
          <w:sz w:val="22"/>
          <w:szCs w:val="22"/>
        </w:rPr>
        <w:t>Executive Director – Program Director</w:t>
      </w:r>
    </w:p>
    <w:p w:rsidR="00A20BF0" w:rsidRPr="00B42CA8" w:rsidRDefault="00A20BF0" w:rsidP="00A20BF0">
      <w:pPr>
        <w:keepNext/>
        <w:ind w:left="180" w:hanging="180"/>
        <w:rPr>
          <w:sz w:val="22"/>
          <w:szCs w:val="22"/>
        </w:rPr>
      </w:pPr>
      <w:r w:rsidRPr="00B42CA8">
        <w:rPr>
          <w:noProof/>
          <w:sz w:val="22"/>
          <w:szCs w:val="22"/>
        </w:rPr>
        <w:t>The Health Enrichment Network - Growing Up Fit Together</w:t>
      </w:r>
    </w:p>
    <w:p w:rsidR="00A20BF0" w:rsidRDefault="00A20BF0" w:rsidP="00A20BF0">
      <w:pPr>
        <w:keepNext/>
        <w:ind w:left="180" w:hanging="180"/>
        <w:rPr>
          <w:noProof/>
          <w:sz w:val="22"/>
          <w:szCs w:val="22"/>
        </w:rPr>
      </w:pPr>
      <w:r w:rsidRPr="00B42CA8">
        <w:rPr>
          <w:noProof/>
          <w:sz w:val="22"/>
          <w:szCs w:val="22"/>
        </w:rPr>
        <w:t>Phone:  318-335-2112</w:t>
      </w:r>
    </w:p>
    <w:p w:rsidR="00594FD5" w:rsidRPr="00B42CA8" w:rsidRDefault="00594FD5" w:rsidP="00A20BF0">
      <w:pPr>
        <w:keepNext/>
        <w:ind w:left="180" w:hanging="180"/>
        <w:rPr>
          <w:sz w:val="22"/>
          <w:szCs w:val="22"/>
        </w:rPr>
      </w:pPr>
      <w:r>
        <w:rPr>
          <w:noProof/>
          <w:sz w:val="22"/>
          <w:szCs w:val="22"/>
        </w:rPr>
        <w:t>Donna.newton@growingupfit.org</w:t>
      </w:r>
    </w:p>
    <w:p w:rsidR="00A20BF0" w:rsidRPr="00B42CA8" w:rsidRDefault="00A20BF0" w:rsidP="00A20BF0">
      <w:pPr>
        <w:keepNext/>
        <w:ind w:left="180" w:hanging="180"/>
        <w:rPr>
          <w:noProof/>
          <w:sz w:val="22"/>
          <w:szCs w:val="22"/>
        </w:rPr>
      </w:pPr>
    </w:p>
    <w:p w:rsidR="00A20BF0" w:rsidRPr="00B42CA8" w:rsidRDefault="00A20BF0" w:rsidP="00A20BF0">
      <w:pPr>
        <w:keepNext/>
        <w:ind w:left="180" w:hanging="180"/>
        <w:rPr>
          <w:b/>
          <w:sz w:val="22"/>
          <w:szCs w:val="22"/>
        </w:rPr>
      </w:pPr>
      <w:r w:rsidRPr="00B42CA8">
        <w:rPr>
          <w:b/>
          <w:noProof/>
          <w:sz w:val="22"/>
          <w:szCs w:val="22"/>
        </w:rPr>
        <w:t>Jeff Franklin, M.S.Ed.</w:t>
      </w:r>
    </w:p>
    <w:p w:rsidR="00A20BF0" w:rsidRPr="00B42CA8" w:rsidRDefault="00A20BF0" w:rsidP="00A20BF0">
      <w:pPr>
        <w:keepNext/>
        <w:ind w:left="180" w:hanging="180"/>
        <w:rPr>
          <w:sz w:val="22"/>
          <w:szCs w:val="22"/>
        </w:rPr>
      </w:pPr>
      <w:r w:rsidRPr="00B42CA8">
        <w:rPr>
          <w:noProof/>
          <w:sz w:val="22"/>
          <w:szCs w:val="22"/>
        </w:rPr>
        <w:t>Project Director</w:t>
      </w:r>
    </w:p>
    <w:p w:rsidR="00A20BF0" w:rsidRPr="00B42CA8" w:rsidRDefault="00A20BF0" w:rsidP="00A20BF0">
      <w:pPr>
        <w:keepNext/>
        <w:ind w:left="180" w:hanging="180"/>
        <w:rPr>
          <w:sz w:val="22"/>
          <w:szCs w:val="22"/>
        </w:rPr>
      </w:pPr>
      <w:r w:rsidRPr="00B42CA8">
        <w:rPr>
          <w:noProof/>
          <w:sz w:val="22"/>
          <w:szCs w:val="22"/>
        </w:rPr>
        <w:t>Southern Illinois University - Center for Rural Health and Social Service Development</w:t>
      </w:r>
    </w:p>
    <w:p w:rsidR="00A20BF0" w:rsidRDefault="00A20BF0" w:rsidP="00A20BF0">
      <w:pPr>
        <w:keepNext/>
        <w:ind w:left="180" w:hanging="180"/>
        <w:rPr>
          <w:noProof/>
          <w:sz w:val="22"/>
          <w:szCs w:val="22"/>
        </w:rPr>
      </w:pPr>
      <w:r w:rsidRPr="00B42CA8">
        <w:rPr>
          <w:noProof/>
          <w:sz w:val="22"/>
          <w:szCs w:val="22"/>
        </w:rPr>
        <w:t>Phone:  618-453-1251</w:t>
      </w:r>
    </w:p>
    <w:p w:rsidR="00594FD5" w:rsidRPr="00B42CA8" w:rsidRDefault="00594FD5" w:rsidP="00A20BF0">
      <w:pPr>
        <w:keepNext/>
        <w:ind w:left="180" w:hanging="180"/>
        <w:rPr>
          <w:sz w:val="22"/>
          <w:szCs w:val="22"/>
        </w:rPr>
      </w:pPr>
      <w:r>
        <w:rPr>
          <w:noProof/>
          <w:sz w:val="22"/>
          <w:szCs w:val="22"/>
        </w:rPr>
        <w:t>jfranklin@siumed.edu</w:t>
      </w:r>
    </w:p>
    <w:p w:rsidR="00A20BF0" w:rsidRDefault="00A20BF0" w:rsidP="00A20BF0">
      <w:pPr>
        <w:keepNext/>
        <w:ind w:left="180" w:hanging="180"/>
        <w:rPr>
          <w:rFonts w:ascii="Calibri" w:hAnsi="Calibri"/>
          <w:sz w:val="22"/>
          <w:szCs w:val="22"/>
        </w:rPr>
      </w:pPr>
    </w:p>
    <w:p w:rsidR="002C64D1" w:rsidRPr="00011DA2" w:rsidRDefault="002C64D1" w:rsidP="00F534C9">
      <w:pPr>
        <w:ind w:left="360"/>
        <w:rPr>
          <w:sz w:val="24"/>
        </w:rPr>
      </w:pP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Explanation of any Payment/Gift to Respondents</w:t>
      </w:r>
    </w:p>
    <w:p w:rsidR="00713F20" w:rsidRPr="00011DA2" w:rsidRDefault="00713F20" w:rsidP="00713F20">
      <w:pPr>
        <w:spacing w:before="120"/>
        <w:ind w:left="360"/>
        <w:rPr>
          <w:sz w:val="24"/>
        </w:rPr>
      </w:pPr>
      <w:r w:rsidRPr="00011DA2">
        <w:rPr>
          <w:sz w:val="24"/>
        </w:rPr>
        <w:t xml:space="preserve">Respondents will not receive payment or gifts and will not be </w:t>
      </w:r>
      <w:r w:rsidR="00F046A6" w:rsidRPr="00011DA2">
        <w:rPr>
          <w:sz w:val="24"/>
        </w:rPr>
        <w:t>remunerated</w:t>
      </w:r>
      <w:r w:rsidRPr="00011DA2">
        <w:rPr>
          <w:sz w:val="24"/>
        </w:rPr>
        <w:t>.</w:t>
      </w:r>
    </w:p>
    <w:p w:rsidR="009B3794" w:rsidRPr="00011DA2" w:rsidRDefault="009B3794" w:rsidP="00CA3DA6">
      <w:pPr>
        <w:numPr>
          <w:ilvl w:val="0"/>
          <w:numId w:val="2"/>
        </w:numPr>
        <w:tabs>
          <w:tab w:val="clear" w:pos="1080"/>
          <w:tab w:val="num" w:pos="360"/>
        </w:tabs>
        <w:spacing w:before="240"/>
        <w:ind w:left="360"/>
        <w:rPr>
          <w:b/>
          <w:sz w:val="24"/>
        </w:rPr>
      </w:pPr>
      <w:r w:rsidRPr="00011DA2">
        <w:rPr>
          <w:b/>
          <w:sz w:val="24"/>
          <w:u w:val="single"/>
        </w:rPr>
        <w:t>Assurance of Confidentiality Provided to Respondents</w:t>
      </w:r>
    </w:p>
    <w:p w:rsidR="002C64D1" w:rsidRPr="00011DA2" w:rsidRDefault="00992869" w:rsidP="00BB552C">
      <w:pPr>
        <w:spacing w:before="120"/>
        <w:ind w:left="360"/>
        <w:rPr>
          <w:sz w:val="24"/>
        </w:rPr>
      </w:pPr>
      <w:r w:rsidRPr="00011DA2">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rsidR="009B3794" w:rsidRPr="00011DA2" w:rsidRDefault="009B3794" w:rsidP="002C64D1">
      <w:pPr>
        <w:pStyle w:val="ListParagraph"/>
        <w:numPr>
          <w:ilvl w:val="0"/>
          <w:numId w:val="2"/>
        </w:numPr>
        <w:tabs>
          <w:tab w:val="clear" w:pos="1080"/>
        </w:tabs>
        <w:spacing w:before="120"/>
        <w:ind w:left="360"/>
        <w:rPr>
          <w:sz w:val="24"/>
        </w:rPr>
      </w:pPr>
      <w:r w:rsidRPr="00011DA2">
        <w:rPr>
          <w:b/>
          <w:sz w:val="24"/>
          <w:u w:val="single"/>
        </w:rPr>
        <w:t>Justification for Sensitive Questions</w:t>
      </w:r>
    </w:p>
    <w:p w:rsidR="00992869" w:rsidRPr="00011DA2" w:rsidRDefault="00992869" w:rsidP="00992869">
      <w:pPr>
        <w:widowControl/>
        <w:spacing w:before="120"/>
        <w:ind w:left="360"/>
        <w:rPr>
          <w:sz w:val="24"/>
        </w:rPr>
      </w:pPr>
      <w:r w:rsidRPr="00011DA2">
        <w:rPr>
          <w:sz w:val="24"/>
        </w:rPr>
        <w:t>There are no sensitive questions.</w:t>
      </w:r>
    </w:p>
    <w:p w:rsidR="009B3794" w:rsidRPr="00011DA2" w:rsidRDefault="009B3794" w:rsidP="00CA3DA6">
      <w:pPr>
        <w:numPr>
          <w:ilvl w:val="0"/>
          <w:numId w:val="2"/>
        </w:numPr>
        <w:tabs>
          <w:tab w:val="clear" w:pos="1080"/>
          <w:tab w:val="num" w:pos="360"/>
        </w:tabs>
        <w:spacing w:before="240"/>
        <w:ind w:left="360"/>
        <w:rPr>
          <w:sz w:val="24"/>
        </w:rPr>
      </w:pPr>
      <w:r w:rsidRPr="00011DA2">
        <w:rPr>
          <w:b/>
          <w:sz w:val="24"/>
          <w:u w:val="single"/>
        </w:rPr>
        <w:t xml:space="preserve">Estimates of Annualized Hour and Cost Burden  </w:t>
      </w:r>
    </w:p>
    <w:p w:rsidR="009B3794" w:rsidRPr="00011DA2" w:rsidRDefault="009B3794" w:rsidP="00CA3DA6">
      <w:pPr>
        <w:widowControl/>
        <w:tabs>
          <w:tab w:val="num" w:pos="720"/>
        </w:tabs>
        <w:spacing w:before="120"/>
        <w:rPr>
          <w:sz w:val="24"/>
        </w:rPr>
      </w:pPr>
      <w:r w:rsidRPr="00011DA2">
        <w:rPr>
          <w:b/>
          <w:sz w:val="24"/>
        </w:rPr>
        <w:t>12A.</w:t>
      </w:r>
      <w:r w:rsidRPr="00011DA2">
        <w:rPr>
          <w:sz w:val="24"/>
        </w:rPr>
        <w:t xml:space="preserve">        </w:t>
      </w:r>
      <w:r w:rsidRPr="00011DA2">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523"/>
        <w:gridCol w:w="1632"/>
        <w:gridCol w:w="1532"/>
        <w:gridCol w:w="1261"/>
        <w:gridCol w:w="1061"/>
      </w:tblGrid>
      <w:tr w:rsidR="00CA3DA6" w:rsidRPr="00011DA2" w:rsidTr="00155926">
        <w:trPr>
          <w:trHeight w:val="2189"/>
        </w:trPr>
        <w:tc>
          <w:tcPr>
            <w:tcW w:w="1532" w:type="dxa"/>
          </w:tcPr>
          <w:p w:rsidR="00CA3DA6" w:rsidRPr="00011DA2" w:rsidRDefault="00CA3DA6" w:rsidP="00CA3DA6">
            <w:pPr>
              <w:widowControl/>
              <w:tabs>
                <w:tab w:val="num" w:pos="1080"/>
              </w:tabs>
              <w:spacing w:before="120"/>
              <w:rPr>
                <w:b/>
                <w:bCs/>
                <w:sz w:val="24"/>
              </w:rPr>
            </w:pPr>
            <w:r w:rsidRPr="00011DA2">
              <w:rPr>
                <w:b/>
                <w:bCs/>
                <w:sz w:val="24"/>
              </w:rPr>
              <w:t>Type of</w:t>
            </w:r>
          </w:p>
          <w:p w:rsidR="00CA3DA6" w:rsidRPr="00011DA2" w:rsidRDefault="00CA3DA6" w:rsidP="00CA3DA6">
            <w:pPr>
              <w:widowControl/>
              <w:tabs>
                <w:tab w:val="num" w:pos="1080"/>
              </w:tabs>
              <w:spacing w:before="120"/>
              <w:rPr>
                <w:b/>
                <w:bCs/>
                <w:sz w:val="24"/>
              </w:rPr>
            </w:pPr>
            <w:r w:rsidRPr="00011DA2">
              <w:rPr>
                <w:b/>
                <w:bCs/>
                <w:sz w:val="24"/>
              </w:rPr>
              <w:t>Respondent</w:t>
            </w:r>
          </w:p>
          <w:p w:rsidR="00CA3DA6" w:rsidRPr="00011DA2" w:rsidRDefault="00CA3DA6" w:rsidP="00CA3DA6">
            <w:pPr>
              <w:widowControl/>
              <w:tabs>
                <w:tab w:val="num" w:pos="1080"/>
              </w:tabs>
              <w:spacing w:before="120"/>
              <w:rPr>
                <w:b/>
                <w:bCs/>
                <w:sz w:val="24"/>
              </w:rPr>
            </w:pPr>
          </w:p>
        </w:tc>
        <w:tc>
          <w:tcPr>
            <w:tcW w:w="1109" w:type="dxa"/>
          </w:tcPr>
          <w:p w:rsidR="00CA3DA6" w:rsidRPr="00011DA2" w:rsidRDefault="00CA3DA6" w:rsidP="00CA3DA6">
            <w:pPr>
              <w:widowControl/>
              <w:tabs>
                <w:tab w:val="num" w:pos="1080"/>
              </w:tabs>
              <w:spacing w:before="120"/>
              <w:rPr>
                <w:b/>
                <w:bCs/>
                <w:sz w:val="24"/>
              </w:rPr>
            </w:pPr>
            <w:r w:rsidRPr="00011DA2">
              <w:rPr>
                <w:b/>
                <w:bCs/>
                <w:sz w:val="24"/>
              </w:rPr>
              <w:t>Form</w:t>
            </w:r>
          </w:p>
          <w:p w:rsidR="00CA3DA6" w:rsidRPr="00011DA2" w:rsidRDefault="00CA3DA6" w:rsidP="00CA3DA6">
            <w:pPr>
              <w:widowControl/>
              <w:tabs>
                <w:tab w:val="num" w:pos="1080"/>
              </w:tabs>
              <w:spacing w:before="120"/>
              <w:rPr>
                <w:b/>
                <w:bCs/>
                <w:sz w:val="24"/>
              </w:rPr>
            </w:pPr>
            <w:r w:rsidRPr="00011DA2">
              <w:rPr>
                <w:b/>
                <w:bCs/>
                <w:sz w:val="24"/>
              </w:rPr>
              <w:t>Name</w:t>
            </w:r>
          </w:p>
          <w:p w:rsidR="00CA3DA6" w:rsidRPr="00011DA2" w:rsidRDefault="00CA3DA6" w:rsidP="00CA3DA6">
            <w:pPr>
              <w:widowControl/>
              <w:tabs>
                <w:tab w:val="num" w:pos="1080"/>
              </w:tabs>
              <w:spacing w:before="120"/>
              <w:rPr>
                <w:b/>
                <w:bCs/>
                <w:sz w:val="24"/>
              </w:rPr>
            </w:pPr>
          </w:p>
        </w:tc>
        <w:tc>
          <w:tcPr>
            <w:tcW w:w="1632" w:type="dxa"/>
          </w:tcPr>
          <w:p w:rsidR="00CA3DA6" w:rsidRPr="00011DA2" w:rsidRDefault="00CA3DA6" w:rsidP="00CA3DA6">
            <w:pPr>
              <w:widowControl/>
              <w:tabs>
                <w:tab w:val="num" w:pos="1080"/>
              </w:tabs>
              <w:spacing w:before="120"/>
              <w:rPr>
                <w:b/>
                <w:bCs/>
                <w:sz w:val="24"/>
              </w:rPr>
            </w:pPr>
            <w:r w:rsidRPr="00011DA2">
              <w:rPr>
                <w:b/>
                <w:bCs/>
                <w:sz w:val="24"/>
              </w:rPr>
              <w:t>No. of</w:t>
            </w:r>
          </w:p>
          <w:p w:rsidR="00CA3DA6" w:rsidRPr="00011DA2" w:rsidRDefault="00CA3DA6" w:rsidP="00CA3DA6">
            <w:pPr>
              <w:widowControl/>
              <w:tabs>
                <w:tab w:val="num" w:pos="1080"/>
              </w:tabs>
              <w:spacing w:before="120"/>
              <w:rPr>
                <w:b/>
                <w:bCs/>
                <w:sz w:val="24"/>
              </w:rPr>
            </w:pPr>
            <w:r w:rsidRPr="00011DA2">
              <w:rPr>
                <w:b/>
                <w:bCs/>
                <w:sz w:val="24"/>
              </w:rPr>
              <w:t>Respondents</w:t>
            </w:r>
          </w:p>
        </w:tc>
        <w:tc>
          <w:tcPr>
            <w:tcW w:w="1532" w:type="dxa"/>
          </w:tcPr>
          <w:p w:rsidR="00CA3DA6" w:rsidRPr="00011DA2" w:rsidRDefault="00CA3DA6" w:rsidP="00CA3DA6">
            <w:pPr>
              <w:widowControl/>
              <w:tabs>
                <w:tab w:val="num" w:pos="1080"/>
              </w:tabs>
              <w:spacing w:before="120"/>
              <w:rPr>
                <w:b/>
                <w:bCs/>
                <w:sz w:val="24"/>
              </w:rPr>
            </w:pPr>
            <w:r w:rsidRPr="00011DA2">
              <w:rPr>
                <w:b/>
                <w:bCs/>
                <w:sz w:val="24"/>
              </w:rPr>
              <w:t>No.</w:t>
            </w:r>
          </w:p>
          <w:p w:rsidR="00CA3DA6" w:rsidRPr="00011DA2" w:rsidRDefault="00CA3DA6" w:rsidP="00CA3DA6">
            <w:pPr>
              <w:widowControl/>
              <w:tabs>
                <w:tab w:val="num" w:pos="1080"/>
              </w:tabs>
              <w:spacing w:before="120"/>
              <w:rPr>
                <w:b/>
                <w:bCs/>
                <w:sz w:val="24"/>
              </w:rPr>
            </w:pPr>
            <w:r w:rsidRPr="00011DA2">
              <w:rPr>
                <w:b/>
                <w:bCs/>
                <w:sz w:val="24"/>
              </w:rPr>
              <w:t>Responses</w:t>
            </w:r>
          </w:p>
          <w:p w:rsidR="00CA3DA6" w:rsidRPr="00011DA2" w:rsidRDefault="00CA3DA6" w:rsidP="00CA3DA6">
            <w:pPr>
              <w:widowControl/>
              <w:tabs>
                <w:tab w:val="num" w:pos="1080"/>
              </w:tabs>
              <w:spacing w:before="120"/>
              <w:rPr>
                <w:b/>
                <w:bCs/>
                <w:sz w:val="24"/>
              </w:rPr>
            </w:pPr>
            <w:r w:rsidRPr="00011DA2">
              <w:rPr>
                <w:b/>
                <w:bCs/>
                <w:sz w:val="24"/>
              </w:rPr>
              <w:t>per</w:t>
            </w:r>
          </w:p>
          <w:p w:rsidR="00CA3DA6" w:rsidRPr="00011DA2" w:rsidRDefault="00CA3DA6" w:rsidP="00CA3DA6">
            <w:pPr>
              <w:widowControl/>
              <w:tabs>
                <w:tab w:val="num" w:pos="1080"/>
              </w:tabs>
              <w:spacing w:before="120"/>
              <w:rPr>
                <w:b/>
                <w:bCs/>
                <w:sz w:val="24"/>
              </w:rPr>
            </w:pPr>
            <w:r w:rsidRPr="00011DA2">
              <w:rPr>
                <w:b/>
                <w:bCs/>
                <w:sz w:val="24"/>
              </w:rPr>
              <w:t>Respondent</w:t>
            </w:r>
          </w:p>
        </w:tc>
        <w:tc>
          <w:tcPr>
            <w:tcW w:w="1261" w:type="dxa"/>
          </w:tcPr>
          <w:p w:rsidR="00CA3DA6" w:rsidRPr="00011DA2" w:rsidRDefault="00CA3DA6" w:rsidP="00CA3DA6">
            <w:pPr>
              <w:widowControl/>
              <w:tabs>
                <w:tab w:val="num" w:pos="1080"/>
              </w:tabs>
              <w:spacing w:before="120"/>
              <w:rPr>
                <w:b/>
                <w:bCs/>
                <w:sz w:val="24"/>
              </w:rPr>
            </w:pPr>
            <w:r w:rsidRPr="00011DA2">
              <w:rPr>
                <w:b/>
                <w:bCs/>
                <w:sz w:val="24"/>
              </w:rPr>
              <w:t>Average</w:t>
            </w:r>
          </w:p>
          <w:p w:rsidR="00CA3DA6" w:rsidRPr="00011DA2" w:rsidRDefault="00CA3DA6" w:rsidP="00CA3DA6">
            <w:pPr>
              <w:widowControl/>
              <w:tabs>
                <w:tab w:val="num" w:pos="1080"/>
              </w:tabs>
              <w:spacing w:before="120"/>
              <w:rPr>
                <w:b/>
                <w:bCs/>
                <w:sz w:val="24"/>
              </w:rPr>
            </w:pPr>
            <w:r w:rsidRPr="00011DA2">
              <w:rPr>
                <w:b/>
                <w:bCs/>
                <w:sz w:val="24"/>
              </w:rPr>
              <w:t>Burden per</w:t>
            </w:r>
          </w:p>
          <w:p w:rsidR="00CA3DA6" w:rsidRPr="00011DA2" w:rsidRDefault="00CA3DA6" w:rsidP="00CA3DA6">
            <w:pPr>
              <w:widowControl/>
              <w:tabs>
                <w:tab w:val="num" w:pos="1080"/>
              </w:tabs>
              <w:spacing w:before="120"/>
              <w:rPr>
                <w:b/>
                <w:bCs/>
                <w:sz w:val="24"/>
              </w:rPr>
            </w:pPr>
            <w:r w:rsidRPr="00011DA2">
              <w:rPr>
                <w:b/>
                <w:bCs/>
                <w:sz w:val="24"/>
              </w:rPr>
              <w:t>Response</w:t>
            </w:r>
          </w:p>
          <w:p w:rsidR="00CA3DA6" w:rsidRPr="00011DA2" w:rsidRDefault="00CA3DA6" w:rsidP="00CA3DA6">
            <w:pPr>
              <w:widowControl/>
              <w:tabs>
                <w:tab w:val="num" w:pos="1080"/>
              </w:tabs>
              <w:spacing w:before="120"/>
              <w:rPr>
                <w:b/>
                <w:bCs/>
                <w:sz w:val="24"/>
              </w:rPr>
            </w:pPr>
            <w:r w:rsidRPr="00011DA2">
              <w:rPr>
                <w:b/>
                <w:bCs/>
                <w:sz w:val="24"/>
              </w:rPr>
              <w:t>(in hours)</w:t>
            </w:r>
          </w:p>
        </w:tc>
        <w:tc>
          <w:tcPr>
            <w:tcW w:w="1061" w:type="dxa"/>
          </w:tcPr>
          <w:p w:rsidR="00CA3DA6" w:rsidRPr="00011DA2" w:rsidRDefault="00CA3DA6" w:rsidP="00CA3DA6">
            <w:pPr>
              <w:widowControl/>
              <w:tabs>
                <w:tab w:val="num" w:pos="1080"/>
              </w:tabs>
              <w:spacing w:before="120"/>
              <w:rPr>
                <w:b/>
                <w:bCs/>
                <w:sz w:val="24"/>
              </w:rPr>
            </w:pPr>
            <w:r w:rsidRPr="00011DA2">
              <w:rPr>
                <w:b/>
                <w:bCs/>
                <w:sz w:val="24"/>
              </w:rPr>
              <w:t>Total Burden Hours</w:t>
            </w:r>
          </w:p>
        </w:tc>
      </w:tr>
      <w:tr w:rsidR="00CA3DA6" w:rsidRPr="00011DA2" w:rsidTr="00155926">
        <w:trPr>
          <w:trHeight w:val="679"/>
        </w:trPr>
        <w:tc>
          <w:tcPr>
            <w:tcW w:w="1532" w:type="dxa"/>
          </w:tcPr>
          <w:p w:rsidR="00CA3DA6" w:rsidRPr="00011DA2" w:rsidRDefault="00145928" w:rsidP="00CA3DA6">
            <w:pPr>
              <w:widowControl/>
              <w:tabs>
                <w:tab w:val="num" w:pos="1080"/>
              </w:tabs>
              <w:spacing w:before="120"/>
              <w:rPr>
                <w:b/>
                <w:bCs/>
                <w:sz w:val="24"/>
              </w:rPr>
            </w:pPr>
            <w:r>
              <w:rPr>
                <w:b/>
                <w:bCs/>
                <w:sz w:val="24"/>
              </w:rPr>
              <w:t xml:space="preserve">Delta </w:t>
            </w:r>
            <w:proofErr w:type="spellStart"/>
            <w:r>
              <w:rPr>
                <w:b/>
                <w:bCs/>
                <w:sz w:val="24"/>
              </w:rPr>
              <w:t>States</w:t>
            </w:r>
            <w:r w:rsidR="00155926" w:rsidRPr="00011DA2">
              <w:rPr>
                <w:b/>
                <w:bCs/>
                <w:sz w:val="24"/>
              </w:rPr>
              <w:t>Grantee</w:t>
            </w:r>
            <w:proofErr w:type="spellEnd"/>
            <w:r w:rsidR="00155926" w:rsidRPr="00011DA2">
              <w:rPr>
                <w:b/>
                <w:bCs/>
                <w:sz w:val="24"/>
              </w:rPr>
              <w:t xml:space="preserve"> </w:t>
            </w:r>
            <w:r w:rsidR="00155926" w:rsidRPr="00011DA2">
              <w:rPr>
                <w:b/>
                <w:bCs/>
                <w:sz w:val="24"/>
              </w:rPr>
              <w:lastRenderedPageBreak/>
              <w:t xml:space="preserve">key personnel </w:t>
            </w:r>
            <w:r w:rsidR="00155926" w:rsidRPr="00011DA2">
              <w:rPr>
                <w:bCs/>
                <w:sz w:val="24"/>
              </w:rPr>
              <w:t>(</w:t>
            </w:r>
            <w:r w:rsidR="003E7FB2">
              <w:rPr>
                <w:bCs/>
                <w:sz w:val="24"/>
              </w:rPr>
              <w:t>P</w:t>
            </w:r>
            <w:r w:rsidR="00155926" w:rsidRPr="00011DA2">
              <w:rPr>
                <w:bCs/>
                <w:sz w:val="24"/>
              </w:rPr>
              <w:t xml:space="preserve">roject </w:t>
            </w:r>
            <w:r w:rsidR="003E7FB2">
              <w:rPr>
                <w:bCs/>
                <w:sz w:val="24"/>
              </w:rPr>
              <w:t>D</w:t>
            </w:r>
            <w:r w:rsidR="00155926" w:rsidRPr="00011DA2">
              <w:rPr>
                <w:bCs/>
                <w:sz w:val="24"/>
              </w:rPr>
              <w:t>irector)</w:t>
            </w:r>
          </w:p>
        </w:tc>
        <w:tc>
          <w:tcPr>
            <w:tcW w:w="1109" w:type="dxa"/>
          </w:tcPr>
          <w:p w:rsidR="00A20BF0" w:rsidRDefault="00A20BF0" w:rsidP="00CA3DA6">
            <w:pPr>
              <w:widowControl/>
              <w:tabs>
                <w:tab w:val="num" w:pos="1080"/>
              </w:tabs>
              <w:spacing w:before="120"/>
            </w:pPr>
          </w:p>
          <w:p w:rsidR="00A20BF0" w:rsidRDefault="00A20BF0" w:rsidP="00CA3DA6">
            <w:pPr>
              <w:widowControl/>
              <w:tabs>
                <w:tab w:val="num" w:pos="1080"/>
              </w:tabs>
              <w:spacing w:before="120"/>
            </w:pPr>
          </w:p>
          <w:p w:rsidR="00CA3DA6" w:rsidRPr="00D9624C" w:rsidRDefault="00A20BF0" w:rsidP="00CA3DA6">
            <w:pPr>
              <w:widowControl/>
              <w:tabs>
                <w:tab w:val="num" w:pos="1080"/>
              </w:tabs>
              <w:spacing w:before="120"/>
              <w:rPr>
                <w:b/>
                <w:bCs/>
                <w:sz w:val="24"/>
              </w:rPr>
            </w:pPr>
            <w:r w:rsidRPr="00594FD5">
              <w:rPr>
                <w:sz w:val="24"/>
              </w:rPr>
              <w:lastRenderedPageBreak/>
              <w:t xml:space="preserve">Delta States Rural Development Network Grant </w:t>
            </w:r>
            <w:r w:rsidR="003E7FB2" w:rsidRPr="00594FD5">
              <w:rPr>
                <w:sz w:val="24"/>
              </w:rPr>
              <w:t>Program Performance Improvement and Measurement System Measures</w:t>
            </w:r>
          </w:p>
        </w:tc>
        <w:tc>
          <w:tcPr>
            <w:tcW w:w="1632" w:type="dxa"/>
          </w:tcPr>
          <w:p w:rsidR="00CA3DA6" w:rsidRPr="00011DA2" w:rsidRDefault="00A20BF0" w:rsidP="00CA3DA6">
            <w:pPr>
              <w:widowControl/>
              <w:tabs>
                <w:tab w:val="num" w:pos="1080"/>
              </w:tabs>
              <w:spacing w:before="120"/>
              <w:rPr>
                <w:b/>
                <w:bCs/>
                <w:sz w:val="24"/>
              </w:rPr>
            </w:pPr>
            <w:r>
              <w:rPr>
                <w:sz w:val="24"/>
              </w:rPr>
              <w:lastRenderedPageBreak/>
              <w:t>12</w:t>
            </w:r>
          </w:p>
        </w:tc>
        <w:tc>
          <w:tcPr>
            <w:tcW w:w="1532" w:type="dxa"/>
          </w:tcPr>
          <w:p w:rsidR="00CA3DA6" w:rsidRPr="00011DA2" w:rsidRDefault="00155926" w:rsidP="00CA3DA6">
            <w:pPr>
              <w:widowControl/>
              <w:tabs>
                <w:tab w:val="num" w:pos="1080"/>
              </w:tabs>
              <w:spacing w:before="120"/>
              <w:rPr>
                <w:b/>
                <w:bCs/>
                <w:sz w:val="24"/>
              </w:rPr>
            </w:pPr>
            <w:r w:rsidRPr="00011DA2">
              <w:rPr>
                <w:sz w:val="24"/>
              </w:rPr>
              <w:t>1</w:t>
            </w:r>
          </w:p>
        </w:tc>
        <w:tc>
          <w:tcPr>
            <w:tcW w:w="1261" w:type="dxa"/>
          </w:tcPr>
          <w:p w:rsidR="00CA3DA6" w:rsidRPr="00011DA2" w:rsidRDefault="003E7110" w:rsidP="00CA3DA6">
            <w:pPr>
              <w:widowControl/>
              <w:tabs>
                <w:tab w:val="num" w:pos="1080"/>
              </w:tabs>
              <w:spacing w:before="120"/>
              <w:rPr>
                <w:b/>
                <w:bCs/>
                <w:sz w:val="24"/>
              </w:rPr>
            </w:pPr>
            <w:r>
              <w:rPr>
                <w:sz w:val="24"/>
              </w:rPr>
              <w:t>6</w:t>
            </w:r>
          </w:p>
        </w:tc>
        <w:tc>
          <w:tcPr>
            <w:tcW w:w="1061" w:type="dxa"/>
          </w:tcPr>
          <w:p w:rsidR="00CA3DA6" w:rsidRPr="00011DA2" w:rsidRDefault="003E7110" w:rsidP="00CA3DA6">
            <w:pPr>
              <w:widowControl/>
              <w:tabs>
                <w:tab w:val="num" w:pos="1080"/>
              </w:tabs>
              <w:spacing w:before="120"/>
              <w:rPr>
                <w:b/>
                <w:bCs/>
                <w:sz w:val="24"/>
              </w:rPr>
            </w:pPr>
            <w:r>
              <w:rPr>
                <w:sz w:val="24"/>
              </w:rPr>
              <w:t>72</w:t>
            </w:r>
          </w:p>
        </w:tc>
      </w:tr>
      <w:tr w:rsidR="00CA3DA6" w:rsidRPr="00011DA2" w:rsidTr="00155926">
        <w:trPr>
          <w:trHeight w:val="815"/>
        </w:trPr>
        <w:tc>
          <w:tcPr>
            <w:tcW w:w="1532" w:type="dxa"/>
          </w:tcPr>
          <w:p w:rsidR="00CA3DA6" w:rsidRPr="00011DA2" w:rsidRDefault="00CA3DA6" w:rsidP="00CA3DA6">
            <w:pPr>
              <w:widowControl/>
              <w:tabs>
                <w:tab w:val="num" w:pos="1080"/>
              </w:tabs>
              <w:spacing w:before="120"/>
              <w:rPr>
                <w:b/>
                <w:bCs/>
                <w:sz w:val="24"/>
              </w:rPr>
            </w:pPr>
            <w:r w:rsidRPr="00011DA2">
              <w:rPr>
                <w:b/>
                <w:bCs/>
                <w:sz w:val="24"/>
              </w:rPr>
              <w:lastRenderedPageBreak/>
              <w:t>Total</w:t>
            </w:r>
          </w:p>
        </w:tc>
        <w:tc>
          <w:tcPr>
            <w:tcW w:w="1109" w:type="dxa"/>
          </w:tcPr>
          <w:p w:rsidR="00CA3DA6" w:rsidRPr="00011DA2" w:rsidRDefault="00CA3DA6" w:rsidP="00CA3DA6">
            <w:pPr>
              <w:widowControl/>
              <w:tabs>
                <w:tab w:val="num" w:pos="1080"/>
              </w:tabs>
              <w:spacing w:before="120"/>
              <w:rPr>
                <w:sz w:val="24"/>
              </w:rPr>
            </w:pPr>
          </w:p>
        </w:tc>
        <w:tc>
          <w:tcPr>
            <w:tcW w:w="1632" w:type="dxa"/>
          </w:tcPr>
          <w:p w:rsidR="00CA3DA6" w:rsidRPr="00011DA2" w:rsidRDefault="00A20BF0" w:rsidP="00CA3DA6">
            <w:pPr>
              <w:widowControl/>
              <w:tabs>
                <w:tab w:val="num" w:pos="1080"/>
              </w:tabs>
              <w:spacing w:before="120"/>
              <w:rPr>
                <w:sz w:val="24"/>
              </w:rPr>
            </w:pPr>
            <w:r>
              <w:rPr>
                <w:sz w:val="24"/>
              </w:rPr>
              <w:t>12</w:t>
            </w:r>
          </w:p>
        </w:tc>
        <w:tc>
          <w:tcPr>
            <w:tcW w:w="1532" w:type="dxa"/>
          </w:tcPr>
          <w:p w:rsidR="00CA3DA6" w:rsidRPr="00011DA2" w:rsidRDefault="003E7FB2" w:rsidP="00CA3DA6">
            <w:pPr>
              <w:widowControl/>
              <w:tabs>
                <w:tab w:val="num" w:pos="1080"/>
              </w:tabs>
              <w:spacing w:before="120"/>
              <w:rPr>
                <w:sz w:val="24"/>
              </w:rPr>
            </w:pPr>
            <w:r>
              <w:rPr>
                <w:sz w:val="24"/>
              </w:rPr>
              <w:t>1</w:t>
            </w:r>
          </w:p>
        </w:tc>
        <w:tc>
          <w:tcPr>
            <w:tcW w:w="1261" w:type="dxa"/>
          </w:tcPr>
          <w:p w:rsidR="00CA3DA6" w:rsidRPr="00011DA2" w:rsidRDefault="003E7110" w:rsidP="00CA3DA6">
            <w:pPr>
              <w:widowControl/>
              <w:tabs>
                <w:tab w:val="num" w:pos="1080"/>
              </w:tabs>
              <w:spacing w:before="120"/>
              <w:rPr>
                <w:sz w:val="24"/>
              </w:rPr>
            </w:pPr>
            <w:r>
              <w:rPr>
                <w:sz w:val="24"/>
              </w:rPr>
              <w:t>6</w:t>
            </w:r>
          </w:p>
        </w:tc>
        <w:tc>
          <w:tcPr>
            <w:tcW w:w="1061" w:type="dxa"/>
          </w:tcPr>
          <w:p w:rsidR="00CA3DA6" w:rsidRPr="00011DA2" w:rsidRDefault="003E7110" w:rsidP="00CA3DA6">
            <w:pPr>
              <w:widowControl/>
              <w:tabs>
                <w:tab w:val="num" w:pos="1080"/>
              </w:tabs>
              <w:spacing w:before="120"/>
              <w:rPr>
                <w:sz w:val="24"/>
              </w:rPr>
            </w:pPr>
            <w:r>
              <w:rPr>
                <w:b/>
                <w:bCs/>
                <w:sz w:val="24"/>
              </w:rPr>
              <w:t>72</w:t>
            </w:r>
          </w:p>
          <w:p w:rsidR="00CA3DA6" w:rsidRPr="00011DA2" w:rsidRDefault="00CA3DA6" w:rsidP="00CA3DA6">
            <w:pPr>
              <w:widowControl/>
              <w:tabs>
                <w:tab w:val="num" w:pos="1080"/>
              </w:tabs>
              <w:spacing w:before="120"/>
              <w:rPr>
                <w:sz w:val="24"/>
              </w:rPr>
            </w:pPr>
          </w:p>
        </w:tc>
      </w:tr>
    </w:tbl>
    <w:p w:rsidR="00AB6B89" w:rsidRPr="00011DA2" w:rsidRDefault="00AB6B89" w:rsidP="00AB6B89">
      <w:pPr>
        <w:widowControl/>
        <w:tabs>
          <w:tab w:val="num" w:pos="1080"/>
        </w:tabs>
        <w:spacing w:before="120"/>
        <w:rPr>
          <w:sz w:val="24"/>
        </w:rPr>
      </w:pPr>
    </w:p>
    <w:p w:rsidR="00AB6B89" w:rsidRPr="00011DA2" w:rsidRDefault="00AB6B89" w:rsidP="00BB552C">
      <w:pPr>
        <w:widowControl/>
        <w:tabs>
          <w:tab w:val="num" w:pos="1080"/>
        </w:tabs>
        <w:spacing w:before="120"/>
        <w:ind w:left="360"/>
        <w:rPr>
          <w:sz w:val="24"/>
        </w:rPr>
      </w:pPr>
      <w:r w:rsidRPr="00011DA2">
        <w:rPr>
          <w:sz w:val="24"/>
        </w:rPr>
        <w:t>These estimates were determined by consultations with three (3) current grantees from the program.  These grantees were sent a draft of the questions that pertain to their program.  They were asked to estimate how much time it would take to answer the questions.</w:t>
      </w:r>
    </w:p>
    <w:p w:rsidR="00AB6B89" w:rsidRPr="00011DA2" w:rsidRDefault="00AB6B89" w:rsidP="00BB552C">
      <w:pPr>
        <w:widowControl/>
        <w:tabs>
          <w:tab w:val="num" w:pos="1080"/>
        </w:tabs>
        <w:spacing w:before="120"/>
        <w:ind w:left="360"/>
        <w:rPr>
          <w:sz w:val="24"/>
        </w:rPr>
      </w:pPr>
      <w:r w:rsidRPr="00011DA2">
        <w:rPr>
          <w:sz w:val="24"/>
        </w:rPr>
        <w:t>It should also be noted that the burden is expected to vary across the grantees.  This variation is tied primarily to the type of program activities specific to the grantee’s project and current data collection system.</w:t>
      </w:r>
    </w:p>
    <w:p w:rsidR="00D92E1D" w:rsidRPr="00011DA2" w:rsidRDefault="009B3794" w:rsidP="00CA3DA6">
      <w:pPr>
        <w:widowControl/>
        <w:spacing w:before="120"/>
        <w:rPr>
          <w:sz w:val="24"/>
        </w:rPr>
      </w:pPr>
      <w:r w:rsidRPr="00011DA2">
        <w:rPr>
          <w:b/>
          <w:sz w:val="24"/>
        </w:rPr>
        <w:t>12B</w:t>
      </w:r>
      <w:r w:rsidRPr="00011DA2">
        <w:rPr>
          <w:sz w:val="24"/>
        </w:rPr>
        <w:t xml:space="preserve">.  </w:t>
      </w:r>
    </w:p>
    <w:p w:rsidR="009B3794" w:rsidRPr="00011DA2" w:rsidRDefault="009B3794" w:rsidP="00CA3DA6">
      <w:pPr>
        <w:widowControl/>
        <w:spacing w:before="120"/>
        <w:ind w:left="270"/>
        <w:rPr>
          <w:b/>
          <w:sz w:val="24"/>
        </w:rPr>
      </w:pPr>
      <w:r w:rsidRPr="00011DA2">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011DA2" w:rsidTr="00CA3DA6">
        <w:tc>
          <w:tcPr>
            <w:tcW w:w="1430" w:type="dxa"/>
          </w:tcPr>
          <w:p w:rsidR="009B3794" w:rsidRPr="00011DA2" w:rsidRDefault="009B3794" w:rsidP="00CE5AA9">
            <w:pPr>
              <w:widowControl/>
              <w:spacing w:before="120"/>
              <w:rPr>
                <w:b/>
                <w:bCs/>
                <w:sz w:val="24"/>
              </w:rPr>
            </w:pPr>
            <w:r w:rsidRPr="00011DA2">
              <w:rPr>
                <w:b/>
                <w:bCs/>
                <w:sz w:val="24"/>
              </w:rPr>
              <w:t>Type of</w:t>
            </w:r>
          </w:p>
          <w:p w:rsidR="009B3794" w:rsidRPr="00011DA2" w:rsidRDefault="009B3794" w:rsidP="00CE5AA9">
            <w:pPr>
              <w:widowControl/>
              <w:spacing w:before="120"/>
              <w:rPr>
                <w:sz w:val="24"/>
              </w:rPr>
            </w:pPr>
            <w:r w:rsidRPr="00011DA2">
              <w:rPr>
                <w:b/>
                <w:bCs/>
                <w:sz w:val="24"/>
              </w:rPr>
              <w:t>Respondent</w:t>
            </w:r>
          </w:p>
          <w:p w:rsidR="009B3794" w:rsidRPr="00011DA2" w:rsidRDefault="009B3794" w:rsidP="00CE5AA9">
            <w:pPr>
              <w:widowControl/>
              <w:spacing w:before="120"/>
              <w:rPr>
                <w:b/>
                <w:bCs/>
                <w:sz w:val="24"/>
              </w:rPr>
            </w:pPr>
          </w:p>
        </w:tc>
        <w:tc>
          <w:tcPr>
            <w:tcW w:w="1330" w:type="dxa"/>
          </w:tcPr>
          <w:p w:rsidR="009B3794" w:rsidRPr="00011DA2" w:rsidRDefault="009B3794" w:rsidP="00CE5AA9">
            <w:pPr>
              <w:widowControl/>
              <w:spacing w:before="120"/>
              <w:rPr>
                <w:b/>
                <w:bCs/>
                <w:sz w:val="24"/>
              </w:rPr>
            </w:pPr>
            <w:r w:rsidRPr="00011DA2">
              <w:rPr>
                <w:b/>
                <w:bCs/>
                <w:sz w:val="24"/>
              </w:rPr>
              <w:t>Total Burden</w:t>
            </w:r>
          </w:p>
          <w:p w:rsidR="009B3794" w:rsidRPr="00011DA2" w:rsidRDefault="009B3794" w:rsidP="00CE5AA9">
            <w:pPr>
              <w:widowControl/>
              <w:spacing w:before="120"/>
              <w:rPr>
                <w:sz w:val="24"/>
              </w:rPr>
            </w:pPr>
            <w:r w:rsidRPr="00011DA2">
              <w:rPr>
                <w:b/>
                <w:bCs/>
                <w:sz w:val="24"/>
              </w:rPr>
              <w:t>Hours</w:t>
            </w:r>
          </w:p>
          <w:p w:rsidR="009B3794" w:rsidRPr="00011DA2" w:rsidRDefault="009B3794" w:rsidP="00CE5AA9">
            <w:pPr>
              <w:widowControl/>
              <w:spacing w:before="120"/>
              <w:rPr>
                <w:b/>
                <w:bCs/>
                <w:sz w:val="24"/>
              </w:rPr>
            </w:pPr>
          </w:p>
        </w:tc>
        <w:tc>
          <w:tcPr>
            <w:tcW w:w="1429" w:type="dxa"/>
          </w:tcPr>
          <w:p w:rsidR="009B3794" w:rsidRPr="00011DA2" w:rsidRDefault="009B3794" w:rsidP="00CE5AA9">
            <w:pPr>
              <w:widowControl/>
              <w:spacing w:before="120"/>
              <w:rPr>
                <w:b/>
                <w:bCs/>
                <w:sz w:val="24"/>
              </w:rPr>
            </w:pPr>
            <w:r w:rsidRPr="00011DA2">
              <w:rPr>
                <w:b/>
                <w:bCs/>
                <w:sz w:val="24"/>
              </w:rPr>
              <w:t>Hourly</w:t>
            </w:r>
          </w:p>
          <w:p w:rsidR="009B3794" w:rsidRPr="00011DA2" w:rsidRDefault="009B3794" w:rsidP="00CE5AA9">
            <w:pPr>
              <w:widowControl/>
              <w:spacing w:before="120"/>
              <w:rPr>
                <w:sz w:val="24"/>
              </w:rPr>
            </w:pPr>
            <w:r w:rsidRPr="00011DA2">
              <w:rPr>
                <w:b/>
                <w:bCs/>
                <w:sz w:val="24"/>
              </w:rPr>
              <w:t>Wage Rate</w:t>
            </w:r>
          </w:p>
          <w:p w:rsidR="009B3794" w:rsidRPr="00011DA2" w:rsidRDefault="009B3794" w:rsidP="00CE5AA9">
            <w:pPr>
              <w:widowControl/>
              <w:spacing w:before="120"/>
              <w:rPr>
                <w:b/>
                <w:bCs/>
                <w:sz w:val="24"/>
              </w:rPr>
            </w:pPr>
          </w:p>
        </w:tc>
        <w:tc>
          <w:tcPr>
            <w:tcW w:w="1776" w:type="dxa"/>
          </w:tcPr>
          <w:p w:rsidR="009B3794" w:rsidRPr="00011DA2" w:rsidRDefault="009B3794" w:rsidP="00CE5AA9">
            <w:pPr>
              <w:widowControl/>
              <w:spacing w:before="120"/>
              <w:rPr>
                <w:sz w:val="24"/>
              </w:rPr>
            </w:pPr>
            <w:r w:rsidRPr="00011DA2">
              <w:rPr>
                <w:b/>
                <w:bCs/>
                <w:sz w:val="24"/>
              </w:rPr>
              <w:t>Total Respondent Costs</w:t>
            </w:r>
          </w:p>
          <w:p w:rsidR="009B3794" w:rsidRPr="00011DA2" w:rsidRDefault="009B3794" w:rsidP="00CE5AA9">
            <w:pPr>
              <w:widowControl/>
              <w:spacing w:before="120"/>
              <w:rPr>
                <w:b/>
                <w:bCs/>
                <w:sz w:val="24"/>
              </w:rPr>
            </w:pPr>
          </w:p>
        </w:tc>
      </w:tr>
      <w:tr w:rsidR="009B3794" w:rsidRPr="00011DA2" w:rsidTr="00CA3DA6">
        <w:tc>
          <w:tcPr>
            <w:tcW w:w="1430" w:type="dxa"/>
          </w:tcPr>
          <w:p w:rsidR="009B3794" w:rsidRPr="00011DA2" w:rsidRDefault="00155926" w:rsidP="00CE5AA9">
            <w:pPr>
              <w:spacing w:before="120"/>
              <w:rPr>
                <w:sz w:val="24"/>
              </w:rPr>
            </w:pPr>
            <w:r w:rsidRPr="00011DA2">
              <w:rPr>
                <w:sz w:val="24"/>
              </w:rPr>
              <w:t>Project Director</w:t>
            </w:r>
          </w:p>
        </w:tc>
        <w:tc>
          <w:tcPr>
            <w:tcW w:w="1330" w:type="dxa"/>
          </w:tcPr>
          <w:p w:rsidR="009B3794" w:rsidRPr="00011DA2" w:rsidRDefault="00FF1FE6" w:rsidP="00CE5AA9">
            <w:pPr>
              <w:spacing w:before="120"/>
              <w:rPr>
                <w:sz w:val="24"/>
              </w:rPr>
            </w:pPr>
            <w:r>
              <w:rPr>
                <w:sz w:val="24"/>
              </w:rPr>
              <w:t>6</w:t>
            </w:r>
          </w:p>
        </w:tc>
        <w:tc>
          <w:tcPr>
            <w:tcW w:w="1429" w:type="dxa"/>
          </w:tcPr>
          <w:p w:rsidR="009B3794" w:rsidRPr="00011DA2" w:rsidRDefault="00155926" w:rsidP="002E3916">
            <w:pPr>
              <w:spacing w:before="120"/>
              <w:jc w:val="right"/>
              <w:rPr>
                <w:sz w:val="24"/>
              </w:rPr>
            </w:pPr>
            <w:r w:rsidRPr="00011DA2">
              <w:rPr>
                <w:sz w:val="24"/>
              </w:rPr>
              <w:t>$</w:t>
            </w:r>
            <w:r w:rsidR="008564A2">
              <w:rPr>
                <w:sz w:val="24"/>
              </w:rPr>
              <w:t>29.45</w:t>
            </w:r>
            <w:r w:rsidR="0011653D">
              <w:rPr>
                <w:sz w:val="24"/>
              </w:rPr>
              <w:t>*</w:t>
            </w:r>
          </w:p>
        </w:tc>
        <w:tc>
          <w:tcPr>
            <w:tcW w:w="1776" w:type="dxa"/>
          </w:tcPr>
          <w:p w:rsidR="009B3794" w:rsidRPr="00011DA2" w:rsidRDefault="00155926" w:rsidP="0091159D">
            <w:pPr>
              <w:spacing w:before="120"/>
              <w:jc w:val="right"/>
              <w:rPr>
                <w:sz w:val="24"/>
              </w:rPr>
            </w:pPr>
            <w:r w:rsidRPr="00011DA2">
              <w:rPr>
                <w:sz w:val="24"/>
              </w:rPr>
              <w:t>$</w:t>
            </w:r>
            <w:r w:rsidR="0091159D">
              <w:rPr>
                <w:sz w:val="24"/>
              </w:rPr>
              <w:t>176.70</w:t>
            </w:r>
          </w:p>
        </w:tc>
      </w:tr>
      <w:tr w:rsidR="009B3794" w:rsidRPr="00011DA2" w:rsidTr="00CA3DA6">
        <w:trPr>
          <w:trHeight w:val="440"/>
        </w:trPr>
        <w:tc>
          <w:tcPr>
            <w:tcW w:w="1430" w:type="dxa"/>
          </w:tcPr>
          <w:p w:rsidR="009B3794" w:rsidRPr="00011DA2" w:rsidRDefault="009B3794" w:rsidP="00CE5AA9">
            <w:pPr>
              <w:widowControl/>
              <w:spacing w:before="120"/>
              <w:rPr>
                <w:sz w:val="24"/>
              </w:rPr>
            </w:pPr>
            <w:r w:rsidRPr="00011DA2">
              <w:rPr>
                <w:sz w:val="24"/>
              </w:rPr>
              <w:t>Total</w:t>
            </w:r>
          </w:p>
        </w:tc>
        <w:tc>
          <w:tcPr>
            <w:tcW w:w="1330" w:type="dxa"/>
          </w:tcPr>
          <w:p w:rsidR="009B3794" w:rsidRPr="00011DA2" w:rsidRDefault="00FF1FE6" w:rsidP="00CE5AA9">
            <w:pPr>
              <w:widowControl/>
              <w:spacing w:before="120"/>
              <w:rPr>
                <w:sz w:val="24"/>
              </w:rPr>
            </w:pPr>
            <w:r>
              <w:rPr>
                <w:sz w:val="24"/>
              </w:rPr>
              <w:t>6</w:t>
            </w:r>
          </w:p>
        </w:tc>
        <w:tc>
          <w:tcPr>
            <w:tcW w:w="1429" w:type="dxa"/>
          </w:tcPr>
          <w:p w:rsidR="009B3794" w:rsidRPr="00011DA2" w:rsidRDefault="00B621E8" w:rsidP="002E3916">
            <w:pPr>
              <w:widowControl/>
              <w:spacing w:before="120"/>
              <w:jc w:val="right"/>
              <w:rPr>
                <w:sz w:val="24"/>
              </w:rPr>
            </w:pPr>
            <w:r>
              <w:rPr>
                <w:sz w:val="24"/>
              </w:rPr>
              <w:t>$</w:t>
            </w:r>
            <w:r w:rsidR="008564A2">
              <w:rPr>
                <w:sz w:val="24"/>
              </w:rPr>
              <w:t>29.45</w:t>
            </w:r>
            <w:r w:rsidR="0011653D">
              <w:rPr>
                <w:sz w:val="24"/>
              </w:rPr>
              <w:t>*</w:t>
            </w:r>
          </w:p>
        </w:tc>
        <w:tc>
          <w:tcPr>
            <w:tcW w:w="1776" w:type="dxa"/>
          </w:tcPr>
          <w:p w:rsidR="009B3794" w:rsidRPr="00011DA2" w:rsidRDefault="00155926" w:rsidP="00CE5AA9">
            <w:pPr>
              <w:widowControl/>
              <w:spacing w:before="120"/>
              <w:jc w:val="right"/>
              <w:rPr>
                <w:sz w:val="24"/>
              </w:rPr>
            </w:pPr>
            <w:r w:rsidRPr="00011DA2">
              <w:rPr>
                <w:sz w:val="24"/>
              </w:rPr>
              <w:t>$</w:t>
            </w:r>
            <w:r w:rsidR="0091159D">
              <w:rPr>
                <w:sz w:val="24"/>
              </w:rPr>
              <w:t>176.70</w:t>
            </w:r>
          </w:p>
        </w:tc>
      </w:tr>
    </w:tbl>
    <w:p w:rsidR="00C01A93" w:rsidRPr="00652ABC" w:rsidRDefault="00C01A93" w:rsidP="00C01A93">
      <w:pPr>
        <w:pStyle w:val="BodyTextIndent"/>
        <w:spacing w:before="120"/>
        <w:ind w:left="360"/>
      </w:pPr>
      <w:r>
        <w:rPr>
          <w:rFonts w:ascii="Times New Roman" w:hAnsi="Times New Roman"/>
        </w:rPr>
        <w:t xml:space="preserve">* </w:t>
      </w:r>
      <w:r w:rsidRPr="008564A2">
        <w:rPr>
          <w:rFonts w:ascii="Times New Roman" w:hAnsi="Times New Roman"/>
        </w:rPr>
        <w:t>http://www.bls.gov/oes/current/oes113011.htm</w:t>
      </w:r>
    </w:p>
    <w:p w:rsidR="009B3794" w:rsidRPr="00011DA2" w:rsidRDefault="00155926" w:rsidP="00CA3DA6">
      <w:pPr>
        <w:numPr>
          <w:ilvl w:val="0"/>
          <w:numId w:val="2"/>
        </w:numPr>
        <w:tabs>
          <w:tab w:val="clear" w:pos="1080"/>
          <w:tab w:val="num" w:pos="360"/>
        </w:tabs>
        <w:spacing w:before="240"/>
        <w:ind w:left="360"/>
        <w:rPr>
          <w:b/>
          <w:sz w:val="24"/>
        </w:rPr>
      </w:pPr>
      <w:bookmarkStart w:id="0" w:name="_GoBack"/>
      <w:bookmarkEnd w:id="0"/>
      <w:r w:rsidRPr="00011DA2">
        <w:rPr>
          <w:b/>
          <w:sz w:val="24"/>
          <w:u w:val="single"/>
        </w:rPr>
        <w:t>E</w:t>
      </w:r>
      <w:r w:rsidR="009B3794" w:rsidRPr="00011DA2">
        <w:rPr>
          <w:b/>
          <w:sz w:val="24"/>
          <w:u w:val="single"/>
        </w:rPr>
        <w:t xml:space="preserve">stimates of other Total Annual Cost Burden to Respondents or </w:t>
      </w:r>
      <w:proofErr w:type="spellStart"/>
      <w:r w:rsidR="009B3794" w:rsidRPr="00011DA2">
        <w:rPr>
          <w:b/>
          <w:sz w:val="24"/>
          <w:u w:val="single"/>
        </w:rPr>
        <w:t>Recordkeepers</w:t>
      </w:r>
      <w:proofErr w:type="spellEnd"/>
      <w:r w:rsidR="009B3794" w:rsidRPr="00011DA2">
        <w:rPr>
          <w:b/>
          <w:sz w:val="24"/>
          <w:u w:val="single"/>
        </w:rPr>
        <w:t>/Capital Costs</w:t>
      </w:r>
    </w:p>
    <w:p w:rsidR="00AB6B89" w:rsidRPr="00AB6B89" w:rsidRDefault="00AB6B89" w:rsidP="00BB552C">
      <w:pPr>
        <w:spacing w:before="240"/>
        <w:ind w:left="360"/>
        <w:rPr>
          <w:b/>
          <w:sz w:val="24"/>
        </w:rPr>
      </w:pPr>
      <w:r w:rsidRPr="00011DA2">
        <w:rPr>
          <w:sz w:val="24"/>
        </w:rPr>
        <w:t>There is no capital or start-up cost component for this collection.</w:t>
      </w:r>
    </w:p>
    <w:p w:rsidR="009B3794" w:rsidRPr="00F50559" w:rsidRDefault="009B3794" w:rsidP="00AB6B89">
      <w:pPr>
        <w:numPr>
          <w:ilvl w:val="0"/>
          <w:numId w:val="2"/>
        </w:numPr>
        <w:tabs>
          <w:tab w:val="clear" w:pos="1080"/>
          <w:tab w:val="left" w:pos="360"/>
        </w:tabs>
        <w:spacing w:before="240"/>
        <w:ind w:hanging="1080"/>
        <w:rPr>
          <w:b/>
          <w:sz w:val="24"/>
        </w:rPr>
      </w:pPr>
      <w:r w:rsidRPr="00F50559">
        <w:rPr>
          <w:b/>
          <w:sz w:val="24"/>
          <w:u w:val="single"/>
        </w:rPr>
        <w:t>Annualized Cost to Federal Government</w:t>
      </w:r>
    </w:p>
    <w:p w:rsidR="00EB76F4" w:rsidRDefault="00EB76F4" w:rsidP="00EB76F4">
      <w:pPr>
        <w:pStyle w:val="BodyTextIndent"/>
        <w:spacing w:before="120"/>
        <w:ind w:left="360"/>
        <w:rPr>
          <w:rFonts w:ascii="Times New Roman" w:hAnsi="Times New Roman"/>
        </w:rPr>
      </w:pPr>
      <w:r w:rsidRPr="00F50559">
        <w:rPr>
          <w:rFonts w:ascii="Times New Roman" w:hAnsi="Times New Roman"/>
        </w:rPr>
        <w:lastRenderedPageBreak/>
        <w:t>Staff at ORHP monitor the contracts and provide guidance to grantee proj</w:t>
      </w:r>
      <w:r w:rsidR="00F50559" w:rsidRPr="00F50559">
        <w:rPr>
          <w:rFonts w:ascii="Times New Roman" w:hAnsi="Times New Roman"/>
        </w:rPr>
        <w:t xml:space="preserve">ect staff at a cost of </w:t>
      </w:r>
      <w:r w:rsidR="00B42CA8">
        <w:rPr>
          <w:rFonts w:ascii="Times New Roman" w:hAnsi="Times New Roman"/>
        </w:rPr>
        <w:t>$4</w:t>
      </w:r>
      <w:r w:rsidR="00D9624C">
        <w:rPr>
          <w:rFonts w:ascii="Times New Roman" w:hAnsi="Times New Roman"/>
        </w:rPr>
        <w:t>,</w:t>
      </w:r>
      <w:r w:rsidR="00B42CA8">
        <w:rPr>
          <w:rFonts w:ascii="Times New Roman" w:hAnsi="Times New Roman"/>
        </w:rPr>
        <w:t>536.00</w:t>
      </w:r>
      <w:r w:rsidRPr="00F50559">
        <w:rPr>
          <w:rFonts w:ascii="Times New Roman" w:hAnsi="Times New Roman"/>
        </w:rPr>
        <w:t xml:space="preserve"> per year (72 hours per year at $</w:t>
      </w:r>
      <w:r w:rsidR="00A05E44">
        <w:rPr>
          <w:rFonts w:ascii="Times New Roman" w:hAnsi="Times New Roman"/>
        </w:rPr>
        <w:t>63.00</w:t>
      </w:r>
      <w:r w:rsidR="00F50559" w:rsidRPr="00F50559">
        <w:rPr>
          <w:rFonts w:ascii="Times New Roman" w:hAnsi="Times New Roman"/>
        </w:rPr>
        <w:t xml:space="preserve"> per hour at a </w:t>
      </w:r>
      <w:r w:rsidR="00A05E44">
        <w:rPr>
          <w:rFonts w:ascii="Times New Roman" w:hAnsi="Times New Roman"/>
        </w:rPr>
        <w:t>CO-06</w:t>
      </w:r>
      <w:r w:rsidRPr="00F50559">
        <w:rPr>
          <w:rFonts w:ascii="Times New Roman" w:hAnsi="Times New Roman"/>
        </w:rPr>
        <w:t xml:space="preserve"> salary level).  </w:t>
      </w:r>
    </w:p>
    <w:p w:rsidR="009B3794" w:rsidRPr="00DD1767" w:rsidRDefault="009B3794" w:rsidP="00CA3DA6">
      <w:pPr>
        <w:numPr>
          <w:ilvl w:val="0"/>
          <w:numId w:val="2"/>
        </w:numPr>
        <w:tabs>
          <w:tab w:val="clear" w:pos="1080"/>
          <w:tab w:val="num" w:pos="360"/>
        </w:tabs>
        <w:spacing w:before="240"/>
        <w:ind w:left="360"/>
        <w:rPr>
          <w:b/>
          <w:sz w:val="24"/>
        </w:rPr>
      </w:pPr>
      <w:r w:rsidRPr="00DD1767">
        <w:rPr>
          <w:b/>
          <w:sz w:val="24"/>
          <w:u w:val="single"/>
        </w:rPr>
        <w:t>Explanation for Program Changes or Adjustments</w:t>
      </w:r>
    </w:p>
    <w:p w:rsidR="00E962DB" w:rsidRPr="00DD1767" w:rsidRDefault="009B3794" w:rsidP="00F155E9">
      <w:pPr>
        <w:pStyle w:val="BodyTextIndent"/>
        <w:spacing w:before="120"/>
        <w:ind w:left="360"/>
        <w:rPr>
          <w:rFonts w:ascii="Times New Roman" w:hAnsi="Times New Roman"/>
        </w:rPr>
      </w:pPr>
      <w:r w:rsidRPr="00DD1767">
        <w:rPr>
          <w:rFonts w:ascii="Times New Roman" w:hAnsi="Times New Roman"/>
        </w:rPr>
        <w:t>This is a new data collection</w:t>
      </w:r>
      <w:r w:rsidR="00F155E9" w:rsidRPr="00DD1767">
        <w:rPr>
          <w:rFonts w:ascii="Times New Roman" w:hAnsi="Times New Roman"/>
        </w:rPr>
        <w:t>.</w:t>
      </w:r>
    </w:p>
    <w:p w:rsidR="009B3794" w:rsidRPr="00DD1767" w:rsidRDefault="009B3794" w:rsidP="00CA3DA6">
      <w:pPr>
        <w:numPr>
          <w:ilvl w:val="0"/>
          <w:numId w:val="2"/>
        </w:numPr>
        <w:tabs>
          <w:tab w:val="clear" w:pos="1080"/>
          <w:tab w:val="num" w:pos="360"/>
        </w:tabs>
        <w:spacing w:before="240"/>
        <w:ind w:left="360"/>
        <w:rPr>
          <w:b/>
          <w:sz w:val="24"/>
        </w:rPr>
      </w:pPr>
      <w:r w:rsidRPr="00DD1767">
        <w:rPr>
          <w:b/>
          <w:sz w:val="24"/>
          <w:u w:val="single"/>
        </w:rPr>
        <w:t>Plans for Tabulation</w:t>
      </w:r>
      <w:r w:rsidR="002118B4" w:rsidRPr="00DD1767">
        <w:rPr>
          <w:b/>
          <w:sz w:val="24"/>
          <w:u w:val="single"/>
        </w:rPr>
        <w:t xml:space="preserve">, </w:t>
      </w:r>
      <w:r w:rsidRPr="00DD1767">
        <w:rPr>
          <w:b/>
          <w:sz w:val="24"/>
          <w:u w:val="single"/>
        </w:rPr>
        <w:t>Publication</w:t>
      </w:r>
      <w:r w:rsidR="002118B4" w:rsidRPr="00DD1767">
        <w:rPr>
          <w:b/>
          <w:sz w:val="24"/>
          <w:u w:val="single"/>
        </w:rPr>
        <w:t>,</w:t>
      </w:r>
      <w:r w:rsidRPr="00DD1767">
        <w:rPr>
          <w:b/>
          <w:sz w:val="24"/>
          <w:u w:val="single"/>
        </w:rPr>
        <w:t xml:space="preserve"> and Project Time Schedule</w:t>
      </w:r>
    </w:p>
    <w:p w:rsidR="00652ABC" w:rsidRPr="00DD1767" w:rsidRDefault="007B18BE" w:rsidP="00CA3DA6">
      <w:pPr>
        <w:spacing w:before="120"/>
        <w:ind w:left="360"/>
        <w:rPr>
          <w:sz w:val="24"/>
        </w:rPr>
      </w:pPr>
      <w:r w:rsidRPr="00DD1767">
        <w:rPr>
          <w:sz w:val="24"/>
        </w:rPr>
        <w:t>There are no plans to publish the data</w:t>
      </w:r>
      <w:r w:rsidR="00011DA2" w:rsidRPr="00DD1767">
        <w:rPr>
          <w:sz w:val="24"/>
        </w:rPr>
        <w:t xml:space="preserve">. </w:t>
      </w:r>
      <w:r w:rsidRPr="00DD1767">
        <w:rPr>
          <w:sz w:val="24"/>
        </w:rPr>
        <w:t>The data may be used on an aggregate program level to document the impact and success of program.  This information might be used in the ORHP Annual Report produced internally for the agency.  The ORHP Annual Report is produced in February, reporting the prior fiscal year’s activities.</w:t>
      </w:r>
    </w:p>
    <w:p w:rsidR="009B3794" w:rsidRPr="00DD1767" w:rsidRDefault="009B3794" w:rsidP="00CA3DA6">
      <w:pPr>
        <w:numPr>
          <w:ilvl w:val="0"/>
          <w:numId w:val="2"/>
        </w:numPr>
        <w:tabs>
          <w:tab w:val="clear" w:pos="1080"/>
          <w:tab w:val="num" w:pos="360"/>
        </w:tabs>
        <w:spacing w:before="240"/>
        <w:ind w:left="360"/>
        <w:rPr>
          <w:b/>
          <w:sz w:val="24"/>
        </w:rPr>
      </w:pPr>
      <w:r w:rsidRPr="00DD1767">
        <w:rPr>
          <w:b/>
          <w:sz w:val="24"/>
          <w:u w:val="single"/>
        </w:rPr>
        <w:t>Reason(s) Display of OMB Expiration Date is Inappropriate</w:t>
      </w:r>
    </w:p>
    <w:p w:rsidR="009B3794" w:rsidRPr="00DD1767" w:rsidRDefault="00652ABC" w:rsidP="00F046A6">
      <w:pPr>
        <w:pStyle w:val="BodyTextIndent"/>
        <w:spacing w:before="120"/>
        <w:ind w:left="360"/>
        <w:rPr>
          <w:rFonts w:ascii="Times New Roman" w:hAnsi="Times New Roman"/>
        </w:rPr>
      </w:pPr>
      <w:r w:rsidRPr="00DD1767">
        <w:rPr>
          <w:rFonts w:ascii="Times New Roman" w:hAnsi="Times New Roman"/>
        </w:rPr>
        <w:t>The expiration date will be displayed.</w:t>
      </w:r>
    </w:p>
    <w:p w:rsidR="009B3794" w:rsidRPr="00DD1767" w:rsidRDefault="009B3794" w:rsidP="00CA3DA6">
      <w:pPr>
        <w:numPr>
          <w:ilvl w:val="0"/>
          <w:numId w:val="2"/>
        </w:numPr>
        <w:tabs>
          <w:tab w:val="clear" w:pos="1080"/>
          <w:tab w:val="num" w:pos="360"/>
        </w:tabs>
        <w:spacing w:before="240"/>
        <w:ind w:left="360"/>
        <w:rPr>
          <w:b/>
          <w:sz w:val="24"/>
        </w:rPr>
      </w:pPr>
      <w:r w:rsidRPr="00DD1767">
        <w:rPr>
          <w:b/>
          <w:sz w:val="24"/>
          <w:u w:val="single"/>
        </w:rPr>
        <w:t>Exceptions to Certification for Paperwork Reduction Act Submissions</w:t>
      </w:r>
    </w:p>
    <w:p w:rsidR="009B3794" w:rsidRDefault="009B3794" w:rsidP="00CA3DA6">
      <w:pPr>
        <w:pStyle w:val="BodyTextIndent"/>
        <w:spacing w:before="120"/>
        <w:ind w:left="360"/>
        <w:rPr>
          <w:rFonts w:ascii="Times New Roman" w:hAnsi="Times New Roman"/>
        </w:rPr>
      </w:pPr>
      <w:r w:rsidRPr="00DD1767">
        <w:rPr>
          <w:rFonts w:ascii="Times New Roman" w:hAnsi="Times New Roman"/>
        </w:rPr>
        <w:t>There are no exceptions to the certification.</w:t>
      </w:r>
    </w:p>
    <w:p w:rsidR="0011653D" w:rsidRDefault="0011653D" w:rsidP="00CA3DA6">
      <w:pPr>
        <w:pStyle w:val="BodyTextIndent"/>
        <w:spacing w:before="120"/>
        <w:ind w:left="360"/>
        <w:rPr>
          <w:rFonts w:ascii="Times New Roman" w:hAnsi="Times New Roman"/>
        </w:rPr>
      </w:pPr>
    </w:p>
    <w:p w:rsidR="0011653D" w:rsidRDefault="0011653D" w:rsidP="00CA3DA6">
      <w:pPr>
        <w:pStyle w:val="BodyTextIndent"/>
        <w:spacing w:before="120"/>
        <w:ind w:left="360"/>
        <w:rPr>
          <w:rFonts w:ascii="Times New Roman" w:hAnsi="Times New Roman"/>
        </w:rPr>
      </w:pPr>
    </w:p>
    <w:p w:rsidR="0011653D" w:rsidRDefault="0011653D" w:rsidP="00CA3DA6">
      <w:pPr>
        <w:pStyle w:val="BodyTextIndent"/>
        <w:spacing w:before="120"/>
        <w:ind w:left="360"/>
        <w:rPr>
          <w:rFonts w:ascii="Times New Roman" w:hAnsi="Times New Roman"/>
        </w:rPr>
      </w:pPr>
    </w:p>
    <w:p w:rsidR="0011653D" w:rsidRPr="00652ABC" w:rsidRDefault="0011653D" w:rsidP="00CA3DA6">
      <w:pPr>
        <w:pStyle w:val="BodyTextIndent"/>
        <w:spacing w:before="120"/>
        <w:ind w:left="360"/>
      </w:pPr>
    </w:p>
    <w:sectPr w:rsidR="0011653D" w:rsidRPr="00652ABC"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314" w:rsidRDefault="00447314">
      <w:r>
        <w:separator/>
      </w:r>
    </w:p>
  </w:endnote>
  <w:endnote w:type="continuationSeparator" w:id="0">
    <w:p w:rsidR="00447314" w:rsidRDefault="0044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C01A93">
      <w:rPr>
        <w:noProof/>
        <w:sz w:val="24"/>
      </w:rPr>
      <w:t>5</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314" w:rsidRDefault="00447314">
      <w:r>
        <w:separator/>
      </w:r>
    </w:p>
  </w:footnote>
  <w:footnote w:type="continuationSeparator" w:id="0">
    <w:p w:rsidR="00447314" w:rsidRDefault="00447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1F4354"/>
    <w:multiLevelType w:val="hybridMultilevel"/>
    <w:tmpl w:val="399C8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8D84C72"/>
    <w:multiLevelType w:val="hybridMultilevel"/>
    <w:tmpl w:val="064C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3"/>
  </w:num>
  <w:num w:numId="3">
    <w:abstractNumId w:val="16"/>
  </w:num>
  <w:num w:numId="4">
    <w:abstractNumId w:val="41"/>
  </w:num>
  <w:num w:numId="5">
    <w:abstractNumId w:val="45"/>
  </w:num>
  <w:num w:numId="6">
    <w:abstractNumId w:val="11"/>
  </w:num>
  <w:num w:numId="7">
    <w:abstractNumId w:val="37"/>
  </w:num>
  <w:num w:numId="8">
    <w:abstractNumId w:val="19"/>
  </w:num>
  <w:num w:numId="9">
    <w:abstractNumId w:val="27"/>
  </w:num>
  <w:num w:numId="10">
    <w:abstractNumId w:val="21"/>
  </w:num>
  <w:num w:numId="11">
    <w:abstractNumId w:val="10"/>
  </w:num>
  <w:num w:numId="12">
    <w:abstractNumId w:val="26"/>
  </w:num>
  <w:num w:numId="13">
    <w:abstractNumId w:val="22"/>
  </w:num>
  <w:num w:numId="14">
    <w:abstractNumId w:val="24"/>
  </w:num>
  <w:num w:numId="15">
    <w:abstractNumId w:val="9"/>
  </w:num>
  <w:num w:numId="16">
    <w:abstractNumId w:val="0"/>
  </w:num>
  <w:num w:numId="17">
    <w:abstractNumId w:val="1"/>
  </w:num>
  <w:num w:numId="18">
    <w:abstractNumId w:val="17"/>
  </w:num>
  <w:num w:numId="19">
    <w:abstractNumId w:val="36"/>
  </w:num>
  <w:num w:numId="20">
    <w:abstractNumId w:val="33"/>
  </w:num>
  <w:num w:numId="21">
    <w:abstractNumId w:val="20"/>
  </w:num>
  <w:num w:numId="22">
    <w:abstractNumId w:val="40"/>
  </w:num>
  <w:num w:numId="23">
    <w:abstractNumId w:val="31"/>
  </w:num>
  <w:num w:numId="24">
    <w:abstractNumId w:val="32"/>
  </w:num>
  <w:num w:numId="25">
    <w:abstractNumId w:val="44"/>
  </w:num>
  <w:num w:numId="26">
    <w:abstractNumId w:val="39"/>
  </w:num>
  <w:num w:numId="27">
    <w:abstractNumId w:val="4"/>
  </w:num>
  <w:num w:numId="28">
    <w:abstractNumId w:val="18"/>
  </w:num>
  <w:num w:numId="29">
    <w:abstractNumId w:val="43"/>
  </w:num>
  <w:num w:numId="30">
    <w:abstractNumId w:val="38"/>
  </w:num>
  <w:num w:numId="31">
    <w:abstractNumId w:val="34"/>
  </w:num>
  <w:num w:numId="32">
    <w:abstractNumId w:val="12"/>
  </w:num>
  <w:num w:numId="33">
    <w:abstractNumId w:val="3"/>
  </w:num>
  <w:num w:numId="34">
    <w:abstractNumId w:val="28"/>
  </w:num>
  <w:num w:numId="35">
    <w:abstractNumId w:val="14"/>
  </w:num>
  <w:num w:numId="36">
    <w:abstractNumId w:val="13"/>
  </w:num>
  <w:num w:numId="37">
    <w:abstractNumId w:val="15"/>
  </w:num>
  <w:num w:numId="38">
    <w:abstractNumId w:val="5"/>
  </w:num>
  <w:num w:numId="39">
    <w:abstractNumId w:val="30"/>
  </w:num>
  <w:num w:numId="40">
    <w:abstractNumId w:val="8"/>
  </w:num>
  <w:num w:numId="41">
    <w:abstractNumId w:val="29"/>
  </w:num>
  <w:num w:numId="42">
    <w:abstractNumId w:val="25"/>
  </w:num>
  <w:num w:numId="43">
    <w:abstractNumId w:val="6"/>
  </w:num>
  <w:num w:numId="44">
    <w:abstractNumId w:val="7"/>
  </w:num>
  <w:num w:numId="45">
    <w:abstractNumId w:val="35"/>
  </w:num>
  <w:num w:numId="46">
    <w:abstractNumId w:val="2"/>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1DA2"/>
    <w:rsid w:val="00015505"/>
    <w:rsid w:val="00067E2E"/>
    <w:rsid w:val="00081A93"/>
    <w:rsid w:val="00100F31"/>
    <w:rsid w:val="00106D7B"/>
    <w:rsid w:val="0011653D"/>
    <w:rsid w:val="001325B2"/>
    <w:rsid w:val="00145928"/>
    <w:rsid w:val="00155926"/>
    <w:rsid w:val="00174AA7"/>
    <w:rsid w:val="001A17E6"/>
    <w:rsid w:val="001D4856"/>
    <w:rsid w:val="002118B4"/>
    <w:rsid w:val="002640E7"/>
    <w:rsid w:val="00290AD1"/>
    <w:rsid w:val="002C64D1"/>
    <w:rsid w:val="002E37FA"/>
    <w:rsid w:val="002E3916"/>
    <w:rsid w:val="002E5020"/>
    <w:rsid w:val="00320621"/>
    <w:rsid w:val="00322313"/>
    <w:rsid w:val="00322E9D"/>
    <w:rsid w:val="003234E8"/>
    <w:rsid w:val="0037779A"/>
    <w:rsid w:val="00391E16"/>
    <w:rsid w:val="003D23B1"/>
    <w:rsid w:val="003D6913"/>
    <w:rsid w:val="003E7110"/>
    <w:rsid w:val="003E7FB2"/>
    <w:rsid w:val="004050DE"/>
    <w:rsid w:val="0040598A"/>
    <w:rsid w:val="00422D38"/>
    <w:rsid w:val="00447314"/>
    <w:rsid w:val="00454D57"/>
    <w:rsid w:val="00472847"/>
    <w:rsid w:val="004746CA"/>
    <w:rsid w:val="00482169"/>
    <w:rsid w:val="00490720"/>
    <w:rsid w:val="004E687D"/>
    <w:rsid w:val="00503BAB"/>
    <w:rsid w:val="00503EBE"/>
    <w:rsid w:val="00594FD5"/>
    <w:rsid w:val="005A1E93"/>
    <w:rsid w:val="005C482E"/>
    <w:rsid w:val="005E1765"/>
    <w:rsid w:val="00610695"/>
    <w:rsid w:val="00612E69"/>
    <w:rsid w:val="00624019"/>
    <w:rsid w:val="00624F64"/>
    <w:rsid w:val="0063793B"/>
    <w:rsid w:val="00637E82"/>
    <w:rsid w:val="00652ABC"/>
    <w:rsid w:val="00680D76"/>
    <w:rsid w:val="0069362E"/>
    <w:rsid w:val="006D0FE6"/>
    <w:rsid w:val="00713F20"/>
    <w:rsid w:val="00736251"/>
    <w:rsid w:val="00792F72"/>
    <w:rsid w:val="007B18BE"/>
    <w:rsid w:val="007B4758"/>
    <w:rsid w:val="007C0249"/>
    <w:rsid w:val="007F047A"/>
    <w:rsid w:val="00820D6D"/>
    <w:rsid w:val="00830C30"/>
    <w:rsid w:val="008456BF"/>
    <w:rsid w:val="008564A2"/>
    <w:rsid w:val="00891AEA"/>
    <w:rsid w:val="008A0277"/>
    <w:rsid w:val="008C262F"/>
    <w:rsid w:val="008D2D67"/>
    <w:rsid w:val="0091159D"/>
    <w:rsid w:val="00915277"/>
    <w:rsid w:val="00932610"/>
    <w:rsid w:val="009417EE"/>
    <w:rsid w:val="00984178"/>
    <w:rsid w:val="0099155E"/>
    <w:rsid w:val="00992869"/>
    <w:rsid w:val="00995449"/>
    <w:rsid w:val="009B3794"/>
    <w:rsid w:val="009B7E4D"/>
    <w:rsid w:val="009F1019"/>
    <w:rsid w:val="00A05E44"/>
    <w:rsid w:val="00A20BF0"/>
    <w:rsid w:val="00A67173"/>
    <w:rsid w:val="00A87BC4"/>
    <w:rsid w:val="00A92CAB"/>
    <w:rsid w:val="00AB6B89"/>
    <w:rsid w:val="00AE7154"/>
    <w:rsid w:val="00B42CA8"/>
    <w:rsid w:val="00B621E8"/>
    <w:rsid w:val="00B655C6"/>
    <w:rsid w:val="00BA1A0C"/>
    <w:rsid w:val="00BA2B8E"/>
    <w:rsid w:val="00BB4135"/>
    <w:rsid w:val="00BB552C"/>
    <w:rsid w:val="00BF2D31"/>
    <w:rsid w:val="00C01A93"/>
    <w:rsid w:val="00C108AB"/>
    <w:rsid w:val="00C74B86"/>
    <w:rsid w:val="00C90B4D"/>
    <w:rsid w:val="00CA2868"/>
    <w:rsid w:val="00CA3DA6"/>
    <w:rsid w:val="00CD36E7"/>
    <w:rsid w:val="00CE5AA9"/>
    <w:rsid w:val="00CF6B8E"/>
    <w:rsid w:val="00D236ED"/>
    <w:rsid w:val="00D337AD"/>
    <w:rsid w:val="00D46313"/>
    <w:rsid w:val="00D65F56"/>
    <w:rsid w:val="00D74B86"/>
    <w:rsid w:val="00D92E1D"/>
    <w:rsid w:val="00D9624C"/>
    <w:rsid w:val="00DB3582"/>
    <w:rsid w:val="00DD1767"/>
    <w:rsid w:val="00DE3A45"/>
    <w:rsid w:val="00DE5D0A"/>
    <w:rsid w:val="00E203FA"/>
    <w:rsid w:val="00E34A1F"/>
    <w:rsid w:val="00E71E81"/>
    <w:rsid w:val="00E9598F"/>
    <w:rsid w:val="00E962DB"/>
    <w:rsid w:val="00EB76F4"/>
    <w:rsid w:val="00ED18EA"/>
    <w:rsid w:val="00EE529C"/>
    <w:rsid w:val="00F046A6"/>
    <w:rsid w:val="00F155E9"/>
    <w:rsid w:val="00F16601"/>
    <w:rsid w:val="00F4221E"/>
    <w:rsid w:val="00F50559"/>
    <w:rsid w:val="00F534C9"/>
    <w:rsid w:val="00F60EEA"/>
    <w:rsid w:val="00FA166A"/>
    <w:rsid w:val="00FA7F94"/>
    <w:rsid w:val="00FB1BBC"/>
    <w:rsid w:val="00FE5B50"/>
    <w:rsid w:val="00FE686A"/>
    <w:rsid w:val="00FF1FE6"/>
    <w:rsid w:val="00FF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534C9"/>
    <w:rPr>
      <w:sz w:val="16"/>
      <w:szCs w:val="16"/>
    </w:rPr>
  </w:style>
  <w:style w:type="paragraph" w:styleId="CommentText">
    <w:name w:val="annotation text"/>
    <w:basedOn w:val="Normal"/>
    <w:link w:val="CommentTextChar"/>
    <w:rsid w:val="00F534C9"/>
    <w:rPr>
      <w:szCs w:val="20"/>
    </w:rPr>
  </w:style>
  <w:style w:type="character" w:customStyle="1" w:styleId="CommentTextChar">
    <w:name w:val="Comment Text Char"/>
    <w:basedOn w:val="DefaultParagraphFont"/>
    <w:link w:val="CommentText"/>
    <w:rsid w:val="00F534C9"/>
  </w:style>
  <w:style w:type="paragraph" w:styleId="CommentSubject">
    <w:name w:val="annotation subject"/>
    <w:basedOn w:val="CommentText"/>
    <w:next w:val="CommentText"/>
    <w:link w:val="CommentSubjectChar"/>
    <w:rsid w:val="00F534C9"/>
    <w:rPr>
      <w:b/>
      <w:bCs/>
    </w:rPr>
  </w:style>
  <w:style w:type="character" w:customStyle="1" w:styleId="CommentSubjectChar">
    <w:name w:val="Comment Subject Char"/>
    <w:basedOn w:val="CommentTextChar"/>
    <w:link w:val="CommentSubject"/>
    <w:rsid w:val="00F534C9"/>
    <w:rPr>
      <w:b/>
      <w:bCs/>
    </w:rPr>
  </w:style>
  <w:style w:type="character" w:styleId="FollowedHyperlink">
    <w:name w:val="FollowedHyperlink"/>
    <w:basedOn w:val="DefaultParagraphFont"/>
    <w:rsid w:val="001559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534C9"/>
    <w:rPr>
      <w:sz w:val="16"/>
      <w:szCs w:val="16"/>
    </w:rPr>
  </w:style>
  <w:style w:type="paragraph" w:styleId="CommentText">
    <w:name w:val="annotation text"/>
    <w:basedOn w:val="Normal"/>
    <w:link w:val="CommentTextChar"/>
    <w:rsid w:val="00F534C9"/>
    <w:rPr>
      <w:szCs w:val="20"/>
    </w:rPr>
  </w:style>
  <w:style w:type="character" w:customStyle="1" w:styleId="CommentTextChar">
    <w:name w:val="Comment Text Char"/>
    <w:basedOn w:val="DefaultParagraphFont"/>
    <w:link w:val="CommentText"/>
    <w:rsid w:val="00F534C9"/>
  </w:style>
  <w:style w:type="paragraph" w:styleId="CommentSubject">
    <w:name w:val="annotation subject"/>
    <w:basedOn w:val="CommentText"/>
    <w:next w:val="CommentText"/>
    <w:link w:val="CommentSubjectChar"/>
    <w:rsid w:val="00F534C9"/>
    <w:rPr>
      <w:b/>
      <w:bCs/>
    </w:rPr>
  </w:style>
  <w:style w:type="character" w:customStyle="1" w:styleId="CommentSubjectChar">
    <w:name w:val="Comment Subject Char"/>
    <w:basedOn w:val="CommentTextChar"/>
    <w:link w:val="CommentSubject"/>
    <w:rsid w:val="00F534C9"/>
    <w:rPr>
      <w:b/>
      <w:bCs/>
    </w:rPr>
  </w:style>
  <w:style w:type="character" w:styleId="FollowedHyperlink">
    <w:name w:val="FollowedHyperlink"/>
    <w:basedOn w:val="DefaultParagraphFont"/>
    <w:rsid w:val="00155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1624">
      <w:bodyDiv w:val="1"/>
      <w:marLeft w:val="0"/>
      <w:marRight w:val="0"/>
      <w:marTop w:val="0"/>
      <w:marBottom w:val="0"/>
      <w:divBdr>
        <w:top w:val="none" w:sz="0" w:space="0" w:color="auto"/>
        <w:left w:val="none" w:sz="0" w:space="0" w:color="auto"/>
        <w:bottom w:val="none" w:sz="0" w:space="0" w:color="auto"/>
        <w:right w:val="none" w:sz="0" w:space="0" w:color="auto"/>
      </w:divBdr>
    </w:div>
    <w:div w:id="279577803">
      <w:bodyDiv w:val="1"/>
      <w:marLeft w:val="0"/>
      <w:marRight w:val="0"/>
      <w:marTop w:val="0"/>
      <w:marBottom w:val="0"/>
      <w:divBdr>
        <w:top w:val="none" w:sz="0" w:space="0" w:color="auto"/>
        <w:left w:val="none" w:sz="0" w:space="0" w:color="auto"/>
        <w:bottom w:val="none" w:sz="0" w:space="0" w:color="auto"/>
        <w:right w:val="none" w:sz="0" w:space="0" w:color="auto"/>
      </w:divBdr>
    </w:div>
    <w:div w:id="19768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adline xmlns="889b1ab1-e7d9-4e05-9b5f-6e9b40fb4999">2014-01-24T05:00:00+00:00</Deadline>
    <Yellow_x002d_Box_x0020_Review xmlns="889b1ab1-e7d9-4e05-9b5f-6e9b40fb4999">true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Completed</TermName>
          <TermId xmlns="http://schemas.microsoft.com/office/infopath/2007/PartnerControls">60a806b9-e7bd-4a24-8c6a-66a289c5f3b3</TermId>
        </TermInfo>
      </Terms>
    </b05e3a4acdb64f45b14d8c4bbc6de5a9>
    <a9e1d685452944148fa2995bb59ad48c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3e2bc87b-c399-40df-8dd8-0fcdb81cad41</TermId>
        </TermInfo>
      </Terms>
    </a9e1d685452944148fa2995bb59ad48c>
    <OC_x0020_Review xmlns="889b1ab1-e7d9-4e05-9b5f-6e9b40fb4999">false</OC_x0020_Review>
    <j18f6e9c70974d968e26d380dc21424b xmlns="889b1ab1-e7d9-4e05-9b5f-6e9b40fb4999">
      <Terms xmlns="http://schemas.microsoft.com/office/infopath/2007/PartnerControls">
        <TermInfo xmlns="http://schemas.microsoft.com/office/infopath/2007/PartnerControls">
          <TermName xmlns="http://schemas.microsoft.com/office/infopath/2007/PartnerControls">Associate Administrator</TermName>
          <TermId xmlns="http://schemas.microsoft.com/office/infopath/2007/PartnerControls">ec21a764-e956-4261-a40c-34bdb27cf8fb</TermId>
        </TermInfo>
      </Terms>
    </j18f6e9c70974d968e26d380dc21424b>
    <o553382a14024c42a128fba8a4ca912e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1e0765f4-a594-4851-938c-fdc7a93f6d32</TermId>
        </TermInfo>
      </Term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960</Value>
      <Value>928</Value>
      <Value>959</Value>
      <Value>926</Value>
      <Value>925</Value>
    </TaxCatchAll>
    <_dlc_DocId xmlns="053a5afd-1424-405b-82d9-63deec7446f8">DZXA3YQD6WY2-4885-82</_dlc_DocId>
    <_dlc_DocIdUrl xmlns="053a5afd-1424-405b-82d9-63deec7446f8">
      <Url>https://sharepoint.hrsa.gov/teams/orhp/cbd/_layouts/DocIdRedir.aspx?ID=DZXA3YQD6WY2-4885-82</Url>
      <Description>DZXA3YQD6WY2-4885-82</Description>
    </_dlc_DocIdUrl>
    <n985869f56fd4370a7fed9cea957b720 xmlns="889b1ab1-e7d9-4e05-9b5f-6e9b40fb4999">
      <Terms xmlns="http://schemas.microsoft.com/office/infopath/2007/PartnerControls"/>
    </n985869f56fd4370a7fed9cea957b72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27" ma:contentTypeDescription="Create a new document." ma:contentTypeScope="" ma:versionID="2e2ad6dbfb11988a52667c5f268db0c7">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0f06faa37872aab172cd940e91df4e3"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2"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D4C53-5BE9-4273-B300-5DC1D240046E}">
  <ds:schemaRefs>
    <ds:schemaRef ds:uri="http://schemas.microsoft.com/sharepoint/events"/>
  </ds:schemaRefs>
</ds:datastoreItem>
</file>

<file path=customXml/itemProps2.xml><?xml version="1.0" encoding="utf-8"?>
<ds:datastoreItem xmlns:ds="http://schemas.openxmlformats.org/officeDocument/2006/customXml" ds:itemID="{7279FA5F-B1FA-45A5-8CAD-5D5FF10F4926}">
  <ds:schemaRefs>
    <ds:schemaRef ds:uri="889b1ab1-e7d9-4e05-9b5f-6e9b40fb4999"/>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053a5afd-1424-405b-82d9-63deec7446f8"/>
  </ds:schemaRefs>
</ds:datastoreItem>
</file>

<file path=customXml/itemProps3.xml><?xml version="1.0" encoding="utf-8"?>
<ds:datastoreItem xmlns:ds="http://schemas.openxmlformats.org/officeDocument/2006/customXml" ds:itemID="{5A5240FA-71F6-455E-9AC0-37F41D09064D}">
  <ds:schemaRefs>
    <ds:schemaRef ds:uri="http://schemas.microsoft.com/sharepoint/v3/contenttype/forms"/>
  </ds:schemaRefs>
</ds:datastoreItem>
</file>

<file path=customXml/itemProps4.xml><?xml version="1.0" encoding="utf-8"?>
<ds:datastoreItem xmlns:ds="http://schemas.openxmlformats.org/officeDocument/2006/customXml" ds:itemID="{D67D15B2-AFF7-41B5-A81A-D96AF8A2D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4B26A1-CC27-431D-AF01-82D58EBD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1396</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9357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3</cp:revision>
  <cp:lastPrinted>2010-10-14T13:41:00Z</cp:lastPrinted>
  <dcterms:created xsi:type="dcterms:W3CDTF">2014-05-28T20:22:00Z</dcterms:created>
  <dcterms:modified xsi:type="dcterms:W3CDTF">2014-05-29T15:39:00Z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35cc3265-ae3f-45ad-8ea5-0afbfd5edb66</vt:lpwstr>
  </property>
  <property fmtid="{D5CDD505-2E9C-101B-9397-08002B2CF9AE}" pid="4" name="Document Status">
    <vt:lpwstr>925;#In Progress|3bf51977-ad40-45c6-8df6-f924869d62fd</vt:lpwstr>
  </property>
  <property fmtid="{D5CDD505-2E9C-101B-9397-08002B2CF9AE}" pid="5" name="PO/PC Status">
    <vt:lpwstr>928;#Completed|60a806b9-e7bd-4a24-8c6a-66a289c5f3b3</vt:lpwstr>
  </property>
  <property fmtid="{D5CDD505-2E9C-101B-9397-08002B2CF9AE}" pid="6" name="Signature_x0020_Approval">
    <vt:lpwstr>926;#Associate Administrator|ec21a764-e956-4261-a40c-34bdb27cf8fb</vt:lpwstr>
  </property>
  <property fmtid="{D5CDD505-2E9C-101B-9397-08002B2CF9AE}" pid="7" name="Division_x0020_Leadership_x0020_Status">
    <vt:lpwstr>957;#Review Completed|53b2d95f-7b42-4bc2-ac28-9d4299c9394b</vt:lpwstr>
  </property>
  <property fmtid="{D5CDD505-2E9C-101B-9397-08002B2CF9AE}" pid="8" name="Editor_x0020_Status">
    <vt:lpwstr>960;#Cleared|1e0765f4-a594-4851-938c-fdc7a93f6d32</vt:lpwstr>
  </property>
  <property fmtid="{D5CDD505-2E9C-101B-9397-08002B2CF9AE}" pid="9" name="Division Leadership Status">
    <vt:lpwstr>959;#Cleared|3e2bc87b-c399-40df-8dd8-0fcdb81cad41</vt:lpwstr>
  </property>
  <property fmtid="{D5CDD505-2E9C-101B-9397-08002B2CF9AE}" pid="10" name="Editor Status">
    <vt:lpwstr>960;#Cleared|1e0765f4-a594-4851-938c-fdc7a93f6d32</vt:lpwstr>
  </property>
  <property fmtid="{D5CDD505-2E9C-101B-9397-08002B2CF9AE}" pid="11" name="Signature Approval">
    <vt:lpwstr>926;#Associate Administrator|ec21a764-e956-4261-a40c-34bdb27cf8fb</vt:lpwstr>
  </property>
  <property fmtid="{D5CDD505-2E9C-101B-9397-08002B2CF9AE}" pid="12" name="ORHP_x0020_Leadership_x0020_Status">
    <vt:lpwstr/>
  </property>
  <property fmtid="{D5CDD505-2E9C-101B-9397-08002B2CF9AE}" pid="13" name="ORHP Leadership Status">
    <vt:lpwstr/>
  </property>
</Properties>
</file>