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C7B" w:rsidRDefault="00487C7B" w:rsidP="00487C7B">
      <w:pPr>
        <w:spacing w:after="0" w:line="240" w:lineRule="auto"/>
        <w:rPr>
          <w:rFonts w:ascii="Times New Roman" w:hAnsi="Times New Roman" w:cs="Times New Roman"/>
          <w:sz w:val="28"/>
          <w:szCs w:val="28"/>
        </w:rPr>
      </w:pPr>
      <w:bookmarkStart w:id="0" w:name="_GoBack"/>
      <w:bookmarkEnd w:id="0"/>
      <w:r w:rsidRPr="00487C7B">
        <w:rPr>
          <w:rFonts w:ascii="Times New Roman" w:hAnsi="Times New Roman" w:cs="Times New Roman"/>
          <w:sz w:val="28"/>
          <w:szCs w:val="28"/>
        </w:rPr>
        <w:t>Rationale for Increasing Incentives and Measuring Ghost Awareness</w:t>
      </w:r>
    </w:p>
    <w:p w:rsidR="00487C7B" w:rsidRPr="00487C7B" w:rsidRDefault="00487C7B" w:rsidP="00487C7B">
      <w:pPr>
        <w:spacing w:after="0" w:line="240" w:lineRule="auto"/>
        <w:rPr>
          <w:rFonts w:ascii="Times New Roman" w:hAnsi="Times New Roman" w:cs="Times New Roman"/>
          <w:sz w:val="28"/>
          <w:szCs w:val="28"/>
        </w:rPr>
      </w:pPr>
    </w:p>
    <w:p w:rsidR="00487C7B" w:rsidRDefault="00487C7B" w:rsidP="00487C7B">
      <w:pPr>
        <w:spacing w:after="0" w:line="240" w:lineRule="auto"/>
        <w:rPr>
          <w:rFonts w:ascii="Times New Roman" w:hAnsi="Times New Roman" w:cs="Times New Roman"/>
          <w:b/>
          <w:sz w:val="24"/>
          <w:szCs w:val="24"/>
        </w:rPr>
      </w:pPr>
      <w:r>
        <w:rPr>
          <w:rFonts w:ascii="Times New Roman" w:hAnsi="Times New Roman" w:cs="Times New Roman"/>
          <w:b/>
          <w:sz w:val="24"/>
          <w:szCs w:val="24"/>
        </w:rPr>
        <w:t>Rationale for Increasing Incentives</w:t>
      </w:r>
    </w:p>
    <w:p w:rsidR="00487C7B" w:rsidRPr="00487C7B" w:rsidRDefault="00487C7B" w:rsidP="00487C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RTI is seeking OMB approval for two changes to the respondent incentive procedure. First, we would like to include $1 in the </w:t>
      </w:r>
      <w:r w:rsidRPr="00487C7B">
        <w:rPr>
          <w:rFonts w:ascii="Times New Roman" w:hAnsi="Times New Roman" w:cs="Times New Roman"/>
          <w:sz w:val="24"/>
          <w:szCs w:val="24"/>
        </w:rPr>
        <w:t>Panel Maintenance Mailing</w:t>
      </w:r>
      <w:r>
        <w:rPr>
          <w:rFonts w:ascii="Times New Roman" w:hAnsi="Times New Roman" w:cs="Times New Roman"/>
          <w:sz w:val="24"/>
          <w:szCs w:val="24"/>
        </w:rPr>
        <w:t>, in order</w:t>
      </w:r>
      <w:r w:rsidRPr="00487C7B">
        <w:rPr>
          <w:rFonts w:ascii="Times New Roman" w:hAnsi="Times New Roman" w:cs="Times New Roman"/>
          <w:sz w:val="24"/>
          <w:szCs w:val="24"/>
        </w:rPr>
        <w:t xml:space="preserve"> to boost returns of address updates and confirmations from households</w:t>
      </w:r>
      <w:r>
        <w:rPr>
          <w:rFonts w:ascii="Times New Roman" w:hAnsi="Times New Roman" w:cs="Times New Roman"/>
          <w:sz w:val="24"/>
          <w:szCs w:val="24"/>
        </w:rPr>
        <w:t>. Second, we would like to offer a higher incentive to respondents who complete the follow-up survey online during a three week early release period, in order to reduce cost of in-person interviewing and reduce nonresponse. These practices have been demonstrated to increase response rates and reduce costs and nonresponse in other studies.</w:t>
      </w:r>
    </w:p>
    <w:p w:rsidR="00487C7B" w:rsidRDefault="00487C7B" w:rsidP="00487C7B">
      <w:pPr>
        <w:spacing w:after="0" w:line="240" w:lineRule="auto"/>
        <w:rPr>
          <w:rFonts w:ascii="Times New Roman" w:hAnsi="Times New Roman" w:cs="Times New Roman"/>
          <w:b/>
          <w:sz w:val="24"/>
          <w:szCs w:val="24"/>
        </w:rPr>
      </w:pPr>
    </w:p>
    <w:p w:rsidR="00487C7B" w:rsidRPr="003F2ED5" w:rsidRDefault="00487C7B" w:rsidP="00487C7B">
      <w:pPr>
        <w:pStyle w:val="bodytextpsg"/>
        <w:spacing w:after="0"/>
        <w:ind w:firstLine="0"/>
        <w:rPr>
          <w:sz w:val="24"/>
          <w:szCs w:val="24"/>
          <w:u w:val="single"/>
        </w:rPr>
      </w:pPr>
      <w:r w:rsidRPr="003F2ED5">
        <w:rPr>
          <w:sz w:val="24"/>
          <w:szCs w:val="24"/>
          <w:u w:val="single"/>
        </w:rPr>
        <w:t xml:space="preserve">Prepaid Incentive for Panel Maintenance Mailing </w:t>
      </w:r>
    </w:p>
    <w:p w:rsidR="00487C7B" w:rsidRDefault="00487C7B" w:rsidP="00487C7B">
      <w:pPr>
        <w:spacing w:after="0" w:line="240" w:lineRule="auto"/>
        <w:rPr>
          <w:rFonts w:ascii="Times New Roman" w:hAnsi="Times New Roman" w:cs="Times New Roman"/>
          <w:sz w:val="24"/>
          <w:szCs w:val="24"/>
        </w:rPr>
      </w:pPr>
      <w:r w:rsidRPr="00844D79">
        <w:rPr>
          <w:rFonts w:ascii="Times New Roman" w:hAnsi="Times New Roman" w:cs="Times New Roman"/>
          <w:sz w:val="24"/>
          <w:szCs w:val="24"/>
        </w:rPr>
        <w:t xml:space="preserve">RTI </w:t>
      </w:r>
      <w:r w:rsidR="00080BB7">
        <w:rPr>
          <w:rFonts w:ascii="Times New Roman" w:hAnsi="Times New Roman" w:cs="Times New Roman"/>
          <w:sz w:val="24"/>
          <w:szCs w:val="24"/>
        </w:rPr>
        <w:t>plans</w:t>
      </w:r>
      <w:r w:rsidRPr="00844D79">
        <w:rPr>
          <w:rFonts w:ascii="Times New Roman" w:hAnsi="Times New Roman" w:cs="Times New Roman"/>
          <w:sz w:val="24"/>
          <w:szCs w:val="24"/>
        </w:rPr>
        <w:t xml:space="preserve"> to send a locator mailer to participating households</w:t>
      </w:r>
      <w:r w:rsidR="00080BB7">
        <w:rPr>
          <w:rFonts w:ascii="Times New Roman" w:hAnsi="Times New Roman" w:cs="Times New Roman"/>
          <w:sz w:val="24"/>
          <w:szCs w:val="24"/>
        </w:rPr>
        <w:t>,</w:t>
      </w:r>
      <w:r w:rsidRPr="00844D79">
        <w:rPr>
          <w:rFonts w:ascii="Times New Roman" w:hAnsi="Times New Roman" w:cs="Times New Roman"/>
          <w:sz w:val="24"/>
          <w:szCs w:val="24"/>
        </w:rPr>
        <w:t xml:space="preserve"> informing them of the upcoming </w:t>
      </w:r>
      <w:r w:rsidR="007F7B56" w:rsidRPr="00844D79">
        <w:rPr>
          <w:rFonts w:ascii="Times New Roman" w:hAnsi="Times New Roman" w:cs="Times New Roman"/>
          <w:sz w:val="24"/>
          <w:szCs w:val="24"/>
        </w:rPr>
        <w:t xml:space="preserve">ExPECTT </w:t>
      </w:r>
      <w:r w:rsidRPr="00844D79">
        <w:rPr>
          <w:rFonts w:ascii="Times New Roman" w:hAnsi="Times New Roman" w:cs="Times New Roman"/>
          <w:sz w:val="24"/>
          <w:szCs w:val="24"/>
        </w:rPr>
        <w:t>data collection</w:t>
      </w:r>
      <w:r w:rsidR="00080BB7">
        <w:rPr>
          <w:rFonts w:ascii="Times New Roman" w:hAnsi="Times New Roman" w:cs="Times New Roman"/>
          <w:sz w:val="24"/>
          <w:szCs w:val="24"/>
        </w:rPr>
        <w:t xml:space="preserve"> </w:t>
      </w:r>
      <w:r w:rsidRPr="00844D79">
        <w:rPr>
          <w:rFonts w:ascii="Times New Roman" w:hAnsi="Times New Roman" w:cs="Times New Roman"/>
          <w:sz w:val="24"/>
          <w:szCs w:val="24"/>
        </w:rPr>
        <w:t xml:space="preserve">and asking them to update their contact information </w:t>
      </w:r>
      <w:r w:rsidR="00080BB7">
        <w:rPr>
          <w:rFonts w:ascii="Times New Roman" w:hAnsi="Times New Roman" w:cs="Times New Roman"/>
          <w:sz w:val="24"/>
          <w:szCs w:val="24"/>
        </w:rPr>
        <w:t>if</w:t>
      </w:r>
      <w:r w:rsidRPr="00844D79">
        <w:rPr>
          <w:rFonts w:ascii="Times New Roman" w:hAnsi="Times New Roman" w:cs="Times New Roman"/>
          <w:sz w:val="24"/>
          <w:szCs w:val="24"/>
        </w:rPr>
        <w:t xml:space="preserve"> planned moves have occur</w:t>
      </w:r>
      <w:r>
        <w:rPr>
          <w:rFonts w:ascii="Times New Roman" w:hAnsi="Times New Roman" w:cs="Times New Roman"/>
          <w:sz w:val="24"/>
          <w:szCs w:val="24"/>
        </w:rPr>
        <w:t xml:space="preserve">red since the baseline </w:t>
      </w:r>
      <w:r w:rsidR="00080BB7">
        <w:rPr>
          <w:rFonts w:ascii="Times New Roman" w:hAnsi="Times New Roman" w:cs="Times New Roman"/>
          <w:sz w:val="24"/>
          <w:szCs w:val="24"/>
        </w:rPr>
        <w:t>survey</w:t>
      </w:r>
      <w:r>
        <w:rPr>
          <w:rFonts w:ascii="Times New Roman" w:hAnsi="Times New Roman" w:cs="Times New Roman"/>
          <w:sz w:val="24"/>
          <w:szCs w:val="24"/>
        </w:rPr>
        <w:t xml:space="preserve">. </w:t>
      </w:r>
      <w:r w:rsidRPr="00844D79">
        <w:rPr>
          <w:rFonts w:ascii="Times New Roman" w:hAnsi="Times New Roman" w:cs="Times New Roman"/>
          <w:sz w:val="24"/>
          <w:szCs w:val="24"/>
        </w:rPr>
        <w:t xml:space="preserve">Respondents can </w:t>
      </w:r>
      <w:r w:rsidR="006B4157" w:rsidRPr="00844D79">
        <w:rPr>
          <w:rFonts w:ascii="Times New Roman" w:hAnsi="Times New Roman" w:cs="Times New Roman"/>
          <w:sz w:val="24"/>
          <w:szCs w:val="24"/>
        </w:rPr>
        <w:t xml:space="preserve">update their contact information </w:t>
      </w:r>
      <w:r w:rsidR="006B4157">
        <w:rPr>
          <w:rFonts w:ascii="Times New Roman" w:hAnsi="Times New Roman" w:cs="Times New Roman"/>
          <w:sz w:val="24"/>
          <w:szCs w:val="24"/>
        </w:rPr>
        <w:t xml:space="preserve">by calling </w:t>
      </w:r>
      <w:r w:rsidRPr="00844D79">
        <w:rPr>
          <w:rFonts w:ascii="Times New Roman" w:hAnsi="Times New Roman" w:cs="Times New Roman"/>
          <w:sz w:val="24"/>
          <w:szCs w:val="24"/>
        </w:rPr>
        <w:t xml:space="preserve">a toll-free </w:t>
      </w:r>
      <w:r w:rsidR="00080BB7">
        <w:rPr>
          <w:rFonts w:ascii="Times New Roman" w:hAnsi="Times New Roman" w:cs="Times New Roman"/>
          <w:sz w:val="24"/>
          <w:szCs w:val="24"/>
        </w:rPr>
        <w:t xml:space="preserve">number </w:t>
      </w:r>
      <w:r w:rsidRPr="00844D79">
        <w:rPr>
          <w:rFonts w:ascii="Times New Roman" w:hAnsi="Times New Roman" w:cs="Times New Roman"/>
          <w:sz w:val="24"/>
          <w:szCs w:val="24"/>
        </w:rPr>
        <w:t xml:space="preserve">or </w:t>
      </w:r>
      <w:r w:rsidR="006B4157">
        <w:rPr>
          <w:rFonts w:ascii="Times New Roman" w:hAnsi="Times New Roman" w:cs="Times New Roman"/>
          <w:sz w:val="24"/>
          <w:szCs w:val="24"/>
        </w:rPr>
        <w:t>by completing</w:t>
      </w:r>
      <w:r w:rsidRPr="00844D79">
        <w:rPr>
          <w:rFonts w:ascii="Times New Roman" w:hAnsi="Times New Roman" w:cs="Times New Roman"/>
          <w:sz w:val="24"/>
          <w:szCs w:val="24"/>
        </w:rPr>
        <w:t xml:space="preserve"> and return</w:t>
      </w:r>
      <w:r w:rsidR="006B4157">
        <w:rPr>
          <w:rFonts w:ascii="Times New Roman" w:hAnsi="Times New Roman" w:cs="Times New Roman"/>
          <w:sz w:val="24"/>
          <w:szCs w:val="24"/>
        </w:rPr>
        <w:t>ing</w:t>
      </w:r>
      <w:r w:rsidRPr="00844D79">
        <w:rPr>
          <w:rFonts w:ascii="Times New Roman" w:hAnsi="Times New Roman" w:cs="Times New Roman"/>
          <w:sz w:val="24"/>
          <w:szCs w:val="24"/>
        </w:rPr>
        <w:t xml:space="preserve"> an enclosed postcard</w:t>
      </w:r>
      <w:r>
        <w:rPr>
          <w:rFonts w:ascii="Times New Roman" w:hAnsi="Times New Roman" w:cs="Times New Roman"/>
          <w:sz w:val="24"/>
          <w:szCs w:val="24"/>
        </w:rPr>
        <w:t xml:space="preserve">. </w:t>
      </w:r>
      <w:r w:rsidRPr="00844D79">
        <w:rPr>
          <w:rFonts w:ascii="Times New Roman" w:hAnsi="Times New Roman" w:cs="Times New Roman"/>
          <w:sz w:val="24"/>
          <w:szCs w:val="24"/>
        </w:rPr>
        <w:t>In order to enco</w:t>
      </w:r>
      <w:r w:rsidR="008F3A63">
        <w:rPr>
          <w:rFonts w:ascii="Times New Roman" w:hAnsi="Times New Roman" w:cs="Times New Roman"/>
          <w:sz w:val="24"/>
          <w:szCs w:val="24"/>
        </w:rPr>
        <w:t xml:space="preserve">urage response to this mailing, </w:t>
      </w:r>
      <w:r w:rsidR="001C3A05">
        <w:rPr>
          <w:rFonts w:ascii="Times New Roman" w:hAnsi="Times New Roman" w:cs="Times New Roman"/>
          <w:sz w:val="24"/>
          <w:szCs w:val="24"/>
        </w:rPr>
        <w:t>RTI</w:t>
      </w:r>
      <w:r w:rsidRPr="00844D79">
        <w:rPr>
          <w:rFonts w:ascii="Times New Roman" w:hAnsi="Times New Roman" w:cs="Times New Roman"/>
          <w:sz w:val="24"/>
          <w:szCs w:val="24"/>
        </w:rPr>
        <w:t xml:space="preserve"> recommend</w:t>
      </w:r>
      <w:r w:rsidR="001C3A05">
        <w:rPr>
          <w:rFonts w:ascii="Times New Roman" w:hAnsi="Times New Roman" w:cs="Times New Roman"/>
          <w:sz w:val="24"/>
          <w:szCs w:val="24"/>
        </w:rPr>
        <w:t>s</w:t>
      </w:r>
      <w:r w:rsidRPr="00844D79">
        <w:rPr>
          <w:rFonts w:ascii="Times New Roman" w:hAnsi="Times New Roman" w:cs="Times New Roman"/>
          <w:sz w:val="24"/>
          <w:szCs w:val="24"/>
        </w:rPr>
        <w:t xml:space="preserve"> including a $1 </w:t>
      </w:r>
      <w:r>
        <w:rPr>
          <w:rFonts w:ascii="Times New Roman" w:hAnsi="Times New Roman" w:cs="Times New Roman"/>
          <w:sz w:val="24"/>
          <w:szCs w:val="24"/>
        </w:rPr>
        <w:t xml:space="preserve">cash incentive in the mailing. </w:t>
      </w:r>
    </w:p>
    <w:p w:rsidR="00487C7B" w:rsidRDefault="00487C7B" w:rsidP="00487C7B">
      <w:pPr>
        <w:spacing w:after="0" w:line="240" w:lineRule="auto"/>
        <w:rPr>
          <w:rFonts w:ascii="Times New Roman" w:hAnsi="Times New Roman" w:cs="Times New Roman"/>
          <w:sz w:val="24"/>
          <w:szCs w:val="24"/>
        </w:rPr>
      </w:pPr>
    </w:p>
    <w:p w:rsidR="00065700" w:rsidRDefault="008F3A63" w:rsidP="00487C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Studies show that prepaid incentives </w:t>
      </w:r>
      <w:r w:rsidR="001C3A05">
        <w:rPr>
          <w:rFonts w:ascii="Times New Roman" w:eastAsia="Times New Roman" w:hAnsi="Times New Roman" w:cs="Times New Roman"/>
          <w:sz w:val="24"/>
          <w:szCs w:val="24"/>
        </w:rPr>
        <w:t xml:space="preserve">are effective, and that they </w:t>
      </w:r>
      <w:r>
        <w:rPr>
          <w:rFonts w:ascii="Times New Roman" w:eastAsia="Times New Roman" w:hAnsi="Times New Roman" w:cs="Times New Roman"/>
          <w:sz w:val="24"/>
          <w:szCs w:val="24"/>
        </w:rPr>
        <w:t>work be</w:t>
      </w:r>
      <w:r w:rsidR="00473922">
        <w:rPr>
          <w:rFonts w:ascii="Times New Roman" w:eastAsia="Times New Roman" w:hAnsi="Times New Roman" w:cs="Times New Roman"/>
          <w:sz w:val="24"/>
          <w:szCs w:val="24"/>
        </w:rPr>
        <w:t>tter than promised incentives</w:t>
      </w:r>
      <w:r>
        <w:rPr>
          <w:rFonts w:ascii="Times New Roman" w:eastAsia="Times New Roman" w:hAnsi="Times New Roman" w:cs="Times New Roman"/>
          <w:sz w:val="24"/>
          <w:szCs w:val="24"/>
        </w:rPr>
        <w:t>.</w:t>
      </w:r>
      <w:r w:rsidR="00473922">
        <w:rPr>
          <w:rFonts w:ascii="Times New Roman" w:eastAsia="Times New Roman" w:hAnsi="Times New Roman" w:cs="Times New Roman"/>
          <w:sz w:val="24"/>
          <w:szCs w:val="24"/>
        </w:rPr>
        <w:fldChar w:fldCharType="begin"/>
      </w:r>
      <w:r w:rsidR="005E4448">
        <w:rPr>
          <w:rFonts w:ascii="Times New Roman" w:eastAsia="Times New Roman" w:hAnsi="Times New Roman" w:cs="Times New Roman"/>
          <w:sz w:val="24"/>
          <w:szCs w:val="24"/>
        </w:rPr>
        <w:instrText xml:space="preserve"> ADDIN EN.CITE &lt;EndNote&gt;&lt;Cite&gt;&lt;Author&gt;Singer&lt;/Author&gt;&lt;Year&gt;2012&lt;/Year&gt;&lt;RecNum&gt;1863&lt;/RecNum&gt;&lt;DisplayText&gt;(National Youth in Transition Database 2010; Singer 2012)&lt;/DisplayText&gt;&lt;record&gt;&lt;rec-number&gt;1863&lt;/rec-number&gt;&lt;foreign-keys&gt;&lt;key app="EN" db-id="0tv5pdev8v9efkevw0oxsrzkzxzwwxvstdtz"&gt;1863&lt;/key&gt;&lt;/foreign-keys&gt;&lt;ref-type name="Conference Paper"&gt;47&lt;/ref-type&gt;&lt;contributors&gt;&lt;authors&gt;&lt;author&gt;Singer, E. &lt;/author&gt;&lt;/authors&gt;&lt;/contributors&gt;&lt;titles&gt;&lt;title&gt;The Use and Effects of Incentives in Surveys&lt;/title&gt;&lt;secondary-title&gt;National Science Foundation&lt;/secondary-title&gt;&lt;/titles&gt;&lt;dates&gt;&lt;year&gt;2012&lt;/year&gt;&lt;/dates&gt;&lt;pub-location&gt;Washington DC&lt;/pub-location&gt;&lt;urls&gt;&lt;/urls&gt;&lt;/record&gt;&lt;/Cite&gt;&lt;Cite&gt;&lt;Author&gt;National Youth in Transition Database&lt;/Author&gt;&lt;Year&gt;2010&lt;/Year&gt;&lt;RecNum&gt;1864&lt;/RecNum&gt;&lt;record&gt;&lt;rec-number&gt;1864&lt;/rec-number&gt;&lt;foreign-keys&gt;&lt;key app="EN" db-id="0tv5pdev8v9efkevw0oxsrzkzxzwwxvstdtz"&gt;1864&lt;/key&gt;&lt;/foreign-keys&gt;&lt;ref-type name="Report"&gt;27&lt;/ref-type&gt;&lt;contributors&gt;&lt;authors&gt;&lt;author&gt;National Youth in Transition Database,&lt;/author&gt;&lt;/authors&gt;&lt;/contributors&gt;&lt;titles&gt;&lt;title&gt;Technical Assistance Brief No. 6 Understanding Incentives and Motivators for Participation in the Youth Outcome Survey. &lt;/title&gt;&lt;/titles&gt;&lt;dates&gt;&lt;year&gt;2010&lt;/year&gt;&lt;/dates&gt;&lt;pub-location&gt;http://www.nrccwdt.org/resources/nytd/docs/NYTD_TA_Brief_6_Understanding_Incentives_081010.pdf&lt;/pub-location&gt;&lt;urls&gt;&lt;related-urls&gt;&lt;url&gt;http://www.nrccwdt.org/resources/nytd/docs/NYTD_TA_Brief_6_Understanding_Incentives_081010.pdf&lt;/url&gt;&lt;/related-urls&gt;&lt;/urls&gt;&lt;/record&gt;&lt;/Cite&gt;&lt;/EndNote&gt;</w:instrText>
      </w:r>
      <w:r w:rsidR="00473922">
        <w:rPr>
          <w:rFonts w:ascii="Times New Roman" w:eastAsia="Times New Roman" w:hAnsi="Times New Roman" w:cs="Times New Roman"/>
          <w:sz w:val="24"/>
          <w:szCs w:val="24"/>
        </w:rPr>
        <w:fldChar w:fldCharType="separate"/>
      </w:r>
      <w:r w:rsidR="005E4448">
        <w:rPr>
          <w:rFonts w:ascii="Times New Roman" w:eastAsia="Times New Roman" w:hAnsi="Times New Roman" w:cs="Times New Roman"/>
          <w:noProof/>
          <w:sz w:val="24"/>
          <w:szCs w:val="24"/>
        </w:rPr>
        <w:t>(</w:t>
      </w:r>
      <w:hyperlink w:anchor="_ENREF_4" w:tooltip="National Youth in Transition Database, 2010 #1864" w:history="1">
        <w:r w:rsidR="005E4448">
          <w:rPr>
            <w:rFonts w:ascii="Times New Roman" w:eastAsia="Times New Roman" w:hAnsi="Times New Roman" w:cs="Times New Roman"/>
            <w:noProof/>
            <w:sz w:val="24"/>
            <w:szCs w:val="24"/>
          </w:rPr>
          <w:t>National Youth in Transition Database 2010</w:t>
        </w:r>
      </w:hyperlink>
      <w:r w:rsidR="005E4448">
        <w:rPr>
          <w:rFonts w:ascii="Times New Roman" w:eastAsia="Times New Roman" w:hAnsi="Times New Roman" w:cs="Times New Roman"/>
          <w:noProof/>
          <w:sz w:val="24"/>
          <w:szCs w:val="24"/>
        </w:rPr>
        <w:t xml:space="preserve">; </w:t>
      </w:r>
      <w:hyperlink w:anchor="_ENREF_5" w:tooltip="Singer, 2012 #1863" w:history="1">
        <w:r w:rsidR="005E4448">
          <w:rPr>
            <w:rFonts w:ascii="Times New Roman" w:eastAsia="Times New Roman" w:hAnsi="Times New Roman" w:cs="Times New Roman"/>
            <w:noProof/>
            <w:sz w:val="24"/>
            <w:szCs w:val="24"/>
          </w:rPr>
          <w:t>Singer 2012</w:t>
        </w:r>
      </w:hyperlink>
      <w:r w:rsidR="005E4448">
        <w:rPr>
          <w:rFonts w:ascii="Times New Roman" w:eastAsia="Times New Roman" w:hAnsi="Times New Roman" w:cs="Times New Roman"/>
          <w:noProof/>
          <w:sz w:val="24"/>
          <w:szCs w:val="24"/>
        </w:rPr>
        <w:t>)</w:t>
      </w:r>
      <w:r w:rsidR="00473922">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Even small prepaid incentives </w:t>
      </w:r>
      <w:r w:rsidR="007F7B56">
        <w:rPr>
          <w:rFonts w:ascii="Times New Roman" w:eastAsia="Times New Roman" w:hAnsi="Times New Roman" w:cs="Times New Roman"/>
          <w:sz w:val="24"/>
          <w:szCs w:val="24"/>
        </w:rPr>
        <w:t xml:space="preserve">can </w:t>
      </w:r>
      <w:r>
        <w:rPr>
          <w:rFonts w:ascii="Times New Roman" w:eastAsia="Times New Roman" w:hAnsi="Times New Roman" w:cs="Times New Roman"/>
          <w:sz w:val="24"/>
          <w:szCs w:val="24"/>
        </w:rPr>
        <w:t xml:space="preserve">have a </w:t>
      </w:r>
      <w:r w:rsidR="007F7B56">
        <w:rPr>
          <w:rFonts w:ascii="Times New Roman" w:eastAsia="Times New Roman" w:hAnsi="Times New Roman" w:cs="Times New Roman"/>
          <w:sz w:val="24"/>
          <w:szCs w:val="24"/>
        </w:rPr>
        <w:t>meaningful</w:t>
      </w:r>
      <w:r>
        <w:rPr>
          <w:rFonts w:ascii="Times New Roman" w:eastAsia="Times New Roman" w:hAnsi="Times New Roman" w:cs="Times New Roman"/>
          <w:sz w:val="24"/>
          <w:szCs w:val="24"/>
        </w:rPr>
        <w:t xml:space="preserve"> influence on response rates. </w:t>
      </w:r>
      <w:r w:rsidR="0052768C">
        <w:rPr>
          <w:rFonts w:ascii="Times New Roman" w:eastAsia="Times New Roman" w:hAnsi="Times New Roman" w:cs="Times New Roman"/>
          <w:sz w:val="24"/>
          <w:szCs w:val="24"/>
        </w:rPr>
        <w:t>For example, one study found that a $1 prepaid incentive yielded a response rate of 71%, while a $50 promised incentive yielded a response rate of 57%.</w:t>
      </w:r>
      <w:r w:rsidR="0052768C">
        <w:rPr>
          <w:rFonts w:ascii="Times New Roman" w:eastAsia="Times New Roman" w:hAnsi="Times New Roman" w:cs="Times New Roman"/>
          <w:sz w:val="24"/>
          <w:szCs w:val="24"/>
        </w:rPr>
        <w:fldChar w:fldCharType="begin"/>
      </w:r>
      <w:r w:rsidR="0052768C">
        <w:rPr>
          <w:rFonts w:ascii="Times New Roman" w:eastAsia="Times New Roman" w:hAnsi="Times New Roman" w:cs="Times New Roman"/>
          <w:sz w:val="24"/>
          <w:szCs w:val="24"/>
        </w:rPr>
        <w:instrText xml:space="preserve"> ADDIN EN.CITE &lt;EndNote&gt;&lt;Cite&gt;&lt;Author&gt;James&lt;/Author&gt;&lt;Year&gt;1992&lt;/Year&gt;&lt;RecNum&gt;1865&lt;/RecNum&gt;&lt;DisplayText&gt;(James 1992)&lt;/DisplayText&gt;&lt;record&gt;&lt;rec-number&gt;1865&lt;/rec-number&gt;&lt;foreign-keys&gt;&lt;key app="EN" db-id="0tv5pdev8v9efkevw0oxsrzkzxzwwxvstdtz"&gt;1865&lt;/key&gt;&lt;/foreign-keys&gt;&lt;ref-type name="Journal Article"&gt;17&lt;/ref-type&gt;&lt;contributors&gt;&lt;authors&gt;&lt;author&gt;James, J.M., and Bolstein, R.&lt;/author&gt;&lt;/authors&gt;&lt;/contributors&gt;&lt;titles&gt;&lt;title&gt;Large monetary incentives and their effect on mail survey response rates.&lt;/title&gt;&lt;secondary-title&gt;Public Opinion Quarterly&lt;/secondary-title&gt;&lt;/titles&gt;&lt;periodical&gt;&lt;full-title&gt;Public Opin Q&lt;/full-title&gt;&lt;abbr-1&gt;Public opinion quarterly&lt;/abbr-1&gt;&lt;/periodical&gt;&lt;pages&gt;442-453&lt;/pages&gt;&lt;number&gt;56&lt;/number&gt;&lt;dates&gt;&lt;year&gt;1992&lt;/year&gt;&lt;/dates&gt;&lt;urls&gt;&lt;/urls&gt;&lt;/record&gt;&lt;/Cite&gt;&lt;/EndNote&gt;</w:instrText>
      </w:r>
      <w:r w:rsidR="0052768C">
        <w:rPr>
          <w:rFonts w:ascii="Times New Roman" w:eastAsia="Times New Roman" w:hAnsi="Times New Roman" w:cs="Times New Roman"/>
          <w:sz w:val="24"/>
          <w:szCs w:val="24"/>
        </w:rPr>
        <w:fldChar w:fldCharType="separate"/>
      </w:r>
      <w:r w:rsidR="0052768C">
        <w:rPr>
          <w:rFonts w:ascii="Times New Roman" w:eastAsia="Times New Roman" w:hAnsi="Times New Roman" w:cs="Times New Roman"/>
          <w:noProof/>
          <w:sz w:val="24"/>
          <w:szCs w:val="24"/>
        </w:rPr>
        <w:t>(</w:t>
      </w:r>
      <w:hyperlink w:anchor="_ENREF_2" w:tooltip="James, 1992 #1865" w:history="1">
        <w:r w:rsidR="005E4448">
          <w:rPr>
            <w:rFonts w:ascii="Times New Roman" w:eastAsia="Times New Roman" w:hAnsi="Times New Roman" w:cs="Times New Roman"/>
            <w:noProof/>
            <w:sz w:val="24"/>
            <w:szCs w:val="24"/>
          </w:rPr>
          <w:t>James 1992</w:t>
        </w:r>
      </w:hyperlink>
      <w:r w:rsidR="0052768C">
        <w:rPr>
          <w:rFonts w:ascii="Times New Roman" w:eastAsia="Times New Roman" w:hAnsi="Times New Roman" w:cs="Times New Roman"/>
          <w:noProof/>
          <w:sz w:val="24"/>
          <w:szCs w:val="24"/>
        </w:rPr>
        <w:t>)</w:t>
      </w:r>
      <w:r w:rsidR="0052768C">
        <w:rPr>
          <w:rFonts w:ascii="Times New Roman" w:eastAsia="Times New Roman" w:hAnsi="Times New Roman" w:cs="Times New Roman"/>
          <w:sz w:val="24"/>
          <w:szCs w:val="24"/>
        </w:rPr>
        <w:fldChar w:fldCharType="end"/>
      </w:r>
      <w:r w:rsidR="0052768C">
        <w:rPr>
          <w:rFonts w:ascii="Times New Roman" w:eastAsia="Times New Roman" w:hAnsi="Times New Roman" w:cs="Times New Roman"/>
          <w:sz w:val="24"/>
          <w:szCs w:val="24"/>
        </w:rPr>
        <w:t xml:space="preserve"> More recent studies show that </w:t>
      </w:r>
      <w:r>
        <w:rPr>
          <w:rFonts w:ascii="Times New Roman" w:eastAsia="Times New Roman" w:hAnsi="Times New Roman" w:cs="Times New Roman"/>
          <w:sz w:val="24"/>
          <w:szCs w:val="24"/>
        </w:rPr>
        <w:t>p</w:t>
      </w:r>
      <w:r w:rsidR="00487C7B" w:rsidRPr="00844D79">
        <w:rPr>
          <w:rFonts w:ascii="Times New Roman" w:eastAsia="Times New Roman" w:hAnsi="Times New Roman" w:cs="Times New Roman"/>
          <w:sz w:val="24"/>
          <w:szCs w:val="24"/>
        </w:rPr>
        <w:t>repaid token incentives of $1 or $2 have been demonstrated to increase response rates by 8% to 31% comp</w:t>
      </w:r>
      <w:r w:rsidR="00473922">
        <w:rPr>
          <w:rFonts w:ascii="Times New Roman" w:eastAsia="Times New Roman" w:hAnsi="Times New Roman" w:cs="Times New Roman"/>
          <w:sz w:val="24"/>
          <w:szCs w:val="24"/>
        </w:rPr>
        <w:t>ared with no incentive</w:t>
      </w:r>
      <w:r w:rsidR="0052768C">
        <w:rPr>
          <w:rFonts w:ascii="Times New Roman" w:eastAsia="Times New Roman" w:hAnsi="Times New Roman" w:cs="Times New Roman"/>
          <w:sz w:val="24"/>
          <w:szCs w:val="24"/>
        </w:rPr>
        <w:t>,</w:t>
      </w:r>
      <w:r w:rsidR="00473922">
        <w:rPr>
          <w:rFonts w:ascii="Times New Roman" w:eastAsia="Times New Roman" w:hAnsi="Times New Roman" w:cs="Times New Roman"/>
          <w:sz w:val="24"/>
          <w:szCs w:val="24"/>
        </w:rPr>
        <w:fldChar w:fldCharType="begin"/>
      </w:r>
      <w:r w:rsidR="008604AE">
        <w:rPr>
          <w:rFonts w:ascii="Times New Roman" w:eastAsia="Times New Roman" w:hAnsi="Times New Roman" w:cs="Times New Roman"/>
          <w:sz w:val="24"/>
          <w:szCs w:val="24"/>
        </w:rPr>
        <w:instrText xml:space="preserve"> ADDIN EN.CITE &lt;EndNote&gt;&lt;Cite&gt;&lt;Author&gt;Dillman&lt;/Author&gt;&lt;Year&gt;2009&lt;/Year&gt;&lt;RecNum&gt;1866&lt;/RecNum&gt;&lt;DisplayText&gt;(Dillman 2009)&lt;/DisplayText&gt;&lt;record&gt;&lt;rec-number&gt;1866&lt;/rec-number&gt;&lt;foreign-keys&gt;&lt;key app="EN" db-id="0tv5pdev8v9efkevw0oxsrzkzxzwwxvstdtz"&gt;1866&lt;/key&gt;&lt;/foreign-keys&gt;&lt;ref-type name="Book"&gt;6&lt;/ref-type&gt;&lt;contributors&gt;&lt;authors&gt;&lt;author&gt;Dillman, D.A.; Smyth, J.D.; and Christian, L.M. &lt;/author&gt;&lt;/authors&gt;&lt;/contributors&gt;&lt;titles&gt;&lt;title&gt;Internet, mail, and mixed-mode surveys: The tailored design method.&lt;/title&gt;&lt;/titles&gt;&lt;edition&gt;3rd&lt;/edition&gt;&lt;dates&gt;&lt;year&gt;2009&lt;/year&gt;&lt;/dates&gt;&lt;pub-location&gt;Hoboken, NJ&lt;/pub-location&gt;&lt;publisher&gt;John Wiley &amp;amp; Sons&lt;/publisher&gt;&lt;urls&gt;&lt;/urls&gt;&lt;/record&gt;&lt;/Cite&gt;&lt;/EndNote&gt;</w:instrText>
      </w:r>
      <w:r w:rsidR="00473922">
        <w:rPr>
          <w:rFonts w:ascii="Times New Roman" w:eastAsia="Times New Roman" w:hAnsi="Times New Roman" w:cs="Times New Roman"/>
          <w:sz w:val="24"/>
          <w:szCs w:val="24"/>
        </w:rPr>
        <w:fldChar w:fldCharType="separate"/>
      </w:r>
      <w:r w:rsidR="008604AE">
        <w:rPr>
          <w:rFonts w:ascii="Times New Roman" w:eastAsia="Times New Roman" w:hAnsi="Times New Roman" w:cs="Times New Roman"/>
          <w:noProof/>
          <w:sz w:val="24"/>
          <w:szCs w:val="24"/>
        </w:rPr>
        <w:t>(</w:t>
      </w:r>
      <w:hyperlink w:anchor="_ENREF_1" w:tooltip="Dillman, 2009 #1866" w:history="1">
        <w:r w:rsidR="005E4448">
          <w:rPr>
            <w:rFonts w:ascii="Times New Roman" w:eastAsia="Times New Roman" w:hAnsi="Times New Roman" w:cs="Times New Roman"/>
            <w:noProof/>
            <w:sz w:val="24"/>
            <w:szCs w:val="24"/>
          </w:rPr>
          <w:t>Dillman 2009</w:t>
        </w:r>
      </w:hyperlink>
      <w:r w:rsidR="008604AE">
        <w:rPr>
          <w:rFonts w:ascii="Times New Roman" w:eastAsia="Times New Roman" w:hAnsi="Times New Roman" w:cs="Times New Roman"/>
          <w:noProof/>
          <w:sz w:val="24"/>
          <w:szCs w:val="24"/>
        </w:rPr>
        <w:t>)</w:t>
      </w:r>
      <w:r w:rsidR="00473922">
        <w:rPr>
          <w:rFonts w:ascii="Times New Roman" w:eastAsia="Times New Roman" w:hAnsi="Times New Roman" w:cs="Times New Roman"/>
          <w:sz w:val="24"/>
          <w:szCs w:val="24"/>
        </w:rPr>
        <w:fldChar w:fldCharType="end"/>
      </w:r>
      <w:r w:rsidR="00487C7B" w:rsidRPr="00844D79">
        <w:rPr>
          <w:rFonts w:ascii="Times New Roman" w:eastAsia="Times New Roman" w:hAnsi="Times New Roman" w:cs="Times New Roman"/>
          <w:sz w:val="24"/>
          <w:szCs w:val="24"/>
        </w:rPr>
        <w:t xml:space="preserve"> </w:t>
      </w:r>
      <w:r w:rsidR="0052768C">
        <w:rPr>
          <w:rFonts w:ascii="Times New Roman" w:eastAsia="Times New Roman" w:hAnsi="Times New Roman" w:cs="Times New Roman"/>
          <w:sz w:val="24"/>
          <w:szCs w:val="24"/>
        </w:rPr>
        <w:t>and that a $5 prepaid incentive increased the response rate by 14% overall, and by 42% within the first week of survey administration.</w:t>
      </w:r>
      <w:r w:rsidR="0052768C">
        <w:rPr>
          <w:rFonts w:ascii="Times New Roman" w:eastAsia="Times New Roman" w:hAnsi="Times New Roman" w:cs="Times New Roman"/>
          <w:sz w:val="24"/>
          <w:szCs w:val="24"/>
        </w:rPr>
        <w:fldChar w:fldCharType="begin"/>
      </w:r>
      <w:r w:rsidR="0052768C">
        <w:rPr>
          <w:rFonts w:ascii="Times New Roman" w:eastAsia="Times New Roman" w:hAnsi="Times New Roman" w:cs="Times New Roman"/>
          <w:sz w:val="24"/>
          <w:szCs w:val="24"/>
        </w:rPr>
        <w:instrText xml:space="preserve"> ADDIN EN.CITE &lt;EndNote&gt;&lt;Cite&gt;&lt;Author&gt;LeClere&lt;/Author&gt;&lt;Year&gt;2012&lt;/Year&gt;&lt;RecNum&gt;1861&lt;/RecNum&gt;&lt;DisplayText&gt;(LeClere 2012)&lt;/DisplayText&gt;&lt;record&gt;&lt;rec-number&gt;1861&lt;/rec-number&gt;&lt;foreign-keys&gt;&lt;key app="EN" db-id="0tv5pdev8v9efkevw0oxsrzkzxzwwxvstdtz"&gt;1861&lt;/key&gt;&lt;/foreign-keys&gt;&lt;ref-type name="Conference Paper"&gt;47&lt;/ref-type&gt;&lt;contributors&gt;&lt;authors&gt;&lt;author&gt;LeClere, F., Plumme, S., Vanicek, J., Amaya, A., Carris, K. &lt;/author&gt;&lt;/authors&gt;&lt;/contributors&gt;&lt;titles&gt;&lt;title&gt;Household Early Bird Incentives: Leveraging Family Influence to Improve Household Response Rates.&lt;/title&gt;&lt;secondary-title&gt;American Statistical Association Joint Statistical Meetings, Section on Survey Research&lt;/secondary-title&gt;&lt;/titles&gt;&lt;dates&gt;&lt;year&gt;2012&lt;/year&gt;&lt;/dates&gt;&lt;urls&gt;&lt;related-urls&gt;&lt;url&gt;https://www.amstat.org/sections/srms/proceedings/y2012/files/304811_73772.pdf&lt;/url&gt;&lt;/related-urls&gt;&lt;/urls&gt;&lt;custom1&gt;https://www.amstat.org/sections/srms/proceedings/y2012/files/304811_73772.pdf&lt;/custom1&gt;&lt;/record&gt;&lt;/Cite&gt;&lt;/EndNote&gt;</w:instrText>
      </w:r>
      <w:r w:rsidR="0052768C">
        <w:rPr>
          <w:rFonts w:ascii="Times New Roman" w:eastAsia="Times New Roman" w:hAnsi="Times New Roman" w:cs="Times New Roman"/>
          <w:sz w:val="24"/>
          <w:szCs w:val="24"/>
        </w:rPr>
        <w:fldChar w:fldCharType="separate"/>
      </w:r>
      <w:r w:rsidR="0052768C">
        <w:rPr>
          <w:rFonts w:ascii="Times New Roman" w:eastAsia="Times New Roman" w:hAnsi="Times New Roman" w:cs="Times New Roman"/>
          <w:noProof/>
          <w:sz w:val="24"/>
          <w:szCs w:val="24"/>
        </w:rPr>
        <w:t>(</w:t>
      </w:r>
      <w:hyperlink w:anchor="_ENREF_3" w:tooltip="LeClere, 2012 #1861" w:history="1">
        <w:r w:rsidR="005E4448">
          <w:rPr>
            <w:rFonts w:ascii="Times New Roman" w:eastAsia="Times New Roman" w:hAnsi="Times New Roman" w:cs="Times New Roman"/>
            <w:noProof/>
            <w:sz w:val="24"/>
            <w:szCs w:val="24"/>
          </w:rPr>
          <w:t>LeClere 2012</w:t>
        </w:r>
      </w:hyperlink>
      <w:r w:rsidR="0052768C">
        <w:rPr>
          <w:rFonts w:ascii="Times New Roman" w:eastAsia="Times New Roman" w:hAnsi="Times New Roman" w:cs="Times New Roman"/>
          <w:noProof/>
          <w:sz w:val="24"/>
          <w:szCs w:val="24"/>
        </w:rPr>
        <w:t>)</w:t>
      </w:r>
      <w:r w:rsidR="0052768C">
        <w:rPr>
          <w:rFonts w:ascii="Times New Roman" w:eastAsia="Times New Roman" w:hAnsi="Times New Roman" w:cs="Times New Roman"/>
          <w:sz w:val="24"/>
          <w:szCs w:val="24"/>
        </w:rPr>
        <w:fldChar w:fldCharType="end"/>
      </w:r>
      <w:r w:rsidR="0052768C">
        <w:rPr>
          <w:rFonts w:ascii="Times New Roman" w:eastAsia="Times New Roman" w:hAnsi="Times New Roman" w:cs="Times New Roman"/>
          <w:sz w:val="24"/>
          <w:szCs w:val="24"/>
        </w:rPr>
        <w:t xml:space="preserve"> </w:t>
      </w:r>
      <w:r w:rsidR="00065700">
        <w:rPr>
          <w:rFonts w:ascii="Times New Roman" w:eastAsia="Times New Roman" w:hAnsi="Times New Roman" w:cs="Times New Roman"/>
          <w:sz w:val="24"/>
          <w:szCs w:val="24"/>
        </w:rPr>
        <w:t>Another study showed that a $1 prepaid incentive had no influence on the overall completion rate, but that it dramatically boosted the rate of completion within the first two weeks of survey administration compared with no incentive.</w:t>
      </w:r>
      <w:r w:rsidR="00065700">
        <w:rPr>
          <w:rFonts w:ascii="Times New Roman" w:eastAsia="Times New Roman" w:hAnsi="Times New Roman" w:cs="Times New Roman"/>
          <w:sz w:val="24"/>
          <w:szCs w:val="24"/>
        </w:rPr>
        <w:fldChar w:fldCharType="begin"/>
      </w:r>
      <w:r w:rsidR="00065700">
        <w:rPr>
          <w:rFonts w:ascii="Times New Roman" w:eastAsia="Times New Roman" w:hAnsi="Times New Roman" w:cs="Times New Roman"/>
          <w:sz w:val="24"/>
          <w:szCs w:val="24"/>
        </w:rPr>
        <w:instrText xml:space="preserve"> ADDIN EN.CITE &lt;EndNote&gt;&lt;Cite&gt;&lt;Author&gt;Ward&lt;/Author&gt;&lt;Year&gt;2014&lt;/Year&gt;&lt;RecNum&gt;1862&lt;/RecNum&gt;&lt;DisplayText&gt;(Ward 2014)&lt;/DisplayText&gt;&lt;record&gt;&lt;rec-number&gt;1862&lt;/rec-number&gt;&lt;foreign-keys&gt;&lt;key app="EN" db-id="0tv5pdev8v9efkevw0oxsrzkzxzwwxvstdtz"&gt;1862&lt;/key&gt;&lt;/foreign-keys&gt;&lt;ref-type name="Conference Paper"&gt;47&lt;/ref-type&gt;&lt;contributors&gt;&lt;authors&gt;&lt;author&gt;Ward, C., Stern, M., Vanicek, J., Black, C., Knighton, C., Wilkinson, L. &lt;/author&gt;&lt;/authors&gt;&lt;/contributors&gt;&lt;titles&gt;&lt;title&gt;Evaluating the Effectiveness of Early Bird Incentives in a Web Survey&lt;/title&gt;&lt;secondary-title&gt;Federal Computer Assisted Survey Information Collection (CASIC) Workshops&lt;/secondary-title&gt;&lt;/titles&gt;&lt;dates&gt;&lt;year&gt;2014&lt;/year&gt;&lt;/dates&gt;&lt;urls&gt;&lt;related-urls&gt;&lt;url&gt;https://fedcasic.dsd.census.gov/fc2014/ppt/WardNIS-MM%20FedCASIC%203%2014%2014.pdf&lt;/url&gt;&lt;/related-urls&gt;&lt;/urls&gt;&lt;custom1&gt;https://fedcasic.dsd.census.gov/fc2014/ppt/WardNIS-MM%20FedCASIC%203%2014%2014.pdf&lt;/custom1&gt;&lt;/record&gt;&lt;/Cite&gt;&lt;/EndNote&gt;</w:instrText>
      </w:r>
      <w:r w:rsidR="00065700">
        <w:rPr>
          <w:rFonts w:ascii="Times New Roman" w:eastAsia="Times New Roman" w:hAnsi="Times New Roman" w:cs="Times New Roman"/>
          <w:sz w:val="24"/>
          <w:szCs w:val="24"/>
        </w:rPr>
        <w:fldChar w:fldCharType="separate"/>
      </w:r>
      <w:r w:rsidR="00065700">
        <w:rPr>
          <w:rFonts w:ascii="Times New Roman" w:eastAsia="Times New Roman" w:hAnsi="Times New Roman" w:cs="Times New Roman"/>
          <w:noProof/>
          <w:sz w:val="24"/>
          <w:szCs w:val="24"/>
        </w:rPr>
        <w:t>(</w:t>
      </w:r>
      <w:hyperlink w:anchor="_ENREF_6" w:tooltip="Ward, 2014 #1862" w:history="1">
        <w:r w:rsidR="005E4448">
          <w:rPr>
            <w:rFonts w:ascii="Times New Roman" w:eastAsia="Times New Roman" w:hAnsi="Times New Roman" w:cs="Times New Roman"/>
            <w:noProof/>
            <w:sz w:val="24"/>
            <w:szCs w:val="24"/>
          </w:rPr>
          <w:t>Ward 2014</w:t>
        </w:r>
      </w:hyperlink>
      <w:r w:rsidR="00065700">
        <w:rPr>
          <w:rFonts w:ascii="Times New Roman" w:eastAsia="Times New Roman" w:hAnsi="Times New Roman" w:cs="Times New Roman"/>
          <w:noProof/>
          <w:sz w:val="24"/>
          <w:szCs w:val="24"/>
        </w:rPr>
        <w:t>)</w:t>
      </w:r>
      <w:r w:rsidR="00065700">
        <w:rPr>
          <w:rFonts w:ascii="Times New Roman" w:eastAsia="Times New Roman" w:hAnsi="Times New Roman" w:cs="Times New Roman"/>
          <w:sz w:val="24"/>
          <w:szCs w:val="24"/>
        </w:rPr>
        <w:fldChar w:fldCharType="end"/>
      </w:r>
      <w:r w:rsidR="00065700">
        <w:rPr>
          <w:rFonts w:ascii="Times New Roman" w:eastAsia="Times New Roman" w:hAnsi="Times New Roman" w:cs="Times New Roman"/>
          <w:sz w:val="24"/>
          <w:szCs w:val="24"/>
        </w:rPr>
        <w:t xml:space="preserve"> </w:t>
      </w:r>
    </w:p>
    <w:p w:rsidR="00065700" w:rsidRDefault="00065700" w:rsidP="00487C7B">
      <w:pPr>
        <w:spacing w:after="0" w:line="240" w:lineRule="auto"/>
        <w:rPr>
          <w:rFonts w:ascii="Times New Roman" w:eastAsia="Times New Roman" w:hAnsi="Times New Roman" w:cs="Times New Roman"/>
          <w:sz w:val="24"/>
          <w:szCs w:val="24"/>
        </w:rPr>
      </w:pPr>
    </w:p>
    <w:p w:rsidR="00487C7B" w:rsidRDefault="00065700" w:rsidP="00487C7B">
      <w:pPr>
        <w:spacing w:after="0" w:line="240" w:lineRule="auto"/>
        <w:rPr>
          <w:rFonts w:ascii="Times New Roman" w:hAnsi="Times New Roman" w:cs="Times New Roman"/>
          <w:sz w:val="24"/>
          <w:szCs w:val="24"/>
        </w:rPr>
      </w:pPr>
      <w:r>
        <w:rPr>
          <w:rFonts w:ascii="Times New Roman" w:hAnsi="Times New Roman" w:cs="Times New Roman"/>
          <w:sz w:val="24"/>
          <w:szCs w:val="24"/>
        </w:rPr>
        <w:t>Prepaid i</w:t>
      </w:r>
      <w:r w:rsidR="00487C7B" w:rsidRPr="00844D79">
        <w:rPr>
          <w:rFonts w:ascii="Times New Roman" w:hAnsi="Times New Roman" w:cs="Times New Roman"/>
          <w:sz w:val="24"/>
          <w:szCs w:val="24"/>
        </w:rPr>
        <w:t>ncentive</w:t>
      </w:r>
      <w:r>
        <w:rPr>
          <w:rFonts w:ascii="Times New Roman" w:hAnsi="Times New Roman" w:cs="Times New Roman"/>
          <w:sz w:val="24"/>
          <w:szCs w:val="24"/>
        </w:rPr>
        <w:t>s</w:t>
      </w:r>
      <w:r w:rsidR="00487C7B" w:rsidRPr="00844D79">
        <w:rPr>
          <w:rFonts w:ascii="Times New Roman" w:hAnsi="Times New Roman" w:cs="Times New Roman"/>
          <w:sz w:val="24"/>
          <w:szCs w:val="24"/>
        </w:rPr>
        <w:t xml:space="preserve"> have been used </w:t>
      </w:r>
      <w:r>
        <w:rPr>
          <w:rFonts w:ascii="Times New Roman" w:hAnsi="Times New Roman" w:cs="Times New Roman"/>
          <w:sz w:val="24"/>
          <w:szCs w:val="24"/>
        </w:rPr>
        <w:t>by</w:t>
      </w:r>
      <w:r w:rsidR="00730FD7">
        <w:rPr>
          <w:rFonts w:ascii="Times New Roman" w:hAnsi="Times New Roman" w:cs="Times New Roman"/>
          <w:sz w:val="24"/>
          <w:szCs w:val="24"/>
        </w:rPr>
        <w:t xml:space="preserve"> RTI </w:t>
      </w:r>
      <w:r>
        <w:rPr>
          <w:rFonts w:ascii="Times New Roman" w:hAnsi="Times New Roman" w:cs="Times New Roman"/>
          <w:sz w:val="24"/>
          <w:szCs w:val="24"/>
        </w:rPr>
        <w:t>in the past</w:t>
      </w:r>
      <w:r w:rsidR="00730FD7">
        <w:rPr>
          <w:rFonts w:ascii="Times New Roman" w:hAnsi="Times New Roman" w:cs="Times New Roman"/>
          <w:sz w:val="24"/>
          <w:szCs w:val="24"/>
        </w:rPr>
        <w:t xml:space="preserve">. </w:t>
      </w:r>
      <w:r w:rsidR="00487C7B" w:rsidRPr="00844D79">
        <w:rPr>
          <w:rFonts w:ascii="Times New Roman" w:hAnsi="Times New Roman" w:cs="Times New Roman"/>
          <w:sz w:val="24"/>
          <w:szCs w:val="24"/>
        </w:rPr>
        <w:t>For example, RTI achieved a 37% return rate on the UNC Renters and Homeowners Study when a cash incentive was i</w:t>
      </w:r>
      <w:r w:rsidR="003F7760">
        <w:rPr>
          <w:rFonts w:ascii="Times New Roman" w:hAnsi="Times New Roman" w:cs="Times New Roman"/>
          <w:sz w:val="24"/>
          <w:szCs w:val="24"/>
        </w:rPr>
        <w:t xml:space="preserve">ncluded in the locator mailer. </w:t>
      </w:r>
      <w:r w:rsidR="00A67F8A">
        <w:rPr>
          <w:rFonts w:ascii="Times New Roman" w:hAnsi="Times New Roman" w:cs="Times New Roman"/>
          <w:sz w:val="24"/>
          <w:szCs w:val="24"/>
        </w:rPr>
        <w:t>In comparison, t</w:t>
      </w:r>
      <w:r w:rsidR="00A67F8A" w:rsidRPr="00A758BC">
        <w:rPr>
          <w:rFonts w:ascii="Times New Roman" w:hAnsi="Times New Roman" w:cs="Times New Roman"/>
          <w:sz w:val="24"/>
          <w:szCs w:val="24"/>
        </w:rPr>
        <w:t>he National Survey of Child and Adolescent Well-being</w:t>
      </w:r>
      <w:r w:rsidR="00D5725C">
        <w:rPr>
          <w:rFonts w:ascii="Times New Roman" w:hAnsi="Times New Roman" w:cs="Times New Roman"/>
          <w:sz w:val="24"/>
          <w:szCs w:val="24"/>
        </w:rPr>
        <w:t>, which provided no incentive,</w:t>
      </w:r>
      <w:r w:rsidR="00A67F8A" w:rsidRPr="00A758BC">
        <w:rPr>
          <w:rFonts w:ascii="Times New Roman" w:hAnsi="Times New Roman" w:cs="Times New Roman"/>
          <w:sz w:val="24"/>
          <w:szCs w:val="24"/>
        </w:rPr>
        <w:t xml:space="preserve"> achieved a 15</w:t>
      </w:r>
      <w:r w:rsidR="002B48EE">
        <w:rPr>
          <w:rFonts w:ascii="Times New Roman" w:hAnsi="Times New Roman" w:cs="Times New Roman"/>
          <w:sz w:val="24"/>
          <w:szCs w:val="24"/>
        </w:rPr>
        <w:t xml:space="preserve">% to </w:t>
      </w:r>
      <w:r w:rsidR="00A67F8A" w:rsidRPr="00A758BC">
        <w:rPr>
          <w:rFonts w:ascii="Times New Roman" w:hAnsi="Times New Roman" w:cs="Times New Roman"/>
          <w:sz w:val="24"/>
          <w:szCs w:val="24"/>
        </w:rPr>
        <w:t xml:space="preserve">20% return rate.  </w:t>
      </w:r>
    </w:p>
    <w:p w:rsidR="008F3A63" w:rsidRPr="00844D79" w:rsidRDefault="008F3A63" w:rsidP="00487C7B">
      <w:pPr>
        <w:spacing w:after="0" w:line="240" w:lineRule="auto"/>
        <w:rPr>
          <w:rFonts w:ascii="Times New Roman" w:hAnsi="Times New Roman" w:cs="Times New Roman"/>
          <w:sz w:val="24"/>
          <w:szCs w:val="24"/>
        </w:rPr>
      </w:pPr>
    </w:p>
    <w:p w:rsidR="00E74438" w:rsidRPr="003F2ED5" w:rsidRDefault="00730FD7" w:rsidP="00487C7B">
      <w:pPr>
        <w:spacing w:after="0" w:line="240" w:lineRule="auto"/>
        <w:rPr>
          <w:rFonts w:ascii="Times New Roman" w:hAnsi="Times New Roman" w:cs="Times New Roman"/>
          <w:sz w:val="24"/>
          <w:szCs w:val="24"/>
          <w:u w:val="single"/>
        </w:rPr>
      </w:pPr>
      <w:r w:rsidRPr="003F2ED5">
        <w:rPr>
          <w:rFonts w:ascii="Times New Roman" w:hAnsi="Times New Roman" w:cs="Times New Roman"/>
          <w:sz w:val="24"/>
          <w:szCs w:val="24"/>
          <w:u w:val="single"/>
        </w:rPr>
        <w:t xml:space="preserve">Incentive for Completing the Survey Online During an </w:t>
      </w:r>
      <w:r w:rsidR="00E74438" w:rsidRPr="003F2ED5">
        <w:rPr>
          <w:rFonts w:ascii="Times New Roman" w:hAnsi="Times New Roman" w:cs="Times New Roman"/>
          <w:sz w:val="24"/>
          <w:szCs w:val="24"/>
          <w:u w:val="single"/>
        </w:rPr>
        <w:t xml:space="preserve">Early Response </w:t>
      </w:r>
      <w:r w:rsidR="00521390" w:rsidRPr="003F2ED5">
        <w:rPr>
          <w:rFonts w:ascii="Times New Roman" w:hAnsi="Times New Roman" w:cs="Times New Roman"/>
          <w:sz w:val="24"/>
          <w:szCs w:val="24"/>
          <w:u w:val="single"/>
        </w:rPr>
        <w:t xml:space="preserve">Period </w:t>
      </w:r>
    </w:p>
    <w:p w:rsidR="00735685" w:rsidRDefault="00735685" w:rsidP="007356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top priority for the </w:t>
      </w:r>
      <w:r w:rsidRPr="00844D79">
        <w:rPr>
          <w:rFonts w:ascii="Times New Roman" w:hAnsi="Times New Roman" w:cs="Times New Roman"/>
          <w:sz w:val="24"/>
          <w:szCs w:val="24"/>
        </w:rPr>
        <w:t>ExPECTT</w:t>
      </w:r>
      <w:r>
        <w:rPr>
          <w:rFonts w:ascii="Times New Roman" w:hAnsi="Times New Roman" w:cs="Times New Roman"/>
          <w:sz w:val="24"/>
          <w:szCs w:val="24"/>
        </w:rPr>
        <w:t xml:space="preserve"> follow-up data collection is to maximize response rate. This is critical for achieving sufficient power to answer key questions about campaign effectiveness.  </w:t>
      </w:r>
      <w:r w:rsidR="004953A2">
        <w:rPr>
          <w:rFonts w:ascii="Times New Roman" w:hAnsi="Times New Roman" w:cs="Times New Roman"/>
          <w:sz w:val="24"/>
          <w:szCs w:val="24"/>
        </w:rPr>
        <w:t xml:space="preserve">The design of the follow-up survey administration—in which respondents </w:t>
      </w:r>
      <w:r w:rsidR="0020094A">
        <w:rPr>
          <w:rFonts w:ascii="Times New Roman" w:hAnsi="Times New Roman" w:cs="Times New Roman"/>
          <w:sz w:val="24"/>
          <w:szCs w:val="24"/>
        </w:rPr>
        <w:t>choose to</w:t>
      </w:r>
      <w:r w:rsidR="004953A2">
        <w:rPr>
          <w:rFonts w:ascii="Times New Roman" w:hAnsi="Times New Roman" w:cs="Times New Roman"/>
          <w:sz w:val="24"/>
          <w:szCs w:val="24"/>
        </w:rPr>
        <w:t xml:space="preserve"> complete the survey online or through an in-person interview—creates an opportunity to boost </w:t>
      </w:r>
      <w:r w:rsidR="0020094A">
        <w:rPr>
          <w:rFonts w:ascii="Times New Roman" w:hAnsi="Times New Roman" w:cs="Times New Roman"/>
          <w:sz w:val="24"/>
          <w:szCs w:val="24"/>
        </w:rPr>
        <w:t xml:space="preserve">the </w:t>
      </w:r>
      <w:r w:rsidR="004953A2">
        <w:rPr>
          <w:rFonts w:ascii="Times New Roman" w:hAnsi="Times New Roman" w:cs="Times New Roman"/>
          <w:sz w:val="24"/>
          <w:szCs w:val="24"/>
        </w:rPr>
        <w:t xml:space="preserve">response rate </w:t>
      </w:r>
      <w:r w:rsidR="00ED3E16">
        <w:rPr>
          <w:rFonts w:ascii="Times New Roman" w:hAnsi="Times New Roman" w:cs="Times New Roman"/>
          <w:sz w:val="24"/>
          <w:szCs w:val="24"/>
        </w:rPr>
        <w:t>by means of</w:t>
      </w:r>
      <w:r w:rsidR="004953A2">
        <w:rPr>
          <w:rFonts w:ascii="Times New Roman" w:hAnsi="Times New Roman" w:cs="Times New Roman"/>
          <w:sz w:val="24"/>
          <w:szCs w:val="24"/>
        </w:rPr>
        <w:t xml:space="preserve"> an “early bird” incentive. </w:t>
      </w:r>
      <w:r w:rsidR="0020094A">
        <w:rPr>
          <w:rFonts w:ascii="Times New Roman" w:hAnsi="Times New Roman" w:cs="Times New Roman"/>
          <w:sz w:val="24"/>
          <w:szCs w:val="24"/>
        </w:rPr>
        <w:t xml:space="preserve">Early bird incentives are when respondents are offered a higher incentive for completing a survey during a specified period early in the data collection. RTI </w:t>
      </w:r>
      <w:r w:rsidR="002A70B3">
        <w:rPr>
          <w:rFonts w:ascii="Times New Roman" w:hAnsi="Times New Roman" w:cs="Times New Roman"/>
          <w:sz w:val="24"/>
          <w:szCs w:val="24"/>
        </w:rPr>
        <w:t>would like to provide an incentive of $30 (rather than $20) to</w:t>
      </w:r>
      <w:r w:rsidR="0020094A">
        <w:rPr>
          <w:rFonts w:ascii="Times New Roman" w:hAnsi="Times New Roman" w:cs="Times New Roman"/>
          <w:sz w:val="24"/>
          <w:szCs w:val="24"/>
        </w:rPr>
        <w:t xml:space="preserve"> r</w:t>
      </w:r>
      <w:r w:rsidR="004953A2" w:rsidRPr="00844D79">
        <w:rPr>
          <w:rFonts w:ascii="Times New Roman" w:hAnsi="Times New Roman" w:cs="Times New Roman"/>
          <w:sz w:val="24"/>
          <w:szCs w:val="24"/>
        </w:rPr>
        <w:t xml:space="preserve">espondents who complete the </w:t>
      </w:r>
      <w:r w:rsidR="004953A2">
        <w:rPr>
          <w:rFonts w:ascii="Times New Roman" w:hAnsi="Times New Roman" w:cs="Times New Roman"/>
          <w:sz w:val="24"/>
          <w:szCs w:val="24"/>
        </w:rPr>
        <w:t>online</w:t>
      </w:r>
      <w:r w:rsidR="004953A2" w:rsidRPr="00844D79">
        <w:rPr>
          <w:rFonts w:ascii="Times New Roman" w:hAnsi="Times New Roman" w:cs="Times New Roman"/>
          <w:sz w:val="24"/>
          <w:szCs w:val="24"/>
        </w:rPr>
        <w:t xml:space="preserve"> </w:t>
      </w:r>
      <w:r w:rsidR="0020094A">
        <w:rPr>
          <w:rFonts w:ascii="Times New Roman" w:hAnsi="Times New Roman" w:cs="Times New Roman"/>
          <w:sz w:val="24"/>
          <w:szCs w:val="24"/>
        </w:rPr>
        <w:t xml:space="preserve">version of the ExPECTT follow-up </w:t>
      </w:r>
      <w:r w:rsidR="004953A2">
        <w:rPr>
          <w:rFonts w:ascii="Times New Roman" w:hAnsi="Times New Roman" w:cs="Times New Roman"/>
          <w:sz w:val="24"/>
          <w:szCs w:val="24"/>
        </w:rPr>
        <w:t>survey</w:t>
      </w:r>
      <w:r w:rsidR="004953A2" w:rsidRPr="00844D79">
        <w:rPr>
          <w:rFonts w:ascii="Times New Roman" w:hAnsi="Times New Roman" w:cs="Times New Roman"/>
          <w:sz w:val="24"/>
          <w:szCs w:val="24"/>
        </w:rPr>
        <w:t xml:space="preserve"> during </w:t>
      </w:r>
      <w:r w:rsidR="004953A2">
        <w:rPr>
          <w:rFonts w:ascii="Times New Roman" w:hAnsi="Times New Roman" w:cs="Times New Roman"/>
          <w:sz w:val="24"/>
          <w:szCs w:val="24"/>
        </w:rPr>
        <w:t>a three week</w:t>
      </w:r>
      <w:r w:rsidR="004953A2" w:rsidRPr="00844D79">
        <w:rPr>
          <w:rFonts w:ascii="Times New Roman" w:hAnsi="Times New Roman" w:cs="Times New Roman"/>
          <w:sz w:val="24"/>
          <w:szCs w:val="24"/>
        </w:rPr>
        <w:t xml:space="preserve"> early release period</w:t>
      </w:r>
      <w:r w:rsidR="004953A2">
        <w:rPr>
          <w:rFonts w:ascii="Times New Roman" w:hAnsi="Times New Roman" w:cs="Times New Roman"/>
          <w:sz w:val="24"/>
          <w:szCs w:val="24"/>
        </w:rPr>
        <w:t>.</w:t>
      </w:r>
    </w:p>
    <w:p w:rsidR="00735685" w:rsidRDefault="00735685" w:rsidP="00735685">
      <w:pPr>
        <w:spacing w:after="0" w:line="240" w:lineRule="auto"/>
        <w:rPr>
          <w:rFonts w:ascii="Times New Roman" w:hAnsi="Times New Roman" w:cs="Times New Roman"/>
          <w:sz w:val="24"/>
          <w:szCs w:val="24"/>
        </w:rPr>
      </w:pPr>
    </w:p>
    <w:p w:rsidR="005A5176" w:rsidRDefault="003375AD" w:rsidP="004C10E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Two experimental studies examine the influence of early bird incentives on survey response.</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&lt;EndNote&gt;&lt;Cite&gt;&lt;Author&gt;Ward&lt;/Author&gt;&lt;Year&gt;2014&lt;/Year&gt;&lt;RecNum&gt;1862&lt;/RecNum&gt;&lt;DisplayText&gt;(LeClere 2012; Ward 2014)&lt;/DisplayText&gt;&lt;record&gt;&lt;rec-number&gt;1862&lt;/rec-number&gt;&lt;foreign-keys&gt;&lt;key app="EN" db-id="0tv5pdev8v9efkevw0oxsrzkzxzwwxvstdtz"&gt;1862&lt;/key&gt;&lt;/foreign-keys&gt;&lt;ref-type name="Conference Paper"&gt;47&lt;/ref-type&gt;&lt;contributors&gt;&lt;authors&gt;&lt;author&gt;Ward, C., Stern, M., Vanicek, J., Black, C., Knighton, C., Wilkinson, L. &lt;/author&gt;&lt;/authors&gt;&lt;/contributors&gt;&lt;titles&gt;&lt;title&gt;Evaluating the Effectiveness of Early Bird Incentives in a Web Survey&lt;/title&gt;&lt;secondary-title&gt;Federal Computer Assisted Survey Information Collection (CASIC) Workshops&lt;/secondary-title&gt;&lt;/titles&gt;&lt;dates&gt;&lt;year&gt;2014&lt;/year&gt;&lt;/dates&gt;&lt;urls&gt;&lt;related-urls&gt;&lt;url&gt;https://fedcasic.dsd.census.gov/fc2014/ppt/WardNIS-MM%20FedCASIC%203%2014%2014.pdf&lt;/url&gt;&lt;/related-urls&gt;&lt;/urls&gt;&lt;custom1&gt;https://fedcasic.dsd.census.gov/fc2014/ppt/WardNIS-MM%20FedCASIC%203%2014%2014.pdf&lt;/custom1&gt;&lt;/record&gt;&lt;/Cite&gt;&lt;Cite&gt;&lt;Author&gt;LeClere&lt;/Author&gt;&lt;Year&gt;2012&lt;/Year&gt;&lt;RecNum&gt;1861&lt;/RecNum&gt;&lt;record&gt;&lt;rec-number&gt;1861&lt;/rec-number&gt;&lt;foreign-keys&gt;&lt;key app="EN" db-id="0tv5pdev8v9efkevw0oxsrzkzxzwwxvstdtz"&gt;1861&lt;/key&gt;&lt;/foreign-keys&gt;&lt;ref-type name="Conference Paper"&gt;47&lt;/ref-type&gt;&lt;contributors&gt;&lt;authors&gt;&lt;author&gt;LeClere, F., Plumme, S., Vanicek, J., Amaya, A., Carris, K. &lt;/author&gt;&lt;/authors&gt;&lt;/contributors&gt;&lt;titles&gt;&lt;title&gt;Household Early Bird Incentives: Leveraging Family Influence to Improve Household Response Rates.&lt;/title&gt;&lt;secondary-title&gt;American Statistical Association Joint Statistical Meetings, Section on Survey Research&lt;/secondary-title&gt;&lt;/titles&gt;&lt;dates&gt;&lt;year&gt;2012&lt;/year&gt;&lt;/dates&gt;&lt;urls&gt;&lt;related-urls&gt;&lt;url&gt;https://www.amstat.org/sections/srms/proceedings/y2012/files/304811_73772.pdf&lt;/url&gt;&lt;/related-urls&gt;&lt;/urls&gt;&lt;custom1&gt;https://www.amstat.org/sections/srms/proceedings/y2012/files/304811_73772.pdf&lt;/custom1&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3" w:tooltip="LeClere, 2012 #1861" w:history="1">
        <w:r w:rsidR="005E4448">
          <w:rPr>
            <w:rFonts w:ascii="Times New Roman" w:hAnsi="Times New Roman" w:cs="Times New Roman"/>
            <w:noProof/>
            <w:sz w:val="24"/>
            <w:szCs w:val="24"/>
          </w:rPr>
          <w:t>LeClere 2012</w:t>
        </w:r>
      </w:hyperlink>
      <w:r>
        <w:rPr>
          <w:rFonts w:ascii="Times New Roman" w:hAnsi="Times New Roman" w:cs="Times New Roman"/>
          <w:noProof/>
          <w:sz w:val="24"/>
          <w:szCs w:val="24"/>
        </w:rPr>
        <w:t xml:space="preserve">; </w:t>
      </w:r>
      <w:hyperlink w:anchor="_ENREF_6" w:tooltip="Ward, 2014 #1862" w:history="1">
        <w:r w:rsidR="005E4448">
          <w:rPr>
            <w:rFonts w:ascii="Times New Roman" w:hAnsi="Times New Roman" w:cs="Times New Roman"/>
            <w:noProof/>
            <w:sz w:val="24"/>
            <w:szCs w:val="24"/>
          </w:rPr>
          <w:t>Ward 2014</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sidR="002B4AA9">
        <w:rPr>
          <w:rFonts w:ascii="Times New Roman" w:hAnsi="Times New Roman" w:cs="Times New Roman"/>
          <w:sz w:val="24"/>
          <w:szCs w:val="24"/>
        </w:rPr>
        <w:t>LeClare</w:t>
      </w:r>
      <w:proofErr w:type="spellEnd"/>
      <w:r w:rsidR="002B4AA9">
        <w:rPr>
          <w:rFonts w:ascii="Times New Roman" w:hAnsi="Times New Roman" w:cs="Times New Roman"/>
          <w:sz w:val="24"/>
          <w:szCs w:val="24"/>
        </w:rPr>
        <w:t xml:space="preserve"> </w:t>
      </w:r>
      <w:r w:rsidR="00A33D53">
        <w:rPr>
          <w:rFonts w:ascii="Times New Roman" w:hAnsi="Times New Roman" w:cs="Times New Roman"/>
          <w:sz w:val="24"/>
          <w:szCs w:val="24"/>
        </w:rPr>
        <w:t xml:space="preserve">et al. </w:t>
      </w:r>
      <w:r w:rsidR="002B4AA9">
        <w:rPr>
          <w:rFonts w:ascii="Times New Roman" w:hAnsi="Times New Roman" w:cs="Times New Roman"/>
          <w:sz w:val="24"/>
          <w:szCs w:val="24"/>
        </w:rPr>
        <w:t>found that offering respondents a $5 prepaid incentive as well as an additio</w:t>
      </w:r>
      <w:r w:rsidR="00A33D53">
        <w:rPr>
          <w:rFonts w:ascii="Times New Roman" w:hAnsi="Times New Roman" w:cs="Times New Roman"/>
          <w:sz w:val="24"/>
          <w:szCs w:val="24"/>
        </w:rPr>
        <w:t>nal promised $20 for completing a telephone survey within the first week of administration yielded an overall response rate of 65.1% compared with 57.9% for the $5 prepaid incentive only and 50.9% for a no incentive condition.</w:t>
      </w:r>
      <w:r w:rsidR="00A33D53">
        <w:rPr>
          <w:rFonts w:ascii="Times New Roman" w:hAnsi="Times New Roman" w:cs="Times New Roman"/>
          <w:sz w:val="24"/>
          <w:szCs w:val="24"/>
        </w:rPr>
        <w:fldChar w:fldCharType="begin"/>
      </w:r>
      <w:r w:rsidR="00A33D53">
        <w:rPr>
          <w:rFonts w:ascii="Times New Roman" w:hAnsi="Times New Roman" w:cs="Times New Roman"/>
          <w:sz w:val="24"/>
          <w:szCs w:val="24"/>
        </w:rPr>
        <w:instrText xml:space="preserve"> ADDIN EN.CITE &lt;EndNote&gt;&lt;Cite&gt;&lt;Author&gt;LeClere&lt;/Author&gt;&lt;Year&gt;2012&lt;/Year&gt;&lt;RecNum&gt;1861&lt;/RecNum&gt;&lt;DisplayText&gt;(LeClere 2012)&lt;/DisplayText&gt;&lt;record&gt;&lt;rec-number&gt;1861&lt;/rec-number&gt;&lt;foreign-keys&gt;&lt;key app="EN" db-id="0tv5pdev8v9efkevw0oxsrzkzxzwwxvstdtz"&gt;1861&lt;/key&gt;&lt;/foreign-keys&gt;&lt;ref-type name="Conference Paper"&gt;47&lt;/ref-type&gt;&lt;contributors&gt;&lt;authors&gt;&lt;author&gt;LeClere, F., Plumme, S., Vanicek, J., Amaya, A., Carris, K. &lt;/author&gt;&lt;/authors&gt;&lt;/contributors&gt;&lt;titles&gt;&lt;title&gt;Household Early Bird Incentives: Leveraging Family Influence to Improve Household Response Rates.&lt;/title&gt;&lt;secondary-title&gt;American Statistical Association Joint Statistical Meetings, Section on Survey Research&lt;/secondary-title&gt;&lt;/titles&gt;&lt;dates&gt;&lt;year&gt;2012&lt;/year&gt;&lt;/dates&gt;&lt;urls&gt;&lt;related-urls&gt;&lt;url&gt;https://www.amstat.org/sections/srms/proceedings/y2012/files/304811_73772.pdf&lt;/url&gt;&lt;/related-urls&gt;&lt;/urls&gt;&lt;custom1&gt;https://www.amstat.org/sections/srms/proceedings/y2012/files/304811_73772.pdf&lt;/custom1&gt;&lt;/record&gt;&lt;/Cite&gt;&lt;/EndNote&gt;</w:instrText>
      </w:r>
      <w:r w:rsidR="00A33D53">
        <w:rPr>
          <w:rFonts w:ascii="Times New Roman" w:hAnsi="Times New Roman" w:cs="Times New Roman"/>
          <w:sz w:val="24"/>
          <w:szCs w:val="24"/>
        </w:rPr>
        <w:fldChar w:fldCharType="separate"/>
      </w:r>
      <w:r w:rsidR="00A33D53">
        <w:rPr>
          <w:rFonts w:ascii="Times New Roman" w:hAnsi="Times New Roman" w:cs="Times New Roman"/>
          <w:noProof/>
          <w:sz w:val="24"/>
          <w:szCs w:val="24"/>
        </w:rPr>
        <w:t>(</w:t>
      </w:r>
      <w:hyperlink w:anchor="_ENREF_3" w:tooltip="LeClere, 2012 #1861" w:history="1">
        <w:r w:rsidR="005E4448">
          <w:rPr>
            <w:rFonts w:ascii="Times New Roman" w:hAnsi="Times New Roman" w:cs="Times New Roman"/>
            <w:noProof/>
            <w:sz w:val="24"/>
            <w:szCs w:val="24"/>
          </w:rPr>
          <w:t>LeClere 2012</w:t>
        </w:r>
      </w:hyperlink>
      <w:r w:rsidR="00A33D53">
        <w:rPr>
          <w:rFonts w:ascii="Times New Roman" w:hAnsi="Times New Roman" w:cs="Times New Roman"/>
          <w:noProof/>
          <w:sz w:val="24"/>
          <w:szCs w:val="24"/>
        </w:rPr>
        <w:t>)</w:t>
      </w:r>
      <w:r w:rsidR="00A33D53">
        <w:rPr>
          <w:rFonts w:ascii="Times New Roman" w:hAnsi="Times New Roman" w:cs="Times New Roman"/>
          <w:sz w:val="24"/>
          <w:szCs w:val="24"/>
        </w:rPr>
        <w:fldChar w:fldCharType="end"/>
      </w:r>
      <w:r w:rsidR="00A33D53">
        <w:rPr>
          <w:rFonts w:ascii="Times New Roman" w:hAnsi="Times New Roman" w:cs="Times New Roman"/>
          <w:sz w:val="24"/>
          <w:szCs w:val="24"/>
        </w:rPr>
        <w:t xml:space="preserve"> </w:t>
      </w:r>
      <w:r w:rsidR="00AC11ED">
        <w:rPr>
          <w:rFonts w:ascii="Times New Roman" w:hAnsi="Times New Roman" w:cs="Times New Roman"/>
          <w:sz w:val="24"/>
          <w:szCs w:val="24"/>
        </w:rPr>
        <w:t xml:space="preserve">This </w:t>
      </w:r>
      <w:r w:rsidR="003539A0">
        <w:rPr>
          <w:rFonts w:ascii="Times New Roman" w:hAnsi="Times New Roman" w:cs="Times New Roman"/>
          <w:sz w:val="24"/>
          <w:szCs w:val="24"/>
        </w:rPr>
        <w:t xml:space="preserve">represents </w:t>
      </w:r>
      <w:r w:rsidR="00B430A2">
        <w:rPr>
          <w:rFonts w:ascii="Times New Roman" w:hAnsi="Times New Roman" w:cs="Times New Roman"/>
          <w:sz w:val="24"/>
          <w:szCs w:val="24"/>
        </w:rPr>
        <w:t xml:space="preserve">an </w:t>
      </w:r>
      <w:r w:rsidR="009C6894">
        <w:rPr>
          <w:rFonts w:ascii="Times New Roman" w:hAnsi="Times New Roman" w:cs="Times New Roman"/>
          <w:sz w:val="24"/>
          <w:szCs w:val="24"/>
        </w:rPr>
        <w:t>“</w:t>
      </w:r>
      <w:r w:rsidR="00B430A2">
        <w:rPr>
          <w:rFonts w:ascii="Times New Roman" w:hAnsi="Times New Roman" w:cs="Times New Roman"/>
          <w:sz w:val="24"/>
          <w:szCs w:val="24"/>
        </w:rPr>
        <w:t xml:space="preserve">early bird </w:t>
      </w:r>
      <w:r w:rsidR="009C6894">
        <w:rPr>
          <w:rFonts w:ascii="Times New Roman" w:hAnsi="Times New Roman" w:cs="Times New Roman"/>
          <w:sz w:val="24"/>
          <w:szCs w:val="24"/>
        </w:rPr>
        <w:t>+</w:t>
      </w:r>
      <w:r w:rsidR="00B430A2">
        <w:rPr>
          <w:rFonts w:ascii="Times New Roman" w:hAnsi="Times New Roman" w:cs="Times New Roman"/>
          <w:sz w:val="24"/>
          <w:szCs w:val="24"/>
        </w:rPr>
        <w:t xml:space="preserve"> prepaid incentive</w:t>
      </w:r>
      <w:r w:rsidR="009C6894">
        <w:rPr>
          <w:rFonts w:ascii="Times New Roman" w:hAnsi="Times New Roman" w:cs="Times New Roman"/>
          <w:sz w:val="24"/>
          <w:szCs w:val="24"/>
        </w:rPr>
        <w:t>”</w:t>
      </w:r>
      <w:r w:rsidR="00B430A2">
        <w:rPr>
          <w:rFonts w:ascii="Times New Roman" w:hAnsi="Times New Roman" w:cs="Times New Roman"/>
          <w:sz w:val="24"/>
          <w:szCs w:val="24"/>
        </w:rPr>
        <w:t xml:space="preserve"> response rate </w:t>
      </w:r>
      <w:r w:rsidR="009C6894">
        <w:rPr>
          <w:rFonts w:ascii="Times New Roman" w:hAnsi="Times New Roman" w:cs="Times New Roman"/>
          <w:sz w:val="24"/>
          <w:szCs w:val="24"/>
        </w:rPr>
        <w:t xml:space="preserve">12% </w:t>
      </w:r>
      <w:r w:rsidR="00B430A2">
        <w:rPr>
          <w:rFonts w:ascii="Times New Roman" w:hAnsi="Times New Roman" w:cs="Times New Roman"/>
          <w:sz w:val="24"/>
          <w:szCs w:val="24"/>
        </w:rPr>
        <w:t>gre</w:t>
      </w:r>
      <w:r w:rsidR="009C6894">
        <w:rPr>
          <w:rFonts w:ascii="Times New Roman" w:hAnsi="Times New Roman" w:cs="Times New Roman"/>
          <w:sz w:val="24"/>
          <w:szCs w:val="24"/>
        </w:rPr>
        <w:t xml:space="preserve">ater than the prepaid-incentive-only condition, and 28% </w:t>
      </w:r>
      <w:r w:rsidR="00B430A2">
        <w:rPr>
          <w:rFonts w:ascii="Times New Roman" w:hAnsi="Times New Roman" w:cs="Times New Roman"/>
          <w:sz w:val="24"/>
          <w:szCs w:val="24"/>
        </w:rPr>
        <w:t>greater than the no incentive condition.</w:t>
      </w:r>
      <w:r w:rsidR="003539A0">
        <w:rPr>
          <w:rFonts w:ascii="Times New Roman" w:hAnsi="Times New Roman" w:cs="Times New Roman"/>
          <w:sz w:val="24"/>
          <w:szCs w:val="24"/>
        </w:rPr>
        <w:t xml:space="preserve"> </w:t>
      </w:r>
      <w:r w:rsidR="00A33D53">
        <w:rPr>
          <w:rFonts w:ascii="Times New Roman" w:hAnsi="Times New Roman" w:cs="Times New Roman"/>
          <w:sz w:val="24"/>
          <w:szCs w:val="24"/>
        </w:rPr>
        <w:t>Moreover, the early bird incentive yielded a response rate of 36.7% within the first seven days of administration, compared with 25.0% for the $5 prepaid incentive only and 17.6% for a no incentive condition.</w:t>
      </w:r>
      <w:r w:rsidR="00A33D53">
        <w:rPr>
          <w:rFonts w:ascii="Times New Roman" w:hAnsi="Times New Roman" w:cs="Times New Roman"/>
          <w:sz w:val="24"/>
          <w:szCs w:val="24"/>
        </w:rPr>
        <w:fldChar w:fldCharType="begin"/>
      </w:r>
      <w:r w:rsidR="00A33D53">
        <w:rPr>
          <w:rFonts w:ascii="Times New Roman" w:hAnsi="Times New Roman" w:cs="Times New Roman"/>
          <w:sz w:val="24"/>
          <w:szCs w:val="24"/>
        </w:rPr>
        <w:instrText xml:space="preserve"> ADDIN EN.CITE &lt;EndNote&gt;&lt;Cite&gt;&lt;Author&gt;LeClere&lt;/Author&gt;&lt;Year&gt;2012&lt;/Year&gt;&lt;RecNum&gt;1861&lt;/RecNum&gt;&lt;DisplayText&gt;(LeClere 2012)&lt;/DisplayText&gt;&lt;record&gt;&lt;rec-number&gt;1861&lt;/rec-number&gt;&lt;foreign-keys&gt;&lt;key app="EN" db-id="0tv5pdev8v9efkevw0oxsrzkzxzwwxvstdtz"&gt;1861&lt;/key&gt;&lt;/foreign-keys&gt;&lt;ref-type name="Conference Paper"&gt;47&lt;/ref-type&gt;&lt;contributors&gt;&lt;authors&gt;&lt;author&gt;LeClere, F., Plumme, S., Vanicek, J., Amaya, A., Carris, K. &lt;/author&gt;&lt;/authors&gt;&lt;/contributors&gt;&lt;titles&gt;&lt;title&gt;Household Early Bird Incentives: Leveraging Family Influence to Improve Household Response Rates.&lt;/title&gt;&lt;secondary-title&gt;American Statistical Association Joint Statistical Meetings, Section on Survey Research&lt;/secondary-title&gt;&lt;/titles&gt;&lt;dates&gt;&lt;year&gt;2012&lt;/year&gt;&lt;/dates&gt;&lt;urls&gt;&lt;related-urls&gt;&lt;url&gt;https://www.amstat.org/sections/srms/proceedings/y2012/files/304811_73772.pdf&lt;/url&gt;&lt;/related-urls&gt;&lt;/urls&gt;&lt;custom1&gt;https://www.amstat.org/sections/srms/proceedings/y2012/files/304811_73772.pdf&lt;/custom1&gt;&lt;/record&gt;&lt;/Cite&gt;&lt;/EndNote&gt;</w:instrText>
      </w:r>
      <w:r w:rsidR="00A33D53">
        <w:rPr>
          <w:rFonts w:ascii="Times New Roman" w:hAnsi="Times New Roman" w:cs="Times New Roman"/>
          <w:sz w:val="24"/>
          <w:szCs w:val="24"/>
        </w:rPr>
        <w:fldChar w:fldCharType="separate"/>
      </w:r>
      <w:r w:rsidR="00A33D53">
        <w:rPr>
          <w:rFonts w:ascii="Times New Roman" w:hAnsi="Times New Roman" w:cs="Times New Roman"/>
          <w:noProof/>
          <w:sz w:val="24"/>
          <w:szCs w:val="24"/>
        </w:rPr>
        <w:t>(</w:t>
      </w:r>
      <w:hyperlink w:anchor="_ENREF_3" w:tooltip="LeClere, 2012 #1861" w:history="1">
        <w:r w:rsidR="005E4448">
          <w:rPr>
            <w:rFonts w:ascii="Times New Roman" w:hAnsi="Times New Roman" w:cs="Times New Roman"/>
            <w:noProof/>
            <w:sz w:val="24"/>
            <w:szCs w:val="24"/>
          </w:rPr>
          <w:t>LeClere 2012</w:t>
        </w:r>
      </w:hyperlink>
      <w:r w:rsidR="00A33D53">
        <w:rPr>
          <w:rFonts w:ascii="Times New Roman" w:hAnsi="Times New Roman" w:cs="Times New Roman"/>
          <w:noProof/>
          <w:sz w:val="24"/>
          <w:szCs w:val="24"/>
        </w:rPr>
        <w:t>)</w:t>
      </w:r>
      <w:r w:rsidR="00A33D53">
        <w:rPr>
          <w:rFonts w:ascii="Times New Roman" w:hAnsi="Times New Roman" w:cs="Times New Roman"/>
          <w:sz w:val="24"/>
          <w:szCs w:val="24"/>
        </w:rPr>
        <w:fldChar w:fldCharType="end"/>
      </w:r>
      <w:r w:rsidR="003539A0">
        <w:rPr>
          <w:rFonts w:ascii="Times New Roman" w:hAnsi="Times New Roman" w:cs="Times New Roman"/>
          <w:sz w:val="24"/>
          <w:szCs w:val="24"/>
        </w:rPr>
        <w:t xml:space="preserve"> This represents an </w:t>
      </w:r>
      <w:r w:rsidR="009C6894">
        <w:rPr>
          <w:rFonts w:ascii="Times New Roman" w:hAnsi="Times New Roman" w:cs="Times New Roman"/>
          <w:sz w:val="24"/>
          <w:szCs w:val="24"/>
        </w:rPr>
        <w:t xml:space="preserve">“early bird + prepaid incentive” response rate 47% greater than the prepaid-incentive-only condition, and </w:t>
      </w:r>
      <w:r w:rsidR="003539A0">
        <w:rPr>
          <w:rFonts w:ascii="Times New Roman" w:hAnsi="Times New Roman" w:cs="Times New Roman"/>
          <w:sz w:val="24"/>
          <w:szCs w:val="24"/>
        </w:rPr>
        <w:t xml:space="preserve">100% </w:t>
      </w:r>
      <w:r w:rsidR="009C6894">
        <w:rPr>
          <w:rFonts w:ascii="Times New Roman" w:hAnsi="Times New Roman" w:cs="Times New Roman"/>
          <w:sz w:val="24"/>
          <w:szCs w:val="24"/>
        </w:rPr>
        <w:t>greater than the no incentive condition</w:t>
      </w:r>
      <w:r w:rsidR="003539A0">
        <w:rPr>
          <w:rFonts w:ascii="Times New Roman" w:hAnsi="Times New Roman" w:cs="Times New Roman"/>
          <w:sz w:val="24"/>
          <w:szCs w:val="24"/>
        </w:rPr>
        <w:t xml:space="preserve">. </w:t>
      </w:r>
      <w:r w:rsidR="00A33D53">
        <w:rPr>
          <w:rFonts w:ascii="Times New Roman" w:hAnsi="Times New Roman" w:cs="Times New Roman"/>
          <w:sz w:val="24"/>
          <w:szCs w:val="24"/>
        </w:rPr>
        <w:t>A similar study by Ward et al. found that early bird incentives did not increase the overall response rate, but that they markedly increased the rate of completions within the first two weeks of survey administration (p&lt;0.05).</w:t>
      </w:r>
      <w:r w:rsidR="00A33D53">
        <w:rPr>
          <w:rFonts w:ascii="Times New Roman" w:hAnsi="Times New Roman" w:cs="Times New Roman"/>
          <w:sz w:val="24"/>
          <w:szCs w:val="24"/>
        </w:rPr>
        <w:fldChar w:fldCharType="begin"/>
      </w:r>
      <w:r w:rsidR="00A33D53">
        <w:rPr>
          <w:rFonts w:ascii="Times New Roman" w:hAnsi="Times New Roman" w:cs="Times New Roman"/>
          <w:sz w:val="24"/>
          <w:szCs w:val="24"/>
        </w:rPr>
        <w:instrText xml:space="preserve"> ADDIN EN.CITE &lt;EndNote&gt;&lt;Cite&gt;&lt;Author&gt;Ward&lt;/Author&gt;&lt;Year&gt;2014&lt;/Year&gt;&lt;RecNum&gt;1862&lt;/RecNum&gt;&lt;DisplayText&gt;(Ward 2014)&lt;/DisplayText&gt;&lt;record&gt;&lt;rec-number&gt;1862&lt;/rec-number&gt;&lt;foreign-keys&gt;&lt;key app="EN" db-id="0tv5pdev8v9efkevw0oxsrzkzxzwwxvstdtz"&gt;1862&lt;/key&gt;&lt;/foreign-keys&gt;&lt;ref-type name="Conference Paper"&gt;47&lt;/ref-type&gt;&lt;contributors&gt;&lt;authors&gt;&lt;author&gt;Ward, C., Stern, M., Vanicek, J., Black, C., Knighton, C., Wilkinson, L. &lt;/author&gt;&lt;/authors&gt;&lt;/contributors&gt;&lt;titles&gt;&lt;title&gt;Evaluating the Effectiveness of Early Bird Incentives in a Web Survey&lt;/title&gt;&lt;secondary-title&gt;Federal Computer Assisted Survey Information Collection (CASIC) Workshops&lt;/secondary-title&gt;&lt;/titles&gt;&lt;dates&gt;&lt;year&gt;2014&lt;/year&gt;&lt;/dates&gt;&lt;urls&gt;&lt;related-urls&gt;&lt;url&gt;https://fedcasic.dsd.census.gov/fc2014/ppt/WardNIS-MM%20FedCASIC%203%2014%2014.pdf&lt;/url&gt;&lt;/related-urls&gt;&lt;/urls&gt;&lt;custom1&gt;https://fedcasic.dsd.census.gov/fc2014/ppt/WardNIS-MM%20FedCASIC%203%2014%2014.pdf&lt;/custom1&gt;&lt;/record&gt;&lt;/Cite&gt;&lt;/EndNote&gt;</w:instrText>
      </w:r>
      <w:r w:rsidR="00A33D53">
        <w:rPr>
          <w:rFonts w:ascii="Times New Roman" w:hAnsi="Times New Roman" w:cs="Times New Roman"/>
          <w:sz w:val="24"/>
          <w:szCs w:val="24"/>
        </w:rPr>
        <w:fldChar w:fldCharType="separate"/>
      </w:r>
      <w:r w:rsidR="00A33D53">
        <w:rPr>
          <w:rFonts w:ascii="Times New Roman" w:hAnsi="Times New Roman" w:cs="Times New Roman"/>
          <w:noProof/>
          <w:sz w:val="24"/>
          <w:szCs w:val="24"/>
        </w:rPr>
        <w:t>(</w:t>
      </w:r>
      <w:hyperlink w:anchor="_ENREF_6" w:tooltip="Ward, 2014 #1862" w:history="1">
        <w:r w:rsidR="005E4448">
          <w:rPr>
            <w:rFonts w:ascii="Times New Roman" w:hAnsi="Times New Roman" w:cs="Times New Roman"/>
            <w:noProof/>
            <w:sz w:val="24"/>
            <w:szCs w:val="24"/>
          </w:rPr>
          <w:t>Ward 2014</w:t>
        </w:r>
      </w:hyperlink>
      <w:r w:rsidR="00A33D53">
        <w:rPr>
          <w:rFonts w:ascii="Times New Roman" w:hAnsi="Times New Roman" w:cs="Times New Roman"/>
          <w:noProof/>
          <w:sz w:val="24"/>
          <w:szCs w:val="24"/>
        </w:rPr>
        <w:t>)</w:t>
      </w:r>
      <w:r w:rsidR="00A33D53">
        <w:rPr>
          <w:rFonts w:ascii="Times New Roman" w:hAnsi="Times New Roman" w:cs="Times New Roman"/>
          <w:sz w:val="24"/>
          <w:szCs w:val="24"/>
        </w:rPr>
        <w:fldChar w:fldCharType="end"/>
      </w:r>
      <w:r w:rsidR="00A33D53">
        <w:rPr>
          <w:rFonts w:ascii="Times New Roman" w:hAnsi="Times New Roman" w:cs="Times New Roman"/>
          <w:sz w:val="24"/>
          <w:szCs w:val="24"/>
        </w:rPr>
        <w:t xml:space="preserve"> Increasing response rate in the early weeks of the </w:t>
      </w:r>
      <w:r w:rsidR="005A5176">
        <w:rPr>
          <w:rFonts w:ascii="Times New Roman" w:hAnsi="Times New Roman" w:cs="Times New Roman"/>
          <w:sz w:val="24"/>
          <w:szCs w:val="24"/>
        </w:rPr>
        <w:t xml:space="preserve">ExPECTT follow-up survey will result in a higher proportion on online interviews, and fewer </w:t>
      </w:r>
      <w:r w:rsidR="004C10E8">
        <w:rPr>
          <w:rFonts w:ascii="Times New Roman" w:hAnsi="Times New Roman" w:cs="Times New Roman"/>
          <w:sz w:val="24"/>
          <w:szCs w:val="24"/>
        </w:rPr>
        <w:t xml:space="preserve">resource-intensive </w:t>
      </w:r>
      <w:r w:rsidR="005A5176">
        <w:rPr>
          <w:rFonts w:ascii="Times New Roman" w:hAnsi="Times New Roman" w:cs="Times New Roman"/>
          <w:sz w:val="24"/>
          <w:szCs w:val="24"/>
        </w:rPr>
        <w:t xml:space="preserve">in-person interviews. </w:t>
      </w:r>
      <w:r w:rsidR="00AC11ED">
        <w:rPr>
          <w:rFonts w:ascii="Times New Roman" w:hAnsi="Times New Roman" w:cs="Times New Roman"/>
          <w:sz w:val="24"/>
          <w:szCs w:val="24"/>
        </w:rPr>
        <w:t>A higher rate of completes in the early weeks of survey administration will enable RTI to focus resources on respondents who are the most difficult to convert.</w:t>
      </w:r>
    </w:p>
    <w:p w:rsidR="005A5176" w:rsidRDefault="005A5176" w:rsidP="00735685">
      <w:pPr>
        <w:spacing w:after="0" w:line="240" w:lineRule="auto"/>
        <w:rPr>
          <w:rFonts w:ascii="Times New Roman" w:hAnsi="Times New Roman" w:cs="Times New Roman"/>
          <w:sz w:val="24"/>
          <w:szCs w:val="24"/>
        </w:rPr>
      </w:pPr>
    </w:p>
    <w:p w:rsidR="003F38E9" w:rsidRDefault="008E0511" w:rsidP="003763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RTI </w:t>
      </w:r>
      <w:r w:rsidR="00FE1445">
        <w:rPr>
          <w:rFonts w:ascii="Times New Roman" w:hAnsi="Times New Roman" w:cs="Times New Roman"/>
          <w:sz w:val="24"/>
          <w:szCs w:val="24"/>
        </w:rPr>
        <w:t xml:space="preserve">has </w:t>
      </w:r>
      <w:r>
        <w:rPr>
          <w:rFonts w:ascii="Times New Roman" w:hAnsi="Times New Roman" w:cs="Times New Roman"/>
          <w:sz w:val="24"/>
          <w:szCs w:val="24"/>
        </w:rPr>
        <w:t xml:space="preserve">used </w:t>
      </w:r>
      <w:r w:rsidR="00FE1445">
        <w:rPr>
          <w:rFonts w:ascii="Times New Roman" w:hAnsi="Times New Roman" w:cs="Times New Roman"/>
          <w:sz w:val="24"/>
          <w:szCs w:val="24"/>
        </w:rPr>
        <w:t>the early bird</w:t>
      </w:r>
      <w:r>
        <w:rPr>
          <w:rFonts w:ascii="Times New Roman" w:hAnsi="Times New Roman" w:cs="Times New Roman"/>
          <w:sz w:val="24"/>
          <w:szCs w:val="24"/>
        </w:rPr>
        <w:t xml:space="preserve"> incentive strategy in an effort to </w:t>
      </w:r>
      <w:r w:rsidR="00FE4013" w:rsidRPr="00844D79">
        <w:rPr>
          <w:rFonts w:ascii="Times New Roman" w:hAnsi="Times New Roman" w:cs="Times New Roman"/>
          <w:sz w:val="24"/>
          <w:szCs w:val="24"/>
        </w:rPr>
        <w:t xml:space="preserve">reduce nonresponse </w:t>
      </w:r>
      <w:r w:rsidR="00FE1445">
        <w:rPr>
          <w:rFonts w:ascii="Times New Roman" w:hAnsi="Times New Roman" w:cs="Times New Roman"/>
          <w:sz w:val="24"/>
          <w:szCs w:val="24"/>
        </w:rPr>
        <w:t xml:space="preserve">and cost </w:t>
      </w:r>
      <w:r w:rsidR="00FE4013" w:rsidRPr="00844D79">
        <w:rPr>
          <w:rFonts w:ascii="Times New Roman" w:hAnsi="Times New Roman" w:cs="Times New Roman"/>
          <w:sz w:val="24"/>
          <w:szCs w:val="24"/>
        </w:rPr>
        <w:t>for several studies, including</w:t>
      </w:r>
      <w:r>
        <w:rPr>
          <w:rFonts w:ascii="Times New Roman" w:hAnsi="Times New Roman" w:cs="Times New Roman"/>
          <w:sz w:val="24"/>
          <w:szCs w:val="24"/>
        </w:rPr>
        <w:t xml:space="preserve"> the </w:t>
      </w:r>
      <w:r w:rsidR="007D6B53" w:rsidRPr="007D6B53">
        <w:rPr>
          <w:rFonts w:ascii="Times New Roman" w:hAnsi="Times New Roman" w:cs="Times New Roman"/>
          <w:sz w:val="24"/>
          <w:szCs w:val="24"/>
        </w:rPr>
        <w:t>Beginning Postsecondary Students Longitudinal Study</w:t>
      </w:r>
      <w:r w:rsidR="003F38E9">
        <w:rPr>
          <w:rFonts w:ascii="Times New Roman" w:hAnsi="Times New Roman" w:cs="Times New Roman"/>
          <w:sz w:val="24"/>
          <w:szCs w:val="24"/>
        </w:rPr>
        <w:t xml:space="preserve"> (BPS)</w:t>
      </w:r>
      <w:r w:rsidR="007D6B53">
        <w:rPr>
          <w:rFonts w:ascii="Times New Roman" w:hAnsi="Times New Roman" w:cs="Times New Roman"/>
          <w:sz w:val="24"/>
          <w:szCs w:val="24"/>
        </w:rPr>
        <w:t xml:space="preserve">, </w:t>
      </w:r>
      <w:r w:rsidR="003F38E9">
        <w:rPr>
          <w:rFonts w:ascii="Times New Roman" w:hAnsi="Times New Roman" w:cs="Times New Roman"/>
          <w:sz w:val="24"/>
          <w:szCs w:val="24"/>
        </w:rPr>
        <w:t xml:space="preserve">the </w:t>
      </w:r>
      <w:r w:rsidR="003F38E9" w:rsidRPr="007D6B53">
        <w:rPr>
          <w:rFonts w:ascii="Times New Roman" w:hAnsi="Times New Roman" w:cs="Times New Roman"/>
          <w:sz w:val="24"/>
          <w:szCs w:val="24"/>
        </w:rPr>
        <w:t>National Postsecondary Student Aid Study</w:t>
      </w:r>
      <w:r w:rsidR="003F38E9">
        <w:rPr>
          <w:rFonts w:ascii="Times New Roman" w:hAnsi="Times New Roman" w:cs="Times New Roman"/>
          <w:sz w:val="24"/>
          <w:szCs w:val="24"/>
        </w:rPr>
        <w:t xml:space="preserve">, </w:t>
      </w:r>
      <w:r w:rsidR="00FE4013" w:rsidRPr="00844D79">
        <w:rPr>
          <w:rFonts w:ascii="Times New Roman" w:hAnsi="Times New Roman" w:cs="Times New Roman"/>
          <w:sz w:val="24"/>
          <w:szCs w:val="24"/>
        </w:rPr>
        <w:t xml:space="preserve">and </w:t>
      </w:r>
      <w:r>
        <w:rPr>
          <w:rFonts w:ascii="Times New Roman" w:hAnsi="Times New Roman" w:cs="Times New Roman"/>
          <w:sz w:val="24"/>
          <w:szCs w:val="24"/>
        </w:rPr>
        <w:t xml:space="preserve">the </w:t>
      </w:r>
      <w:r w:rsidR="007D6B53" w:rsidRPr="007D6B53">
        <w:rPr>
          <w:rFonts w:ascii="Times New Roman" w:hAnsi="Times New Roman" w:cs="Times New Roman"/>
          <w:sz w:val="24"/>
          <w:szCs w:val="24"/>
        </w:rPr>
        <w:t>Baccalaureate and</w:t>
      </w:r>
      <w:r w:rsidR="007D6B53">
        <w:rPr>
          <w:rFonts w:ascii="Times New Roman" w:hAnsi="Times New Roman" w:cs="Times New Roman"/>
          <w:sz w:val="24"/>
          <w:szCs w:val="24"/>
        </w:rPr>
        <w:t xml:space="preserve"> Beyond Longitudinal Study</w:t>
      </w:r>
      <w:r w:rsidR="00FE4013" w:rsidRPr="00844D79">
        <w:rPr>
          <w:rFonts w:ascii="Times New Roman" w:hAnsi="Times New Roman" w:cs="Times New Roman"/>
          <w:sz w:val="24"/>
          <w:szCs w:val="24"/>
        </w:rPr>
        <w:t xml:space="preserve"> field tests. </w:t>
      </w:r>
      <w:r w:rsidR="003F38E9">
        <w:rPr>
          <w:rFonts w:ascii="Times New Roman" w:hAnsi="Times New Roman" w:cs="Times New Roman"/>
          <w:sz w:val="24"/>
          <w:szCs w:val="24"/>
        </w:rPr>
        <w:t xml:space="preserve">An experiment conducted with 3,700 respondents from the </w:t>
      </w:r>
      <w:r w:rsidR="003F38E9" w:rsidRPr="003F38E9">
        <w:rPr>
          <w:rFonts w:ascii="Times New Roman" w:hAnsi="Times New Roman" w:cs="Times New Roman"/>
          <w:sz w:val="24"/>
          <w:szCs w:val="24"/>
        </w:rPr>
        <w:t xml:space="preserve">2012/14 </w:t>
      </w:r>
      <w:r w:rsidR="003F38E9">
        <w:rPr>
          <w:rFonts w:ascii="Times New Roman" w:hAnsi="Times New Roman" w:cs="Times New Roman"/>
          <w:sz w:val="24"/>
          <w:szCs w:val="24"/>
        </w:rPr>
        <w:t xml:space="preserve">BPS varied incentives to complete the survey during a four week early response period from </w:t>
      </w:r>
      <w:r w:rsidR="003F38E9" w:rsidRPr="003F38E9">
        <w:rPr>
          <w:rFonts w:ascii="Times New Roman" w:hAnsi="Times New Roman" w:cs="Times New Roman"/>
          <w:sz w:val="24"/>
          <w:szCs w:val="24"/>
        </w:rPr>
        <w:t>$0 to $50</w:t>
      </w:r>
      <w:r w:rsidR="003F38E9">
        <w:rPr>
          <w:rFonts w:ascii="Times New Roman" w:hAnsi="Times New Roman" w:cs="Times New Roman"/>
          <w:sz w:val="24"/>
          <w:szCs w:val="24"/>
        </w:rPr>
        <w:t xml:space="preserve">. </w:t>
      </w:r>
      <w:r w:rsidR="003F38E9" w:rsidRPr="003F38E9">
        <w:rPr>
          <w:rFonts w:ascii="Times New Roman" w:hAnsi="Times New Roman" w:cs="Times New Roman"/>
          <w:sz w:val="24"/>
          <w:szCs w:val="24"/>
        </w:rPr>
        <w:t xml:space="preserve"> On the last day of the early response period, those who were offered less than $30 had a response rate of 19.7%</w:t>
      </w:r>
      <w:r w:rsidR="003F38E9">
        <w:rPr>
          <w:rFonts w:ascii="Times New Roman" w:hAnsi="Times New Roman" w:cs="Times New Roman"/>
          <w:sz w:val="24"/>
          <w:szCs w:val="24"/>
        </w:rPr>
        <w:t>,</w:t>
      </w:r>
      <w:r w:rsidR="003F38E9" w:rsidRPr="003F38E9">
        <w:rPr>
          <w:rFonts w:ascii="Times New Roman" w:hAnsi="Times New Roman" w:cs="Times New Roman"/>
          <w:sz w:val="24"/>
          <w:szCs w:val="24"/>
        </w:rPr>
        <w:t xml:space="preserve"> and those who were being offered $30 or more had a response rate of 36.2%. </w:t>
      </w:r>
      <w:r w:rsidR="009C6894">
        <w:rPr>
          <w:rFonts w:ascii="Times New Roman" w:hAnsi="Times New Roman" w:cs="Times New Roman"/>
          <w:sz w:val="24"/>
          <w:szCs w:val="24"/>
        </w:rPr>
        <w:t>This means the response rate associated with an early bird incentive of $30-$50 was 84% greater than the response rate associated with an early bird incentive of less than $30.</w:t>
      </w:r>
    </w:p>
    <w:p w:rsidR="003F38E9" w:rsidRDefault="003F38E9" w:rsidP="003763E0">
      <w:pPr>
        <w:spacing w:after="0" w:line="240" w:lineRule="auto"/>
        <w:rPr>
          <w:rFonts w:ascii="Times New Roman" w:hAnsi="Times New Roman" w:cs="Times New Roman"/>
          <w:sz w:val="24"/>
          <w:szCs w:val="24"/>
        </w:rPr>
      </w:pPr>
    </w:p>
    <w:p w:rsidR="00F76951" w:rsidRDefault="00F76951" w:rsidP="00F76951">
      <w:pPr>
        <w:spacing w:after="0" w:line="240" w:lineRule="auto"/>
        <w:rPr>
          <w:rFonts w:ascii="Times New Roman" w:hAnsi="Times New Roman" w:cs="Times New Roman"/>
          <w:b/>
          <w:sz w:val="24"/>
          <w:szCs w:val="24"/>
        </w:rPr>
      </w:pPr>
      <w:r>
        <w:rPr>
          <w:rFonts w:ascii="Times New Roman" w:hAnsi="Times New Roman" w:cs="Times New Roman"/>
          <w:b/>
          <w:sz w:val="24"/>
          <w:szCs w:val="24"/>
        </w:rPr>
        <w:t>Rationale for Measuring Ghost Awareness</w:t>
      </w:r>
    </w:p>
    <w:p w:rsidR="00B91697" w:rsidRDefault="00A758BC" w:rsidP="00F76951">
      <w:pPr>
        <w:spacing w:after="0" w:line="240" w:lineRule="auto"/>
        <w:rPr>
          <w:rFonts w:ascii="Times New Roman" w:hAnsi="Times New Roman" w:cs="Times New Roman"/>
          <w:sz w:val="24"/>
          <w:szCs w:val="24"/>
        </w:rPr>
      </w:pPr>
      <w:r>
        <w:rPr>
          <w:rFonts w:ascii="Times New Roman" w:hAnsi="Times New Roman" w:cs="Times New Roman"/>
          <w:sz w:val="24"/>
          <w:szCs w:val="24"/>
        </w:rPr>
        <w:t>The</w:t>
      </w:r>
      <w:r w:rsidR="00F76951">
        <w:rPr>
          <w:rFonts w:ascii="Times New Roman" w:hAnsi="Times New Roman" w:cs="Times New Roman"/>
          <w:sz w:val="24"/>
          <w:szCs w:val="24"/>
        </w:rPr>
        <w:t xml:space="preserve"> </w:t>
      </w:r>
      <w:r w:rsidR="00FB16BA" w:rsidRPr="00844D79">
        <w:rPr>
          <w:rFonts w:ascii="Times New Roman" w:hAnsi="Times New Roman" w:cs="Times New Roman"/>
          <w:sz w:val="24"/>
          <w:szCs w:val="24"/>
        </w:rPr>
        <w:t>ExPECTT</w:t>
      </w:r>
      <w:r w:rsidR="00FB16BA">
        <w:rPr>
          <w:rFonts w:ascii="Times New Roman" w:hAnsi="Times New Roman" w:cs="Times New Roman"/>
          <w:sz w:val="24"/>
          <w:szCs w:val="24"/>
        </w:rPr>
        <w:t xml:space="preserve"> Media Tracking </w:t>
      </w:r>
      <w:r>
        <w:rPr>
          <w:rFonts w:ascii="Times New Roman" w:hAnsi="Times New Roman" w:cs="Times New Roman"/>
          <w:sz w:val="24"/>
          <w:szCs w:val="24"/>
        </w:rPr>
        <w:t xml:space="preserve">Brief Report, which is </w:t>
      </w:r>
      <w:r w:rsidR="00FB16BA">
        <w:rPr>
          <w:rFonts w:ascii="Times New Roman" w:hAnsi="Times New Roman" w:cs="Times New Roman"/>
          <w:sz w:val="24"/>
          <w:szCs w:val="24"/>
        </w:rPr>
        <w:t xml:space="preserve">based on data collected during the </w:t>
      </w:r>
      <w:r>
        <w:rPr>
          <w:rFonts w:ascii="Times New Roman" w:hAnsi="Times New Roman" w:cs="Times New Roman"/>
          <w:sz w:val="24"/>
          <w:szCs w:val="24"/>
        </w:rPr>
        <w:t>first</w:t>
      </w:r>
      <w:r w:rsidR="00FB16BA">
        <w:rPr>
          <w:rFonts w:ascii="Times New Roman" w:hAnsi="Times New Roman" w:cs="Times New Roman"/>
          <w:sz w:val="24"/>
          <w:szCs w:val="24"/>
        </w:rPr>
        <w:t xml:space="preserve"> two months of the Real Cost </w:t>
      </w:r>
      <w:r>
        <w:rPr>
          <w:rFonts w:ascii="Times New Roman" w:hAnsi="Times New Roman" w:cs="Times New Roman"/>
          <w:sz w:val="24"/>
          <w:szCs w:val="24"/>
        </w:rPr>
        <w:t>campaign, shows</w:t>
      </w:r>
      <w:r w:rsidR="00FB16BA">
        <w:rPr>
          <w:rFonts w:ascii="Times New Roman" w:hAnsi="Times New Roman" w:cs="Times New Roman"/>
          <w:sz w:val="24"/>
          <w:szCs w:val="24"/>
        </w:rPr>
        <w:t xml:space="preserve"> that 21% of </w:t>
      </w:r>
      <w:r>
        <w:rPr>
          <w:rFonts w:ascii="Times New Roman" w:hAnsi="Times New Roman" w:cs="Times New Roman"/>
          <w:sz w:val="24"/>
          <w:szCs w:val="24"/>
        </w:rPr>
        <w:t xml:space="preserve">respondents report awareness of the Real Cost brand. To place this </w:t>
      </w:r>
      <w:r w:rsidR="003763E0">
        <w:rPr>
          <w:rFonts w:ascii="Times New Roman" w:hAnsi="Times New Roman" w:cs="Times New Roman"/>
          <w:sz w:val="24"/>
          <w:szCs w:val="24"/>
        </w:rPr>
        <w:t xml:space="preserve">estimate </w:t>
      </w:r>
      <w:r>
        <w:rPr>
          <w:rFonts w:ascii="Times New Roman" w:hAnsi="Times New Roman" w:cs="Times New Roman"/>
          <w:sz w:val="24"/>
          <w:szCs w:val="24"/>
        </w:rPr>
        <w:t xml:space="preserve">in context, 23% report awareness of the </w:t>
      </w:r>
      <w:r w:rsidR="003763E0">
        <w:rPr>
          <w:rFonts w:ascii="Times New Roman" w:hAnsi="Times New Roman" w:cs="Times New Roman"/>
          <w:sz w:val="24"/>
          <w:szCs w:val="24"/>
        </w:rPr>
        <w:t xml:space="preserve">fake brand </w:t>
      </w:r>
      <w:r>
        <w:rPr>
          <w:rFonts w:ascii="Times New Roman" w:hAnsi="Times New Roman" w:cs="Times New Roman"/>
          <w:sz w:val="24"/>
          <w:szCs w:val="24"/>
        </w:rPr>
        <w:t xml:space="preserve">Digital Youth </w:t>
      </w:r>
      <w:proofErr w:type="gramStart"/>
      <w:r>
        <w:rPr>
          <w:rFonts w:ascii="Times New Roman" w:hAnsi="Times New Roman" w:cs="Times New Roman"/>
          <w:sz w:val="24"/>
          <w:szCs w:val="24"/>
        </w:rPr>
        <w:t>Against</w:t>
      </w:r>
      <w:proofErr w:type="gramEnd"/>
      <w:r>
        <w:rPr>
          <w:rFonts w:ascii="Times New Roman" w:hAnsi="Times New Roman" w:cs="Times New Roman"/>
          <w:sz w:val="24"/>
          <w:szCs w:val="24"/>
        </w:rPr>
        <w:t xml:space="preserve"> Tobacco (DYAT) and 20% report awareness of the </w:t>
      </w:r>
      <w:r w:rsidR="003763E0">
        <w:rPr>
          <w:rFonts w:ascii="Times New Roman" w:hAnsi="Times New Roman" w:cs="Times New Roman"/>
          <w:sz w:val="24"/>
          <w:szCs w:val="24"/>
        </w:rPr>
        <w:t xml:space="preserve">fake </w:t>
      </w:r>
      <w:r>
        <w:rPr>
          <w:rFonts w:ascii="Times New Roman" w:hAnsi="Times New Roman" w:cs="Times New Roman"/>
          <w:sz w:val="24"/>
          <w:szCs w:val="24"/>
        </w:rPr>
        <w:t xml:space="preserve">brand Rebellion. </w:t>
      </w:r>
      <w:r w:rsidR="003763E0">
        <w:rPr>
          <w:rFonts w:ascii="Times New Roman" w:hAnsi="Times New Roman" w:cs="Times New Roman"/>
          <w:sz w:val="24"/>
          <w:szCs w:val="24"/>
        </w:rPr>
        <w:t xml:space="preserve">These data suggest that </w:t>
      </w:r>
      <w:r w:rsidR="00DF301E">
        <w:rPr>
          <w:rFonts w:ascii="Times New Roman" w:hAnsi="Times New Roman" w:cs="Times New Roman"/>
          <w:sz w:val="24"/>
          <w:szCs w:val="24"/>
        </w:rPr>
        <w:t xml:space="preserve">current </w:t>
      </w:r>
      <w:r w:rsidR="003763E0">
        <w:rPr>
          <w:rFonts w:ascii="Times New Roman" w:hAnsi="Times New Roman" w:cs="Times New Roman"/>
          <w:sz w:val="24"/>
          <w:szCs w:val="24"/>
        </w:rPr>
        <w:t xml:space="preserve">estimates of Real Cost </w:t>
      </w:r>
      <w:r w:rsidR="002819F4">
        <w:rPr>
          <w:rFonts w:ascii="Times New Roman" w:hAnsi="Times New Roman" w:cs="Times New Roman"/>
          <w:sz w:val="24"/>
          <w:szCs w:val="24"/>
        </w:rPr>
        <w:t xml:space="preserve">brand </w:t>
      </w:r>
      <w:r w:rsidR="003763E0">
        <w:rPr>
          <w:rFonts w:ascii="Times New Roman" w:hAnsi="Times New Roman" w:cs="Times New Roman"/>
          <w:sz w:val="24"/>
          <w:szCs w:val="24"/>
        </w:rPr>
        <w:t xml:space="preserve">awareness are </w:t>
      </w:r>
      <w:r w:rsidR="002819F4">
        <w:rPr>
          <w:rFonts w:ascii="Times New Roman" w:hAnsi="Times New Roman" w:cs="Times New Roman"/>
          <w:sz w:val="24"/>
          <w:szCs w:val="24"/>
        </w:rPr>
        <w:t>less a function of</w:t>
      </w:r>
      <w:r w:rsidR="003763E0">
        <w:rPr>
          <w:rFonts w:ascii="Times New Roman" w:hAnsi="Times New Roman" w:cs="Times New Roman"/>
          <w:sz w:val="24"/>
          <w:szCs w:val="24"/>
        </w:rPr>
        <w:t xml:space="preserve"> campaign exposure</w:t>
      </w:r>
      <w:r w:rsidR="002819F4">
        <w:rPr>
          <w:rFonts w:ascii="Times New Roman" w:hAnsi="Times New Roman" w:cs="Times New Roman"/>
          <w:sz w:val="24"/>
          <w:szCs w:val="24"/>
        </w:rPr>
        <w:t xml:space="preserve"> than</w:t>
      </w:r>
      <w:r w:rsidR="003763E0">
        <w:rPr>
          <w:rFonts w:ascii="Times New Roman" w:hAnsi="Times New Roman" w:cs="Times New Roman"/>
          <w:sz w:val="24"/>
          <w:szCs w:val="24"/>
        </w:rPr>
        <w:t xml:space="preserve"> of respondent error of some type. </w:t>
      </w:r>
      <w:r w:rsidR="002819F4">
        <w:rPr>
          <w:rFonts w:ascii="Times New Roman" w:hAnsi="Times New Roman" w:cs="Times New Roman"/>
          <w:sz w:val="24"/>
          <w:szCs w:val="24"/>
        </w:rPr>
        <w:t>However, a</w:t>
      </w:r>
      <w:r w:rsidR="003763E0">
        <w:rPr>
          <w:rFonts w:ascii="Times New Roman" w:hAnsi="Times New Roman" w:cs="Times New Roman"/>
          <w:sz w:val="24"/>
          <w:szCs w:val="24"/>
        </w:rPr>
        <w:t xml:space="preserve">s the Real Cost campaign becomes </w:t>
      </w:r>
      <w:r w:rsidR="002819F4">
        <w:rPr>
          <w:rFonts w:ascii="Times New Roman" w:hAnsi="Times New Roman" w:cs="Times New Roman"/>
          <w:sz w:val="24"/>
          <w:szCs w:val="24"/>
        </w:rPr>
        <w:t xml:space="preserve">more </w:t>
      </w:r>
      <w:r w:rsidR="003763E0">
        <w:rPr>
          <w:rFonts w:ascii="Times New Roman" w:hAnsi="Times New Roman" w:cs="Times New Roman"/>
          <w:sz w:val="24"/>
          <w:szCs w:val="24"/>
        </w:rPr>
        <w:t xml:space="preserve">established, </w:t>
      </w:r>
      <w:r w:rsidR="00DF301E">
        <w:rPr>
          <w:rFonts w:ascii="Times New Roman" w:hAnsi="Times New Roman" w:cs="Times New Roman"/>
          <w:sz w:val="24"/>
          <w:szCs w:val="24"/>
        </w:rPr>
        <w:t xml:space="preserve">we expect brand awareness </w:t>
      </w:r>
      <w:r w:rsidR="002819F4">
        <w:rPr>
          <w:rFonts w:ascii="Times New Roman" w:hAnsi="Times New Roman" w:cs="Times New Roman"/>
          <w:sz w:val="24"/>
          <w:szCs w:val="24"/>
        </w:rPr>
        <w:t>to</w:t>
      </w:r>
      <w:r w:rsidR="00DF301E">
        <w:rPr>
          <w:rFonts w:ascii="Times New Roman" w:hAnsi="Times New Roman" w:cs="Times New Roman"/>
          <w:sz w:val="24"/>
          <w:szCs w:val="24"/>
        </w:rPr>
        <w:t xml:space="preserve"> exceed </w:t>
      </w:r>
      <w:r w:rsidR="002819F4">
        <w:rPr>
          <w:rFonts w:ascii="Times New Roman" w:hAnsi="Times New Roman" w:cs="Times New Roman"/>
          <w:sz w:val="24"/>
          <w:szCs w:val="24"/>
        </w:rPr>
        <w:t xml:space="preserve">that of </w:t>
      </w:r>
      <w:r w:rsidR="00DF301E">
        <w:rPr>
          <w:rFonts w:ascii="Times New Roman" w:hAnsi="Times New Roman" w:cs="Times New Roman"/>
          <w:sz w:val="24"/>
          <w:szCs w:val="24"/>
        </w:rPr>
        <w:t>fake brands. The inclusion of fake brands in the survey</w:t>
      </w:r>
      <w:r w:rsidR="002819F4">
        <w:rPr>
          <w:rFonts w:ascii="Times New Roman" w:hAnsi="Times New Roman" w:cs="Times New Roman"/>
          <w:sz w:val="24"/>
          <w:szCs w:val="24"/>
        </w:rPr>
        <w:t>, therefore,</w:t>
      </w:r>
      <w:r w:rsidR="00DF301E">
        <w:rPr>
          <w:rFonts w:ascii="Times New Roman" w:hAnsi="Times New Roman" w:cs="Times New Roman"/>
          <w:sz w:val="24"/>
          <w:szCs w:val="24"/>
        </w:rPr>
        <w:t xml:space="preserve"> is designed to provide context for youth reports, which are </w:t>
      </w:r>
      <w:r w:rsidR="002819F4">
        <w:rPr>
          <w:rFonts w:ascii="Times New Roman" w:hAnsi="Times New Roman" w:cs="Times New Roman"/>
          <w:sz w:val="24"/>
          <w:szCs w:val="24"/>
        </w:rPr>
        <w:t>influenced by</w:t>
      </w:r>
      <w:r w:rsidR="00DF301E">
        <w:rPr>
          <w:rFonts w:ascii="Times New Roman" w:hAnsi="Times New Roman" w:cs="Times New Roman"/>
          <w:sz w:val="24"/>
          <w:szCs w:val="24"/>
        </w:rPr>
        <w:t xml:space="preserve"> </w:t>
      </w:r>
      <w:r w:rsidR="002819F4">
        <w:rPr>
          <w:rFonts w:ascii="Times New Roman" w:hAnsi="Times New Roman" w:cs="Times New Roman"/>
          <w:sz w:val="24"/>
          <w:szCs w:val="24"/>
        </w:rPr>
        <w:t>inaccurate recall, intentional misreports</w:t>
      </w:r>
      <w:r w:rsidR="00DF301E">
        <w:rPr>
          <w:rFonts w:ascii="Times New Roman" w:hAnsi="Times New Roman" w:cs="Times New Roman"/>
          <w:sz w:val="24"/>
          <w:szCs w:val="24"/>
        </w:rPr>
        <w:t xml:space="preserve"> response and other factors. </w:t>
      </w:r>
      <w:r w:rsidR="00B91697">
        <w:rPr>
          <w:rFonts w:ascii="Times New Roman" w:hAnsi="Times New Roman" w:cs="Times New Roman"/>
          <w:sz w:val="24"/>
          <w:szCs w:val="24"/>
        </w:rPr>
        <w:t xml:space="preserve">These fake brands </w:t>
      </w:r>
      <w:r w:rsidR="002819F4">
        <w:rPr>
          <w:rFonts w:ascii="Times New Roman" w:hAnsi="Times New Roman" w:cs="Times New Roman"/>
          <w:sz w:val="24"/>
          <w:szCs w:val="24"/>
        </w:rPr>
        <w:t xml:space="preserve">will </w:t>
      </w:r>
      <w:r w:rsidR="00B91697">
        <w:rPr>
          <w:rFonts w:ascii="Times New Roman" w:hAnsi="Times New Roman" w:cs="Times New Roman"/>
          <w:sz w:val="24"/>
          <w:szCs w:val="24"/>
        </w:rPr>
        <w:t xml:space="preserve">enable RTI to contextualize brand awareness estimates and better track actual campaign awareness trajectories. </w:t>
      </w:r>
    </w:p>
    <w:p w:rsidR="00B91697" w:rsidRDefault="00B91697" w:rsidP="00F76951">
      <w:pPr>
        <w:spacing w:after="0" w:line="240" w:lineRule="auto"/>
        <w:rPr>
          <w:rFonts w:ascii="Times New Roman" w:hAnsi="Times New Roman" w:cs="Times New Roman"/>
          <w:sz w:val="24"/>
          <w:szCs w:val="24"/>
        </w:rPr>
      </w:pPr>
    </w:p>
    <w:p w:rsidR="002819F4" w:rsidRDefault="00B91697" w:rsidP="002819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w:t>
      </w:r>
      <w:r w:rsidR="002819F4">
        <w:rPr>
          <w:rFonts w:ascii="Times New Roman" w:hAnsi="Times New Roman" w:cs="Times New Roman"/>
          <w:sz w:val="24"/>
          <w:szCs w:val="24"/>
        </w:rPr>
        <w:t>the</w:t>
      </w:r>
      <w:r>
        <w:rPr>
          <w:rFonts w:ascii="Times New Roman" w:hAnsi="Times New Roman" w:cs="Times New Roman"/>
          <w:sz w:val="24"/>
          <w:szCs w:val="24"/>
        </w:rPr>
        <w:t xml:space="preserve"> </w:t>
      </w:r>
      <w:r w:rsidR="002819F4" w:rsidRPr="00844D79">
        <w:rPr>
          <w:rFonts w:ascii="Times New Roman" w:hAnsi="Times New Roman" w:cs="Times New Roman"/>
          <w:sz w:val="24"/>
          <w:szCs w:val="24"/>
        </w:rPr>
        <w:t>ExPECTT</w:t>
      </w:r>
      <w:r w:rsidR="002819F4">
        <w:rPr>
          <w:rFonts w:ascii="Times New Roman" w:hAnsi="Times New Roman" w:cs="Times New Roman"/>
          <w:sz w:val="24"/>
          <w:szCs w:val="24"/>
        </w:rPr>
        <w:t xml:space="preserve"> follow-up </w:t>
      </w:r>
      <w:r>
        <w:rPr>
          <w:rFonts w:ascii="Times New Roman" w:hAnsi="Times New Roman" w:cs="Times New Roman"/>
          <w:sz w:val="24"/>
          <w:szCs w:val="24"/>
        </w:rPr>
        <w:t>survey we measure</w:t>
      </w:r>
      <w:r w:rsidR="002819F4">
        <w:rPr>
          <w:rFonts w:ascii="Times New Roman" w:hAnsi="Times New Roman" w:cs="Times New Roman"/>
          <w:sz w:val="24"/>
          <w:szCs w:val="24"/>
        </w:rPr>
        <w:t xml:space="preserve"> youth awareness of the Real Cost brand and other real (truth, Tips) and fake (DYAT, Rebellion) brands. We also measure awareness of Real Cost and o</w:t>
      </w:r>
      <w:r w:rsidR="0072475B">
        <w:rPr>
          <w:rFonts w:ascii="Times New Roman" w:hAnsi="Times New Roman" w:cs="Times New Roman"/>
          <w:sz w:val="24"/>
          <w:szCs w:val="24"/>
        </w:rPr>
        <w:t>ther real (truth, Tips) ads. In</w:t>
      </w:r>
      <w:r w:rsidR="002819F4">
        <w:rPr>
          <w:rFonts w:ascii="Times New Roman" w:hAnsi="Times New Roman" w:cs="Times New Roman"/>
          <w:sz w:val="24"/>
          <w:szCs w:val="24"/>
        </w:rPr>
        <w:t xml:space="preserve"> order to better place these awareness estimates in context, we would like to add a fake advertisement to the follow-up survey. We envision that a fake ad would </w:t>
      </w:r>
      <w:r w:rsidR="002819F4">
        <w:rPr>
          <w:rFonts w:ascii="Times New Roman" w:hAnsi="Times New Roman" w:cs="Times New Roman"/>
          <w:sz w:val="24"/>
          <w:szCs w:val="24"/>
        </w:rPr>
        <w:lastRenderedPageBreak/>
        <w:t xml:space="preserve">be one developed for but not aired as part of the campaign or a real state ad that has not aired in </w:t>
      </w:r>
      <w:r w:rsidR="0072475B">
        <w:rPr>
          <w:rFonts w:ascii="Times New Roman" w:hAnsi="Times New Roman" w:cs="Times New Roman"/>
          <w:sz w:val="24"/>
          <w:szCs w:val="24"/>
        </w:rPr>
        <w:t xml:space="preserve">some years. Such state ads are available through the CDCs Media Campaign Resources Center. Measuring reported awareness of an ad youth could not have seen will contribute to our understanding of actual Real Cost ad awareness.  </w:t>
      </w:r>
    </w:p>
    <w:p w:rsidR="00BA37B2" w:rsidRDefault="00BA37B2" w:rsidP="002819F4">
      <w:pPr>
        <w:spacing w:after="0" w:line="240" w:lineRule="auto"/>
        <w:rPr>
          <w:rFonts w:ascii="Times New Roman" w:hAnsi="Times New Roman" w:cs="Times New Roman"/>
          <w:sz w:val="24"/>
          <w:szCs w:val="24"/>
        </w:rPr>
      </w:pPr>
    </w:p>
    <w:p w:rsidR="00BA37B2" w:rsidRDefault="00BA37B2" w:rsidP="002819F4">
      <w:pPr>
        <w:spacing w:after="0" w:line="240" w:lineRule="auto"/>
        <w:rPr>
          <w:rFonts w:ascii="Times New Roman" w:hAnsi="Times New Roman" w:cs="Times New Roman"/>
          <w:sz w:val="24"/>
          <w:szCs w:val="24"/>
        </w:rPr>
      </w:pPr>
    </w:p>
    <w:p w:rsidR="008A58EC" w:rsidRPr="00844D79" w:rsidRDefault="008A58EC" w:rsidP="00487C7B">
      <w:pPr>
        <w:spacing w:after="0" w:line="240" w:lineRule="auto"/>
        <w:rPr>
          <w:rFonts w:ascii="Times New Roman" w:hAnsi="Times New Roman" w:cs="Times New Roman"/>
          <w:b/>
          <w:sz w:val="24"/>
          <w:szCs w:val="24"/>
        </w:rPr>
      </w:pPr>
      <w:r w:rsidRPr="00844D79">
        <w:rPr>
          <w:rFonts w:ascii="Times New Roman" w:hAnsi="Times New Roman" w:cs="Times New Roman"/>
          <w:b/>
          <w:sz w:val="24"/>
          <w:szCs w:val="24"/>
        </w:rPr>
        <w:t>References</w:t>
      </w:r>
    </w:p>
    <w:p w:rsidR="00473922" w:rsidRDefault="00473922" w:rsidP="00487C7B">
      <w:pPr>
        <w:pStyle w:val="bodytextpsg"/>
        <w:spacing w:after="0"/>
        <w:ind w:firstLine="0"/>
        <w:rPr>
          <w:sz w:val="24"/>
          <w:szCs w:val="24"/>
        </w:rPr>
      </w:pPr>
    </w:p>
    <w:p w:rsidR="00A33D53" w:rsidRPr="00A33D53" w:rsidRDefault="00A33D53" w:rsidP="00A33D53">
      <w:pPr>
        <w:pStyle w:val="bodytextpsg"/>
        <w:spacing w:after="0"/>
        <w:ind w:left="720" w:hanging="720"/>
        <w:rPr>
          <w:noProof/>
          <w:szCs w:val="24"/>
        </w:rPr>
      </w:pPr>
      <w:r w:rsidRPr="00A33D53">
        <w:rPr>
          <w:noProof/>
          <w:szCs w:val="24"/>
        </w:rPr>
        <w:t xml:space="preserve">Dillman, D. A. S., J.D.; and Christian, L.M. (2009). </w:t>
      </w:r>
      <w:r w:rsidRPr="00A33D53">
        <w:rPr>
          <w:noProof/>
          <w:szCs w:val="24"/>
          <w:u w:val="single"/>
        </w:rPr>
        <w:t>Internet, mail, and mixed-mode surveys: The tailored design method.</w:t>
      </w:r>
      <w:r w:rsidRPr="00A33D53">
        <w:rPr>
          <w:noProof/>
          <w:szCs w:val="24"/>
        </w:rPr>
        <w:t xml:space="preserve"> Hoboken, NJ, John Wiley &amp; Sons.</w:t>
      </w:r>
    </w:p>
    <w:p w:rsidR="00A33D53" w:rsidRPr="00A33D53" w:rsidRDefault="00A33D53" w:rsidP="00A33D53">
      <w:pPr>
        <w:pStyle w:val="bodytextpsg"/>
        <w:spacing w:after="0"/>
        <w:ind w:left="720" w:hanging="720"/>
        <w:rPr>
          <w:noProof/>
          <w:szCs w:val="24"/>
        </w:rPr>
      </w:pPr>
      <w:r w:rsidRPr="00A33D53">
        <w:rPr>
          <w:noProof/>
          <w:szCs w:val="24"/>
        </w:rPr>
        <w:t xml:space="preserve">James, J. M., and Bolstein, R. (1992). "Large monetary incentives and their effect on mail survey response rates." </w:t>
      </w:r>
      <w:r w:rsidRPr="00A33D53">
        <w:rPr>
          <w:noProof/>
          <w:szCs w:val="24"/>
          <w:u w:val="single"/>
        </w:rPr>
        <w:t>Public Opinion Quarterly</w:t>
      </w:r>
      <w:r w:rsidRPr="00A33D53">
        <w:rPr>
          <w:noProof/>
          <w:szCs w:val="24"/>
        </w:rPr>
        <w:t>(56): 442-453.</w:t>
      </w:r>
    </w:p>
    <w:p w:rsidR="00A33D53" w:rsidRPr="00A33D53" w:rsidRDefault="00A33D53" w:rsidP="00A33D53">
      <w:pPr>
        <w:pStyle w:val="bodytextpsg"/>
        <w:spacing w:after="0"/>
        <w:ind w:left="720" w:hanging="720"/>
        <w:rPr>
          <w:noProof/>
          <w:szCs w:val="24"/>
        </w:rPr>
      </w:pPr>
      <w:r w:rsidRPr="00A33D53">
        <w:rPr>
          <w:noProof/>
          <w:szCs w:val="24"/>
        </w:rPr>
        <w:t xml:space="preserve">LeClere, F., Plumme, S., Vanicek, J., Amaya, A., Carris, K. (2012). Household Early Bird Incentives: Leveraging Family Influence to Improve Household Response Rates. </w:t>
      </w:r>
      <w:r w:rsidRPr="00A33D53">
        <w:rPr>
          <w:noProof/>
          <w:szCs w:val="24"/>
          <w:u w:val="single"/>
        </w:rPr>
        <w:t>American Statistical Association Joint Statistical Meetings, Section on Survey Research</w:t>
      </w:r>
      <w:r w:rsidRPr="00A33D53">
        <w:rPr>
          <w:noProof/>
          <w:szCs w:val="24"/>
        </w:rPr>
        <w:t>.</w:t>
      </w:r>
    </w:p>
    <w:p w:rsidR="00A33D53" w:rsidRPr="00A33D53" w:rsidRDefault="00A33D53" w:rsidP="00A33D53">
      <w:pPr>
        <w:pStyle w:val="bodytextpsg"/>
        <w:spacing w:after="0"/>
        <w:ind w:left="720" w:hanging="720"/>
        <w:rPr>
          <w:noProof/>
          <w:szCs w:val="24"/>
        </w:rPr>
      </w:pPr>
      <w:r w:rsidRPr="00A33D53">
        <w:rPr>
          <w:noProof/>
          <w:szCs w:val="24"/>
        </w:rPr>
        <w:t xml:space="preserve">National Youth in Transition Database (NYTD) (2010). Technical Assistance Brief No. 6 Understanding Incentives and Motivators for Participation in the Youth Outcome Survey. . </w:t>
      </w:r>
      <w:r w:rsidRPr="00D73634">
        <w:rPr>
          <w:noProof/>
          <w:szCs w:val="24"/>
        </w:rPr>
        <w:t>http://www.nrccwdt.org/resources/nytd/docs/NYTD_TA_Brief_6_Understanding_Incentives_081010.pdf</w:t>
      </w:r>
      <w:r w:rsidRPr="00A33D53">
        <w:rPr>
          <w:noProof/>
          <w:szCs w:val="24"/>
        </w:rPr>
        <w:t>.</w:t>
      </w:r>
    </w:p>
    <w:p w:rsidR="00A33D53" w:rsidRPr="00A33D53" w:rsidRDefault="00A33D53" w:rsidP="00A33D53">
      <w:pPr>
        <w:pStyle w:val="bodytextpsg"/>
        <w:spacing w:after="0"/>
        <w:ind w:left="720" w:hanging="720"/>
        <w:rPr>
          <w:noProof/>
          <w:szCs w:val="24"/>
        </w:rPr>
      </w:pPr>
      <w:r w:rsidRPr="00A33D53">
        <w:rPr>
          <w:noProof/>
          <w:szCs w:val="24"/>
        </w:rPr>
        <w:t xml:space="preserve">Singer, E. (2012). The Use and Effects of Incentives in Surveys. </w:t>
      </w:r>
      <w:r w:rsidRPr="00A33D53">
        <w:rPr>
          <w:noProof/>
          <w:szCs w:val="24"/>
          <w:u w:val="single"/>
        </w:rPr>
        <w:t>National Science Foundation</w:t>
      </w:r>
      <w:r w:rsidRPr="00A33D53">
        <w:rPr>
          <w:noProof/>
          <w:szCs w:val="24"/>
        </w:rPr>
        <w:t>. Washington DC.</w:t>
      </w:r>
    </w:p>
    <w:p w:rsidR="00A33D53" w:rsidRPr="00A33D53" w:rsidRDefault="00A33D53" w:rsidP="00A33D53">
      <w:pPr>
        <w:pStyle w:val="bodytextpsg"/>
        <w:ind w:left="720" w:hanging="720"/>
        <w:rPr>
          <w:noProof/>
          <w:szCs w:val="24"/>
        </w:rPr>
      </w:pPr>
      <w:r w:rsidRPr="00A33D53">
        <w:rPr>
          <w:noProof/>
          <w:szCs w:val="24"/>
        </w:rPr>
        <w:t xml:space="preserve">Ward, C., Stern, M., Vanicek, J., Black, C., Knighton, C., Wilkinson, L. (2014). Evaluating the Effectiveness of Early Bird Incentives in a Web Survey. </w:t>
      </w:r>
      <w:r w:rsidRPr="00A33D53">
        <w:rPr>
          <w:noProof/>
          <w:szCs w:val="24"/>
          <w:u w:val="single"/>
        </w:rPr>
        <w:t>Federal Computer Assisted Survey Information Collection (CASIC) Workshops</w:t>
      </w:r>
      <w:r w:rsidRPr="00A33D53">
        <w:rPr>
          <w:noProof/>
          <w:szCs w:val="24"/>
        </w:rPr>
        <w:t>.</w:t>
      </w:r>
    </w:p>
    <w:p w:rsidR="00A33D53" w:rsidRDefault="00A33D53" w:rsidP="00A33D53">
      <w:pPr>
        <w:pStyle w:val="bodytextpsg"/>
        <w:rPr>
          <w:noProof/>
          <w:szCs w:val="24"/>
        </w:rPr>
      </w:pPr>
    </w:p>
    <w:p w:rsidR="00E74438" w:rsidRPr="00844D79" w:rsidRDefault="00E74438" w:rsidP="00487C7B">
      <w:pPr>
        <w:pStyle w:val="bodytextpsg"/>
        <w:spacing w:after="0"/>
        <w:ind w:firstLine="0"/>
        <w:rPr>
          <w:sz w:val="24"/>
          <w:szCs w:val="24"/>
        </w:rPr>
      </w:pPr>
    </w:p>
    <w:sectPr w:rsidR="00E74438" w:rsidRPr="00844D7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22D" w:rsidRDefault="0005522D" w:rsidP="00BA37B2">
      <w:pPr>
        <w:spacing w:after="0" w:line="240" w:lineRule="auto"/>
      </w:pPr>
      <w:r>
        <w:separator/>
      </w:r>
    </w:p>
  </w:endnote>
  <w:endnote w:type="continuationSeparator" w:id="0">
    <w:p w:rsidR="0005522D" w:rsidRDefault="0005522D" w:rsidP="00BA3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20998"/>
      <w:docPartObj>
        <w:docPartGallery w:val="Page Numbers (Bottom of Page)"/>
        <w:docPartUnique/>
      </w:docPartObj>
    </w:sdtPr>
    <w:sdtEndPr>
      <w:rPr>
        <w:noProof/>
      </w:rPr>
    </w:sdtEndPr>
    <w:sdtContent>
      <w:p w:rsidR="00BA37B2" w:rsidRDefault="00BA37B2">
        <w:pPr>
          <w:pStyle w:val="Footer"/>
          <w:jc w:val="center"/>
        </w:pPr>
        <w:r>
          <w:fldChar w:fldCharType="begin"/>
        </w:r>
        <w:r>
          <w:instrText xml:space="preserve"> PAGE   \* MERGEFORMAT </w:instrText>
        </w:r>
        <w:r>
          <w:fldChar w:fldCharType="separate"/>
        </w:r>
        <w:r w:rsidR="00AB7296">
          <w:rPr>
            <w:noProof/>
          </w:rPr>
          <w:t>3</w:t>
        </w:r>
        <w:r>
          <w:rPr>
            <w:noProof/>
          </w:rPr>
          <w:fldChar w:fldCharType="end"/>
        </w:r>
      </w:p>
    </w:sdtContent>
  </w:sdt>
  <w:p w:rsidR="00BA37B2" w:rsidRDefault="00BA37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22D" w:rsidRDefault="0005522D" w:rsidP="00BA37B2">
      <w:pPr>
        <w:spacing w:after="0" w:line="240" w:lineRule="auto"/>
      </w:pPr>
      <w:r>
        <w:separator/>
      </w:r>
    </w:p>
  </w:footnote>
  <w:footnote w:type="continuationSeparator" w:id="0">
    <w:p w:rsidR="0005522D" w:rsidRDefault="0005522D" w:rsidP="00BA37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tv5pdev8v9efkevw0oxsrzkzxzwwxvstdtz&quot;&gt;Janes Endnote Database&lt;record-ids&gt;&lt;item&gt;1861&lt;/item&gt;&lt;item&gt;1862&lt;/item&gt;&lt;item&gt;1863&lt;/item&gt;&lt;item&gt;1864&lt;/item&gt;&lt;item&gt;1865&lt;/item&gt;&lt;item&gt;1866&lt;/item&gt;&lt;/record-ids&gt;&lt;/item&gt;&lt;/Libraries&gt;"/>
  </w:docVars>
  <w:rsids>
    <w:rsidRoot w:val="008309C6"/>
    <w:rsid w:val="0005319C"/>
    <w:rsid w:val="0005522D"/>
    <w:rsid w:val="00065700"/>
    <w:rsid w:val="00080BB7"/>
    <w:rsid w:val="000C514D"/>
    <w:rsid w:val="001124BE"/>
    <w:rsid w:val="001516C3"/>
    <w:rsid w:val="001C3A05"/>
    <w:rsid w:val="0020094A"/>
    <w:rsid w:val="002819F4"/>
    <w:rsid w:val="002A70B3"/>
    <w:rsid w:val="002B48EE"/>
    <w:rsid w:val="002B4AA9"/>
    <w:rsid w:val="003375AD"/>
    <w:rsid w:val="003539A0"/>
    <w:rsid w:val="00364EDB"/>
    <w:rsid w:val="003763E0"/>
    <w:rsid w:val="003935E1"/>
    <w:rsid w:val="003F2ED5"/>
    <w:rsid w:val="003F38E9"/>
    <w:rsid w:val="003F7760"/>
    <w:rsid w:val="00473922"/>
    <w:rsid w:val="00487C7B"/>
    <w:rsid w:val="004953A2"/>
    <w:rsid w:val="004C10E8"/>
    <w:rsid w:val="004F5875"/>
    <w:rsid w:val="00521390"/>
    <w:rsid w:val="0052768C"/>
    <w:rsid w:val="005561C1"/>
    <w:rsid w:val="00595CF2"/>
    <w:rsid w:val="005A5176"/>
    <w:rsid w:val="005E4448"/>
    <w:rsid w:val="00694C5F"/>
    <w:rsid w:val="006B4157"/>
    <w:rsid w:val="006B4DFE"/>
    <w:rsid w:val="00710271"/>
    <w:rsid w:val="0072475B"/>
    <w:rsid w:val="00730FD7"/>
    <w:rsid w:val="00735685"/>
    <w:rsid w:val="00795620"/>
    <w:rsid w:val="007C7A4F"/>
    <w:rsid w:val="007D6B53"/>
    <w:rsid w:val="007F7B56"/>
    <w:rsid w:val="008309C6"/>
    <w:rsid w:val="00837018"/>
    <w:rsid w:val="00844D79"/>
    <w:rsid w:val="008604AE"/>
    <w:rsid w:val="008A58EC"/>
    <w:rsid w:val="008E0511"/>
    <w:rsid w:val="008F3A63"/>
    <w:rsid w:val="009073E4"/>
    <w:rsid w:val="009C1669"/>
    <w:rsid w:val="009C6894"/>
    <w:rsid w:val="00A20340"/>
    <w:rsid w:val="00A33D53"/>
    <w:rsid w:val="00A46082"/>
    <w:rsid w:val="00A67F8A"/>
    <w:rsid w:val="00A758BC"/>
    <w:rsid w:val="00AB7296"/>
    <w:rsid w:val="00AC11ED"/>
    <w:rsid w:val="00B3174F"/>
    <w:rsid w:val="00B430A2"/>
    <w:rsid w:val="00B86E3D"/>
    <w:rsid w:val="00B91697"/>
    <w:rsid w:val="00BA37B2"/>
    <w:rsid w:val="00C17CF2"/>
    <w:rsid w:val="00CE4AAC"/>
    <w:rsid w:val="00CF371B"/>
    <w:rsid w:val="00D25707"/>
    <w:rsid w:val="00D34648"/>
    <w:rsid w:val="00D5725C"/>
    <w:rsid w:val="00D73634"/>
    <w:rsid w:val="00DF301E"/>
    <w:rsid w:val="00E5635D"/>
    <w:rsid w:val="00E71C6E"/>
    <w:rsid w:val="00E74438"/>
    <w:rsid w:val="00EC43F4"/>
    <w:rsid w:val="00EC62E7"/>
    <w:rsid w:val="00ED2D47"/>
    <w:rsid w:val="00ED3E16"/>
    <w:rsid w:val="00F17906"/>
    <w:rsid w:val="00F25E43"/>
    <w:rsid w:val="00F36A68"/>
    <w:rsid w:val="00F76951"/>
    <w:rsid w:val="00FB16BA"/>
    <w:rsid w:val="00FB4C9E"/>
    <w:rsid w:val="00FC476F"/>
    <w:rsid w:val="00FE1445"/>
    <w:rsid w:val="00FE4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aliases w:val="bt,body tx,indent,flush,memo body text"/>
    <w:basedOn w:val="Normal"/>
    <w:link w:val="bodytextChar"/>
    <w:rsid w:val="008309C6"/>
    <w:pPr>
      <w:spacing w:after="80" w:line="240" w:lineRule="auto"/>
      <w:ind w:firstLine="360"/>
    </w:pPr>
    <w:rPr>
      <w:rFonts w:ascii="Times New Roman" w:eastAsia="Times New Roman" w:hAnsi="Times New Roman" w:cs="Times New Roman"/>
      <w:sz w:val="24"/>
      <w:szCs w:val="20"/>
    </w:rPr>
  </w:style>
  <w:style w:type="character" w:customStyle="1" w:styleId="bodytextChar">
    <w:name w:val="body text Char"/>
    <w:aliases w:val="bt Char,body tx Char,indent Char,flush Char,memo body text Char"/>
    <w:basedOn w:val="DefaultParagraphFont"/>
    <w:link w:val="BodyText1"/>
    <w:rsid w:val="008309C6"/>
    <w:rPr>
      <w:rFonts w:ascii="Times New Roman" w:eastAsia="Times New Roman" w:hAnsi="Times New Roman" w:cs="Times New Roman"/>
      <w:sz w:val="24"/>
      <w:szCs w:val="20"/>
    </w:rPr>
  </w:style>
  <w:style w:type="paragraph" w:customStyle="1" w:styleId="bodytextpsg">
    <w:name w:val="body text_psg"/>
    <w:basedOn w:val="Normal"/>
    <w:link w:val="bodytextpsgCharChar"/>
    <w:rsid w:val="00F25E43"/>
    <w:pPr>
      <w:spacing w:after="120" w:line="240" w:lineRule="auto"/>
      <w:ind w:firstLine="720"/>
    </w:pPr>
    <w:rPr>
      <w:rFonts w:ascii="Times New Roman" w:eastAsia="Times New Roman" w:hAnsi="Times New Roman" w:cs="Times New Roman"/>
      <w:szCs w:val="20"/>
    </w:rPr>
  </w:style>
  <w:style w:type="character" w:customStyle="1" w:styleId="bodytextpsgCharChar">
    <w:name w:val="body text_psg Char Char"/>
    <w:basedOn w:val="DefaultParagraphFont"/>
    <w:link w:val="bodytextpsg"/>
    <w:rsid w:val="00F25E43"/>
    <w:rPr>
      <w:rFonts w:ascii="Times New Roman" w:eastAsia="Times New Roman" w:hAnsi="Times New Roman" w:cs="Times New Roman"/>
      <w:szCs w:val="20"/>
    </w:rPr>
  </w:style>
  <w:style w:type="character" w:styleId="Hyperlink">
    <w:name w:val="Hyperlink"/>
    <w:basedOn w:val="DefaultParagraphFont"/>
    <w:uiPriority w:val="99"/>
    <w:unhideWhenUsed/>
    <w:rsid w:val="008F3A63"/>
    <w:rPr>
      <w:color w:val="0000FF" w:themeColor="hyperlink"/>
      <w:u w:val="single"/>
    </w:rPr>
  </w:style>
  <w:style w:type="character" w:styleId="CommentReference">
    <w:name w:val="annotation reference"/>
    <w:basedOn w:val="DefaultParagraphFont"/>
    <w:uiPriority w:val="99"/>
    <w:semiHidden/>
    <w:unhideWhenUsed/>
    <w:rsid w:val="005561C1"/>
    <w:rPr>
      <w:sz w:val="16"/>
      <w:szCs w:val="16"/>
    </w:rPr>
  </w:style>
  <w:style w:type="paragraph" w:styleId="CommentText">
    <w:name w:val="annotation text"/>
    <w:basedOn w:val="Normal"/>
    <w:link w:val="CommentTextChar"/>
    <w:uiPriority w:val="99"/>
    <w:semiHidden/>
    <w:unhideWhenUsed/>
    <w:rsid w:val="005561C1"/>
    <w:pPr>
      <w:spacing w:line="240" w:lineRule="auto"/>
    </w:pPr>
    <w:rPr>
      <w:sz w:val="20"/>
      <w:szCs w:val="20"/>
    </w:rPr>
  </w:style>
  <w:style w:type="character" w:customStyle="1" w:styleId="CommentTextChar">
    <w:name w:val="Comment Text Char"/>
    <w:basedOn w:val="DefaultParagraphFont"/>
    <w:link w:val="CommentText"/>
    <w:uiPriority w:val="99"/>
    <w:semiHidden/>
    <w:rsid w:val="005561C1"/>
    <w:rPr>
      <w:sz w:val="20"/>
      <w:szCs w:val="20"/>
    </w:rPr>
  </w:style>
  <w:style w:type="paragraph" w:styleId="CommentSubject">
    <w:name w:val="annotation subject"/>
    <w:basedOn w:val="CommentText"/>
    <w:next w:val="CommentText"/>
    <w:link w:val="CommentSubjectChar"/>
    <w:uiPriority w:val="99"/>
    <w:semiHidden/>
    <w:unhideWhenUsed/>
    <w:rsid w:val="005561C1"/>
    <w:rPr>
      <w:b/>
      <w:bCs/>
    </w:rPr>
  </w:style>
  <w:style w:type="character" w:customStyle="1" w:styleId="CommentSubjectChar">
    <w:name w:val="Comment Subject Char"/>
    <w:basedOn w:val="CommentTextChar"/>
    <w:link w:val="CommentSubject"/>
    <w:uiPriority w:val="99"/>
    <w:semiHidden/>
    <w:rsid w:val="005561C1"/>
    <w:rPr>
      <w:b/>
      <w:bCs/>
      <w:sz w:val="20"/>
      <w:szCs w:val="20"/>
    </w:rPr>
  </w:style>
  <w:style w:type="paragraph" w:styleId="BalloonText">
    <w:name w:val="Balloon Text"/>
    <w:basedOn w:val="Normal"/>
    <w:link w:val="BalloonTextChar"/>
    <w:uiPriority w:val="99"/>
    <w:semiHidden/>
    <w:unhideWhenUsed/>
    <w:rsid w:val="00556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1C1"/>
    <w:rPr>
      <w:rFonts w:ascii="Tahoma" w:hAnsi="Tahoma" w:cs="Tahoma"/>
      <w:sz w:val="16"/>
      <w:szCs w:val="16"/>
    </w:rPr>
  </w:style>
  <w:style w:type="paragraph" w:styleId="Header">
    <w:name w:val="header"/>
    <w:basedOn w:val="Normal"/>
    <w:link w:val="HeaderChar"/>
    <w:uiPriority w:val="99"/>
    <w:unhideWhenUsed/>
    <w:rsid w:val="00BA37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B2"/>
  </w:style>
  <w:style w:type="paragraph" w:styleId="Footer">
    <w:name w:val="footer"/>
    <w:basedOn w:val="Normal"/>
    <w:link w:val="FooterChar"/>
    <w:uiPriority w:val="99"/>
    <w:unhideWhenUsed/>
    <w:rsid w:val="00BA37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aliases w:val="bt,body tx,indent,flush,memo body text"/>
    <w:basedOn w:val="Normal"/>
    <w:link w:val="bodytextChar"/>
    <w:rsid w:val="008309C6"/>
    <w:pPr>
      <w:spacing w:after="80" w:line="240" w:lineRule="auto"/>
      <w:ind w:firstLine="360"/>
    </w:pPr>
    <w:rPr>
      <w:rFonts w:ascii="Times New Roman" w:eastAsia="Times New Roman" w:hAnsi="Times New Roman" w:cs="Times New Roman"/>
      <w:sz w:val="24"/>
      <w:szCs w:val="20"/>
    </w:rPr>
  </w:style>
  <w:style w:type="character" w:customStyle="1" w:styleId="bodytextChar">
    <w:name w:val="body text Char"/>
    <w:aliases w:val="bt Char,body tx Char,indent Char,flush Char,memo body text Char"/>
    <w:basedOn w:val="DefaultParagraphFont"/>
    <w:link w:val="BodyText1"/>
    <w:rsid w:val="008309C6"/>
    <w:rPr>
      <w:rFonts w:ascii="Times New Roman" w:eastAsia="Times New Roman" w:hAnsi="Times New Roman" w:cs="Times New Roman"/>
      <w:sz w:val="24"/>
      <w:szCs w:val="20"/>
    </w:rPr>
  </w:style>
  <w:style w:type="paragraph" w:customStyle="1" w:styleId="bodytextpsg">
    <w:name w:val="body text_psg"/>
    <w:basedOn w:val="Normal"/>
    <w:link w:val="bodytextpsgCharChar"/>
    <w:rsid w:val="00F25E43"/>
    <w:pPr>
      <w:spacing w:after="120" w:line="240" w:lineRule="auto"/>
      <w:ind w:firstLine="720"/>
    </w:pPr>
    <w:rPr>
      <w:rFonts w:ascii="Times New Roman" w:eastAsia="Times New Roman" w:hAnsi="Times New Roman" w:cs="Times New Roman"/>
      <w:szCs w:val="20"/>
    </w:rPr>
  </w:style>
  <w:style w:type="character" w:customStyle="1" w:styleId="bodytextpsgCharChar">
    <w:name w:val="body text_psg Char Char"/>
    <w:basedOn w:val="DefaultParagraphFont"/>
    <w:link w:val="bodytextpsg"/>
    <w:rsid w:val="00F25E43"/>
    <w:rPr>
      <w:rFonts w:ascii="Times New Roman" w:eastAsia="Times New Roman" w:hAnsi="Times New Roman" w:cs="Times New Roman"/>
      <w:szCs w:val="20"/>
    </w:rPr>
  </w:style>
  <w:style w:type="character" w:styleId="Hyperlink">
    <w:name w:val="Hyperlink"/>
    <w:basedOn w:val="DefaultParagraphFont"/>
    <w:uiPriority w:val="99"/>
    <w:unhideWhenUsed/>
    <w:rsid w:val="008F3A63"/>
    <w:rPr>
      <w:color w:val="0000FF" w:themeColor="hyperlink"/>
      <w:u w:val="single"/>
    </w:rPr>
  </w:style>
  <w:style w:type="character" w:styleId="CommentReference">
    <w:name w:val="annotation reference"/>
    <w:basedOn w:val="DefaultParagraphFont"/>
    <w:uiPriority w:val="99"/>
    <w:semiHidden/>
    <w:unhideWhenUsed/>
    <w:rsid w:val="005561C1"/>
    <w:rPr>
      <w:sz w:val="16"/>
      <w:szCs w:val="16"/>
    </w:rPr>
  </w:style>
  <w:style w:type="paragraph" w:styleId="CommentText">
    <w:name w:val="annotation text"/>
    <w:basedOn w:val="Normal"/>
    <w:link w:val="CommentTextChar"/>
    <w:uiPriority w:val="99"/>
    <w:semiHidden/>
    <w:unhideWhenUsed/>
    <w:rsid w:val="005561C1"/>
    <w:pPr>
      <w:spacing w:line="240" w:lineRule="auto"/>
    </w:pPr>
    <w:rPr>
      <w:sz w:val="20"/>
      <w:szCs w:val="20"/>
    </w:rPr>
  </w:style>
  <w:style w:type="character" w:customStyle="1" w:styleId="CommentTextChar">
    <w:name w:val="Comment Text Char"/>
    <w:basedOn w:val="DefaultParagraphFont"/>
    <w:link w:val="CommentText"/>
    <w:uiPriority w:val="99"/>
    <w:semiHidden/>
    <w:rsid w:val="005561C1"/>
    <w:rPr>
      <w:sz w:val="20"/>
      <w:szCs w:val="20"/>
    </w:rPr>
  </w:style>
  <w:style w:type="paragraph" w:styleId="CommentSubject">
    <w:name w:val="annotation subject"/>
    <w:basedOn w:val="CommentText"/>
    <w:next w:val="CommentText"/>
    <w:link w:val="CommentSubjectChar"/>
    <w:uiPriority w:val="99"/>
    <w:semiHidden/>
    <w:unhideWhenUsed/>
    <w:rsid w:val="005561C1"/>
    <w:rPr>
      <w:b/>
      <w:bCs/>
    </w:rPr>
  </w:style>
  <w:style w:type="character" w:customStyle="1" w:styleId="CommentSubjectChar">
    <w:name w:val="Comment Subject Char"/>
    <w:basedOn w:val="CommentTextChar"/>
    <w:link w:val="CommentSubject"/>
    <w:uiPriority w:val="99"/>
    <w:semiHidden/>
    <w:rsid w:val="005561C1"/>
    <w:rPr>
      <w:b/>
      <w:bCs/>
      <w:sz w:val="20"/>
      <w:szCs w:val="20"/>
    </w:rPr>
  </w:style>
  <w:style w:type="paragraph" w:styleId="BalloonText">
    <w:name w:val="Balloon Text"/>
    <w:basedOn w:val="Normal"/>
    <w:link w:val="BalloonTextChar"/>
    <w:uiPriority w:val="99"/>
    <w:semiHidden/>
    <w:unhideWhenUsed/>
    <w:rsid w:val="00556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1C1"/>
    <w:rPr>
      <w:rFonts w:ascii="Tahoma" w:hAnsi="Tahoma" w:cs="Tahoma"/>
      <w:sz w:val="16"/>
      <w:szCs w:val="16"/>
    </w:rPr>
  </w:style>
  <w:style w:type="paragraph" w:styleId="Header">
    <w:name w:val="header"/>
    <w:basedOn w:val="Normal"/>
    <w:link w:val="HeaderChar"/>
    <w:uiPriority w:val="99"/>
    <w:unhideWhenUsed/>
    <w:rsid w:val="00BA37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B2"/>
  </w:style>
  <w:style w:type="paragraph" w:styleId="Footer">
    <w:name w:val="footer"/>
    <w:basedOn w:val="Normal"/>
    <w:link w:val="FooterChar"/>
    <w:uiPriority w:val="99"/>
    <w:unhideWhenUsed/>
    <w:rsid w:val="00BA37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89539">
      <w:bodyDiv w:val="1"/>
      <w:marLeft w:val="0"/>
      <w:marRight w:val="0"/>
      <w:marTop w:val="0"/>
      <w:marBottom w:val="0"/>
      <w:divBdr>
        <w:top w:val="none" w:sz="0" w:space="0" w:color="auto"/>
        <w:left w:val="none" w:sz="0" w:space="0" w:color="auto"/>
        <w:bottom w:val="none" w:sz="0" w:space="0" w:color="auto"/>
        <w:right w:val="none" w:sz="0" w:space="0" w:color="auto"/>
      </w:divBdr>
      <w:divsChild>
        <w:div w:id="745418896">
          <w:marLeft w:val="0"/>
          <w:marRight w:val="0"/>
          <w:marTop w:val="0"/>
          <w:marBottom w:val="0"/>
          <w:divBdr>
            <w:top w:val="none" w:sz="0" w:space="0" w:color="auto"/>
            <w:left w:val="none" w:sz="0" w:space="0" w:color="auto"/>
            <w:bottom w:val="none" w:sz="0" w:space="0" w:color="auto"/>
            <w:right w:val="none" w:sz="0" w:space="0" w:color="auto"/>
          </w:divBdr>
        </w:div>
        <w:div w:id="133986399">
          <w:marLeft w:val="0"/>
          <w:marRight w:val="0"/>
          <w:marTop w:val="0"/>
          <w:marBottom w:val="0"/>
          <w:divBdr>
            <w:top w:val="none" w:sz="0" w:space="0" w:color="auto"/>
            <w:left w:val="none" w:sz="0" w:space="0" w:color="auto"/>
            <w:bottom w:val="none" w:sz="0" w:space="0" w:color="auto"/>
            <w:right w:val="none" w:sz="0" w:space="0" w:color="auto"/>
          </w:divBdr>
        </w:div>
        <w:div w:id="1891069947">
          <w:marLeft w:val="0"/>
          <w:marRight w:val="0"/>
          <w:marTop w:val="0"/>
          <w:marBottom w:val="0"/>
          <w:divBdr>
            <w:top w:val="none" w:sz="0" w:space="0" w:color="auto"/>
            <w:left w:val="none" w:sz="0" w:space="0" w:color="auto"/>
            <w:bottom w:val="none" w:sz="0" w:space="0" w:color="auto"/>
            <w:right w:val="none" w:sz="0" w:space="0" w:color="auto"/>
          </w:divBdr>
        </w:div>
        <w:div w:id="609892896">
          <w:marLeft w:val="0"/>
          <w:marRight w:val="0"/>
          <w:marTop w:val="0"/>
          <w:marBottom w:val="0"/>
          <w:divBdr>
            <w:top w:val="none" w:sz="0" w:space="0" w:color="auto"/>
            <w:left w:val="none" w:sz="0" w:space="0" w:color="auto"/>
            <w:bottom w:val="none" w:sz="0" w:space="0" w:color="auto"/>
            <w:right w:val="none" w:sz="0" w:space="0" w:color="auto"/>
          </w:divBdr>
        </w:div>
        <w:div w:id="1745490325">
          <w:marLeft w:val="0"/>
          <w:marRight w:val="0"/>
          <w:marTop w:val="0"/>
          <w:marBottom w:val="0"/>
          <w:divBdr>
            <w:top w:val="none" w:sz="0" w:space="0" w:color="auto"/>
            <w:left w:val="none" w:sz="0" w:space="0" w:color="auto"/>
            <w:bottom w:val="none" w:sz="0" w:space="0" w:color="auto"/>
            <w:right w:val="none" w:sz="0" w:space="0" w:color="auto"/>
          </w:divBdr>
        </w:div>
      </w:divsChild>
    </w:div>
    <w:div w:id="796416942">
      <w:bodyDiv w:val="1"/>
      <w:marLeft w:val="0"/>
      <w:marRight w:val="0"/>
      <w:marTop w:val="0"/>
      <w:marBottom w:val="0"/>
      <w:divBdr>
        <w:top w:val="none" w:sz="0" w:space="0" w:color="auto"/>
        <w:left w:val="none" w:sz="0" w:space="0" w:color="auto"/>
        <w:bottom w:val="none" w:sz="0" w:space="0" w:color="auto"/>
        <w:right w:val="none" w:sz="0" w:space="0" w:color="auto"/>
      </w:divBdr>
      <w:divsChild>
        <w:div w:id="212352014">
          <w:marLeft w:val="0"/>
          <w:marRight w:val="0"/>
          <w:marTop w:val="0"/>
          <w:marBottom w:val="0"/>
          <w:divBdr>
            <w:top w:val="none" w:sz="0" w:space="0" w:color="auto"/>
            <w:left w:val="none" w:sz="0" w:space="0" w:color="auto"/>
            <w:bottom w:val="none" w:sz="0" w:space="0" w:color="auto"/>
            <w:right w:val="none" w:sz="0" w:space="0" w:color="auto"/>
          </w:divBdr>
        </w:div>
        <w:div w:id="2088116603">
          <w:marLeft w:val="0"/>
          <w:marRight w:val="0"/>
          <w:marTop w:val="0"/>
          <w:marBottom w:val="0"/>
          <w:divBdr>
            <w:top w:val="none" w:sz="0" w:space="0" w:color="auto"/>
            <w:left w:val="none" w:sz="0" w:space="0" w:color="auto"/>
            <w:bottom w:val="none" w:sz="0" w:space="0" w:color="auto"/>
            <w:right w:val="none" w:sz="0" w:space="0" w:color="auto"/>
          </w:divBdr>
        </w:div>
        <w:div w:id="193344332">
          <w:marLeft w:val="0"/>
          <w:marRight w:val="0"/>
          <w:marTop w:val="0"/>
          <w:marBottom w:val="0"/>
          <w:divBdr>
            <w:top w:val="none" w:sz="0" w:space="0" w:color="auto"/>
            <w:left w:val="none" w:sz="0" w:space="0" w:color="auto"/>
            <w:bottom w:val="none" w:sz="0" w:space="0" w:color="auto"/>
            <w:right w:val="none" w:sz="0" w:space="0" w:color="auto"/>
          </w:divBdr>
        </w:div>
        <w:div w:id="2137599291">
          <w:marLeft w:val="0"/>
          <w:marRight w:val="0"/>
          <w:marTop w:val="0"/>
          <w:marBottom w:val="0"/>
          <w:divBdr>
            <w:top w:val="none" w:sz="0" w:space="0" w:color="auto"/>
            <w:left w:val="none" w:sz="0" w:space="0" w:color="auto"/>
            <w:bottom w:val="none" w:sz="0" w:space="0" w:color="auto"/>
            <w:right w:val="none" w:sz="0" w:space="0" w:color="auto"/>
          </w:divBdr>
        </w:div>
        <w:div w:id="1368871552">
          <w:marLeft w:val="0"/>
          <w:marRight w:val="0"/>
          <w:marTop w:val="0"/>
          <w:marBottom w:val="0"/>
          <w:divBdr>
            <w:top w:val="none" w:sz="0" w:space="0" w:color="auto"/>
            <w:left w:val="none" w:sz="0" w:space="0" w:color="auto"/>
            <w:bottom w:val="none" w:sz="0" w:space="0" w:color="auto"/>
            <w:right w:val="none" w:sz="0" w:space="0" w:color="auto"/>
          </w:divBdr>
        </w:div>
        <w:div w:id="334964039">
          <w:marLeft w:val="0"/>
          <w:marRight w:val="0"/>
          <w:marTop w:val="0"/>
          <w:marBottom w:val="0"/>
          <w:divBdr>
            <w:top w:val="none" w:sz="0" w:space="0" w:color="auto"/>
            <w:left w:val="none" w:sz="0" w:space="0" w:color="auto"/>
            <w:bottom w:val="none" w:sz="0" w:space="0" w:color="auto"/>
            <w:right w:val="none" w:sz="0" w:space="0" w:color="auto"/>
          </w:divBdr>
        </w:div>
      </w:divsChild>
    </w:div>
    <w:div w:id="1206331939">
      <w:bodyDiv w:val="1"/>
      <w:marLeft w:val="0"/>
      <w:marRight w:val="0"/>
      <w:marTop w:val="0"/>
      <w:marBottom w:val="0"/>
      <w:divBdr>
        <w:top w:val="none" w:sz="0" w:space="0" w:color="auto"/>
        <w:left w:val="none" w:sz="0" w:space="0" w:color="auto"/>
        <w:bottom w:val="none" w:sz="0" w:space="0" w:color="auto"/>
        <w:right w:val="none" w:sz="0" w:space="0" w:color="auto"/>
      </w:divBdr>
    </w:div>
    <w:div w:id="1288971012">
      <w:bodyDiv w:val="1"/>
      <w:marLeft w:val="0"/>
      <w:marRight w:val="0"/>
      <w:marTop w:val="0"/>
      <w:marBottom w:val="0"/>
      <w:divBdr>
        <w:top w:val="none" w:sz="0" w:space="0" w:color="auto"/>
        <w:left w:val="none" w:sz="0" w:space="0" w:color="auto"/>
        <w:bottom w:val="none" w:sz="0" w:space="0" w:color="auto"/>
        <w:right w:val="none" w:sz="0" w:space="0" w:color="auto"/>
      </w:divBdr>
    </w:div>
    <w:div w:id="1892035274">
      <w:bodyDiv w:val="1"/>
      <w:marLeft w:val="0"/>
      <w:marRight w:val="0"/>
      <w:marTop w:val="0"/>
      <w:marBottom w:val="0"/>
      <w:divBdr>
        <w:top w:val="none" w:sz="0" w:space="0" w:color="auto"/>
        <w:left w:val="none" w:sz="0" w:space="0" w:color="auto"/>
        <w:bottom w:val="none" w:sz="0" w:space="0" w:color="auto"/>
        <w:right w:val="none" w:sz="0" w:space="0" w:color="auto"/>
      </w:divBdr>
      <w:divsChild>
        <w:div w:id="286930578">
          <w:marLeft w:val="0"/>
          <w:marRight w:val="0"/>
          <w:marTop w:val="0"/>
          <w:marBottom w:val="0"/>
          <w:divBdr>
            <w:top w:val="none" w:sz="0" w:space="0" w:color="auto"/>
            <w:left w:val="none" w:sz="0" w:space="0" w:color="auto"/>
            <w:bottom w:val="none" w:sz="0" w:space="0" w:color="auto"/>
            <w:right w:val="none" w:sz="0" w:space="0" w:color="auto"/>
          </w:divBdr>
        </w:div>
        <w:div w:id="385111421">
          <w:marLeft w:val="0"/>
          <w:marRight w:val="0"/>
          <w:marTop w:val="0"/>
          <w:marBottom w:val="0"/>
          <w:divBdr>
            <w:top w:val="none" w:sz="0" w:space="0" w:color="auto"/>
            <w:left w:val="none" w:sz="0" w:space="0" w:color="auto"/>
            <w:bottom w:val="none" w:sz="0" w:space="0" w:color="auto"/>
            <w:right w:val="none" w:sz="0" w:space="0" w:color="auto"/>
          </w:divBdr>
        </w:div>
        <w:div w:id="1327248036">
          <w:marLeft w:val="0"/>
          <w:marRight w:val="0"/>
          <w:marTop w:val="0"/>
          <w:marBottom w:val="0"/>
          <w:divBdr>
            <w:top w:val="none" w:sz="0" w:space="0" w:color="auto"/>
            <w:left w:val="none" w:sz="0" w:space="0" w:color="auto"/>
            <w:bottom w:val="none" w:sz="0" w:space="0" w:color="auto"/>
            <w:right w:val="none" w:sz="0" w:space="0" w:color="auto"/>
          </w:divBdr>
        </w:div>
        <w:div w:id="1434738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2834</Words>
  <Characters>16155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18952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wallin</dc:creator>
  <cp:lastModifiedBy>Alexander, Tesfa</cp:lastModifiedBy>
  <cp:revision>3</cp:revision>
  <dcterms:created xsi:type="dcterms:W3CDTF">2014-05-20T12:35:00Z</dcterms:created>
  <dcterms:modified xsi:type="dcterms:W3CDTF">2014-06-09T19:23:00Z</dcterms:modified>
</cp:coreProperties>
</file>