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D2" w:rsidRDefault="008354D2" w:rsidP="008354D2">
      <w:pPr>
        <w:pStyle w:val="NormalWeb"/>
        <w:spacing w:line="288" w:lineRule="atLeast"/>
        <w:ind w:firstLine="480"/>
        <w:jc w:val="center"/>
        <w:rPr>
          <w:u w:val="single"/>
        </w:rPr>
      </w:pPr>
      <w:bookmarkStart w:id="0" w:name="cs31d"/>
      <w:r>
        <w:rPr>
          <w:u w:val="single"/>
        </w:rPr>
        <w:t>SUPPORTING STATEMENT – PART A</w:t>
      </w:r>
    </w:p>
    <w:p w:rsidR="008354D2" w:rsidRDefault="008354D2" w:rsidP="008354D2">
      <w:pPr>
        <w:pStyle w:val="NormalWeb"/>
        <w:spacing w:line="288" w:lineRule="atLeast"/>
        <w:ind w:firstLine="480"/>
      </w:pPr>
      <w:r>
        <w:t xml:space="preserve">A.  </w:t>
      </w:r>
      <w:r>
        <w:rPr>
          <w:u w:val="single"/>
        </w:rPr>
        <w:t>JUSTIFICATION</w:t>
      </w:r>
    </w:p>
    <w:p w:rsidR="008354D2" w:rsidRDefault="008354D2" w:rsidP="008354D2">
      <w:pPr>
        <w:pStyle w:val="NormalWeb"/>
        <w:spacing w:line="288" w:lineRule="atLeast"/>
        <w:ind w:firstLine="900"/>
      </w:pPr>
      <w:bookmarkStart w:id="1" w:name="cp432"/>
      <w:bookmarkEnd w:id="0"/>
      <w:r>
        <w:t xml:space="preserve">1.  </w:t>
      </w:r>
      <w:r>
        <w:rPr>
          <w:u w:val="single"/>
        </w:rPr>
        <w:t>Need for the Information Collection</w:t>
      </w:r>
    </w:p>
    <w:bookmarkEnd w:id="1"/>
    <w:p w:rsidR="008354D2" w:rsidRPr="00524529" w:rsidRDefault="008354D2" w:rsidP="008354D2">
      <w:pPr>
        <w:pStyle w:val="NormalWeb"/>
        <w:spacing w:line="288" w:lineRule="atLeast"/>
        <w:ind w:firstLine="1260"/>
        <w:rPr>
          <w:rFonts w:eastAsia="Calibri"/>
        </w:rPr>
      </w:pPr>
      <w:r w:rsidRPr="00524529">
        <w:rPr>
          <w:rFonts w:eastAsia="Calibri"/>
        </w:rPr>
        <w:t>A Resource Management Decision (RMD) CON-015 directs the Undersecretary of Defense for Personnel and Readiness (USD P&amp;R), with participation by the Undersecretary of Defense (Comptroller) and the Director for Cost Analysis and Program Evaluation (CAPE) to conduct a study of the need for</w:t>
      </w:r>
      <w:r>
        <w:rPr>
          <w:rFonts w:eastAsia="Calibri"/>
        </w:rPr>
        <w:t xml:space="preserve"> </w:t>
      </w:r>
      <w:r w:rsidRPr="00524529">
        <w:rPr>
          <w:rFonts w:eastAsia="Calibri"/>
        </w:rPr>
        <w:t>the Department of Defense (</w:t>
      </w:r>
      <w:proofErr w:type="gramStart"/>
      <w:r w:rsidRPr="00524529">
        <w:rPr>
          <w:rFonts w:eastAsia="Calibri"/>
        </w:rPr>
        <w:t>DoD</w:t>
      </w:r>
      <w:proofErr w:type="gramEnd"/>
      <w:r w:rsidRPr="00524529">
        <w:rPr>
          <w:rFonts w:eastAsia="Calibri"/>
        </w:rPr>
        <w:t>) to own and operate schools in the United States.  The study will evaluate other options (e.g. charter schools) to include identifying which facilities would be candidates for divesture or transfer to an equivalent alternative arrangement.</w:t>
      </w:r>
    </w:p>
    <w:p w:rsidR="008354D2" w:rsidRDefault="008354D2" w:rsidP="008354D2">
      <w:pPr>
        <w:pStyle w:val="ListParagraph"/>
        <w:rPr>
          <w:rFonts w:ascii="Times New Roman" w:hAnsi="Times New Roman" w:cs="Times New Roman"/>
          <w:sz w:val="24"/>
          <w:szCs w:val="24"/>
        </w:rPr>
      </w:pPr>
    </w:p>
    <w:p w:rsidR="008354D2" w:rsidRPr="00C95F85" w:rsidRDefault="008354D2" w:rsidP="008354D2">
      <w:pPr>
        <w:pStyle w:val="ListParagraph"/>
        <w:ind w:left="0"/>
        <w:rPr>
          <w:rFonts w:ascii="Times New Roman" w:hAnsi="Times New Roman" w:cs="Times New Roman"/>
          <w:sz w:val="24"/>
          <w:szCs w:val="24"/>
        </w:rPr>
      </w:pPr>
      <w:r>
        <w:rPr>
          <w:rFonts w:ascii="Times New Roman" w:hAnsi="Times New Roman" w:cs="Times New Roman"/>
          <w:sz w:val="24"/>
          <w:szCs w:val="24"/>
        </w:rPr>
        <w:t>As a result, t</w:t>
      </w:r>
      <w:r w:rsidRPr="00C95F85">
        <w:rPr>
          <w:rFonts w:ascii="Times New Roman" w:hAnsi="Times New Roman" w:cs="Times New Roman"/>
          <w:sz w:val="24"/>
          <w:szCs w:val="24"/>
        </w:rPr>
        <w:t xml:space="preserve">he DoD has contracted RAND to conduct a study designed to recommend options that most effectively balance cost and quality considerations for primary and secondary schooling of military dependents on each of the 15 continental United States (CONUS) installations where the Department of Defense currently operates Domestic Dependents Elementary and Secondary Schools (DDESS) or contracts with local educational agencies (LEAs) to operate schools on the installation. </w:t>
      </w:r>
      <w:r>
        <w:rPr>
          <w:rFonts w:ascii="Times New Roman" w:hAnsi="Times New Roman" w:cs="Times New Roman"/>
          <w:sz w:val="24"/>
          <w:szCs w:val="24"/>
        </w:rPr>
        <w:t>(</w:t>
      </w:r>
      <w:r w:rsidRPr="00C95F85">
        <w:rPr>
          <w:rFonts w:ascii="Times New Roman" w:hAnsi="Times New Roman" w:cs="Times New Roman"/>
          <w:sz w:val="24"/>
          <w:szCs w:val="24"/>
        </w:rPr>
        <w:t xml:space="preserve">The </w:t>
      </w:r>
      <w:proofErr w:type="gramStart"/>
      <w:r w:rsidRPr="00C95F85">
        <w:rPr>
          <w:rFonts w:ascii="Times New Roman" w:hAnsi="Times New Roman" w:cs="Times New Roman"/>
          <w:sz w:val="24"/>
          <w:szCs w:val="24"/>
        </w:rPr>
        <w:t>DoD</w:t>
      </w:r>
      <w:proofErr w:type="gramEnd"/>
      <w:r w:rsidRPr="00C95F85">
        <w:rPr>
          <w:rFonts w:ascii="Times New Roman" w:hAnsi="Times New Roman" w:cs="Times New Roman"/>
          <w:sz w:val="24"/>
          <w:szCs w:val="24"/>
        </w:rPr>
        <w:t xml:space="preserve"> contract number is W91WAW-12-C-0030</w:t>
      </w:r>
      <w:r>
        <w:rPr>
          <w:rFonts w:ascii="Times New Roman" w:hAnsi="Times New Roman" w:cs="Times New Roman"/>
          <w:sz w:val="24"/>
          <w:szCs w:val="24"/>
        </w:rPr>
        <w:t>)</w:t>
      </w:r>
    </w:p>
    <w:p w:rsidR="008354D2" w:rsidRPr="00C95F85" w:rsidRDefault="008354D2" w:rsidP="008354D2">
      <w:pPr>
        <w:pStyle w:val="ListParagraph"/>
        <w:ind w:left="1260"/>
        <w:rPr>
          <w:rFonts w:ascii="Times New Roman" w:hAnsi="Times New Roman" w:cs="Times New Roman"/>
          <w:sz w:val="24"/>
          <w:szCs w:val="24"/>
        </w:rPr>
      </w:pPr>
    </w:p>
    <w:p w:rsidR="008354D2" w:rsidRPr="00C95F85" w:rsidRDefault="008354D2" w:rsidP="008354D2">
      <w:pPr>
        <w:pStyle w:val="ListParagraph"/>
        <w:ind w:left="0"/>
        <w:rPr>
          <w:rFonts w:ascii="Times New Roman" w:hAnsi="Times New Roman" w:cs="Times New Roman"/>
          <w:sz w:val="24"/>
          <w:szCs w:val="24"/>
        </w:rPr>
      </w:pPr>
      <w:r w:rsidRPr="00C95F85">
        <w:rPr>
          <w:rFonts w:ascii="Times New Roman" w:hAnsi="Times New Roman" w:cs="Times New Roman"/>
          <w:sz w:val="24"/>
          <w:szCs w:val="24"/>
        </w:rPr>
        <w:t xml:space="preserve">In order to achieve the goals of the study, RAND will collect qualitative data through </w:t>
      </w:r>
      <w:r>
        <w:rPr>
          <w:rFonts w:ascii="Times New Roman" w:hAnsi="Times New Roman" w:cs="Times New Roman"/>
          <w:sz w:val="24"/>
          <w:szCs w:val="24"/>
        </w:rPr>
        <w:t xml:space="preserve">interviews with superintendents of LEAs that are adjacent to the installations to </w:t>
      </w:r>
      <w:r w:rsidRPr="00C95F85">
        <w:rPr>
          <w:rFonts w:ascii="Times New Roman" w:hAnsi="Times New Roman" w:cs="Times New Roman"/>
          <w:sz w:val="24"/>
          <w:szCs w:val="24"/>
        </w:rPr>
        <w:t>examine the feasibility of</w:t>
      </w:r>
      <w:r>
        <w:rPr>
          <w:rFonts w:ascii="Times New Roman" w:hAnsi="Times New Roman" w:cs="Times New Roman"/>
          <w:sz w:val="24"/>
          <w:szCs w:val="24"/>
        </w:rPr>
        <w:t xml:space="preserve"> LEAs operating </w:t>
      </w:r>
      <w:r w:rsidRPr="00C95F85">
        <w:rPr>
          <w:rFonts w:ascii="Times New Roman" w:hAnsi="Times New Roman" w:cs="Times New Roman"/>
          <w:sz w:val="24"/>
          <w:szCs w:val="24"/>
        </w:rPr>
        <w:t xml:space="preserve">DDESS schools.   </w:t>
      </w:r>
    </w:p>
    <w:p w:rsidR="008354D2" w:rsidRPr="00C95F85" w:rsidRDefault="008354D2" w:rsidP="008354D2">
      <w:pPr>
        <w:pStyle w:val="ListParagraph"/>
        <w:tabs>
          <w:tab w:val="left" w:pos="6011"/>
        </w:tabs>
        <w:ind w:left="1440"/>
        <w:rPr>
          <w:rFonts w:ascii="Times New Roman" w:hAnsi="Times New Roman" w:cs="Times New Roman"/>
          <w:sz w:val="24"/>
          <w:szCs w:val="24"/>
        </w:rPr>
      </w:pPr>
      <w:r>
        <w:rPr>
          <w:rFonts w:ascii="Times New Roman" w:hAnsi="Times New Roman" w:cs="Times New Roman"/>
          <w:sz w:val="24"/>
          <w:szCs w:val="24"/>
        </w:rPr>
        <w:tab/>
      </w:r>
    </w:p>
    <w:p w:rsidR="008354D2" w:rsidRDefault="008354D2" w:rsidP="008354D2">
      <w:pPr>
        <w:pStyle w:val="NormalWeb"/>
        <w:spacing w:line="288" w:lineRule="atLeast"/>
        <w:ind w:firstLine="900"/>
      </w:pPr>
      <w:r>
        <w:t xml:space="preserve">2.  </w:t>
      </w:r>
      <w:r>
        <w:rPr>
          <w:u w:val="single"/>
        </w:rPr>
        <w:t>Use of the Information</w:t>
      </w:r>
    </w:p>
    <w:p w:rsidR="008354D2" w:rsidRDefault="008354D2" w:rsidP="008354D2">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 new data collection.  </w:t>
      </w:r>
    </w:p>
    <w:p w:rsidR="008354D2" w:rsidRDefault="008354D2" w:rsidP="008354D2">
      <w:pPr>
        <w:pStyle w:val="HTMLPreformatted"/>
        <w:rPr>
          <w:rFonts w:ascii="Times New Roman" w:hAnsi="Times New Roman" w:cs="Times New Roman"/>
          <w:color w:val="000000"/>
          <w:sz w:val="24"/>
          <w:szCs w:val="24"/>
        </w:rPr>
      </w:pPr>
    </w:p>
    <w:p w:rsidR="008354D2" w:rsidRDefault="008354D2" w:rsidP="008354D2">
      <w:pPr>
        <w:pStyle w:val="ListParagraph"/>
        <w:ind w:left="0"/>
        <w:rPr>
          <w:rFonts w:ascii="Times New Roman" w:hAnsi="Times New Roman" w:cs="Times New Roman"/>
          <w:sz w:val="24"/>
          <w:szCs w:val="24"/>
        </w:rPr>
      </w:pPr>
      <w:r w:rsidRPr="00E37B4A">
        <w:rPr>
          <w:rFonts w:ascii="Times New Roman" w:hAnsi="Times New Roman" w:cs="Times New Roman"/>
          <w:color w:val="000000"/>
          <w:sz w:val="24"/>
          <w:szCs w:val="24"/>
        </w:rPr>
        <w:t>The qualitative data will be collected and analyzed by RAND researchers</w:t>
      </w:r>
      <w:r w:rsidRPr="00C95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5F85">
        <w:rPr>
          <w:rFonts w:ascii="Times New Roman" w:hAnsi="Times New Roman" w:cs="Times New Roman"/>
          <w:sz w:val="24"/>
          <w:szCs w:val="24"/>
        </w:rPr>
        <w:t xml:space="preserve">RAND will use the qualitative data to assess </w:t>
      </w:r>
      <w:r>
        <w:rPr>
          <w:rFonts w:ascii="Times New Roman" w:hAnsi="Times New Roman" w:cs="Times New Roman"/>
          <w:sz w:val="24"/>
          <w:szCs w:val="24"/>
        </w:rPr>
        <w:t xml:space="preserve">LEAs capacity in operating DDESS schools, the approach LEAs will adopt if they took this responsibility, and considerations they would need to take into account in planning to educate DDESS students.  </w:t>
      </w:r>
      <w:r w:rsidRPr="00C95F85">
        <w:rPr>
          <w:rFonts w:ascii="Times New Roman" w:hAnsi="Times New Roman" w:cs="Times New Roman"/>
          <w:sz w:val="24"/>
          <w:szCs w:val="24"/>
        </w:rPr>
        <w:t xml:space="preserve">Through this analysis, RAND will identify </w:t>
      </w:r>
      <w:r>
        <w:rPr>
          <w:rFonts w:ascii="Times New Roman" w:hAnsi="Times New Roman" w:cs="Times New Roman"/>
          <w:sz w:val="24"/>
          <w:szCs w:val="24"/>
        </w:rPr>
        <w:t>whether LEAs operating DDESS schools is a good alternative for each installation.</w:t>
      </w:r>
    </w:p>
    <w:p w:rsidR="008354D2" w:rsidRDefault="008354D2" w:rsidP="008354D2">
      <w:pPr>
        <w:pStyle w:val="ListParagraph"/>
        <w:ind w:left="1440"/>
        <w:rPr>
          <w:rFonts w:ascii="Times New Roman" w:hAnsi="Times New Roman" w:cs="Times New Roman"/>
          <w:sz w:val="24"/>
          <w:szCs w:val="24"/>
        </w:rPr>
      </w:pPr>
    </w:p>
    <w:p w:rsidR="008354D2" w:rsidRPr="00C95F85" w:rsidRDefault="008354D2" w:rsidP="008354D2">
      <w:pPr>
        <w:pStyle w:val="ListParagraph"/>
        <w:ind w:left="0"/>
        <w:rPr>
          <w:rFonts w:ascii="Times New Roman" w:hAnsi="Times New Roman" w:cs="Times New Roman"/>
          <w:sz w:val="24"/>
          <w:szCs w:val="24"/>
        </w:rPr>
      </w:pPr>
      <w:r w:rsidRPr="00C95F85">
        <w:rPr>
          <w:rFonts w:ascii="Times New Roman" w:hAnsi="Times New Roman" w:cs="Times New Roman"/>
          <w:sz w:val="24"/>
          <w:szCs w:val="24"/>
        </w:rPr>
        <w:t xml:space="preserve">RAND’s analytic work will be used by decision-makers at </w:t>
      </w:r>
      <w:proofErr w:type="gramStart"/>
      <w:r w:rsidRPr="00C95F85">
        <w:rPr>
          <w:rFonts w:ascii="Times New Roman" w:hAnsi="Times New Roman" w:cs="Times New Roman"/>
          <w:sz w:val="24"/>
          <w:szCs w:val="24"/>
        </w:rPr>
        <w:t>DoD</w:t>
      </w:r>
      <w:proofErr w:type="gramEnd"/>
      <w:r w:rsidRPr="00C95F85">
        <w:rPr>
          <w:rFonts w:ascii="Times New Roman" w:hAnsi="Times New Roman" w:cs="Times New Roman"/>
          <w:sz w:val="24"/>
          <w:szCs w:val="24"/>
        </w:rPr>
        <w:t xml:space="preserve"> to decide on whether to continue operating DDESS schools or have other organizations, such as LEAs, to operate the schools.</w:t>
      </w:r>
    </w:p>
    <w:p w:rsidR="008354D2" w:rsidRDefault="008354D2" w:rsidP="008354D2">
      <w:pPr>
        <w:pStyle w:val="HTMLPreformatted"/>
        <w:rPr>
          <w:rFonts w:ascii="Times New Roman" w:hAnsi="Times New Roman" w:cs="Times New Roman"/>
          <w:color w:val="000000"/>
          <w:sz w:val="24"/>
          <w:szCs w:val="24"/>
        </w:rPr>
      </w:pPr>
    </w:p>
    <w:p w:rsidR="008354D2" w:rsidRDefault="008354D2" w:rsidP="008354D2">
      <w:pPr>
        <w:pStyle w:val="NormalWeb"/>
        <w:spacing w:line="288" w:lineRule="atLeast"/>
        <w:ind w:firstLine="900"/>
      </w:pPr>
      <w:r>
        <w:t xml:space="preserve">3.  </w:t>
      </w:r>
      <w:r>
        <w:rPr>
          <w:u w:val="single"/>
        </w:rPr>
        <w:t>Use of Information Technology</w:t>
      </w:r>
    </w:p>
    <w:p w:rsidR="008354D2" w:rsidRPr="00524529" w:rsidRDefault="008354D2" w:rsidP="008354D2">
      <w:pPr>
        <w:autoSpaceDE w:val="0"/>
        <w:autoSpaceDN w:val="0"/>
        <w:adjustRightInd w:val="0"/>
        <w:rPr>
          <w:color w:val="000000"/>
        </w:rPr>
      </w:pPr>
      <w:r w:rsidRPr="00524529">
        <w:rPr>
          <w:color w:val="000000"/>
        </w:rPr>
        <w:t xml:space="preserve">RAND will be conducting face-to-face </w:t>
      </w:r>
      <w:r>
        <w:rPr>
          <w:color w:val="000000"/>
        </w:rPr>
        <w:t xml:space="preserve">or telephone </w:t>
      </w:r>
      <w:r w:rsidRPr="00524529">
        <w:rPr>
          <w:color w:val="000000"/>
        </w:rPr>
        <w:t xml:space="preserve">individual interviews </w:t>
      </w:r>
      <w:r>
        <w:rPr>
          <w:color w:val="000000"/>
        </w:rPr>
        <w:t xml:space="preserve">to </w:t>
      </w:r>
      <w:r w:rsidRPr="00524529">
        <w:rPr>
          <w:color w:val="000000"/>
        </w:rPr>
        <w:t>collect the data. Information technology will not be used for interview data collection.</w:t>
      </w:r>
    </w:p>
    <w:p w:rsidR="008354D2" w:rsidRDefault="008354D2" w:rsidP="008354D2">
      <w:pPr>
        <w:pStyle w:val="NormalWeb"/>
        <w:spacing w:line="288" w:lineRule="atLeast"/>
        <w:ind w:firstLine="900"/>
      </w:pPr>
      <w:r>
        <w:lastRenderedPageBreak/>
        <w:t xml:space="preserve">4.  </w:t>
      </w:r>
      <w:r>
        <w:rPr>
          <w:u w:val="single"/>
        </w:rPr>
        <w:t>Non-duplication</w:t>
      </w:r>
    </w:p>
    <w:p w:rsidR="008354D2" w:rsidRPr="00524529" w:rsidRDefault="008354D2" w:rsidP="008354D2">
      <w:pPr>
        <w:pStyle w:val="DocParagraphOutlineLevel2"/>
        <w:rPr>
          <w:b w:val="0"/>
          <w:u w:val="none"/>
        </w:rPr>
      </w:pPr>
      <w:r w:rsidRPr="00524529">
        <w:rPr>
          <w:b w:val="0"/>
          <w:u w:val="none"/>
        </w:rPr>
        <w:t xml:space="preserve">There is no duplication of previous or future data collection effort.  The data collected for this project is new and specific to the goals of this project.  </w:t>
      </w:r>
    </w:p>
    <w:p w:rsidR="008354D2" w:rsidRDefault="008354D2" w:rsidP="008354D2">
      <w:pPr>
        <w:pStyle w:val="NormalWeb"/>
        <w:spacing w:line="288" w:lineRule="atLeast"/>
        <w:ind w:firstLine="900"/>
      </w:pPr>
      <w:bookmarkStart w:id="2" w:name="cp440"/>
      <w:r>
        <w:t xml:space="preserve">5.  </w:t>
      </w:r>
      <w:r>
        <w:rPr>
          <w:u w:val="single"/>
        </w:rPr>
        <w:t>Burden on Small Business</w:t>
      </w:r>
    </w:p>
    <w:p w:rsidR="008354D2" w:rsidRDefault="008354D2" w:rsidP="008354D2">
      <w:pPr>
        <w:pStyle w:val="NormalWeb"/>
        <w:spacing w:line="288" w:lineRule="atLeast"/>
      </w:pPr>
      <w:bookmarkStart w:id="3" w:name="cp441"/>
      <w:bookmarkEnd w:id="2"/>
      <w:r>
        <w:t>The respondents are superintendents of LEAs.  In this context, efforts to minimize any burden imposed by data collection are not applicable.</w:t>
      </w:r>
    </w:p>
    <w:bookmarkEnd w:id="3"/>
    <w:p w:rsidR="008354D2" w:rsidRDefault="008354D2" w:rsidP="008354D2">
      <w:pPr>
        <w:pStyle w:val="NormalWeb"/>
        <w:spacing w:line="288" w:lineRule="atLeast"/>
        <w:ind w:firstLine="900"/>
      </w:pPr>
      <w:r>
        <w:t xml:space="preserve">6.  </w:t>
      </w:r>
      <w:r>
        <w:rPr>
          <w:u w:val="single"/>
        </w:rPr>
        <w:t>Less Frequent Collection</w:t>
      </w:r>
    </w:p>
    <w:p w:rsidR="008354D2" w:rsidRPr="00046622" w:rsidRDefault="008354D2" w:rsidP="008354D2">
      <w:pPr>
        <w:pStyle w:val="DocLevel2ParagraphText"/>
        <w:ind w:left="0"/>
      </w:pPr>
      <w:r>
        <w:t>RAND</w:t>
      </w:r>
      <w:r w:rsidRPr="00046622">
        <w:t xml:space="preserve"> </w:t>
      </w:r>
      <w:r>
        <w:t xml:space="preserve">is </w:t>
      </w:r>
      <w:r w:rsidRPr="00046622">
        <w:t>collecting data</w:t>
      </w:r>
      <w:r>
        <w:t xml:space="preserve"> from each LEA superintendent</w:t>
      </w:r>
      <w:r w:rsidRPr="00046622">
        <w:t xml:space="preserve"> once during the study</w:t>
      </w:r>
      <w:r>
        <w:t xml:space="preserve"> period;</w:t>
      </w:r>
      <w:r w:rsidRPr="00046622">
        <w:t xml:space="preserve"> as a result data collection cannot be decreased.</w:t>
      </w:r>
      <w:r>
        <w:t xml:space="preserve">  Each interview is expected to last approximately 2 hours.</w:t>
      </w:r>
    </w:p>
    <w:p w:rsidR="008354D2" w:rsidRPr="00E43BCF" w:rsidRDefault="008354D2" w:rsidP="008354D2">
      <w:pPr>
        <w:pStyle w:val="NormalWeb"/>
        <w:spacing w:line="288" w:lineRule="atLeast"/>
        <w:ind w:firstLine="900"/>
      </w:pPr>
      <w:bookmarkStart w:id="4" w:name="cp444"/>
      <w:r>
        <w:t xml:space="preserve">7.  </w:t>
      </w:r>
      <w:r w:rsidRPr="00E43BCF">
        <w:rPr>
          <w:u w:val="single"/>
        </w:rPr>
        <w:t>Paperwork Reduction Act Guidelines</w:t>
      </w:r>
    </w:p>
    <w:p w:rsidR="008354D2" w:rsidRDefault="008354D2" w:rsidP="008354D2">
      <w:pPr>
        <w:pStyle w:val="NormalWeb"/>
        <w:spacing w:line="288" w:lineRule="atLeast"/>
        <w:ind w:firstLine="1260"/>
      </w:pPr>
      <w:bookmarkStart w:id="5" w:name="cp445"/>
      <w:bookmarkEnd w:id="4"/>
      <w:r w:rsidRPr="00E43BCF">
        <w:t>There are no special circumstances that require the collection to be conducted in a manner inconsistent with the guidelines delineated in 5 CFR 1320.5(d</w:t>
      </w:r>
      <w:proofErr w:type="gramStart"/>
      <w:r w:rsidRPr="00E43BCF">
        <w:t>)(</w:t>
      </w:r>
      <w:proofErr w:type="gramEnd"/>
      <w:r w:rsidRPr="00E43BCF">
        <w:t>2).</w:t>
      </w:r>
    </w:p>
    <w:p w:rsidR="008354D2" w:rsidRPr="00835513" w:rsidRDefault="008354D2" w:rsidP="008354D2">
      <w:pPr>
        <w:pStyle w:val="NormalWeb"/>
        <w:spacing w:line="288" w:lineRule="atLeast"/>
        <w:ind w:firstLine="900"/>
      </w:pPr>
      <w:bookmarkStart w:id="6" w:name="cp446"/>
      <w:bookmarkEnd w:id="5"/>
      <w:r w:rsidRPr="00835513">
        <w:t xml:space="preserve">8.  </w:t>
      </w:r>
      <w:r w:rsidRPr="00835513">
        <w:rPr>
          <w:u w:val="single"/>
        </w:rPr>
        <w:t>Consultation and Public Comments</w:t>
      </w:r>
    </w:p>
    <w:p w:rsidR="008354D2" w:rsidRDefault="008354D2" w:rsidP="008354D2">
      <w:pPr>
        <w:pStyle w:val="NormalWeb"/>
        <w:spacing w:line="288" w:lineRule="atLeast"/>
        <w:ind w:firstLine="1260"/>
      </w:pPr>
      <w:bookmarkStart w:id="7" w:name="cp447"/>
      <w:bookmarkEnd w:id="6"/>
      <w:proofErr w:type="gramStart"/>
      <w:r>
        <w:t xml:space="preserve">a.  </w:t>
      </w:r>
      <w:r w:rsidRPr="00835513">
        <w:t>The</w:t>
      </w:r>
      <w:proofErr w:type="gramEnd"/>
      <w:r w:rsidRPr="00835513">
        <w:t xml:space="preserve"> 60-day notice was published in the Federal Register</w:t>
      </w:r>
      <w:r>
        <w:t xml:space="preserve"> on December 2, 2013, Vol. 78, No. 231, page 72066.  No comments were received. </w:t>
      </w:r>
    </w:p>
    <w:p w:rsidR="008354D2" w:rsidRPr="00835513" w:rsidRDefault="008354D2" w:rsidP="008354D2">
      <w:pPr>
        <w:pStyle w:val="NormalWeb"/>
        <w:spacing w:line="288" w:lineRule="atLeast"/>
        <w:ind w:firstLine="1260"/>
      </w:pPr>
      <w:r>
        <w:t>The 3</w:t>
      </w:r>
      <w:r w:rsidRPr="00835513">
        <w:t>0-day notice was published in the Federal Register</w:t>
      </w:r>
      <w:r>
        <w:t xml:space="preserve"> on May 29, 2014, Vol. 79, No. 103, page 30829.  </w:t>
      </w:r>
    </w:p>
    <w:p w:rsidR="008354D2" w:rsidRDefault="008354D2" w:rsidP="008354D2">
      <w:pPr>
        <w:pStyle w:val="NormalWeb"/>
        <w:spacing w:line="288" w:lineRule="atLeast"/>
        <w:ind w:firstLine="1260"/>
      </w:pPr>
      <w:bookmarkStart w:id="8" w:name="cp448"/>
      <w:bookmarkEnd w:id="7"/>
      <w:r w:rsidRPr="00835513">
        <w:t>b.</w:t>
      </w:r>
      <w:proofErr w:type="gramStart"/>
      <w:r w:rsidRPr="00835513">
        <w:t xml:space="preserve">  </w:t>
      </w:r>
      <w:r>
        <w:t>Because</w:t>
      </w:r>
      <w:proofErr w:type="gramEnd"/>
      <w:r>
        <w:t xml:space="preserve"> the subject of the data collection is the LEA’s response to possible changes in responsibility for the education of military dependents who reside on installations, it is necessary to interact with the LEA leadership.   We consulted the reports of four previous studies conducted between 1988 and 2003 to identify possible topics for discussion with superintendents and selected those topics that most closely matched the objectives of this study.</w:t>
      </w:r>
    </w:p>
    <w:p w:rsidR="008354D2" w:rsidRDefault="008354D2" w:rsidP="008354D2">
      <w:pPr>
        <w:pStyle w:val="NormalWeb"/>
        <w:spacing w:line="288" w:lineRule="atLeast"/>
        <w:ind w:firstLine="900"/>
      </w:pPr>
      <w:bookmarkStart w:id="9" w:name="cp449"/>
      <w:bookmarkEnd w:id="8"/>
      <w:r>
        <w:t xml:space="preserve">9.  </w:t>
      </w:r>
      <w:r>
        <w:rPr>
          <w:u w:val="single"/>
        </w:rPr>
        <w:t>Gifts or Payment</w:t>
      </w:r>
    </w:p>
    <w:p w:rsidR="008354D2" w:rsidRPr="00046622" w:rsidRDefault="008354D2" w:rsidP="008354D2">
      <w:pPr>
        <w:pStyle w:val="DocParagraphOutlineLevel3"/>
        <w:numPr>
          <w:ilvl w:val="0"/>
          <w:numId w:val="0"/>
        </w:numPr>
      </w:pPr>
      <w:bookmarkStart w:id="10" w:name="cp450"/>
      <w:bookmarkEnd w:id="9"/>
      <w:r w:rsidRPr="00046622">
        <w:t>No gifts or payments will be provided</w:t>
      </w:r>
      <w:r>
        <w:t>.</w:t>
      </w:r>
    </w:p>
    <w:bookmarkEnd w:id="10"/>
    <w:p w:rsidR="008354D2" w:rsidRDefault="008354D2" w:rsidP="008354D2">
      <w:pPr>
        <w:pStyle w:val="NormalWeb"/>
        <w:spacing w:line="288" w:lineRule="atLeast"/>
        <w:ind w:firstLine="900"/>
      </w:pPr>
      <w:r>
        <w:t xml:space="preserve">10.  </w:t>
      </w:r>
      <w:r>
        <w:rPr>
          <w:u w:val="single"/>
        </w:rPr>
        <w:t>Confidentiality</w:t>
      </w:r>
    </w:p>
    <w:p w:rsidR="008354D2" w:rsidRDefault="008354D2" w:rsidP="008354D2">
      <w:pPr>
        <w:pStyle w:val="NormalWeb"/>
        <w:spacing w:line="288" w:lineRule="atLeast"/>
      </w:pPr>
      <w:r>
        <w:t xml:space="preserve">As indicated earlier, RAND researchers will conduct interviews with superintendents that are adjacent to the study installations to obtain information on LEAs capacity to manage DDESS schools.  RAND will be reporting this information for each installation separately.  Although in their reporting RAND will paraphrase responses and not associate comments with a specific LEA superintendent, because the analysis will be done for each installation separately, readers of </w:t>
      </w:r>
      <w:r>
        <w:lastRenderedPageBreak/>
        <w:t xml:space="preserve">the RAND report may infer which superintendent made a specific comment.  Thus, prior to the interview RAND will notify the superintendents about the possibility of being identified through inference, and will also inform them that they can refuse to answer any question and keep some statements confidential.  It is important to point out, however, that the questions do not address sensitive topics.  As indicated earlier, questions will ask superintendents to provide factual information about their districts’ capacity and the approach and considerations they would need to take into account in planning to educate DDESS students.  </w:t>
      </w:r>
    </w:p>
    <w:p w:rsidR="008354D2" w:rsidRPr="00474B8D" w:rsidRDefault="008354D2" w:rsidP="008354D2">
      <w:pPr>
        <w:pStyle w:val="NormalWeb"/>
        <w:spacing w:line="288" w:lineRule="atLeast"/>
      </w:pPr>
      <w:r>
        <w:t xml:space="preserve">In addition, to increase confidentiality, LEA superintendent names will not be recorded in the same file as the interview responses (whether recorded by handwriting or direct typing on RAND computer).  LEA official names and contact information will be </w:t>
      </w:r>
      <w:r w:rsidRPr="00474B8D">
        <w:t>recorded</w:t>
      </w:r>
      <w:r>
        <w:t xml:space="preserve"> </w:t>
      </w:r>
      <w:r w:rsidRPr="00474B8D">
        <w:t xml:space="preserve">in a separate crosswalk file.  A coding system will be used that will enable the </w:t>
      </w:r>
      <w:r>
        <w:t xml:space="preserve">RAND </w:t>
      </w:r>
      <w:r w:rsidRPr="00474B8D">
        <w:t xml:space="preserve">researcher to identify </w:t>
      </w:r>
      <w:r>
        <w:t xml:space="preserve">the LEA superintendent </w:t>
      </w:r>
      <w:r w:rsidRPr="00474B8D">
        <w:t>respondents, without having their name</w:t>
      </w:r>
      <w:r>
        <w:t>s</w:t>
      </w:r>
      <w:r w:rsidRPr="00474B8D">
        <w:t xml:space="preserve"> attached to any piece of data.  This code will be used in place </w:t>
      </w:r>
      <w:r>
        <w:t xml:space="preserve">of </w:t>
      </w:r>
      <w:r w:rsidRPr="00474B8D">
        <w:t>personal identifiers on all transcripts.  The crosswalk file that links the interview notes to respondents will also have a file access password and be stored on the project leaders’ computers, separate from any interview notes</w:t>
      </w:r>
      <w:r>
        <w:t>.  Further, i</w:t>
      </w:r>
      <w:r w:rsidRPr="00474B8D">
        <w:t>nterview notes if handwritten will be hand carried by research staff between meeting locations and the RAND office and kept in locked file cabinets in project staff offices.  As soon as practical, project staff will transcribe any handwritten notes into electronic notes and destroy the handwritten notes. The electronic interview notes will be stored on the RAND project team’s computers or shared project folder that only RAND project team has access to.</w:t>
      </w:r>
    </w:p>
    <w:p w:rsidR="008354D2" w:rsidRDefault="008354D2" w:rsidP="008354D2">
      <w:pPr>
        <w:pStyle w:val="NormalWeb"/>
        <w:spacing w:line="288" w:lineRule="atLeast"/>
        <w:ind w:firstLine="900"/>
      </w:pPr>
      <w:r>
        <w:t xml:space="preserve">11.  </w:t>
      </w:r>
      <w:r>
        <w:rPr>
          <w:u w:val="single"/>
        </w:rPr>
        <w:t>Sensitive Questions</w:t>
      </w:r>
    </w:p>
    <w:p w:rsidR="008354D2" w:rsidRPr="00474B8D" w:rsidRDefault="008354D2" w:rsidP="008354D2">
      <w:pPr>
        <w:pStyle w:val="DocParagraphOutlineLevel2"/>
        <w:rPr>
          <w:b w:val="0"/>
          <w:u w:val="none"/>
        </w:rPr>
      </w:pPr>
      <w:r w:rsidRPr="00474B8D">
        <w:rPr>
          <w:b w:val="0"/>
          <w:u w:val="none"/>
        </w:rPr>
        <w:t xml:space="preserve">The study will not be asking </w:t>
      </w:r>
      <w:r>
        <w:rPr>
          <w:b w:val="0"/>
          <w:u w:val="none"/>
        </w:rPr>
        <w:t>any sensitive questions.  Attached is the protocol that includes the questions.</w:t>
      </w:r>
    </w:p>
    <w:p w:rsidR="008354D2" w:rsidRDefault="008354D2" w:rsidP="008354D2">
      <w:pPr>
        <w:pStyle w:val="NormalWeb"/>
        <w:spacing w:line="288" w:lineRule="atLeast"/>
        <w:ind w:firstLine="900"/>
      </w:pPr>
      <w:bookmarkStart w:id="11" w:name="cp456"/>
      <w:r>
        <w:t xml:space="preserve">12.  </w:t>
      </w:r>
      <w:r>
        <w:rPr>
          <w:u w:val="single"/>
        </w:rPr>
        <w:t>Respondent Burden, and its Labor Costs</w:t>
      </w:r>
    </w:p>
    <w:p w:rsidR="008354D2" w:rsidRPr="00BF692F" w:rsidRDefault="008354D2" w:rsidP="008354D2">
      <w:pPr>
        <w:pStyle w:val="NormalWeb"/>
        <w:spacing w:line="288" w:lineRule="atLeast"/>
        <w:ind w:firstLine="1350"/>
      </w:pPr>
      <w:bookmarkStart w:id="12" w:name="cp457"/>
      <w:bookmarkEnd w:id="11"/>
      <w:r w:rsidRPr="00BF692F">
        <w:t>a.</w:t>
      </w:r>
      <w:proofErr w:type="gramStart"/>
      <w:r w:rsidRPr="00BF692F">
        <w:t xml:space="preserve">  </w:t>
      </w:r>
      <w:r w:rsidRPr="00BF692F">
        <w:rPr>
          <w:u w:val="single"/>
        </w:rPr>
        <w:t>Estimation</w:t>
      </w:r>
      <w:proofErr w:type="gramEnd"/>
      <w:r w:rsidRPr="00BF692F">
        <w:rPr>
          <w:u w:val="single"/>
        </w:rPr>
        <w:t xml:space="preserve"> of Respondent Burden</w:t>
      </w:r>
    </w:p>
    <w:p w:rsidR="008354D2" w:rsidRDefault="008354D2" w:rsidP="008354D2">
      <w:pPr>
        <w:pStyle w:val="NormalWeb"/>
        <w:spacing w:line="288" w:lineRule="atLeast"/>
        <w:ind w:firstLine="1710"/>
      </w:pPr>
      <w:bookmarkStart w:id="13" w:name="cp459"/>
      <w:bookmarkEnd w:id="12"/>
      <w:proofErr w:type="gramStart"/>
      <w:r>
        <w:t>a.  Based</w:t>
      </w:r>
      <w:proofErr w:type="gramEnd"/>
      <w:r>
        <w:t xml:space="preserve"> on the length of the structured interview instrument and experience with other similar data collection efforts, we estimate that the interviews will last approximately 2 hours for each respondent for a total of 56 labor hours (28*2). </w:t>
      </w:r>
    </w:p>
    <w:p w:rsidR="008354D2" w:rsidRPr="00734481" w:rsidRDefault="008354D2" w:rsidP="008354D2">
      <w:pPr>
        <w:pStyle w:val="NormalWeb"/>
        <w:spacing w:line="288" w:lineRule="atLeast"/>
        <w:ind w:firstLine="1350"/>
      </w:pPr>
      <w:bookmarkStart w:id="14" w:name="cp460"/>
      <w:bookmarkEnd w:id="13"/>
      <w:r w:rsidRPr="00734481">
        <w:t>b.</w:t>
      </w:r>
      <w:proofErr w:type="gramStart"/>
      <w:r w:rsidRPr="00734481">
        <w:t xml:space="preserve">  </w:t>
      </w:r>
      <w:r w:rsidRPr="00734481">
        <w:rPr>
          <w:u w:val="single"/>
        </w:rPr>
        <w:t>Labor</w:t>
      </w:r>
      <w:proofErr w:type="gramEnd"/>
      <w:r w:rsidRPr="00734481">
        <w:rPr>
          <w:u w:val="single"/>
        </w:rPr>
        <w:t xml:space="preserve"> Cost of Respondent Burden</w:t>
      </w:r>
    </w:p>
    <w:p w:rsidR="008354D2" w:rsidRPr="00734481" w:rsidRDefault="008354D2" w:rsidP="008354D2">
      <w:pPr>
        <w:pStyle w:val="NormalWeb"/>
        <w:spacing w:line="288" w:lineRule="atLeast"/>
        <w:ind w:firstLine="1710"/>
      </w:pPr>
      <w:bookmarkStart w:id="15" w:name="cp461"/>
      <w:bookmarkEnd w:id="14"/>
      <w:proofErr w:type="gramStart"/>
      <w:r>
        <w:t xml:space="preserve">b.  </w:t>
      </w:r>
      <w:r w:rsidRPr="00734481">
        <w:t>Provide</w:t>
      </w:r>
      <w:proofErr w:type="gramEnd"/>
      <w:r w:rsidRPr="00734481">
        <w:t xml:space="preserve"> an estimate of annualized cost to respondents of only the burden hours imposed by the collection.  Do not include capital, start-up, contracting out, or operations and maintenance costs.  Respondent cost other </w:t>
      </w:r>
      <w:proofErr w:type="spellStart"/>
      <w:r w:rsidRPr="00734481">
        <w:t>then</w:t>
      </w:r>
      <w:proofErr w:type="spellEnd"/>
      <w:r w:rsidRPr="00734481">
        <w:t xml:space="preserve"> burden hour costs should be shown in Item 13 of the Supporting Statement.</w:t>
      </w:r>
    </w:p>
    <w:p w:rsidR="008354D2" w:rsidRDefault="008354D2" w:rsidP="008354D2">
      <w:pPr>
        <w:pStyle w:val="NormalWeb"/>
        <w:spacing w:line="288" w:lineRule="atLeast"/>
        <w:ind w:right="-90" w:firstLine="720"/>
      </w:pPr>
      <w:r w:rsidRPr="00734481">
        <w:t>We based labor costs on the superintendent’s salary survey conducted by AASA</w:t>
      </w:r>
      <w:r>
        <w:t xml:space="preserve">, the </w:t>
      </w:r>
      <w:r w:rsidRPr="00103FEE">
        <w:t>School Superintendents Association</w:t>
      </w:r>
      <w:r>
        <w:t>,</w:t>
      </w:r>
      <w:r w:rsidRPr="00734481">
        <w:t xml:space="preserve"> (available at: </w:t>
      </w:r>
      <w:hyperlink r:id="rId8" w:history="1">
        <w:r w:rsidRPr="001968AC">
          <w:rPr>
            <w:rStyle w:val="Hyperlink"/>
          </w:rPr>
          <w:t>http://www.aasa.org/content.aspx?id=3030</w:t>
        </w:r>
      </w:hyperlink>
      <w:r>
        <w:t xml:space="preserve">).  The most recent published data indicates that the national average superintendent salary was </w:t>
      </w:r>
      <w:r>
        <w:lastRenderedPageBreak/>
        <w:t>$125.096 in the 2007-2008 school year.  Allowing a 2 percent annual salary escalation through the current 2013-2014 school year, we estimate current national average at $125,096 × 1.02^6 = $140,878.  Note, the 2 percent annual escalation is compounded annually so the factor is 1.02^6=1.1261.  The 12.61 percent increase is actually not much different from 2x6=12 percent without considering compounding.)  Based on 2,080 hours in a full work year, hourly labor costs are approximately $67.73.</w:t>
      </w:r>
    </w:p>
    <w:p w:rsidR="008354D2" w:rsidRPr="00F325F0" w:rsidRDefault="008354D2" w:rsidP="008354D2">
      <w:pPr>
        <w:pStyle w:val="NormalWeb"/>
        <w:spacing w:line="288" w:lineRule="atLeast"/>
        <w:ind w:firstLine="720"/>
        <w:rPr>
          <w:highlight w:val="yellow"/>
        </w:rPr>
      </w:pPr>
      <w:r>
        <w:t>There are 28 superintendents targeted for the data collection.  At 2 hours each, this represents 56 labor hours.  At $67.73 per hour, the total respondent labor costs are approximately $3,793.</w:t>
      </w:r>
    </w:p>
    <w:p w:rsidR="008354D2" w:rsidRPr="00DE3395" w:rsidRDefault="008354D2" w:rsidP="008354D2">
      <w:pPr>
        <w:pStyle w:val="NormalWeb"/>
        <w:spacing w:line="288" w:lineRule="atLeast"/>
        <w:ind w:firstLine="900"/>
      </w:pPr>
      <w:bookmarkStart w:id="16" w:name="cp462"/>
      <w:bookmarkEnd w:id="15"/>
      <w:r w:rsidRPr="00DE3395">
        <w:t xml:space="preserve">13.  </w:t>
      </w:r>
      <w:r w:rsidRPr="00DE3395">
        <w:rPr>
          <w:u w:val="single"/>
        </w:rPr>
        <w:t xml:space="preserve">Respondent Costs Other </w:t>
      </w:r>
      <w:proofErr w:type="gramStart"/>
      <w:r w:rsidRPr="00DE3395">
        <w:rPr>
          <w:u w:val="single"/>
        </w:rPr>
        <w:t>Than</w:t>
      </w:r>
      <w:proofErr w:type="gramEnd"/>
      <w:r w:rsidRPr="00DE3395">
        <w:rPr>
          <w:u w:val="single"/>
        </w:rPr>
        <w:t xml:space="preserve"> Burden Hour Costs</w:t>
      </w:r>
    </w:p>
    <w:p w:rsidR="008354D2" w:rsidRPr="00DE3395" w:rsidRDefault="008354D2" w:rsidP="008354D2">
      <w:pPr>
        <w:pStyle w:val="NormalWeb"/>
        <w:spacing w:line="288" w:lineRule="atLeast"/>
        <w:ind w:firstLine="1350"/>
      </w:pPr>
      <w:bookmarkStart w:id="17" w:name="cp465"/>
      <w:bookmarkEnd w:id="16"/>
      <w:proofErr w:type="gramStart"/>
      <w:r>
        <w:t xml:space="preserve">a.  </w:t>
      </w:r>
      <w:r w:rsidRPr="00DE3395">
        <w:t>There</w:t>
      </w:r>
      <w:proofErr w:type="gramEnd"/>
      <w:r w:rsidRPr="00DE3395">
        <w:t xml:space="preserve"> are no capital and start-up costs for respondents.</w:t>
      </w:r>
    </w:p>
    <w:p w:rsidR="008354D2" w:rsidRPr="00DE3395" w:rsidRDefault="008354D2" w:rsidP="008354D2">
      <w:pPr>
        <w:pStyle w:val="NormalWeb"/>
        <w:spacing w:line="288" w:lineRule="atLeast"/>
        <w:ind w:firstLine="1350"/>
      </w:pPr>
      <w:r w:rsidRPr="00DE3395">
        <w:t xml:space="preserve">b. </w:t>
      </w:r>
      <w:bookmarkStart w:id="18" w:name="cp466"/>
      <w:bookmarkEnd w:id="17"/>
      <w:r w:rsidRPr="00DE3395">
        <w:t>There are no operation and maintenance costs for respondents.</w:t>
      </w:r>
    </w:p>
    <w:p w:rsidR="008354D2" w:rsidRDefault="008354D2" w:rsidP="008354D2">
      <w:pPr>
        <w:pStyle w:val="NormalWeb"/>
        <w:spacing w:line="288" w:lineRule="atLeast"/>
        <w:ind w:firstLine="900"/>
        <w:rPr>
          <w:u w:val="single"/>
        </w:rPr>
      </w:pPr>
      <w:r w:rsidRPr="00F27CD8">
        <w:t xml:space="preserve">14.  </w:t>
      </w:r>
      <w:r w:rsidRPr="00F27CD8">
        <w:rPr>
          <w:u w:val="single"/>
        </w:rPr>
        <w:t>Cost to the Federal Government</w:t>
      </w:r>
    </w:p>
    <w:p w:rsidR="008354D2" w:rsidRDefault="008354D2" w:rsidP="008354D2">
      <w:pPr>
        <w:pStyle w:val="NormalWeb"/>
        <w:spacing w:line="288" w:lineRule="atLeast"/>
        <w:ind w:firstLine="1350"/>
      </w:pPr>
      <w:bookmarkStart w:id="19" w:name="cp467"/>
      <w:r>
        <w:t xml:space="preserve">The following labor costs are incurred by the Federal Government annually to collect and process the information collected:  </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070"/>
        <w:gridCol w:w="2250"/>
        <w:gridCol w:w="2178"/>
      </w:tblGrid>
      <w:tr w:rsidR="008354D2" w:rsidTr="00DD026F">
        <w:tc>
          <w:tcPr>
            <w:tcW w:w="3078" w:type="dxa"/>
            <w:shd w:val="clear" w:color="auto" w:fill="auto"/>
          </w:tcPr>
          <w:p w:rsidR="008354D2" w:rsidRDefault="008354D2" w:rsidP="00DD026F">
            <w:pPr>
              <w:pStyle w:val="NormalWeb"/>
              <w:spacing w:line="288" w:lineRule="atLeast"/>
            </w:pPr>
            <w:r>
              <w:t>Title</w:t>
            </w:r>
          </w:p>
        </w:tc>
        <w:tc>
          <w:tcPr>
            <w:tcW w:w="2070" w:type="dxa"/>
            <w:shd w:val="clear" w:color="auto" w:fill="auto"/>
          </w:tcPr>
          <w:p w:rsidR="008354D2" w:rsidRDefault="008354D2" w:rsidP="00DD026F">
            <w:pPr>
              <w:pStyle w:val="NormalWeb"/>
              <w:spacing w:line="288" w:lineRule="atLeast"/>
              <w:jc w:val="center"/>
            </w:pPr>
            <w:r>
              <w:t>Approximate Man Hours</w:t>
            </w:r>
          </w:p>
        </w:tc>
        <w:tc>
          <w:tcPr>
            <w:tcW w:w="2250" w:type="dxa"/>
            <w:shd w:val="clear" w:color="auto" w:fill="auto"/>
          </w:tcPr>
          <w:p w:rsidR="008354D2" w:rsidRDefault="008354D2" w:rsidP="00DD026F">
            <w:pPr>
              <w:pStyle w:val="NormalWeb"/>
              <w:spacing w:line="288" w:lineRule="atLeast"/>
              <w:jc w:val="center"/>
            </w:pPr>
            <w:r>
              <w:t>Cost per hour</w:t>
            </w:r>
          </w:p>
        </w:tc>
        <w:tc>
          <w:tcPr>
            <w:tcW w:w="2178" w:type="dxa"/>
            <w:shd w:val="clear" w:color="auto" w:fill="auto"/>
          </w:tcPr>
          <w:p w:rsidR="008354D2" w:rsidRDefault="008354D2" w:rsidP="00DD026F">
            <w:pPr>
              <w:pStyle w:val="NormalWeb"/>
              <w:spacing w:line="288" w:lineRule="atLeast"/>
              <w:jc w:val="center"/>
            </w:pPr>
            <w:r>
              <w:t>Total Annual Costs</w:t>
            </w:r>
          </w:p>
        </w:tc>
      </w:tr>
      <w:tr w:rsidR="008354D2" w:rsidTr="00DD026F">
        <w:tc>
          <w:tcPr>
            <w:tcW w:w="3078" w:type="dxa"/>
            <w:shd w:val="clear" w:color="auto" w:fill="auto"/>
          </w:tcPr>
          <w:p w:rsidR="008354D2" w:rsidRDefault="008354D2" w:rsidP="00DD026F">
            <w:pPr>
              <w:pStyle w:val="NormalWeb"/>
              <w:spacing w:line="288" w:lineRule="atLeast"/>
            </w:pPr>
            <w:r>
              <w:t>GS14 (Research &amp; Evaluation, Policy Analyst, Procurement )</w:t>
            </w:r>
          </w:p>
        </w:tc>
        <w:tc>
          <w:tcPr>
            <w:tcW w:w="2070" w:type="dxa"/>
            <w:shd w:val="clear" w:color="auto" w:fill="auto"/>
          </w:tcPr>
          <w:p w:rsidR="008354D2" w:rsidRDefault="008354D2" w:rsidP="00DD026F">
            <w:pPr>
              <w:pStyle w:val="NormalWeb"/>
              <w:spacing w:line="288" w:lineRule="atLeast"/>
              <w:jc w:val="center"/>
            </w:pPr>
            <w:r>
              <w:t>85</w:t>
            </w:r>
          </w:p>
        </w:tc>
        <w:tc>
          <w:tcPr>
            <w:tcW w:w="2250" w:type="dxa"/>
            <w:shd w:val="clear" w:color="auto" w:fill="auto"/>
          </w:tcPr>
          <w:p w:rsidR="008354D2" w:rsidRDefault="008354D2" w:rsidP="00DD026F">
            <w:pPr>
              <w:pStyle w:val="NormalWeb"/>
              <w:spacing w:line="288" w:lineRule="atLeast"/>
              <w:jc w:val="center"/>
            </w:pPr>
            <w:r>
              <w:t>$66.19</w:t>
            </w:r>
          </w:p>
        </w:tc>
        <w:tc>
          <w:tcPr>
            <w:tcW w:w="2178" w:type="dxa"/>
            <w:shd w:val="clear" w:color="auto" w:fill="auto"/>
          </w:tcPr>
          <w:p w:rsidR="008354D2" w:rsidRDefault="008354D2" w:rsidP="00DD026F">
            <w:pPr>
              <w:pStyle w:val="NormalWeb"/>
              <w:spacing w:line="288" w:lineRule="atLeast"/>
              <w:jc w:val="center"/>
            </w:pPr>
            <w:r>
              <w:t>$5626.15</w:t>
            </w:r>
          </w:p>
        </w:tc>
      </w:tr>
      <w:tr w:rsidR="008354D2" w:rsidTr="00A37069">
        <w:trPr>
          <w:trHeight w:val="980"/>
        </w:trPr>
        <w:tc>
          <w:tcPr>
            <w:tcW w:w="3078" w:type="dxa"/>
            <w:shd w:val="clear" w:color="auto" w:fill="auto"/>
          </w:tcPr>
          <w:p w:rsidR="008354D2" w:rsidRDefault="008354D2" w:rsidP="00DD026F">
            <w:pPr>
              <w:pStyle w:val="NormalWeb"/>
              <w:spacing w:line="288" w:lineRule="atLeast"/>
            </w:pPr>
            <w:r>
              <w:t>GS15 Staff (Program Manager, Communications, Chief of Staff)</w:t>
            </w:r>
          </w:p>
        </w:tc>
        <w:tc>
          <w:tcPr>
            <w:tcW w:w="2070" w:type="dxa"/>
            <w:shd w:val="clear" w:color="auto" w:fill="auto"/>
          </w:tcPr>
          <w:p w:rsidR="008354D2" w:rsidRDefault="008354D2" w:rsidP="00DD026F">
            <w:pPr>
              <w:pStyle w:val="NormalWeb"/>
              <w:spacing w:line="288" w:lineRule="atLeast"/>
              <w:jc w:val="center"/>
            </w:pPr>
            <w:r>
              <w:t>125</w:t>
            </w:r>
          </w:p>
        </w:tc>
        <w:tc>
          <w:tcPr>
            <w:tcW w:w="2250" w:type="dxa"/>
            <w:shd w:val="clear" w:color="auto" w:fill="auto"/>
          </w:tcPr>
          <w:p w:rsidR="008354D2" w:rsidRDefault="008354D2" w:rsidP="00DD026F">
            <w:pPr>
              <w:pStyle w:val="NormalWeb"/>
              <w:spacing w:line="288" w:lineRule="atLeast"/>
              <w:jc w:val="center"/>
            </w:pPr>
            <w:r>
              <w:t>$75.28</w:t>
            </w:r>
          </w:p>
        </w:tc>
        <w:tc>
          <w:tcPr>
            <w:tcW w:w="2178" w:type="dxa"/>
            <w:shd w:val="clear" w:color="auto" w:fill="auto"/>
          </w:tcPr>
          <w:p w:rsidR="008354D2" w:rsidRDefault="008354D2" w:rsidP="00DD026F">
            <w:pPr>
              <w:pStyle w:val="NormalWeb"/>
              <w:spacing w:line="288" w:lineRule="atLeast"/>
              <w:jc w:val="center"/>
            </w:pPr>
            <w:r>
              <w:t>$9410.00</w:t>
            </w:r>
          </w:p>
        </w:tc>
      </w:tr>
      <w:tr w:rsidR="008354D2" w:rsidTr="00DD026F">
        <w:tc>
          <w:tcPr>
            <w:tcW w:w="3078" w:type="dxa"/>
            <w:shd w:val="clear" w:color="auto" w:fill="auto"/>
          </w:tcPr>
          <w:p w:rsidR="008354D2" w:rsidRDefault="008354D2" w:rsidP="00DD026F">
            <w:pPr>
              <w:pStyle w:val="NormalWeb"/>
              <w:spacing w:line="288" w:lineRule="atLeast"/>
            </w:pPr>
            <w:r>
              <w:t>SES (DoDEA Director and Financial Offic</w:t>
            </w:r>
            <w:bookmarkStart w:id="20" w:name="_GoBack"/>
            <w:bookmarkEnd w:id="20"/>
            <w:r>
              <w:t>er)</w:t>
            </w:r>
          </w:p>
        </w:tc>
        <w:tc>
          <w:tcPr>
            <w:tcW w:w="2070" w:type="dxa"/>
            <w:tcBorders>
              <w:bottom w:val="single" w:sz="4" w:space="0" w:color="auto"/>
            </w:tcBorders>
            <w:shd w:val="clear" w:color="auto" w:fill="auto"/>
          </w:tcPr>
          <w:p w:rsidR="008354D2" w:rsidRDefault="008354D2" w:rsidP="00DD026F">
            <w:pPr>
              <w:pStyle w:val="NormalWeb"/>
              <w:spacing w:line="288" w:lineRule="atLeast"/>
              <w:jc w:val="center"/>
            </w:pPr>
            <w:r>
              <w:t>12</w:t>
            </w:r>
          </w:p>
        </w:tc>
        <w:tc>
          <w:tcPr>
            <w:tcW w:w="2250" w:type="dxa"/>
            <w:tcBorders>
              <w:bottom w:val="single" w:sz="4" w:space="0" w:color="auto"/>
            </w:tcBorders>
            <w:shd w:val="clear" w:color="auto" w:fill="auto"/>
          </w:tcPr>
          <w:p w:rsidR="008354D2" w:rsidRDefault="008354D2" w:rsidP="00DD026F">
            <w:pPr>
              <w:pStyle w:val="NormalWeb"/>
              <w:spacing w:line="288" w:lineRule="atLeast"/>
              <w:jc w:val="center"/>
            </w:pPr>
            <w:r>
              <w:t>$85.77</w:t>
            </w:r>
          </w:p>
        </w:tc>
        <w:tc>
          <w:tcPr>
            <w:tcW w:w="2178" w:type="dxa"/>
            <w:shd w:val="clear" w:color="auto" w:fill="auto"/>
          </w:tcPr>
          <w:p w:rsidR="008354D2" w:rsidRDefault="008354D2" w:rsidP="00DD026F">
            <w:pPr>
              <w:pStyle w:val="NormalWeb"/>
              <w:spacing w:line="288" w:lineRule="atLeast"/>
              <w:jc w:val="center"/>
            </w:pPr>
            <w:r>
              <w:t>$1029.24</w:t>
            </w:r>
          </w:p>
        </w:tc>
      </w:tr>
      <w:tr w:rsidR="008354D2" w:rsidTr="00DD026F">
        <w:tc>
          <w:tcPr>
            <w:tcW w:w="3078" w:type="dxa"/>
            <w:shd w:val="clear" w:color="auto" w:fill="auto"/>
          </w:tcPr>
          <w:p w:rsidR="008354D2" w:rsidRDefault="008354D2" w:rsidP="00DD026F">
            <w:pPr>
              <w:pStyle w:val="NormalWeb"/>
              <w:spacing w:line="288" w:lineRule="atLeast"/>
            </w:pPr>
            <w:r>
              <w:t>TOTAL</w:t>
            </w:r>
          </w:p>
        </w:tc>
        <w:tc>
          <w:tcPr>
            <w:tcW w:w="2070" w:type="dxa"/>
            <w:shd w:val="clear" w:color="auto" w:fill="BFBFBF"/>
          </w:tcPr>
          <w:p w:rsidR="008354D2" w:rsidRPr="00B93B50" w:rsidRDefault="008354D2" w:rsidP="00DD026F">
            <w:pPr>
              <w:pStyle w:val="NormalWeb"/>
              <w:spacing w:line="288" w:lineRule="atLeast"/>
              <w:jc w:val="center"/>
              <w:rPr>
                <w:highlight w:val="lightGray"/>
              </w:rPr>
            </w:pPr>
          </w:p>
        </w:tc>
        <w:tc>
          <w:tcPr>
            <w:tcW w:w="2250" w:type="dxa"/>
            <w:shd w:val="clear" w:color="auto" w:fill="BFBFBF"/>
          </w:tcPr>
          <w:p w:rsidR="008354D2" w:rsidRPr="00B93B50" w:rsidRDefault="008354D2" w:rsidP="00DD026F">
            <w:pPr>
              <w:pStyle w:val="NormalWeb"/>
              <w:spacing w:line="288" w:lineRule="atLeast"/>
              <w:rPr>
                <w:highlight w:val="lightGray"/>
              </w:rPr>
            </w:pPr>
          </w:p>
        </w:tc>
        <w:tc>
          <w:tcPr>
            <w:tcW w:w="2178" w:type="dxa"/>
            <w:shd w:val="clear" w:color="auto" w:fill="auto"/>
          </w:tcPr>
          <w:p w:rsidR="008354D2" w:rsidRDefault="008354D2" w:rsidP="00DD026F">
            <w:pPr>
              <w:pStyle w:val="NormalWeb"/>
              <w:spacing w:line="288" w:lineRule="atLeast"/>
              <w:jc w:val="center"/>
            </w:pPr>
            <w:r>
              <w:t>$16,065.39</w:t>
            </w:r>
          </w:p>
        </w:tc>
      </w:tr>
    </w:tbl>
    <w:p w:rsidR="008354D2" w:rsidRPr="00F27CD8" w:rsidRDefault="008354D2" w:rsidP="008354D2">
      <w:pPr>
        <w:pStyle w:val="NormalWeb"/>
        <w:spacing w:line="288" w:lineRule="atLeast"/>
        <w:ind w:firstLine="900"/>
      </w:pPr>
      <w:bookmarkStart w:id="21" w:name="cp468"/>
      <w:bookmarkEnd w:id="18"/>
      <w:r w:rsidRPr="00F27CD8">
        <w:t xml:space="preserve">15.  </w:t>
      </w:r>
      <w:r w:rsidRPr="00F27CD8">
        <w:rPr>
          <w:u w:val="single"/>
        </w:rPr>
        <w:t>Reasons for Change in Burden</w:t>
      </w:r>
    </w:p>
    <w:p w:rsidR="008354D2" w:rsidRDefault="008354D2" w:rsidP="008354D2">
      <w:pPr>
        <w:pStyle w:val="NormalWeb"/>
        <w:spacing w:line="288" w:lineRule="atLeast"/>
        <w:ind w:firstLine="1350"/>
      </w:pPr>
      <w:bookmarkStart w:id="22" w:name="cp468a"/>
      <w:bookmarkEnd w:id="21"/>
      <w:proofErr w:type="gramStart"/>
      <w:r>
        <w:t>a.  This</w:t>
      </w:r>
      <w:proofErr w:type="gramEnd"/>
      <w:r>
        <w:t xml:space="preserve"> is a new collection.  </w:t>
      </w:r>
    </w:p>
    <w:bookmarkEnd w:id="22"/>
    <w:p w:rsidR="008354D2" w:rsidRDefault="008354D2" w:rsidP="008354D2">
      <w:pPr>
        <w:pStyle w:val="NormalWeb"/>
        <w:spacing w:line="288" w:lineRule="atLeast"/>
        <w:ind w:firstLine="900"/>
      </w:pPr>
      <w:r>
        <w:t xml:space="preserve">16.  </w:t>
      </w:r>
      <w:r>
        <w:rPr>
          <w:u w:val="single"/>
        </w:rPr>
        <w:t>Publication of Results</w:t>
      </w:r>
    </w:p>
    <w:p w:rsidR="008354D2" w:rsidRDefault="008354D2" w:rsidP="008354D2">
      <w:pPr>
        <w:pStyle w:val="NormalWeb"/>
        <w:spacing w:line="288" w:lineRule="atLeast"/>
      </w:pPr>
      <w:r>
        <w:t xml:space="preserve">Data collection is estimated to </w:t>
      </w:r>
      <w:r w:rsidR="00D849F7">
        <w:t xml:space="preserve">begin in mid-to late-summer </w:t>
      </w:r>
      <w:r>
        <w:t xml:space="preserve">2014 and </w:t>
      </w:r>
      <w:r w:rsidR="00D849F7">
        <w:t>take place for approximately 2 months.</w:t>
      </w:r>
      <w:r>
        <w:t xml:space="preserve"> The report will be completed in December of 2014. The report will be publically released in March of 2015.</w:t>
      </w:r>
    </w:p>
    <w:p w:rsidR="008354D2" w:rsidRDefault="008354D2" w:rsidP="008354D2">
      <w:pPr>
        <w:pStyle w:val="NormalWeb"/>
        <w:spacing w:line="288" w:lineRule="atLeast"/>
      </w:pPr>
    </w:p>
    <w:p w:rsidR="008354D2" w:rsidRDefault="008354D2" w:rsidP="008354D2">
      <w:pPr>
        <w:pStyle w:val="NormalWeb"/>
        <w:spacing w:line="288" w:lineRule="atLeast"/>
        <w:ind w:firstLine="900"/>
      </w:pPr>
      <w:bookmarkStart w:id="23" w:name="cp471"/>
      <w:r>
        <w:t xml:space="preserve">17.  </w:t>
      </w:r>
      <w:r>
        <w:rPr>
          <w:u w:val="single"/>
        </w:rPr>
        <w:t>Non-Display of OMB Expiration Date</w:t>
      </w:r>
    </w:p>
    <w:p w:rsidR="008354D2" w:rsidRDefault="008354D2" w:rsidP="008354D2">
      <w:pPr>
        <w:pStyle w:val="NormalWeb"/>
        <w:spacing w:line="288" w:lineRule="atLeast"/>
      </w:pPr>
      <w:bookmarkStart w:id="24" w:name="cp472"/>
      <w:bookmarkEnd w:id="23"/>
      <w:r>
        <w:t>We are not requesting non-display of OMB expiration date.</w:t>
      </w:r>
    </w:p>
    <w:p w:rsidR="008354D2" w:rsidRPr="00CF34FF" w:rsidRDefault="008354D2" w:rsidP="008354D2">
      <w:pPr>
        <w:pStyle w:val="NormalWeb"/>
        <w:spacing w:line="288" w:lineRule="atLeast"/>
        <w:ind w:firstLine="900"/>
      </w:pPr>
      <w:bookmarkStart w:id="25" w:name="cp473"/>
      <w:bookmarkEnd w:id="24"/>
      <w:r w:rsidRPr="00CF34FF">
        <w:t xml:space="preserve">18.  </w:t>
      </w:r>
      <w:r w:rsidRPr="00CF34FF">
        <w:rPr>
          <w:u w:val="single"/>
        </w:rPr>
        <w:t>Exceptions to "Certification for Paperwork Reduction Submissions"</w:t>
      </w:r>
    </w:p>
    <w:p w:rsidR="008354D2" w:rsidRDefault="008354D2" w:rsidP="008354D2">
      <w:pPr>
        <w:pStyle w:val="NormalWeb"/>
        <w:spacing w:line="288" w:lineRule="atLeast"/>
        <w:ind w:firstLine="1350"/>
      </w:pPr>
      <w:bookmarkStart w:id="26" w:name="cp474"/>
      <w:bookmarkEnd w:id="25"/>
      <w:r>
        <w:t>No exceptions.</w:t>
      </w:r>
    </w:p>
    <w:bookmarkEnd w:id="26"/>
    <w:p w:rsidR="008354D2" w:rsidRDefault="008354D2" w:rsidP="008354D2">
      <w:pPr>
        <w:pStyle w:val="NormalWeb"/>
        <w:spacing w:line="288" w:lineRule="atLeast"/>
        <w:ind w:firstLine="1350"/>
      </w:pPr>
    </w:p>
    <w:p w:rsidR="003F1964" w:rsidRDefault="00A37069"/>
    <w:sectPr w:rsidR="003F1964" w:rsidSect="00F144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7069">
      <w:r>
        <w:separator/>
      </w:r>
    </w:p>
  </w:endnote>
  <w:endnote w:type="continuationSeparator" w:id="0">
    <w:p w:rsidR="00000000" w:rsidRDefault="00A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849F7">
    <w:pPr>
      <w:pStyle w:val="Footer"/>
      <w:jc w:val="center"/>
    </w:pPr>
    <w:r>
      <w:fldChar w:fldCharType="begin"/>
    </w:r>
    <w:r>
      <w:instrText xml:space="preserve"> PAGE   \* MERGEFORMAT </w:instrText>
    </w:r>
    <w:r>
      <w:fldChar w:fldCharType="separate"/>
    </w:r>
    <w:r w:rsidR="00A37069">
      <w:rPr>
        <w:noProof/>
      </w:rPr>
      <w:t>4</w:t>
    </w:r>
    <w:r>
      <w:fldChar w:fldCharType="end"/>
    </w:r>
  </w:p>
  <w:p w:rsidR="00D74D55" w:rsidRDefault="00A37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7069">
      <w:r>
        <w:separator/>
      </w:r>
    </w:p>
  </w:footnote>
  <w:footnote w:type="continuationSeparator" w:id="0">
    <w:p w:rsidR="00000000" w:rsidRDefault="00A3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FAE" w:rsidRDefault="00A37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97680"/>
    <w:multiLevelType w:val="multilevel"/>
    <w:tmpl w:val="20A0FA0A"/>
    <w:lvl w:ilvl="0">
      <w:start w:val="1"/>
      <w:numFmt w:val="decimal"/>
      <w:pStyle w:val="DocParagraphOutlineLevel3"/>
      <w:lvlText w:val="%1."/>
      <w:lvlJc w:val="left"/>
      <w:pPr>
        <w:tabs>
          <w:tab w:val="num" w:pos="2160"/>
        </w:tabs>
        <w:ind w:left="2160" w:hanging="72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D2"/>
    <w:rsid w:val="00033D0C"/>
    <w:rsid w:val="00493DF9"/>
    <w:rsid w:val="008354D2"/>
    <w:rsid w:val="00A37069"/>
    <w:rsid w:val="00D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354D2"/>
    <w:pPr>
      <w:spacing w:before="100" w:beforeAutospacing="1" w:after="100" w:afterAutospacing="1"/>
    </w:pPr>
  </w:style>
  <w:style w:type="paragraph" w:styleId="Header">
    <w:name w:val="header"/>
    <w:basedOn w:val="Normal"/>
    <w:link w:val="HeaderChar"/>
    <w:uiPriority w:val="99"/>
    <w:unhideWhenUsed/>
    <w:rsid w:val="008354D2"/>
    <w:pPr>
      <w:tabs>
        <w:tab w:val="center" w:pos="4680"/>
        <w:tab w:val="right" w:pos="9360"/>
      </w:tabs>
    </w:pPr>
  </w:style>
  <w:style w:type="character" w:customStyle="1" w:styleId="HeaderChar">
    <w:name w:val="Header Char"/>
    <w:basedOn w:val="DefaultParagraphFont"/>
    <w:link w:val="Header"/>
    <w:uiPriority w:val="99"/>
    <w:rsid w:val="008354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4D2"/>
    <w:pPr>
      <w:tabs>
        <w:tab w:val="center" w:pos="4680"/>
        <w:tab w:val="right" w:pos="9360"/>
      </w:tabs>
    </w:pPr>
  </w:style>
  <w:style w:type="character" w:customStyle="1" w:styleId="FooterChar">
    <w:name w:val="Footer Char"/>
    <w:basedOn w:val="DefaultParagraphFont"/>
    <w:link w:val="Footer"/>
    <w:uiPriority w:val="99"/>
    <w:rsid w:val="008354D2"/>
    <w:rPr>
      <w:rFonts w:ascii="Times New Roman" w:eastAsia="Times New Roman" w:hAnsi="Times New Roman" w:cs="Times New Roman"/>
      <w:sz w:val="24"/>
      <w:szCs w:val="24"/>
    </w:rPr>
  </w:style>
  <w:style w:type="paragraph" w:styleId="ListParagraph">
    <w:name w:val="List Paragraph"/>
    <w:basedOn w:val="Normal"/>
    <w:uiPriority w:val="34"/>
    <w:qFormat/>
    <w:rsid w:val="008354D2"/>
    <w:pPr>
      <w:ind w:left="720"/>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83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54D2"/>
    <w:rPr>
      <w:rFonts w:ascii="Courier New" w:eastAsia="Times New Roman" w:hAnsi="Courier New" w:cs="Courier New"/>
      <w:sz w:val="20"/>
      <w:szCs w:val="20"/>
    </w:rPr>
  </w:style>
  <w:style w:type="paragraph" w:customStyle="1" w:styleId="DocParagraphOutlineLevel2">
    <w:name w:val="Doc_Paragraph Outline Level 2"/>
    <w:basedOn w:val="Normal"/>
    <w:next w:val="Normal"/>
    <w:rsid w:val="008354D2"/>
    <w:pPr>
      <w:spacing w:before="240" w:after="240"/>
    </w:pPr>
    <w:rPr>
      <w:b/>
      <w:u w:val="single"/>
    </w:rPr>
  </w:style>
  <w:style w:type="paragraph" w:customStyle="1" w:styleId="DocLevel2ParagraphText">
    <w:name w:val="Doc_Level 2 Paragraph Text"/>
    <w:basedOn w:val="DocParagraphOutlineLevel2"/>
    <w:next w:val="Normal"/>
    <w:rsid w:val="008354D2"/>
    <w:pPr>
      <w:ind w:left="1440"/>
    </w:pPr>
    <w:rPr>
      <w:b w:val="0"/>
      <w:u w:val="none"/>
    </w:rPr>
  </w:style>
  <w:style w:type="paragraph" w:customStyle="1" w:styleId="DocParagraphOutlineLevel3">
    <w:name w:val="Doc_Paragraph Outline Level 3"/>
    <w:basedOn w:val="Normal"/>
    <w:rsid w:val="008354D2"/>
    <w:pPr>
      <w:numPr>
        <w:numId w:val="1"/>
      </w:numPr>
      <w:spacing w:before="240" w:after="240"/>
    </w:pPr>
  </w:style>
  <w:style w:type="character" w:styleId="Hyperlink">
    <w:name w:val="Hyperlink"/>
    <w:uiPriority w:val="99"/>
    <w:unhideWhenUsed/>
    <w:rsid w:val="008354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354D2"/>
    <w:pPr>
      <w:spacing w:before="100" w:beforeAutospacing="1" w:after="100" w:afterAutospacing="1"/>
    </w:pPr>
  </w:style>
  <w:style w:type="paragraph" w:styleId="Header">
    <w:name w:val="header"/>
    <w:basedOn w:val="Normal"/>
    <w:link w:val="HeaderChar"/>
    <w:uiPriority w:val="99"/>
    <w:unhideWhenUsed/>
    <w:rsid w:val="008354D2"/>
    <w:pPr>
      <w:tabs>
        <w:tab w:val="center" w:pos="4680"/>
        <w:tab w:val="right" w:pos="9360"/>
      </w:tabs>
    </w:pPr>
  </w:style>
  <w:style w:type="character" w:customStyle="1" w:styleId="HeaderChar">
    <w:name w:val="Header Char"/>
    <w:basedOn w:val="DefaultParagraphFont"/>
    <w:link w:val="Header"/>
    <w:uiPriority w:val="99"/>
    <w:rsid w:val="008354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4D2"/>
    <w:pPr>
      <w:tabs>
        <w:tab w:val="center" w:pos="4680"/>
        <w:tab w:val="right" w:pos="9360"/>
      </w:tabs>
    </w:pPr>
  </w:style>
  <w:style w:type="character" w:customStyle="1" w:styleId="FooterChar">
    <w:name w:val="Footer Char"/>
    <w:basedOn w:val="DefaultParagraphFont"/>
    <w:link w:val="Footer"/>
    <w:uiPriority w:val="99"/>
    <w:rsid w:val="008354D2"/>
    <w:rPr>
      <w:rFonts w:ascii="Times New Roman" w:eastAsia="Times New Roman" w:hAnsi="Times New Roman" w:cs="Times New Roman"/>
      <w:sz w:val="24"/>
      <w:szCs w:val="24"/>
    </w:rPr>
  </w:style>
  <w:style w:type="paragraph" w:styleId="ListParagraph">
    <w:name w:val="List Paragraph"/>
    <w:basedOn w:val="Normal"/>
    <w:uiPriority w:val="34"/>
    <w:qFormat/>
    <w:rsid w:val="008354D2"/>
    <w:pPr>
      <w:ind w:left="720"/>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83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54D2"/>
    <w:rPr>
      <w:rFonts w:ascii="Courier New" w:eastAsia="Times New Roman" w:hAnsi="Courier New" w:cs="Courier New"/>
      <w:sz w:val="20"/>
      <w:szCs w:val="20"/>
    </w:rPr>
  </w:style>
  <w:style w:type="paragraph" w:customStyle="1" w:styleId="DocParagraphOutlineLevel2">
    <w:name w:val="Doc_Paragraph Outline Level 2"/>
    <w:basedOn w:val="Normal"/>
    <w:next w:val="Normal"/>
    <w:rsid w:val="008354D2"/>
    <w:pPr>
      <w:spacing w:before="240" w:after="240"/>
    </w:pPr>
    <w:rPr>
      <w:b/>
      <w:u w:val="single"/>
    </w:rPr>
  </w:style>
  <w:style w:type="paragraph" w:customStyle="1" w:styleId="DocLevel2ParagraphText">
    <w:name w:val="Doc_Level 2 Paragraph Text"/>
    <w:basedOn w:val="DocParagraphOutlineLevel2"/>
    <w:next w:val="Normal"/>
    <w:rsid w:val="008354D2"/>
    <w:pPr>
      <w:ind w:left="1440"/>
    </w:pPr>
    <w:rPr>
      <w:b w:val="0"/>
      <w:u w:val="none"/>
    </w:rPr>
  </w:style>
  <w:style w:type="paragraph" w:customStyle="1" w:styleId="DocParagraphOutlineLevel3">
    <w:name w:val="Doc_Paragraph Outline Level 3"/>
    <w:basedOn w:val="Normal"/>
    <w:rsid w:val="008354D2"/>
    <w:pPr>
      <w:numPr>
        <w:numId w:val="1"/>
      </w:numPr>
      <w:spacing w:before="240" w:after="240"/>
    </w:pPr>
  </w:style>
  <w:style w:type="character" w:styleId="Hyperlink">
    <w:name w:val="Hyperlink"/>
    <w:uiPriority w:val="99"/>
    <w:unhideWhenUsed/>
    <w:rsid w:val="00835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sa.org/content.aspx?id=303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3</cp:revision>
  <cp:lastPrinted>2014-07-25T21:40:00Z</cp:lastPrinted>
  <dcterms:created xsi:type="dcterms:W3CDTF">2014-07-25T21:37:00Z</dcterms:created>
  <dcterms:modified xsi:type="dcterms:W3CDTF">2014-07-25T21:58:00Z</dcterms:modified>
</cp:coreProperties>
</file>