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ADF" w:rsidRPr="009B561B" w:rsidRDefault="00495ADF" w:rsidP="00495ADF">
      <w:pPr>
        <w:pStyle w:val="Cov-Date"/>
      </w:pPr>
      <w:bookmarkStart w:id="0" w:name="_Toc67387400"/>
    </w:p>
    <w:p w:rsidR="00495ADF" w:rsidRPr="009B561B" w:rsidRDefault="00495ADF" w:rsidP="00495ADF">
      <w:pPr>
        <w:pStyle w:val="Cov-Date"/>
      </w:pPr>
    </w:p>
    <w:p w:rsidR="0066460F" w:rsidRDefault="0066460F" w:rsidP="0066460F">
      <w:pPr>
        <w:pStyle w:val="Cov-Title"/>
        <w:jc w:val="center"/>
        <w:rPr>
          <w:sz w:val="28"/>
          <w:szCs w:val="28"/>
        </w:rPr>
      </w:pPr>
    </w:p>
    <w:p w:rsidR="0066460F" w:rsidRDefault="0066460F" w:rsidP="0066460F">
      <w:pPr>
        <w:pStyle w:val="Cov-Title"/>
        <w:jc w:val="center"/>
        <w:rPr>
          <w:sz w:val="28"/>
          <w:szCs w:val="28"/>
        </w:rPr>
      </w:pPr>
    </w:p>
    <w:p w:rsidR="0066460F" w:rsidRDefault="0066460F" w:rsidP="0066460F">
      <w:pPr>
        <w:pStyle w:val="Cov-Title"/>
        <w:jc w:val="center"/>
        <w:rPr>
          <w:sz w:val="28"/>
          <w:szCs w:val="28"/>
        </w:rPr>
      </w:pPr>
    </w:p>
    <w:p w:rsidR="0066460F" w:rsidRDefault="0066460F" w:rsidP="0066460F">
      <w:pPr>
        <w:pStyle w:val="Cov-Title"/>
        <w:jc w:val="center"/>
        <w:rPr>
          <w:sz w:val="28"/>
          <w:szCs w:val="28"/>
        </w:rPr>
      </w:pPr>
    </w:p>
    <w:p w:rsidR="0066460F" w:rsidRDefault="0066460F" w:rsidP="0066460F">
      <w:pPr>
        <w:pStyle w:val="Cov-Title"/>
        <w:jc w:val="center"/>
        <w:rPr>
          <w:sz w:val="28"/>
          <w:szCs w:val="28"/>
        </w:rPr>
      </w:pPr>
    </w:p>
    <w:p w:rsidR="0066460F" w:rsidRDefault="0066460F" w:rsidP="0066460F">
      <w:pPr>
        <w:pStyle w:val="Cov-Title"/>
        <w:jc w:val="center"/>
        <w:rPr>
          <w:sz w:val="28"/>
          <w:szCs w:val="28"/>
        </w:rPr>
      </w:pPr>
    </w:p>
    <w:p w:rsidR="0066460F" w:rsidRDefault="0066460F" w:rsidP="0066460F">
      <w:pPr>
        <w:pStyle w:val="Cov-Title"/>
        <w:jc w:val="center"/>
        <w:rPr>
          <w:sz w:val="28"/>
          <w:szCs w:val="28"/>
        </w:rPr>
      </w:pPr>
    </w:p>
    <w:p w:rsidR="0066460F" w:rsidRDefault="0066460F" w:rsidP="0066460F">
      <w:pPr>
        <w:pStyle w:val="Cov-Title"/>
        <w:jc w:val="center"/>
        <w:rPr>
          <w:sz w:val="28"/>
          <w:szCs w:val="28"/>
        </w:rPr>
      </w:pPr>
    </w:p>
    <w:p w:rsidR="0066460F" w:rsidRDefault="0066460F" w:rsidP="0066460F">
      <w:pPr>
        <w:pStyle w:val="Cov-Title"/>
        <w:jc w:val="center"/>
        <w:rPr>
          <w:sz w:val="28"/>
          <w:szCs w:val="28"/>
        </w:rPr>
      </w:pPr>
    </w:p>
    <w:p w:rsidR="0066460F" w:rsidRDefault="0066460F" w:rsidP="0066460F">
      <w:pPr>
        <w:pStyle w:val="Cov-Title"/>
        <w:jc w:val="center"/>
        <w:rPr>
          <w:sz w:val="28"/>
          <w:szCs w:val="28"/>
        </w:rPr>
      </w:pPr>
    </w:p>
    <w:p w:rsidR="0066460F" w:rsidRPr="006A4A03" w:rsidRDefault="0066460F" w:rsidP="0066460F">
      <w:pPr>
        <w:pStyle w:val="Cov-Title"/>
        <w:jc w:val="center"/>
        <w:rPr>
          <w:sz w:val="36"/>
          <w:szCs w:val="36"/>
        </w:rPr>
      </w:pPr>
      <w:r w:rsidRPr="006A4A03">
        <w:rPr>
          <w:sz w:val="36"/>
          <w:szCs w:val="36"/>
        </w:rPr>
        <w:t>SF-83-1 SUPPORTING STATEMENT</w:t>
      </w:r>
    </w:p>
    <w:p w:rsidR="0066460F" w:rsidRPr="006A4A03" w:rsidRDefault="0066460F" w:rsidP="0066460F">
      <w:pPr>
        <w:pStyle w:val="Cov-Title"/>
        <w:jc w:val="center"/>
        <w:rPr>
          <w:sz w:val="36"/>
          <w:szCs w:val="36"/>
        </w:rPr>
      </w:pPr>
    </w:p>
    <w:p w:rsidR="0066460F" w:rsidRPr="006A4A03" w:rsidRDefault="0066460F" w:rsidP="0066460F">
      <w:pPr>
        <w:pStyle w:val="Cov-Title"/>
        <w:jc w:val="center"/>
        <w:rPr>
          <w:sz w:val="36"/>
          <w:szCs w:val="36"/>
        </w:rPr>
      </w:pPr>
      <w:r w:rsidRPr="006A4A03">
        <w:rPr>
          <w:sz w:val="36"/>
          <w:szCs w:val="36"/>
        </w:rPr>
        <w:t>For</w:t>
      </w:r>
    </w:p>
    <w:p w:rsidR="0066460F" w:rsidRPr="006A4A03" w:rsidRDefault="0066460F" w:rsidP="0066460F">
      <w:pPr>
        <w:pStyle w:val="Cov-Title"/>
        <w:jc w:val="center"/>
        <w:rPr>
          <w:sz w:val="36"/>
          <w:szCs w:val="36"/>
        </w:rPr>
      </w:pPr>
    </w:p>
    <w:p w:rsidR="00495ADF" w:rsidRPr="009B561B" w:rsidRDefault="0055067F" w:rsidP="0066460F">
      <w:pPr>
        <w:pStyle w:val="Cov-Title"/>
        <w:jc w:val="center"/>
      </w:pPr>
      <w:r w:rsidRPr="006A4A03">
        <w:rPr>
          <w:sz w:val="36"/>
          <w:szCs w:val="36"/>
        </w:rPr>
        <w:t>201</w:t>
      </w:r>
      <w:r w:rsidR="0074517D">
        <w:rPr>
          <w:sz w:val="36"/>
          <w:szCs w:val="36"/>
        </w:rPr>
        <w:t>4</w:t>
      </w:r>
      <w:r w:rsidRPr="006A4A03">
        <w:rPr>
          <w:sz w:val="36"/>
          <w:szCs w:val="36"/>
        </w:rPr>
        <w:t xml:space="preserve"> </w:t>
      </w:r>
      <w:r w:rsidR="009624B7">
        <w:rPr>
          <w:sz w:val="36"/>
          <w:szCs w:val="36"/>
        </w:rPr>
        <w:t xml:space="preserve">Pilot </w:t>
      </w:r>
      <w:r w:rsidR="00597785" w:rsidRPr="006A4A03">
        <w:rPr>
          <w:sz w:val="36"/>
          <w:szCs w:val="36"/>
        </w:rPr>
        <w:t>Early Career Doctorate</w:t>
      </w:r>
      <w:r w:rsidR="006066D6" w:rsidRPr="006A4A03">
        <w:rPr>
          <w:sz w:val="36"/>
          <w:szCs w:val="36"/>
        </w:rPr>
        <w:t>s</w:t>
      </w:r>
      <w:r w:rsidR="0066460F" w:rsidRPr="006A4A03">
        <w:rPr>
          <w:sz w:val="36"/>
          <w:szCs w:val="36"/>
        </w:rPr>
        <w:t xml:space="preserve"> Survey</w:t>
      </w:r>
    </w:p>
    <w:p w:rsidR="00495ADF" w:rsidRPr="009B561B" w:rsidRDefault="00495ADF" w:rsidP="00495ADF">
      <w:pPr>
        <w:pStyle w:val="Cov-Title"/>
      </w:pPr>
    </w:p>
    <w:p w:rsidR="00495ADF" w:rsidRPr="009B561B" w:rsidRDefault="00495ADF" w:rsidP="00495ADF">
      <w:pPr>
        <w:pStyle w:val="Cov-Date"/>
      </w:pPr>
    </w:p>
    <w:p w:rsidR="00495ADF" w:rsidRPr="009B561B" w:rsidRDefault="00495ADF" w:rsidP="00495ADF">
      <w:pPr>
        <w:pStyle w:val="Cov-Date"/>
      </w:pPr>
    </w:p>
    <w:p w:rsidR="00495ADF" w:rsidRPr="009B561B" w:rsidRDefault="00495ADF" w:rsidP="00495ADF">
      <w:pPr>
        <w:pStyle w:val="Cov-Date"/>
      </w:pPr>
    </w:p>
    <w:p w:rsidR="00495ADF" w:rsidRPr="009B561B" w:rsidRDefault="00495ADF" w:rsidP="00495ADF">
      <w:pPr>
        <w:pStyle w:val="Cov-Date"/>
      </w:pPr>
    </w:p>
    <w:p w:rsidR="00495ADF" w:rsidRPr="009B561B" w:rsidRDefault="00495ADF" w:rsidP="00495ADF">
      <w:pPr>
        <w:pStyle w:val="Cov-Date"/>
      </w:pPr>
    </w:p>
    <w:p w:rsidR="00495ADF" w:rsidRPr="009B561B" w:rsidRDefault="00495ADF" w:rsidP="00495ADF">
      <w:pPr>
        <w:pStyle w:val="Cov-Date"/>
      </w:pPr>
    </w:p>
    <w:p w:rsidR="00495ADF" w:rsidRPr="009B561B" w:rsidRDefault="00495ADF" w:rsidP="00495ADF">
      <w:pPr>
        <w:pStyle w:val="Cov-Date"/>
      </w:pPr>
    </w:p>
    <w:p w:rsidR="00495ADF" w:rsidRPr="009B561B" w:rsidRDefault="00495ADF" w:rsidP="00495ADF">
      <w:pPr>
        <w:pStyle w:val="Cov-Date"/>
      </w:pPr>
    </w:p>
    <w:p w:rsidR="00495ADF" w:rsidRPr="009B561B" w:rsidRDefault="00495ADF" w:rsidP="00495ADF">
      <w:pPr>
        <w:pStyle w:val="Cov-Address"/>
      </w:pPr>
    </w:p>
    <w:p w:rsidR="00495ADF" w:rsidRPr="009B561B" w:rsidRDefault="00495ADF" w:rsidP="00495ADF">
      <w:pPr>
        <w:pStyle w:val="Cov-Address"/>
      </w:pPr>
    </w:p>
    <w:p w:rsidR="00AC6ACE" w:rsidRPr="009B561B" w:rsidRDefault="00AC6ACE" w:rsidP="00423334">
      <w:pPr>
        <w:jc w:val="center"/>
        <w:rPr>
          <w:b/>
          <w:color w:val="000000"/>
        </w:rPr>
      </w:pPr>
    </w:p>
    <w:p w:rsidR="00AC6ACE" w:rsidRPr="009B561B" w:rsidRDefault="00AC6ACE" w:rsidP="00423334">
      <w:pPr>
        <w:jc w:val="center"/>
        <w:rPr>
          <w:b/>
          <w:color w:val="000000"/>
        </w:rPr>
      </w:pPr>
    </w:p>
    <w:bookmarkEnd w:id="0"/>
    <w:p w:rsidR="00A14087" w:rsidRPr="009B561B" w:rsidRDefault="00A14087" w:rsidP="00832BA3">
      <w:pPr>
        <w:rPr>
          <w:b/>
          <w:bCs/>
          <w:caps/>
          <w:color w:val="000000"/>
        </w:rPr>
        <w:sectPr w:rsidR="00A14087" w:rsidRPr="009B561B" w:rsidSect="00782650">
          <w:footerReference w:type="even" r:id="rId10"/>
          <w:pgSz w:w="12240" w:h="15840"/>
          <w:pgMar w:top="1440" w:right="1440" w:bottom="1440" w:left="1440" w:header="720" w:footer="720" w:gutter="0"/>
          <w:cols w:space="720"/>
          <w:docGrid w:linePitch="360"/>
        </w:sectPr>
      </w:pPr>
    </w:p>
    <w:p w:rsidR="00444365" w:rsidRPr="00FA03D4" w:rsidRDefault="00444365" w:rsidP="00FA03D4">
      <w:pPr>
        <w:spacing w:before="120" w:after="120"/>
        <w:rPr>
          <w:noProof/>
          <w:sz w:val="22"/>
          <w:szCs w:val="22"/>
        </w:rPr>
      </w:pPr>
      <w:bookmarkStart w:id="1" w:name="_Toc79980788"/>
    </w:p>
    <w:p w:rsidR="003F48D6" w:rsidRPr="00FA03D4" w:rsidRDefault="003F48D6" w:rsidP="003F48D6">
      <w:pPr>
        <w:tabs>
          <w:tab w:val="right" w:pos="9360"/>
        </w:tabs>
        <w:rPr>
          <w:color w:val="000000"/>
        </w:rPr>
      </w:pPr>
      <w:r w:rsidRPr="00FA03D4">
        <w:rPr>
          <w:b/>
          <w:color w:val="000000"/>
        </w:rPr>
        <w:t>Section</w:t>
      </w:r>
      <w:r w:rsidRPr="00FA03D4">
        <w:rPr>
          <w:color w:val="000000"/>
        </w:rPr>
        <w:tab/>
      </w:r>
      <w:r w:rsidRPr="00FA03D4">
        <w:rPr>
          <w:b/>
          <w:color w:val="000000"/>
        </w:rPr>
        <w:t>Page</w:t>
      </w:r>
    </w:p>
    <w:p w:rsidR="003F48D6" w:rsidRPr="00FA03D4" w:rsidRDefault="003F48D6" w:rsidP="003F48D6">
      <w:pPr>
        <w:pStyle w:val="TOC1"/>
        <w:tabs>
          <w:tab w:val="left" w:pos="1350"/>
        </w:tabs>
        <w:rPr>
          <w:rFonts w:asciiTheme="minorHAnsi" w:eastAsiaTheme="minorEastAsia" w:hAnsiTheme="minorHAnsi" w:cstheme="minorBidi"/>
        </w:rPr>
      </w:pPr>
      <w:r w:rsidRPr="00FA03D4">
        <w:rPr>
          <w:b/>
          <w:bCs/>
          <w:caps/>
          <w:color w:val="000000"/>
        </w:rPr>
        <w:fldChar w:fldCharType="begin"/>
      </w:r>
      <w:r w:rsidRPr="00FA03D4">
        <w:rPr>
          <w:b/>
          <w:bCs/>
          <w:caps/>
          <w:color w:val="000000"/>
        </w:rPr>
        <w:instrText xml:space="preserve"> TOC \o "1-3" \h \z \u </w:instrText>
      </w:r>
      <w:r w:rsidRPr="00FA03D4">
        <w:rPr>
          <w:b/>
          <w:bCs/>
          <w:caps/>
          <w:color w:val="000000"/>
        </w:rPr>
        <w:fldChar w:fldCharType="separate"/>
      </w:r>
      <w:hyperlink w:anchor="_Toc350519986" w:history="1">
        <w:r w:rsidRPr="00FA03D4">
          <w:rPr>
            <w:rStyle w:val="Hyperlink"/>
          </w:rPr>
          <w:t>A.</w:t>
        </w:r>
        <w:r w:rsidRPr="00FA03D4">
          <w:rPr>
            <w:rFonts w:asciiTheme="minorHAnsi" w:eastAsiaTheme="minorEastAsia" w:hAnsiTheme="minorHAnsi" w:cstheme="minorBidi"/>
          </w:rPr>
          <w:tab/>
        </w:r>
        <w:r w:rsidRPr="00FA03D4">
          <w:rPr>
            <w:rStyle w:val="Hyperlink"/>
          </w:rPr>
          <w:t>Justification</w:t>
        </w:r>
        <w:r w:rsidRPr="00FA03D4">
          <w:rPr>
            <w:webHidden/>
          </w:rPr>
          <w:tab/>
        </w:r>
        <w:r w:rsidRPr="00FA03D4">
          <w:rPr>
            <w:webHidden/>
          </w:rPr>
          <w:fldChar w:fldCharType="begin"/>
        </w:r>
        <w:r w:rsidRPr="00FA03D4">
          <w:rPr>
            <w:webHidden/>
          </w:rPr>
          <w:instrText xml:space="preserve"> PAGEREF _Toc350519986 \h </w:instrText>
        </w:r>
        <w:r w:rsidRPr="00FA03D4">
          <w:rPr>
            <w:webHidden/>
          </w:rPr>
        </w:r>
        <w:r w:rsidRPr="00FA03D4">
          <w:rPr>
            <w:webHidden/>
          </w:rPr>
          <w:fldChar w:fldCharType="separate"/>
        </w:r>
        <w:r w:rsidR="00B57733">
          <w:rPr>
            <w:webHidden/>
          </w:rPr>
          <w:t>1</w:t>
        </w:r>
        <w:r w:rsidRPr="00FA03D4">
          <w:rPr>
            <w:webHidden/>
          </w:rPr>
          <w:fldChar w:fldCharType="end"/>
        </w:r>
      </w:hyperlink>
    </w:p>
    <w:p w:rsidR="003F48D6" w:rsidRPr="00FA03D4" w:rsidRDefault="00000B65" w:rsidP="003F48D6">
      <w:pPr>
        <w:pStyle w:val="TOC2"/>
        <w:tabs>
          <w:tab w:val="left" w:pos="1350"/>
        </w:tabs>
        <w:rPr>
          <w:rFonts w:asciiTheme="minorHAnsi" w:eastAsiaTheme="minorEastAsia" w:hAnsiTheme="minorHAnsi" w:cstheme="minorBidi"/>
        </w:rPr>
      </w:pPr>
      <w:hyperlink w:anchor="_Toc350519987" w:history="1">
        <w:r w:rsidR="003F48D6" w:rsidRPr="00FA03D4">
          <w:rPr>
            <w:rStyle w:val="Hyperlink"/>
          </w:rPr>
          <w:t>A.1</w:t>
        </w:r>
        <w:r w:rsidR="003F48D6" w:rsidRPr="00FA03D4">
          <w:rPr>
            <w:rFonts w:asciiTheme="minorHAnsi" w:eastAsiaTheme="minorEastAsia" w:hAnsiTheme="minorHAnsi" w:cstheme="minorBidi"/>
          </w:rPr>
          <w:tab/>
        </w:r>
        <w:r w:rsidR="003F48D6" w:rsidRPr="00FA03D4">
          <w:rPr>
            <w:rStyle w:val="Hyperlink"/>
          </w:rPr>
          <w:t>Need for Data Collection and Legislative Authorization</w:t>
        </w:r>
        <w:r w:rsidR="003F48D6" w:rsidRPr="00FA03D4">
          <w:rPr>
            <w:webHidden/>
          </w:rPr>
          <w:tab/>
        </w:r>
      </w:hyperlink>
      <w:r w:rsidR="008C18A2">
        <w:t>3</w:t>
      </w:r>
    </w:p>
    <w:p w:rsidR="003F48D6" w:rsidRPr="00FA03D4" w:rsidRDefault="00000B65" w:rsidP="003F48D6">
      <w:pPr>
        <w:pStyle w:val="TOC2"/>
        <w:tabs>
          <w:tab w:val="left" w:pos="1350"/>
        </w:tabs>
        <w:rPr>
          <w:rFonts w:asciiTheme="minorHAnsi" w:eastAsiaTheme="minorEastAsia" w:hAnsiTheme="minorHAnsi" w:cstheme="minorBidi"/>
        </w:rPr>
      </w:pPr>
      <w:hyperlink w:anchor="_Toc350519988" w:history="1">
        <w:r w:rsidR="003F48D6" w:rsidRPr="00FA03D4">
          <w:rPr>
            <w:rStyle w:val="Hyperlink"/>
          </w:rPr>
          <w:t>A.2</w:t>
        </w:r>
        <w:r w:rsidR="003F48D6" w:rsidRPr="00FA03D4">
          <w:rPr>
            <w:rFonts w:asciiTheme="minorHAnsi" w:eastAsiaTheme="minorEastAsia" w:hAnsiTheme="minorHAnsi" w:cstheme="minorBidi"/>
          </w:rPr>
          <w:tab/>
        </w:r>
        <w:r w:rsidR="003F48D6" w:rsidRPr="00FA03D4">
          <w:rPr>
            <w:rStyle w:val="Hyperlink"/>
          </w:rPr>
          <w:t>How, by Whom, and for What Purpose the Information Is to Be Used</w:t>
        </w:r>
        <w:r w:rsidR="003F48D6" w:rsidRPr="00FA03D4">
          <w:rPr>
            <w:webHidden/>
          </w:rPr>
          <w:tab/>
          <w:t>3</w:t>
        </w:r>
      </w:hyperlink>
    </w:p>
    <w:p w:rsidR="003F48D6" w:rsidRPr="00FA03D4" w:rsidRDefault="00000B65" w:rsidP="003F48D6">
      <w:pPr>
        <w:pStyle w:val="TOC2"/>
        <w:tabs>
          <w:tab w:val="left" w:pos="1350"/>
        </w:tabs>
        <w:rPr>
          <w:rFonts w:asciiTheme="minorHAnsi" w:eastAsiaTheme="minorEastAsia" w:hAnsiTheme="minorHAnsi" w:cstheme="minorBidi"/>
        </w:rPr>
      </w:pPr>
      <w:hyperlink w:anchor="_Toc350519994" w:history="1">
        <w:r w:rsidR="003F48D6" w:rsidRPr="00FA03D4">
          <w:rPr>
            <w:rStyle w:val="Hyperlink"/>
          </w:rPr>
          <w:t>A.3</w:t>
        </w:r>
        <w:r w:rsidR="003F48D6" w:rsidRPr="00FA03D4">
          <w:rPr>
            <w:rFonts w:asciiTheme="minorHAnsi" w:eastAsiaTheme="minorEastAsia" w:hAnsiTheme="minorHAnsi" w:cstheme="minorBidi"/>
          </w:rPr>
          <w:tab/>
        </w:r>
        <w:r w:rsidR="003F48D6" w:rsidRPr="00FA03D4">
          <w:rPr>
            <w:rStyle w:val="Hyperlink"/>
          </w:rPr>
          <w:t>Consideration of Using Improved Technology</w:t>
        </w:r>
        <w:r w:rsidR="003F48D6" w:rsidRPr="00FA03D4">
          <w:rPr>
            <w:webHidden/>
          </w:rPr>
          <w:tab/>
        </w:r>
        <w:r w:rsidR="003F48D6">
          <w:rPr>
            <w:webHidden/>
          </w:rPr>
          <w:t>3</w:t>
        </w:r>
      </w:hyperlink>
    </w:p>
    <w:p w:rsidR="003F48D6" w:rsidRPr="00FA03D4" w:rsidRDefault="00000B65" w:rsidP="003F48D6">
      <w:pPr>
        <w:pStyle w:val="TOC2"/>
        <w:tabs>
          <w:tab w:val="left" w:pos="1350"/>
        </w:tabs>
        <w:rPr>
          <w:rFonts w:asciiTheme="minorHAnsi" w:eastAsiaTheme="minorEastAsia" w:hAnsiTheme="minorHAnsi" w:cstheme="minorBidi"/>
        </w:rPr>
      </w:pPr>
      <w:hyperlink w:anchor="_Toc350519995" w:history="1">
        <w:r w:rsidR="003F48D6" w:rsidRPr="00FA03D4">
          <w:rPr>
            <w:rStyle w:val="Hyperlink"/>
          </w:rPr>
          <w:t>A.4</w:t>
        </w:r>
        <w:r w:rsidR="003F48D6" w:rsidRPr="00FA03D4">
          <w:rPr>
            <w:rFonts w:asciiTheme="minorHAnsi" w:eastAsiaTheme="minorEastAsia" w:hAnsiTheme="minorHAnsi" w:cstheme="minorBidi"/>
          </w:rPr>
          <w:tab/>
        </w:r>
        <w:r w:rsidR="003F48D6" w:rsidRPr="00FA03D4">
          <w:rPr>
            <w:rStyle w:val="Hyperlink"/>
          </w:rPr>
          <w:t>Identification of Duplication</w:t>
        </w:r>
        <w:r w:rsidR="003F48D6" w:rsidRPr="00FA03D4">
          <w:rPr>
            <w:webHidden/>
          </w:rPr>
          <w:tab/>
        </w:r>
        <w:r w:rsidR="003F48D6">
          <w:rPr>
            <w:webHidden/>
          </w:rPr>
          <w:t>4</w:t>
        </w:r>
      </w:hyperlink>
    </w:p>
    <w:p w:rsidR="003F48D6" w:rsidRPr="00FA03D4" w:rsidRDefault="00000B65" w:rsidP="003F48D6">
      <w:pPr>
        <w:pStyle w:val="TOC2"/>
        <w:tabs>
          <w:tab w:val="left" w:pos="1350"/>
        </w:tabs>
        <w:rPr>
          <w:rFonts w:asciiTheme="minorHAnsi" w:eastAsiaTheme="minorEastAsia" w:hAnsiTheme="minorHAnsi" w:cstheme="minorBidi"/>
        </w:rPr>
      </w:pPr>
      <w:hyperlink w:anchor="_Toc350519996" w:history="1">
        <w:r w:rsidR="003F48D6" w:rsidRPr="00FA03D4">
          <w:rPr>
            <w:rStyle w:val="Hyperlink"/>
          </w:rPr>
          <w:t>A.5</w:t>
        </w:r>
        <w:r w:rsidR="003F48D6" w:rsidRPr="00FA03D4">
          <w:rPr>
            <w:rFonts w:asciiTheme="minorHAnsi" w:eastAsiaTheme="minorEastAsia" w:hAnsiTheme="minorHAnsi" w:cstheme="minorBidi"/>
          </w:rPr>
          <w:tab/>
        </w:r>
        <w:r w:rsidR="003F48D6" w:rsidRPr="00FA03D4">
          <w:rPr>
            <w:rStyle w:val="Hyperlink"/>
          </w:rPr>
          <w:t>Small Businesses Involvement</w:t>
        </w:r>
        <w:r w:rsidR="003F48D6" w:rsidRPr="00FA03D4">
          <w:rPr>
            <w:webHidden/>
          </w:rPr>
          <w:tab/>
        </w:r>
        <w:r w:rsidR="003F48D6">
          <w:rPr>
            <w:webHidden/>
          </w:rPr>
          <w:t>5</w:t>
        </w:r>
      </w:hyperlink>
    </w:p>
    <w:p w:rsidR="003F48D6" w:rsidRPr="00FA03D4" w:rsidRDefault="00000B65" w:rsidP="003F48D6">
      <w:pPr>
        <w:pStyle w:val="TOC2"/>
        <w:tabs>
          <w:tab w:val="left" w:pos="1350"/>
        </w:tabs>
        <w:rPr>
          <w:rFonts w:asciiTheme="minorHAnsi" w:eastAsiaTheme="minorEastAsia" w:hAnsiTheme="minorHAnsi" w:cstheme="minorBidi"/>
        </w:rPr>
      </w:pPr>
      <w:hyperlink w:anchor="_Toc350519997" w:history="1">
        <w:r w:rsidR="003F48D6" w:rsidRPr="00FA03D4">
          <w:rPr>
            <w:rStyle w:val="Hyperlink"/>
          </w:rPr>
          <w:t>A.6</w:t>
        </w:r>
        <w:r w:rsidR="003F48D6" w:rsidRPr="00FA03D4">
          <w:rPr>
            <w:rFonts w:asciiTheme="minorHAnsi" w:eastAsiaTheme="minorEastAsia" w:hAnsiTheme="minorHAnsi" w:cstheme="minorBidi"/>
          </w:rPr>
          <w:tab/>
        </w:r>
        <w:r w:rsidR="003F48D6" w:rsidRPr="00FA03D4">
          <w:rPr>
            <w:rStyle w:val="Hyperlink"/>
          </w:rPr>
          <w:t>Consequences of Less Frequent Surveying</w:t>
        </w:r>
        <w:r w:rsidR="003F48D6" w:rsidRPr="00FA03D4">
          <w:rPr>
            <w:webHidden/>
          </w:rPr>
          <w:tab/>
        </w:r>
        <w:r w:rsidR="003F48D6">
          <w:rPr>
            <w:webHidden/>
          </w:rPr>
          <w:t>5</w:t>
        </w:r>
      </w:hyperlink>
    </w:p>
    <w:p w:rsidR="003F48D6" w:rsidRPr="00FA03D4" w:rsidRDefault="00000B65" w:rsidP="003F48D6">
      <w:pPr>
        <w:pStyle w:val="TOC2"/>
        <w:tabs>
          <w:tab w:val="left" w:pos="1350"/>
        </w:tabs>
        <w:rPr>
          <w:rFonts w:asciiTheme="minorHAnsi" w:eastAsiaTheme="minorEastAsia" w:hAnsiTheme="minorHAnsi" w:cstheme="minorBidi"/>
        </w:rPr>
      </w:pPr>
      <w:hyperlink w:anchor="_Toc350519998" w:history="1">
        <w:r w:rsidR="003F48D6" w:rsidRPr="00FA03D4">
          <w:rPr>
            <w:rStyle w:val="Hyperlink"/>
          </w:rPr>
          <w:t>A.7</w:t>
        </w:r>
        <w:r w:rsidR="003F48D6" w:rsidRPr="00FA03D4">
          <w:rPr>
            <w:rFonts w:asciiTheme="minorHAnsi" w:eastAsiaTheme="minorEastAsia" w:hAnsiTheme="minorHAnsi" w:cstheme="minorBidi"/>
          </w:rPr>
          <w:tab/>
        </w:r>
        <w:r w:rsidR="003F48D6" w:rsidRPr="00FA03D4">
          <w:rPr>
            <w:rStyle w:val="Hyperlink"/>
          </w:rPr>
          <w:t>Special Circumstances</w:t>
        </w:r>
        <w:r w:rsidR="003F48D6" w:rsidRPr="00FA03D4">
          <w:rPr>
            <w:webHidden/>
          </w:rPr>
          <w:tab/>
        </w:r>
        <w:r w:rsidR="003F48D6">
          <w:rPr>
            <w:webHidden/>
          </w:rPr>
          <w:t>5</w:t>
        </w:r>
      </w:hyperlink>
    </w:p>
    <w:p w:rsidR="003F48D6" w:rsidRPr="00FA03D4" w:rsidRDefault="00000B65" w:rsidP="003F48D6">
      <w:pPr>
        <w:pStyle w:val="TOC2"/>
        <w:tabs>
          <w:tab w:val="left" w:pos="1350"/>
        </w:tabs>
        <w:rPr>
          <w:rFonts w:asciiTheme="minorHAnsi" w:eastAsiaTheme="minorEastAsia" w:hAnsiTheme="minorHAnsi" w:cstheme="minorBidi"/>
        </w:rPr>
      </w:pPr>
      <w:hyperlink w:anchor="_Toc350519999" w:history="1">
        <w:r w:rsidR="003F48D6" w:rsidRPr="00FA03D4">
          <w:rPr>
            <w:rStyle w:val="Hyperlink"/>
          </w:rPr>
          <w:t>A.8</w:t>
        </w:r>
        <w:r w:rsidR="003F48D6" w:rsidRPr="00FA03D4">
          <w:rPr>
            <w:rFonts w:asciiTheme="minorHAnsi" w:eastAsiaTheme="minorEastAsia" w:hAnsiTheme="minorHAnsi" w:cstheme="minorBidi"/>
          </w:rPr>
          <w:tab/>
        </w:r>
        <w:r w:rsidR="003F48D6" w:rsidRPr="00FA03D4">
          <w:rPr>
            <w:rStyle w:val="Hyperlink"/>
          </w:rPr>
          <w:t>Federal Register Notice and Consultations outside the Agency</w:t>
        </w:r>
        <w:r w:rsidR="003F48D6" w:rsidRPr="00FA03D4">
          <w:rPr>
            <w:webHidden/>
          </w:rPr>
          <w:tab/>
        </w:r>
        <w:r w:rsidR="003F48D6">
          <w:rPr>
            <w:webHidden/>
          </w:rPr>
          <w:t>5</w:t>
        </w:r>
      </w:hyperlink>
    </w:p>
    <w:p w:rsidR="003F48D6" w:rsidRPr="00FA03D4" w:rsidRDefault="00000B65" w:rsidP="003F48D6">
      <w:pPr>
        <w:pStyle w:val="TOC2"/>
        <w:tabs>
          <w:tab w:val="left" w:pos="1350"/>
        </w:tabs>
        <w:rPr>
          <w:rFonts w:asciiTheme="minorHAnsi" w:eastAsiaTheme="minorEastAsia" w:hAnsiTheme="minorHAnsi" w:cstheme="minorBidi"/>
        </w:rPr>
      </w:pPr>
      <w:hyperlink w:anchor="_Toc350520000" w:history="1">
        <w:r w:rsidR="003F48D6" w:rsidRPr="00FA03D4">
          <w:rPr>
            <w:rStyle w:val="Hyperlink"/>
          </w:rPr>
          <w:t>A.9</w:t>
        </w:r>
        <w:r w:rsidR="003F48D6" w:rsidRPr="00FA03D4">
          <w:rPr>
            <w:rFonts w:asciiTheme="minorHAnsi" w:eastAsiaTheme="minorEastAsia" w:hAnsiTheme="minorHAnsi" w:cstheme="minorBidi"/>
          </w:rPr>
          <w:tab/>
        </w:r>
        <w:r w:rsidR="003F48D6" w:rsidRPr="00FA03D4">
          <w:rPr>
            <w:rStyle w:val="Hyperlink"/>
          </w:rPr>
          <w:t xml:space="preserve">Payment or Gifts to </w:t>
        </w:r>
        <w:r w:rsidR="003F48D6">
          <w:rPr>
            <w:rStyle w:val="Hyperlink"/>
          </w:rPr>
          <w:t>R</w:t>
        </w:r>
        <w:r w:rsidR="003F48D6" w:rsidRPr="00FA03D4">
          <w:rPr>
            <w:rStyle w:val="Hyperlink"/>
          </w:rPr>
          <w:t>espondents</w:t>
        </w:r>
        <w:r w:rsidR="003F48D6" w:rsidRPr="00FA03D4">
          <w:rPr>
            <w:webHidden/>
          </w:rPr>
          <w:tab/>
        </w:r>
        <w:r w:rsidR="003F48D6">
          <w:rPr>
            <w:webHidden/>
          </w:rPr>
          <w:t>5</w:t>
        </w:r>
      </w:hyperlink>
    </w:p>
    <w:p w:rsidR="003F48D6" w:rsidRPr="00FA03D4" w:rsidRDefault="00000B65" w:rsidP="003F48D6">
      <w:pPr>
        <w:pStyle w:val="TOC2"/>
        <w:tabs>
          <w:tab w:val="left" w:pos="2160"/>
        </w:tabs>
        <w:rPr>
          <w:rFonts w:asciiTheme="minorHAnsi" w:eastAsiaTheme="minorEastAsia" w:hAnsiTheme="minorHAnsi" w:cstheme="minorBidi"/>
        </w:rPr>
      </w:pPr>
      <w:hyperlink w:anchor="_Toc350520001" w:history="1">
        <w:r w:rsidR="003F48D6" w:rsidRPr="00FA03D4">
          <w:rPr>
            <w:rStyle w:val="Hyperlink"/>
          </w:rPr>
          <w:t>A.10</w:t>
        </w:r>
        <w:r w:rsidR="003F48D6" w:rsidRPr="00FA03D4">
          <w:rPr>
            <w:rFonts w:asciiTheme="minorHAnsi" w:eastAsiaTheme="minorEastAsia" w:hAnsiTheme="minorHAnsi" w:cstheme="minorBidi"/>
          </w:rPr>
          <w:tab/>
        </w:r>
        <w:r w:rsidR="003F48D6" w:rsidRPr="00FA03D4">
          <w:rPr>
            <w:rStyle w:val="Hyperlink"/>
          </w:rPr>
          <w:t>Assurance of Confidentiality</w:t>
        </w:r>
        <w:r w:rsidR="003F48D6" w:rsidRPr="00FA03D4">
          <w:rPr>
            <w:webHidden/>
          </w:rPr>
          <w:tab/>
        </w:r>
        <w:r w:rsidR="003F48D6">
          <w:rPr>
            <w:webHidden/>
          </w:rPr>
          <w:t>6</w:t>
        </w:r>
      </w:hyperlink>
    </w:p>
    <w:p w:rsidR="003F48D6" w:rsidRPr="00FA03D4" w:rsidRDefault="00000B65" w:rsidP="003F48D6">
      <w:pPr>
        <w:pStyle w:val="TOC2"/>
        <w:tabs>
          <w:tab w:val="left" w:pos="2160"/>
        </w:tabs>
        <w:rPr>
          <w:rFonts w:asciiTheme="minorHAnsi" w:eastAsiaTheme="minorEastAsia" w:hAnsiTheme="minorHAnsi" w:cstheme="minorBidi"/>
        </w:rPr>
      </w:pPr>
      <w:hyperlink w:anchor="_Toc350520002" w:history="1">
        <w:r w:rsidR="003F48D6" w:rsidRPr="00FA03D4">
          <w:rPr>
            <w:rStyle w:val="Hyperlink"/>
          </w:rPr>
          <w:t>A.11</w:t>
        </w:r>
        <w:r w:rsidR="003F48D6" w:rsidRPr="00FA03D4">
          <w:rPr>
            <w:rFonts w:asciiTheme="minorHAnsi" w:eastAsiaTheme="minorEastAsia" w:hAnsiTheme="minorHAnsi" w:cstheme="minorBidi"/>
          </w:rPr>
          <w:tab/>
        </w:r>
        <w:r w:rsidR="003F48D6" w:rsidRPr="00FA03D4">
          <w:rPr>
            <w:rStyle w:val="Hyperlink"/>
          </w:rPr>
          <w:t>Sensitive Questions</w:t>
        </w:r>
        <w:r w:rsidR="003F48D6" w:rsidRPr="00FA03D4">
          <w:rPr>
            <w:webHidden/>
          </w:rPr>
          <w:tab/>
          <w:t>7</w:t>
        </w:r>
      </w:hyperlink>
    </w:p>
    <w:p w:rsidR="003F48D6" w:rsidRPr="00FA03D4" w:rsidRDefault="00000B65" w:rsidP="003F48D6">
      <w:pPr>
        <w:pStyle w:val="TOC2"/>
        <w:tabs>
          <w:tab w:val="left" w:pos="2160"/>
        </w:tabs>
        <w:rPr>
          <w:rFonts w:asciiTheme="minorHAnsi" w:eastAsiaTheme="minorEastAsia" w:hAnsiTheme="minorHAnsi" w:cstheme="minorBidi"/>
        </w:rPr>
      </w:pPr>
      <w:hyperlink w:anchor="_Toc350520003" w:history="1">
        <w:r w:rsidR="003F48D6" w:rsidRPr="00FA03D4">
          <w:rPr>
            <w:rStyle w:val="Hyperlink"/>
          </w:rPr>
          <w:t>A.12</w:t>
        </w:r>
        <w:r w:rsidR="003F48D6" w:rsidRPr="00FA03D4">
          <w:rPr>
            <w:rFonts w:asciiTheme="minorHAnsi" w:eastAsiaTheme="minorEastAsia" w:hAnsiTheme="minorHAnsi" w:cstheme="minorBidi"/>
          </w:rPr>
          <w:tab/>
        </w:r>
        <w:r w:rsidR="003F48D6" w:rsidRPr="00FA03D4">
          <w:rPr>
            <w:rStyle w:val="Hyperlink"/>
          </w:rPr>
          <w:t>Estimated Response Burden</w:t>
        </w:r>
        <w:r w:rsidR="003F48D6" w:rsidRPr="00FA03D4">
          <w:rPr>
            <w:webHidden/>
          </w:rPr>
          <w:tab/>
          <w:t>7</w:t>
        </w:r>
      </w:hyperlink>
    </w:p>
    <w:p w:rsidR="003F48D6" w:rsidRPr="00FA03D4" w:rsidRDefault="00000B65" w:rsidP="003F48D6">
      <w:pPr>
        <w:pStyle w:val="TOC2"/>
        <w:tabs>
          <w:tab w:val="left" w:pos="2160"/>
        </w:tabs>
        <w:rPr>
          <w:rFonts w:asciiTheme="minorHAnsi" w:eastAsiaTheme="minorEastAsia" w:hAnsiTheme="minorHAnsi" w:cstheme="minorBidi"/>
        </w:rPr>
      </w:pPr>
      <w:hyperlink w:anchor="_Toc350520004" w:history="1">
        <w:r w:rsidR="003F48D6" w:rsidRPr="00FA03D4">
          <w:rPr>
            <w:rStyle w:val="Hyperlink"/>
          </w:rPr>
          <w:t>A.13</w:t>
        </w:r>
        <w:r w:rsidR="003F48D6" w:rsidRPr="00FA03D4">
          <w:rPr>
            <w:rFonts w:asciiTheme="minorHAnsi" w:eastAsiaTheme="minorEastAsia" w:hAnsiTheme="minorHAnsi" w:cstheme="minorBidi"/>
          </w:rPr>
          <w:tab/>
        </w:r>
        <w:r w:rsidR="003F48D6" w:rsidRPr="00FA03D4">
          <w:rPr>
            <w:rStyle w:val="Hyperlink"/>
          </w:rPr>
          <w:t xml:space="preserve">Cost </w:t>
        </w:r>
        <w:r w:rsidR="003F48D6">
          <w:rPr>
            <w:rStyle w:val="Hyperlink"/>
          </w:rPr>
          <w:t>to</w:t>
        </w:r>
        <w:r w:rsidR="003F48D6" w:rsidRPr="00FA03D4">
          <w:rPr>
            <w:rStyle w:val="Hyperlink"/>
          </w:rPr>
          <w:t xml:space="preserve"> Respondents</w:t>
        </w:r>
        <w:r w:rsidR="003F48D6" w:rsidRPr="00FA03D4">
          <w:rPr>
            <w:webHidden/>
          </w:rPr>
          <w:tab/>
        </w:r>
        <w:r w:rsidR="003F48D6">
          <w:rPr>
            <w:webHidden/>
          </w:rPr>
          <w:t>8</w:t>
        </w:r>
      </w:hyperlink>
    </w:p>
    <w:p w:rsidR="003F48D6" w:rsidRPr="00FA03D4" w:rsidRDefault="00000B65" w:rsidP="003F48D6">
      <w:pPr>
        <w:pStyle w:val="TOC2"/>
        <w:tabs>
          <w:tab w:val="left" w:pos="2160"/>
        </w:tabs>
        <w:rPr>
          <w:rFonts w:asciiTheme="minorHAnsi" w:eastAsiaTheme="minorEastAsia" w:hAnsiTheme="minorHAnsi" w:cstheme="minorBidi"/>
        </w:rPr>
      </w:pPr>
      <w:hyperlink w:anchor="_Toc350520005" w:history="1">
        <w:r w:rsidR="003F48D6" w:rsidRPr="00FA03D4">
          <w:rPr>
            <w:rStyle w:val="Hyperlink"/>
          </w:rPr>
          <w:t>A.14</w:t>
        </w:r>
        <w:r w:rsidR="003F48D6" w:rsidRPr="00FA03D4">
          <w:rPr>
            <w:rFonts w:asciiTheme="minorHAnsi" w:eastAsiaTheme="minorEastAsia" w:hAnsiTheme="minorHAnsi" w:cstheme="minorBidi"/>
          </w:rPr>
          <w:tab/>
        </w:r>
        <w:r w:rsidR="003F48D6" w:rsidRPr="00FA03D4">
          <w:rPr>
            <w:rStyle w:val="Hyperlink"/>
          </w:rPr>
          <w:t>Cost to the Federal Government</w:t>
        </w:r>
        <w:r w:rsidR="003F48D6" w:rsidRPr="00FA03D4">
          <w:rPr>
            <w:webHidden/>
          </w:rPr>
          <w:tab/>
        </w:r>
        <w:r w:rsidR="003F48D6">
          <w:rPr>
            <w:webHidden/>
          </w:rPr>
          <w:t>8</w:t>
        </w:r>
      </w:hyperlink>
    </w:p>
    <w:p w:rsidR="003F48D6" w:rsidRPr="00FA03D4" w:rsidRDefault="00000B65" w:rsidP="003F48D6">
      <w:pPr>
        <w:pStyle w:val="TOC2"/>
        <w:tabs>
          <w:tab w:val="left" w:pos="2160"/>
        </w:tabs>
        <w:rPr>
          <w:rFonts w:asciiTheme="minorHAnsi" w:eastAsiaTheme="minorEastAsia" w:hAnsiTheme="minorHAnsi" w:cstheme="minorBidi"/>
        </w:rPr>
      </w:pPr>
      <w:hyperlink w:anchor="_Toc350520006" w:history="1">
        <w:r w:rsidR="003F48D6" w:rsidRPr="00FA03D4">
          <w:rPr>
            <w:rStyle w:val="Hyperlink"/>
          </w:rPr>
          <w:t>A.15</w:t>
        </w:r>
        <w:r w:rsidR="003F48D6" w:rsidRPr="00FA03D4">
          <w:rPr>
            <w:rFonts w:asciiTheme="minorHAnsi" w:eastAsiaTheme="minorEastAsia" w:hAnsiTheme="minorHAnsi" w:cstheme="minorBidi"/>
          </w:rPr>
          <w:tab/>
        </w:r>
        <w:r w:rsidR="003F48D6" w:rsidRPr="00FA03D4">
          <w:rPr>
            <w:rStyle w:val="Hyperlink"/>
          </w:rPr>
          <w:t>Changes in Burden</w:t>
        </w:r>
        <w:r w:rsidR="003F48D6" w:rsidRPr="00FA03D4">
          <w:rPr>
            <w:webHidden/>
          </w:rPr>
          <w:tab/>
        </w:r>
        <w:r w:rsidR="003F48D6">
          <w:rPr>
            <w:webHidden/>
          </w:rPr>
          <w:t>8</w:t>
        </w:r>
      </w:hyperlink>
    </w:p>
    <w:p w:rsidR="003F48D6" w:rsidRPr="00FA03D4" w:rsidRDefault="00000B65" w:rsidP="003F48D6">
      <w:pPr>
        <w:pStyle w:val="TOC2"/>
        <w:tabs>
          <w:tab w:val="left" w:pos="2160"/>
        </w:tabs>
        <w:rPr>
          <w:rFonts w:asciiTheme="minorHAnsi" w:eastAsiaTheme="minorEastAsia" w:hAnsiTheme="minorHAnsi" w:cstheme="minorBidi"/>
        </w:rPr>
      </w:pPr>
      <w:hyperlink w:anchor="_Toc350520007" w:history="1">
        <w:r w:rsidR="003F48D6" w:rsidRPr="00FA03D4">
          <w:rPr>
            <w:rStyle w:val="Hyperlink"/>
          </w:rPr>
          <w:t>A.16</w:t>
        </w:r>
        <w:r w:rsidR="003F48D6" w:rsidRPr="00FA03D4">
          <w:rPr>
            <w:rFonts w:asciiTheme="minorHAnsi" w:eastAsiaTheme="minorEastAsia" w:hAnsiTheme="minorHAnsi" w:cstheme="minorBidi"/>
          </w:rPr>
          <w:tab/>
        </w:r>
        <w:r w:rsidR="003F48D6" w:rsidRPr="00FA03D4">
          <w:rPr>
            <w:rStyle w:val="Hyperlink"/>
          </w:rPr>
          <w:t>Project Schedule for Information Collection and Publication</w:t>
        </w:r>
        <w:r w:rsidR="003F48D6" w:rsidRPr="00FA03D4">
          <w:rPr>
            <w:webHidden/>
          </w:rPr>
          <w:tab/>
        </w:r>
        <w:r w:rsidR="003F48D6">
          <w:rPr>
            <w:webHidden/>
          </w:rPr>
          <w:t>8</w:t>
        </w:r>
      </w:hyperlink>
    </w:p>
    <w:p w:rsidR="003F48D6" w:rsidRPr="00FA03D4" w:rsidRDefault="00000B65" w:rsidP="003F48D6">
      <w:pPr>
        <w:pStyle w:val="TOC2"/>
        <w:tabs>
          <w:tab w:val="left" w:pos="2160"/>
        </w:tabs>
        <w:rPr>
          <w:rFonts w:asciiTheme="minorHAnsi" w:eastAsiaTheme="minorEastAsia" w:hAnsiTheme="minorHAnsi" w:cstheme="minorBidi"/>
        </w:rPr>
      </w:pPr>
      <w:hyperlink w:anchor="_Toc350520008" w:history="1">
        <w:r w:rsidR="003F48D6" w:rsidRPr="00FA03D4">
          <w:rPr>
            <w:rStyle w:val="Hyperlink"/>
          </w:rPr>
          <w:t>A.17</w:t>
        </w:r>
        <w:r w:rsidR="003F48D6" w:rsidRPr="00FA03D4">
          <w:rPr>
            <w:rFonts w:asciiTheme="minorHAnsi" w:eastAsiaTheme="minorEastAsia" w:hAnsiTheme="minorHAnsi" w:cstheme="minorBidi"/>
          </w:rPr>
          <w:tab/>
        </w:r>
        <w:r w:rsidR="003F48D6" w:rsidRPr="00FA03D4">
          <w:rPr>
            <w:rStyle w:val="Hyperlink"/>
          </w:rPr>
          <w:t>Displaying the OMB Expiration Date</w:t>
        </w:r>
        <w:r w:rsidR="003F48D6" w:rsidRPr="00FA03D4">
          <w:rPr>
            <w:webHidden/>
          </w:rPr>
          <w:tab/>
        </w:r>
        <w:r w:rsidR="003F48D6">
          <w:rPr>
            <w:webHidden/>
          </w:rPr>
          <w:t>9</w:t>
        </w:r>
      </w:hyperlink>
    </w:p>
    <w:p w:rsidR="003F48D6" w:rsidRPr="00FA03D4" w:rsidRDefault="00000B65" w:rsidP="003F48D6">
      <w:pPr>
        <w:pStyle w:val="TOC2"/>
        <w:tabs>
          <w:tab w:val="left" w:pos="2160"/>
        </w:tabs>
        <w:rPr>
          <w:rFonts w:asciiTheme="minorHAnsi" w:eastAsiaTheme="minorEastAsia" w:hAnsiTheme="minorHAnsi" w:cstheme="minorBidi"/>
        </w:rPr>
      </w:pPr>
      <w:hyperlink w:anchor="_Toc350520009" w:history="1">
        <w:r w:rsidR="003F48D6" w:rsidRPr="00FA03D4">
          <w:rPr>
            <w:rStyle w:val="Hyperlink"/>
          </w:rPr>
          <w:t>A.18</w:t>
        </w:r>
        <w:r w:rsidR="003F48D6" w:rsidRPr="00FA03D4">
          <w:rPr>
            <w:rFonts w:asciiTheme="minorHAnsi" w:eastAsiaTheme="minorEastAsia" w:hAnsiTheme="minorHAnsi" w:cstheme="minorBidi"/>
          </w:rPr>
          <w:tab/>
        </w:r>
        <w:r w:rsidR="003F48D6" w:rsidRPr="00FA03D4">
          <w:rPr>
            <w:rStyle w:val="Hyperlink"/>
          </w:rPr>
          <w:t>Exceptions in Item 19 on Form 83-1</w:t>
        </w:r>
        <w:r w:rsidR="003F48D6" w:rsidRPr="00FA03D4">
          <w:rPr>
            <w:webHidden/>
          </w:rPr>
          <w:tab/>
        </w:r>
        <w:r w:rsidR="003F48D6">
          <w:rPr>
            <w:webHidden/>
          </w:rPr>
          <w:t>9</w:t>
        </w:r>
      </w:hyperlink>
    </w:p>
    <w:p w:rsidR="003F48D6" w:rsidRPr="00FA03D4" w:rsidRDefault="00000B65" w:rsidP="003F48D6">
      <w:pPr>
        <w:pStyle w:val="TOC1"/>
        <w:tabs>
          <w:tab w:val="left" w:pos="1350"/>
        </w:tabs>
        <w:rPr>
          <w:rFonts w:asciiTheme="minorHAnsi" w:eastAsiaTheme="minorEastAsia" w:hAnsiTheme="minorHAnsi" w:cstheme="minorBidi"/>
        </w:rPr>
      </w:pPr>
      <w:hyperlink w:anchor="_Toc350520010" w:history="1">
        <w:r w:rsidR="003F48D6" w:rsidRPr="00FA03D4">
          <w:rPr>
            <w:rStyle w:val="Hyperlink"/>
          </w:rPr>
          <w:t>B.</w:t>
        </w:r>
        <w:r w:rsidR="003F48D6" w:rsidRPr="00FA03D4">
          <w:rPr>
            <w:rFonts w:asciiTheme="minorHAnsi" w:eastAsiaTheme="minorEastAsia" w:hAnsiTheme="minorHAnsi" w:cstheme="minorBidi"/>
          </w:rPr>
          <w:tab/>
        </w:r>
        <w:r w:rsidR="003F48D6" w:rsidRPr="00FA03D4">
          <w:rPr>
            <w:rStyle w:val="Hyperlink"/>
          </w:rPr>
          <w:t>Collection of Information Employing Statistical Methods</w:t>
        </w:r>
        <w:r w:rsidR="003F48D6" w:rsidRPr="00FA03D4">
          <w:rPr>
            <w:webHidden/>
          </w:rPr>
          <w:tab/>
        </w:r>
        <w:r w:rsidR="00CF043E">
          <w:rPr>
            <w:webHidden/>
          </w:rPr>
          <w:t>10</w:t>
        </w:r>
      </w:hyperlink>
    </w:p>
    <w:p w:rsidR="003F48D6" w:rsidRPr="00FA03D4" w:rsidRDefault="00000B65" w:rsidP="003F48D6">
      <w:pPr>
        <w:pStyle w:val="TOC2"/>
        <w:tabs>
          <w:tab w:val="left" w:pos="1350"/>
        </w:tabs>
        <w:rPr>
          <w:rFonts w:asciiTheme="minorHAnsi" w:eastAsiaTheme="minorEastAsia" w:hAnsiTheme="minorHAnsi" w:cstheme="minorBidi"/>
        </w:rPr>
      </w:pPr>
      <w:hyperlink w:anchor="_Toc350520011" w:history="1">
        <w:r w:rsidR="003F48D6" w:rsidRPr="00FA03D4">
          <w:rPr>
            <w:rStyle w:val="Hyperlink"/>
          </w:rPr>
          <w:t>B.1</w:t>
        </w:r>
        <w:r w:rsidR="003F48D6" w:rsidRPr="00FA03D4">
          <w:rPr>
            <w:rFonts w:asciiTheme="minorHAnsi" w:eastAsiaTheme="minorEastAsia" w:hAnsiTheme="minorHAnsi" w:cstheme="minorBidi"/>
          </w:rPr>
          <w:tab/>
        </w:r>
        <w:r w:rsidR="003F48D6" w:rsidRPr="00FA03D4">
          <w:rPr>
            <w:rStyle w:val="Hyperlink"/>
          </w:rPr>
          <w:t>Universe and Sampling Procedure</w:t>
        </w:r>
        <w:r w:rsidR="003F48D6" w:rsidRPr="00FA03D4">
          <w:rPr>
            <w:webHidden/>
          </w:rPr>
          <w:tab/>
        </w:r>
        <w:r w:rsidR="00CF043E">
          <w:rPr>
            <w:webHidden/>
          </w:rPr>
          <w:t>10</w:t>
        </w:r>
      </w:hyperlink>
    </w:p>
    <w:p w:rsidR="003F48D6" w:rsidRPr="00FA03D4" w:rsidRDefault="00000B65" w:rsidP="003F48D6">
      <w:pPr>
        <w:pStyle w:val="TOC2"/>
        <w:tabs>
          <w:tab w:val="left" w:pos="1350"/>
        </w:tabs>
        <w:rPr>
          <w:rFonts w:asciiTheme="minorHAnsi" w:eastAsiaTheme="minorEastAsia" w:hAnsiTheme="minorHAnsi" w:cstheme="minorBidi"/>
        </w:rPr>
      </w:pPr>
      <w:hyperlink w:anchor="_Toc350520012" w:history="1">
        <w:r w:rsidR="003F48D6" w:rsidRPr="00FA03D4">
          <w:rPr>
            <w:rStyle w:val="Hyperlink"/>
          </w:rPr>
          <w:t>B.2</w:t>
        </w:r>
        <w:r w:rsidR="003F48D6" w:rsidRPr="00FA03D4">
          <w:rPr>
            <w:rFonts w:asciiTheme="minorHAnsi" w:eastAsiaTheme="minorEastAsia" w:hAnsiTheme="minorHAnsi" w:cstheme="minorBidi"/>
          </w:rPr>
          <w:tab/>
        </w:r>
        <w:r w:rsidR="003F48D6" w:rsidRPr="00FA03D4">
          <w:rPr>
            <w:rStyle w:val="Hyperlink"/>
          </w:rPr>
          <w:t>Description of Survey Methodology and Statistical Procedures</w:t>
        </w:r>
        <w:r w:rsidR="003F48D6" w:rsidRPr="00FA03D4">
          <w:rPr>
            <w:webHidden/>
          </w:rPr>
          <w:tab/>
        </w:r>
        <w:r w:rsidR="003F48D6" w:rsidRPr="00FA03D4">
          <w:rPr>
            <w:webHidden/>
          </w:rPr>
          <w:fldChar w:fldCharType="begin"/>
        </w:r>
        <w:r w:rsidR="003F48D6" w:rsidRPr="00FA03D4">
          <w:rPr>
            <w:webHidden/>
          </w:rPr>
          <w:instrText xml:space="preserve"> PAGEREF _Toc350520012 \h </w:instrText>
        </w:r>
        <w:r w:rsidR="003F48D6" w:rsidRPr="00FA03D4">
          <w:rPr>
            <w:webHidden/>
          </w:rPr>
        </w:r>
        <w:r w:rsidR="003F48D6" w:rsidRPr="00FA03D4">
          <w:rPr>
            <w:webHidden/>
          </w:rPr>
          <w:fldChar w:fldCharType="separate"/>
        </w:r>
        <w:r w:rsidR="00B57733">
          <w:rPr>
            <w:webHidden/>
          </w:rPr>
          <w:t>13</w:t>
        </w:r>
        <w:r w:rsidR="003F48D6" w:rsidRPr="00FA03D4">
          <w:rPr>
            <w:webHidden/>
          </w:rPr>
          <w:fldChar w:fldCharType="end"/>
        </w:r>
      </w:hyperlink>
    </w:p>
    <w:p w:rsidR="003F48D6" w:rsidRPr="00FA03D4" w:rsidRDefault="00000B65" w:rsidP="003F48D6">
      <w:pPr>
        <w:pStyle w:val="TOC3"/>
        <w:tabs>
          <w:tab w:val="left" w:pos="3240"/>
        </w:tabs>
        <w:rPr>
          <w:rFonts w:asciiTheme="minorHAnsi" w:eastAsiaTheme="minorEastAsia" w:hAnsiTheme="minorHAnsi" w:cstheme="minorBidi"/>
          <w:szCs w:val="24"/>
        </w:rPr>
      </w:pPr>
      <w:hyperlink w:anchor="_Toc350520013" w:history="1">
        <w:r w:rsidR="003F48D6" w:rsidRPr="00FA03D4">
          <w:rPr>
            <w:rStyle w:val="Hyperlink"/>
            <w:szCs w:val="24"/>
          </w:rPr>
          <w:t>B.2.1</w:t>
        </w:r>
        <w:r w:rsidR="003F48D6" w:rsidRPr="00FA03D4">
          <w:rPr>
            <w:rFonts w:asciiTheme="minorHAnsi" w:eastAsiaTheme="minorEastAsia" w:hAnsiTheme="minorHAnsi" w:cstheme="minorBidi"/>
            <w:szCs w:val="24"/>
          </w:rPr>
          <w:tab/>
        </w:r>
        <w:r w:rsidR="003F48D6" w:rsidRPr="00FA03D4">
          <w:rPr>
            <w:rStyle w:val="Hyperlink"/>
            <w:szCs w:val="24"/>
          </w:rPr>
          <w:t xml:space="preserve">Imputation for Item Nonresponse in the </w:t>
        </w:r>
        <w:r w:rsidR="003F48D6">
          <w:rPr>
            <w:rStyle w:val="Hyperlink"/>
            <w:szCs w:val="24"/>
          </w:rPr>
          <w:t xml:space="preserve">Pilot </w:t>
        </w:r>
        <w:r w:rsidR="003F48D6" w:rsidRPr="00FA03D4">
          <w:rPr>
            <w:rStyle w:val="Hyperlink"/>
            <w:szCs w:val="24"/>
          </w:rPr>
          <w:t>ECD Survey</w:t>
        </w:r>
        <w:r w:rsidR="003F48D6" w:rsidRPr="00FA03D4">
          <w:rPr>
            <w:webHidden/>
            <w:szCs w:val="24"/>
          </w:rPr>
          <w:tab/>
        </w:r>
        <w:r w:rsidR="003F48D6" w:rsidRPr="00FA03D4">
          <w:rPr>
            <w:webHidden/>
            <w:szCs w:val="24"/>
          </w:rPr>
          <w:fldChar w:fldCharType="begin"/>
        </w:r>
        <w:r w:rsidR="003F48D6" w:rsidRPr="00FA03D4">
          <w:rPr>
            <w:webHidden/>
            <w:szCs w:val="24"/>
          </w:rPr>
          <w:instrText xml:space="preserve"> PAGEREF _Toc350520013 \h </w:instrText>
        </w:r>
        <w:r w:rsidR="003F48D6" w:rsidRPr="00FA03D4">
          <w:rPr>
            <w:webHidden/>
            <w:szCs w:val="24"/>
          </w:rPr>
        </w:r>
        <w:r w:rsidR="003F48D6" w:rsidRPr="00FA03D4">
          <w:rPr>
            <w:webHidden/>
            <w:szCs w:val="24"/>
          </w:rPr>
          <w:fldChar w:fldCharType="separate"/>
        </w:r>
        <w:r w:rsidR="00B57733">
          <w:rPr>
            <w:webHidden/>
            <w:szCs w:val="24"/>
          </w:rPr>
          <w:t>14</w:t>
        </w:r>
        <w:r w:rsidR="003F48D6" w:rsidRPr="00FA03D4">
          <w:rPr>
            <w:webHidden/>
            <w:szCs w:val="24"/>
          </w:rPr>
          <w:fldChar w:fldCharType="end"/>
        </w:r>
      </w:hyperlink>
    </w:p>
    <w:p w:rsidR="003F48D6" w:rsidRPr="00FA03D4" w:rsidRDefault="00000B65" w:rsidP="003F48D6">
      <w:pPr>
        <w:pStyle w:val="TOC2"/>
        <w:tabs>
          <w:tab w:val="left" w:pos="1350"/>
        </w:tabs>
        <w:rPr>
          <w:rFonts w:asciiTheme="minorHAnsi" w:eastAsiaTheme="minorEastAsia" w:hAnsiTheme="minorHAnsi" w:cstheme="minorBidi"/>
        </w:rPr>
      </w:pPr>
      <w:hyperlink w:anchor="_Toc350520014" w:history="1">
        <w:r w:rsidR="003F48D6" w:rsidRPr="00FA03D4">
          <w:rPr>
            <w:rStyle w:val="Hyperlink"/>
          </w:rPr>
          <w:t>B.3</w:t>
        </w:r>
        <w:r w:rsidR="003F48D6" w:rsidRPr="00FA03D4">
          <w:rPr>
            <w:rFonts w:asciiTheme="minorHAnsi" w:eastAsiaTheme="minorEastAsia" w:hAnsiTheme="minorHAnsi" w:cstheme="minorBidi"/>
          </w:rPr>
          <w:tab/>
        </w:r>
        <w:r w:rsidR="003F48D6" w:rsidRPr="00FA03D4">
          <w:rPr>
            <w:rStyle w:val="Hyperlink"/>
          </w:rPr>
          <w:t>Methods Used To Maximize Response Rate</w:t>
        </w:r>
        <w:r w:rsidR="003F48D6" w:rsidRPr="00FA03D4">
          <w:rPr>
            <w:webHidden/>
          </w:rPr>
          <w:tab/>
          <w:t>1</w:t>
        </w:r>
        <w:r w:rsidR="008C18A2">
          <w:rPr>
            <w:webHidden/>
          </w:rPr>
          <w:t>5</w:t>
        </w:r>
      </w:hyperlink>
    </w:p>
    <w:p w:rsidR="003F48D6" w:rsidRPr="00FA03D4" w:rsidRDefault="00000B65" w:rsidP="003F48D6">
      <w:pPr>
        <w:pStyle w:val="TOC2"/>
        <w:tabs>
          <w:tab w:val="left" w:pos="1350"/>
        </w:tabs>
        <w:rPr>
          <w:rFonts w:asciiTheme="minorHAnsi" w:eastAsiaTheme="minorEastAsia" w:hAnsiTheme="minorHAnsi" w:cstheme="minorBidi"/>
        </w:rPr>
      </w:pPr>
      <w:hyperlink w:anchor="_Toc350520015" w:history="1">
        <w:r w:rsidR="003F48D6" w:rsidRPr="00FA03D4">
          <w:rPr>
            <w:rStyle w:val="Hyperlink"/>
          </w:rPr>
          <w:t>B.4</w:t>
        </w:r>
        <w:r w:rsidR="003F48D6" w:rsidRPr="00FA03D4">
          <w:rPr>
            <w:rFonts w:asciiTheme="minorHAnsi" w:eastAsiaTheme="minorEastAsia" w:hAnsiTheme="minorHAnsi" w:cstheme="minorBidi"/>
          </w:rPr>
          <w:tab/>
        </w:r>
        <w:r w:rsidR="003F48D6" w:rsidRPr="00FA03D4">
          <w:rPr>
            <w:rStyle w:val="Hyperlink"/>
          </w:rPr>
          <w:t>Testing of Procedures</w:t>
        </w:r>
        <w:r w:rsidR="003F48D6" w:rsidRPr="00FA03D4">
          <w:rPr>
            <w:webHidden/>
          </w:rPr>
          <w:tab/>
          <w:t>1</w:t>
        </w:r>
        <w:r w:rsidR="00CF043E">
          <w:rPr>
            <w:webHidden/>
          </w:rPr>
          <w:t>6</w:t>
        </w:r>
      </w:hyperlink>
    </w:p>
    <w:p w:rsidR="003F48D6" w:rsidRPr="00FA03D4" w:rsidRDefault="00000B65" w:rsidP="003F48D6">
      <w:pPr>
        <w:pStyle w:val="TOC3"/>
        <w:tabs>
          <w:tab w:val="left" w:pos="3240"/>
        </w:tabs>
        <w:rPr>
          <w:rFonts w:asciiTheme="minorHAnsi" w:eastAsiaTheme="minorEastAsia" w:hAnsiTheme="minorHAnsi" w:cstheme="minorBidi"/>
          <w:szCs w:val="24"/>
        </w:rPr>
      </w:pPr>
      <w:hyperlink w:anchor="_Toc350520016" w:history="1">
        <w:r w:rsidR="003F48D6" w:rsidRPr="00FA03D4">
          <w:rPr>
            <w:rStyle w:val="Hyperlink"/>
            <w:szCs w:val="24"/>
          </w:rPr>
          <w:t>B.4.1</w:t>
        </w:r>
        <w:r w:rsidR="003F48D6" w:rsidRPr="00FA03D4">
          <w:rPr>
            <w:rFonts w:asciiTheme="minorHAnsi" w:eastAsiaTheme="minorEastAsia" w:hAnsiTheme="minorHAnsi" w:cstheme="minorBidi"/>
            <w:szCs w:val="24"/>
          </w:rPr>
          <w:tab/>
        </w:r>
        <w:r w:rsidR="003F48D6" w:rsidRPr="00FA03D4">
          <w:rPr>
            <w:rStyle w:val="Hyperlink"/>
            <w:szCs w:val="24"/>
          </w:rPr>
          <w:t>Test of Building Sample Frame</w:t>
        </w:r>
        <w:r w:rsidR="003F48D6" w:rsidRPr="00FA03D4">
          <w:rPr>
            <w:webHidden/>
            <w:szCs w:val="24"/>
          </w:rPr>
          <w:tab/>
          <w:t>1</w:t>
        </w:r>
        <w:r w:rsidR="00CF043E">
          <w:rPr>
            <w:webHidden/>
            <w:szCs w:val="24"/>
          </w:rPr>
          <w:t>6</w:t>
        </w:r>
      </w:hyperlink>
    </w:p>
    <w:p w:rsidR="003F48D6" w:rsidRPr="00FA03D4" w:rsidRDefault="00000B65" w:rsidP="003F48D6">
      <w:pPr>
        <w:pStyle w:val="TOC3"/>
        <w:tabs>
          <w:tab w:val="left" w:pos="3240"/>
        </w:tabs>
        <w:rPr>
          <w:rFonts w:asciiTheme="minorHAnsi" w:eastAsiaTheme="minorEastAsia" w:hAnsiTheme="minorHAnsi" w:cstheme="minorBidi"/>
          <w:szCs w:val="24"/>
        </w:rPr>
      </w:pPr>
      <w:hyperlink w:anchor="_Toc350520017" w:history="1">
        <w:r w:rsidR="003F48D6" w:rsidRPr="00FA03D4">
          <w:rPr>
            <w:rStyle w:val="Hyperlink"/>
            <w:szCs w:val="24"/>
          </w:rPr>
          <w:t>B.4.2</w:t>
        </w:r>
        <w:r w:rsidR="003F48D6" w:rsidRPr="00FA03D4">
          <w:rPr>
            <w:rFonts w:asciiTheme="minorHAnsi" w:eastAsiaTheme="minorEastAsia" w:hAnsiTheme="minorHAnsi" w:cstheme="minorBidi"/>
            <w:szCs w:val="24"/>
          </w:rPr>
          <w:tab/>
        </w:r>
        <w:r w:rsidR="003F48D6" w:rsidRPr="00FA03D4">
          <w:rPr>
            <w:rStyle w:val="Hyperlink"/>
            <w:szCs w:val="24"/>
          </w:rPr>
          <w:t>Test of Contacting ECDs</w:t>
        </w:r>
        <w:r w:rsidR="003F48D6" w:rsidRPr="00FA03D4">
          <w:rPr>
            <w:webHidden/>
            <w:szCs w:val="24"/>
          </w:rPr>
          <w:tab/>
          <w:t>1</w:t>
        </w:r>
        <w:r w:rsidR="00CF043E">
          <w:rPr>
            <w:webHidden/>
            <w:szCs w:val="24"/>
          </w:rPr>
          <w:t>7</w:t>
        </w:r>
      </w:hyperlink>
    </w:p>
    <w:p w:rsidR="003F48D6" w:rsidRPr="00FA03D4" w:rsidRDefault="00000B65" w:rsidP="003F48D6">
      <w:pPr>
        <w:pStyle w:val="TOC3"/>
        <w:tabs>
          <w:tab w:val="left" w:pos="3240"/>
        </w:tabs>
        <w:rPr>
          <w:rFonts w:asciiTheme="minorHAnsi" w:eastAsiaTheme="minorEastAsia" w:hAnsiTheme="minorHAnsi" w:cstheme="minorBidi"/>
          <w:szCs w:val="24"/>
        </w:rPr>
      </w:pPr>
      <w:hyperlink w:anchor="_Toc350520018" w:history="1">
        <w:r w:rsidR="003F48D6" w:rsidRPr="00FA03D4">
          <w:rPr>
            <w:rStyle w:val="Hyperlink"/>
            <w:szCs w:val="24"/>
          </w:rPr>
          <w:t>B.4.3</w:t>
        </w:r>
        <w:r w:rsidR="003F48D6" w:rsidRPr="00FA03D4">
          <w:rPr>
            <w:rFonts w:asciiTheme="minorHAnsi" w:eastAsiaTheme="minorEastAsia" w:hAnsiTheme="minorHAnsi" w:cstheme="minorBidi"/>
            <w:szCs w:val="24"/>
          </w:rPr>
          <w:tab/>
        </w:r>
        <w:r w:rsidR="003F48D6" w:rsidRPr="00FA03D4">
          <w:rPr>
            <w:rStyle w:val="Hyperlink"/>
            <w:szCs w:val="24"/>
          </w:rPr>
          <w:t>Field Test of the Questionnaire</w:t>
        </w:r>
        <w:r w:rsidR="003F48D6" w:rsidRPr="00FA03D4">
          <w:rPr>
            <w:webHidden/>
            <w:szCs w:val="24"/>
          </w:rPr>
          <w:tab/>
          <w:t>1</w:t>
        </w:r>
        <w:r w:rsidR="00CF043E">
          <w:rPr>
            <w:webHidden/>
            <w:szCs w:val="24"/>
          </w:rPr>
          <w:t>9</w:t>
        </w:r>
      </w:hyperlink>
    </w:p>
    <w:p w:rsidR="003F48D6" w:rsidRPr="00FA03D4" w:rsidRDefault="00000B65" w:rsidP="003F48D6">
      <w:pPr>
        <w:pStyle w:val="TOC3"/>
        <w:tabs>
          <w:tab w:val="left" w:pos="3240"/>
        </w:tabs>
        <w:rPr>
          <w:rFonts w:asciiTheme="minorHAnsi" w:eastAsiaTheme="minorEastAsia" w:hAnsiTheme="minorHAnsi" w:cstheme="minorBidi"/>
          <w:szCs w:val="24"/>
        </w:rPr>
      </w:pPr>
      <w:hyperlink w:anchor="_Toc350520019" w:history="1">
        <w:r w:rsidR="003F48D6" w:rsidRPr="00FA03D4">
          <w:rPr>
            <w:rStyle w:val="Hyperlink"/>
            <w:szCs w:val="24"/>
          </w:rPr>
          <w:t>B.4.4</w:t>
        </w:r>
        <w:r w:rsidR="003F48D6" w:rsidRPr="00FA03D4">
          <w:rPr>
            <w:rFonts w:asciiTheme="minorHAnsi" w:eastAsiaTheme="minorEastAsia" w:hAnsiTheme="minorHAnsi" w:cstheme="minorBidi"/>
            <w:szCs w:val="24"/>
          </w:rPr>
          <w:tab/>
        </w:r>
        <w:r w:rsidR="003F48D6" w:rsidRPr="00FA03D4">
          <w:rPr>
            <w:rStyle w:val="Hyperlink"/>
            <w:szCs w:val="24"/>
          </w:rPr>
          <w:t>Changes to the ECD Questionnaire</w:t>
        </w:r>
        <w:r w:rsidR="003F48D6" w:rsidRPr="00FA03D4">
          <w:rPr>
            <w:webHidden/>
            <w:szCs w:val="24"/>
          </w:rPr>
          <w:tab/>
          <w:t>1</w:t>
        </w:r>
        <w:r w:rsidR="00CF043E">
          <w:rPr>
            <w:webHidden/>
            <w:szCs w:val="24"/>
          </w:rPr>
          <w:t>9</w:t>
        </w:r>
      </w:hyperlink>
    </w:p>
    <w:p w:rsidR="003F48D6" w:rsidRPr="00FA03D4" w:rsidRDefault="00000B65" w:rsidP="003F48D6">
      <w:pPr>
        <w:pStyle w:val="TOC2"/>
        <w:tabs>
          <w:tab w:val="left" w:pos="1350"/>
        </w:tabs>
        <w:rPr>
          <w:rFonts w:asciiTheme="minorHAnsi" w:eastAsiaTheme="minorEastAsia" w:hAnsiTheme="minorHAnsi" w:cstheme="minorBidi"/>
        </w:rPr>
      </w:pPr>
      <w:hyperlink w:anchor="_Toc350520020" w:history="1">
        <w:r w:rsidR="003F48D6" w:rsidRPr="00FA03D4">
          <w:rPr>
            <w:rStyle w:val="Hyperlink"/>
          </w:rPr>
          <w:t>B.5</w:t>
        </w:r>
        <w:r w:rsidR="003F48D6" w:rsidRPr="00FA03D4">
          <w:rPr>
            <w:rFonts w:asciiTheme="minorHAnsi" w:eastAsiaTheme="minorEastAsia" w:hAnsiTheme="minorHAnsi" w:cstheme="minorBidi"/>
          </w:rPr>
          <w:tab/>
        </w:r>
        <w:r w:rsidR="003F48D6" w:rsidRPr="00FA03D4">
          <w:rPr>
            <w:rStyle w:val="Hyperlink"/>
          </w:rPr>
          <w:t>Names and Telephone Numbers of Individuals Consulted</w:t>
        </w:r>
        <w:r w:rsidR="003F48D6" w:rsidRPr="00FA03D4">
          <w:rPr>
            <w:webHidden/>
          </w:rPr>
          <w:tab/>
        </w:r>
        <w:r w:rsidR="003F48D6">
          <w:rPr>
            <w:webHidden/>
          </w:rPr>
          <w:t>1</w:t>
        </w:r>
        <w:r w:rsidR="00CF043E">
          <w:rPr>
            <w:webHidden/>
          </w:rPr>
          <w:t>9</w:t>
        </w:r>
      </w:hyperlink>
    </w:p>
    <w:p w:rsidR="003F48D6" w:rsidRPr="009B561B" w:rsidRDefault="003F48D6" w:rsidP="003F48D6">
      <w:pPr>
        <w:tabs>
          <w:tab w:val="left" w:pos="7914"/>
        </w:tabs>
        <w:rPr>
          <w:noProof/>
        </w:rPr>
      </w:pPr>
      <w:r w:rsidRPr="00FA03D4">
        <w:rPr>
          <w:noProof/>
        </w:rPr>
        <w:lastRenderedPageBreak/>
        <w:fldChar w:fldCharType="end"/>
      </w:r>
      <w:r>
        <w:rPr>
          <w:noProof/>
        </w:rPr>
        <w:tab/>
      </w:r>
    </w:p>
    <w:p w:rsidR="003F48D6" w:rsidRPr="009B561B" w:rsidRDefault="003F48D6" w:rsidP="003F48D6"/>
    <w:p w:rsidR="003F48D6" w:rsidRPr="009B561B" w:rsidRDefault="003F48D6" w:rsidP="003F48D6">
      <w:pPr>
        <w:pStyle w:val="TOC0"/>
        <w:rPr>
          <w:noProof/>
        </w:rPr>
      </w:pPr>
      <w:r>
        <w:rPr>
          <w:noProof/>
        </w:rPr>
        <w:t>Table</w:t>
      </w:r>
      <w:r w:rsidRPr="009B561B">
        <w:rPr>
          <w:noProof/>
        </w:rPr>
        <w:t>s</w:t>
      </w:r>
    </w:p>
    <w:p w:rsidR="003F48D6" w:rsidRPr="00FA03D4" w:rsidRDefault="003F48D6" w:rsidP="003F48D6">
      <w:pPr>
        <w:tabs>
          <w:tab w:val="right" w:pos="9360"/>
        </w:tabs>
        <w:spacing w:before="120" w:after="240"/>
        <w:rPr>
          <w:color w:val="000000"/>
        </w:rPr>
      </w:pPr>
      <w:r w:rsidRPr="00FA03D4">
        <w:rPr>
          <w:b/>
          <w:color w:val="000000"/>
        </w:rPr>
        <w:t>Number</w:t>
      </w:r>
      <w:r w:rsidRPr="00FA03D4">
        <w:rPr>
          <w:color w:val="000000"/>
        </w:rPr>
        <w:tab/>
      </w:r>
      <w:r w:rsidRPr="00FA03D4">
        <w:rPr>
          <w:b/>
          <w:color w:val="000000"/>
        </w:rPr>
        <w:t>Page</w:t>
      </w:r>
    </w:p>
    <w:p w:rsidR="003F48D6" w:rsidRPr="00FA03D4" w:rsidRDefault="003F48D6" w:rsidP="003F48D6">
      <w:pPr>
        <w:pStyle w:val="TOC5"/>
        <w:tabs>
          <w:tab w:val="left" w:pos="1620"/>
          <w:tab w:val="left" w:pos="2160"/>
        </w:tabs>
        <w:spacing w:before="120" w:after="120"/>
        <w:ind w:left="1627" w:hanging="1627"/>
        <w:rPr>
          <w:rFonts w:asciiTheme="minorHAnsi" w:eastAsiaTheme="minorEastAsia" w:hAnsiTheme="minorHAnsi" w:cstheme="minorBidi"/>
          <w:szCs w:val="24"/>
        </w:rPr>
      </w:pPr>
      <w:r w:rsidRPr="00FA03D4">
        <w:rPr>
          <w:szCs w:val="24"/>
        </w:rPr>
        <w:fldChar w:fldCharType="begin"/>
      </w:r>
      <w:r w:rsidRPr="00FA03D4">
        <w:rPr>
          <w:szCs w:val="24"/>
        </w:rPr>
        <w:instrText xml:space="preserve"> TOC \t "Figure Title,5" </w:instrText>
      </w:r>
      <w:r w:rsidRPr="00FA03D4">
        <w:rPr>
          <w:szCs w:val="24"/>
        </w:rPr>
        <w:fldChar w:fldCharType="separate"/>
      </w:r>
      <w:r w:rsidRPr="00FA03D4">
        <w:rPr>
          <w:szCs w:val="24"/>
        </w:rPr>
        <w:t>Table 1.</w:t>
      </w:r>
      <w:r w:rsidRPr="00FA03D4">
        <w:rPr>
          <w:rFonts w:asciiTheme="minorHAnsi" w:eastAsiaTheme="minorEastAsia" w:hAnsiTheme="minorHAnsi" w:cstheme="minorBidi"/>
          <w:szCs w:val="24"/>
        </w:rPr>
        <w:tab/>
      </w:r>
      <w:r w:rsidRPr="00E67E3F">
        <w:rPr>
          <w:rFonts w:asciiTheme="majorBidi" w:eastAsiaTheme="minorEastAsia" w:hAnsiTheme="majorBidi" w:cstheme="majorBidi"/>
          <w:szCs w:val="24"/>
        </w:rPr>
        <w:t xml:space="preserve">Pilot </w:t>
      </w:r>
      <w:r w:rsidRPr="00FA03D4">
        <w:rPr>
          <w:szCs w:val="24"/>
        </w:rPr>
        <w:t>ECD Survey Estimated Burden by Stage and Respondent Type</w:t>
      </w:r>
      <w:r w:rsidRPr="00FA03D4">
        <w:rPr>
          <w:szCs w:val="24"/>
        </w:rPr>
        <w:tab/>
      </w:r>
      <w:r>
        <w:rPr>
          <w:szCs w:val="24"/>
        </w:rPr>
        <w:t>8</w:t>
      </w:r>
    </w:p>
    <w:p w:rsidR="003F48D6" w:rsidRPr="00FA03D4" w:rsidRDefault="003F48D6" w:rsidP="003F48D6">
      <w:pPr>
        <w:pStyle w:val="TOC5"/>
        <w:tabs>
          <w:tab w:val="left" w:pos="1620"/>
          <w:tab w:val="left" w:pos="2160"/>
        </w:tabs>
        <w:spacing w:before="120" w:after="120"/>
        <w:ind w:left="1620" w:hanging="1620"/>
        <w:rPr>
          <w:rFonts w:asciiTheme="minorHAnsi" w:eastAsiaTheme="minorEastAsia" w:hAnsiTheme="minorHAnsi" w:cstheme="minorBidi"/>
          <w:szCs w:val="24"/>
        </w:rPr>
      </w:pPr>
      <w:r w:rsidRPr="00FA03D4">
        <w:rPr>
          <w:szCs w:val="24"/>
        </w:rPr>
        <w:t>Table </w:t>
      </w:r>
      <w:r>
        <w:rPr>
          <w:szCs w:val="24"/>
        </w:rPr>
        <w:t>2</w:t>
      </w:r>
      <w:r w:rsidRPr="00FA03D4">
        <w:rPr>
          <w:szCs w:val="24"/>
        </w:rPr>
        <w:t>.</w:t>
      </w:r>
      <w:r w:rsidRPr="00FA03D4">
        <w:rPr>
          <w:rFonts w:asciiTheme="minorHAnsi" w:eastAsiaTheme="minorEastAsia" w:hAnsiTheme="minorHAnsi" w:cstheme="minorBidi"/>
          <w:szCs w:val="24"/>
        </w:rPr>
        <w:tab/>
      </w:r>
      <w:r w:rsidRPr="00162CA4">
        <w:rPr>
          <w:rFonts w:asciiTheme="majorBidi" w:eastAsiaTheme="minorEastAsia" w:hAnsiTheme="majorBidi" w:cstheme="majorBidi"/>
          <w:szCs w:val="24"/>
        </w:rPr>
        <w:t>Pilot</w:t>
      </w:r>
      <w:r>
        <w:rPr>
          <w:rFonts w:asciiTheme="minorHAnsi" w:eastAsiaTheme="minorEastAsia" w:hAnsiTheme="minorHAnsi" w:cstheme="minorBidi"/>
          <w:szCs w:val="24"/>
        </w:rPr>
        <w:t xml:space="preserve"> </w:t>
      </w:r>
      <w:r w:rsidRPr="00FA03D4">
        <w:rPr>
          <w:szCs w:val="24"/>
        </w:rPr>
        <w:t>ECD Survey Data Collection and Publication Schedule</w:t>
      </w:r>
      <w:r w:rsidRPr="00FA03D4">
        <w:rPr>
          <w:szCs w:val="24"/>
        </w:rPr>
        <w:tab/>
      </w:r>
      <w:r>
        <w:rPr>
          <w:szCs w:val="24"/>
        </w:rPr>
        <w:t>9</w:t>
      </w:r>
    </w:p>
    <w:p w:rsidR="003F48D6" w:rsidRPr="00FA03D4" w:rsidRDefault="003F48D6" w:rsidP="003F48D6">
      <w:pPr>
        <w:pStyle w:val="TOC5"/>
        <w:tabs>
          <w:tab w:val="left" w:pos="1620"/>
          <w:tab w:val="left" w:pos="2160"/>
        </w:tabs>
        <w:spacing w:before="120" w:after="120"/>
        <w:ind w:left="1620" w:hanging="1620"/>
        <w:rPr>
          <w:rFonts w:asciiTheme="minorHAnsi" w:eastAsiaTheme="minorEastAsia" w:hAnsiTheme="minorHAnsi" w:cstheme="minorBidi"/>
          <w:szCs w:val="24"/>
        </w:rPr>
      </w:pPr>
      <w:r w:rsidRPr="00FA03D4">
        <w:rPr>
          <w:szCs w:val="24"/>
        </w:rPr>
        <w:t>Table </w:t>
      </w:r>
      <w:r>
        <w:rPr>
          <w:szCs w:val="24"/>
        </w:rPr>
        <w:t>3</w:t>
      </w:r>
      <w:r w:rsidRPr="00FA03D4">
        <w:rPr>
          <w:szCs w:val="24"/>
        </w:rPr>
        <w:t>.</w:t>
      </w:r>
      <w:r w:rsidRPr="00FA03D4">
        <w:rPr>
          <w:rFonts w:asciiTheme="minorHAnsi" w:eastAsiaTheme="minorEastAsia" w:hAnsiTheme="minorHAnsi" w:cstheme="minorBidi"/>
          <w:szCs w:val="24"/>
        </w:rPr>
        <w:tab/>
      </w:r>
      <w:r w:rsidRPr="00FA03D4">
        <w:rPr>
          <w:szCs w:val="24"/>
        </w:rPr>
        <w:t xml:space="preserve">Sampling Strata and Estimated Sample Sizes for the 2013 </w:t>
      </w:r>
      <w:r>
        <w:rPr>
          <w:szCs w:val="24"/>
        </w:rPr>
        <w:t xml:space="preserve">Pilot </w:t>
      </w:r>
      <w:r w:rsidRPr="00FA03D4">
        <w:rPr>
          <w:szCs w:val="24"/>
        </w:rPr>
        <w:t>ECD Survey</w:t>
      </w:r>
      <w:r w:rsidRPr="00FA03D4">
        <w:rPr>
          <w:szCs w:val="24"/>
        </w:rPr>
        <w:tab/>
      </w:r>
      <w:r>
        <w:rPr>
          <w:szCs w:val="24"/>
        </w:rPr>
        <w:t>1</w:t>
      </w:r>
      <w:r w:rsidR="00CF043E">
        <w:rPr>
          <w:szCs w:val="24"/>
        </w:rPr>
        <w:t>1</w:t>
      </w:r>
    </w:p>
    <w:p w:rsidR="003F48D6" w:rsidRPr="00FA03D4" w:rsidRDefault="003F48D6" w:rsidP="003F48D6">
      <w:pPr>
        <w:pStyle w:val="TOC5"/>
        <w:tabs>
          <w:tab w:val="left" w:pos="1620"/>
          <w:tab w:val="left" w:pos="2160"/>
        </w:tabs>
        <w:spacing w:before="120" w:after="120"/>
        <w:ind w:left="1620" w:hanging="1620"/>
        <w:rPr>
          <w:rFonts w:asciiTheme="minorHAnsi" w:eastAsiaTheme="minorEastAsia" w:hAnsiTheme="minorHAnsi" w:cstheme="minorBidi"/>
          <w:szCs w:val="24"/>
        </w:rPr>
      </w:pPr>
      <w:r w:rsidRPr="00FA03D4">
        <w:rPr>
          <w:szCs w:val="24"/>
        </w:rPr>
        <w:t>Table </w:t>
      </w:r>
      <w:r>
        <w:rPr>
          <w:szCs w:val="24"/>
        </w:rPr>
        <w:t>4</w:t>
      </w:r>
      <w:r w:rsidRPr="00FA03D4">
        <w:rPr>
          <w:szCs w:val="24"/>
        </w:rPr>
        <w:t>.</w:t>
      </w:r>
      <w:r w:rsidRPr="00FA03D4">
        <w:rPr>
          <w:rFonts w:asciiTheme="minorHAnsi" w:eastAsiaTheme="minorEastAsia" w:hAnsiTheme="minorHAnsi" w:cstheme="minorBidi"/>
          <w:szCs w:val="24"/>
        </w:rPr>
        <w:tab/>
      </w:r>
      <w:r w:rsidRPr="00FA03D4">
        <w:rPr>
          <w:szCs w:val="24"/>
        </w:rPr>
        <w:t xml:space="preserve">Institutions providing ECD Listings, Sample </w:t>
      </w:r>
      <w:r>
        <w:rPr>
          <w:szCs w:val="24"/>
        </w:rPr>
        <w:t>Members</w:t>
      </w:r>
      <w:r w:rsidRPr="00FA03D4">
        <w:rPr>
          <w:szCs w:val="24"/>
        </w:rPr>
        <w:t>, and Response and Eligibility Rates Achieved in the Methodological Study by ECD Sampling Strata</w:t>
      </w:r>
      <w:r w:rsidRPr="00FA03D4">
        <w:rPr>
          <w:szCs w:val="24"/>
        </w:rPr>
        <w:tab/>
      </w:r>
      <w:r>
        <w:rPr>
          <w:szCs w:val="24"/>
        </w:rPr>
        <w:t>1</w:t>
      </w:r>
      <w:r w:rsidR="00CF043E">
        <w:rPr>
          <w:szCs w:val="24"/>
        </w:rPr>
        <w:t>2</w:t>
      </w:r>
    </w:p>
    <w:p w:rsidR="003F48D6" w:rsidRPr="00FA03D4" w:rsidRDefault="003F48D6" w:rsidP="003F48D6">
      <w:pPr>
        <w:pStyle w:val="TOC5"/>
        <w:tabs>
          <w:tab w:val="left" w:pos="1620"/>
          <w:tab w:val="left" w:pos="2160"/>
        </w:tabs>
        <w:spacing w:before="120" w:after="120"/>
        <w:ind w:left="1620" w:hanging="1620"/>
        <w:rPr>
          <w:rFonts w:asciiTheme="minorHAnsi" w:eastAsiaTheme="minorEastAsia" w:hAnsiTheme="minorHAnsi" w:cstheme="minorBidi"/>
          <w:szCs w:val="24"/>
        </w:rPr>
      </w:pPr>
      <w:r w:rsidRPr="00FA03D4">
        <w:rPr>
          <w:szCs w:val="24"/>
        </w:rPr>
        <w:t>Table </w:t>
      </w:r>
      <w:r>
        <w:rPr>
          <w:szCs w:val="24"/>
        </w:rPr>
        <w:t>5</w:t>
      </w:r>
      <w:r w:rsidRPr="00FA03D4">
        <w:rPr>
          <w:szCs w:val="24"/>
        </w:rPr>
        <w:t>.</w:t>
      </w:r>
      <w:r w:rsidRPr="00FA03D4">
        <w:rPr>
          <w:rFonts w:asciiTheme="minorHAnsi" w:eastAsiaTheme="minorEastAsia" w:hAnsiTheme="minorHAnsi" w:cstheme="minorBidi"/>
          <w:szCs w:val="24"/>
        </w:rPr>
        <w:tab/>
      </w:r>
      <w:r w:rsidR="00A0628C">
        <w:rPr>
          <w:szCs w:val="24"/>
        </w:rPr>
        <w:t>Sample Sizes and Eligiblity Rates Projected for the Pilot ECD Survey</w:t>
      </w:r>
      <w:r w:rsidRPr="00FA03D4">
        <w:rPr>
          <w:szCs w:val="24"/>
        </w:rPr>
        <w:tab/>
      </w:r>
      <w:r>
        <w:rPr>
          <w:szCs w:val="24"/>
        </w:rPr>
        <w:t>1</w:t>
      </w:r>
      <w:r w:rsidR="00CF043E">
        <w:rPr>
          <w:szCs w:val="24"/>
        </w:rPr>
        <w:t>3</w:t>
      </w:r>
    </w:p>
    <w:p w:rsidR="00CF043E" w:rsidRPr="00FA03D4" w:rsidRDefault="003F48D6" w:rsidP="00CF043E">
      <w:pPr>
        <w:pStyle w:val="TOC5"/>
        <w:tabs>
          <w:tab w:val="left" w:pos="1620"/>
          <w:tab w:val="left" w:pos="2160"/>
        </w:tabs>
        <w:spacing w:before="120" w:after="120"/>
        <w:ind w:left="1620" w:hanging="1620"/>
        <w:rPr>
          <w:rFonts w:asciiTheme="minorHAnsi" w:eastAsiaTheme="minorEastAsia" w:hAnsiTheme="minorHAnsi" w:cstheme="minorBidi"/>
          <w:szCs w:val="24"/>
        </w:rPr>
      </w:pPr>
      <w:r w:rsidRPr="00FA03D4">
        <w:fldChar w:fldCharType="end"/>
      </w:r>
      <w:r w:rsidR="00CF043E" w:rsidRPr="00FA03D4">
        <w:rPr>
          <w:szCs w:val="24"/>
        </w:rPr>
        <w:t>Table </w:t>
      </w:r>
      <w:r w:rsidR="00CF043E">
        <w:rPr>
          <w:szCs w:val="24"/>
        </w:rPr>
        <w:t>6</w:t>
      </w:r>
      <w:r w:rsidR="00CF043E" w:rsidRPr="00FA03D4">
        <w:rPr>
          <w:szCs w:val="24"/>
        </w:rPr>
        <w:t>.</w:t>
      </w:r>
      <w:r w:rsidR="00CF043E" w:rsidRPr="00FA03D4">
        <w:rPr>
          <w:rFonts w:asciiTheme="minorHAnsi" w:eastAsiaTheme="minorEastAsia" w:hAnsiTheme="minorHAnsi" w:cstheme="minorBidi"/>
          <w:szCs w:val="24"/>
        </w:rPr>
        <w:tab/>
      </w:r>
      <w:r w:rsidR="00CF043E">
        <w:rPr>
          <w:szCs w:val="24"/>
        </w:rPr>
        <w:t>E-mail Subject Line Experimental and Control Conditions</w:t>
      </w:r>
      <w:r w:rsidR="00CF043E" w:rsidRPr="00FA03D4">
        <w:rPr>
          <w:szCs w:val="24"/>
        </w:rPr>
        <w:tab/>
      </w:r>
      <w:r w:rsidR="00CF043E">
        <w:rPr>
          <w:szCs w:val="24"/>
        </w:rPr>
        <w:t>1</w:t>
      </w:r>
      <w:r w:rsidR="008C18A2">
        <w:rPr>
          <w:szCs w:val="24"/>
        </w:rPr>
        <w:t>8</w:t>
      </w:r>
    </w:p>
    <w:p w:rsidR="00CF043E" w:rsidRPr="00FA03D4" w:rsidRDefault="00CF043E" w:rsidP="00CF043E">
      <w:pPr>
        <w:pStyle w:val="TOC5"/>
        <w:tabs>
          <w:tab w:val="left" w:pos="1620"/>
          <w:tab w:val="left" w:pos="2160"/>
        </w:tabs>
        <w:spacing w:before="120" w:after="120"/>
        <w:ind w:left="1620" w:hanging="1620"/>
        <w:rPr>
          <w:rFonts w:asciiTheme="minorHAnsi" w:eastAsiaTheme="minorEastAsia" w:hAnsiTheme="minorHAnsi" w:cstheme="minorBidi"/>
          <w:szCs w:val="24"/>
        </w:rPr>
      </w:pPr>
      <w:r w:rsidRPr="00FA03D4">
        <w:rPr>
          <w:szCs w:val="24"/>
        </w:rPr>
        <w:t>Table </w:t>
      </w:r>
      <w:r>
        <w:rPr>
          <w:szCs w:val="24"/>
        </w:rPr>
        <w:t>7</w:t>
      </w:r>
      <w:r w:rsidRPr="00FA03D4">
        <w:rPr>
          <w:szCs w:val="24"/>
        </w:rPr>
        <w:t>.</w:t>
      </w:r>
      <w:r w:rsidRPr="00FA03D4">
        <w:rPr>
          <w:rFonts w:asciiTheme="minorHAnsi" w:eastAsiaTheme="minorEastAsia" w:hAnsiTheme="minorHAnsi" w:cstheme="minorBidi"/>
          <w:szCs w:val="24"/>
        </w:rPr>
        <w:tab/>
      </w:r>
      <w:r w:rsidRPr="00FA03D4">
        <w:rPr>
          <w:szCs w:val="24"/>
        </w:rPr>
        <w:t xml:space="preserve">Individual Consulted on </w:t>
      </w:r>
      <w:r>
        <w:rPr>
          <w:szCs w:val="24"/>
        </w:rPr>
        <w:t xml:space="preserve">Pilot </w:t>
      </w:r>
      <w:r w:rsidRPr="00FA03D4">
        <w:rPr>
          <w:szCs w:val="24"/>
        </w:rPr>
        <w:t>ECD Survey Technical and Statistical Issues</w:t>
      </w:r>
      <w:r w:rsidRPr="00FA03D4">
        <w:rPr>
          <w:szCs w:val="24"/>
        </w:rPr>
        <w:tab/>
      </w:r>
      <w:r w:rsidR="008C18A2">
        <w:rPr>
          <w:szCs w:val="24"/>
        </w:rPr>
        <w:t>20</w:t>
      </w:r>
    </w:p>
    <w:p w:rsidR="003F48D6" w:rsidRDefault="003F48D6" w:rsidP="003F48D6">
      <w:pPr>
        <w:tabs>
          <w:tab w:val="left" w:pos="1620"/>
        </w:tabs>
        <w:spacing w:before="120" w:after="120"/>
        <w:ind w:left="1620" w:hanging="1620"/>
        <w:rPr>
          <w:noProof/>
        </w:rPr>
      </w:pPr>
    </w:p>
    <w:p w:rsidR="003F48D6" w:rsidRPr="009B561B" w:rsidRDefault="003F48D6" w:rsidP="003F48D6">
      <w:pPr>
        <w:tabs>
          <w:tab w:val="left" w:pos="1620"/>
        </w:tabs>
        <w:ind w:left="1620" w:hanging="1620"/>
        <w:rPr>
          <w:noProof/>
        </w:rPr>
      </w:pPr>
    </w:p>
    <w:p w:rsidR="003F48D6" w:rsidRPr="009B561B" w:rsidRDefault="003F48D6" w:rsidP="003F48D6">
      <w:pPr>
        <w:pStyle w:val="TOC0"/>
      </w:pPr>
      <w:r w:rsidRPr="009B561B">
        <w:t>LIST OF ATTACHMENTS</w:t>
      </w:r>
    </w:p>
    <w:p w:rsidR="003F48D6" w:rsidRPr="00FA03D4" w:rsidRDefault="003F48D6" w:rsidP="003F48D6">
      <w:pPr>
        <w:spacing w:before="120" w:after="120"/>
        <w:ind w:left="1620" w:hanging="1620"/>
      </w:pPr>
      <w:r w:rsidRPr="00FA03D4">
        <w:t xml:space="preserve">Attachment </w:t>
      </w:r>
      <w:r>
        <w:t>A</w:t>
      </w:r>
      <w:r w:rsidRPr="00FA03D4">
        <w:t>.</w:t>
      </w:r>
      <w:r w:rsidRPr="00FA03D4">
        <w:tab/>
        <w:t>Contact Strategy Narrative</w:t>
      </w:r>
    </w:p>
    <w:p w:rsidR="003F48D6" w:rsidRPr="00FA03D4" w:rsidRDefault="003F48D6" w:rsidP="003F48D6">
      <w:pPr>
        <w:spacing w:before="120" w:after="120"/>
        <w:ind w:left="1620" w:hanging="1620"/>
      </w:pPr>
      <w:r w:rsidRPr="00FA03D4">
        <w:t xml:space="preserve">Attachment </w:t>
      </w:r>
      <w:r>
        <w:t>B</w:t>
      </w:r>
      <w:r w:rsidRPr="00FA03D4">
        <w:t>.</w:t>
      </w:r>
      <w:r w:rsidRPr="00FA03D4">
        <w:tab/>
        <w:t>Institutional Contact Materials</w:t>
      </w:r>
    </w:p>
    <w:p w:rsidR="003F48D6" w:rsidRPr="00FA03D4" w:rsidRDefault="003F48D6" w:rsidP="003F48D6">
      <w:pPr>
        <w:spacing w:before="120" w:after="120"/>
        <w:ind w:left="1620" w:hanging="1620"/>
      </w:pPr>
      <w:r w:rsidRPr="00FA03D4">
        <w:t xml:space="preserve">Attachment </w:t>
      </w:r>
      <w:r>
        <w:t>C</w:t>
      </w:r>
      <w:r w:rsidRPr="00FA03D4">
        <w:t>.</w:t>
      </w:r>
      <w:r w:rsidRPr="00FA03D4">
        <w:tab/>
        <w:t>ECD Contact Material</w:t>
      </w:r>
      <w:r w:rsidR="00282835">
        <w:t>s</w:t>
      </w:r>
    </w:p>
    <w:p w:rsidR="003F48D6" w:rsidRPr="00FA03D4" w:rsidRDefault="003F48D6" w:rsidP="003F48D6">
      <w:pPr>
        <w:spacing w:before="120" w:after="120"/>
        <w:ind w:left="1620" w:hanging="1620"/>
      </w:pPr>
      <w:r w:rsidRPr="00FA03D4">
        <w:t xml:space="preserve">Attachment </w:t>
      </w:r>
      <w:r>
        <w:t>D</w:t>
      </w:r>
      <w:r w:rsidRPr="00FA03D4">
        <w:t>.</w:t>
      </w:r>
      <w:r w:rsidRPr="00FA03D4">
        <w:tab/>
        <w:t>Confidentiality and Security Measures</w:t>
      </w:r>
    </w:p>
    <w:p w:rsidR="003F48D6" w:rsidRPr="00FA03D4" w:rsidRDefault="003F48D6" w:rsidP="003F48D6">
      <w:pPr>
        <w:spacing w:before="120" w:after="120"/>
        <w:ind w:left="1620" w:hanging="1620"/>
      </w:pPr>
      <w:r w:rsidRPr="00FA03D4">
        <w:t xml:space="preserve">Attachment </w:t>
      </w:r>
      <w:r>
        <w:t>E</w:t>
      </w:r>
      <w:r w:rsidRPr="00FA03D4">
        <w:t>.</w:t>
      </w:r>
      <w:r w:rsidRPr="00FA03D4">
        <w:tab/>
        <w:t>ECD</w:t>
      </w:r>
      <w:r w:rsidR="00BE4583">
        <w:t>S</w:t>
      </w:r>
      <w:r w:rsidRPr="00FA03D4">
        <w:t xml:space="preserve"> Questionnaire</w:t>
      </w:r>
    </w:p>
    <w:p w:rsidR="003F48D6" w:rsidRPr="00FA03D4" w:rsidRDefault="003F48D6" w:rsidP="003F48D6">
      <w:pPr>
        <w:spacing w:before="120" w:after="120"/>
        <w:ind w:left="1620" w:hanging="1620"/>
      </w:pPr>
      <w:r w:rsidRPr="00FA03D4">
        <w:t xml:space="preserve">Attachment </w:t>
      </w:r>
      <w:r>
        <w:t>F</w:t>
      </w:r>
      <w:r w:rsidRPr="00FA03D4">
        <w:t>.</w:t>
      </w:r>
      <w:r w:rsidRPr="00FA03D4">
        <w:tab/>
        <w:t>Federal Register Announcements</w:t>
      </w:r>
    </w:p>
    <w:p w:rsidR="00F72F56" w:rsidRPr="009B561B" w:rsidRDefault="00F72F56" w:rsidP="00932612">
      <w:pPr>
        <w:pStyle w:val="Heading1"/>
        <w:rPr>
          <w:color w:val="000000"/>
        </w:rPr>
        <w:sectPr w:rsidR="00F72F56" w:rsidRPr="009B561B" w:rsidSect="00CB0350">
          <w:footerReference w:type="default" r:id="rId11"/>
          <w:pgSz w:w="12240" w:h="15840"/>
          <w:pgMar w:top="1440" w:right="1440" w:bottom="1440" w:left="1440" w:header="720" w:footer="720" w:gutter="0"/>
          <w:pgNumType w:fmt="lowerRoman" w:start="3"/>
          <w:cols w:space="720"/>
        </w:sectPr>
      </w:pPr>
    </w:p>
    <w:p w:rsidR="00D43F13" w:rsidRPr="009B561B" w:rsidRDefault="00D43F13" w:rsidP="005B0221">
      <w:pPr>
        <w:pStyle w:val="Heading1"/>
        <w:spacing w:after="100" w:afterAutospacing="1"/>
        <w:rPr>
          <w:color w:val="000000"/>
        </w:rPr>
      </w:pPr>
      <w:bookmarkStart w:id="2" w:name="_Toc350519986"/>
      <w:r w:rsidRPr="009B561B">
        <w:rPr>
          <w:color w:val="000000"/>
        </w:rPr>
        <w:lastRenderedPageBreak/>
        <w:t>A.</w:t>
      </w:r>
      <w:r w:rsidR="00932612" w:rsidRPr="009B561B">
        <w:rPr>
          <w:color w:val="000000"/>
        </w:rPr>
        <w:tab/>
      </w:r>
      <w:r w:rsidRPr="009B561B">
        <w:rPr>
          <w:color w:val="000000"/>
        </w:rPr>
        <w:t>Justification</w:t>
      </w:r>
      <w:bookmarkEnd w:id="1"/>
      <w:bookmarkEnd w:id="2"/>
    </w:p>
    <w:p w:rsidR="00A861CE" w:rsidRDefault="00A861CE" w:rsidP="00A861CE">
      <w:pPr>
        <w:pStyle w:val="Default"/>
        <w:spacing w:after="100" w:afterAutospacing="1"/>
      </w:pPr>
      <w:r>
        <w:t>The National Center for Science and Engineering Statistics (NCSES) of the National Science Foundation (NSF) serves as a central Federal clearinghouse for the collection, interpretation, analysis, and dissemination of objective data on science, engineering, technology, and research and development for use by practitioners, researchers, policymakers, and the public. The Early Career Doctorates Survey will become part of an integrated survey system that meets the human resources part of this mission.</w:t>
      </w:r>
    </w:p>
    <w:p w:rsidR="00A861CE" w:rsidRDefault="00A861CE" w:rsidP="00A861CE">
      <w:pPr>
        <w:pStyle w:val="Default"/>
        <w:spacing w:after="100" w:afterAutospacing="1"/>
      </w:pPr>
      <w:r>
        <w:t>The Early Career Doctorates Project was established to gather in-depth information about early career doctorates (ECDs), including postdoctoral researchers (postdocs). Early career doctorates are critical to the success of the U.S. scientific enterprise and will influence U.S. and global scientific markets for years to come.</w:t>
      </w:r>
      <w:r w:rsidR="00CB4335">
        <w:t xml:space="preserve"> </w:t>
      </w:r>
      <w:r>
        <w:t>Despite their importance, current surveys of this population are limited, and extant workforce studies are insufficient for all doctorates who contribute to the U.S. economy. The NSF’s Survey of Earned Doctorates (SED) and the Survey of Doctorate Recipients (SDR) are limited to individuals who received their research doctorates from U.S. academic institutions, thereby excluding individuals who earned their professional doctorates and those who earned doctorates from institutions outside the United States but are currently employed in the United States.</w:t>
      </w:r>
      <w:r w:rsidR="00CB4335">
        <w:t xml:space="preserve"> </w:t>
      </w:r>
      <w:r>
        <w:t xml:space="preserve">The NSF’s Survey of Graduate Students and </w:t>
      </w:r>
      <w:proofErr w:type="spellStart"/>
      <w:r>
        <w:t>Postdocotrates</w:t>
      </w:r>
      <w:proofErr w:type="spellEnd"/>
      <w:r>
        <w:t xml:space="preserve"> in Science and Engineering (GSS) </w:t>
      </w:r>
      <w:proofErr w:type="gramStart"/>
      <w:r>
        <w:t>provides</w:t>
      </w:r>
      <w:proofErr w:type="gramEnd"/>
      <w:r>
        <w:t xml:space="preserve"> aggregate level data for all postdocs and </w:t>
      </w:r>
      <w:proofErr w:type="spellStart"/>
      <w:r>
        <w:t>nonfaculty</w:t>
      </w:r>
      <w:proofErr w:type="spellEnd"/>
      <w:r>
        <w:t xml:space="preserve"> researchers regardless of where they earned the degree.</w:t>
      </w:r>
      <w:r w:rsidR="00CB4335">
        <w:t xml:space="preserve"> </w:t>
      </w:r>
      <w:r>
        <w:t>However, the GSS is limited to science, engineering, and selected health (SEH) fields in U.S. academic institutions and their related research facilities and is collected at the program rather than individual level.</w:t>
      </w:r>
    </w:p>
    <w:p w:rsidR="00A74D3F" w:rsidRDefault="00A74D3F" w:rsidP="005B0221">
      <w:pPr>
        <w:pStyle w:val="Default"/>
        <w:spacing w:after="100" w:afterAutospacing="1"/>
      </w:pPr>
      <w:r w:rsidRPr="00362D17">
        <w:t xml:space="preserve">Through its multi-year Postdoc Data Project, NCSES </w:t>
      </w:r>
      <w:r w:rsidR="00E46918">
        <w:t>determined</w:t>
      </w:r>
      <w:r w:rsidRPr="00362D17">
        <w:t xml:space="preserve"> </w:t>
      </w:r>
      <w:r w:rsidR="00A861CE">
        <w:t>the need for and the feasibility of gathering</w:t>
      </w:r>
      <w:r w:rsidRPr="00362D17">
        <w:t xml:space="preserve"> information about</w:t>
      </w:r>
      <w:r w:rsidR="00A861CE">
        <w:t xml:space="preserve"> postdocs and other ECDs working in the United States.</w:t>
      </w:r>
    </w:p>
    <w:p w:rsidR="00A74D3F" w:rsidRPr="00362D17" w:rsidRDefault="00C0339F" w:rsidP="007F5EC6">
      <w:pPr>
        <w:pStyle w:val="Default"/>
        <w:spacing w:after="120"/>
      </w:pPr>
      <w:r>
        <w:t>E</w:t>
      </w:r>
      <w:r w:rsidR="00A74D3F" w:rsidRPr="00362D17">
        <w:t xml:space="preserve">fforts to </w:t>
      </w:r>
      <w:r w:rsidR="006E28C8">
        <w:t xml:space="preserve">reliably </w:t>
      </w:r>
      <w:r w:rsidR="00A74D3F" w:rsidRPr="00362D17">
        <w:t>identify and gather information about postdocs</w:t>
      </w:r>
      <w:r w:rsidR="006E28C8">
        <w:t xml:space="preserve"> at the individual level</w:t>
      </w:r>
      <w:r>
        <w:t xml:space="preserve"> </w:t>
      </w:r>
      <w:r w:rsidR="006E28C8">
        <w:t xml:space="preserve">have </w:t>
      </w:r>
      <w:r w:rsidR="00A74D3F" w:rsidRPr="00362D17">
        <w:t>proved difficult due to substantial variation in how institutions characterize</w:t>
      </w:r>
      <w:r>
        <w:t xml:space="preserve"> and report</w:t>
      </w:r>
      <w:r w:rsidR="00A74D3F" w:rsidRPr="00362D17">
        <w:t xml:space="preserve"> postdoc appointments. As a result, NCSES expanded the target population to include all individuals who earned their first doctora</w:t>
      </w:r>
      <w:r w:rsidR="006E28C8">
        <w:t>l degree</w:t>
      </w:r>
      <w:r w:rsidR="00A74D3F" w:rsidRPr="00362D17">
        <w:t xml:space="preserve"> within the past 10-years. Expanding the population to doctoral degree holders</w:t>
      </w:r>
      <w:r w:rsidR="00E46918">
        <w:t xml:space="preserve"> within the past 10 years</w:t>
      </w:r>
      <w:r w:rsidR="00A74D3F" w:rsidRPr="00362D17">
        <w:t xml:space="preserve"> ensures a</w:t>
      </w:r>
      <w:r w:rsidR="00E46918">
        <w:t xml:space="preserve"> </w:t>
      </w:r>
      <w:r w:rsidR="00A861CE">
        <w:t>larger, more consistent and reliable</w:t>
      </w:r>
      <w:r w:rsidR="00A74D3F" w:rsidRPr="00362D17">
        <w:t xml:space="preserve"> target population. Unique in scope, the key goals of the ECD Project are: </w:t>
      </w:r>
    </w:p>
    <w:p w:rsidR="00A74D3F" w:rsidRPr="00362D17" w:rsidRDefault="00A74D3F" w:rsidP="005B0221">
      <w:pPr>
        <w:pStyle w:val="Default"/>
        <w:widowControl/>
        <w:numPr>
          <w:ilvl w:val="0"/>
          <w:numId w:val="8"/>
        </w:numPr>
        <w:spacing w:after="100" w:afterAutospacing="1"/>
        <w:ind w:left="288" w:hanging="288"/>
      </w:pPr>
      <w:r w:rsidRPr="00362D17">
        <w:t xml:space="preserve">To broaden the scope and depth of national statistics on </w:t>
      </w:r>
      <w:r w:rsidR="00A861CE">
        <w:t xml:space="preserve">the </w:t>
      </w:r>
      <w:r w:rsidRPr="00362D17">
        <w:t>ECD</w:t>
      </w:r>
      <w:r w:rsidR="00A861CE">
        <w:t xml:space="preserve"> population</w:t>
      </w:r>
      <w:r w:rsidRPr="00362D17">
        <w:t xml:space="preserve"> both U.S. degreed and non-U.S. degreed, across </w:t>
      </w:r>
      <w:r w:rsidR="006E28C8">
        <w:t xml:space="preserve">various </w:t>
      </w:r>
      <w:r w:rsidRPr="00362D17">
        <w:t>employment sectors and fields of discipline</w:t>
      </w:r>
      <w:r w:rsidR="00A861CE">
        <w:t>,</w:t>
      </w:r>
      <w:r w:rsidRPr="00362D17">
        <w:t xml:space="preserve"> </w:t>
      </w:r>
    </w:p>
    <w:p w:rsidR="00A74D3F" w:rsidRPr="00362D17" w:rsidRDefault="00A74D3F" w:rsidP="005B0221">
      <w:pPr>
        <w:pStyle w:val="Default"/>
        <w:widowControl/>
        <w:numPr>
          <w:ilvl w:val="0"/>
          <w:numId w:val="8"/>
        </w:numPr>
        <w:spacing w:after="100" w:afterAutospacing="1"/>
        <w:ind w:left="288" w:hanging="288"/>
      </w:pPr>
      <w:r w:rsidRPr="00362D17">
        <w:t>To collect nationally representative data from ECDs that can be used by funding agencies, policy makers, and other researchers to better understand the labor markets and work experiences of recent doctorate recipients</w:t>
      </w:r>
      <w:r w:rsidR="00A861CE">
        <w:t>, and</w:t>
      </w:r>
      <w:r w:rsidRPr="00362D17">
        <w:t xml:space="preserve"> </w:t>
      </w:r>
    </w:p>
    <w:p w:rsidR="00A74D3F" w:rsidRPr="00362D17" w:rsidRDefault="00A74D3F" w:rsidP="005B0221">
      <w:pPr>
        <w:pStyle w:val="Default"/>
        <w:widowControl/>
        <w:numPr>
          <w:ilvl w:val="0"/>
          <w:numId w:val="8"/>
        </w:numPr>
        <w:spacing w:after="100" w:afterAutospacing="1"/>
        <w:ind w:left="288" w:hanging="288"/>
      </w:pPr>
      <w:r w:rsidRPr="00362D17">
        <w:t xml:space="preserve">To establish </w:t>
      </w:r>
      <w:r w:rsidR="00A861CE">
        <w:t xml:space="preserve">common </w:t>
      </w:r>
      <w:r w:rsidRPr="00362D17">
        <w:t>definition</w:t>
      </w:r>
      <w:r w:rsidR="00A861CE">
        <w:t>s</w:t>
      </w:r>
      <w:r w:rsidRPr="00362D17">
        <w:t xml:space="preserve"> for different types of ECDs (e.g., postdocs, junior faculty, and other </w:t>
      </w:r>
      <w:proofErr w:type="spellStart"/>
      <w:r w:rsidRPr="00362D17">
        <w:t>nonfaculty</w:t>
      </w:r>
      <w:proofErr w:type="spellEnd"/>
      <w:r w:rsidRPr="00362D17">
        <w:t xml:space="preserve"> researchers) that can be applied across and within employment sectors</w:t>
      </w:r>
      <w:r w:rsidR="00A861CE">
        <w:t>.</w:t>
      </w:r>
      <w:r w:rsidRPr="00362D17">
        <w:t xml:space="preserve"> </w:t>
      </w:r>
    </w:p>
    <w:p w:rsidR="00181494" w:rsidRDefault="00A74D3F" w:rsidP="00181494">
      <w:pPr>
        <w:pStyle w:val="Default"/>
        <w:spacing w:after="100" w:afterAutospacing="1"/>
      </w:pPr>
      <w:r w:rsidRPr="00362D17">
        <w:t xml:space="preserve">The </w:t>
      </w:r>
      <w:r w:rsidR="00E8426D">
        <w:t>current focus of the Early Career Doctorates Project is to conduct a survey of</w:t>
      </w:r>
      <w:r w:rsidR="00C0339F">
        <w:t xml:space="preserve"> ECDs </w:t>
      </w:r>
      <w:r w:rsidR="00E8426D">
        <w:t xml:space="preserve">working in three areas of employment: </w:t>
      </w:r>
      <w:r w:rsidR="00C0339F">
        <w:t xml:space="preserve">U.S. </w:t>
      </w:r>
      <w:r w:rsidRPr="00362D17">
        <w:t xml:space="preserve">academic institutions, Federally Funded Research and Development Centers (FFRDCs), and the National Institutes of Health </w:t>
      </w:r>
      <w:r w:rsidR="006B4C30">
        <w:t xml:space="preserve">(NIH) </w:t>
      </w:r>
      <w:r w:rsidRPr="00362D17">
        <w:t>Intramural Research Programs (IRP)</w:t>
      </w:r>
      <w:r w:rsidR="00E8426D">
        <w:t>.</w:t>
      </w:r>
      <w:r w:rsidR="00CB4335">
        <w:t xml:space="preserve"> </w:t>
      </w:r>
      <w:r w:rsidR="00E8426D">
        <w:t xml:space="preserve">NCSES, under generic clearance (OMB #3145-0174), conducted the ECD study, a methodological study designed to test the feasibility of obtaining lists of ECDs </w:t>
      </w:r>
      <w:r w:rsidR="00E8426D">
        <w:lastRenderedPageBreak/>
        <w:t>from these three areas of employment</w:t>
      </w:r>
      <w:r w:rsidR="00C0339F">
        <w:t xml:space="preserve"> and then sampling and surveying ECDs based on these institutional lists</w:t>
      </w:r>
      <w:r w:rsidR="006D6452">
        <w:rPr>
          <w:rStyle w:val="FootnoteReference"/>
        </w:rPr>
        <w:footnoteReference w:id="2"/>
      </w:r>
      <w:r w:rsidR="00E8149D">
        <w:t xml:space="preserve">. </w:t>
      </w:r>
      <w:r w:rsidR="00E8426D">
        <w:t>The methodological study was design</w:t>
      </w:r>
      <w:r w:rsidR="00254C40">
        <w:t>ed</w:t>
      </w:r>
      <w:r w:rsidR="00E8426D">
        <w:t xml:space="preserve"> to test a data collection strategy that uses institutional contacts as the conduit for questionnaire dissemination to ECDs working in the above employment settings.</w:t>
      </w:r>
      <w:r w:rsidR="00CB4335">
        <w:t xml:space="preserve"> </w:t>
      </w:r>
      <w:r w:rsidR="00E8426D">
        <w:t>This data collection strategy will be used in the pilot survey of ECD (Pilot ECD Survey).</w:t>
      </w:r>
      <w:r w:rsidR="00CB4335">
        <w:t xml:space="preserve"> </w:t>
      </w:r>
      <w:r w:rsidR="00E8426D">
        <w:t>The Pilot ECD Survey will be a two stage sample survey design.</w:t>
      </w:r>
    </w:p>
    <w:p w:rsidR="004F73BC" w:rsidRDefault="00C12048" w:rsidP="007F5EC6">
      <w:pPr>
        <w:pStyle w:val="Default"/>
        <w:spacing w:after="120"/>
      </w:pPr>
      <w:r>
        <w:t xml:space="preserve">Completed in February 2013, the </w:t>
      </w:r>
      <w:r w:rsidR="009A6991">
        <w:t>methodological study</w:t>
      </w:r>
      <w:r w:rsidRPr="00362D17">
        <w:t xml:space="preserve"> </w:t>
      </w:r>
      <w:r w:rsidR="00AD7281">
        <w:t>provided substantial evidence that institutions in the target population can build sampling frames for their ECDs and that NCSES can successfully contact and survey these individuals through the information on these frames.</w:t>
      </w:r>
      <w:r w:rsidR="009D5E3D" w:rsidRPr="009D5E3D">
        <w:t xml:space="preserve"> </w:t>
      </w:r>
      <w:r w:rsidR="009D5E3D">
        <w:t>As of the close of data collection</w:t>
      </w:r>
      <w:r w:rsidR="004F73BC">
        <w:t>:</w:t>
      </w:r>
    </w:p>
    <w:p w:rsidR="004F73BC" w:rsidRDefault="009D5E3D" w:rsidP="005B0221">
      <w:pPr>
        <w:pStyle w:val="Default"/>
        <w:numPr>
          <w:ilvl w:val="0"/>
          <w:numId w:val="10"/>
        </w:numPr>
        <w:spacing w:before="60" w:after="100" w:afterAutospacing="1"/>
        <w:ind w:left="288" w:hanging="288"/>
      </w:pPr>
      <w:r>
        <w:t>74 of 81 institutions had agree to participate</w:t>
      </w:r>
      <w:r w:rsidR="00A5737B">
        <w:t>,</w:t>
      </w:r>
    </w:p>
    <w:p w:rsidR="00A5737B" w:rsidRDefault="009D5E3D" w:rsidP="005B0221">
      <w:pPr>
        <w:pStyle w:val="Default"/>
        <w:numPr>
          <w:ilvl w:val="0"/>
          <w:numId w:val="10"/>
        </w:numPr>
        <w:spacing w:before="60" w:after="100" w:afterAutospacing="1"/>
        <w:ind w:left="288" w:hanging="288"/>
      </w:pPr>
      <w:r>
        <w:t>5</w:t>
      </w:r>
      <w:r w:rsidR="007F28F1">
        <w:t>6</w:t>
      </w:r>
      <w:r>
        <w:t xml:space="preserve"> institutions had provided lists of their ECD</w:t>
      </w:r>
      <w:r w:rsidR="00B658E2">
        <w:t>s</w:t>
      </w:r>
      <w:r w:rsidR="00A5737B">
        <w:t>,</w:t>
      </w:r>
    </w:p>
    <w:p w:rsidR="004F73BC" w:rsidRDefault="009D5E3D" w:rsidP="005B0221">
      <w:pPr>
        <w:pStyle w:val="Default"/>
        <w:numPr>
          <w:ilvl w:val="0"/>
          <w:numId w:val="10"/>
        </w:numPr>
        <w:spacing w:before="60" w:after="100" w:afterAutospacing="1"/>
        <w:ind w:left="288" w:hanging="288"/>
      </w:pPr>
      <w:r>
        <w:t xml:space="preserve">2,115 individuals </w:t>
      </w:r>
      <w:r w:rsidR="00A5737B">
        <w:t>had been sampled from these lists and asked to complete a 30-minute questionnaire, and</w:t>
      </w:r>
    </w:p>
    <w:p w:rsidR="00AD7281" w:rsidRDefault="009D5E3D" w:rsidP="005B0221">
      <w:pPr>
        <w:pStyle w:val="Default"/>
        <w:numPr>
          <w:ilvl w:val="0"/>
          <w:numId w:val="10"/>
        </w:numPr>
        <w:spacing w:before="60" w:after="100" w:afterAutospacing="1"/>
        <w:ind w:left="288" w:hanging="288"/>
      </w:pPr>
      <w:r>
        <w:t xml:space="preserve">1,294 respondents had completed the survey. </w:t>
      </w:r>
    </w:p>
    <w:p w:rsidR="00FB416F" w:rsidRDefault="009D5E3D" w:rsidP="005B0221">
      <w:pPr>
        <w:pStyle w:val="Default"/>
        <w:spacing w:after="100" w:afterAutospacing="1"/>
      </w:pPr>
      <w:r>
        <w:t>In total, 7</w:t>
      </w:r>
      <w:r w:rsidR="006D68D6">
        <w:t>1.8</w:t>
      </w:r>
      <w:r>
        <w:t xml:space="preserve">% of sampled individuals responded </w:t>
      </w:r>
      <w:r w:rsidR="00A5737B">
        <w:t xml:space="preserve">to the survey invitation in </w:t>
      </w:r>
      <w:r>
        <w:t xml:space="preserve">some way and 70.6% responded sufficiently to determine whether they were </w:t>
      </w:r>
      <w:r w:rsidR="00A5737B">
        <w:t xml:space="preserve">an </w:t>
      </w:r>
      <w:r>
        <w:t>ECD</w:t>
      </w:r>
      <w:r w:rsidR="00E8149D">
        <w:t xml:space="preserve">. </w:t>
      </w:r>
      <w:r w:rsidR="00984728">
        <w:t xml:space="preserve">Of the respondents in the 39 institutions that had highest degree and year of highest degree on their administrative databases, </w:t>
      </w:r>
      <w:r>
        <w:t xml:space="preserve">97.8% </w:t>
      </w:r>
      <w:r w:rsidR="00984728">
        <w:t>were ECDs</w:t>
      </w:r>
      <w:r w:rsidR="00FB416F">
        <w:t xml:space="preserve">. Of </w:t>
      </w:r>
      <w:r w:rsidR="00B21A5E">
        <w:t xml:space="preserve">the </w:t>
      </w:r>
      <w:r w:rsidR="00FB416F">
        <w:t xml:space="preserve">respondents from the 17 institutions that did not have highest degree and year of degree for all employees, </w:t>
      </w:r>
      <w:r w:rsidR="00FB416F" w:rsidRPr="0031117E">
        <w:t xml:space="preserve">92.3% of those </w:t>
      </w:r>
      <w:r w:rsidR="00FB416F">
        <w:t xml:space="preserve">sampled from the </w:t>
      </w:r>
      <w:r w:rsidR="00FB416F" w:rsidRPr="0031117E">
        <w:t xml:space="preserve">likely ECD stratum </w:t>
      </w:r>
      <w:r w:rsidR="00FB416F">
        <w:t xml:space="preserve">were confirmed to be </w:t>
      </w:r>
      <w:r w:rsidR="00FB416F" w:rsidRPr="0031117E">
        <w:t>ECDs</w:t>
      </w:r>
      <w:r w:rsidR="00FB416F">
        <w:t xml:space="preserve">, 72.3% of </w:t>
      </w:r>
      <w:r w:rsidR="00B21A5E">
        <w:t xml:space="preserve">those </w:t>
      </w:r>
      <w:r w:rsidR="00FB416F">
        <w:t>sampled from the possible ECD stratum were ECDs,</w:t>
      </w:r>
      <w:r w:rsidR="00FB416F" w:rsidRPr="0031117E">
        <w:t xml:space="preserve"> and 18.8% of </w:t>
      </w:r>
      <w:r w:rsidR="00B21A5E">
        <w:t>those sampled from</w:t>
      </w:r>
      <w:r w:rsidR="00FB416F" w:rsidRPr="0031117E">
        <w:t xml:space="preserve"> the </w:t>
      </w:r>
      <w:r w:rsidR="00FB416F">
        <w:t>un</w:t>
      </w:r>
      <w:r w:rsidR="00FB416F" w:rsidRPr="0031117E">
        <w:t xml:space="preserve">likely ECD stratum </w:t>
      </w:r>
      <w:r w:rsidR="00FB416F">
        <w:t xml:space="preserve">were </w:t>
      </w:r>
      <w:r w:rsidR="00FB416F" w:rsidRPr="0031117E">
        <w:t>ECDs</w:t>
      </w:r>
      <w:r w:rsidR="00FB416F">
        <w:t>.</w:t>
      </w:r>
      <w:r w:rsidR="00D463D8">
        <w:rPr>
          <w:rStyle w:val="FootnoteReference"/>
        </w:rPr>
        <w:footnoteReference w:id="3"/>
      </w:r>
      <w:r w:rsidR="00D463D8">
        <w:t xml:space="preserve"> </w:t>
      </w:r>
      <w:r w:rsidR="00FB416F">
        <w:t>The overall number of ECDs</w:t>
      </w:r>
      <w:r w:rsidR="00D463D8">
        <w:t xml:space="preserve"> (or possible and likely ECDs)</w:t>
      </w:r>
      <w:r w:rsidR="00FB416F">
        <w:t xml:space="preserve"> listed by </w:t>
      </w:r>
      <w:r w:rsidR="00D463D8">
        <w:t xml:space="preserve">participating </w:t>
      </w:r>
      <w:r w:rsidR="00FB416F">
        <w:t>institution</w:t>
      </w:r>
      <w:r w:rsidR="00D463D8">
        <w:t>s</w:t>
      </w:r>
      <w:r w:rsidR="00FB416F">
        <w:t xml:space="preserve"> corresponded closely with the number ECDs estimated prior to the survey based on the GSS and IPEDS data. </w:t>
      </w:r>
      <w:r w:rsidR="00D463D8">
        <w:t xml:space="preserve">Taken together, these findings </w:t>
      </w:r>
      <w:r w:rsidR="00254C40">
        <w:t xml:space="preserve">support the premise </w:t>
      </w:r>
      <w:r w:rsidR="00D463D8">
        <w:t xml:space="preserve">that </w:t>
      </w:r>
      <w:r w:rsidR="0025477A">
        <w:t>participating institutions can provide high quality information about the ECDs working at their institution and that NCSES can use this information to sample and survey ECDs within the target population.</w:t>
      </w:r>
    </w:p>
    <w:p w:rsidR="00EF5849" w:rsidRDefault="00EF5849" w:rsidP="005B0221">
      <w:pPr>
        <w:pStyle w:val="Default"/>
        <w:spacing w:after="100" w:afterAutospacing="1"/>
      </w:pPr>
      <w:r>
        <w:t xml:space="preserve">The </w:t>
      </w:r>
      <w:r w:rsidR="009624B7">
        <w:t xml:space="preserve">Pilot </w:t>
      </w:r>
      <w:r>
        <w:t>ECD</w:t>
      </w:r>
      <w:r w:rsidR="0025477A">
        <w:t xml:space="preserve"> </w:t>
      </w:r>
      <w:r>
        <w:t>S</w:t>
      </w:r>
      <w:r w:rsidR="0025477A">
        <w:t>urvey</w:t>
      </w:r>
      <w:r>
        <w:t xml:space="preserve"> will incorporate design changes based on findings from the methodological study</w:t>
      </w:r>
      <w:r w:rsidR="00AD7281">
        <w:t xml:space="preserve"> </w:t>
      </w:r>
      <w:r>
        <w:t xml:space="preserve">to </w:t>
      </w:r>
      <w:r w:rsidR="00AD7281">
        <w:t xml:space="preserve">improve </w:t>
      </w:r>
      <w:r>
        <w:t>response rates</w:t>
      </w:r>
      <w:r w:rsidR="00AD7281">
        <w:t>, maximize survey coverage, and reduce burden per respondent</w:t>
      </w:r>
      <w:r>
        <w:t xml:space="preserve">. </w:t>
      </w:r>
      <w:r w:rsidR="00254C40">
        <w:t>Through an i</w:t>
      </w:r>
      <w:r w:rsidR="00AD7281">
        <w:t>ncreas</w:t>
      </w:r>
      <w:r w:rsidR="00254C40">
        <w:t>ed</w:t>
      </w:r>
      <w:r w:rsidR="00AD7281">
        <w:t xml:space="preserve"> sample of institutions</w:t>
      </w:r>
      <w:r w:rsidR="00254C40">
        <w:t xml:space="preserve">, </w:t>
      </w:r>
      <w:r w:rsidR="001B68E0">
        <w:t xml:space="preserve">NSF </w:t>
      </w:r>
      <w:r w:rsidR="00254C40">
        <w:t xml:space="preserve">will </w:t>
      </w:r>
      <w:r w:rsidR="001B68E0">
        <w:t>produce national estimate</w:t>
      </w:r>
      <w:r w:rsidR="00AD7281">
        <w:t>s on</w:t>
      </w:r>
      <w:r>
        <w:t xml:space="preserve"> ECD</w:t>
      </w:r>
      <w:r w:rsidR="0025477A">
        <w:t>s</w:t>
      </w:r>
      <w:r>
        <w:t xml:space="preserve"> working in </w:t>
      </w:r>
      <w:r w:rsidR="00AD7281">
        <w:t xml:space="preserve">U.S. </w:t>
      </w:r>
      <w:r w:rsidR="00AD7281" w:rsidRPr="00362D17">
        <w:t xml:space="preserve">academic institutions, FFRDCs, and </w:t>
      </w:r>
      <w:r w:rsidR="00AD7281">
        <w:t xml:space="preserve">the </w:t>
      </w:r>
      <w:r w:rsidR="00AD7281" w:rsidRPr="00362D17">
        <w:t>NIH IRP</w:t>
      </w:r>
      <w:r>
        <w:t>.</w:t>
      </w:r>
      <w:r w:rsidR="00F84268">
        <w:t xml:space="preserve"> </w:t>
      </w:r>
      <w:r w:rsidR="00C706A6">
        <w:t>Results from the Pilot ECD Survey will be used to fine tune the full implementation of the Early Career Doctorates Survey.</w:t>
      </w:r>
    </w:p>
    <w:p w:rsidR="00495ADF" w:rsidRPr="009B561B" w:rsidRDefault="0055067F" w:rsidP="005B0221">
      <w:pPr>
        <w:pStyle w:val="Heading2"/>
        <w:spacing w:after="100" w:afterAutospacing="1"/>
      </w:pPr>
      <w:bookmarkStart w:id="3" w:name="_Toc350519987"/>
      <w:r w:rsidRPr="009B561B">
        <w:lastRenderedPageBreak/>
        <w:t>A.1</w:t>
      </w:r>
      <w:r w:rsidRPr="009B561B">
        <w:tab/>
        <w:t>Need for Data Collection and Legislative Authorization</w:t>
      </w:r>
      <w:bookmarkEnd w:id="3"/>
    </w:p>
    <w:p w:rsidR="005B0221" w:rsidRDefault="0055067F" w:rsidP="005B0221">
      <w:pPr>
        <w:pStyle w:val="BodyText1"/>
        <w:spacing w:after="100" w:afterAutospacing="1" w:line="240" w:lineRule="auto"/>
        <w:ind w:firstLine="0"/>
      </w:pPr>
      <w:r w:rsidRPr="009B561B">
        <w:t xml:space="preserve">The authority to collect information for the </w:t>
      </w:r>
      <w:r w:rsidR="009624B7">
        <w:t xml:space="preserve">Pilot </w:t>
      </w:r>
      <w:r w:rsidR="00C674B6">
        <w:t>ECD</w:t>
      </w:r>
      <w:r w:rsidR="0025477A">
        <w:t xml:space="preserve"> </w:t>
      </w:r>
      <w:r w:rsidR="00C674B6">
        <w:t>S</w:t>
      </w:r>
      <w:r w:rsidR="0025477A">
        <w:t>urvey</w:t>
      </w:r>
      <w:r w:rsidRPr="009B561B">
        <w:t xml:space="preserve"> is established under the National Science Foundation Act of 1950, as amended, Public Law 507</w:t>
      </w:r>
      <w:r w:rsidR="001134BA">
        <w:t xml:space="preserve"> (42 U.S.C. 1862), Section 3(a) </w:t>
      </w:r>
      <w:r w:rsidRPr="009B561B">
        <w:t xml:space="preserve">(6), which directs NSF </w:t>
      </w:r>
      <w:r w:rsidR="002E0D41" w:rsidRPr="009B561B">
        <w:t>“…</w:t>
      </w:r>
      <w:r w:rsidRPr="009B561B">
        <w:t>to provide a central clearinghouse for the collection, interpretation, and analysis of data on scientific and engineering resources and to provide a source of information for policy formation by other agencies of the federal government</w:t>
      </w:r>
      <w:r w:rsidR="002E0D41" w:rsidRPr="009B561B">
        <w:t>…”</w:t>
      </w:r>
      <w:r w:rsidRPr="009B561B">
        <w:t xml:space="preserve"> </w:t>
      </w:r>
    </w:p>
    <w:p w:rsidR="008C078B" w:rsidRDefault="0055067F" w:rsidP="005B0221">
      <w:pPr>
        <w:pStyle w:val="BodyText1"/>
        <w:spacing w:after="100" w:afterAutospacing="1" w:line="240" w:lineRule="auto"/>
        <w:ind w:firstLine="0"/>
      </w:pPr>
      <w:r w:rsidRPr="009B561B">
        <w:t>Furthermor</w:t>
      </w:r>
      <w:r w:rsidR="001134BA">
        <w:t>e, Executive Order 10521 (March </w:t>
      </w:r>
      <w:r w:rsidRPr="009B561B">
        <w:t xml:space="preserve">17, 1954) states: </w:t>
      </w:r>
      <w:r w:rsidR="002E0D41" w:rsidRPr="009B561B">
        <w:t>“</w:t>
      </w:r>
      <w:r w:rsidRPr="009B561B">
        <w:t>The Foundation shall continue to make comprehensive studies and recommendations regarding the Nation</w:t>
      </w:r>
      <w:r w:rsidR="002E0D41" w:rsidRPr="009B561B">
        <w:t>’</w:t>
      </w:r>
      <w:r w:rsidRPr="009B561B">
        <w:t>s scientific research effort and its resources for scientific activities, including facilities and scientific personnel, and its foreseeable scientific needs, with particular attention to the extent of the federal government</w:t>
      </w:r>
      <w:r w:rsidR="002E0D41" w:rsidRPr="009B561B">
        <w:t>’</w:t>
      </w:r>
      <w:r w:rsidRPr="009B561B">
        <w:t>s activities and the resulting effects upon trained scientific personnel.</w:t>
      </w:r>
      <w:r w:rsidR="002E0D41" w:rsidRPr="009B561B">
        <w:t>”</w:t>
      </w:r>
      <w:r w:rsidR="00CB4335">
        <w:t xml:space="preserve"> </w:t>
      </w:r>
      <w:r w:rsidR="008C078B">
        <w:t xml:space="preserve">More recently, </w:t>
      </w:r>
      <w:r w:rsidR="008C078B" w:rsidRPr="008C078B">
        <w:t>NCSES was established within the National Science Foundation by Section 505 of the America COMPETES Reauthorization Act of 2010</w:t>
      </w:r>
      <w:r w:rsidR="008C078B">
        <w:t xml:space="preserve"> and given a broader mandate to collect data related to</w:t>
      </w:r>
      <w:r w:rsidR="008C078B" w:rsidRPr="008C078B">
        <w:t xml:space="preserve"> </w:t>
      </w:r>
      <w:r w:rsidR="008C078B">
        <w:t>STEM education</w:t>
      </w:r>
      <w:r w:rsidR="00C674B6">
        <w:t>,</w:t>
      </w:r>
      <w:r w:rsidR="008C078B">
        <w:t xml:space="preserve"> the science and engineering workforce, and U.S. competitiveness in science, engineering, technology, and R&amp;D</w:t>
      </w:r>
      <w:r w:rsidR="00CF1E22">
        <w:t>.</w:t>
      </w:r>
    </w:p>
    <w:p w:rsidR="008C078B" w:rsidRDefault="0055067F" w:rsidP="005B0221">
      <w:pPr>
        <w:pStyle w:val="BodyText1"/>
        <w:spacing w:after="100" w:afterAutospacing="1" w:line="240" w:lineRule="auto"/>
        <w:ind w:firstLine="0"/>
      </w:pPr>
      <w:r w:rsidRPr="009B561B">
        <w:t xml:space="preserve">The </w:t>
      </w:r>
      <w:r w:rsidR="009624B7">
        <w:t xml:space="preserve">Pilot </w:t>
      </w:r>
      <w:r w:rsidR="009A6991">
        <w:t>ECD Survey</w:t>
      </w:r>
      <w:r w:rsidR="00104AB6">
        <w:t xml:space="preserve"> will </w:t>
      </w:r>
      <w:r w:rsidR="007F32FE">
        <w:t>greatly enhance</w:t>
      </w:r>
      <w:r w:rsidR="00D32F55">
        <w:t xml:space="preserve"> the center’s current </w:t>
      </w:r>
      <w:r w:rsidR="008448B0">
        <w:t xml:space="preserve">postdoc-related </w:t>
      </w:r>
      <w:r w:rsidR="00D32F55">
        <w:t>data collections and provide</w:t>
      </w:r>
      <w:r w:rsidRPr="009B561B">
        <w:t xml:space="preserve"> critical information </w:t>
      </w:r>
      <w:r w:rsidR="00D676A3" w:rsidRPr="00D676A3">
        <w:t xml:space="preserve">that </w:t>
      </w:r>
      <w:r w:rsidR="00D32F55">
        <w:t xml:space="preserve">will be </w:t>
      </w:r>
      <w:r w:rsidRPr="00D676A3">
        <w:t>used</w:t>
      </w:r>
      <w:r w:rsidRPr="009B561B">
        <w:t xml:space="preserve"> to meet </w:t>
      </w:r>
      <w:r w:rsidR="00D32F55">
        <w:t>NSF’s</w:t>
      </w:r>
      <w:r w:rsidRPr="009B561B">
        <w:t xml:space="preserve"> responsibilities under the Act</w:t>
      </w:r>
      <w:r w:rsidR="00AA3912">
        <w:t>s</w:t>
      </w:r>
      <w:r w:rsidRPr="009B561B">
        <w:t xml:space="preserve"> and the Executive Order.</w:t>
      </w:r>
    </w:p>
    <w:p w:rsidR="0055067F" w:rsidRPr="009B561B" w:rsidRDefault="0055067F" w:rsidP="005B0221">
      <w:pPr>
        <w:pStyle w:val="Heading2"/>
        <w:spacing w:after="100" w:afterAutospacing="1"/>
      </w:pPr>
      <w:bookmarkStart w:id="4" w:name="_Toc286415816"/>
      <w:bookmarkStart w:id="5" w:name="_Toc350519988"/>
      <w:bookmarkStart w:id="6" w:name="_Toc88033460"/>
      <w:r w:rsidRPr="009B561B">
        <w:t>A.2</w:t>
      </w:r>
      <w:r w:rsidRPr="009B561B">
        <w:tab/>
        <w:t xml:space="preserve">How, </w:t>
      </w:r>
      <w:r w:rsidR="00D676A3">
        <w:t>b</w:t>
      </w:r>
      <w:r w:rsidRPr="009B561B">
        <w:t>y Whom, and for What Purpose the Information Is to Be Used</w:t>
      </w:r>
      <w:bookmarkEnd w:id="4"/>
      <w:bookmarkEnd w:id="5"/>
    </w:p>
    <w:p w:rsidR="008C67C1" w:rsidRDefault="007D7699" w:rsidP="005B0221">
      <w:pPr>
        <w:pStyle w:val="Default"/>
        <w:spacing w:after="100" w:afterAutospacing="1"/>
      </w:pPr>
      <w:r>
        <w:t xml:space="preserve">The proposed data collection will yield the first national estimates of the total ECD population </w:t>
      </w:r>
      <w:r w:rsidRPr="00EF098B">
        <w:t xml:space="preserve">employed by U.S. </w:t>
      </w:r>
      <w:r>
        <w:t>academic institutions, FFRDCs and</w:t>
      </w:r>
      <w:r w:rsidRPr="00EF098B">
        <w:t xml:space="preserve"> NIH</w:t>
      </w:r>
      <w:r w:rsidR="006E28C8">
        <w:t xml:space="preserve"> </w:t>
      </w:r>
      <w:r w:rsidRPr="00EF098B">
        <w:t>IRPs</w:t>
      </w:r>
      <w:r w:rsidR="00E8149D">
        <w:t xml:space="preserve">. </w:t>
      </w:r>
      <w:r>
        <w:t xml:space="preserve">In addition, the data will provide estimates of this population by gender, citizenship, origin of </w:t>
      </w:r>
      <w:r w:rsidR="008C67C1">
        <w:t xml:space="preserve">doctoral </w:t>
      </w:r>
      <w:r>
        <w:t>degree, and field of study</w:t>
      </w:r>
      <w:r w:rsidR="00E8149D">
        <w:t xml:space="preserve">. </w:t>
      </w:r>
      <w:r w:rsidRPr="001273C8">
        <w:t xml:space="preserve">NSF will </w:t>
      </w:r>
      <w:r w:rsidR="007F32FE">
        <w:t xml:space="preserve">first </w:t>
      </w:r>
      <w:r w:rsidRPr="001273C8">
        <w:t xml:space="preserve">publish statistics from the survey </w:t>
      </w:r>
      <w:r w:rsidR="007F32FE">
        <w:t xml:space="preserve">in the NCSES’ </w:t>
      </w:r>
      <w:proofErr w:type="spellStart"/>
      <w:r w:rsidR="007F32FE">
        <w:t>InfoBriefs</w:t>
      </w:r>
      <w:proofErr w:type="spellEnd"/>
      <w:r w:rsidR="007F32FE">
        <w:t xml:space="preserve"> then </w:t>
      </w:r>
      <w:r w:rsidRPr="001273C8">
        <w:t xml:space="preserve">in reports, including </w:t>
      </w:r>
      <w:r w:rsidR="006B4C30">
        <w:t xml:space="preserve">the </w:t>
      </w:r>
      <w:r w:rsidRPr="001273C8">
        <w:t xml:space="preserve">NCSES’ Science and Engineering Indicators </w:t>
      </w:r>
      <w:r w:rsidR="008C67C1">
        <w:t xml:space="preserve">and </w:t>
      </w:r>
      <w:r>
        <w:t xml:space="preserve">the </w:t>
      </w:r>
      <w:r w:rsidRPr="00D2563B">
        <w:t>Women, Minorities and Persons with Disabilities in Science and Engineering</w:t>
      </w:r>
      <w:r>
        <w:t xml:space="preserve"> </w:t>
      </w:r>
      <w:r w:rsidR="008C67C1">
        <w:t>reports</w:t>
      </w:r>
      <w:r>
        <w:t>.</w:t>
      </w:r>
      <w:r w:rsidRPr="00D2563B">
        <w:rPr>
          <w:i/>
          <w:iCs/>
          <w:sz w:val="22"/>
          <w:szCs w:val="22"/>
        </w:rPr>
        <w:t xml:space="preserve"> </w:t>
      </w:r>
    </w:p>
    <w:p w:rsidR="0055067F" w:rsidRPr="009B561B" w:rsidRDefault="007D7699" w:rsidP="005B0221">
      <w:pPr>
        <w:pStyle w:val="Default"/>
        <w:spacing w:after="100" w:afterAutospacing="1"/>
      </w:pPr>
      <w:r w:rsidRPr="001273C8">
        <w:t>Restricted-use and public use data files will also be developed.</w:t>
      </w:r>
      <w:r>
        <w:t xml:space="preserve"> </w:t>
      </w:r>
      <w:r w:rsidR="008C67C1">
        <w:t xml:space="preserve">Public-use data will be available through NSF website; access to restricted-use data files will be assessed and granted on a case-by-case basis with licensees signing affidavits of nondisclosure. </w:t>
      </w:r>
      <w:r>
        <w:t>Likely users of the data include the National Postdoc</w:t>
      </w:r>
      <w:r w:rsidR="00E858E7">
        <w:t>toral</w:t>
      </w:r>
      <w:r>
        <w:t xml:space="preserve"> Association (NPA), the </w:t>
      </w:r>
      <w:r w:rsidRPr="003F0782">
        <w:t>American Association for the Advancement of Science</w:t>
      </w:r>
      <w:r>
        <w:t xml:space="preserve"> (AAAS), the Council of Graduate Schools (CGS)</w:t>
      </w:r>
      <w:r w:rsidR="008C67C1">
        <w:t>, the American Association of Medical Colleges (AAMC)</w:t>
      </w:r>
      <w:r w:rsidR="00E858E7">
        <w:t xml:space="preserve">, the Association of American Universities (AAU), the National Institutes of Health (NIH), and the Organization </w:t>
      </w:r>
      <w:r w:rsidR="002D7DA9">
        <w:t>for Economic Cooperation and Development (OECD)</w:t>
      </w:r>
      <w:r w:rsidR="00E8149D">
        <w:t xml:space="preserve">. </w:t>
      </w:r>
      <w:r w:rsidR="008C67C1">
        <w:t>P</w:t>
      </w:r>
      <w:r>
        <w:t>ossible uses of the data include descriptive statistics on the employment</w:t>
      </w:r>
      <w:r w:rsidR="006140B0">
        <w:t xml:space="preserve"> and productivity</w:t>
      </w:r>
      <w:r>
        <w:t xml:space="preserve"> of postdocs and other ECD</w:t>
      </w:r>
      <w:r w:rsidR="0025477A">
        <w:t>s</w:t>
      </w:r>
      <w:r>
        <w:t>,</w:t>
      </w:r>
      <w:r w:rsidR="006140B0">
        <w:t xml:space="preserve"> </w:t>
      </w:r>
      <w:r>
        <w:t xml:space="preserve">the </w:t>
      </w:r>
      <w:r w:rsidR="006140B0">
        <w:t>pathways followed by ECD</w:t>
      </w:r>
      <w:r w:rsidR="0025477A">
        <w:t>s</w:t>
      </w:r>
      <w:r w:rsidR="006140B0">
        <w:t xml:space="preserve">, and their future career </w:t>
      </w:r>
      <w:r>
        <w:t>plan</w:t>
      </w:r>
      <w:r w:rsidR="006140B0">
        <w:t>s, includ</w:t>
      </w:r>
      <w:r w:rsidR="008448B0">
        <w:t>ing</w:t>
      </w:r>
      <w:r w:rsidR="006140B0">
        <w:t xml:space="preserve"> plans</w:t>
      </w:r>
      <w:r>
        <w:t xml:space="preserve"> to </w:t>
      </w:r>
      <w:r w:rsidR="006140B0">
        <w:t xml:space="preserve">work outside the </w:t>
      </w:r>
      <w:r>
        <w:t>U</w:t>
      </w:r>
      <w:r w:rsidR="006140B0">
        <w:t xml:space="preserve">nited </w:t>
      </w:r>
      <w:r>
        <w:t>S</w:t>
      </w:r>
      <w:r w:rsidR="006140B0">
        <w:t>tates</w:t>
      </w:r>
      <w:r>
        <w:t>.</w:t>
      </w:r>
    </w:p>
    <w:p w:rsidR="0055067F" w:rsidRPr="009B561B" w:rsidRDefault="0055067F" w:rsidP="005B0221">
      <w:pPr>
        <w:pStyle w:val="Heading2"/>
        <w:spacing w:after="100" w:afterAutospacing="1"/>
      </w:pPr>
      <w:bookmarkStart w:id="7" w:name="_Toc88033467"/>
      <w:bookmarkStart w:id="8" w:name="_Toc286415821"/>
      <w:bookmarkStart w:id="9" w:name="_Toc350519994"/>
      <w:bookmarkStart w:id="10" w:name="_Toc88033471"/>
      <w:bookmarkEnd w:id="6"/>
      <w:r w:rsidRPr="009B561B">
        <w:t>A.3</w:t>
      </w:r>
      <w:r w:rsidRPr="009B561B">
        <w:tab/>
      </w:r>
      <w:bookmarkEnd w:id="7"/>
      <w:r w:rsidRPr="009B561B">
        <w:t>Consideration of Using Improved Technology</w:t>
      </w:r>
      <w:bookmarkEnd w:id="8"/>
      <w:bookmarkEnd w:id="9"/>
    </w:p>
    <w:p w:rsidR="00104AB6" w:rsidRDefault="00104AB6" w:rsidP="005B0221">
      <w:pPr>
        <w:pStyle w:val="BodyText1"/>
        <w:spacing w:after="100" w:afterAutospacing="1" w:line="240" w:lineRule="auto"/>
        <w:ind w:firstLine="0"/>
      </w:pPr>
      <w:r>
        <w:t xml:space="preserve">The primary form of communication and response for both institutional and individual participation is electronic. At the institutional level, communications with high authorities (HAs) </w:t>
      </w:r>
      <w:r>
        <w:lastRenderedPageBreak/>
        <w:t xml:space="preserve">and list coordinators (LCs) will be primarily conducted through </w:t>
      </w:r>
      <w:r w:rsidR="006B749A">
        <w:t>e-mail</w:t>
      </w:r>
      <w:r>
        <w:t>. Contingent upon the contact protocol to which the institution is assigned, HAs</w:t>
      </w:r>
      <w:r w:rsidR="00645407">
        <w:t xml:space="preserve"> who are asked to send pre-notification </w:t>
      </w:r>
      <w:r w:rsidR="006B749A">
        <w:t>e-mail</w:t>
      </w:r>
      <w:r w:rsidR="00645407">
        <w:t>s</w:t>
      </w:r>
      <w:r w:rsidR="006E4E90">
        <w:t>,</w:t>
      </w:r>
      <w:r>
        <w:t xml:space="preserve"> will be provided a tool that will</w:t>
      </w:r>
      <w:r w:rsidR="00645407">
        <w:t xml:space="preserve"> make</w:t>
      </w:r>
      <w:r>
        <w:t xml:space="preserve"> </w:t>
      </w:r>
      <w:r w:rsidR="00645407">
        <w:t>the process more efficient</w:t>
      </w:r>
      <w:r>
        <w:t xml:space="preserve">. </w:t>
      </w:r>
      <w:r w:rsidR="00A16B5C">
        <w:t xml:space="preserve">At the individual level, communications will also be primarily through </w:t>
      </w:r>
      <w:r w:rsidR="006B749A">
        <w:t>e-mail</w:t>
      </w:r>
      <w:r w:rsidR="00A16B5C">
        <w:t xml:space="preserve">. Those who do not respond to initial </w:t>
      </w:r>
      <w:r w:rsidR="00645407">
        <w:t xml:space="preserve">e-mail </w:t>
      </w:r>
      <w:r w:rsidR="00A16B5C">
        <w:t>contacts will be follow</w:t>
      </w:r>
      <w:r w:rsidR="00645407">
        <w:t>ed</w:t>
      </w:r>
      <w:r w:rsidR="00A16B5C">
        <w:t>-up with through telephone calls</w:t>
      </w:r>
      <w:r w:rsidR="00645407">
        <w:t xml:space="preserve"> and mail</w:t>
      </w:r>
      <w:r w:rsidR="00A16B5C">
        <w:t xml:space="preserve">. </w:t>
      </w:r>
    </w:p>
    <w:p w:rsidR="00D32CEA" w:rsidRDefault="00EF231A" w:rsidP="005B0221">
      <w:pPr>
        <w:pStyle w:val="BodyText1"/>
        <w:spacing w:after="100" w:afterAutospacing="1" w:line="240" w:lineRule="auto"/>
        <w:ind w:firstLine="0"/>
      </w:pPr>
      <w:r>
        <w:t xml:space="preserve">The </w:t>
      </w:r>
      <w:r w:rsidR="009624B7">
        <w:t xml:space="preserve">Pilot </w:t>
      </w:r>
      <w:r w:rsidR="00104AB6">
        <w:t>ECD</w:t>
      </w:r>
      <w:r w:rsidR="00AA20DE">
        <w:t xml:space="preserve"> </w:t>
      </w:r>
      <w:r w:rsidR="00104AB6">
        <w:t>S</w:t>
      </w:r>
      <w:r w:rsidR="00AA20DE">
        <w:t>urvey</w:t>
      </w:r>
      <w:r w:rsidR="00104AB6">
        <w:t xml:space="preserve"> respondents will have two methods by which to participate in the s</w:t>
      </w:r>
      <w:r w:rsidR="00AA20DE">
        <w:t>urvey</w:t>
      </w:r>
      <w:r w:rsidR="00104AB6">
        <w:t xml:space="preserve">. The primary method </w:t>
      </w:r>
      <w:r w:rsidR="00AA20DE">
        <w:t xml:space="preserve">will be </w:t>
      </w:r>
      <w:r w:rsidR="007F32FE">
        <w:t xml:space="preserve">via </w:t>
      </w:r>
      <w:r w:rsidR="00104AB6">
        <w:t xml:space="preserve">Web </w:t>
      </w:r>
      <w:r w:rsidR="00AA20DE">
        <w:t>questionnaire</w:t>
      </w:r>
      <w:r w:rsidR="00104AB6">
        <w:t xml:space="preserve">. </w:t>
      </w:r>
      <w:r w:rsidR="00AA20DE">
        <w:t>The</w:t>
      </w:r>
      <w:r w:rsidR="00645407">
        <w:t xml:space="preserve"> secondary method </w:t>
      </w:r>
      <w:r w:rsidR="00AA20DE">
        <w:t xml:space="preserve">is </w:t>
      </w:r>
      <w:r w:rsidR="00645407">
        <w:t xml:space="preserve">completing the </w:t>
      </w:r>
      <w:r w:rsidR="00AA20DE">
        <w:t xml:space="preserve">Web </w:t>
      </w:r>
      <w:r w:rsidR="00D32CEA">
        <w:t>questionnaire</w:t>
      </w:r>
      <w:r w:rsidR="00645407">
        <w:t xml:space="preserve"> </w:t>
      </w:r>
      <w:r w:rsidR="00AA20DE">
        <w:t xml:space="preserve">through </w:t>
      </w:r>
      <w:r w:rsidR="00645407">
        <w:t>a telephone interview</w:t>
      </w:r>
      <w:r w:rsidR="00AA20DE">
        <w:t>, in which the telephone interview</w:t>
      </w:r>
      <w:r w:rsidR="00645407">
        <w:t>er</w:t>
      </w:r>
      <w:r w:rsidR="00AA20DE">
        <w:t xml:space="preserve"> would access the respondent</w:t>
      </w:r>
      <w:r w:rsidR="00224AD3">
        <w:t>’</w:t>
      </w:r>
      <w:r w:rsidR="00AA20DE">
        <w:t xml:space="preserve">s survey, read the questions, and record </w:t>
      </w:r>
      <w:r w:rsidR="00E24F7C">
        <w:t xml:space="preserve">his/her </w:t>
      </w:r>
      <w:r w:rsidR="00AA20DE">
        <w:t>responses</w:t>
      </w:r>
      <w:r w:rsidR="00272C50">
        <w:t xml:space="preserve">. </w:t>
      </w:r>
      <w:r w:rsidR="00D32CEA">
        <w:t>Limiting survey participation to a single Web instrument reduces the costs of creating multiple versions of the questionnaire, improves data consistency and quality</w:t>
      </w:r>
      <w:r w:rsidR="006E26EB">
        <w:t xml:space="preserve">, </w:t>
      </w:r>
      <w:r w:rsidR="00D32CEA">
        <w:t>eliminates costs associated with data entry</w:t>
      </w:r>
      <w:r w:rsidR="006E26EB">
        <w:t>, and reduces post completion processing time</w:t>
      </w:r>
      <w:r w:rsidR="00D32CEA" w:rsidRPr="009B561B">
        <w:t>.</w:t>
      </w:r>
    </w:p>
    <w:p w:rsidR="0055067F" w:rsidRPr="009B561B" w:rsidRDefault="00A16B5C" w:rsidP="005B0221">
      <w:pPr>
        <w:pStyle w:val="BodyText1"/>
        <w:spacing w:after="100" w:afterAutospacing="1" w:line="240" w:lineRule="auto"/>
        <w:ind w:firstLine="0"/>
      </w:pPr>
      <w:r>
        <w:t xml:space="preserve">The data collection system used for </w:t>
      </w:r>
      <w:r w:rsidR="009624B7">
        <w:t xml:space="preserve">Pilot </w:t>
      </w:r>
      <w:r>
        <w:t>ECD</w:t>
      </w:r>
      <w:r w:rsidR="00AA20DE">
        <w:t xml:space="preserve"> </w:t>
      </w:r>
      <w:r>
        <w:t>S</w:t>
      </w:r>
      <w:r w:rsidR="00AA20DE">
        <w:t>urvey</w:t>
      </w:r>
      <w:r>
        <w:t xml:space="preserve"> will be designed so that respondents are able to change modes of completion should the need arise (e.g., a respondent begins the survey in the Web version, breaks-off, and upon reminder call asks if it is possible to complete the survey with the telephone interviewer picking up where they broke-off).</w:t>
      </w:r>
      <w:r w:rsidR="00AA20DE">
        <w:t xml:space="preserve"> </w:t>
      </w:r>
      <w:r w:rsidR="0055067F" w:rsidRPr="009B561B">
        <w:t xml:space="preserve">The survey </w:t>
      </w:r>
      <w:r>
        <w:t>will have</w:t>
      </w:r>
      <w:r w:rsidR="0055067F" w:rsidRPr="009B561B">
        <w:t xml:space="preserve"> a real-time monitoring system, allowing</w:t>
      </w:r>
      <w:r w:rsidR="00D93230">
        <w:t xml:space="preserve"> </w:t>
      </w:r>
      <w:r w:rsidR="0055067F" w:rsidRPr="009B561B">
        <w:t>NSF to monitor response status</w:t>
      </w:r>
      <w:r w:rsidR="00D32CEA">
        <w:t xml:space="preserve"> by mode</w:t>
      </w:r>
      <w:r w:rsidR="0055067F" w:rsidRPr="009B561B">
        <w:t xml:space="preserve">, system problems, and comments from respondents. </w:t>
      </w:r>
      <w:r w:rsidR="00D32CEA">
        <w:t xml:space="preserve">The survey will also provide the respondent with information and their progress through the instrument and send an automated </w:t>
      </w:r>
      <w:r w:rsidR="006B749A">
        <w:t>e-mail</w:t>
      </w:r>
      <w:r w:rsidR="00D32CEA">
        <w:t xml:space="preserve"> confirming their completion and thanking them for their participation when they finish the questionnaire.</w:t>
      </w:r>
      <w:r w:rsidR="0055067F" w:rsidRPr="009B561B">
        <w:t xml:space="preserve"> </w:t>
      </w:r>
    </w:p>
    <w:p w:rsidR="0055067F" w:rsidRPr="009B561B" w:rsidRDefault="0055067F" w:rsidP="005B0221">
      <w:pPr>
        <w:pStyle w:val="Heading2"/>
        <w:spacing w:after="100" w:afterAutospacing="1"/>
      </w:pPr>
      <w:bookmarkStart w:id="11" w:name="_Toc88033468"/>
      <w:bookmarkStart w:id="12" w:name="_Toc286415822"/>
      <w:bookmarkStart w:id="13" w:name="_Toc350519995"/>
      <w:r w:rsidRPr="009B561B">
        <w:t>A.4</w:t>
      </w:r>
      <w:r w:rsidRPr="009B561B">
        <w:tab/>
      </w:r>
      <w:bookmarkEnd w:id="11"/>
      <w:r w:rsidRPr="009B561B">
        <w:t>Identification of Duplication</w:t>
      </w:r>
      <w:bookmarkEnd w:id="12"/>
      <w:bookmarkEnd w:id="13"/>
    </w:p>
    <w:p w:rsidR="000B2369" w:rsidRDefault="00662405" w:rsidP="00C53B98">
      <w:pPr>
        <w:pStyle w:val="BodyText1"/>
        <w:spacing w:after="100" w:afterAutospacing="1" w:line="240" w:lineRule="auto"/>
        <w:ind w:firstLine="0"/>
      </w:pPr>
      <w:r w:rsidRPr="002C6872">
        <w:t>S</w:t>
      </w:r>
      <w:r w:rsidR="00736CF9" w:rsidRPr="002C6872">
        <w:t xml:space="preserve">ome </w:t>
      </w:r>
      <w:r w:rsidR="006B7530" w:rsidRPr="002C6872">
        <w:t xml:space="preserve">overlap in terms of </w:t>
      </w:r>
      <w:r w:rsidRPr="002C6872">
        <w:t xml:space="preserve">target population and </w:t>
      </w:r>
      <w:r w:rsidR="00736CF9" w:rsidRPr="002C6872">
        <w:t>content exists with the Survey of Doctorate Recipients (SDR)</w:t>
      </w:r>
      <w:r w:rsidR="005260D1" w:rsidRPr="002C6872">
        <w:t xml:space="preserve"> and National Survey </w:t>
      </w:r>
      <w:r w:rsidR="0082175A" w:rsidRPr="002C6872">
        <w:t>of College Graduates</w:t>
      </w:r>
      <w:r w:rsidR="006B7530" w:rsidRPr="002C6872">
        <w:t xml:space="preserve"> (NSCG)</w:t>
      </w:r>
      <w:r w:rsidRPr="002C6872">
        <w:t xml:space="preserve">, however the </w:t>
      </w:r>
      <w:r w:rsidR="009624B7">
        <w:t xml:space="preserve">Pilot </w:t>
      </w:r>
      <w:r w:rsidR="009A6991">
        <w:t>ECD Survey</w:t>
      </w:r>
      <w:r w:rsidRPr="002C6872">
        <w:t xml:space="preserve"> will provide </w:t>
      </w:r>
      <w:r w:rsidR="007F32FE">
        <w:t xml:space="preserve">more comprehensive </w:t>
      </w:r>
      <w:r w:rsidRPr="002C6872">
        <w:t xml:space="preserve">coverage of </w:t>
      </w:r>
      <w:r w:rsidR="00A358E6">
        <w:t xml:space="preserve">its </w:t>
      </w:r>
      <w:r w:rsidRPr="002C6872">
        <w:t xml:space="preserve">target population (individuals working in U.S. academic institutions, FFRDCs, and NIH IRPs who earned their first doctorate within the last 10 years) than either the SDR or NSCG. </w:t>
      </w:r>
      <w:r w:rsidR="00FA267A" w:rsidRPr="002C6872">
        <w:t xml:space="preserve">The </w:t>
      </w:r>
      <w:r w:rsidR="009624B7">
        <w:t xml:space="preserve">Pilot </w:t>
      </w:r>
      <w:r w:rsidR="009A6991">
        <w:t>ECD Survey</w:t>
      </w:r>
      <w:r w:rsidR="00FA267A" w:rsidRPr="002C6872">
        <w:t xml:space="preserve"> will also provide more complete data on foreign degreed doctorate holders</w:t>
      </w:r>
      <w:r w:rsidR="009F6436">
        <w:t>.</w:t>
      </w:r>
      <w:r w:rsidR="00FA267A" w:rsidRPr="002C6872">
        <w:t xml:space="preserve"> </w:t>
      </w:r>
    </w:p>
    <w:p w:rsidR="00C53B98" w:rsidRDefault="00C53B98" w:rsidP="00C53B98">
      <w:pPr>
        <w:pStyle w:val="BodyText1"/>
        <w:spacing w:after="100" w:afterAutospacing="1" w:line="240" w:lineRule="auto"/>
        <w:ind w:firstLine="0"/>
      </w:pPr>
      <w:r w:rsidRPr="002C6872">
        <w:t xml:space="preserve">While both the SDR and NSCG gather basic data about current </w:t>
      </w:r>
      <w:r>
        <w:t>employment</w:t>
      </w:r>
      <w:r w:rsidRPr="002C6872">
        <w:t xml:space="preserve"> and prior work experience, the </w:t>
      </w:r>
      <w:r>
        <w:t>Pilot ECD Survey</w:t>
      </w:r>
      <w:r w:rsidRPr="002C6872">
        <w:t xml:space="preserve"> collects substantially more information about respondent work experiences, especially with regard to postdoc experiences, </w:t>
      </w:r>
      <w:r>
        <w:t xml:space="preserve">professional activities and achievements, </w:t>
      </w:r>
      <w:r w:rsidRPr="002C6872">
        <w:t xml:space="preserve">funding, and future career plans. As a result, the </w:t>
      </w:r>
      <w:r>
        <w:t>Pilot ECD Survey</w:t>
      </w:r>
      <w:r w:rsidRPr="002C6872">
        <w:t xml:space="preserve"> is the only comprehensive survey of recent </w:t>
      </w:r>
      <w:r w:rsidR="000B2369">
        <w:t xml:space="preserve">U.S. and non-U.S. </w:t>
      </w:r>
      <w:r w:rsidRPr="002C6872">
        <w:t>doctorate recipients working in the United States</w:t>
      </w:r>
      <w:r>
        <w:t xml:space="preserve">. </w:t>
      </w:r>
    </w:p>
    <w:p w:rsidR="002C6872" w:rsidRPr="002C6872" w:rsidRDefault="007F32FE" w:rsidP="005B0221">
      <w:pPr>
        <w:pStyle w:val="BodyText1"/>
        <w:spacing w:after="100" w:afterAutospacing="1" w:line="240" w:lineRule="auto"/>
        <w:ind w:firstLine="0"/>
      </w:pPr>
      <w:r>
        <w:t xml:space="preserve">Within a sample </w:t>
      </w:r>
      <w:r w:rsidR="00662405" w:rsidRPr="002C6872">
        <w:t>d</w:t>
      </w:r>
      <w:r>
        <w:t>rawn from</w:t>
      </w:r>
      <w:r w:rsidR="00662405" w:rsidRPr="002C6872">
        <w:t xml:space="preserve"> the Survey of Earned Doctorates, the SDR </w:t>
      </w:r>
      <w:r w:rsidR="00FA267A" w:rsidRPr="002C6872">
        <w:t xml:space="preserve">is a survey of individuals </w:t>
      </w:r>
      <w:r>
        <w:t>through</w:t>
      </w:r>
      <w:r w:rsidR="00FA267A" w:rsidRPr="002C6872">
        <w:t xml:space="preserve"> age 7</w:t>
      </w:r>
      <w:r w:rsidR="002112A9">
        <w:t>5</w:t>
      </w:r>
      <w:r w:rsidR="00FA267A" w:rsidRPr="002C6872">
        <w:t xml:space="preserve"> that earned their doctorate in a research field from a U.S. academic institution</w:t>
      </w:r>
      <w:r w:rsidR="00E8149D">
        <w:t xml:space="preserve">. </w:t>
      </w:r>
      <w:r w:rsidR="00FA267A" w:rsidRPr="002C6872">
        <w:t>Due to its frame</w:t>
      </w:r>
      <w:r w:rsidR="00662405" w:rsidRPr="002C6872">
        <w:t>, the</w:t>
      </w:r>
      <w:r w:rsidR="00FA267A" w:rsidRPr="002C6872">
        <w:t xml:space="preserve"> SDR </w:t>
      </w:r>
      <w:r w:rsidR="000B2369">
        <w:t>does not include</w:t>
      </w:r>
      <w:r w:rsidR="00FA267A" w:rsidRPr="002C6872">
        <w:t xml:space="preserve"> doctorate holders currently employed in the United States who </w:t>
      </w:r>
      <w:r w:rsidR="00662405" w:rsidRPr="002C6872">
        <w:t xml:space="preserve">earned professional doctorates </w:t>
      </w:r>
      <w:r w:rsidR="00FA267A" w:rsidRPr="002C6872">
        <w:t xml:space="preserve">or </w:t>
      </w:r>
      <w:r w:rsidR="00662405" w:rsidRPr="002C6872">
        <w:t>earned doctorates from institutions outside the United States.</w:t>
      </w:r>
      <w:r w:rsidR="002C6872" w:rsidRPr="002C6872">
        <w:t xml:space="preserve"> </w:t>
      </w:r>
      <w:r w:rsidR="00B21A5E">
        <w:t>Sample</w:t>
      </w:r>
      <w:r w:rsidR="00B21A5E" w:rsidRPr="002C6872">
        <w:t xml:space="preserve"> </w:t>
      </w:r>
      <w:r w:rsidR="002C6872" w:rsidRPr="002C6872">
        <w:t>overlap with the</w:t>
      </w:r>
      <w:r w:rsidR="00662405" w:rsidRPr="002C6872">
        <w:t xml:space="preserve"> NSCG </w:t>
      </w:r>
      <w:r w:rsidR="002C6872" w:rsidRPr="002C6872">
        <w:t xml:space="preserve">is also expected to be minimal as </w:t>
      </w:r>
      <w:r w:rsidR="00662405" w:rsidRPr="002C6872">
        <w:t>only a small fraction of their sample will be ECD</w:t>
      </w:r>
      <w:r w:rsidR="006E26EB">
        <w:t>s</w:t>
      </w:r>
      <w:r w:rsidR="00662405" w:rsidRPr="002C6872">
        <w:t xml:space="preserve">. </w:t>
      </w:r>
    </w:p>
    <w:p w:rsidR="002C6872" w:rsidRPr="002C6872" w:rsidRDefault="00A312AC" w:rsidP="005B0221">
      <w:pPr>
        <w:pStyle w:val="BodyText1"/>
        <w:spacing w:after="100" w:afterAutospacing="1" w:line="240" w:lineRule="auto"/>
        <w:ind w:firstLine="0"/>
      </w:pPr>
      <w:r>
        <w:lastRenderedPageBreak/>
        <w:t xml:space="preserve">The Pilot ECD Survey will attempt to contact all sample members, even those identified in the SDR sample, because the Pilot ECD Survey collects substantially more information. </w:t>
      </w:r>
      <w:r w:rsidR="00FA267A" w:rsidRPr="002C6872">
        <w:t xml:space="preserve">Of the 2,115 </w:t>
      </w:r>
      <w:r w:rsidR="00B21A5E">
        <w:t>individuals</w:t>
      </w:r>
      <w:r w:rsidR="00B21A5E" w:rsidRPr="002C6872">
        <w:t xml:space="preserve"> </w:t>
      </w:r>
      <w:r w:rsidR="00FA267A" w:rsidRPr="002C6872">
        <w:t>sampled in the methodological study, only 41</w:t>
      </w:r>
      <w:r w:rsidR="000B2369">
        <w:t xml:space="preserve"> (&lt;2%)</w:t>
      </w:r>
      <w:r w:rsidR="00FA267A" w:rsidRPr="002C6872">
        <w:t xml:space="preserve"> were in the 2013 SDR sample</w:t>
      </w:r>
      <w:r w:rsidR="00E8149D">
        <w:t xml:space="preserve">. </w:t>
      </w:r>
      <w:r>
        <w:t>The sample members identified in the SDR will receive a special letter describing their importance to the Pilot ECD Survey as well as the SDR.</w:t>
      </w:r>
    </w:p>
    <w:p w:rsidR="0055067F" w:rsidRPr="009B561B" w:rsidRDefault="0055067F" w:rsidP="005B0221">
      <w:pPr>
        <w:pStyle w:val="Heading2"/>
        <w:spacing w:after="100" w:afterAutospacing="1"/>
      </w:pPr>
      <w:bookmarkStart w:id="14" w:name="_Toc88033469"/>
      <w:bookmarkStart w:id="15" w:name="_Toc286415823"/>
      <w:bookmarkStart w:id="16" w:name="_Toc350519996"/>
      <w:r w:rsidRPr="009B561B">
        <w:t>A.5</w:t>
      </w:r>
      <w:r w:rsidRPr="009B561B">
        <w:tab/>
      </w:r>
      <w:bookmarkEnd w:id="14"/>
      <w:r w:rsidRPr="009B561B">
        <w:t>Small Businesses Involvement</w:t>
      </w:r>
      <w:bookmarkEnd w:id="15"/>
      <w:bookmarkEnd w:id="16"/>
    </w:p>
    <w:p w:rsidR="0055067F" w:rsidRPr="009B561B" w:rsidRDefault="00645407" w:rsidP="005B0221">
      <w:pPr>
        <w:pStyle w:val="BodyText1"/>
        <w:spacing w:after="100" w:afterAutospacing="1" w:line="240" w:lineRule="auto"/>
        <w:ind w:firstLine="0"/>
      </w:pPr>
      <w:r>
        <w:t>Not applicable. Small businesses will not be included in this round of data collection.</w:t>
      </w:r>
    </w:p>
    <w:p w:rsidR="0055067F" w:rsidRPr="009B561B" w:rsidRDefault="0055067F" w:rsidP="005B0221">
      <w:pPr>
        <w:pStyle w:val="Heading2"/>
        <w:spacing w:after="100" w:afterAutospacing="1"/>
      </w:pPr>
      <w:bookmarkStart w:id="17" w:name="_Toc88033470"/>
      <w:bookmarkStart w:id="18" w:name="_Toc286415824"/>
      <w:bookmarkStart w:id="19" w:name="_Toc350519997"/>
      <w:r w:rsidRPr="009B561B">
        <w:t>A.6</w:t>
      </w:r>
      <w:r w:rsidRPr="009B561B">
        <w:tab/>
      </w:r>
      <w:bookmarkEnd w:id="17"/>
      <w:r w:rsidRPr="009B561B">
        <w:t>Consequences of Less Frequent Surveying</w:t>
      </w:r>
      <w:bookmarkEnd w:id="18"/>
      <w:bookmarkEnd w:id="19"/>
    </w:p>
    <w:p w:rsidR="00161339" w:rsidRPr="009B561B" w:rsidRDefault="00161339" w:rsidP="005B0221">
      <w:pPr>
        <w:pStyle w:val="BodyText1"/>
        <w:spacing w:after="100" w:afterAutospacing="1" w:line="240" w:lineRule="auto"/>
        <w:ind w:firstLine="0"/>
      </w:pPr>
      <w:r>
        <w:t>NCSES is seeking clearance for a single data collection cycle only</w:t>
      </w:r>
      <w:r w:rsidR="009755DE">
        <w:t xml:space="preserve"> for this pilot survey</w:t>
      </w:r>
      <w:r w:rsidR="00E8149D">
        <w:t xml:space="preserve">. </w:t>
      </w:r>
      <w:r w:rsidR="0082536B">
        <w:t xml:space="preserve">In the future, </w:t>
      </w:r>
      <w:r w:rsidR="009755DE">
        <w:t xml:space="preserve">NCSES envisions this </w:t>
      </w:r>
      <w:r w:rsidR="0082536B">
        <w:t>survey</w:t>
      </w:r>
      <w:r w:rsidR="009755DE">
        <w:t xml:space="preserve"> transit</w:t>
      </w:r>
      <w:r w:rsidR="0082536B">
        <w:t xml:space="preserve">ioning to an every other year survey, </w:t>
      </w:r>
      <w:r w:rsidR="00742A74">
        <w:t xml:space="preserve">alternating </w:t>
      </w:r>
      <w:r w:rsidR="007F32FE">
        <w:t xml:space="preserve">with </w:t>
      </w:r>
      <w:r w:rsidR="00742A74">
        <w:t xml:space="preserve">and </w:t>
      </w:r>
      <w:r w:rsidR="0082536B">
        <w:t>complement</w:t>
      </w:r>
      <w:r w:rsidR="00742A74">
        <w:t xml:space="preserve">ing </w:t>
      </w:r>
      <w:r w:rsidR="0082536B">
        <w:t xml:space="preserve">the SDR </w:t>
      </w:r>
      <w:r w:rsidR="00742A74">
        <w:t xml:space="preserve">data collection. NCSES also </w:t>
      </w:r>
      <w:r w:rsidR="00951040">
        <w:t xml:space="preserve">envisions a </w:t>
      </w:r>
      <w:r w:rsidR="0082536B">
        <w:t>longitudinal</w:t>
      </w:r>
      <w:r w:rsidR="00951040">
        <w:t xml:space="preserve"> component with </w:t>
      </w:r>
      <w:r w:rsidR="0082536B">
        <w:t xml:space="preserve">follow-up interviews </w:t>
      </w:r>
      <w:r w:rsidR="00951040">
        <w:t>occurring</w:t>
      </w:r>
      <w:r w:rsidR="0082536B">
        <w:t xml:space="preserve"> </w:t>
      </w:r>
      <w:r w:rsidR="00951040">
        <w:t xml:space="preserve">approximately </w:t>
      </w:r>
      <w:r w:rsidR="0082536B">
        <w:t>5 and 8 years from doctorate</w:t>
      </w:r>
      <w:r w:rsidR="00951040">
        <w:t xml:space="preserve"> award, and with the longitudinal respondents entering the SDR sample when they age out of the </w:t>
      </w:r>
      <w:r w:rsidR="009624B7">
        <w:t xml:space="preserve">Pilot </w:t>
      </w:r>
      <w:r w:rsidR="00951040">
        <w:t>ECD</w:t>
      </w:r>
      <w:r w:rsidR="006E26EB">
        <w:t xml:space="preserve"> </w:t>
      </w:r>
      <w:r w:rsidR="00951040">
        <w:t>S</w:t>
      </w:r>
      <w:r w:rsidR="006E26EB">
        <w:t>urvey</w:t>
      </w:r>
      <w:r w:rsidR="00951040">
        <w:t xml:space="preserve"> target population.</w:t>
      </w:r>
      <w:r>
        <w:t xml:space="preserve"> </w:t>
      </w:r>
    </w:p>
    <w:p w:rsidR="009B561B" w:rsidRPr="009B561B" w:rsidRDefault="00D41D1D" w:rsidP="005B0221">
      <w:pPr>
        <w:pStyle w:val="Heading2"/>
        <w:spacing w:after="100" w:afterAutospacing="1"/>
      </w:pPr>
      <w:bookmarkStart w:id="20" w:name="_Toc286415825"/>
      <w:bookmarkStart w:id="21" w:name="_Toc350519998"/>
      <w:bookmarkStart w:id="22" w:name="_Toc88033474"/>
      <w:bookmarkEnd w:id="10"/>
      <w:r w:rsidRPr="009B561B">
        <w:t>A.7</w:t>
      </w:r>
      <w:r w:rsidRPr="009B561B">
        <w:tab/>
        <w:t>Special Circumstances</w:t>
      </w:r>
      <w:bookmarkEnd w:id="20"/>
      <w:bookmarkEnd w:id="21"/>
    </w:p>
    <w:p w:rsidR="00D41D1D" w:rsidRPr="009B561B" w:rsidRDefault="00C317E9" w:rsidP="005B0221">
      <w:pPr>
        <w:pStyle w:val="BodyText1"/>
        <w:spacing w:after="100" w:afterAutospacing="1" w:line="240" w:lineRule="auto"/>
        <w:ind w:firstLine="0"/>
      </w:pPr>
      <w:r>
        <w:t xml:space="preserve">Not applicable. </w:t>
      </w:r>
      <w:r w:rsidR="00D41D1D" w:rsidRPr="009B561B">
        <w:t>There are no special circumstances.</w:t>
      </w:r>
    </w:p>
    <w:p w:rsidR="00D41D1D" w:rsidRPr="009B561B" w:rsidRDefault="00D41D1D" w:rsidP="005B0221">
      <w:pPr>
        <w:pStyle w:val="Heading2"/>
        <w:spacing w:after="100" w:afterAutospacing="1"/>
      </w:pPr>
      <w:bookmarkStart w:id="23" w:name="_Toc88033472"/>
      <w:bookmarkStart w:id="24" w:name="_Toc286415826"/>
      <w:bookmarkStart w:id="25" w:name="_Toc350519999"/>
      <w:r w:rsidRPr="009B561B">
        <w:t>A.8</w:t>
      </w:r>
      <w:r w:rsidRPr="009B561B">
        <w:tab/>
      </w:r>
      <w:bookmarkEnd w:id="23"/>
      <w:r w:rsidRPr="009B561B">
        <w:t xml:space="preserve">Federal Register Notice and Consultations </w:t>
      </w:r>
      <w:r w:rsidR="007B1CD6">
        <w:t>o</w:t>
      </w:r>
      <w:r w:rsidRPr="009B561B">
        <w:t>utside the Agency</w:t>
      </w:r>
      <w:bookmarkEnd w:id="24"/>
      <w:bookmarkEnd w:id="25"/>
    </w:p>
    <w:p w:rsidR="00C317E9" w:rsidRPr="00C317E9" w:rsidRDefault="00C317E9" w:rsidP="005B0221">
      <w:pPr>
        <w:pStyle w:val="BodyText1"/>
        <w:spacing w:after="100" w:afterAutospacing="1" w:line="240" w:lineRule="auto"/>
        <w:ind w:firstLine="0"/>
        <w:rPr>
          <w:b/>
          <w:i/>
        </w:rPr>
      </w:pPr>
      <w:r w:rsidRPr="00C317E9">
        <w:rPr>
          <w:b/>
          <w:i/>
        </w:rPr>
        <w:t>Federal Register Notice</w:t>
      </w:r>
    </w:p>
    <w:p w:rsidR="00F415C2" w:rsidRDefault="00F415C2" w:rsidP="005B0221">
      <w:pPr>
        <w:pStyle w:val="BodyText1"/>
        <w:spacing w:after="100" w:afterAutospacing="1" w:line="240" w:lineRule="auto"/>
        <w:ind w:firstLine="0"/>
      </w:pPr>
      <w:r w:rsidRPr="009B561B">
        <w:t xml:space="preserve">The Federal Register notice was published </w:t>
      </w:r>
      <w:r w:rsidRPr="00F415C2">
        <w:t>on April 9, 2013</w:t>
      </w:r>
      <w:r w:rsidR="008C254C">
        <w:t xml:space="preserve"> and amended on April 12, 2013</w:t>
      </w:r>
      <w:r w:rsidRPr="009B561B">
        <w:t xml:space="preserve"> (see </w:t>
      </w:r>
      <w:r>
        <w:t>Attachment </w:t>
      </w:r>
      <w:r w:rsidR="00831B5C">
        <w:t>F</w:t>
      </w:r>
      <w:r w:rsidR="006720B6">
        <w:t xml:space="preserve">). </w:t>
      </w:r>
      <w:r w:rsidRPr="009B561B">
        <w:t xml:space="preserve">NSF received </w:t>
      </w:r>
      <w:r w:rsidR="002E54FD">
        <w:t xml:space="preserve">no </w:t>
      </w:r>
      <w:r w:rsidRPr="009B561B">
        <w:t xml:space="preserve">public comment in response to the announcement </w:t>
      </w:r>
      <w:r w:rsidR="00C317E9">
        <w:t xml:space="preserve">by </w:t>
      </w:r>
      <w:r w:rsidRPr="009B561B">
        <w:t>the clos</w:t>
      </w:r>
      <w:r w:rsidR="00C317E9">
        <w:t>ing</w:t>
      </w:r>
      <w:r w:rsidRPr="009B561B">
        <w:t xml:space="preserve"> date of </w:t>
      </w:r>
      <w:r w:rsidR="002C6872">
        <w:t>June 1</w:t>
      </w:r>
      <w:r w:rsidR="008C254C">
        <w:t>0</w:t>
      </w:r>
      <w:r w:rsidRPr="009B561B">
        <w:t>, 20</w:t>
      </w:r>
      <w:r>
        <w:t>1</w:t>
      </w:r>
      <w:r w:rsidR="002C6872">
        <w:t>3</w:t>
      </w:r>
      <w:r w:rsidRPr="009B561B">
        <w:t xml:space="preserve">. </w:t>
      </w:r>
    </w:p>
    <w:p w:rsidR="00C317E9" w:rsidRPr="00C317E9" w:rsidRDefault="00C317E9" w:rsidP="005B0221">
      <w:pPr>
        <w:pStyle w:val="BodyText1"/>
        <w:spacing w:after="100" w:afterAutospacing="1" w:line="240" w:lineRule="auto"/>
        <w:ind w:firstLine="0"/>
        <w:rPr>
          <w:b/>
          <w:i/>
        </w:rPr>
      </w:pPr>
      <w:r w:rsidRPr="00C317E9">
        <w:rPr>
          <w:b/>
          <w:i/>
        </w:rPr>
        <w:t xml:space="preserve">Consultations </w:t>
      </w:r>
      <w:r>
        <w:rPr>
          <w:b/>
          <w:i/>
        </w:rPr>
        <w:t>o</w:t>
      </w:r>
      <w:r w:rsidRPr="00C317E9">
        <w:rPr>
          <w:b/>
          <w:i/>
        </w:rPr>
        <w:t>utside the Agency</w:t>
      </w:r>
    </w:p>
    <w:p w:rsidR="009B561B" w:rsidRPr="009B561B" w:rsidRDefault="00D41D1D" w:rsidP="005B0221">
      <w:pPr>
        <w:pStyle w:val="BodyText1"/>
        <w:spacing w:after="100" w:afterAutospacing="1" w:line="240" w:lineRule="auto"/>
        <w:ind w:firstLine="0"/>
      </w:pPr>
      <w:r w:rsidRPr="009B561B">
        <w:t>NSF regularly consults with the Department of Education</w:t>
      </w:r>
      <w:r w:rsidR="002E0D41" w:rsidRPr="009B561B">
        <w:t>’</w:t>
      </w:r>
      <w:r w:rsidRPr="009B561B">
        <w:t>s N</w:t>
      </w:r>
      <w:r w:rsidR="002E54FD">
        <w:t xml:space="preserve">ational </w:t>
      </w:r>
      <w:r w:rsidRPr="009B561B">
        <w:t>C</w:t>
      </w:r>
      <w:r w:rsidR="002E54FD">
        <w:t>enter for Education Statistics (NC</w:t>
      </w:r>
      <w:r w:rsidRPr="009B561B">
        <w:t>ES</w:t>
      </w:r>
      <w:r w:rsidR="002E54FD">
        <w:t>)</w:t>
      </w:r>
      <w:r w:rsidR="00F415C2">
        <w:t xml:space="preserve"> </w:t>
      </w:r>
      <w:r w:rsidRPr="009B561B">
        <w:t xml:space="preserve">and other federal agencies, such as </w:t>
      </w:r>
      <w:r w:rsidR="00D93230">
        <w:t xml:space="preserve">the </w:t>
      </w:r>
      <w:r w:rsidRPr="009B561B">
        <w:t xml:space="preserve">NIH and </w:t>
      </w:r>
      <w:r w:rsidR="00D93230">
        <w:t xml:space="preserve">the </w:t>
      </w:r>
      <w:r w:rsidR="00D652F9">
        <w:t>D</w:t>
      </w:r>
      <w:r w:rsidR="006B4C30">
        <w:t>epartment of Education</w:t>
      </w:r>
      <w:r w:rsidRPr="009B561B">
        <w:t>, professional societies</w:t>
      </w:r>
      <w:r w:rsidR="00F415C2">
        <w:t xml:space="preserve">, such as the </w:t>
      </w:r>
      <w:r w:rsidR="008C254C">
        <w:t>N</w:t>
      </w:r>
      <w:r w:rsidR="00F415C2">
        <w:t xml:space="preserve">ational </w:t>
      </w:r>
      <w:r w:rsidR="008C254C">
        <w:t>P</w:t>
      </w:r>
      <w:r w:rsidR="00F415C2">
        <w:t>ostdoc</w:t>
      </w:r>
      <w:r w:rsidR="008C254C">
        <w:t>toral</w:t>
      </w:r>
      <w:r w:rsidR="00F415C2">
        <w:t xml:space="preserve"> </w:t>
      </w:r>
      <w:r w:rsidR="008C254C">
        <w:t>A</w:t>
      </w:r>
      <w:r w:rsidR="00F415C2">
        <w:t>ssociation</w:t>
      </w:r>
      <w:r w:rsidRPr="009B561B">
        <w:t xml:space="preserve">, and university staff. NSF staff members maintain frequent contact with members of the data-using community as well as with major academic data providers through attendance at professional society meetings and consultation with institutional and agency officials. </w:t>
      </w:r>
    </w:p>
    <w:p w:rsidR="00D41D1D" w:rsidRPr="009B561B" w:rsidRDefault="00D41D1D" w:rsidP="005B0221">
      <w:pPr>
        <w:pStyle w:val="Heading2"/>
        <w:spacing w:after="100" w:afterAutospacing="1"/>
      </w:pPr>
      <w:bookmarkStart w:id="26" w:name="_Toc88033473"/>
      <w:bookmarkStart w:id="27" w:name="_Toc286415827"/>
      <w:bookmarkStart w:id="28" w:name="_Toc350520000"/>
      <w:r w:rsidRPr="009B561B">
        <w:t>A.9</w:t>
      </w:r>
      <w:r w:rsidRPr="009B561B">
        <w:tab/>
      </w:r>
      <w:bookmarkEnd w:id="26"/>
      <w:r w:rsidRPr="009B561B">
        <w:t xml:space="preserve">Payment or Gifts to </w:t>
      </w:r>
      <w:bookmarkEnd w:id="27"/>
      <w:bookmarkEnd w:id="28"/>
      <w:r w:rsidR="006F677B">
        <w:t>R</w:t>
      </w:r>
      <w:r w:rsidR="006F677B" w:rsidRPr="009B561B">
        <w:t>espondents</w:t>
      </w:r>
    </w:p>
    <w:p w:rsidR="00D41D1D" w:rsidRPr="009B561B" w:rsidRDefault="00D41D1D" w:rsidP="005B0221">
      <w:pPr>
        <w:pStyle w:val="BodyText1"/>
        <w:spacing w:after="100" w:afterAutospacing="1" w:line="240" w:lineRule="auto"/>
        <w:ind w:firstLine="0"/>
      </w:pPr>
      <w:r w:rsidRPr="009B561B">
        <w:t xml:space="preserve">Not applicable. There are no payments to </w:t>
      </w:r>
      <w:r w:rsidR="009624B7">
        <w:t xml:space="preserve">the Pilot </w:t>
      </w:r>
      <w:r w:rsidR="009A6991">
        <w:t>ECD Survey</w:t>
      </w:r>
      <w:r w:rsidRPr="009B561B">
        <w:t xml:space="preserve"> respondents.</w:t>
      </w:r>
    </w:p>
    <w:p w:rsidR="009B561B" w:rsidRPr="009B561B" w:rsidRDefault="00D41D1D" w:rsidP="005B0221">
      <w:pPr>
        <w:pStyle w:val="Heading2"/>
        <w:spacing w:after="100" w:afterAutospacing="1"/>
      </w:pPr>
      <w:bookmarkStart w:id="29" w:name="_Toc286415828"/>
      <w:bookmarkStart w:id="30" w:name="_Toc350520001"/>
      <w:r w:rsidRPr="009B561B">
        <w:lastRenderedPageBreak/>
        <w:t>A.10</w:t>
      </w:r>
      <w:r w:rsidRPr="009B561B">
        <w:tab/>
        <w:t>Assurance of Confidentiality</w:t>
      </w:r>
      <w:bookmarkEnd w:id="29"/>
      <w:bookmarkEnd w:id="30"/>
    </w:p>
    <w:p w:rsidR="00B9306C" w:rsidRDefault="00B9306C" w:rsidP="000E77FF">
      <w:pPr>
        <w:pStyle w:val="BodyText1"/>
        <w:spacing w:after="100" w:afterAutospacing="1" w:line="240" w:lineRule="auto"/>
        <w:ind w:firstLine="0"/>
      </w:pPr>
      <w:r>
        <w:t>NSF and its contractors are fully committed to protecting the confidentiality of all survey respondents</w:t>
      </w:r>
      <w:r w:rsidR="00272C50">
        <w:t xml:space="preserve">. </w:t>
      </w:r>
      <w:r>
        <w:t xml:space="preserve">The Pilot ECD Survey data will be collected under the authority of the National Science Act of 1950, as amended, and the Confidential Information Protection and Statistical Efficiency Act (CIPSEA) of 2002. </w:t>
      </w:r>
      <w:r w:rsidR="005E7B83">
        <w:t>Institutional contacts (HAs and LCs) and prospective respondents are assured in contact materials that personally identif</w:t>
      </w:r>
      <w:r w:rsidR="00A42CD9">
        <w:t>iable</w:t>
      </w:r>
      <w:r w:rsidR="005E7B83">
        <w:t xml:space="preserve"> information (PII) and all responses will be kept confidential. Prospective respondents </w:t>
      </w:r>
      <w:r w:rsidR="000E77FF">
        <w:t xml:space="preserve">will </w:t>
      </w:r>
      <w:r w:rsidR="002B0243">
        <w:t xml:space="preserve">also </w:t>
      </w:r>
      <w:r w:rsidR="005E7B83">
        <w:t xml:space="preserve">provide informed consent before beginning the survey. Attachment </w:t>
      </w:r>
      <w:r w:rsidR="00831B5C">
        <w:t>D</w:t>
      </w:r>
      <w:r w:rsidR="005E7B83">
        <w:t xml:space="preserve"> (Confidentiality and Security Measures) outlines the other multiple steps during each stage of data collection that will be taken in order to protect both PII and survey responses.</w:t>
      </w:r>
    </w:p>
    <w:p w:rsidR="00B9306C" w:rsidRDefault="00B9306C" w:rsidP="000E77FF">
      <w:pPr>
        <w:pStyle w:val="BodyText1"/>
        <w:spacing w:after="100" w:afterAutospacing="1" w:line="240" w:lineRule="auto"/>
        <w:ind w:firstLine="0"/>
      </w:pPr>
      <w:r>
        <w:t xml:space="preserve">Cover letters and survey questionnaire to each selected respondent advise them that the information they provide is confidential (see Attachment </w:t>
      </w:r>
      <w:r w:rsidR="00831B5C">
        <w:t>B</w:t>
      </w:r>
      <w:r>
        <w:t xml:space="preserve"> – Institutional Contact Materials and Attachment </w:t>
      </w:r>
      <w:r w:rsidR="00831B5C">
        <w:t>C</w:t>
      </w:r>
      <w:r>
        <w:t xml:space="preserve"> – ECD Contact Materials)</w:t>
      </w:r>
      <w:r w:rsidR="00272C50">
        <w:t xml:space="preserve">. </w:t>
      </w:r>
      <w:r>
        <w:t xml:space="preserve">The same notice of confidentiality (Attachment </w:t>
      </w:r>
      <w:r w:rsidR="00831B5C">
        <w:t>D</w:t>
      </w:r>
      <w:r>
        <w:t xml:space="preserve">) will be used in the introduction to the CATI interview </w:t>
      </w:r>
      <w:r w:rsidR="000E77FF">
        <w:t xml:space="preserve">as </w:t>
      </w:r>
      <w:r>
        <w:t>will be displayed prior to the start of the survey in the Web instrument.</w:t>
      </w:r>
    </w:p>
    <w:p w:rsidR="0057135E" w:rsidRDefault="0057135E" w:rsidP="0003220F">
      <w:pPr>
        <w:pStyle w:val="BodyText1"/>
        <w:spacing w:after="100" w:afterAutospacing="1" w:line="240" w:lineRule="auto"/>
        <w:ind w:firstLine="0"/>
      </w:pPr>
      <w:r>
        <w:t>Standard data collection procedures incorporate numerous safeguards for the data and must conform to a detailed security plan approved by NSF</w:t>
      </w:r>
      <w:r w:rsidR="00272C50">
        <w:t xml:space="preserve">. </w:t>
      </w:r>
      <w:r w:rsidR="00E60B26">
        <w:t xml:space="preserve">All data collected and processed </w:t>
      </w:r>
      <w:r w:rsidR="008E2119">
        <w:t xml:space="preserve">will be </w:t>
      </w:r>
      <w:r w:rsidR="00E60B26">
        <w:t xml:space="preserve">stored in secure internal data network with access available only to authorized users. </w:t>
      </w:r>
      <w:r>
        <w:t>While collecting the Pilot ECD Survey data, the PII data are separated from the survey response data and are not included in the analytic data sent to NSF</w:t>
      </w:r>
      <w:r w:rsidR="00272C50">
        <w:t xml:space="preserve">. </w:t>
      </w:r>
      <w:r w:rsidR="0003220F">
        <w:t>All project staff at the survey</w:t>
      </w:r>
      <w:r>
        <w:t xml:space="preserve"> contractor and NSF </w:t>
      </w:r>
      <w:r w:rsidR="008E2119">
        <w:t xml:space="preserve">will </w:t>
      </w:r>
      <w:r>
        <w:t>receive annual CIPSEA training to reinforce their legal obligations to protect their privacy and confidentiality of the Pilot ECD Survey and sign data use agreements annually to acknowledge this legal obligation.</w:t>
      </w:r>
    </w:p>
    <w:p w:rsidR="0057135E" w:rsidRDefault="00E60B26" w:rsidP="00D00C96">
      <w:pPr>
        <w:pStyle w:val="BodyText1"/>
        <w:spacing w:after="100" w:afterAutospacing="1" w:line="240" w:lineRule="auto"/>
        <w:ind w:firstLine="0"/>
      </w:pPr>
      <w:r>
        <w:t>The contractor takes special steps to ensure that data collected via the Web questionnaire are secure</w:t>
      </w:r>
      <w:r w:rsidR="00272C50">
        <w:t xml:space="preserve">. </w:t>
      </w:r>
      <w:r>
        <w:t>First, access to the Web instrument is only allowed with a valid Personal Identification Number (PIN) and password correctly entered in combination. Second, data are transmitted by the Secure Sockets Layer (SSL) protocol that uses powerful encryption during transmission through the Internet</w:t>
      </w:r>
      <w:r w:rsidR="00272C50">
        <w:t xml:space="preserve">. </w:t>
      </w:r>
      <w:r>
        <w:t>If a respondent keeps a Web survey open without any activity, the Web server closes it after a short period of inactivity, thus preserving the data up to the break-off point and securely closing the connection</w:t>
      </w:r>
      <w:r w:rsidR="00272C50">
        <w:t xml:space="preserve">. </w:t>
      </w:r>
      <w:r>
        <w:t xml:space="preserve">The </w:t>
      </w:r>
      <w:r w:rsidR="0003220F">
        <w:t xml:space="preserve">database </w:t>
      </w:r>
      <w:r>
        <w:t xml:space="preserve">architecture </w:t>
      </w:r>
      <w:r w:rsidR="0003220F">
        <w:t xml:space="preserve">underlying the Web and CATI survey systems </w:t>
      </w:r>
      <w:r>
        <w:t xml:space="preserve">is designed </w:t>
      </w:r>
      <w:r w:rsidR="0003220F">
        <w:t xml:space="preserve">such </w:t>
      </w:r>
      <w:r>
        <w:t xml:space="preserve">that authentication information and response data </w:t>
      </w:r>
      <w:r w:rsidR="0003220F">
        <w:t>are maintained in separate tables</w:t>
      </w:r>
      <w:r w:rsidR="00D00C96">
        <w:t>, randomly generated identification numbers assigned for data collection purposes, and new, random identification numbers</w:t>
      </w:r>
      <w:r w:rsidR="00D00C96" w:rsidDel="0003220F">
        <w:t xml:space="preserve"> </w:t>
      </w:r>
      <w:r w:rsidR="00D00C96">
        <w:t>generated for the analytic files</w:t>
      </w:r>
      <w:r w:rsidR="00272C50">
        <w:t xml:space="preserve">. </w:t>
      </w:r>
      <w:r>
        <w:t>This strategy provides an extra layer of security to protect respondents’ data</w:t>
      </w:r>
      <w:r w:rsidR="00272C50">
        <w:t xml:space="preserve">. </w:t>
      </w:r>
      <w:r w:rsidR="006F0CCC">
        <w:t xml:space="preserve">Both development and production servers are backed up nightly, as </w:t>
      </w:r>
      <w:r w:rsidR="00D00C96">
        <w:t xml:space="preserve">required by </w:t>
      </w:r>
      <w:r w:rsidR="006F0CCC">
        <w:t>the contractor’s disaster recovery plan.</w:t>
      </w:r>
    </w:p>
    <w:p w:rsidR="006F0CCC" w:rsidRPr="009B561B" w:rsidRDefault="006F0CCC" w:rsidP="00D00C96">
      <w:pPr>
        <w:pStyle w:val="BodyText1"/>
        <w:spacing w:after="100" w:afterAutospacing="1" w:line="240" w:lineRule="auto"/>
        <w:ind w:firstLine="0"/>
      </w:pPr>
      <w:r>
        <w:t>All published findings, analyses, and restricted databases are in formats which preclude individual identification and measures are taken so that the identity of individuals or organizations is not disclosed.</w:t>
      </w:r>
      <w:r w:rsidRPr="006F0CCC">
        <w:t xml:space="preserve"> </w:t>
      </w:r>
    </w:p>
    <w:p w:rsidR="00D41D1D" w:rsidRPr="009B561B" w:rsidRDefault="00D41D1D" w:rsidP="005B0221">
      <w:pPr>
        <w:pStyle w:val="Heading2"/>
        <w:spacing w:after="100" w:afterAutospacing="1"/>
      </w:pPr>
      <w:bookmarkStart w:id="31" w:name="_Toc286415829"/>
      <w:bookmarkStart w:id="32" w:name="_Toc350520002"/>
      <w:r w:rsidRPr="009B561B">
        <w:lastRenderedPageBreak/>
        <w:t>A.11</w:t>
      </w:r>
      <w:r w:rsidRPr="009B561B">
        <w:tab/>
        <w:t>Sensitive Questions</w:t>
      </w:r>
      <w:bookmarkEnd w:id="31"/>
      <w:bookmarkEnd w:id="32"/>
    </w:p>
    <w:p w:rsidR="009B561B" w:rsidRPr="009B561B" w:rsidRDefault="00D41D1D" w:rsidP="005B0221">
      <w:pPr>
        <w:pStyle w:val="BodyText1"/>
        <w:spacing w:after="100" w:afterAutospacing="1" w:line="240" w:lineRule="auto"/>
        <w:ind w:firstLine="0"/>
      </w:pPr>
      <w:r w:rsidRPr="009B561B">
        <w:t>The survey questionnaire does not contain any questions of a sensitive nature.</w:t>
      </w:r>
      <w:r w:rsidR="00F33298">
        <w:t xml:space="preserve"> </w:t>
      </w:r>
      <w:r w:rsidR="00BA4B1D">
        <w:t xml:space="preserve">While PII will be collected, those data will be omitted from </w:t>
      </w:r>
      <w:r w:rsidR="00FA66DE">
        <w:t xml:space="preserve">all </w:t>
      </w:r>
      <w:r w:rsidR="00BA4B1D">
        <w:t xml:space="preserve">analytic files. Further steps to protect PII are described in Attachment </w:t>
      </w:r>
      <w:r w:rsidR="00831B5C">
        <w:t>D</w:t>
      </w:r>
      <w:r w:rsidR="00BA4B1D">
        <w:t>.</w:t>
      </w:r>
    </w:p>
    <w:p w:rsidR="00D41D1D" w:rsidRPr="009B561B" w:rsidRDefault="00D41D1D" w:rsidP="005B0221">
      <w:pPr>
        <w:pStyle w:val="Heading2"/>
        <w:spacing w:after="100" w:afterAutospacing="1"/>
      </w:pPr>
      <w:bookmarkStart w:id="33" w:name="_Toc286415830"/>
      <w:bookmarkStart w:id="34" w:name="_Toc350520003"/>
      <w:bookmarkEnd w:id="22"/>
      <w:r w:rsidRPr="009B561B">
        <w:t>A.12</w:t>
      </w:r>
      <w:r w:rsidRPr="009B561B">
        <w:tab/>
        <w:t>Estimated Response Burden</w:t>
      </w:r>
      <w:bookmarkEnd w:id="33"/>
      <w:bookmarkEnd w:id="34"/>
    </w:p>
    <w:p w:rsidR="005174F5" w:rsidRDefault="005174F5" w:rsidP="005B0221">
      <w:pPr>
        <w:spacing w:after="100" w:afterAutospacing="1"/>
      </w:pPr>
      <w:r>
        <w:t xml:space="preserve">There are four types of respondents to the </w:t>
      </w:r>
      <w:r w:rsidR="009624B7">
        <w:t xml:space="preserve">Pilot </w:t>
      </w:r>
      <w:r w:rsidR="009A6991">
        <w:t>ECD Survey</w:t>
      </w:r>
      <w:r>
        <w:t>.</w:t>
      </w:r>
      <w:r w:rsidR="0092410C">
        <w:t xml:space="preserve"> </w:t>
      </w:r>
      <w:r>
        <w:t xml:space="preserve">At the first stage of sampling, the </w:t>
      </w:r>
      <w:r w:rsidR="009624B7">
        <w:t xml:space="preserve">Pilot </w:t>
      </w:r>
      <w:r w:rsidR="009A6991">
        <w:t>ECD Survey</w:t>
      </w:r>
      <w:r>
        <w:t xml:space="preserve"> will select 201 institutions.</w:t>
      </w:r>
      <w:r w:rsidR="0092410C">
        <w:t xml:space="preserve"> </w:t>
      </w:r>
      <w:r>
        <w:t xml:space="preserve">At each institution, a high authority (HA) will authorize the institution’s participation in the study and designate a list coordinator (LC) and an ECD contactor (EC). The LC will provide a list of all individuals working at their institution who earned their first doctorate or doctorate-equivalent degree within the past 10 years, including postdocs, </w:t>
      </w:r>
      <w:proofErr w:type="spellStart"/>
      <w:r>
        <w:t>nonfaculty</w:t>
      </w:r>
      <w:proofErr w:type="spellEnd"/>
      <w:r>
        <w:t xml:space="preserve"> researchers, </w:t>
      </w:r>
      <w:r w:rsidR="00410FCF">
        <w:t xml:space="preserve">and </w:t>
      </w:r>
      <w:r>
        <w:t>faculty members.</w:t>
      </w:r>
      <w:r w:rsidR="0092410C">
        <w:t xml:space="preserve"> </w:t>
      </w:r>
      <w:proofErr w:type="spellStart"/>
      <w:r>
        <w:t>Nonresponding</w:t>
      </w:r>
      <w:proofErr w:type="spellEnd"/>
      <w:r>
        <w:t xml:space="preserve"> institutions will be replaced with institutions of similar characteristics.</w:t>
      </w:r>
      <w:r w:rsidR="0092410C">
        <w:t xml:space="preserve"> </w:t>
      </w:r>
    </w:p>
    <w:p w:rsidR="005174F5" w:rsidRDefault="005174F5" w:rsidP="005B0221">
      <w:pPr>
        <w:spacing w:after="100" w:afterAutospacing="1"/>
      </w:pPr>
      <w:r>
        <w:t xml:space="preserve">In the second stage, the EC will notify the </w:t>
      </w:r>
      <w:r w:rsidR="002D040D">
        <w:t xml:space="preserve">individuals </w:t>
      </w:r>
      <w:r>
        <w:t xml:space="preserve">sampled from their institution of their selection and NSF will survey these </w:t>
      </w:r>
      <w:r w:rsidR="002D040D">
        <w:t>sample members</w:t>
      </w:r>
      <w:r>
        <w:t xml:space="preserve">. </w:t>
      </w:r>
      <w:r w:rsidR="00D34379">
        <w:t xml:space="preserve">To maximize response rates, we will ask the HA to serve as the EC or to designate another recognizable authority (e.g., Vice Chancellor for Research) to serve as the EC. </w:t>
      </w:r>
      <w:r>
        <w:t xml:space="preserve">The </w:t>
      </w:r>
      <w:r w:rsidR="009624B7">
        <w:t xml:space="preserve">Pilot </w:t>
      </w:r>
      <w:r w:rsidR="009A6991">
        <w:t>ECD Survey</w:t>
      </w:r>
      <w:r>
        <w:t xml:space="preserve"> is intended to cover both U.S. and </w:t>
      </w:r>
      <w:r w:rsidR="007F32FE">
        <w:t>n</w:t>
      </w:r>
      <w:r>
        <w:t xml:space="preserve">on-U.S. degreed and U.S. and </w:t>
      </w:r>
      <w:r w:rsidR="007F32FE">
        <w:t>n</w:t>
      </w:r>
      <w:r>
        <w:t xml:space="preserve">on-U.S. </w:t>
      </w:r>
      <w:r w:rsidR="007F32FE">
        <w:t>c</w:t>
      </w:r>
      <w:r>
        <w:t xml:space="preserve">itizens. The </w:t>
      </w:r>
      <w:r w:rsidR="009624B7">
        <w:t xml:space="preserve">Pilot </w:t>
      </w:r>
      <w:r w:rsidR="009A6991">
        <w:t>ECD Survey</w:t>
      </w:r>
      <w:r>
        <w:t xml:space="preserve"> will sample 8,250 ECD</w:t>
      </w:r>
      <w:r w:rsidR="006E26EB">
        <w:t>s</w:t>
      </w:r>
      <w:r>
        <w:t xml:space="preserve"> from </w:t>
      </w:r>
      <w:r w:rsidR="00EA5A1F">
        <w:t>201</w:t>
      </w:r>
      <w:r>
        <w:t xml:space="preserve"> institutions.</w:t>
      </w:r>
      <w:r w:rsidR="0092410C">
        <w:t xml:space="preserve"> </w:t>
      </w:r>
      <w:r>
        <w:t>It is expected that 80% of the sampled ECD</w:t>
      </w:r>
      <w:r w:rsidR="006E26EB">
        <w:t>s</w:t>
      </w:r>
      <w:r>
        <w:t xml:space="preserve"> will participate, yielding 6,600 ECD respondents.</w:t>
      </w:r>
      <w:r w:rsidR="0092410C">
        <w:t xml:space="preserve"> </w:t>
      </w:r>
    </w:p>
    <w:p w:rsidR="005174F5" w:rsidRDefault="005174F5" w:rsidP="005B0221">
      <w:pPr>
        <w:spacing w:after="100" w:afterAutospacing="1"/>
      </w:pPr>
      <w:r>
        <w:t xml:space="preserve">The initial </w:t>
      </w:r>
      <w:r w:rsidR="009624B7">
        <w:t xml:space="preserve">Pilot </w:t>
      </w:r>
      <w:r w:rsidR="009A6991">
        <w:t>ECD Survey</w:t>
      </w:r>
      <w:r>
        <w:t xml:space="preserve"> contact is made with the HA at each institution.</w:t>
      </w:r>
      <w:r w:rsidR="0092410C">
        <w:t xml:space="preserve"> </w:t>
      </w:r>
      <w:r>
        <w:t>The HA is asked to sign a study participation form, nominate a LC and an EC, and provide a letter of support for the survey.</w:t>
      </w:r>
      <w:r w:rsidR="0092410C">
        <w:t xml:space="preserve"> </w:t>
      </w:r>
      <w:r w:rsidR="006973C9">
        <w:t xml:space="preserve">On average, </w:t>
      </w:r>
      <w:proofErr w:type="gramStart"/>
      <w:r w:rsidR="006973C9">
        <w:t>HAs</w:t>
      </w:r>
      <w:proofErr w:type="gramEnd"/>
      <w:r w:rsidR="006973C9">
        <w:t xml:space="preserve"> i</w:t>
      </w:r>
      <w:r>
        <w:t xml:space="preserve">n the methodological study </w:t>
      </w:r>
      <w:r w:rsidR="005F047E">
        <w:t xml:space="preserve">were able </w:t>
      </w:r>
      <w:r>
        <w:t>to complete these tasks</w:t>
      </w:r>
      <w:r w:rsidR="005F047E">
        <w:t xml:space="preserve"> in less than an hour</w:t>
      </w:r>
      <w:r>
        <w:t>.</w:t>
      </w:r>
      <w:r w:rsidR="0092410C">
        <w:t xml:space="preserve"> </w:t>
      </w:r>
      <w:r>
        <w:t xml:space="preserve">Assuming 201 HAs will participate, we estimate the total HA burden to be </w:t>
      </w:r>
      <w:r w:rsidR="005F047E">
        <w:t>201</w:t>
      </w:r>
      <w:r>
        <w:t xml:space="preserve"> hours.</w:t>
      </w:r>
      <w:r w:rsidR="0092410C">
        <w:t xml:space="preserve"> </w:t>
      </w:r>
    </w:p>
    <w:p w:rsidR="005174F5" w:rsidRDefault="005174F5" w:rsidP="005B0221">
      <w:pPr>
        <w:spacing w:after="100" w:afterAutospacing="1"/>
      </w:pPr>
      <w:r>
        <w:t>The primary responsibility of the LC is to prepare a list of ECD</w:t>
      </w:r>
      <w:r w:rsidR="001B1EE9">
        <w:t>s</w:t>
      </w:r>
      <w:r>
        <w:t xml:space="preserve"> employed at the institution.</w:t>
      </w:r>
      <w:r w:rsidR="0092410C">
        <w:t xml:space="preserve"> </w:t>
      </w:r>
      <w:r>
        <w:t xml:space="preserve">In the methodological study, LCs </w:t>
      </w:r>
      <w:r w:rsidR="00BA4B1D">
        <w:t xml:space="preserve">(called POCs in the methodological study) </w:t>
      </w:r>
      <w:r>
        <w:t xml:space="preserve">required an average of </w:t>
      </w:r>
      <w:r w:rsidR="00F71300">
        <w:t xml:space="preserve">approximately </w:t>
      </w:r>
      <w:r>
        <w:t>6 hours to fulfill their duties.</w:t>
      </w:r>
      <w:r w:rsidR="0092410C">
        <w:t xml:space="preserve"> </w:t>
      </w:r>
      <w:r>
        <w:t xml:space="preserve">Assuming 201 LCs will participate, we estimate the total burden for LCs to be 1,206 hours. The </w:t>
      </w:r>
      <w:r w:rsidR="00F71300">
        <w:t>E</w:t>
      </w:r>
      <w:r>
        <w:t xml:space="preserve">Cs will send a pre-notification e-mail to </w:t>
      </w:r>
      <w:r w:rsidR="002D040D">
        <w:t>sample members</w:t>
      </w:r>
      <w:r>
        <w:t xml:space="preserve"> within their institution.</w:t>
      </w:r>
      <w:r w:rsidR="0092410C">
        <w:t xml:space="preserve"> </w:t>
      </w:r>
      <w:r>
        <w:t xml:space="preserve">In the methodological study, most ECs were able to complete this task in less than 30 minutes. It is expected that 5% of the sampled institutions will choose to have NSF send the pre-notification e-mails to ECDs. For this survey, we estimate a total burden of 96 hours for ECs. </w:t>
      </w:r>
    </w:p>
    <w:p w:rsidR="005174F5" w:rsidRDefault="005174F5" w:rsidP="005B0221">
      <w:pPr>
        <w:spacing w:after="100" w:afterAutospacing="1"/>
      </w:pPr>
      <w:r>
        <w:t>Based on survey timing data from the methodological study</w:t>
      </w:r>
      <w:r w:rsidR="008E19E8">
        <w:t xml:space="preserve"> and planned changes to the questionnaire</w:t>
      </w:r>
      <w:r>
        <w:t>, NCSES estimates that ECDs will require 3</w:t>
      </w:r>
      <w:r w:rsidR="008E19E8">
        <w:t>0</w:t>
      </w:r>
      <w:r>
        <w:t xml:space="preserve"> minutes on average to complete the questionnaire.</w:t>
      </w:r>
      <w:r w:rsidR="0092410C">
        <w:t xml:space="preserve"> </w:t>
      </w:r>
      <w:r>
        <w:t xml:space="preserve">Assuming 6,600 respondents, we estimate the total burden for ECDs to be 3,300 hours. </w:t>
      </w:r>
    </w:p>
    <w:p w:rsidR="009466DA" w:rsidRDefault="005174F5" w:rsidP="005B0221">
      <w:pPr>
        <w:spacing w:after="100" w:afterAutospacing="1"/>
      </w:pPr>
      <w:r>
        <w:t>Taking into account all respondent types, we estimate the total respondent burden to be 4,</w:t>
      </w:r>
      <w:r w:rsidR="005F047E">
        <w:t>80</w:t>
      </w:r>
      <w:r>
        <w:t>3 hours.</w:t>
      </w:r>
      <w:r w:rsidR="00E55850">
        <w:t xml:space="preserve"> Table 1 shows detailed estimates of burden across respondent types.</w:t>
      </w:r>
    </w:p>
    <w:p w:rsidR="005174F5" w:rsidRDefault="002C6872" w:rsidP="000E151E">
      <w:proofErr w:type="gramStart"/>
      <w:r>
        <w:rPr>
          <w:b/>
        </w:rPr>
        <w:lastRenderedPageBreak/>
        <w:t>Table</w:t>
      </w:r>
      <w:r w:rsidR="00E55850">
        <w:rPr>
          <w:b/>
        </w:rPr>
        <w:t xml:space="preserve"> 1</w:t>
      </w:r>
      <w:r w:rsidR="00E8149D">
        <w:rPr>
          <w:b/>
        </w:rPr>
        <w:t>.</w:t>
      </w:r>
      <w:proofErr w:type="gramEnd"/>
      <w:r w:rsidR="00E8149D">
        <w:rPr>
          <w:b/>
        </w:rPr>
        <w:t xml:space="preserve"> </w:t>
      </w:r>
      <w:r w:rsidR="009624B7">
        <w:rPr>
          <w:b/>
        </w:rPr>
        <w:t xml:space="preserve">Pilot </w:t>
      </w:r>
      <w:r w:rsidR="009A6991">
        <w:rPr>
          <w:b/>
        </w:rPr>
        <w:t>ECD Survey</w:t>
      </w:r>
      <w:r w:rsidR="005174F5">
        <w:rPr>
          <w:b/>
        </w:rPr>
        <w:t xml:space="preserve"> Estimated Burden by Stage and Respondent Type</w:t>
      </w:r>
    </w:p>
    <w:tbl>
      <w:tblPr>
        <w:tblW w:w="8385" w:type="dxa"/>
        <w:tblInd w:w="108" w:type="dxa"/>
        <w:tblLayout w:type="fixed"/>
        <w:tblLook w:val="04A0" w:firstRow="1" w:lastRow="0" w:firstColumn="1" w:lastColumn="0" w:noHBand="0" w:noVBand="1"/>
      </w:tblPr>
      <w:tblGrid>
        <w:gridCol w:w="3330"/>
        <w:gridCol w:w="1440"/>
        <w:gridCol w:w="90"/>
        <w:gridCol w:w="729"/>
        <w:gridCol w:w="981"/>
        <w:gridCol w:w="1815"/>
      </w:tblGrid>
      <w:tr w:rsidR="005174F5" w:rsidTr="0042534A">
        <w:trPr>
          <w:trHeight w:val="284"/>
        </w:trPr>
        <w:tc>
          <w:tcPr>
            <w:tcW w:w="3330" w:type="dxa"/>
            <w:tcBorders>
              <w:top w:val="single" w:sz="12" w:space="0" w:color="auto"/>
              <w:left w:val="nil"/>
              <w:bottom w:val="single" w:sz="4" w:space="0" w:color="auto"/>
              <w:right w:val="nil"/>
            </w:tcBorders>
            <w:vAlign w:val="bottom"/>
            <w:hideMark/>
          </w:tcPr>
          <w:p w:rsidR="005174F5" w:rsidRPr="00D556E1" w:rsidRDefault="005174F5" w:rsidP="000E151E">
            <w:pPr>
              <w:rPr>
                <w:b/>
                <w:bCs/>
                <w:sz w:val="22"/>
                <w:szCs w:val="22"/>
              </w:rPr>
            </w:pPr>
            <w:r w:rsidRPr="00D556E1">
              <w:rPr>
                <w:b/>
                <w:bCs/>
                <w:sz w:val="22"/>
                <w:szCs w:val="22"/>
              </w:rPr>
              <w:t>Respondent Type</w:t>
            </w:r>
          </w:p>
        </w:tc>
        <w:tc>
          <w:tcPr>
            <w:tcW w:w="1530" w:type="dxa"/>
            <w:gridSpan w:val="2"/>
            <w:tcBorders>
              <w:top w:val="single" w:sz="12" w:space="0" w:color="auto"/>
              <w:left w:val="nil"/>
              <w:bottom w:val="single" w:sz="4" w:space="0" w:color="auto"/>
              <w:right w:val="nil"/>
            </w:tcBorders>
            <w:vAlign w:val="bottom"/>
            <w:hideMark/>
          </w:tcPr>
          <w:p w:rsidR="005174F5" w:rsidRPr="00D556E1" w:rsidRDefault="005174F5" w:rsidP="000E151E">
            <w:pPr>
              <w:jc w:val="right"/>
              <w:rPr>
                <w:b/>
                <w:bCs/>
                <w:sz w:val="22"/>
                <w:szCs w:val="22"/>
              </w:rPr>
            </w:pPr>
            <w:r w:rsidRPr="00D556E1">
              <w:rPr>
                <w:b/>
                <w:bCs/>
                <w:sz w:val="22"/>
                <w:szCs w:val="22"/>
              </w:rPr>
              <w:t>Minutes Per Respondent</w:t>
            </w:r>
          </w:p>
        </w:tc>
        <w:tc>
          <w:tcPr>
            <w:tcW w:w="1710" w:type="dxa"/>
            <w:gridSpan w:val="2"/>
            <w:tcBorders>
              <w:top w:val="single" w:sz="12" w:space="0" w:color="auto"/>
              <w:left w:val="nil"/>
              <w:bottom w:val="single" w:sz="4" w:space="0" w:color="auto"/>
              <w:right w:val="nil"/>
            </w:tcBorders>
            <w:vAlign w:val="bottom"/>
            <w:hideMark/>
          </w:tcPr>
          <w:p w:rsidR="005174F5" w:rsidRPr="00D556E1" w:rsidRDefault="005174F5" w:rsidP="000E151E">
            <w:pPr>
              <w:jc w:val="right"/>
              <w:rPr>
                <w:b/>
                <w:bCs/>
                <w:sz w:val="22"/>
                <w:szCs w:val="22"/>
              </w:rPr>
            </w:pPr>
            <w:r w:rsidRPr="00D556E1">
              <w:rPr>
                <w:b/>
                <w:bCs/>
                <w:sz w:val="22"/>
                <w:szCs w:val="22"/>
              </w:rPr>
              <w:t>Number of Respondents</w:t>
            </w:r>
          </w:p>
        </w:tc>
        <w:tc>
          <w:tcPr>
            <w:tcW w:w="1815" w:type="dxa"/>
            <w:tcBorders>
              <w:top w:val="single" w:sz="12" w:space="0" w:color="auto"/>
              <w:left w:val="nil"/>
              <w:bottom w:val="single" w:sz="4" w:space="0" w:color="auto"/>
              <w:right w:val="nil"/>
            </w:tcBorders>
            <w:vAlign w:val="bottom"/>
            <w:hideMark/>
          </w:tcPr>
          <w:p w:rsidR="0042534A" w:rsidRPr="00D556E1" w:rsidRDefault="005174F5" w:rsidP="000E151E">
            <w:pPr>
              <w:jc w:val="right"/>
              <w:rPr>
                <w:b/>
                <w:bCs/>
                <w:sz w:val="22"/>
                <w:szCs w:val="22"/>
              </w:rPr>
            </w:pPr>
            <w:r w:rsidRPr="00D556E1">
              <w:rPr>
                <w:b/>
                <w:bCs/>
                <w:sz w:val="22"/>
                <w:szCs w:val="22"/>
              </w:rPr>
              <w:t xml:space="preserve">Estimated </w:t>
            </w:r>
          </w:p>
          <w:p w:rsidR="005174F5" w:rsidRPr="00D556E1" w:rsidRDefault="005174F5" w:rsidP="000E151E">
            <w:pPr>
              <w:jc w:val="right"/>
              <w:rPr>
                <w:b/>
                <w:bCs/>
                <w:sz w:val="22"/>
                <w:szCs w:val="22"/>
              </w:rPr>
            </w:pPr>
            <w:r w:rsidRPr="00D556E1">
              <w:rPr>
                <w:b/>
                <w:bCs/>
                <w:sz w:val="22"/>
                <w:szCs w:val="22"/>
              </w:rPr>
              <w:t>Total Hours</w:t>
            </w:r>
          </w:p>
        </w:tc>
      </w:tr>
      <w:tr w:rsidR="005174F5" w:rsidTr="0042534A">
        <w:trPr>
          <w:trHeight w:val="317"/>
        </w:trPr>
        <w:tc>
          <w:tcPr>
            <w:tcW w:w="3330" w:type="dxa"/>
            <w:noWrap/>
            <w:vAlign w:val="bottom"/>
            <w:hideMark/>
          </w:tcPr>
          <w:p w:rsidR="005174F5" w:rsidRPr="00D556E1" w:rsidRDefault="005174F5" w:rsidP="000E151E">
            <w:pPr>
              <w:rPr>
                <w:i/>
                <w:sz w:val="22"/>
                <w:szCs w:val="22"/>
              </w:rPr>
            </w:pPr>
            <w:r w:rsidRPr="00D556E1">
              <w:rPr>
                <w:i/>
                <w:sz w:val="22"/>
                <w:szCs w:val="22"/>
              </w:rPr>
              <w:t>Stage 1: Frame Creation</w:t>
            </w:r>
          </w:p>
        </w:tc>
        <w:tc>
          <w:tcPr>
            <w:tcW w:w="5055" w:type="dxa"/>
            <w:gridSpan w:val="5"/>
            <w:noWrap/>
            <w:vAlign w:val="bottom"/>
          </w:tcPr>
          <w:p w:rsidR="005174F5" w:rsidRPr="00D556E1" w:rsidRDefault="005174F5" w:rsidP="000E151E">
            <w:pPr>
              <w:rPr>
                <w:sz w:val="22"/>
                <w:szCs w:val="22"/>
              </w:rPr>
            </w:pPr>
          </w:p>
        </w:tc>
      </w:tr>
      <w:tr w:rsidR="005174F5" w:rsidTr="0042534A">
        <w:trPr>
          <w:trHeight w:val="77"/>
        </w:trPr>
        <w:tc>
          <w:tcPr>
            <w:tcW w:w="3330" w:type="dxa"/>
            <w:noWrap/>
            <w:vAlign w:val="bottom"/>
            <w:hideMark/>
          </w:tcPr>
          <w:p w:rsidR="005174F5" w:rsidRPr="00D556E1" w:rsidRDefault="005174F5" w:rsidP="000E151E">
            <w:pPr>
              <w:ind w:left="144"/>
              <w:rPr>
                <w:sz w:val="22"/>
                <w:szCs w:val="22"/>
              </w:rPr>
            </w:pPr>
            <w:r w:rsidRPr="00D556E1">
              <w:rPr>
                <w:sz w:val="22"/>
                <w:szCs w:val="22"/>
              </w:rPr>
              <w:t>High Authority (HA)</w:t>
            </w:r>
          </w:p>
        </w:tc>
        <w:tc>
          <w:tcPr>
            <w:tcW w:w="1530" w:type="dxa"/>
            <w:gridSpan w:val="2"/>
            <w:noWrap/>
            <w:vAlign w:val="bottom"/>
            <w:hideMark/>
          </w:tcPr>
          <w:p w:rsidR="005174F5" w:rsidRPr="00D556E1" w:rsidRDefault="002D5DAC" w:rsidP="000E151E">
            <w:pPr>
              <w:jc w:val="right"/>
              <w:rPr>
                <w:sz w:val="22"/>
                <w:szCs w:val="22"/>
              </w:rPr>
            </w:pPr>
            <w:r>
              <w:rPr>
                <w:sz w:val="22"/>
                <w:szCs w:val="22"/>
              </w:rPr>
              <w:t>60</w:t>
            </w:r>
          </w:p>
        </w:tc>
        <w:tc>
          <w:tcPr>
            <w:tcW w:w="1710" w:type="dxa"/>
            <w:gridSpan w:val="2"/>
            <w:noWrap/>
            <w:vAlign w:val="bottom"/>
            <w:hideMark/>
          </w:tcPr>
          <w:p w:rsidR="005174F5" w:rsidRPr="00D556E1" w:rsidRDefault="005174F5" w:rsidP="000E151E">
            <w:pPr>
              <w:jc w:val="right"/>
              <w:rPr>
                <w:sz w:val="22"/>
                <w:szCs w:val="22"/>
              </w:rPr>
            </w:pPr>
            <w:r w:rsidRPr="00D556E1">
              <w:rPr>
                <w:sz w:val="22"/>
                <w:szCs w:val="22"/>
              </w:rPr>
              <w:t>201</w:t>
            </w:r>
          </w:p>
        </w:tc>
        <w:tc>
          <w:tcPr>
            <w:tcW w:w="1815" w:type="dxa"/>
            <w:noWrap/>
            <w:vAlign w:val="bottom"/>
            <w:hideMark/>
          </w:tcPr>
          <w:p w:rsidR="005174F5" w:rsidRPr="00D556E1" w:rsidRDefault="005F047E" w:rsidP="000E151E">
            <w:pPr>
              <w:jc w:val="right"/>
              <w:rPr>
                <w:sz w:val="22"/>
                <w:szCs w:val="22"/>
              </w:rPr>
            </w:pPr>
            <w:r w:rsidRPr="00D556E1">
              <w:rPr>
                <w:sz w:val="22"/>
                <w:szCs w:val="22"/>
              </w:rPr>
              <w:t>201</w:t>
            </w:r>
          </w:p>
        </w:tc>
      </w:tr>
      <w:tr w:rsidR="005174F5" w:rsidTr="0042534A">
        <w:trPr>
          <w:trHeight w:val="77"/>
        </w:trPr>
        <w:tc>
          <w:tcPr>
            <w:tcW w:w="3330" w:type="dxa"/>
            <w:noWrap/>
            <w:vAlign w:val="bottom"/>
            <w:hideMark/>
          </w:tcPr>
          <w:p w:rsidR="005174F5" w:rsidRPr="00D556E1" w:rsidRDefault="005174F5" w:rsidP="000E151E">
            <w:pPr>
              <w:ind w:left="144"/>
              <w:rPr>
                <w:sz w:val="22"/>
                <w:szCs w:val="22"/>
              </w:rPr>
            </w:pPr>
            <w:r w:rsidRPr="00D556E1">
              <w:rPr>
                <w:sz w:val="22"/>
                <w:szCs w:val="22"/>
              </w:rPr>
              <w:t>List Coordinator (LC)</w:t>
            </w:r>
          </w:p>
        </w:tc>
        <w:tc>
          <w:tcPr>
            <w:tcW w:w="1530" w:type="dxa"/>
            <w:gridSpan w:val="2"/>
            <w:noWrap/>
            <w:vAlign w:val="bottom"/>
            <w:hideMark/>
          </w:tcPr>
          <w:p w:rsidR="005174F5" w:rsidRPr="00D556E1" w:rsidRDefault="005174F5" w:rsidP="000E151E">
            <w:pPr>
              <w:jc w:val="right"/>
              <w:rPr>
                <w:sz w:val="22"/>
                <w:szCs w:val="22"/>
              </w:rPr>
            </w:pPr>
            <w:r w:rsidRPr="00D556E1">
              <w:rPr>
                <w:sz w:val="22"/>
                <w:szCs w:val="22"/>
              </w:rPr>
              <w:t>360</w:t>
            </w:r>
          </w:p>
        </w:tc>
        <w:tc>
          <w:tcPr>
            <w:tcW w:w="1710" w:type="dxa"/>
            <w:gridSpan w:val="2"/>
            <w:noWrap/>
            <w:vAlign w:val="bottom"/>
            <w:hideMark/>
          </w:tcPr>
          <w:p w:rsidR="005174F5" w:rsidRPr="00D556E1" w:rsidRDefault="005174F5" w:rsidP="000E151E">
            <w:pPr>
              <w:jc w:val="right"/>
              <w:rPr>
                <w:sz w:val="22"/>
                <w:szCs w:val="22"/>
              </w:rPr>
            </w:pPr>
            <w:r w:rsidRPr="00D556E1">
              <w:rPr>
                <w:sz w:val="22"/>
                <w:szCs w:val="22"/>
              </w:rPr>
              <w:t>201</w:t>
            </w:r>
          </w:p>
        </w:tc>
        <w:tc>
          <w:tcPr>
            <w:tcW w:w="1815" w:type="dxa"/>
            <w:noWrap/>
            <w:vAlign w:val="bottom"/>
            <w:hideMark/>
          </w:tcPr>
          <w:p w:rsidR="005174F5" w:rsidRPr="00D556E1" w:rsidRDefault="005174F5" w:rsidP="000E151E">
            <w:pPr>
              <w:jc w:val="right"/>
              <w:rPr>
                <w:sz w:val="22"/>
                <w:szCs w:val="22"/>
              </w:rPr>
            </w:pPr>
            <w:r w:rsidRPr="00D556E1">
              <w:rPr>
                <w:sz w:val="22"/>
                <w:szCs w:val="22"/>
              </w:rPr>
              <w:t>1,206</w:t>
            </w:r>
          </w:p>
        </w:tc>
      </w:tr>
      <w:tr w:rsidR="005174F5" w:rsidTr="0042534A">
        <w:trPr>
          <w:trHeight w:val="64"/>
        </w:trPr>
        <w:tc>
          <w:tcPr>
            <w:tcW w:w="3330" w:type="dxa"/>
            <w:noWrap/>
            <w:vAlign w:val="bottom"/>
            <w:hideMark/>
          </w:tcPr>
          <w:p w:rsidR="005174F5" w:rsidRPr="00D556E1" w:rsidRDefault="005174F5" w:rsidP="000E151E">
            <w:pPr>
              <w:ind w:left="144"/>
              <w:rPr>
                <w:sz w:val="22"/>
                <w:szCs w:val="22"/>
              </w:rPr>
            </w:pPr>
            <w:r w:rsidRPr="00D556E1">
              <w:rPr>
                <w:sz w:val="22"/>
                <w:szCs w:val="22"/>
              </w:rPr>
              <w:t>Subtotal</w:t>
            </w:r>
          </w:p>
        </w:tc>
        <w:tc>
          <w:tcPr>
            <w:tcW w:w="1530" w:type="dxa"/>
            <w:gridSpan w:val="2"/>
            <w:noWrap/>
            <w:vAlign w:val="bottom"/>
          </w:tcPr>
          <w:p w:rsidR="005174F5" w:rsidRPr="00D556E1" w:rsidRDefault="005174F5" w:rsidP="000E151E">
            <w:pPr>
              <w:jc w:val="right"/>
              <w:rPr>
                <w:sz w:val="22"/>
                <w:szCs w:val="22"/>
              </w:rPr>
            </w:pPr>
          </w:p>
        </w:tc>
        <w:tc>
          <w:tcPr>
            <w:tcW w:w="1710" w:type="dxa"/>
            <w:gridSpan w:val="2"/>
            <w:noWrap/>
            <w:vAlign w:val="bottom"/>
          </w:tcPr>
          <w:p w:rsidR="005174F5" w:rsidRPr="00D556E1" w:rsidRDefault="005174F5" w:rsidP="000E151E">
            <w:pPr>
              <w:jc w:val="right"/>
              <w:rPr>
                <w:sz w:val="22"/>
                <w:szCs w:val="22"/>
              </w:rPr>
            </w:pPr>
          </w:p>
        </w:tc>
        <w:tc>
          <w:tcPr>
            <w:tcW w:w="1815" w:type="dxa"/>
            <w:noWrap/>
            <w:vAlign w:val="bottom"/>
            <w:hideMark/>
          </w:tcPr>
          <w:p w:rsidR="005174F5" w:rsidRPr="00D556E1" w:rsidRDefault="006973C9" w:rsidP="000E151E">
            <w:pPr>
              <w:jc w:val="right"/>
              <w:rPr>
                <w:sz w:val="22"/>
                <w:szCs w:val="22"/>
              </w:rPr>
            </w:pPr>
            <w:r w:rsidRPr="00D556E1">
              <w:rPr>
                <w:sz w:val="22"/>
                <w:szCs w:val="22"/>
              </w:rPr>
              <w:t>1,</w:t>
            </w:r>
            <w:r w:rsidR="005F047E" w:rsidRPr="00D556E1">
              <w:rPr>
                <w:sz w:val="22"/>
                <w:szCs w:val="22"/>
              </w:rPr>
              <w:t>40</w:t>
            </w:r>
            <w:r w:rsidR="005174F5" w:rsidRPr="00D556E1">
              <w:rPr>
                <w:sz w:val="22"/>
                <w:szCs w:val="22"/>
              </w:rPr>
              <w:t>7</w:t>
            </w:r>
          </w:p>
        </w:tc>
      </w:tr>
      <w:tr w:rsidR="005174F5" w:rsidTr="0042534A">
        <w:trPr>
          <w:trHeight w:val="317"/>
        </w:trPr>
        <w:tc>
          <w:tcPr>
            <w:tcW w:w="3330" w:type="dxa"/>
            <w:noWrap/>
            <w:vAlign w:val="bottom"/>
            <w:hideMark/>
          </w:tcPr>
          <w:p w:rsidR="005174F5" w:rsidRPr="00D556E1" w:rsidRDefault="005174F5" w:rsidP="000E151E">
            <w:pPr>
              <w:rPr>
                <w:i/>
                <w:sz w:val="22"/>
                <w:szCs w:val="22"/>
              </w:rPr>
            </w:pPr>
            <w:r w:rsidRPr="00D556E1">
              <w:rPr>
                <w:i/>
                <w:sz w:val="22"/>
                <w:szCs w:val="22"/>
              </w:rPr>
              <w:t xml:space="preserve">Stage 2: </w:t>
            </w:r>
            <w:r w:rsidR="00885ABD">
              <w:rPr>
                <w:i/>
                <w:sz w:val="22"/>
                <w:szCs w:val="22"/>
              </w:rPr>
              <w:t>Individual</w:t>
            </w:r>
            <w:r w:rsidRPr="00D556E1">
              <w:rPr>
                <w:i/>
                <w:sz w:val="22"/>
                <w:szCs w:val="22"/>
              </w:rPr>
              <w:t xml:space="preserve"> Survey</w:t>
            </w:r>
          </w:p>
        </w:tc>
        <w:tc>
          <w:tcPr>
            <w:tcW w:w="2259" w:type="dxa"/>
            <w:gridSpan w:val="3"/>
            <w:noWrap/>
            <w:vAlign w:val="bottom"/>
          </w:tcPr>
          <w:p w:rsidR="005174F5" w:rsidRPr="00D556E1" w:rsidRDefault="005174F5" w:rsidP="000E151E">
            <w:pPr>
              <w:jc w:val="right"/>
              <w:rPr>
                <w:sz w:val="22"/>
                <w:szCs w:val="22"/>
              </w:rPr>
            </w:pPr>
          </w:p>
        </w:tc>
        <w:tc>
          <w:tcPr>
            <w:tcW w:w="2796" w:type="dxa"/>
            <w:gridSpan w:val="2"/>
            <w:noWrap/>
            <w:vAlign w:val="bottom"/>
          </w:tcPr>
          <w:p w:rsidR="005174F5" w:rsidRPr="00D556E1" w:rsidRDefault="005174F5" w:rsidP="000E151E">
            <w:pPr>
              <w:jc w:val="right"/>
              <w:rPr>
                <w:sz w:val="22"/>
                <w:szCs w:val="22"/>
              </w:rPr>
            </w:pPr>
          </w:p>
        </w:tc>
      </w:tr>
      <w:tr w:rsidR="005174F5" w:rsidTr="0042534A">
        <w:trPr>
          <w:trHeight w:val="64"/>
        </w:trPr>
        <w:tc>
          <w:tcPr>
            <w:tcW w:w="3330" w:type="dxa"/>
            <w:noWrap/>
            <w:vAlign w:val="bottom"/>
            <w:hideMark/>
          </w:tcPr>
          <w:p w:rsidR="005174F5" w:rsidRPr="00D556E1" w:rsidRDefault="005174F5" w:rsidP="000E151E">
            <w:pPr>
              <w:ind w:left="144"/>
              <w:rPr>
                <w:sz w:val="22"/>
                <w:szCs w:val="22"/>
              </w:rPr>
            </w:pPr>
            <w:r w:rsidRPr="00D556E1">
              <w:rPr>
                <w:sz w:val="22"/>
                <w:szCs w:val="22"/>
              </w:rPr>
              <w:t>ECD Contactor (EC)</w:t>
            </w:r>
          </w:p>
        </w:tc>
        <w:tc>
          <w:tcPr>
            <w:tcW w:w="1530" w:type="dxa"/>
            <w:gridSpan w:val="2"/>
            <w:noWrap/>
            <w:vAlign w:val="bottom"/>
            <w:hideMark/>
          </w:tcPr>
          <w:p w:rsidR="005174F5" w:rsidRPr="00D556E1" w:rsidRDefault="005174F5" w:rsidP="000E151E">
            <w:pPr>
              <w:jc w:val="right"/>
              <w:rPr>
                <w:sz w:val="22"/>
                <w:szCs w:val="22"/>
              </w:rPr>
            </w:pPr>
            <w:r w:rsidRPr="00D556E1">
              <w:rPr>
                <w:sz w:val="22"/>
                <w:szCs w:val="22"/>
              </w:rPr>
              <w:t>30</w:t>
            </w:r>
          </w:p>
        </w:tc>
        <w:tc>
          <w:tcPr>
            <w:tcW w:w="1710" w:type="dxa"/>
            <w:gridSpan w:val="2"/>
            <w:noWrap/>
            <w:vAlign w:val="bottom"/>
            <w:hideMark/>
          </w:tcPr>
          <w:p w:rsidR="005174F5" w:rsidRPr="00D556E1" w:rsidRDefault="005174F5" w:rsidP="000E151E">
            <w:pPr>
              <w:jc w:val="right"/>
              <w:rPr>
                <w:sz w:val="22"/>
                <w:szCs w:val="22"/>
              </w:rPr>
            </w:pPr>
            <w:r w:rsidRPr="00D556E1">
              <w:rPr>
                <w:sz w:val="22"/>
                <w:szCs w:val="22"/>
              </w:rPr>
              <w:t>201</w:t>
            </w:r>
            <w:r w:rsidR="00000B65">
              <w:rPr>
                <w:sz w:val="22"/>
                <w:szCs w:val="22"/>
              </w:rPr>
              <w:t xml:space="preserve"> (191)</w:t>
            </w:r>
          </w:p>
        </w:tc>
        <w:tc>
          <w:tcPr>
            <w:tcW w:w="1815" w:type="dxa"/>
            <w:noWrap/>
            <w:vAlign w:val="bottom"/>
            <w:hideMark/>
          </w:tcPr>
          <w:p w:rsidR="005174F5" w:rsidRPr="00D556E1" w:rsidRDefault="00802746" w:rsidP="000E151E">
            <w:pPr>
              <w:jc w:val="right"/>
              <w:rPr>
                <w:sz w:val="22"/>
                <w:szCs w:val="22"/>
              </w:rPr>
            </w:pPr>
            <w:r w:rsidRPr="00D556E1">
              <w:rPr>
                <w:sz w:val="22"/>
                <w:szCs w:val="22"/>
              </w:rPr>
              <w:t>9</w:t>
            </w:r>
            <w:r w:rsidR="008E19E8" w:rsidRPr="00D556E1">
              <w:rPr>
                <w:sz w:val="22"/>
                <w:szCs w:val="22"/>
              </w:rPr>
              <w:t>6</w:t>
            </w:r>
            <w:r w:rsidR="005174F5" w:rsidRPr="00D556E1">
              <w:rPr>
                <w:sz w:val="22"/>
                <w:szCs w:val="22"/>
              </w:rPr>
              <w:t>*</w:t>
            </w:r>
          </w:p>
        </w:tc>
      </w:tr>
      <w:tr w:rsidR="005174F5" w:rsidTr="0042534A">
        <w:trPr>
          <w:trHeight w:val="64"/>
        </w:trPr>
        <w:tc>
          <w:tcPr>
            <w:tcW w:w="3330" w:type="dxa"/>
            <w:noWrap/>
            <w:vAlign w:val="bottom"/>
            <w:hideMark/>
          </w:tcPr>
          <w:p w:rsidR="005174F5" w:rsidRPr="00D556E1" w:rsidRDefault="005174F5" w:rsidP="000E151E">
            <w:pPr>
              <w:ind w:left="144"/>
              <w:rPr>
                <w:sz w:val="22"/>
                <w:szCs w:val="22"/>
              </w:rPr>
            </w:pPr>
            <w:r w:rsidRPr="00D556E1">
              <w:rPr>
                <w:sz w:val="22"/>
                <w:szCs w:val="22"/>
              </w:rPr>
              <w:t>Early Career Doctorate (ECD)</w:t>
            </w:r>
          </w:p>
        </w:tc>
        <w:tc>
          <w:tcPr>
            <w:tcW w:w="1530" w:type="dxa"/>
            <w:gridSpan w:val="2"/>
            <w:noWrap/>
            <w:vAlign w:val="bottom"/>
            <w:hideMark/>
          </w:tcPr>
          <w:p w:rsidR="005174F5" w:rsidRPr="00D556E1" w:rsidRDefault="005174F5" w:rsidP="000E151E">
            <w:pPr>
              <w:jc w:val="right"/>
              <w:rPr>
                <w:sz w:val="22"/>
                <w:szCs w:val="22"/>
              </w:rPr>
            </w:pPr>
            <w:r w:rsidRPr="00D556E1">
              <w:rPr>
                <w:sz w:val="22"/>
                <w:szCs w:val="22"/>
              </w:rPr>
              <w:t>3</w:t>
            </w:r>
            <w:r w:rsidR="002C3A21" w:rsidRPr="00D556E1">
              <w:rPr>
                <w:sz w:val="22"/>
                <w:szCs w:val="22"/>
              </w:rPr>
              <w:t>0</w:t>
            </w:r>
          </w:p>
        </w:tc>
        <w:tc>
          <w:tcPr>
            <w:tcW w:w="1710" w:type="dxa"/>
            <w:gridSpan w:val="2"/>
            <w:noWrap/>
            <w:vAlign w:val="bottom"/>
            <w:hideMark/>
          </w:tcPr>
          <w:p w:rsidR="005174F5" w:rsidRPr="00D556E1" w:rsidRDefault="005174F5" w:rsidP="000E151E">
            <w:pPr>
              <w:jc w:val="right"/>
              <w:rPr>
                <w:sz w:val="22"/>
                <w:szCs w:val="22"/>
              </w:rPr>
            </w:pPr>
            <w:r w:rsidRPr="00D556E1">
              <w:rPr>
                <w:sz w:val="22"/>
                <w:szCs w:val="22"/>
              </w:rPr>
              <w:t>8,250</w:t>
            </w:r>
            <w:r w:rsidR="00000B65">
              <w:rPr>
                <w:sz w:val="22"/>
                <w:szCs w:val="22"/>
              </w:rPr>
              <w:t xml:space="preserve"> (6,</w:t>
            </w:r>
            <w:bookmarkStart w:id="35" w:name="_GoBack"/>
            <w:bookmarkEnd w:id="35"/>
            <w:r w:rsidR="00000B65">
              <w:rPr>
                <w:sz w:val="22"/>
                <w:szCs w:val="22"/>
              </w:rPr>
              <w:t>600)</w:t>
            </w:r>
          </w:p>
        </w:tc>
        <w:tc>
          <w:tcPr>
            <w:tcW w:w="1815" w:type="dxa"/>
            <w:noWrap/>
            <w:vAlign w:val="bottom"/>
            <w:hideMark/>
          </w:tcPr>
          <w:p w:rsidR="005174F5" w:rsidRPr="00D556E1" w:rsidRDefault="005174F5" w:rsidP="000E151E">
            <w:pPr>
              <w:jc w:val="right"/>
              <w:rPr>
                <w:sz w:val="22"/>
                <w:szCs w:val="22"/>
              </w:rPr>
            </w:pPr>
            <w:r w:rsidRPr="00D556E1">
              <w:rPr>
                <w:sz w:val="22"/>
                <w:szCs w:val="22"/>
              </w:rPr>
              <w:t>3,</w:t>
            </w:r>
            <w:r w:rsidR="008E19E8" w:rsidRPr="00D556E1">
              <w:rPr>
                <w:sz w:val="22"/>
                <w:szCs w:val="22"/>
              </w:rPr>
              <w:t>300</w:t>
            </w:r>
            <w:r w:rsidRPr="00D556E1">
              <w:rPr>
                <w:sz w:val="22"/>
                <w:szCs w:val="22"/>
              </w:rPr>
              <w:t>**</w:t>
            </w:r>
          </w:p>
        </w:tc>
      </w:tr>
      <w:tr w:rsidR="005174F5" w:rsidTr="0042534A">
        <w:trPr>
          <w:trHeight w:val="378"/>
        </w:trPr>
        <w:tc>
          <w:tcPr>
            <w:tcW w:w="3330" w:type="dxa"/>
            <w:tcBorders>
              <w:bottom w:val="single" w:sz="8" w:space="0" w:color="auto"/>
            </w:tcBorders>
            <w:noWrap/>
            <w:hideMark/>
          </w:tcPr>
          <w:p w:rsidR="005174F5" w:rsidRPr="00D556E1" w:rsidRDefault="005174F5" w:rsidP="000E151E">
            <w:pPr>
              <w:ind w:left="144"/>
              <w:rPr>
                <w:sz w:val="22"/>
                <w:szCs w:val="22"/>
              </w:rPr>
            </w:pPr>
            <w:r w:rsidRPr="00D556E1">
              <w:rPr>
                <w:sz w:val="22"/>
                <w:szCs w:val="22"/>
              </w:rPr>
              <w:t>Subtotal</w:t>
            </w:r>
          </w:p>
        </w:tc>
        <w:tc>
          <w:tcPr>
            <w:tcW w:w="1530" w:type="dxa"/>
            <w:gridSpan w:val="2"/>
            <w:tcBorders>
              <w:bottom w:val="single" w:sz="8" w:space="0" w:color="auto"/>
            </w:tcBorders>
            <w:noWrap/>
            <w:hideMark/>
          </w:tcPr>
          <w:p w:rsidR="005174F5" w:rsidRPr="00D556E1" w:rsidRDefault="005174F5" w:rsidP="000E151E">
            <w:pPr>
              <w:rPr>
                <w:sz w:val="22"/>
                <w:szCs w:val="22"/>
              </w:rPr>
            </w:pPr>
            <w:r w:rsidRPr="00D556E1">
              <w:rPr>
                <w:sz w:val="22"/>
                <w:szCs w:val="22"/>
              </w:rPr>
              <w:t> </w:t>
            </w:r>
          </w:p>
        </w:tc>
        <w:tc>
          <w:tcPr>
            <w:tcW w:w="1710" w:type="dxa"/>
            <w:gridSpan w:val="2"/>
            <w:tcBorders>
              <w:bottom w:val="single" w:sz="8" w:space="0" w:color="auto"/>
            </w:tcBorders>
            <w:noWrap/>
            <w:hideMark/>
          </w:tcPr>
          <w:p w:rsidR="005174F5" w:rsidRPr="00D556E1" w:rsidRDefault="005174F5" w:rsidP="000E151E">
            <w:pPr>
              <w:rPr>
                <w:sz w:val="22"/>
                <w:szCs w:val="22"/>
              </w:rPr>
            </w:pPr>
            <w:r w:rsidRPr="00D556E1">
              <w:rPr>
                <w:sz w:val="22"/>
                <w:szCs w:val="22"/>
              </w:rPr>
              <w:t> </w:t>
            </w:r>
          </w:p>
        </w:tc>
        <w:tc>
          <w:tcPr>
            <w:tcW w:w="1815" w:type="dxa"/>
            <w:tcBorders>
              <w:bottom w:val="single" w:sz="8" w:space="0" w:color="auto"/>
            </w:tcBorders>
            <w:noWrap/>
            <w:hideMark/>
          </w:tcPr>
          <w:p w:rsidR="005174F5" w:rsidRPr="00D556E1" w:rsidRDefault="005174F5" w:rsidP="000E151E">
            <w:pPr>
              <w:jc w:val="right"/>
              <w:rPr>
                <w:sz w:val="22"/>
                <w:szCs w:val="22"/>
              </w:rPr>
            </w:pPr>
            <w:r w:rsidRPr="00D556E1">
              <w:rPr>
                <w:sz w:val="22"/>
                <w:szCs w:val="22"/>
              </w:rPr>
              <w:t>3,</w:t>
            </w:r>
            <w:r w:rsidR="008E19E8" w:rsidRPr="00D556E1">
              <w:rPr>
                <w:sz w:val="22"/>
                <w:szCs w:val="22"/>
              </w:rPr>
              <w:t>396</w:t>
            </w:r>
          </w:p>
        </w:tc>
      </w:tr>
      <w:tr w:rsidR="005174F5" w:rsidTr="0042534A">
        <w:trPr>
          <w:trHeight w:val="70"/>
        </w:trPr>
        <w:tc>
          <w:tcPr>
            <w:tcW w:w="3330" w:type="dxa"/>
            <w:tcBorders>
              <w:top w:val="single" w:sz="8" w:space="0" w:color="auto"/>
              <w:left w:val="nil"/>
              <w:bottom w:val="single" w:sz="12" w:space="0" w:color="auto"/>
              <w:right w:val="nil"/>
            </w:tcBorders>
            <w:noWrap/>
            <w:vAlign w:val="center"/>
            <w:hideMark/>
          </w:tcPr>
          <w:p w:rsidR="005174F5" w:rsidRPr="00D556E1" w:rsidRDefault="005174F5" w:rsidP="000E151E">
            <w:pPr>
              <w:rPr>
                <w:sz w:val="22"/>
                <w:szCs w:val="22"/>
              </w:rPr>
            </w:pPr>
            <w:r w:rsidRPr="00D556E1">
              <w:rPr>
                <w:sz w:val="22"/>
                <w:szCs w:val="22"/>
              </w:rPr>
              <w:t>Total</w:t>
            </w:r>
          </w:p>
        </w:tc>
        <w:tc>
          <w:tcPr>
            <w:tcW w:w="1440" w:type="dxa"/>
            <w:tcBorders>
              <w:top w:val="single" w:sz="8" w:space="0" w:color="auto"/>
              <w:left w:val="nil"/>
              <w:bottom w:val="single" w:sz="12" w:space="0" w:color="auto"/>
              <w:right w:val="nil"/>
            </w:tcBorders>
            <w:noWrap/>
            <w:vAlign w:val="center"/>
          </w:tcPr>
          <w:p w:rsidR="005174F5" w:rsidRPr="00D556E1" w:rsidRDefault="005174F5" w:rsidP="000E151E">
            <w:pPr>
              <w:rPr>
                <w:sz w:val="22"/>
                <w:szCs w:val="22"/>
              </w:rPr>
            </w:pPr>
          </w:p>
        </w:tc>
        <w:tc>
          <w:tcPr>
            <w:tcW w:w="1800" w:type="dxa"/>
            <w:gridSpan w:val="3"/>
            <w:tcBorders>
              <w:top w:val="single" w:sz="8" w:space="0" w:color="auto"/>
              <w:left w:val="nil"/>
              <w:bottom w:val="single" w:sz="12" w:space="0" w:color="auto"/>
              <w:right w:val="nil"/>
            </w:tcBorders>
            <w:noWrap/>
            <w:vAlign w:val="center"/>
          </w:tcPr>
          <w:p w:rsidR="005174F5" w:rsidRPr="00D556E1" w:rsidRDefault="005174F5" w:rsidP="000E151E">
            <w:pPr>
              <w:rPr>
                <w:sz w:val="22"/>
                <w:szCs w:val="22"/>
              </w:rPr>
            </w:pPr>
          </w:p>
        </w:tc>
        <w:tc>
          <w:tcPr>
            <w:tcW w:w="1815" w:type="dxa"/>
            <w:tcBorders>
              <w:top w:val="single" w:sz="8" w:space="0" w:color="auto"/>
              <w:left w:val="nil"/>
              <w:bottom w:val="single" w:sz="12" w:space="0" w:color="auto"/>
              <w:right w:val="nil"/>
            </w:tcBorders>
            <w:noWrap/>
            <w:vAlign w:val="center"/>
            <w:hideMark/>
          </w:tcPr>
          <w:p w:rsidR="005174F5" w:rsidRPr="00D556E1" w:rsidRDefault="008E19E8" w:rsidP="000E151E">
            <w:pPr>
              <w:jc w:val="right"/>
              <w:rPr>
                <w:sz w:val="22"/>
                <w:szCs w:val="22"/>
              </w:rPr>
            </w:pPr>
            <w:r w:rsidRPr="00D556E1">
              <w:rPr>
                <w:sz w:val="22"/>
                <w:szCs w:val="22"/>
              </w:rPr>
              <w:t>4</w:t>
            </w:r>
            <w:r w:rsidR="006973C9" w:rsidRPr="00D556E1">
              <w:rPr>
                <w:sz w:val="22"/>
                <w:szCs w:val="22"/>
              </w:rPr>
              <w:t>,</w:t>
            </w:r>
            <w:r w:rsidR="005F047E" w:rsidRPr="00D556E1">
              <w:rPr>
                <w:sz w:val="22"/>
                <w:szCs w:val="22"/>
              </w:rPr>
              <w:t>80</w:t>
            </w:r>
            <w:r w:rsidRPr="00D556E1">
              <w:rPr>
                <w:sz w:val="22"/>
                <w:szCs w:val="22"/>
              </w:rPr>
              <w:t>3</w:t>
            </w:r>
          </w:p>
        </w:tc>
      </w:tr>
      <w:tr w:rsidR="005174F5" w:rsidTr="000E151E">
        <w:trPr>
          <w:cantSplit/>
          <w:trHeight w:val="312"/>
        </w:trPr>
        <w:tc>
          <w:tcPr>
            <w:tcW w:w="8385" w:type="dxa"/>
            <w:gridSpan w:val="6"/>
            <w:tcBorders>
              <w:top w:val="single" w:sz="12" w:space="0" w:color="auto"/>
            </w:tcBorders>
            <w:vAlign w:val="bottom"/>
            <w:hideMark/>
          </w:tcPr>
          <w:p w:rsidR="005B0221" w:rsidRDefault="005174F5" w:rsidP="000E151E">
            <w:pPr>
              <w:rPr>
                <w:sz w:val="20"/>
                <w:szCs w:val="20"/>
              </w:rPr>
            </w:pPr>
            <w:r>
              <w:rPr>
                <w:sz w:val="20"/>
                <w:szCs w:val="20"/>
              </w:rPr>
              <w:t>*Assumes 95% of the institutions will send the pre-notification e-mails</w:t>
            </w:r>
          </w:p>
          <w:p w:rsidR="005174F5" w:rsidRDefault="005174F5" w:rsidP="000E151E">
            <w:pPr>
              <w:rPr>
                <w:sz w:val="20"/>
                <w:szCs w:val="20"/>
              </w:rPr>
            </w:pPr>
            <w:r>
              <w:rPr>
                <w:sz w:val="20"/>
                <w:szCs w:val="20"/>
              </w:rPr>
              <w:t>**Assumes an 80% response rate</w:t>
            </w:r>
          </w:p>
        </w:tc>
      </w:tr>
    </w:tbl>
    <w:p w:rsidR="009B561B" w:rsidRPr="009B561B" w:rsidRDefault="00D41D1D" w:rsidP="005B0221">
      <w:pPr>
        <w:pStyle w:val="Heading2"/>
        <w:spacing w:after="100" w:afterAutospacing="1"/>
      </w:pPr>
      <w:bookmarkStart w:id="36" w:name="_Toc286415831"/>
      <w:bookmarkStart w:id="37" w:name="_Toc350520004"/>
      <w:r w:rsidRPr="009B561B">
        <w:t>A.13</w:t>
      </w:r>
      <w:r w:rsidRPr="009B561B">
        <w:tab/>
        <w:t xml:space="preserve">Cost </w:t>
      </w:r>
      <w:r w:rsidR="00FE6AAA">
        <w:t>to</w:t>
      </w:r>
      <w:r w:rsidR="00FE6AAA" w:rsidRPr="009B561B">
        <w:t xml:space="preserve"> </w:t>
      </w:r>
      <w:r w:rsidRPr="009B561B">
        <w:t>Respondents</w:t>
      </w:r>
      <w:bookmarkEnd w:id="36"/>
      <w:bookmarkEnd w:id="37"/>
    </w:p>
    <w:p w:rsidR="00D41D1D" w:rsidRPr="009B561B" w:rsidRDefault="0072275D" w:rsidP="005B0221">
      <w:pPr>
        <w:pStyle w:val="BodyText1"/>
        <w:spacing w:after="100" w:afterAutospacing="1" w:line="240" w:lineRule="auto"/>
        <w:ind w:firstLine="0"/>
      </w:pPr>
      <w:r>
        <w:t xml:space="preserve">Not applicable. </w:t>
      </w:r>
      <w:r w:rsidR="00D41D1D" w:rsidRPr="009B561B">
        <w:t xml:space="preserve">This survey does not require </w:t>
      </w:r>
      <w:r>
        <w:t xml:space="preserve">respondents to </w:t>
      </w:r>
      <w:r w:rsidR="00D41D1D" w:rsidRPr="009B561B">
        <w:t>purchase equipment, software, or services beyond those normally used in universities as part of customary and usual business.</w:t>
      </w:r>
    </w:p>
    <w:p w:rsidR="00D41D1D" w:rsidRPr="009B561B" w:rsidRDefault="00D41D1D" w:rsidP="000E151E">
      <w:pPr>
        <w:pStyle w:val="Heading2"/>
        <w:spacing w:before="0" w:after="100" w:afterAutospacing="1"/>
      </w:pPr>
      <w:bookmarkStart w:id="38" w:name="_Toc286415832"/>
      <w:bookmarkStart w:id="39" w:name="_Toc350520005"/>
      <w:r w:rsidRPr="009B561B">
        <w:t>A.14</w:t>
      </w:r>
      <w:r w:rsidRPr="009B561B">
        <w:tab/>
        <w:t>Cost to the Federal Government</w:t>
      </w:r>
      <w:bookmarkEnd w:id="38"/>
      <w:bookmarkEnd w:id="39"/>
    </w:p>
    <w:p w:rsidR="00D41D1D" w:rsidRPr="009B561B" w:rsidRDefault="00DB540C" w:rsidP="000E151E">
      <w:pPr>
        <w:pStyle w:val="BodyText1"/>
        <w:spacing w:after="100" w:afterAutospacing="1" w:line="240" w:lineRule="auto"/>
        <w:ind w:firstLine="0"/>
      </w:pPr>
      <w:r>
        <w:t>The total estimated cost to the Government for the Pilot ECD Survey is $1.</w:t>
      </w:r>
      <w:r w:rsidR="00892A3F">
        <w:t>8</w:t>
      </w:r>
      <w:r>
        <w:t xml:space="preserve"> million for survey cycle costs and for NSF staff costs to provide oversight and coordination with other surveys</w:t>
      </w:r>
      <w:r w:rsidR="00272C50">
        <w:t xml:space="preserve">. </w:t>
      </w:r>
      <w:r>
        <w:t xml:space="preserve">The cost estimated for the survey cycle is $1.3 million, which is based on sample size; length of questionnaire; CATI and Web data collection technology; administrative, overhead, design, printing mail, and telephone data collection costs; data keying, editing, and processing; data quality control; imputation for missing item responses; weighting and estimating sampling error; </w:t>
      </w:r>
      <w:r w:rsidR="009D461C">
        <w:t>file preparation and delivery; preparation of documentation and final reports; and survey evaluation</w:t>
      </w:r>
      <w:r w:rsidR="00272C50">
        <w:t xml:space="preserve">. </w:t>
      </w:r>
      <w:r w:rsidR="009D461C">
        <w:t>NSF staff costs are estimated at</w:t>
      </w:r>
      <w:r w:rsidR="00892A3F">
        <w:t xml:space="preserve"> $450,000 ($150,000 annual salary of 1.5 FTE for 2 years </w:t>
      </w:r>
      <w:r w:rsidR="00272C50">
        <w:t>of the Pilot ECD Survey cycle).</w:t>
      </w:r>
    </w:p>
    <w:p w:rsidR="00D41D1D" w:rsidRPr="009B561B" w:rsidRDefault="00D41D1D" w:rsidP="000E151E">
      <w:pPr>
        <w:pStyle w:val="Heading2"/>
        <w:spacing w:before="0" w:after="100" w:afterAutospacing="1"/>
      </w:pPr>
      <w:bookmarkStart w:id="40" w:name="_Toc286415833"/>
      <w:bookmarkStart w:id="41" w:name="_Toc350520006"/>
      <w:r w:rsidRPr="009B561B">
        <w:t>A.15</w:t>
      </w:r>
      <w:r w:rsidRPr="009B561B">
        <w:tab/>
        <w:t>Changes in Burden</w:t>
      </w:r>
      <w:bookmarkEnd w:id="40"/>
      <w:bookmarkEnd w:id="41"/>
    </w:p>
    <w:p w:rsidR="009959C8" w:rsidRPr="009B561B" w:rsidRDefault="00D41D1D" w:rsidP="000E151E">
      <w:pPr>
        <w:pStyle w:val="BodyText1"/>
        <w:spacing w:after="100" w:afterAutospacing="1" w:line="240" w:lineRule="auto"/>
        <w:ind w:firstLine="0"/>
      </w:pPr>
      <w:r w:rsidRPr="009B561B">
        <w:t xml:space="preserve">NSF expects that </w:t>
      </w:r>
      <w:r w:rsidR="0050218B">
        <w:t xml:space="preserve">per </w:t>
      </w:r>
      <w:r w:rsidRPr="009B561B">
        <w:t xml:space="preserve">respondent burden </w:t>
      </w:r>
      <w:r w:rsidR="008E19E8">
        <w:t xml:space="preserve">for the </w:t>
      </w:r>
      <w:r w:rsidR="0050218B">
        <w:t>data collection</w:t>
      </w:r>
      <w:r w:rsidRPr="009B561B">
        <w:t xml:space="preserve"> will </w:t>
      </w:r>
      <w:r w:rsidR="0050218B">
        <w:t>be similar to that observed in</w:t>
      </w:r>
      <w:r w:rsidR="009959C8">
        <w:t xml:space="preserve"> the methodological study</w:t>
      </w:r>
      <w:r w:rsidRPr="009B561B">
        <w:t>.</w:t>
      </w:r>
      <w:r w:rsidR="0050218B">
        <w:t xml:space="preserve"> </w:t>
      </w:r>
      <w:r w:rsidRPr="009B561B">
        <w:t xml:space="preserve">Total burden </w:t>
      </w:r>
      <w:r w:rsidR="00A00871">
        <w:t xml:space="preserve">for the </w:t>
      </w:r>
      <w:r w:rsidR="009874D2">
        <w:t>Pilot ECD</w:t>
      </w:r>
      <w:r w:rsidR="00A00871">
        <w:t xml:space="preserve"> Survey</w:t>
      </w:r>
      <w:r w:rsidR="00A00871" w:rsidRPr="009B561B">
        <w:t xml:space="preserve"> </w:t>
      </w:r>
      <w:r w:rsidRPr="009B561B">
        <w:t xml:space="preserve">is expected to </w:t>
      </w:r>
      <w:r w:rsidR="00A00871">
        <w:t xml:space="preserve">be </w:t>
      </w:r>
      <w:r w:rsidR="009959C8">
        <w:t>4,</w:t>
      </w:r>
      <w:r w:rsidR="005F047E">
        <w:t>80</w:t>
      </w:r>
      <w:r w:rsidR="009959C8">
        <w:t>3 hours</w:t>
      </w:r>
      <w:r w:rsidRPr="009B561B">
        <w:t xml:space="preserve"> </w:t>
      </w:r>
      <w:r w:rsidR="00A00871">
        <w:t xml:space="preserve">(see table 1 above). The substantial increase from the 1,754 burden hours in the methodological study is the result of </w:t>
      </w:r>
      <w:r w:rsidR="00FA66DE">
        <w:t>increased sample sizes and higher expected response rates</w:t>
      </w:r>
      <w:r w:rsidR="00E8149D">
        <w:t xml:space="preserve">. </w:t>
      </w:r>
      <w:r w:rsidR="00FA66DE">
        <w:t xml:space="preserve">In the methodological study, </w:t>
      </w:r>
      <w:r w:rsidR="00FA66DE">
        <w:rPr>
          <w:color w:val="000000"/>
        </w:rPr>
        <w:t>1,519</w:t>
      </w:r>
      <w:r w:rsidR="00506798">
        <w:rPr>
          <w:color w:val="000000"/>
        </w:rPr>
        <w:t xml:space="preserve"> or </w:t>
      </w:r>
      <w:r w:rsidR="00506798">
        <w:t xml:space="preserve">71.8% </w:t>
      </w:r>
      <w:r w:rsidR="00FA66DE">
        <w:rPr>
          <w:color w:val="000000"/>
        </w:rPr>
        <w:t xml:space="preserve">of the 2,115 sample members responded </w:t>
      </w:r>
      <w:r w:rsidR="00506798">
        <w:rPr>
          <w:color w:val="000000"/>
        </w:rPr>
        <w:t xml:space="preserve">to the survey invitation </w:t>
      </w:r>
      <w:r w:rsidR="00FA66DE">
        <w:rPr>
          <w:color w:val="000000"/>
        </w:rPr>
        <w:t>in some form</w:t>
      </w:r>
      <w:r w:rsidR="00E8149D">
        <w:rPr>
          <w:color w:val="000000"/>
        </w:rPr>
        <w:t xml:space="preserve">. </w:t>
      </w:r>
      <w:r w:rsidR="00506798">
        <w:rPr>
          <w:color w:val="000000"/>
        </w:rPr>
        <w:t>Given a longer data collection period and more intensive non-response follow up, we expect 80% of the 8,250 sample members to respond</w:t>
      </w:r>
      <w:r w:rsidRPr="009B561B">
        <w:t xml:space="preserve">. </w:t>
      </w:r>
    </w:p>
    <w:p w:rsidR="00D41D1D" w:rsidRPr="009B561B" w:rsidRDefault="00D41D1D" w:rsidP="005B0221">
      <w:pPr>
        <w:pStyle w:val="Heading2"/>
        <w:spacing w:after="100" w:afterAutospacing="1"/>
      </w:pPr>
      <w:bookmarkStart w:id="42" w:name="_Toc286415834"/>
      <w:bookmarkStart w:id="43" w:name="_Toc350520007"/>
      <w:r w:rsidRPr="009B561B">
        <w:t>A.16</w:t>
      </w:r>
      <w:r w:rsidRPr="009B561B">
        <w:tab/>
        <w:t>Project Schedule for Information Collection and Publication</w:t>
      </w:r>
      <w:bookmarkEnd w:id="42"/>
      <w:bookmarkEnd w:id="43"/>
    </w:p>
    <w:p w:rsidR="00C03D1A" w:rsidRDefault="00516752" w:rsidP="005B0221">
      <w:pPr>
        <w:pStyle w:val="BodyText1"/>
        <w:spacing w:after="100" w:afterAutospacing="1" w:line="240" w:lineRule="auto"/>
        <w:ind w:firstLine="0"/>
      </w:pPr>
      <w:r>
        <w:t xml:space="preserve">The </w:t>
      </w:r>
      <w:r w:rsidR="009874D2">
        <w:t xml:space="preserve">Pilot </w:t>
      </w:r>
      <w:r w:rsidR="009A6991">
        <w:t>ECD Survey</w:t>
      </w:r>
      <w:r>
        <w:t xml:space="preserve"> will be </w:t>
      </w:r>
      <w:r w:rsidR="009874D2">
        <w:t xml:space="preserve">a </w:t>
      </w:r>
      <w:r>
        <w:t>two</w:t>
      </w:r>
      <w:r w:rsidR="009874D2">
        <w:t>-</w:t>
      </w:r>
      <w:r>
        <w:t>stage data collection</w:t>
      </w:r>
      <w:r w:rsidR="002C3A21" w:rsidRPr="009B561B">
        <w:t xml:space="preserve">. </w:t>
      </w:r>
      <w:r>
        <w:t>In the first stage, sampled i</w:t>
      </w:r>
      <w:r w:rsidR="002C3A21" w:rsidRPr="009B561B">
        <w:t>nstitutions are contacted to</w:t>
      </w:r>
      <w:r>
        <w:t xml:space="preserve"> begin the frame building process</w:t>
      </w:r>
      <w:r w:rsidR="002C3A21" w:rsidRPr="009B561B">
        <w:t>.</w:t>
      </w:r>
      <w:r>
        <w:t xml:space="preserve"> </w:t>
      </w:r>
      <w:r w:rsidR="006E1BA0">
        <w:t xml:space="preserve">Because ECD listings from sampled </w:t>
      </w:r>
      <w:r w:rsidR="006E1BA0">
        <w:lastRenderedPageBreak/>
        <w:t>institutions will be received at various times, stage 2 data collection will be a rolling process beginning approximately one month after the receipt of the ECD listing</w:t>
      </w:r>
      <w:r w:rsidR="00410FCF">
        <w:t xml:space="preserve"> from the institution</w:t>
      </w:r>
      <w:r w:rsidR="006E1BA0">
        <w:t xml:space="preserve"> and ending approximately two months later.</w:t>
      </w:r>
      <w:r>
        <w:t xml:space="preserve"> </w:t>
      </w:r>
      <w:r w:rsidR="006E1BA0">
        <w:t xml:space="preserve">As this is a pilot survey, </w:t>
      </w:r>
      <w:r w:rsidR="00C03D1A">
        <w:t xml:space="preserve">NSF does not plan to use any complex analytical techniques in NSF publications using these data. </w:t>
      </w:r>
      <w:r w:rsidR="00365ECC">
        <w:t xml:space="preserve">The </w:t>
      </w:r>
      <w:proofErr w:type="spellStart"/>
      <w:r w:rsidR="00365ECC" w:rsidRPr="00365ECC">
        <w:rPr>
          <w:i/>
          <w:iCs/>
        </w:rPr>
        <w:t>InfoBrief</w:t>
      </w:r>
      <w:proofErr w:type="spellEnd"/>
      <w:r w:rsidR="00365ECC">
        <w:t>, detailed statistical tables, and public use data files will be published and made available on NCSES website.</w:t>
      </w:r>
      <w:r w:rsidR="00C03D1A">
        <w:t xml:space="preserve"> The time schedule for 201</w:t>
      </w:r>
      <w:r w:rsidR="0072275D">
        <w:t>4</w:t>
      </w:r>
      <w:r w:rsidR="00C03D1A">
        <w:t xml:space="preserve"> </w:t>
      </w:r>
      <w:r w:rsidR="009874D2">
        <w:t xml:space="preserve">Pilot ECDS Survey </w:t>
      </w:r>
      <w:r w:rsidR="00C03D1A">
        <w:t>data collection and publication is currently estimated as follows:</w:t>
      </w:r>
    </w:p>
    <w:p w:rsidR="00AB4873" w:rsidRPr="009B561B" w:rsidRDefault="00AB4873" w:rsidP="00737324">
      <w:pPr>
        <w:pStyle w:val="FigureTitle"/>
        <w:spacing w:before="0" w:after="0"/>
        <w:ind w:left="0" w:firstLine="0"/>
      </w:pPr>
      <w:bookmarkStart w:id="44" w:name="_Toc286415835"/>
      <w:bookmarkStart w:id="45" w:name="_Toc350520008"/>
      <w:proofErr w:type="gramStart"/>
      <w:r>
        <w:t>Table</w:t>
      </w:r>
      <w:r w:rsidRPr="009B561B">
        <w:t> </w:t>
      </w:r>
      <w:r w:rsidR="000E151E">
        <w:t>2</w:t>
      </w:r>
      <w:r>
        <w:t>.</w:t>
      </w:r>
      <w:proofErr w:type="gramEnd"/>
      <w:r>
        <w:t xml:space="preserve"> Pilot ECD Survey Data Collection and Publication Schedule</w:t>
      </w:r>
    </w:p>
    <w:p w:rsidR="002C3A21" w:rsidRDefault="002C3A21" w:rsidP="00737324">
      <w:pPr>
        <w:pStyle w:val="Heading2"/>
        <w:spacing w:before="0" w:after="0"/>
      </w:pPr>
    </w:p>
    <w:tbl>
      <w:tblPr>
        <w:tblpPr w:leftFromText="180" w:rightFromText="180" w:vertAnchor="text" w:horzAnchor="margin" w:tblpY="-124"/>
        <w:tblW w:w="0" w:type="auto"/>
        <w:tblBorders>
          <w:top w:val="single" w:sz="12" w:space="0" w:color="auto"/>
          <w:bottom w:val="single" w:sz="12" w:space="0" w:color="auto"/>
          <w:insideH w:val="single" w:sz="4" w:space="0" w:color="000000"/>
          <w:insideV w:val="single" w:sz="4" w:space="0" w:color="000000"/>
        </w:tblBorders>
        <w:tblCellMar>
          <w:left w:w="115" w:type="dxa"/>
          <w:right w:w="115" w:type="dxa"/>
        </w:tblCellMar>
        <w:tblLook w:val="0000" w:firstRow="0" w:lastRow="0" w:firstColumn="0" w:lastColumn="0" w:noHBand="0" w:noVBand="0"/>
      </w:tblPr>
      <w:tblGrid>
        <w:gridCol w:w="4550"/>
        <w:gridCol w:w="3015"/>
      </w:tblGrid>
      <w:tr w:rsidR="00AB4873" w:rsidRPr="009B561B" w:rsidTr="000E151E">
        <w:trPr>
          <w:cantSplit/>
          <w:trHeight w:val="410"/>
        </w:trPr>
        <w:tc>
          <w:tcPr>
            <w:tcW w:w="0" w:type="auto"/>
            <w:tcBorders>
              <w:top w:val="single" w:sz="12" w:space="0" w:color="auto"/>
              <w:bottom w:val="single" w:sz="4" w:space="0" w:color="000000"/>
              <w:right w:val="nil"/>
            </w:tcBorders>
            <w:vAlign w:val="bottom"/>
          </w:tcPr>
          <w:p w:rsidR="00AB4873" w:rsidRPr="00D556E1" w:rsidRDefault="00AB4873" w:rsidP="00737324">
            <w:pPr>
              <w:pStyle w:val="Default"/>
              <w:keepNext/>
              <w:widowControl/>
              <w:autoSpaceDE/>
              <w:autoSpaceDN/>
              <w:adjustRightInd/>
              <w:rPr>
                <w:b/>
                <w:sz w:val="22"/>
                <w:szCs w:val="22"/>
              </w:rPr>
            </w:pPr>
            <w:r w:rsidRPr="00D556E1">
              <w:rPr>
                <w:b/>
                <w:sz w:val="22"/>
                <w:szCs w:val="22"/>
              </w:rPr>
              <w:t>Activities</w:t>
            </w:r>
          </w:p>
        </w:tc>
        <w:tc>
          <w:tcPr>
            <w:tcW w:w="0" w:type="auto"/>
            <w:tcBorders>
              <w:top w:val="single" w:sz="12" w:space="0" w:color="auto"/>
              <w:left w:val="nil"/>
              <w:bottom w:val="single" w:sz="4" w:space="0" w:color="000000"/>
            </w:tcBorders>
            <w:vAlign w:val="bottom"/>
          </w:tcPr>
          <w:p w:rsidR="00AB4873" w:rsidRPr="00D556E1" w:rsidRDefault="00AB4873" w:rsidP="00737324">
            <w:pPr>
              <w:pStyle w:val="Default"/>
              <w:keepNext/>
              <w:widowControl/>
              <w:autoSpaceDE/>
              <w:autoSpaceDN/>
              <w:adjustRightInd/>
              <w:jc w:val="center"/>
              <w:rPr>
                <w:b/>
                <w:sz w:val="22"/>
                <w:szCs w:val="22"/>
              </w:rPr>
            </w:pPr>
            <w:r w:rsidRPr="00D556E1">
              <w:rPr>
                <w:b/>
                <w:sz w:val="22"/>
                <w:szCs w:val="22"/>
              </w:rPr>
              <w:t>Dates</w:t>
            </w:r>
          </w:p>
        </w:tc>
      </w:tr>
      <w:tr w:rsidR="00AB4873" w:rsidRPr="009B561B" w:rsidTr="000E151E">
        <w:trPr>
          <w:cantSplit/>
          <w:trHeight w:val="410"/>
        </w:trPr>
        <w:tc>
          <w:tcPr>
            <w:tcW w:w="0" w:type="auto"/>
            <w:tcBorders>
              <w:top w:val="single" w:sz="4" w:space="0" w:color="000000"/>
              <w:bottom w:val="nil"/>
              <w:right w:val="nil"/>
            </w:tcBorders>
            <w:vAlign w:val="center"/>
          </w:tcPr>
          <w:p w:rsidR="00AB4873" w:rsidRPr="00D556E1" w:rsidRDefault="00AB4873" w:rsidP="00737324">
            <w:pPr>
              <w:pStyle w:val="Default"/>
              <w:keepNext/>
              <w:widowControl/>
              <w:autoSpaceDE/>
              <w:autoSpaceDN/>
              <w:adjustRightInd/>
              <w:rPr>
                <w:sz w:val="22"/>
                <w:szCs w:val="22"/>
              </w:rPr>
            </w:pPr>
            <w:r w:rsidRPr="00D556E1">
              <w:rPr>
                <w:sz w:val="22"/>
                <w:szCs w:val="22"/>
              </w:rPr>
              <w:t xml:space="preserve">Stage 1 (Institutional) Data Collection </w:t>
            </w:r>
          </w:p>
        </w:tc>
        <w:tc>
          <w:tcPr>
            <w:tcW w:w="0" w:type="auto"/>
            <w:tcBorders>
              <w:top w:val="single" w:sz="4" w:space="0" w:color="000000"/>
              <w:left w:val="nil"/>
              <w:bottom w:val="nil"/>
            </w:tcBorders>
            <w:vAlign w:val="center"/>
          </w:tcPr>
          <w:p w:rsidR="00AB4873" w:rsidRPr="00D556E1" w:rsidRDefault="00C02960" w:rsidP="002D6851">
            <w:pPr>
              <w:pStyle w:val="Default"/>
              <w:keepNext/>
              <w:widowControl/>
              <w:tabs>
                <w:tab w:val="decimal" w:pos="1129"/>
              </w:tabs>
              <w:autoSpaceDE/>
              <w:autoSpaceDN/>
              <w:adjustRightInd/>
              <w:jc w:val="center"/>
              <w:rPr>
                <w:sz w:val="22"/>
                <w:szCs w:val="22"/>
              </w:rPr>
            </w:pPr>
            <w:r>
              <w:rPr>
                <w:sz w:val="22"/>
                <w:szCs w:val="22"/>
              </w:rPr>
              <w:t>June</w:t>
            </w:r>
            <w:r w:rsidR="00E54E2F">
              <w:rPr>
                <w:sz w:val="22"/>
                <w:szCs w:val="22"/>
              </w:rPr>
              <w:t xml:space="preserve"> </w:t>
            </w:r>
            <w:r w:rsidR="00AB4873" w:rsidRPr="00D556E1">
              <w:rPr>
                <w:sz w:val="22"/>
                <w:szCs w:val="22"/>
              </w:rPr>
              <w:t>201</w:t>
            </w:r>
            <w:r w:rsidR="0072275D">
              <w:rPr>
                <w:sz w:val="22"/>
                <w:szCs w:val="22"/>
              </w:rPr>
              <w:t>4</w:t>
            </w:r>
            <w:r w:rsidR="00AB4873" w:rsidRPr="00D556E1">
              <w:rPr>
                <w:sz w:val="22"/>
                <w:szCs w:val="22"/>
              </w:rPr>
              <w:t xml:space="preserve"> – </w:t>
            </w:r>
            <w:r w:rsidR="00272C50">
              <w:rPr>
                <w:sz w:val="22"/>
                <w:szCs w:val="22"/>
              </w:rPr>
              <w:t>October</w:t>
            </w:r>
            <w:r w:rsidR="00E54E2F">
              <w:rPr>
                <w:sz w:val="22"/>
                <w:szCs w:val="22"/>
              </w:rPr>
              <w:t xml:space="preserve"> </w:t>
            </w:r>
            <w:r w:rsidR="00AB4873" w:rsidRPr="00D556E1">
              <w:rPr>
                <w:sz w:val="22"/>
                <w:szCs w:val="22"/>
              </w:rPr>
              <w:t>2014</w:t>
            </w:r>
          </w:p>
        </w:tc>
      </w:tr>
      <w:tr w:rsidR="00AB4873" w:rsidRPr="009B561B" w:rsidTr="000E151E">
        <w:trPr>
          <w:cantSplit/>
          <w:trHeight w:val="410"/>
        </w:trPr>
        <w:tc>
          <w:tcPr>
            <w:tcW w:w="0" w:type="auto"/>
            <w:tcBorders>
              <w:top w:val="nil"/>
              <w:bottom w:val="nil"/>
              <w:right w:val="nil"/>
            </w:tcBorders>
            <w:vAlign w:val="center"/>
          </w:tcPr>
          <w:p w:rsidR="00AB4873" w:rsidRPr="00D556E1" w:rsidRDefault="00AB4873" w:rsidP="00737324">
            <w:pPr>
              <w:pStyle w:val="Default"/>
              <w:keepNext/>
              <w:widowControl/>
              <w:autoSpaceDE/>
              <w:autoSpaceDN/>
              <w:adjustRightInd/>
              <w:rPr>
                <w:sz w:val="22"/>
                <w:szCs w:val="22"/>
              </w:rPr>
            </w:pPr>
            <w:r w:rsidRPr="00D556E1">
              <w:rPr>
                <w:sz w:val="22"/>
                <w:szCs w:val="22"/>
              </w:rPr>
              <w:t>Stage 2 (</w:t>
            </w:r>
            <w:r>
              <w:rPr>
                <w:sz w:val="22"/>
                <w:szCs w:val="22"/>
              </w:rPr>
              <w:t xml:space="preserve">Individual </w:t>
            </w:r>
            <w:r w:rsidRPr="00D556E1">
              <w:rPr>
                <w:sz w:val="22"/>
                <w:szCs w:val="22"/>
              </w:rPr>
              <w:t xml:space="preserve">ECD) Data Collection </w:t>
            </w:r>
          </w:p>
        </w:tc>
        <w:tc>
          <w:tcPr>
            <w:tcW w:w="0" w:type="auto"/>
            <w:tcBorders>
              <w:top w:val="nil"/>
              <w:left w:val="nil"/>
              <w:bottom w:val="nil"/>
            </w:tcBorders>
            <w:vAlign w:val="center"/>
          </w:tcPr>
          <w:p w:rsidR="00AB4873" w:rsidRPr="00D556E1" w:rsidRDefault="00C02960" w:rsidP="002D6851">
            <w:pPr>
              <w:pStyle w:val="Default"/>
              <w:keepNext/>
              <w:widowControl/>
              <w:tabs>
                <w:tab w:val="decimal" w:pos="1129"/>
              </w:tabs>
              <w:autoSpaceDE/>
              <w:autoSpaceDN/>
              <w:adjustRightInd/>
              <w:jc w:val="center"/>
              <w:rPr>
                <w:sz w:val="22"/>
                <w:szCs w:val="22"/>
              </w:rPr>
            </w:pPr>
            <w:r>
              <w:rPr>
                <w:sz w:val="22"/>
                <w:szCs w:val="22"/>
              </w:rPr>
              <w:t>August</w:t>
            </w:r>
            <w:r w:rsidR="00E54E2F">
              <w:rPr>
                <w:sz w:val="22"/>
                <w:szCs w:val="22"/>
              </w:rPr>
              <w:t xml:space="preserve"> </w:t>
            </w:r>
            <w:r w:rsidR="00AB4873" w:rsidRPr="00D556E1">
              <w:rPr>
                <w:sz w:val="22"/>
                <w:szCs w:val="22"/>
              </w:rPr>
              <w:t>201</w:t>
            </w:r>
            <w:r w:rsidR="0072275D">
              <w:rPr>
                <w:sz w:val="22"/>
                <w:szCs w:val="22"/>
              </w:rPr>
              <w:t>4</w:t>
            </w:r>
            <w:r w:rsidR="00AB4873" w:rsidRPr="00D556E1">
              <w:rPr>
                <w:sz w:val="22"/>
                <w:szCs w:val="22"/>
              </w:rPr>
              <w:t xml:space="preserve"> – </w:t>
            </w:r>
            <w:r w:rsidR="00272C50">
              <w:rPr>
                <w:sz w:val="22"/>
                <w:szCs w:val="22"/>
              </w:rPr>
              <w:t>January</w:t>
            </w:r>
            <w:r w:rsidR="00E54E2F">
              <w:rPr>
                <w:sz w:val="22"/>
                <w:szCs w:val="22"/>
              </w:rPr>
              <w:t xml:space="preserve"> </w:t>
            </w:r>
            <w:r w:rsidR="00AB4873" w:rsidRPr="00D556E1">
              <w:rPr>
                <w:sz w:val="22"/>
                <w:szCs w:val="22"/>
              </w:rPr>
              <w:t>201</w:t>
            </w:r>
            <w:r w:rsidR="00676828">
              <w:rPr>
                <w:sz w:val="22"/>
                <w:szCs w:val="22"/>
              </w:rPr>
              <w:t>5</w:t>
            </w:r>
          </w:p>
        </w:tc>
      </w:tr>
      <w:tr w:rsidR="00AB4873" w:rsidRPr="009B561B" w:rsidTr="000E151E">
        <w:trPr>
          <w:cantSplit/>
          <w:trHeight w:val="410"/>
        </w:trPr>
        <w:tc>
          <w:tcPr>
            <w:tcW w:w="0" w:type="auto"/>
            <w:tcBorders>
              <w:top w:val="nil"/>
              <w:bottom w:val="nil"/>
              <w:right w:val="nil"/>
            </w:tcBorders>
            <w:vAlign w:val="center"/>
          </w:tcPr>
          <w:p w:rsidR="00AB4873" w:rsidRPr="00D556E1" w:rsidRDefault="00AB4873" w:rsidP="00737324">
            <w:pPr>
              <w:pStyle w:val="Default"/>
              <w:keepNext/>
              <w:widowControl/>
              <w:autoSpaceDE/>
              <w:autoSpaceDN/>
              <w:adjustRightInd/>
              <w:rPr>
                <w:sz w:val="22"/>
                <w:szCs w:val="22"/>
              </w:rPr>
            </w:pPr>
            <w:r w:rsidRPr="00D556E1">
              <w:rPr>
                <w:sz w:val="22"/>
                <w:szCs w:val="22"/>
              </w:rPr>
              <w:t>Final Edited/Weighted/Imputed data file</w:t>
            </w:r>
            <w:r w:rsidRPr="00D556E1">
              <w:rPr>
                <w:sz w:val="22"/>
                <w:szCs w:val="22"/>
              </w:rPr>
              <w:tab/>
            </w:r>
          </w:p>
        </w:tc>
        <w:tc>
          <w:tcPr>
            <w:tcW w:w="0" w:type="auto"/>
            <w:tcBorders>
              <w:top w:val="nil"/>
              <w:left w:val="nil"/>
              <w:bottom w:val="nil"/>
            </w:tcBorders>
            <w:vAlign w:val="center"/>
          </w:tcPr>
          <w:p w:rsidR="00AB4873" w:rsidRPr="00D556E1" w:rsidRDefault="00D00F04" w:rsidP="00D00F04">
            <w:pPr>
              <w:pStyle w:val="Default"/>
              <w:keepNext/>
              <w:widowControl/>
              <w:tabs>
                <w:tab w:val="decimal" w:pos="1129"/>
              </w:tabs>
              <w:autoSpaceDE/>
              <w:autoSpaceDN/>
              <w:adjustRightInd/>
              <w:jc w:val="center"/>
              <w:rPr>
                <w:sz w:val="22"/>
                <w:szCs w:val="22"/>
              </w:rPr>
            </w:pPr>
            <w:r>
              <w:rPr>
                <w:sz w:val="22"/>
                <w:szCs w:val="22"/>
              </w:rPr>
              <w:t>April</w:t>
            </w:r>
            <w:r w:rsidR="00AB4873" w:rsidRPr="00D556E1">
              <w:rPr>
                <w:sz w:val="22"/>
                <w:szCs w:val="22"/>
              </w:rPr>
              <w:t xml:space="preserve"> 201</w:t>
            </w:r>
            <w:r w:rsidR="00676828">
              <w:rPr>
                <w:sz w:val="22"/>
                <w:szCs w:val="22"/>
              </w:rPr>
              <w:t>5</w:t>
            </w:r>
          </w:p>
        </w:tc>
      </w:tr>
      <w:tr w:rsidR="00AB4873" w:rsidRPr="009B561B" w:rsidTr="000E151E">
        <w:trPr>
          <w:cantSplit/>
          <w:trHeight w:val="410"/>
        </w:trPr>
        <w:tc>
          <w:tcPr>
            <w:tcW w:w="0" w:type="auto"/>
            <w:tcBorders>
              <w:top w:val="nil"/>
              <w:bottom w:val="nil"/>
              <w:right w:val="nil"/>
            </w:tcBorders>
            <w:vAlign w:val="center"/>
          </w:tcPr>
          <w:p w:rsidR="00AB4873" w:rsidRPr="00D556E1" w:rsidRDefault="00AB4873" w:rsidP="00737324">
            <w:pPr>
              <w:pStyle w:val="Default"/>
              <w:keepNext/>
              <w:widowControl/>
              <w:autoSpaceDE/>
              <w:autoSpaceDN/>
              <w:adjustRightInd/>
              <w:rPr>
                <w:sz w:val="22"/>
                <w:szCs w:val="22"/>
              </w:rPr>
            </w:pPr>
            <w:r w:rsidRPr="00D556E1">
              <w:rPr>
                <w:sz w:val="22"/>
                <w:szCs w:val="22"/>
              </w:rPr>
              <w:t>Public Use Data File and Documentation</w:t>
            </w:r>
            <w:r w:rsidRPr="00D556E1">
              <w:rPr>
                <w:sz w:val="22"/>
                <w:szCs w:val="22"/>
              </w:rPr>
              <w:tab/>
            </w:r>
          </w:p>
        </w:tc>
        <w:tc>
          <w:tcPr>
            <w:tcW w:w="0" w:type="auto"/>
            <w:tcBorders>
              <w:top w:val="nil"/>
              <w:left w:val="nil"/>
              <w:bottom w:val="nil"/>
            </w:tcBorders>
            <w:vAlign w:val="center"/>
          </w:tcPr>
          <w:p w:rsidR="00AB4873" w:rsidRPr="00D556E1" w:rsidRDefault="00372379" w:rsidP="00CB65C2">
            <w:pPr>
              <w:pStyle w:val="Default"/>
              <w:keepNext/>
              <w:widowControl/>
              <w:tabs>
                <w:tab w:val="decimal" w:pos="1129"/>
              </w:tabs>
              <w:autoSpaceDE/>
              <w:autoSpaceDN/>
              <w:adjustRightInd/>
              <w:jc w:val="center"/>
              <w:rPr>
                <w:sz w:val="22"/>
                <w:szCs w:val="22"/>
              </w:rPr>
            </w:pPr>
            <w:r>
              <w:rPr>
                <w:sz w:val="22"/>
                <w:szCs w:val="22"/>
              </w:rPr>
              <w:t>June</w:t>
            </w:r>
            <w:r w:rsidR="00AB4873" w:rsidRPr="00D556E1">
              <w:rPr>
                <w:sz w:val="22"/>
                <w:szCs w:val="22"/>
              </w:rPr>
              <w:t xml:space="preserve"> 201</w:t>
            </w:r>
            <w:r w:rsidR="00676828">
              <w:rPr>
                <w:sz w:val="22"/>
                <w:szCs w:val="22"/>
              </w:rPr>
              <w:t>5</w:t>
            </w:r>
            <w:r w:rsidR="00CB65C2">
              <w:rPr>
                <w:sz w:val="22"/>
                <w:szCs w:val="22"/>
              </w:rPr>
              <w:t xml:space="preserve"> – September 2015</w:t>
            </w:r>
          </w:p>
        </w:tc>
      </w:tr>
      <w:tr w:rsidR="00AB4873" w:rsidRPr="009B561B" w:rsidTr="000E151E">
        <w:trPr>
          <w:cantSplit/>
          <w:trHeight w:val="410"/>
        </w:trPr>
        <w:tc>
          <w:tcPr>
            <w:tcW w:w="0" w:type="auto"/>
            <w:tcBorders>
              <w:top w:val="nil"/>
              <w:bottom w:val="single" w:sz="12" w:space="0" w:color="auto"/>
              <w:right w:val="nil"/>
            </w:tcBorders>
            <w:vAlign w:val="center"/>
          </w:tcPr>
          <w:p w:rsidR="00AB4873" w:rsidRPr="00D556E1" w:rsidRDefault="00AB4873" w:rsidP="00737324">
            <w:pPr>
              <w:pStyle w:val="Default"/>
              <w:keepNext/>
              <w:widowControl/>
              <w:autoSpaceDE/>
              <w:autoSpaceDN/>
              <w:adjustRightInd/>
              <w:rPr>
                <w:sz w:val="22"/>
                <w:szCs w:val="22"/>
              </w:rPr>
            </w:pPr>
            <w:r w:rsidRPr="00D556E1">
              <w:rPr>
                <w:sz w:val="22"/>
                <w:szCs w:val="22"/>
              </w:rPr>
              <w:t>Survey Evaluation Report</w:t>
            </w:r>
          </w:p>
        </w:tc>
        <w:tc>
          <w:tcPr>
            <w:tcW w:w="0" w:type="auto"/>
            <w:tcBorders>
              <w:top w:val="nil"/>
              <w:left w:val="nil"/>
              <w:bottom w:val="single" w:sz="12" w:space="0" w:color="auto"/>
            </w:tcBorders>
            <w:vAlign w:val="center"/>
          </w:tcPr>
          <w:p w:rsidR="00AB4873" w:rsidRPr="00D556E1" w:rsidRDefault="003F6A3A" w:rsidP="003F6A3A">
            <w:pPr>
              <w:pStyle w:val="Default"/>
              <w:keepNext/>
              <w:widowControl/>
              <w:tabs>
                <w:tab w:val="decimal" w:pos="1129"/>
              </w:tabs>
              <w:autoSpaceDE/>
              <w:autoSpaceDN/>
              <w:adjustRightInd/>
              <w:jc w:val="center"/>
              <w:rPr>
                <w:sz w:val="22"/>
                <w:szCs w:val="22"/>
              </w:rPr>
            </w:pPr>
            <w:r>
              <w:rPr>
                <w:sz w:val="22"/>
                <w:szCs w:val="22"/>
              </w:rPr>
              <w:t>September</w:t>
            </w:r>
            <w:r w:rsidR="00AB4873" w:rsidRPr="00D556E1">
              <w:rPr>
                <w:sz w:val="22"/>
                <w:szCs w:val="22"/>
              </w:rPr>
              <w:t xml:space="preserve"> 201</w:t>
            </w:r>
            <w:r w:rsidR="00676828">
              <w:rPr>
                <w:sz w:val="22"/>
                <w:szCs w:val="22"/>
              </w:rPr>
              <w:t>5</w:t>
            </w:r>
          </w:p>
        </w:tc>
      </w:tr>
    </w:tbl>
    <w:p w:rsidR="00AB4873" w:rsidRPr="00AB4873" w:rsidRDefault="00AB4873" w:rsidP="00737324"/>
    <w:p w:rsidR="0072275D" w:rsidRDefault="0072275D" w:rsidP="00737324">
      <w:pPr>
        <w:pStyle w:val="Heading2"/>
        <w:spacing w:before="0" w:after="0"/>
      </w:pPr>
    </w:p>
    <w:p w:rsidR="0072275D" w:rsidRDefault="0072275D" w:rsidP="00737324">
      <w:pPr>
        <w:pStyle w:val="Heading2"/>
        <w:spacing w:before="0" w:after="0"/>
      </w:pPr>
    </w:p>
    <w:p w:rsidR="0072275D" w:rsidRDefault="0072275D" w:rsidP="00737324">
      <w:pPr>
        <w:pStyle w:val="Heading2"/>
        <w:spacing w:before="0" w:after="0"/>
      </w:pPr>
    </w:p>
    <w:p w:rsidR="0072275D" w:rsidRDefault="0072275D" w:rsidP="005B0221">
      <w:pPr>
        <w:pStyle w:val="Heading2"/>
        <w:spacing w:after="100" w:afterAutospacing="1"/>
      </w:pPr>
    </w:p>
    <w:p w:rsidR="00737324" w:rsidRDefault="00737324" w:rsidP="005B0221">
      <w:pPr>
        <w:pStyle w:val="Heading2"/>
        <w:spacing w:after="100" w:afterAutospacing="1"/>
      </w:pPr>
    </w:p>
    <w:p w:rsidR="00737324" w:rsidRDefault="00737324" w:rsidP="002D0447">
      <w:pPr>
        <w:pStyle w:val="Heading2"/>
        <w:spacing w:before="0" w:after="0"/>
      </w:pPr>
    </w:p>
    <w:p w:rsidR="00D41D1D" w:rsidRPr="009B561B" w:rsidRDefault="00D41D1D" w:rsidP="00737324">
      <w:pPr>
        <w:pStyle w:val="Heading2"/>
        <w:spacing w:before="0" w:after="100" w:afterAutospacing="1"/>
      </w:pPr>
      <w:r w:rsidRPr="009B561B">
        <w:t>A.17</w:t>
      </w:r>
      <w:r w:rsidRPr="009B561B">
        <w:tab/>
        <w:t>Displaying the OMB Expiration Date</w:t>
      </w:r>
      <w:bookmarkEnd w:id="44"/>
      <w:bookmarkEnd w:id="45"/>
    </w:p>
    <w:p w:rsidR="009B561B" w:rsidRPr="009B561B" w:rsidRDefault="00D41D1D" w:rsidP="005B0221">
      <w:pPr>
        <w:pStyle w:val="BodyText1"/>
        <w:spacing w:after="100" w:afterAutospacing="1" w:line="240" w:lineRule="auto"/>
        <w:ind w:firstLine="0"/>
      </w:pPr>
      <w:r w:rsidRPr="009B561B">
        <w:t xml:space="preserve">The OMB expiration date </w:t>
      </w:r>
      <w:r w:rsidR="008F4D46">
        <w:t xml:space="preserve">will </w:t>
      </w:r>
      <w:r w:rsidRPr="009B561B">
        <w:t xml:space="preserve">appear on </w:t>
      </w:r>
      <w:r w:rsidR="00E823D9">
        <w:t xml:space="preserve">all </w:t>
      </w:r>
      <w:r w:rsidRPr="009B561B">
        <w:t xml:space="preserve">the </w:t>
      </w:r>
      <w:r w:rsidR="009874D2">
        <w:t>Pilot ECD</w:t>
      </w:r>
      <w:r w:rsidR="008F4D46">
        <w:t xml:space="preserve"> Survey</w:t>
      </w:r>
      <w:r w:rsidRPr="009B561B">
        <w:t xml:space="preserve"> </w:t>
      </w:r>
      <w:r w:rsidR="00E934B0">
        <w:t>web</w:t>
      </w:r>
      <w:r w:rsidR="00E823D9">
        <w:t>pages</w:t>
      </w:r>
      <w:r w:rsidR="00E934B0">
        <w:t>, including the welcome page, login page, confidentiality page</w:t>
      </w:r>
      <w:r w:rsidR="00E823D9">
        <w:t>, and survey questions pages</w:t>
      </w:r>
      <w:r w:rsidRPr="009B561B">
        <w:t>.</w:t>
      </w:r>
      <w:r w:rsidR="00E934B0">
        <w:t xml:space="preserve"> In the telephone follow-up it will be read to sample members during the introductory informed consent.</w:t>
      </w:r>
    </w:p>
    <w:p w:rsidR="00D41D1D" w:rsidRPr="009B561B" w:rsidRDefault="00D41D1D" w:rsidP="005B0221">
      <w:pPr>
        <w:pStyle w:val="Heading2"/>
        <w:spacing w:after="100" w:afterAutospacing="1"/>
      </w:pPr>
      <w:bookmarkStart w:id="46" w:name="_Toc286415836"/>
      <w:bookmarkStart w:id="47" w:name="_Toc350520009"/>
      <w:r w:rsidRPr="009B561B">
        <w:t>A.18</w:t>
      </w:r>
      <w:r w:rsidRPr="009B561B">
        <w:tab/>
        <w:t>Exceptions in Item 19 on Form 83-1</w:t>
      </w:r>
      <w:bookmarkEnd w:id="46"/>
      <w:bookmarkEnd w:id="47"/>
    </w:p>
    <w:p w:rsidR="00D41D1D" w:rsidRDefault="00D41D1D" w:rsidP="007F5EC6">
      <w:pPr>
        <w:pStyle w:val="BodyText1"/>
        <w:spacing w:line="240" w:lineRule="auto"/>
        <w:ind w:firstLine="0"/>
      </w:pPr>
      <w:r w:rsidRPr="009B561B">
        <w:t>Not applicable. There are no exceptions.</w:t>
      </w:r>
    </w:p>
    <w:p w:rsidR="007F5EC6" w:rsidRPr="009B561B" w:rsidRDefault="007F5EC6" w:rsidP="007F5EC6">
      <w:pPr>
        <w:pStyle w:val="BodyText1"/>
        <w:spacing w:line="240" w:lineRule="auto"/>
        <w:ind w:firstLine="0"/>
      </w:pPr>
    </w:p>
    <w:p w:rsidR="009074C3" w:rsidRDefault="009074C3">
      <w:pPr>
        <w:rPr>
          <w:color w:val="000000"/>
        </w:rPr>
      </w:pPr>
    </w:p>
    <w:sectPr w:rsidR="009074C3" w:rsidSect="000C7EA3">
      <w:footerReference w:type="default" r:id="rId12"/>
      <w:footerReference w:type="first" r:id="rId13"/>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A12" w:rsidRDefault="00B41A12">
      <w:r>
        <w:separator/>
      </w:r>
    </w:p>
  </w:endnote>
  <w:endnote w:type="continuationSeparator" w:id="0">
    <w:p w:rsidR="00B41A12" w:rsidRDefault="00B41A12">
      <w:r>
        <w:continuationSeparator/>
      </w:r>
    </w:p>
  </w:endnote>
  <w:endnote w:type="continuationNotice" w:id="1">
    <w:p w:rsidR="00B41A12" w:rsidRDefault="00B41A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Optima">
    <w:charset w:val="00"/>
    <w:family w:val="auto"/>
    <w:pitch w:val="variable"/>
    <w:sig w:usb0="8000006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A12" w:rsidRDefault="00B41A12" w:rsidP="00FA70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41A12" w:rsidRDefault="00B41A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A12" w:rsidRDefault="00B41A12" w:rsidP="000C7EA3">
    <w:pPr>
      <w:pStyle w:val="Footer"/>
      <w:pBdr>
        <w:bottom w:val="single" w:sz="4" w:space="1" w:color="auto"/>
      </w:pBdr>
      <w:tabs>
        <w:tab w:val="clear" w:pos="8640"/>
        <w:tab w:val="right" w:pos="9360"/>
      </w:tabs>
      <w:rPr>
        <w:rStyle w:val="PageNumber"/>
        <w:sz w:val="18"/>
        <w:szCs w:val="18"/>
      </w:rPr>
    </w:pPr>
  </w:p>
  <w:p w:rsidR="00B41A12" w:rsidRPr="000C7EA3" w:rsidRDefault="00B41A12" w:rsidP="000C7EA3">
    <w:pPr>
      <w:pStyle w:val="Footer"/>
      <w:tabs>
        <w:tab w:val="clear" w:pos="8640"/>
        <w:tab w:val="right" w:pos="9360"/>
      </w:tabs>
      <w:rPr>
        <w:sz w:val="18"/>
        <w:szCs w:val="18"/>
      </w:rPr>
    </w:pPr>
    <w:r w:rsidRPr="000C7EA3">
      <w:rPr>
        <w:rStyle w:val="PageNumber"/>
        <w:i/>
        <w:iCs/>
        <w:sz w:val="18"/>
        <w:szCs w:val="18"/>
      </w:rPr>
      <w:t>201</w:t>
    </w:r>
    <w:r w:rsidR="0081738C">
      <w:rPr>
        <w:rStyle w:val="PageNumber"/>
        <w:i/>
        <w:iCs/>
        <w:sz w:val="18"/>
        <w:szCs w:val="18"/>
      </w:rPr>
      <w:t>4</w:t>
    </w:r>
    <w:r w:rsidRPr="000C7EA3">
      <w:rPr>
        <w:rStyle w:val="PageNumber"/>
        <w:i/>
        <w:iCs/>
        <w:sz w:val="18"/>
        <w:szCs w:val="18"/>
      </w:rPr>
      <w:t xml:space="preserve"> Pilot Early Career Doctorates Survey</w:t>
    </w:r>
    <w:r w:rsidRPr="000C7EA3">
      <w:rPr>
        <w:rStyle w:val="PageNumber"/>
        <w:sz w:val="18"/>
        <w:szCs w:val="18"/>
      </w:rPr>
      <w:tab/>
    </w:r>
    <w:r w:rsidRPr="000C7EA3">
      <w:rPr>
        <w:rStyle w:val="PageNumber"/>
        <w:sz w:val="18"/>
        <w:szCs w:val="18"/>
      </w:rPr>
      <w:tab/>
      <w:t xml:space="preserve">   </w:t>
    </w:r>
    <w:r w:rsidRPr="000C7EA3">
      <w:rPr>
        <w:rStyle w:val="PageNumber"/>
        <w:sz w:val="18"/>
        <w:szCs w:val="18"/>
      </w:rPr>
      <w:fldChar w:fldCharType="begin"/>
    </w:r>
    <w:r w:rsidRPr="000C7EA3">
      <w:rPr>
        <w:rStyle w:val="PageNumber"/>
        <w:sz w:val="18"/>
        <w:szCs w:val="18"/>
      </w:rPr>
      <w:instrText xml:space="preserve"> PAGE </w:instrText>
    </w:r>
    <w:r w:rsidRPr="000C7EA3">
      <w:rPr>
        <w:rStyle w:val="PageNumber"/>
        <w:sz w:val="18"/>
        <w:szCs w:val="18"/>
      </w:rPr>
      <w:fldChar w:fldCharType="separate"/>
    </w:r>
    <w:r w:rsidR="00000B65">
      <w:rPr>
        <w:rStyle w:val="PageNumber"/>
        <w:noProof/>
        <w:sz w:val="18"/>
        <w:szCs w:val="18"/>
      </w:rPr>
      <w:t>iv</w:t>
    </w:r>
    <w:r w:rsidRPr="000C7EA3">
      <w:rPr>
        <w:rStyle w:val="PageNumber"/>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A12" w:rsidRDefault="00B41A12" w:rsidP="000C7EA3">
    <w:pPr>
      <w:pStyle w:val="Footer"/>
      <w:pBdr>
        <w:bottom w:val="single" w:sz="4" w:space="1" w:color="auto"/>
      </w:pBdr>
      <w:tabs>
        <w:tab w:val="clear" w:pos="8640"/>
        <w:tab w:val="right" w:pos="9360"/>
      </w:tabs>
      <w:rPr>
        <w:rStyle w:val="PageNumber"/>
        <w:sz w:val="18"/>
        <w:szCs w:val="18"/>
      </w:rPr>
    </w:pPr>
    <w:r>
      <w:rPr>
        <w:rStyle w:val="PageNumber"/>
      </w:rPr>
      <w:tab/>
    </w:r>
  </w:p>
  <w:p w:rsidR="00B41A12" w:rsidRPr="00906F6F" w:rsidRDefault="00B41A12" w:rsidP="000C7EA3">
    <w:pPr>
      <w:pStyle w:val="Footer"/>
      <w:tabs>
        <w:tab w:val="clear" w:pos="8640"/>
        <w:tab w:val="left" w:pos="390"/>
        <w:tab w:val="center" w:pos="4680"/>
        <w:tab w:val="right" w:pos="9360"/>
      </w:tabs>
    </w:pPr>
    <w:r w:rsidRPr="000C7EA3">
      <w:rPr>
        <w:rStyle w:val="PageNumber"/>
        <w:i/>
        <w:iCs/>
        <w:sz w:val="18"/>
        <w:szCs w:val="18"/>
      </w:rPr>
      <w:t>201</w:t>
    </w:r>
    <w:r w:rsidR="00623CE1">
      <w:rPr>
        <w:rStyle w:val="PageNumber"/>
        <w:i/>
        <w:iCs/>
        <w:sz w:val="18"/>
        <w:szCs w:val="18"/>
      </w:rPr>
      <w:t>4</w:t>
    </w:r>
    <w:r w:rsidRPr="000C7EA3">
      <w:rPr>
        <w:rStyle w:val="PageNumber"/>
        <w:i/>
        <w:iCs/>
        <w:sz w:val="18"/>
        <w:szCs w:val="18"/>
      </w:rPr>
      <w:t xml:space="preserve"> Pilot Early Career Doctorates Survey</w:t>
    </w:r>
    <w:r w:rsidRPr="000C7EA3">
      <w:rPr>
        <w:rStyle w:val="PageNumber"/>
        <w:sz w:val="18"/>
        <w:szCs w:val="18"/>
      </w:rPr>
      <w:tab/>
    </w:r>
    <w:r w:rsidRPr="000C7EA3">
      <w:rPr>
        <w:rStyle w:val="PageNumber"/>
        <w:sz w:val="18"/>
        <w:szCs w:val="18"/>
      </w:rPr>
      <w:tab/>
      <w:t xml:space="preserve">   </w:t>
    </w:r>
    <w:r>
      <w:rPr>
        <w:rStyle w:val="PageNumber"/>
        <w:sz w:val="18"/>
        <w:szCs w:val="18"/>
      </w:rPr>
      <w:tab/>
    </w:r>
    <w:r w:rsidRPr="000C7EA3">
      <w:rPr>
        <w:rStyle w:val="PageNumber"/>
        <w:sz w:val="18"/>
        <w:szCs w:val="18"/>
      </w:rPr>
      <w:fldChar w:fldCharType="begin"/>
    </w:r>
    <w:r w:rsidRPr="000C7EA3">
      <w:rPr>
        <w:rStyle w:val="PageNumber"/>
        <w:sz w:val="18"/>
        <w:szCs w:val="18"/>
      </w:rPr>
      <w:instrText xml:space="preserve"> PAGE </w:instrText>
    </w:r>
    <w:r w:rsidRPr="000C7EA3">
      <w:rPr>
        <w:rStyle w:val="PageNumber"/>
        <w:sz w:val="18"/>
        <w:szCs w:val="18"/>
      </w:rPr>
      <w:fldChar w:fldCharType="separate"/>
    </w:r>
    <w:r w:rsidR="00000B65">
      <w:rPr>
        <w:rStyle w:val="PageNumber"/>
        <w:noProof/>
        <w:sz w:val="18"/>
        <w:szCs w:val="18"/>
      </w:rPr>
      <w:t>8</w:t>
    </w:r>
    <w:r w:rsidRPr="000C7EA3">
      <w:rPr>
        <w:rStyle w:val="PageNumber"/>
        <w:sz w:val="18"/>
        <w:szCs w:val="18"/>
      </w:rPr>
      <w:fldChar w:fldCharType="end"/>
    </w:r>
  </w:p>
  <w:p w:rsidR="00B41A12" w:rsidRDefault="00B41A12"/>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A12" w:rsidRDefault="00B41A12" w:rsidP="000C7EA3">
    <w:pPr>
      <w:pStyle w:val="Footer"/>
      <w:pBdr>
        <w:bottom w:val="single" w:sz="4" w:space="1" w:color="auto"/>
      </w:pBdr>
      <w:tabs>
        <w:tab w:val="clear" w:pos="8640"/>
        <w:tab w:val="right" w:pos="9360"/>
      </w:tabs>
      <w:rPr>
        <w:rStyle w:val="PageNumber"/>
        <w:sz w:val="18"/>
        <w:szCs w:val="18"/>
      </w:rPr>
    </w:pPr>
  </w:p>
  <w:p w:rsidR="00B41A12" w:rsidRPr="000C7EA3" w:rsidRDefault="00B41A12" w:rsidP="000C7EA3">
    <w:pPr>
      <w:pStyle w:val="Footer"/>
      <w:tabs>
        <w:tab w:val="clear" w:pos="8640"/>
        <w:tab w:val="right" w:pos="9360"/>
      </w:tabs>
      <w:rPr>
        <w:sz w:val="18"/>
        <w:szCs w:val="18"/>
      </w:rPr>
    </w:pPr>
    <w:r w:rsidRPr="000C7EA3">
      <w:rPr>
        <w:rStyle w:val="PageNumber"/>
        <w:i/>
        <w:iCs/>
        <w:sz w:val="18"/>
        <w:szCs w:val="18"/>
      </w:rPr>
      <w:t>2013 Pilot Early Career Doctorates Survey</w:t>
    </w:r>
    <w:r w:rsidRPr="000C7EA3">
      <w:rPr>
        <w:rStyle w:val="PageNumber"/>
        <w:sz w:val="18"/>
        <w:szCs w:val="18"/>
      </w:rPr>
      <w:tab/>
    </w:r>
    <w:r w:rsidRPr="000C7EA3">
      <w:rPr>
        <w:rStyle w:val="PageNumber"/>
        <w:sz w:val="18"/>
        <w:szCs w:val="18"/>
      </w:rPr>
      <w:tab/>
      <w:t xml:space="preserve">   </w:t>
    </w:r>
    <w:r w:rsidRPr="000C7EA3">
      <w:rPr>
        <w:rStyle w:val="PageNumber"/>
        <w:sz w:val="18"/>
        <w:szCs w:val="18"/>
      </w:rPr>
      <w:fldChar w:fldCharType="begin"/>
    </w:r>
    <w:r w:rsidRPr="000C7EA3">
      <w:rPr>
        <w:rStyle w:val="PageNumber"/>
        <w:sz w:val="18"/>
        <w:szCs w:val="18"/>
      </w:rPr>
      <w:instrText xml:space="preserve"> PAGE </w:instrText>
    </w:r>
    <w:r w:rsidRPr="000C7EA3">
      <w:rPr>
        <w:rStyle w:val="PageNumber"/>
        <w:sz w:val="18"/>
        <w:szCs w:val="18"/>
      </w:rPr>
      <w:fldChar w:fldCharType="separate"/>
    </w:r>
    <w:r>
      <w:rPr>
        <w:rStyle w:val="PageNumber"/>
        <w:noProof/>
        <w:sz w:val="18"/>
        <w:szCs w:val="18"/>
      </w:rPr>
      <w:t>1</w:t>
    </w:r>
    <w:r w:rsidRPr="000C7EA3">
      <w:rPr>
        <w:rStyle w:val="PageNumbe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A12" w:rsidRDefault="00B41A12">
      <w:r>
        <w:separator/>
      </w:r>
    </w:p>
  </w:footnote>
  <w:footnote w:type="continuationSeparator" w:id="0">
    <w:p w:rsidR="00B41A12" w:rsidRDefault="00B41A12">
      <w:r>
        <w:continuationSeparator/>
      </w:r>
    </w:p>
  </w:footnote>
  <w:footnote w:type="continuationNotice" w:id="1">
    <w:p w:rsidR="00B41A12" w:rsidRDefault="00B41A12"/>
  </w:footnote>
  <w:footnote w:id="2">
    <w:p w:rsidR="00B41A12" w:rsidRDefault="00B41A12" w:rsidP="00835AF6">
      <w:pPr>
        <w:pStyle w:val="FootnoteText"/>
      </w:pPr>
      <w:r>
        <w:rPr>
          <w:rStyle w:val="FootnoteReference"/>
        </w:rPr>
        <w:footnoteRef/>
      </w:r>
      <w:r>
        <w:t xml:space="preserve"> </w:t>
      </w:r>
      <w:r w:rsidRPr="006D6452">
        <w:t>NCSES</w:t>
      </w:r>
      <w:r>
        <w:t xml:space="preserve"> is currently assessing the feasibility of building a frame of non-academic organizations employing ECDs. If successful, a methodological study may be conducted in the future to evaluate the feasibility of expanding the current frame to include these non-academic organizations in the data collection.</w:t>
      </w:r>
    </w:p>
  </w:footnote>
  <w:footnote w:id="3">
    <w:p w:rsidR="00B41A12" w:rsidRDefault="00B41A12" w:rsidP="00D463D8">
      <w:pPr>
        <w:pStyle w:val="FootnoteText"/>
      </w:pPr>
      <w:r>
        <w:rPr>
          <w:rStyle w:val="FootnoteReference"/>
        </w:rPr>
        <w:footnoteRef/>
      </w:r>
      <w:r>
        <w:t xml:space="preserve"> I</w:t>
      </w:r>
      <w:r w:rsidRPr="00D463D8">
        <w:t xml:space="preserve">nstitutions that did not have highest degree and year of degree for all employees were </w:t>
      </w:r>
      <w:r>
        <w:t xml:space="preserve">asked to provide listing of employees for job titles that might include ECDs. Individuals in these lists were then coded into one of three categories – likely ECD, possible ECD, and unlikely ECD, based </w:t>
      </w:r>
      <w:r w:rsidRPr="00D463D8">
        <w:t xml:space="preserve">on </w:t>
      </w:r>
      <w:r>
        <w:t xml:space="preserve">the information provided, including highest degree earned, </w:t>
      </w:r>
      <w:r w:rsidRPr="00D463D8">
        <w:t>job title</w:t>
      </w:r>
      <w:r>
        <w:t>, and age.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C46A9C5A"/>
    <w:lvl w:ilvl="0">
      <w:start w:val="1"/>
      <w:numFmt w:val="bullet"/>
      <w:lvlText w:val=""/>
      <w:lvlJc w:val="left"/>
      <w:pPr>
        <w:tabs>
          <w:tab w:val="num" w:pos="720"/>
        </w:tabs>
        <w:ind w:left="720" w:hanging="360"/>
      </w:pPr>
      <w:rPr>
        <w:rFonts w:ascii="Symbol" w:hAnsi="Symbol" w:hint="default"/>
      </w:rPr>
    </w:lvl>
  </w:abstractNum>
  <w:abstractNum w:abstractNumId="1">
    <w:nsid w:val="189C44D4"/>
    <w:multiLevelType w:val="hybridMultilevel"/>
    <w:tmpl w:val="6706BC2E"/>
    <w:lvl w:ilvl="0" w:tplc="FFFFFFFF">
      <w:start w:val="1"/>
      <w:numFmt w:val="bullet"/>
      <w:pStyle w:val="NumberBullets"/>
      <w:lvlText w:val="o"/>
      <w:lvlJc w:val="left"/>
      <w:pPr>
        <w:tabs>
          <w:tab w:val="num" w:pos="720"/>
        </w:tabs>
        <w:ind w:left="720" w:hanging="360"/>
      </w:pPr>
      <w:rPr>
        <w:rFonts w:ascii="Courier New" w:hAnsi="Courier New" w:hint="default"/>
        <w:sz w:val="16"/>
        <w:szCs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
    <w:nsid w:val="2282164C"/>
    <w:multiLevelType w:val="hybridMultilevel"/>
    <w:tmpl w:val="9FAE4F6A"/>
    <w:lvl w:ilvl="0" w:tplc="226AA5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3065B49"/>
    <w:multiLevelType w:val="hybridMultilevel"/>
    <w:tmpl w:val="21BEEB84"/>
    <w:lvl w:ilvl="0" w:tplc="B560D88C">
      <w:start w:val="1"/>
      <w:numFmt w:val="bullet"/>
      <w:pStyle w:val="ListBullet2"/>
      <w:lvlText w:val="–"/>
      <w:lvlJc w:val="left"/>
      <w:pPr>
        <w:ind w:left="1800" w:hanging="360"/>
      </w:pPr>
      <w:rPr>
        <w:rFonts w:ascii="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383E5BD5"/>
    <w:multiLevelType w:val="hybridMultilevel"/>
    <w:tmpl w:val="754EB46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5">
    <w:nsid w:val="3BD472C9"/>
    <w:multiLevelType w:val="hybridMultilevel"/>
    <w:tmpl w:val="D7B86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2A57500"/>
    <w:multiLevelType w:val="hybridMultilevel"/>
    <w:tmpl w:val="8434657C"/>
    <w:lvl w:ilvl="0" w:tplc="45A434F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FC0107C"/>
    <w:multiLevelType w:val="hybridMultilevel"/>
    <w:tmpl w:val="BB88DFE8"/>
    <w:lvl w:ilvl="0" w:tplc="97BA5AE4">
      <w:start w:val="1"/>
      <w:numFmt w:val="bullet"/>
      <w:pStyle w:val="bullets"/>
      <w:lvlText w:val="•"/>
      <w:lvlJc w:val="left"/>
      <w:pPr>
        <w:ind w:left="1797" w:hanging="360"/>
      </w:pPr>
      <w:rPr>
        <w:rFonts w:ascii="Times New Roman" w:hAnsi="Times New Roman" w:cs="Times New Roman" w:hint="default"/>
        <w:color w:val="auto"/>
        <w:sz w:val="22"/>
      </w:rPr>
    </w:lvl>
    <w:lvl w:ilvl="1" w:tplc="04090019" w:tentative="1">
      <w:start w:val="1"/>
      <w:numFmt w:val="bullet"/>
      <w:lvlText w:val="o"/>
      <w:lvlJc w:val="left"/>
      <w:pPr>
        <w:ind w:left="2517" w:hanging="360"/>
      </w:pPr>
      <w:rPr>
        <w:rFonts w:ascii="Courier New" w:hAnsi="Courier New" w:cs="Courier New" w:hint="default"/>
      </w:rPr>
    </w:lvl>
    <w:lvl w:ilvl="2" w:tplc="0409001B" w:tentative="1">
      <w:start w:val="1"/>
      <w:numFmt w:val="bullet"/>
      <w:lvlText w:val=""/>
      <w:lvlJc w:val="left"/>
      <w:pPr>
        <w:ind w:left="3237" w:hanging="360"/>
      </w:pPr>
      <w:rPr>
        <w:rFonts w:ascii="Wingdings" w:hAnsi="Wingdings" w:hint="default"/>
      </w:rPr>
    </w:lvl>
    <w:lvl w:ilvl="3" w:tplc="0409000F" w:tentative="1">
      <w:start w:val="1"/>
      <w:numFmt w:val="bullet"/>
      <w:lvlText w:val=""/>
      <w:lvlJc w:val="left"/>
      <w:pPr>
        <w:ind w:left="3957" w:hanging="360"/>
      </w:pPr>
      <w:rPr>
        <w:rFonts w:ascii="Symbol" w:hAnsi="Symbol" w:hint="default"/>
      </w:rPr>
    </w:lvl>
    <w:lvl w:ilvl="4" w:tplc="04090019" w:tentative="1">
      <w:start w:val="1"/>
      <w:numFmt w:val="bullet"/>
      <w:lvlText w:val="o"/>
      <w:lvlJc w:val="left"/>
      <w:pPr>
        <w:ind w:left="4677" w:hanging="360"/>
      </w:pPr>
      <w:rPr>
        <w:rFonts w:ascii="Courier New" w:hAnsi="Courier New" w:cs="Courier New" w:hint="default"/>
      </w:rPr>
    </w:lvl>
    <w:lvl w:ilvl="5" w:tplc="0409001B" w:tentative="1">
      <w:start w:val="1"/>
      <w:numFmt w:val="bullet"/>
      <w:lvlText w:val=""/>
      <w:lvlJc w:val="left"/>
      <w:pPr>
        <w:ind w:left="5397" w:hanging="360"/>
      </w:pPr>
      <w:rPr>
        <w:rFonts w:ascii="Wingdings" w:hAnsi="Wingdings" w:hint="default"/>
      </w:rPr>
    </w:lvl>
    <w:lvl w:ilvl="6" w:tplc="0409000F" w:tentative="1">
      <w:start w:val="1"/>
      <w:numFmt w:val="bullet"/>
      <w:lvlText w:val=""/>
      <w:lvlJc w:val="left"/>
      <w:pPr>
        <w:ind w:left="6117" w:hanging="360"/>
      </w:pPr>
      <w:rPr>
        <w:rFonts w:ascii="Symbol" w:hAnsi="Symbol" w:hint="default"/>
      </w:rPr>
    </w:lvl>
    <w:lvl w:ilvl="7" w:tplc="04090019" w:tentative="1">
      <w:start w:val="1"/>
      <w:numFmt w:val="bullet"/>
      <w:lvlText w:val="o"/>
      <w:lvlJc w:val="left"/>
      <w:pPr>
        <w:ind w:left="6837" w:hanging="360"/>
      </w:pPr>
      <w:rPr>
        <w:rFonts w:ascii="Courier New" w:hAnsi="Courier New" w:cs="Courier New" w:hint="default"/>
      </w:rPr>
    </w:lvl>
    <w:lvl w:ilvl="8" w:tplc="0409001B" w:tentative="1">
      <w:start w:val="1"/>
      <w:numFmt w:val="bullet"/>
      <w:lvlText w:val=""/>
      <w:lvlJc w:val="left"/>
      <w:pPr>
        <w:ind w:left="7557" w:hanging="360"/>
      </w:pPr>
      <w:rPr>
        <w:rFonts w:ascii="Wingdings" w:hAnsi="Wingdings" w:hint="default"/>
      </w:rPr>
    </w:lvl>
  </w:abstractNum>
  <w:abstractNum w:abstractNumId="8">
    <w:nsid w:val="60F43E68"/>
    <w:multiLevelType w:val="hybridMultilevel"/>
    <w:tmpl w:val="E2AA3702"/>
    <w:lvl w:ilvl="0" w:tplc="04090001">
      <w:start w:val="1"/>
      <w:numFmt w:val="bullet"/>
      <w:pStyle w:val="BalloonText"/>
      <w:lvlText w:val=""/>
      <w:lvlJc w:val="left"/>
      <w:pPr>
        <w:tabs>
          <w:tab w:val="num" w:pos="720"/>
        </w:tabs>
        <w:ind w:left="720" w:hanging="360"/>
      </w:pPr>
      <w:rPr>
        <w:rFonts w:ascii="Wingdings" w:hAnsi="Wingdings" w:hint="default"/>
        <w:sz w:val="16"/>
        <w:szCs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614D1A34"/>
    <w:multiLevelType w:val="hybridMultilevel"/>
    <w:tmpl w:val="077426EE"/>
    <w:lvl w:ilvl="0" w:tplc="0409000F">
      <w:start w:val="1"/>
      <w:numFmt w:val="decimal"/>
      <w:lvlText w:val="%1."/>
      <w:lvlJc w:val="left"/>
      <w:pPr>
        <w:ind w:left="769" w:hanging="360"/>
      </w:pPr>
    </w:lvl>
    <w:lvl w:ilvl="1" w:tplc="04090019" w:tentative="1">
      <w:start w:val="1"/>
      <w:numFmt w:val="lowerLetter"/>
      <w:lvlText w:val="%2."/>
      <w:lvlJc w:val="left"/>
      <w:pPr>
        <w:ind w:left="1489" w:hanging="360"/>
      </w:pPr>
    </w:lvl>
    <w:lvl w:ilvl="2" w:tplc="0409001B" w:tentative="1">
      <w:start w:val="1"/>
      <w:numFmt w:val="lowerRoman"/>
      <w:lvlText w:val="%3."/>
      <w:lvlJc w:val="right"/>
      <w:pPr>
        <w:ind w:left="2209" w:hanging="180"/>
      </w:pPr>
    </w:lvl>
    <w:lvl w:ilvl="3" w:tplc="0409000F" w:tentative="1">
      <w:start w:val="1"/>
      <w:numFmt w:val="decimal"/>
      <w:lvlText w:val="%4."/>
      <w:lvlJc w:val="left"/>
      <w:pPr>
        <w:ind w:left="2929" w:hanging="360"/>
      </w:pPr>
    </w:lvl>
    <w:lvl w:ilvl="4" w:tplc="04090019" w:tentative="1">
      <w:start w:val="1"/>
      <w:numFmt w:val="lowerLetter"/>
      <w:lvlText w:val="%5."/>
      <w:lvlJc w:val="left"/>
      <w:pPr>
        <w:ind w:left="3649" w:hanging="360"/>
      </w:pPr>
    </w:lvl>
    <w:lvl w:ilvl="5" w:tplc="0409001B" w:tentative="1">
      <w:start w:val="1"/>
      <w:numFmt w:val="lowerRoman"/>
      <w:lvlText w:val="%6."/>
      <w:lvlJc w:val="right"/>
      <w:pPr>
        <w:ind w:left="4369" w:hanging="180"/>
      </w:pPr>
    </w:lvl>
    <w:lvl w:ilvl="6" w:tplc="0409000F" w:tentative="1">
      <w:start w:val="1"/>
      <w:numFmt w:val="decimal"/>
      <w:lvlText w:val="%7."/>
      <w:lvlJc w:val="left"/>
      <w:pPr>
        <w:ind w:left="5089" w:hanging="360"/>
      </w:pPr>
    </w:lvl>
    <w:lvl w:ilvl="7" w:tplc="04090019" w:tentative="1">
      <w:start w:val="1"/>
      <w:numFmt w:val="lowerLetter"/>
      <w:lvlText w:val="%8."/>
      <w:lvlJc w:val="left"/>
      <w:pPr>
        <w:ind w:left="5809" w:hanging="360"/>
      </w:pPr>
    </w:lvl>
    <w:lvl w:ilvl="8" w:tplc="0409001B" w:tentative="1">
      <w:start w:val="1"/>
      <w:numFmt w:val="lowerRoman"/>
      <w:lvlText w:val="%9."/>
      <w:lvlJc w:val="right"/>
      <w:pPr>
        <w:ind w:left="6529" w:hanging="180"/>
      </w:pPr>
    </w:lvl>
  </w:abstractNum>
  <w:abstractNum w:abstractNumId="10">
    <w:nsid w:val="688805A7"/>
    <w:multiLevelType w:val="hybridMultilevel"/>
    <w:tmpl w:val="0A66249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A7D696E"/>
    <w:multiLevelType w:val="hybridMultilevel"/>
    <w:tmpl w:val="FF4A4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7"/>
  </w:num>
  <w:num w:numId="4">
    <w:abstractNumId w:val="2"/>
  </w:num>
  <w:num w:numId="5">
    <w:abstractNumId w:val="0"/>
  </w:num>
  <w:num w:numId="6">
    <w:abstractNumId w:val="3"/>
  </w:num>
  <w:num w:numId="7">
    <w:abstractNumId w:val="10"/>
  </w:num>
  <w:num w:numId="8">
    <w:abstractNumId w:val="11"/>
  </w:num>
  <w:num w:numId="9">
    <w:abstractNumId w:val="6"/>
  </w:num>
  <w:num w:numId="10">
    <w:abstractNumId w:val="4"/>
  </w:num>
  <w:num w:numId="11">
    <w:abstractNumId w:val="9"/>
  </w:num>
  <w:num w:numId="12">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embedSystemFonts/>
  <w:activeWritingStyle w:appName="MSWord" w:lang="en-US" w:vendorID="64" w:dllVersion="131078" w:nlCheck="1" w:checkStyle="1"/>
  <w:activeWritingStyle w:appName="MSWord" w:lang="en-CA" w:vendorID="64" w:dllVersion="131078" w:nlCheck="1" w:checkStyle="1"/>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doNotTrackFormatting/>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67F"/>
    <w:rsid w:val="00000B65"/>
    <w:rsid w:val="00010285"/>
    <w:rsid w:val="000120B8"/>
    <w:rsid w:val="000135AF"/>
    <w:rsid w:val="00016E5D"/>
    <w:rsid w:val="0001715E"/>
    <w:rsid w:val="00020000"/>
    <w:rsid w:val="00021B81"/>
    <w:rsid w:val="000247C3"/>
    <w:rsid w:val="0003220F"/>
    <w:rsid w:val="0003331C"/>
    <w:rsid w:val="0003587C"/>
    <w:rsid w:val="00042B9B"/>
    <w:rsid w:val="0004690F"/>
    <w:rsid w:val="000532BF"/>
    <w:rsid w:val="00053D33"/>
    <w:rsid w:val="00055BD4"/>
    <w:rsid w:val="00056850"/>
    <w:rsid w:val="00057D6B"/>
    <w:rsid w:val="0006128E"/>
    <w:rsid w:val="00063551"/>
    <w:rsid w:val="000642C9"/>
    <w:rsid w:val="00066C61"/>
    <w:rsid w:val="00072716"/>
    <w:rsid w:val="00072C63"/>
    <w:rsid w:val="00074447"/>
    <w:rsid w:val="00076442"/>
    <w:rsid w:val="000867E4"/>
    <w:rsid w:val="00087A43"/>
    <w:rsid w:val="00091629"/>
    <w:rsid w:val="00095B10"/>
    <w:rsid w:val="000965F4"/>
    <w:rsid w:val="000A1BC4"/>
    <w:rsid w:val="000A3D71"/>
    <w:rsid w:val="000A609C"/>
    <w:rsid w:val="000B2369"/>
    <w:rsid w:val="000B38AA"/>
    <w:rsid w:val="000B5B19"/>
    <w:rsid w:val="000C0BF4"/>
    <w:rsid w:val="000C7EA3"/>
    <w:rsid w:val="000D7CA2"/>
    <w:rsid w:val="000E151E"/>
    <w:rsid w:val="000E395A"/>
    <w:rsid w:val="000E6546"/>
    <w:rsid w:val="000E77FF"/>
    <w:rsid w:val="000F3D28"/>
    <w:rsid w:val="000F3E2F"/>
    <w:rsid w:val="00104AB6"/>
    <w:rsid w:val="00112C2B"/>
    <w:rsid w:val="0011318D"/>
    <w:rsid w:val="001134BA"/>
    <w:rsid w:val="0011387B"/>
    <w:rsid w:val="0011486A"/>
    <w:rsid w:val="001179CE"/>
    <w:rsid w:val="001216F6"/>
    <w:rsid w:val="0012241B"/>
    <w:rsid w:val="00127FA8"/>
    <w:rsid w:val="001302E1"/>
    <w:rsid w:val="00130F8E"/>
    <w:rsid w:val="00144870"/>
    <w:rsid w:val="00151395"/>
    <w:rsid w:val="00152DFC"/>
    <w:rsid w:val="00155573"/>
    <w:rsid w:val="00161339"/>
    <w:rsid w:val="00162CA4"/>
    <w:rsid w:val="00162E9D"/>
    <w:rsid w:val="0017124A"/>
    <w:rsid w:val="00171303"/>
    <w:rsid w:val="00173ED6"/>
    <w:rsid w:val="00175EE3"/>
    <w:rsid w:val="00180162"/>
    <w:rsid w:val="00181494"/>
    <w:rsid w:val="00181D78"/>
    <w:rsid w:val="00182ED7"/>
    <w:rsid w:val="001832DE"/>
    <w:rsid w:val="0018563E"/>
    <w:rsid w:val="001867EA"/>
    <w:rsid w:val="00194A21"/>
    <w:rsid w:val="001956ED"/>
    <w:rsid w:val="00196926"/>
    <w:rsid w:val="001A1A89"/>
    <w:rsid w:val="001B1EE9"/>
    <w:rsid w:val="001B2F93"/>
    <w:rsid w:val="001B6122"/>
    <w:rsid w:val="001B68E0"/>
    <w:rsid w:val="001B78C1"/>
    <w:rsid w:val="001C4E6E"/>
    <w:rsid w:val="001D0ED5"/>
    <w:rsid w:val="001D33C9"/>
    <w:rsid w:val="001D3F98"/>
    <w:rsid w:val="001D5EC8"/>
    <w:rsid w:val="001E2C0E"/>
    <w:rsid w:val="001E63EF"/>
    <w:rsid w:val="001E736B"/>
    <w:rsid w:val="001E739E"/>
    <w:rsid w:val="001F5BF8"/>
    <w:rsid w:val="00202561"/>
    <w:rsid w:val="00207E8F"/>
    <w:rsid w:val="002112A9"/>
    <w:rsid w:val="00213567"/>
    <w:rsid w:val="002138B7"/>
    <w:rsid w:val="00213E6C"/>
    <w:rsid w:val="002179E0"/>
    <w:rsid w:val="00217ED3"/>
    <w:rsid w:val="00221906"/>
    <w:rsid w:val="00221D72"/>
    <w:rsid w:val="00222461"/>
    <w:rsid w:val="00222EC9"/>
    <w:rsid w:val="00223327"/>
    <w:rsid w:val="00223CDD"/>
    <w:rsid w:val="00224407"/>
    <w:rsid w:val="00224AD3"/>
    <w:rsid w:val="00226017"/>
    <w:rsid w:val="00226221"/>
    <w:rsid w:val="0023557B"/>
    <w:rsid w:val="00236BC0"/>
    <w:rsid w:val="002372F0"/>
    <w:rsid w:val="00237321"/>
    <w:rsid w:val="00242D2C"/>
    <w:rsid w:val="00246CCD"/>
    <w:rsid w:val="00246D0B"/>
    <w:rsid w:val="0025209F"/>
    <w:rsid w:val="0025477A"/>
    <w:rsid w:val="00254C40"/>
    <w:rsid w:val="00263BC0"/>
    <w:rsid w:val="00266ABD"/>
    <w:rsid w:val="002677ED"/>
    <w:rsid w:val="00272C50"/>
    <w:rsid w:val="00274C42"/>
    <w:rsid w:val="00275C08"/>
    <w:rsid w:val="00276B1E"/>
    <w:rsid w:val="002772A2"/>
    <w:rsid w:val="00282731"/>
    <w:rsid w:val="00282835"/>
    <w:rsid w:val="0028306D"/>
    <w:rsid w:val="0028466E"/>
    <w:rsid w:val="00284B91"/>
    <w:rsid w:val="0029307A"/>
    <w:rsid w:val="002946E0"/>
    <w:rsid w:val="002A1235"/>
    <w:rsid w:val="002A38E7"/>
    <w:rsid w:val="002B0243"/>
    <w:rsid w:val="002B3851"/>
    <w:rsid w:val="002C1C75"/>
    <w:rsid w:val="002C3412"/>
    <w:rsid w:val="002C3A21"/>
    <w:rsid w:val="002C3A91"/>
    <w:rsid w:val="002C60A4"/>
    <w:rsid w:val="002C6872"/>
    <w:rsid w:val="002C78C3"/>
    <w:rsid w:val="002D040D"/>
    <w:rsid w:val="002D0447"/>
    <w:rsid w:val="002D38E0"/>
    <w:rsid w:val="002D5DAC"/>
    <w:rsid w:val="002D6851"/>
    <w:rsid w:val="002D7DA9"/>
    <w:rsid w:val="002E0D41"/>
    <w:rsid w:val="002E39B8"/>
    <w:rsid w:val="002E54FD"/>
    <w:rsid w:val="002F13DB"/>
    <w:rsid w:val="002F39F4"/>
    <w:rsid w:val="002F3B3B"/>
    <w:rsid w:val="002F3FD7"/>
    <w:rsid w:val="002F47A4"/>
    <w:rsid w:val="002F48EC"/>
    <w:rsid w:val="002F6523"/>
    <w:rsid w:val="003000ED"/>
    <w:rsid w:val="00302FC2"/>
    <w:rsid w:val="00303364"/>
    <w:rsid w:val="00305805"/>
    <w:rsid w:val="0031117E"/>
    <w:rsid w:val="00315E94"/>
    <w:rsid w:val="003210E9"/>
    <w:rsid w:val="00323124"/>
    <w:rsid w:val="003270D3"/>
    <w:rsid w:val="00327FF0"/>
    <w:rsid w:val="00331E3B"/>
    <w:rsid w:val="003338DD"/>
    <w:rsid w:val="00334B7A"/>
    <w:rsid w:val="003378A5"/>
    <w:rsid w:val="003403B1"/>
    <w:rsid w:val="003418E2"/>
    <w:rsid w:val="00343192"/>
    <w:rsid w:val="00345F0C"/>
    <w:rsid w:val="00347889"/>
    <w:rsid w:val="003506F4"/>
    <w:rsid w:val="00350706"/>
    <w:rsid w:val="00353D07"/>
    <w:rsid w:val="003540A9"/>
    <w:rsid w:val="00354255"/>
    <w:rsid w:val="00354793"/>
    <w:rsid w:val="00357746"/>
    <w:rsid w:val="00357AF0"/>
    <w:rsid w:val="0036060B"/>
    <w:rsid w:val="00360E7B"/>
    <w:rsid w:val="003624A1"/>
    <w:rsid w:val="00365ECC"/>
    <w:rsid w:val="003663C6"/>
    <w:rsid w:val="00366CE7"/>
    <w:rsid w:val="00372379"/>
    <w:rsid w:val="0037237D"/>
    <w:rsid w:val="0037320E"/>
    <w:rsid w:val="0037350E"/>
    <w:rsid w:val="003736DA"/>
    <w:rsid w:val="00374A58"/>
    <w:rsid w:val="00381C0F"/>
    <w:rsid w:val="0039112A"/>
    <w:rsid w:val="00391A0C"/>
    <w:rsid w:val="00393A14"/>
    <w:rsid w:val="003B0BC6"/>
    <w:rsid w:val="003B4C9B"/>
    <w:rsid w:val="003C79FF"/>
    <w:rsid w:val="003D34E6"/>
    <w:rsid w:val="003D5F0F"/>
    <w:rsid w:val="003D6EC3"/>
    <w:rsid w:val="003E0A59"/>
    <w:rsid w:val="003E5576"/>
    <w:rsid w:val="003E5E97"/>
    <w:rsid w:val="003E784E"/>
    <w:rsid w:val="003F02AD"/>
    <w:rsid w:val="003F48D6"/>
    <w:rsid w:val="003F6A3A"/>
    <w:rsid w:val="003F78F5"/>
    <w:rsid w:val="00400488"/>
    <w:rsid w:val="00402BAD"/>
    <w:rsid w:val="00402E1C"/>
    <w:rsid w:val="004059D1"/>
    <w:rsid w:val="00410FCF"/>
    <w:rsid w:val="00411C58"/>
    <w:rsid w:val="004133CD"/>
    <w:rsid w:val="0041691A"/>
    <w:rsid w:val="00423334"/>
    <w:rsid w:val="0042534A"/>
    <w:rsid w:val="00427554"/>
    <w:rsid w:val="004316FE"/>
    <w:rsid w:val="00434BC5"/>
    <w:rsid w:val="00434DFE"/>
    <w:rsid w:val="0043532E"/>
    <w:rsid w:val="00435404"/>
    <w:rsid w:val="004414A1"/>
    <w:rsid w:val="00444365"/>
    <w:rsid w:val="00445C60"/>
    <w:rsid w:val="0044717F"/>
    <w:rsid w:val="00451757"/>
    <w:rsid w:val="00453377"/>
    <w:rsid w:val="0045406A"/>
    <w:rsid w:val="00456232"/>
    <w:rsid w:val="00461AEF"/>
    <w:rsid w:val="00462D5B"/>
    <w:rsid w:val="00463AEE"/>
    <w:rsid w:val="00463DD1"/>
    <w:rsid w:val="00464E6E"/>
    <w:rsid w:val="00464ECB"/>
    <w:rsid w:val="0046660D"/>
    <w:rsid w:val="00466CA9"/>
    <w:rsid w:val="0046776A"/>
    <w:rsid w:val="0047358D"/>
    <w:rsid w:val="00475CDB"/>
    <w:rsid w:val="00475E78"/>
    <w:rsid w:val="0047674A"/>
    <w:rsid w:val="004833F2"/>
    <w:rsid w:val="004920B6"/>
    <w:rsid w:val="00492F67"/>
    <w:rsid w:val="00495ADF"/>
    <w:rsid w:val="004A2778"/>
    <w:rsid w:val="004A4C00"/>
    <w:rsid w:val="004A5A28"/>
    <w:rsid w:val="004B3E35"/>
    <w:rsid w:val="004B4329"/>
    <w:rsid w:val="004C0743"/>
    <w:rsid w:val="004C0E0E"/>
    <w:rsid w:val="004C16EC"/>
    <w:rsid w:val="004C439D"/>
    <w:rsid w:val="004C56A3"/>
    <w:rsid w:val="004C5FE8"/>
    <w:rsid w:val="004C5FF2"/>
    <w:rsid w:val="004D0161"/>
    <w:rsid w:val="004D0F6B"/>
    <w:rsid w:val="004D3C37"/>
    <w:rsid w:val="004D42F5"/>
    <w:rsid w:val="004E0E8D"/>
    <w:rsid w:val="004E330F"/>
    <w:rsid w:val="004F167F"/>
    <w:rsid w:val="004F73BC"/>
    <w:rsid w:val="0050115D"/>
    <w:rsid w:val="0050218B"/>
    <w:rsid w:val="00504DCF"/>
    <w:rsid w:val="00505EE8"/>
    <w:rsid w:val="00506798"/>
    <w:rsid w:val="00511375"/>
    <w:rsid w:val="00512F04"/>
    <w:rsid w:val="00513E02"/>
    <w:rsid w:val="00514862"/>
    <w:rsid w:val="0051577F"/>
    <w:rsid w:val="00516752"/>
    <w:rsid w:val="00516D68"/>
    <w:rsid w:val="00516DB3"/>
    <w:rsid w:val="00517264"/>
    <w:rsid w:val="005174F5"/>
    <w:rsid w:val="005217EF"/>
    <w:rsid w:val="005224D0"/>
    <w:rsid w:val="00524FF8"/>
    <w:rsid w:val="0052502C"/>
    <w:rsid w:val="00525303"/>
    <w:rsid w:val="005260D1"/>
    <w:rsid w:val="00530378"/>
    <w:rsid w:val="00531587"/>
    <w:rsid w:val="00534117"/>
    <w:rsid w:val="00534DAB"/>
    <w:rsid w:val="00536E63"/>
    <w:rsid w:val="005375D0"/>
    <w:rsid w:val="00541CA2"/>
    <w:rsid w:val="00544607"/>
    <w:rsid w:val="005453DD"/>
    <w:rsid w:val="00546209"/>
    <w:rsid w:val="0055067F"/>
    <w:rsid w:val="00551452"/>
    <w:rsid w:val="00551F4D"/>
    <w:rsid w:val="00553670"/>
    <w:rsid w:val="00557329"/>
    <w:rsid w:val="0055752E"/>
    <w:rsid w:val="005607D0"/>
    <w:rsid w:val="0057135E"/>
    <w:rsid w:val="005749DD"/>
    <w:rsid w:val="0057707D"/>
    <w:rsid w:val="00582E58"/>
    <w:rsid w:val="0058360B"/>
    <w:rsid w:val="005909A3"/>
    <w:rsid w:val="00590C43"/>
    <w:rsid w:val="0059362E"/>
    <w:rsid w:val="0059417B"/>
    <w:rsid w:val="005976EF"/>
    <w:rsid w:val="00597785"/>
    <w:rsid w:val="005A0E18"/>
    <w:rsid w:val="005A2144"/>
    <w:rsid w:val="005A7F97"/>
    <w:rsid w:val="005B0221"/>
    <w:rsid w:val="005B119B"/>
    <w:rsid w:val="005B21C5"/>
    <w:rsid w:val="005B398B"/>
    <w:rsid w:val="005B3E61"/>
    <w:rsid w:val="005B3E68"/>
    <w:rsid w:val="005B4154"/>
    <w:rsid w:val="005C255F"/>
    <w:rsid w:val="005C3FCC"/>
    <w:rsid w:val="005C4B57"/>
    <w:rsid w:val="005D7098"/>
    <w:rsid w:val="005D710F"/>
    <w:rsid w:val="005E06AF"/>
    <w:rsid w:val="005E1462"/>
    <w:rsid w:val="005E217C"/>
    <w:rsid w:val="005E62F2"/>
    <w:rsid w:val="005E7B83"/>
    <w:rsid w:val="005F047E"/>
    <w:rsid w:val="005F3113"/>
    <w:rsid w:val="005F3E92"/>
    <w:rsid w:val="005F47A9"/>
    <w:rsid w:val="006040A6"/>
    <w:rsid w:val="006048A8"/>
    <w:rsid w:val="00604BA4"/>
    <w:rsid w:val="00604C38"/>
    <w:rsid w:val="00605B8B"/>
    <w:rsid w:val="00606541"/>
    <w:rsid w:val="006066D6"/>
    <w:rsid w:val="00607A4C"/>
    <w:rsid w:val="00613A18"/>
    <w:rsid w:val="006140B0"/>
    <w:rsid w:val="00616661"/>
    <w:rsid w:val="00622A6F"/>
    <w:rsid w:val="00623CE1"/>
    <w:rsid w:val="006269EB"/>
    <w:rsid w:val="00626DBA"/>
    <w:rsid w:val="00632AAE"/>
    <w:rsid w:val="00635CB0"/>
    <w:rsid w:val="006368FF"/>
    <w:rsid w:val="00637F1B"/>
    <w:rsid w:val="00645407"/>
    <w:rsid w:val="006553D3"/>
    <w:rsid w:val="0065601B"/>
    <w:rsid w:val="00657935"/>
    <w:rsid w:val="0065799B"/>
    <w:rsid w:val="00660A6C"/>
    <w:rsid w:val="00662405"/>
    <w:rsid w:val="00662BD9"/>
    <w:rsid w:val="00663211"/>
    <w:rsid w:val="00663D09"/>
    <w:rsid w:val="0066460F"/>
    <w:rsid w:val="00665262"/>
    <w:rsid w:val="00665842"/>
    <w:rsid w:val="0066712A"/>
    <w:rsid w:val="006713F3"/>
    <w:rsid w:val="006720B6"/>
    <w:rsid w:val="00676010"/>
    <w:rsid w:val="006763FF"/>
    <w:rsid w:val="00676828"/>
    <w:rsid w:val="006819E2"/>
    <w:rsid w:val="00685E2F"/>
    <w:rsid w:val="00687281"/>
    <w:rsid w:val="006973C9"/>
    <w:rsid w:val="00697586"/>
    <w:rsid w:val="006A10BF"/>
    <w:rsid w:val="006A2387"/>
    <w:rsid w:val="006A4A03"/>
    <w:rsid w:val="006A604F"/>
    <w:rsid w:val="006A679C"/>
    <w:rsid w:val="006B024E"/>
    <w:rsid w:val="006B0C2A"/>
    <w:rsid w:val="006B14CF"/>
    <w:rsid w:val="006B3CB0"/>
    <w:rsid w:val="006B4955"/>
    <w:rsid w:val="006B4C30"/>
    <w:rsid w:val="006B749A"/>
    <w:rsid w:val="006B7530"/>
    <w:rsid w:val="006B79A0"/>
    <w:rsid w:val="006D3678"/>
    <w:rsid w:val="006D3C10"/>
    <w:rsid w:val="006D4600"/>
    <w:rsid w:val="006D6452"/>
    <w:rsid w:val="006D68D6"/>
    <w:rsid w:val="006E07C5"/>
    <w:rsid w:val="006E1BA0"/>
    <w:rsid w:val="006E2440"/>
    <w:rsid w:val="006E26EB"/>
    <w:rsid w:val="006E28C8"/>
    <w:rsid w:val="006E4E90"/>
    <w:rsid w:val="006E5049"/>
    <w:rsid w:val="006E644D"/>
    <w:rsid w:val="006F01B8"/>
    <w:rsid w:val="006F0CCC"/>
    <w:rsid w:val="006F677B"/>
    <w:rsid w:val="006F7B86"/>
    <w:rsid w:val="00704EF1"/>
    <w:rsid w:val="00706653"/>
    <w:rsid w:val="00707527"/>
    <w:rsid w:val="00707F96"/>
    <w:rsid w:val="00712259"/>
    <w:rsid w:val="0071443E"/>
    <w:rsid w:val="00717571"/>
    <w:rsid w:val="00720E5F"/>
    <w:rsid w:val="00722078"/>
    <w:rsid w:val="0072275D"/>
    <w:rsid w:val="00726255"/>
    <w:rsid w:val="00727B27"/>
    <w:rsid w:val="00730E03"/>
    <w:rsid w:val="00732637"/>
    <w:rsid w:val="00732E50"/>
    <w:rsid w:val="00736695"/>
    <w:rsid w:val="00736CF9"/>
    <w:rsid w:val="00737324"/>
    <w:rsid w:val="00737857"/>
    <w:rsid w:val="00741C89"/>
    <w:rsid w:val="00742A74"/>
    <w:rsid w:val="00742F9D"/>
    <w:rsid w:val="0074517D"/>
    <w:rsid w:val="00746326"/>
    <w:rsid w:val="00747F72"/>
    <w:rsid w:val="00752E1C"/>
    <w:rsid w:val="0075331E"/>
    <w:rsid w:val="00755297"/>
    <w:rsid w:val="00756D31"/>
    <w:rsid w:val="0076448A"/>
    <w:rsid w:val="00764529"/>
    <w:rsid w:val="00765ADE"/>
    <w:rsid w:val="00765BD6"/>
    <w:rsid w:val="00767CF3"/>
    <w:rsid w:val="00770CD2"/>
    <w:rsid w:val="00773689"/>
    <w:rsid w:val="007754C0"/>
    <w:rsid w:val="00782650"/>
    <w:rsid w:val="007838EC"/>
    <w:rsid w:val="00786C85"/>
    <w:rsid w:val="00786EBD"/>
    <w:rsid w:val="00787D03"/>
    <w:rsid w:val="00791E42"/>
    <w:rsid w:val="007B18BA"/>
    <w:rsid w:val="007B1CD6"/>
    <w:rsid w:val="007B2CE4"/>
    <w:rsid w:val="007B5258"/>
    <w:rsid w:val="007B5F7B"/>
    <w:rsid w:val="007C1599"/>
    <w:rsid w:val="007C35B0"/>
    <w:rsid w:val="007C3C05"/>
    <w:rsid w:val="007C47F1"/>
    <w:rsid w:val="007C4A4E"/>
    <w:rsid w:val="007C4F99"/>
    <w:rsid w:val="007C5C16"/>
    <w:rsid w:val="007C5DCF"/>
    <w:rsid w:val="007C7074"/>
    <w:rsid w:val="007D1CCB"/>
    <w:rsid w:val="007D3125"/>
    <w:rsid w:val="007D3D4B"/>
    <w:rsid w:val="007D446D"/>
    <w:rsid w:val="007D7699"/>
    <w:rsid w:val="007D7A39"/>
    <w:rsid w:val="007E15BB"/>
    <w:rsid w:val="007E16F1"/>
    <w:rsid w:val="007E4A5C"/>
    <w:rsid w:val="007E6753"/>
    <w:rsid w:val="007F0090"/>
    <w:rsid w:val="007F28F1"/>
    <w:rsid w:val="007F293F"/>
    <w:rsid w:val="007F2ACF"/>
    <w:rsid w:val="007F32FE"/>
    <w:rsid w:val="007F50C9"/>
    <w:rsid w:val="007F576C"/>
    <w:rsid w:val="007F5EC6"/>
    <w:rsid w:val="007F6C81"/>
    <w:rsid w:val="007F7D99"/>
    <w:rsid w:val="00802746"/>
    <w:rsid w:val="00804E98"/>
    <w:rsid w:val="00805A30"/>
    <w:rsid w:val="00807E0E"/>
    <w:rsid w:val="00810192"/>
    <w:rsid w:val="00815349"/>
    <w:rsid w:val="008163A5"/>
    <w:rsid w:val="0081656F"/>
    <w:rsid w:val="0081738C"/>
    <w:rsid w:val="008209CD"/>
    <w:rsid w:val="0082175A"/>
    <w:rsid w:val="0082210F"/>
    <w:rsid w:val="00823E0E"/>
    <w:rsid w:val="008241F7"/>
    <w:rsid w:val="0082536B"/>
    <w:rsid w:val="00831B5C"/>
    <w:rsid w:val="00832BA3"/>
    <w:rsid w:val="008357CC"/>
    <w:rsid w:val="00835AF6"/>
    <w:rsid w:val="0084161B"/>
    <w:rsid w:val="008417FF"/>
    <w:rsid w:val="008423C2"/>
    <w:rsid w:val="008448B0"/>
    <w:rsid w:val="00847929"/>
    <w:rsid w:val="00856CF5"/>
    <w:rsid w:val="0086043F"/>
    <w:rsid w:val="00870307"/>
    <w:rsid w:val="00871BA3"/>
    <w:rsid w:val="00873DF7"/>
    <w:rsid w:val="0087417D"/>
    <w:rsid w:val="008807B7"/>
    <w:rsid w:val="008808FA"/>
    <w:rsid w:val="008815DF"/>
    <w:rsid w:val="00885ABD"/>
    <w:rsid w:val="00892A3F"/>
    <w:rsid w:val="00893B30"/>
    <w:rsid w:val="008947B0"/>
    <w:rsid w:val="008A0231"/>
    <w:rsid w:val="008A0A0F"/>
    <w:rsid w:val="008A3CF6"/>
    <w:rsid w:val="008A4C91"/>
    <w:rsid w:val="008B3BC8"/>
    <w:rsid w:val="008B61A1"/>
    <w:rsid w:val="008B79CD"/>
    <w:rsid w:val="008C00A9"/>
    <w:rsid w:val="008C078B"/>
    <w:rsid w:val="008C18A2"/>
    <w:rsid w:val="008C254C"/>
    <w:rsid w:val="008C3FC1"/>
    <w:rsid w:val="008C67C1"/>
    <w:rsid w:val="008D0635"/>
    <w:rsid w:val="008D0F7F"/>
    <w:rsid w:val="008D1165"/>
    <w:rsid w:val="008D18F9"/>
    <w:rsid w:val="008D43BE"/>
    <w:rsid w:val="008E0EF2"/>
    <w:rsid w:val="008E19E8"/>
    <w:rsid w:val="008E2119"/>
    <w:rsid w:val="008E6BAE"/>
    <w:rsid w:val="008E7D6E"/>
    <w:rsid w:val="008E7DF0"/>
    <w:rsid w:val="008F38EE"/>
    <w:rsid w:val="008F3F19"/>
    <w:rsid w:val="008F4D46"/>
    <w:rsid w:val="008F5037"/>
    <w:rsid w:val="008F55FE"/>
    <w:rsid w:val="008F6742"/>
    <w:rsid w:val="00900586"/>
    <w:rsid w:val="00902A04"/>
    <w:rsid w:val="00903F80"/>
    <w:rsid w:val="00905E0C"/>
    <w:rsid w:val="0090652A"/>
    <w:rsid w:val="00906F6F"/>
    <w:rsid w:val="009074C3"/>
    <w:rsid w:val="009144B3"/>
    <w:rsid w:val="009164CC"/>
    <w:rsid w:val="00917B29"/>
    <w:rsid w:val="0092164B"/>
    <w:rsid w:val="0092410C"/>
    <w:rsid w:val="00924407"/>
    <w:rsid w:val="00926D45"/>
    <w:rsid w:val="00930A68"/>
    <w:rsid w:val="009321CA"/>
    <w:rsid w:val="00932612"/>
    <w:rsid w:val="00932B36"/>
    <w:rsid w:val="00937302"/>
    <w:rsid w:val="00937A0A"/>
    <w:rsid w:val="00943E6A"/>
    <w:rsid w:val="00944BB4"/>
    <w:rsid w:val="009466DA"/>
    <w:rsid w:val="00946D72"/>
    <w:rsid w:val="00947647"/>
    <w:rsid w:val="00947A84"/>
    <w:rsid w:val="00950D31"/>
    <w:rsid w:val="00951040"/>
    <w:rsid w:val="00955379"/>
    <w:rsid w:val="00961CA2"/>
    <w:rsid w:val="009624B7"/>
    <w:rsid w:val="009721EE"/>
    <w:rsid w:val="009752B7"/>
    <w:rsid w:val="009755DE"/>
    <w:rsid w:val="00975B68"/>
    <w:rsid w:val="00977998"/>
    <w:rsid w:val="00980712"/>
    <w:rsid w:val="009810C9"/>
    <w:rsid w:val="00981374"/>
    <w:rsid w:val="00984728"/>
    <w:rsid w:val="00985DAD"/>
    <w:rsid w:val="009874D2"/>
    <w:rsid w:val="009875AE"/>
    <w:rsid w:val="009959C8"/>
    <w:rsid w:val="00997B58"/>
    <w:rsid w:val="009A230F"/>
    <w:rsid w:val="009A3414"/>
    <w:rsid w:val="009A413A"/>
    <w:rsid w:val="009A41A4"/>
    <w:rsid w:val="009A5D09"/>
    <w:rsid w:val="009A6610"/>
    <w:rsid w:val="009A6991"/>
    <w:rsid w:val="009A703B"/>
    <w:rsid w:val="009A7DB5"/>
    <w:rsid w:val="009B561B"/>
    <w:rsid w:val="009B66BB"/>
    <w:rsid w:val="009B699D"/>
    <w:rsid w:val="009C6EA2"/>
    <w:rsid w:val="009D0E6A"/>
    <w:rsid w:val="009D29EA"/>
    <w:rsid w:val="009D461C"/>
    <w:rsid w:val="009D5018"/>
    <w:rsid w:val="009D5133"/>
    <w:rsid w:val="009D5E3D"/>
    <w:rsid w:val="009E0FB3"/>
    <w:rsid w:val="009E4DC5"/>
    <w:rsid w:val="009E75FB"/>
    <w:rsid w:val="009F1792"/>
    <w:rsid w:val="009F448A"/>
    <w:rsid w:val="009F6436"/>
    <w:rsid w:val="009F6872"/>
    <w:rsid w:val="009F6C56"/>
    <w:rsid w:val="009F7583"/>
    <w:rsid w:val="00A00226"/>
    <w:rsid w:val="00A00871"/>
    <w:rsid w:val="00A00CAE"/>
    <w:rsid w:val="00A0628C"/>
    <w:rsid w:val="00A115C5"/>
    <w:rsid w:val="00A1261A"/>
    <w:rsid w:val="00A14087"/>
    <w:rsid w:val="00A14421"/>
    <w:rsid w:val="00A15F7A"/>
    <w:rsid w:val="00A169B2"/>
    <w:rsid w:val="00A16B5C"/>
    <w:rsid w:val="00A234D4"/>
    <w:rsid w:val="00A24170"/>
    <w:rsid w:val="00A312AC"/>
    <w:rsid w:val="00A32B08"/>
    <w:rsid w:val="00A358E6"/>
    <w:rsid w:val="00A3607B"/>
    <w:rsid w:val="00A40208"/>
    <w:rsid w:val="00A4214D"/>
    <w:rsid w:val="00A42CD9"/>
    <w:rsid w:val="00A45B43"/>
    <w:rsid w:val="00A5089A"/>
    <w:rsid w:val="00A51DEC"/>
    <w:rsid w:val="00A522E5"/>
    <w:rsid w:val="00A531F7"/>
    <w:rsid w:val="00A53954"/>
    <w:rsid w:val="00A5601F"/>
    <w:rsid w:val="00A561EA"/>
    <w:rsid w:val="00A5737B"/>
    <w:rsid w:val="00A650C4"/>
    <w:rsid w:val="00A65419"/>
    <w:rsid w:val="00A71742"/>
    <w:rsid w:val="00A74D3F"/>
    <w:rsid w:val="00A776D6"/>
    <w:rsid w:val="00A81B5B"/>
    <w:rsid w:val="00A861AA"/>
    <w:rsid w:val="00A861CE"/>
    <w:rsid w:val="00A86AB6"/>
    <w:rsid w:val="00A92D3E"/>
    <w:rsid w:val="00A935D1"/>
    <w:rsid w:val="00A95E62"/>
    <w:rsid w:val="00A97653"/>
    <w:rsid w:val="00AA20DE"/>
    <w:rsid w:val="00AA295A"/>
    <w:rsid w:val="00AA3912"/>
    <w:rsid w:val="00AA3D99"/>
    <w:rsid w:val="00AA4BBA"/>
    <w:rsid w:val="00AA573E"/>
    <w:rsid w:val="00AA5CB8"/>
    <w:rsid w:val="00AB26EE"/>
    <w:rsid w:val="00AB4873"/>
    <w:rsid w:val="00AB6D73"/>
    <w:rsid w:val="00AC0864"/>
    <w:rsid w:val="00AC6ACE"/>
    <w:rsid w:val="00AD2B34"/>
    <w:rsid w:val="00AD6B49"/>
    <w:rsid w:val="00AD7281"/>
    <w:rsid w:val="00AE0249"/>
    <w:rsid w:val="00AE5483"/>
    <w:rsid w:val="00AE6202"/>
    <w:rsid w:val="00AF376C"/>
    <w:rsid w:val="00AF38B8"/>
    <w:rsid w:val="00AF7C5D"/>
    <w:rsid w:val="00B04E08"/>
    <w:rsid w:val="00B06073"/>
    <w:rsid w:val="00B06903"/>
    <w:rsid w:val="00B14DA8"/>
    <w:rsid w:val="00B16420"/>
    <w:rsid w:val="00B20569"/>
    <w:rsid w:val="00B21A5E"/>
    <w:rsid w:val="00B231F5"/>
    <w:rsid w:val="00B234E3"/>
    <w:rsid w:val="00B25ED0"/>
    <w:rsid w:val="00B26EC9"/>
    <w:rsid w:val="00B31C5A"/>
    <w:rsid w:val="00B32158"/>
    <w:rsid w:val="00B35DBA"/>
    <w:rsid w:val="00B37A70"/>
    <w:rsid w:val="00B415FF"/>
    <w:rsid w:val="00B41A12"/>
    <w:rsid w:val="00B432D0"/>
    <w:rsid w:val="00B4410E"/>
    <w:rsid w:val="00B44905"/>
    <w:rsid w:val="00B477C3"/>
    <w:rsid w:val="00B53E72"/>
    <w:rsid w:val="00B54F67"/>
    <w:rsid w:val="00B55045"/>
    <w:rsid w:val="00B55234"/>
    <w:rsid w:val="00B559C7"/>
    <w:rsid w:val="00B5703B"/>
    <w:rsid w:val="00B57733"/>
    <w:rsid w:val="00B658E2"/>
    <w:rsid w:val="00B720C1"/>
    <w:rsid w:val="00B76002"/>
    <w:rsid w:val="00B77A91"/>
    <w:rsid w:val="00B80442"/>
    <w:rsid w:val="00B83CED"/>
    <w:rsid w:val="00B854D4"/>
    <w:rsid w:val="00B9306C"/>
    <w:rsid w:val="00B97ABF"/>
    <w:rsid w:val="00BA4B1D"/>
    <w:rsid w:val="00BA52EC"/>
    <w:rsid w:val="00BA734F"/>
    <w:rsid w:val="00BB3445"/>
    <w:rsid w:val="00BB7CFA"/>
    <w:rsid w:val="00BC27F0"/>
    <w:rsid w:val="00BC378F"/>
    <w:rsid w:val="00BC525D"/>
    <w:rsid w:val="00BD0375"/>
    <w:rsid w:val="00BD60B3"/>
    <w:rsid w:val="00BE20D5"/>
    <w:rsid w:val="00BE2D02"/>
    <w:rsid w:val="00BE4187"/>
    <w:rsid w:val="00BE4583"/>
    <w:rsid w:val="00BE4639"/>
    <w:rsid w:val="00C02960"/>
    <w:rsid w:val="00C0339F"/>
    <w:rsid w:val="00C03BD0"/>
    <w:rsid w:val="00C03D1A"/>
    <w:rsid w:val="00C056FE"/>
    <w:rsid w:val="00C12048"/>
    <w:rsid w:val="00C149ED"/>
    <w:rsid w:val="00C156AA"/>
    <w:rsid w:val="00C162E9"/>
    <w:rsid w:val="00C2023C"/>
    <w:rsid w:val="00C207AD"/>
    <w:rsid w:val="00C317E9"/>
    <w:rsid w:val="00C32C39"/>
    <w:rsid w:val="00C32D0A"/>
    <w:rsid w:val="00C40344"/>
    <w:rsid w:val="00C40D2F"/>
    <w:rsid w:val="00C42C57"/>
    <w:rsid w:val="00C527C3"/>
    <w:rsid w:val="00C5309D"/>
    <w:rsid w:val="00C53B98"/>
    <w:rsid w:val="00C54030"/>
    <w:rsid w:val="00C56316"/>
    <w:rsid w:val="00C571B2"/>
    <w:rsid w:val="00C57DB3"/>
    <w:rsid w:val="00C57DF3"/>
    <w:rsid w:val="00C60146"/>
    <w:rsid w:val="00C606F0"/>
    <w:rsid w:val="00C61D71"/>
    <w:rsid w:val="00C62587"/>
    <w:rsid w:val="00C626BD"/>
    <w:rsid w:val="00C62900"/>
    <w:rsid w:val="00C6470B"/>
    <w:rsid w:val="00C65B8B"/>
    <w:rsid w:val="00C65FD6"/>
    <w:rsid w:val="00C67056"/>
    <w:rsid w:val="00C674B6"/>
    <w:rsid w:val="00C700AF"/>
    <w:rsid w:val="00C706A6"/>
    <w:rsid w:val="00C717E4"/>
    <w:rsid w:val="00C7439A"/>
    <w:rsid w:val="00C74528"/>
    <w:rsid w:val="00C764DD"/>
    <w:rsid w:val="00C81A36"/>
    <w:rsid w:val="00C844D6"/>
    <w:rsid w:val="00C915A8"/>
    <w:rsid w:val="00C92302"/>
    <w:rsid w:val="00C93F07"/>
    <w:rsid w:val="00C952EA"/>
    <w:rsid w:val="00CA1153"/>
    <w:rsid w:val="00CA39A1"/>
    <w:rsid w:val="00CA4F62"/>
    <w:rsid w:val="00CA6A7F"/>
    <w:rsid w:val="00CB0350"/>
    <w:rsid w:val="00CB4335"/>
    <w:rsid w:val="00CB5434"/>
    <w:rsid w:val="00CB65C2"/>
    <w:rsid w:val="00CB6FA9"/>
    <w:rsid w:val="00CC070B"/>
    <w:rsid w:val="00CC2139"/>
    <w:rsid w:val="00CD0CA0"/>
    <w:rsid w:val="00CD1988"/>
    <w:rsid w:val="00CD3575"/>
    <w:rsid w:val="00CD4BCE"/>
    <w:rsid w:val="00CD5B39"/>
    <w:rsid w:val="00CD6A6D"/>
    <w:rsid w:val="00CE29D8"/>
    <w:rsid w:val="00CE2E28"/>
    <w:rsid w:val="00CF043E"/>
    <w:rsid w:val="00CF1E22"/>
    <w:rsid w:val="00CF22F5"/>
    <w:rsid w:val="00D00874"/>
    <w:rsid w:val="00D00C96"/>
    <w:rsid w:val="00D00F04"/>
    <w:rsid w:val="00D01F51"/>
    <w:rsid w:val="00D03C09"/>
    <w:rsid w:val="00D12F57"/>
    <w:rsid w:val="00D162D2"/>
    <w:rsid w:val="00D32CEA"/>
    <w:rsid w:val="00D32F55"/>
    <w:rsid w:val="00D34379"/>
    <w:rsid w:val="00D34D18"/>
    <w:rsid w:val="00D358C3"/>
    <w:rsid w:val="00D41D1D"/>
    <w:rsid w:val="00D4247D"/>
    <w:rsid w:val="00D428B5"/>
    <w:rsid w:val="00D43F13"/>
    <w:rsid w:val="00D4534A"/>
    <w:rsid w:val="00D45C9D"/>
    <w:rsid w:val="00D463D8"/>
    <w:rsid w:val="00D46A91"/>
    <w:rsid w:val="00D46D1A"/>
    <w:rsid w:val="00D47208"/>
    <w:rsid w:val="00D4785B"/>
    <w:rsid w:val="00D556E1"/>
    <w:rsid w:val="00D557BC"/>
    <w:rsid w:val="00D57053"/>
    <w:rsid w:val="00D61E4B"/>
    <w:rsid w:val="00D652F9"/>
    <w:rsid w:val="00D676A3"/>
    <w:rsid w:val="00D6798C"/>
    <w:rsid w:val="00D70C31"/>
    <w:rsid w:val="00D70D55"/>
    <w:rsid w:val="00D72F69"/>
    <w:rsid w:val="00D75A07"/>
    <w:rsid w:val="00D7688C"/>
    <w:rsid w:val="00D820DC"/>
    <w:rsid w:val="00D84EA3"/>
    <w:rsid w:val="00D901E3"/>
    <w:rsid w:val="00D905FC"/>
    <w:rsid w:val="00D90B97"/>
    <w:rsid w:val="00D924E3"/>
    <w:rsid w:val="00D93230"/>
    <w:rsid w:val="00D93899"/>
    <w:rsid w:val="00D942A9"/>
    <w:rsid w:val="00D94611"/>
    <w:rsid w:val="00D946CC"/>
    <w:rsid w:val="00D9583A"/>
    <w:rsid w:val="00D96218"/>
    <w:rsid w:val="00D97D4D"/>
    <w:rsid w:val="00DA0C0D"/>
    <w:rsid w:val="00DB3CD8"/>
    <w:rsid w:val="00DB4311"/>
    <w:rsid w:val="00DB47AD"/>
    <w:rsid w:val="00DB50F4"/>
    <w:rsid w:val="00DB540C"/>
    <w:rsid w:val="00DB5E1A"/>
    <w:rsid w:val="00DB65CE"/>
    <w:rsid w:val="00DC304E"/>
    <w:rsid w:val="00DC69D5"/>
    <w:rsid w:val="00DD0A27"/>
    <w:rsid w:val="00DD248A"/>
    <w:rsid w:val="00DD35E2"/>
    <w:rsid w:val="00DD4269"/>
    <w:rsid w:val="00DD4659"/>
    <w:rsid w:val="00DD549C"/>
    <w:rsid w:val="00DD62AC"/>
    <w:rsid w:val="00DE0F46"/>
    <w:rsid w:val="00DE2328"/>
    <w:rsid w:val="00DE30D7"/>
    <w:rsid w:val="00DE33F0"/>
    <w:rsid w:val="00DE445B"/>
    <w:rsid w:val="00DE5245"/>
    <w:rsid w:val="00DF0F0C"/>
    <w:rsid w:val="00DF345A"/>
    <w:rsid w:val="00DF458F"/>
    <w:rsid w:val="00DF5CCC"/>
    <w:rsid w:val="00DF693C"/>
    <w:rsid w:val="00DF6B12"/>
    <w:rsid w:val="00DF6D9B"/>
    <w:rsid w:val="00E0162E"/>
    <w:rsid w:val="00E05025"/>
    <w:rsid w:val="00E07659"/>
    <w:rsid w:val="00E10632"/>
    <w:rsid w:val="00E1300D"/>
    <w:rsid w:val="00E21715"/>
    <w:rsid w:val="00E24F7C"/>
    <w:rsid w:val="00E3037C"/>
    <w:rsid w:val="00E31AB0"/>
    <w:rsid w:val="00E33224"/>
    <w:rsid w:val="00E41308"/>
    <w:rsid w:val="00E46918"/>
    <w:rsid w:val="00E479D7"/>
    <w:rsid w:val="00E5341B"/>
    <w:rsid w:val="00E53FAC"/>
    <w:rsid w:val="00E54E2F"/>
    <w:rsid w:val="00E5511A"/>
    <w:rsid w:val="00E55156"/>
    <w:rsid w:val="00E555DF"/>
    <w:rsid w:val="00E55850"/>
    <w:rsid w:val="00E565B2"/>
    <w:rsid w:val="00E56B70"/>
    <w:rsid w:val="00E60B26"/>
    <w:rsid w:val="00E62A23"/>
    <w:rsid w:val="00E65D46"/>
    <w:rsid w:val="00E666E3"/>
    <w:rsid w:val="00E66A31"/>
    <w:rsid w:val="00E66F29"/>
    <w:rsid w:val="00E67E3F"/>
    <w:rsid w:val="00E67EB8"/>
    <w:rsid w:val="00E717B2"/>
    <w:rsid w:val="00E719CF"/>
    <w:rsid w:val="00E7395A"/>
    <w:rsid w:val="00E80C3D"/>
    <w:rsid w:val="00E8149D"/>
    <w:rsid w:val="00E8199F"/>
    <w:rsid w:val="00E81C80"/>
    <w:rsid w:val="00E8217C"/>
    <w:rsid w:val="00E82257"/>
    <w:rsid w:val="00E823D9"/>
    <w:rsid w:val="00E8426D"/>
    <w:rsid w:val="00E858E7"/>
    <w:rsid w:val="00E86F36"/>
    <w:rsid w:val="00E90293"/>
    <w:rsid w:val="00E924E7"/>
    <w:rsid w:val="00E92E2E"/>
    <w:rsid w:val="00E934B0"/>
    <w:rsid w:val="00E93544"/>
    <w:rsid w:val="00E96025"/>
    <w:rsid w:val="00E97391"/>
    <w:rsid w:val="00E97BAB"/>
    <w:rsid w:val="00EA3C44"/>
    <w:rsid w:val="00EA3E5F"/>
    <w:rsid w:val="00EA5A1F"/>
    <w:rsid w:val="00EA6BB6"/>
    <w:rsid w:val="00EB3820"/>
    <w:rsid w:val="00EB4B30"/>
    <w:rsid w:val="00EB4CBA"/>
    <w:rsid w:val="00EC13CD"/>
    <w:rsid w:val="00EC207B"/>
    <w:rsid w:val="00EC2E8F"/>
    <w:rsid w:val="00EC4C91"/>
    <w:rsid w:val="00EC5DBD"/>
    <w:rsid w:val="00ED16CD"/>
    <w:rsid w:val="00ED4D53"/>
    <w:rsid w:val="00ED5154"/>
    <w:rsid w:val="00ED6409"/>
    <w:rsid w:val="00ED69DB"/>
    <w:rsid w:val="00EE0496"/>
    <w:rsid w:val="00EE1BDF"/>
    <w:rsid w:val="00EE2342"/>
    <w:rsid w:val="00EE34C6"/>
    <w:rsid w:val="00EE3E63"/>
    <w:rsid w:val="00EE42E3"/>
    <w:rsid w:val="00EE65E7"/>
    <w:rsid w:val="00EE695F"/>
    <w:rsid w:val="00EE7763"/>
    <w:rsid w:val="00EF231A"/>
    <w:rsid w:val="00EF251B"/>
    <w:rsid w:val="00EF2984"/>
    <w:rsid w:val="00EF3F85"/>
    <w:rsid w:val="00EF5849"/>
    <w:rsid w:val="00F069E5"/>
    <w:rsid w:val="00F11DD1"/>
    <w:rsid w:val="00F177AE"/>
    <w:rsid w:val="00F17889"/>
    <w:rsid w:val="00F17979"/>
    <w:rsid w:val="00F2011E"/>
    <w:rsid w:val="00F20A34"/>
    <w:rsid w:val="00F22932"/>
    <w:rsid w:val="00F23279"/>
    <w:rsid w:val="00F26C05"/>
    <w:rsid w:val="00F27450"/>
    <w:rsid w:val="00F30967"/>
    <w:rsid w:val="00F33298"/>
    <w:rsid w:val="00F33779"/>
    <w:rsid w:val="00F34137"/>
    <w:rsid w:val="00F34C8E"/>
    <w:rsid w:val="00F35E39"/>
    <w:rsid w:val="00F36E52"/>
    <w:rsid w:val="00F41479"/>
    <w:rsid w:val="00F415C2"/>
    <w:rsid w:val="00F430D3"/>
    <w:rsid w:val="00F47939"/>
    <w:rsid w:val="00F5084E"/>
    <w:rsid w:val="00F510A2"/>
    <w:rsid w:val="00F512D4"/>
    <w:rsid w:val="00F514B5"/>
    <w:rsid w:val="00F51B07"/>
    <w:rsid w:val="00F553C3"/>
    <w:rsid w:val="00F563BE"/>
    <w:rsid w:val="00F634F4"/>
    <w:rsid w:val="00F66166"/>
    <w:rsid w:val="00F6655A"/>
    <w:rsid w:val="00F70F88"/>
    <w:rsid w:val="00F71300"/>
    <w:rsid w:val="00F71547"/>
    <w:rsid w:val="00F72F56"/>
    <w:rsid w:val="00F75549"/>
    <w:rsid w:val="00F82D5A"/>
    <w:rsid w:val="00F84268"/>
    <w:rsid w:val="00F84D13"/>
    <w:rsid w:val="00F850DB"/>
    <w:rsid w:val="00F86544"/>
    <w:rsid w:val="00F87497"/>
    <w:rsid w:val="00F904F9"/>
    <w:rsid w:val="00F938CB"/>
    <w:rsid w:val="00F96012"/>
    <w:rsid w:val="00F97687"/>
    <w:rsid w:val="00FA03D4"/>
    <w:rsid w:val="00FA267A"/>
    <w:rsid w:val="00FA525B"/>
    <w:rsid w:val="00FA5B73"/>
    <w:rsid w:val="00FA66DE"/>
    <w:rsid w:val="00FA7085"/>
    <w:rsid w:val="00FB2E0C"/>
    <w:rsid w:val="00FB416F"/>
    <w:rsid w:val="00FB6FF4"/>
    <w:rsid w:val="00FB7384"/>
    <w:rsid w:val="00FC0790"/>
    <w:rsid w:val="00FC28BA"/>
    <w:rsid w:val="00FD29C7"/>
    <w:rsid w:val="00FD4747"/>
    <w:rsid w:val="00FD5B25"/>
    <w:rsid w:val="00FD7883"/>
    <w:rsid w:val="00FE1B41"/>
    <w:rsid w:val="00FE30DF"/>
    <w:rsid w:val="00FE3C52"/>
    <w:rsid w:val="00FE6AAA"/>
    <w:rsid w:val="00FE75FE"/>
    <w:rsid w:val="00FE79D2"/>
    <w:rsid w:val="00FF053D"/>
    <w:rsid w:val="00FF23AB"/>
    <w:rsid w:val="00FF423C"/>
    <w:rsid w:val="00FF44CE"/>
    <w:rsid w:val="00FF50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footnote text" w:uiPriority="99"/>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2F9D"/>
    <w:rPr>
      <w:sz w:val="24"/>
      <w:szCs w:val="24"/>
    </w:rPr>
  </w:style>
  <w:style w:type="paragraph" w:styleId="Heading1">
    <w:name w:val="heading 1"/>
    <w:basedOn w:val="Normal"/>
    <w:next w:val="Normal"/>
    <w:qFormat/>
    <w:rsid w:val="00BC378F"/>
    <w:pPr>
      <w:keepNext/>
      <w:spacing w:before="120" w:after="120"/>
      <w:outlineLvl w:val="0"/>
    </w:pPr>
    <w:rPr>
      <w:rFonts w:ascii="Times New Roman Bold" w:hAnsi="Times New Roman Bold"/>
      <w:b/>
      <w:bCs/>
      <w:caps/>
    </w:rPr>
  </w:style>
  <w:style w:type="paragraph" w:styleId="Heading2">
    <w:name w:val="heading 2"/>
    <w:basedOn w:val="Normal"/>
    <w:next w:val="Normal"/>
    <w:qFormat/>
    <w:rsid w:val="00BC378F"/>
    <w:pPr>
      <w:keepNext/>
      <w:spacing w:before="240" w:after="240"/>
      <w:ind w:left="720" w:hanging="720"/>
      <w:outlineLvl w:val="1"/>
    </w:pPr>
    <w:rPr>
      <w:rFonts w:cs="Arial"/>
      <w:b/>
      <w:bCs/>
      <w:iCs/>
      <w:szCs w:val="28"/>
    </w:rPr>
  </w:style>
  <w:style w:type="paragraph" w:styleId="Heading3">
    <w:name w:val="heading 3"/>
    <w:basedOn w:val="Normal"/>
    <w:next w:val="Normal"/>
    <w:qFormat/>
    <w:rsid w:val="00F72F56"/>
    <w:pPr>
      <w:keepNext/>
      <w:spacing w:before="240" w:after="120"/>
      <w:ind w:left="720" w:hanging="720"/>
      <w:outlineLvl w:val="2"/>
    </w:pPr>
    <w:rPr>
      <w:rFonts w:cs="Arial"/>
      <w:b/>
      <w:bCs/>
      <w:i/>
      <w:iCs/>
      <w:szCs w:val="22"/>
      <w:lang w:val="en-CA"/>
    </w:rPr>
  </w:style>
  <w:style w:type="paragraph" w:styleId="Heading4">
    <w:name w:val="heading 4"/>
    <w:basedOn w:val="Normal"/>
    <w:next w:val="Normal"/>
    <w:qFormat/>
    <w:rsid w:val="00742F9D"/>
    <w:pPr>
      <w:keepNext/>
      <w:spacing w:before="240" w:after="120"/>
      <w:ind w:left="-86"/>
      <w:outlineLvl w:val="3"/>
    </w:pPr>
    <w:rPr>
      <w:bCs/>
      <w:i/>
      <w:sz w:val="22"/>
      <w:szCs w:val="22"/>
    </w:rPr>
  </w:style>
  <w:style w:type="paragraph" w:styleId="Heading5">
    <w:name w:val="heading 5"/>
    <w:basedOn w:val="Normal"/>
    <w:next w:val="Normal"/>
    <w:qFormat/>
    <w:rsid w:val="00BC378F"/>
    <w:pPr>
      <w:keepNext/>
      <w:widowControl w:val="0"/>
      <w:outlineLvl w:val="4"/>
    </w:pPr>
    <w:rPr>
      <w:rFonts w:ascii="Arial" w:hAnsi="Arial" w:cs="Arial"/>
      <w:b/>
      <w:bCs/>
      <w:sz w:val="20"/>
      <w:szCs w:val="20"/>
      <w:u w:val="single"/>
    </w:rPr>
  </w:style>
  <w:style w:type="paragraph" w:styleId="Heading6">
    <w:name w:val="heading 6"/>
    <w:basedOn w:val="Normal"/>
    <w:next w:val="Normal"/>
    <w:qFormat/>
    <w:rsid w:val="00BC378F"/>
    <w:pPr>
      <w:keepNext/>
      <w:jc w:val="center"/>
      <w:outlineLvl w:val="5"/>
    </w:pPr>
    <w:rPr>
      <w:rFonts w:ascii="Arial" w:hAnsi="Arial" w:cs="Arial"/>
      <w:b/>
      <w:bCs/>
    </w:rPr>
  </w:style>
  <w:style w:type="paragraph" w:styleId="Heading7">
    <w:name w:val="heading 7"/>
    <w:basedOn w:val="Normal"/>
    <w:next w:val="Normal"/>
    <w:qFormat/>
    <w:rsid w:val="00BC378F"/>
    <w:pPr>
      <w:keepNext/>
      <w:jc w:val="center"/>
      <w:outlineLvl w:val="6"/>
    </w:pPr>
    <w:rPr>
      <w:rFonts w:ascii="Arial" w:hAnsi="Arial" w:cs="Arial"/>
      <w:b/>
      <w:bCs/>
      <w:sz w:val="16"/>
      <w:szCs w:val="16"/>
    </w:rPr>
  </w:style>
  <w:style w:type="paragraph" w:styleId="Heading8">
    <w:name w:val="heading 8"/>
    <w:basedOn w:val="Normal"/>
    <w:next w:val="Normal"/>
    <w:qFormat/>
    <w:rsid w:val="00BC378F"/>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qFormat/>
    <w:rsid w:val="00BC378F"/>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Normal"/>
    <w:rsid w:val="0055067F"/>
    <w:pPr>
      <w:numPr>
        <w:numId w:val="3"/>
      </w:numPr>
      <w:spacing w:after="120" w:line="240" w:lineRule="exact"/>
      <w:ind w:left="1080"/>
    </w:pPr>
    <w:rPr>
      <w:color w:val="000000"/>
    </w:rPr>
  </w:style>
  <w:style w:type="paragraph" w:customStyle="1" w:styleId="exhibitsource">
    <w:name w:val="exhibit source"/>
    <w:basedOn w:val="Normal"/>
    <w:rsid w:val="00742F9D"/>
    <w:pPr>
      <w:spacing w:before="120" w:after="240"/>
      <w:ind w:left="180" w:hanging="180"/>
    </w:pPr>
    <w:rPr>
      <w:sz w:val="20"/>
      <w:szCs w:val="22"/>
    </w:rPr>
  </w:style>
  <w:style w:type="numbering" w:customStyle="1" w:styleId="NoList1">
    <w:name w:val="No List1"/>
    <w:next w:val="NoList"/>
    <w:semiHidden/>
    <w:rsid w:val="00BC378F"/>
  </w:style>
  <w:style w:type="table" w:styleId="TableGrid">
    <w:name w:val="Table Grid"/>
    <w:basedOn w:val="TableNormal"/>
    <w:rsid w:val="006E24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1"/>
    <w:rsid w:val="0055067F"/>
    <w:rPr>
      <w:sz w:val="24"/>
    </w:rPr>
  </w:style>
  <w:style w:type="character" w:styleId="CommentReference">
    <w:name w:val="annotation reference"/>
    <w:basedOn w:val="DefaultParagraphFont"/>
    <w:uiPriority w:val="99"/>
    <w:unhideWhenUsed/>
    <w:rsid w:val="0055067F"/>
    <w:rPr>
      <w:sz w:val="16"/>
      <w:szCs w:val="16"/>
    </w:rPr>
  </w:style>
  <w:style w:type="paragraph" w:styleId="ListBullet2">
    <w:name w:val="List Bullet 2"/>
    <w:basedOn w:val="Normal"/>
    <w:rsid w:val="0055067F"/>
    <w:pPr>
      <w:numPr>
        <w:numId w:val="6"/>
      </w:numPr>
      <w:contextualSpacing/>
    </w:pPr>
  </w:style>
  <w:style w:type="paragraph" w:styleId="CommentText">
    <w:name w:val="annotation text"/>
    <w:basedOn w:val="Normal"/>
    <w:link w:val="CommentTextChar"/>
    <w:uiPriority w:val="99"/>
    <w:rsid w:val="00D676A3"/>
    <w:rPr>
      <w:sz w:val="20"/>
      <w:szCs w:val="20"/>
    </w:rPr>
  </w:style>
  <w:style w:type="paragraph" w:customStyle="1" w:styleId="paragraph">
    <w:name w:val="paragraph"/>
    <w:basedOn w:val="Normal"/>
    <w:rsid w:val="00BC378F"/>
    <w:pPr>
      <w:spacing w:before="200" w:line="320" w:lineRule="exact"/>
      <w:ind w:left="1440"/>
    </w:pPr>
  </w:style>
  <w:style w:type="paragraph" w:customStyle="1" w:styleId="Default">
    <w:name w:val="Default"/>
    <w:rsid w:val="00D41D1D"/>
    <w:pPr>
      <w:widowControl w:val="0"/>
      <w:autoSpaceDE w:val="0"/>
      <w:autoSpaceDN w:val="0"/>
      <w:adjustRightInd w:val="0"/>
    </w:pPr>
    <w:rPr>
      <w:color w:val="000000"/>
      <w:sz w:val="24"/>
      <w:szCs w:val="24"/>
    </w:rPr>
  </w:style>
  <w:style w:type="paragraph" w:styleId="FootnoteText">
    <w:name w:val="footnote text"/>
    <w:aliases w:val="ft,fo"/>
    <w:basedOn w:val="Normal"/>
    <w:link w:val="FootnoteTextChar"/>
    <w:uiPriority w:val="99"/>
    <w:rsid w:val="00742F9D"/>
    <w:pPr>
      <w:widowControl w:val="0"/>
      <w:ind w:left="180" w:hanging="180"/>
    </w:pPr>
    <w:rPr>
      <w:rFonts w:cs="Courier New"/>
      <w:sz w:val="22"/>
    </w:rPr>
  </w:style>
  <w:style w:type="character" w:styleId="FootnoteReference">
    <w:name w:val="footnote reference"/>
    <w:basedOn w:val="DefaultParagraphFont"/>
    <w:rsid w:val="00742F9D"/>
    <w:rPr>
      <w:vertAlign w:val="superscript"/>
    </w:rPr>
  </w:style>
  <w:style w:type="character" w:customStyle="1" w:styleId="CommentTextChar">
    <w:name w:val="Comment Text Char"/>
    <w:basedOn w:val="DefaultParagraphFont"/>
    <w:link w:val="CommentText"/>
    <w:uiPriority w:val="99"/>
    <w:rsid w:val="00D676A3"/>
  </w:style>
  <w:style w:type="paragraph" w:styleId="CommentSubject">
    <w:name w:val="annotation subject"/>
    <w:basedOn w:val="CommentText"/>
    <w:next w:val="CommentText"/>
    <w:link w:val="CommentSubjectChar"/>
    <w:rsid w:val="00D676A3"/>
    <w:rPr>
      <w:b/>
      <w:bCs/>
    </w:rPr>
  </w:style>
  <w:style w:type="character" w:customStyle="1" w:styleId="CommentSubjectChar">
    <w:name w:val="Comment Subject Char"/>
    <w:basedOn w:val="CommentTextChar"/>
    <w:link w:val="CommentSubject"/>
    <w:rsid w:val="00D676A3"/>
    <w:rPr>
      <w:b/>
      <w:bCs/>
    </w:rPr>
  </w:style>
  <w:style w:type="paragraph" w:customStyle="1" w:styleId="heading10">
    <w:name w:val="heading1"/>
    <w:basedOn w:val="Normal"/>
    <w:next w:val="Normal"/>
    <w:semiHidden/>
    <w:rsid w:val="00BC378F"/>
    <w:pPr>
      <w:spacing w:before="120" w:after="120"/>
    </w:pPr>
    <w:rPr>
      <w:b/>
      <w:bCs/>
      <w:sz w:val="22"/>
      <w:szCs w:val="22"/>
    </w:rPr>
  </w:style>
  <w:style w:type="paragraph" w:customStyle="1" w:styleId="heading20">
    <w:name w:val="heading2"/>
    <w:basedOn w:val="Heading3"/>
    <w:next w:val="Normal"/>
    <w:semiHidden/>
    <w:rsid w:val="00BC378F"/>
    <w:pPr>
      <w:spacing w:before="120"/>
    </w:pPr>
    <w:rPr>
      <w:rFonts w:cs="Times New Roman"/>
    </w:rPr>
  </w:style>
  <w:style w:type="paragraph" w:customStyle="1" w:styleId="bullets-blank">
    <w:name w:val="bullets-blank"/>
    <w:basedOn w:val="bullets"/>
    <w:qFormat/>
    <w:rsid w:val="009B561B"/>
    <w:pPr>
      <w:numPr>
        <w:numId w:val="0"/>
      </w:numPr>
      <w:tabs>
        <w:tab w:val="left" w:pos="1080"/>
      </w:tabs>
      <w:spacing w:line="240" w:lineRule="auto"/>
      <w:ind w:left="1080" w:hanging="360"/>
    </w:pPr>
  </w:style>
  <w:style w:type="paragraph" w:styleId="BalloonText">
    <w:name w:val="Balloon Text"/>
    <w:basedOn w:val="Normal"/>
    <w:semiHidden/>
    <w:rsid w:val="00BC378F"/>
    <w:pPr>
      <w:numPr>
        <w:numId w:val="2"/>
      </w:numPr>
      <w:tabs>
        <w:tab w:val="clear" w:pos="720"/>
        <w:tab w:val="num" w:pos="360"/>
      </w:tabs>
      <w:ind w:left="0" w:firstLine="0"/>
    </w:pPr>
    <w:rPr>
      <w:rFonts w:ascii="Tahoma" w:hAnsi="Tahoma" w:cs="Tahoma"/>
      <w:sz w:val="16"/>
      <w:szCs w:val="16"/>
    </w:rPr>
  </w:style>
  <w:style w:type="paragraph" w:styleId="Header">
    <w:name w:val="header"/>
    <w:basedOn w:val="Normal"/>
    <w:rsid w:val="00BC378F"/>
    <w:pPr>
      <w:tabs>
        <w:tab w:val="center" w:pos="4320"/>
        <w:tab w:val="right" w:pos="8640"/>
      </w:tabs>
    </w:pPr>
    <w:rPr>
      <w:sz w:val="20"/>
      <w:szCs w:val="20"/>
    </w:rPr>
  </w:style>
  <w:style w:type="paragraph" w:styleId="Footer">
    <w:name w:val="footer"/>
    <w:basedOn w:val="Normal"/>
    <w:rsid w:val="00BC378F"/>
    <w:pPr>
      <w:tabs>
        <w:tab w:val="center" w:pos="4320"/>
        <w:tab w:val="right" w:pos="8640"/>
      </w:tabs>
    </w:pPr>
    <w:rPr>
      <w:sz w:val="20"/>
      <w:szCs w:val="20"/>
    </w:rPr>
  </w:style>
  <w:style w:type="character" w:styleId="PageNumber">
    <w:name w:val="page number"/>
    <w:basedOn w:val="DefaultParagraphFont"/>
    <w:rsid w:val="00BC378F"/>
    <w:rPr>
      <w:rFonts w:ascii="Times New Roman" w:hAnsi="Times New Roman"/>
      <w:sz w:val="24"/>
    </w:rPr>
  </w:style>
  <w:style w:type="paragraph" w:styleId="EndnoteText">
    <w:name w:val="endnote text"/>
    <w:basedOn w:val="Normal"/>
    <w:semiHidden/>
    <w:rsid w:val="00BC378F"/>
    <w:rPr>
      <w:sz w:val="20"/>
      <w:szCs w:val="20"/>
    </w:rPr>
  </w:style>
  <w:style w:type="character" w:styleId="EndnoteReference">
    <w:name w:val="endnote reference"/>
    <w:basedOn w:val="DefaultParagraphFont"/>
    <w:semiHidden/>
    <w:rsid w:val="00BC378F"/>
    <w:rPr>
      <w:vertAlign w:val="superscript"/>
    </w:rPr>
  </w:style>
  <w:style w:type="paragraph" w:styleId="Title">
    <w:name w:val="Title"/>
    <w:basedOn w:val="Normal"/>
    <w:qFormat/>
    <w:rsid w:val="00BC378F"/>
    <w:pPr>
      <w:ind w:left="-270"/>
      <w:jc w:val="center"/>
    </w:pPr>
    <w:rPr>
      <w:b/>
      <w:bCs/>
    </w:rPr>
  </w:style>
  <w:style w:type="paragraph" w:customStyle="1" w:styleId="Level1">
    <w:name w:val="Level 1"/>
    <w:basedOn w:val="Normal"/>
    <w:rsid w:val="00BC378F"/>
    <w:pPr>
      <w:widowControl w:val="0"/>
      <w:autoSpaceDE w:val="0"/>
      <w:autoSpaceDN w:val="0"/>
      <w:adjustRightInd w:val="0"/>
      <w:ind w:left="720" w:hanging="720"/>
    </w:pPr>
  </w:style>
  <w:style w:type="character" w:styleId="Hyperlink">
    <w:name w:val="Hyperlink"/>
    <w:basedOn w:val="DefaultParagraphFont"/>
    <w:uiPriority w:val="99"/>
    <w:rsid w:val="00BC378F"/>
    <w:rPr>
      <w:color w:val="0000FF"/>
      <w:u w:val="single"/>
    </w:rPr>
  </w:style>
  <w:style w:type="paragraph" w:customStyle="1" w:styleId="bibliogrpahy">
    <w:name w:val="bibliogrpahy"/>
    <w:rsid w:val="00BC378F"/>
    <w:pPr>
      <w:spacing w:after="110"/>
      <w:ind w:left="720" w:hanging="720"/>
    </w:pPr>
    <w:rPr>
      <w:sz w:val="24"/>
      <w:szCs w:val="24"/>
    </w:rPr>
  </w:style>
  <w:style w:type="paragraph" w:styleId="NormalWeb">
    <w:name w:val="Normal (Web)"/>
    <w:basedOn w:val="Normal"/>
    <w:rsid w:val="00BC378F"/>
    <w:pPr>
      <w:spacing w:before="100" w:beforeAutospacing="1" w:after="100" w:afterAutospacing="1"/>
    </w:pPr>
    <w:rPr>
      <w:rFonts w:ascii="Arial" w:hAnsi="Arial" w:cs="Arial"/>
      <w:color w:val="000000"/>
    </w:rPr>
  </w:style>
  <w:style w:type="character" w:styleId="Strong">
    <w:name w:val="Strong"/>
    <w:basedOn w:val="DefaultParagraphFont"/>
    <w:qFormat/>
    <w:rsid w:val="00BC378F"/>
    <w:rPr>
      <w:b/>
      <w:bCs/>
    </w:rPr>
  </w:style>
  <w:style w:type="character" w:styleId="Emphasis">
    <w:name w:val="Emphasis"/>
    <w:basedOn w:val="DefaultParagraphFont"/>
    <w:qFormat/>
    <w:rsid w:val="00BC378F"/>
    <w:rPr>
      <w:i/>
      <w:iCs/>
    </w:rPr>
  </w:style>
  <w:style w:type="paragraph" w:styleId="HTMLPreformatted">
    <w:name w:val="HTML Preformatted"/>
    <w:basedOn w:val="Normal"/>
    <w:semiHidden/>
    <w:rsid w:val="00BC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OC1">
    <w:name w:val="toc 1"/>
    <w:basedOn w:val="Normal"/>
    <w:next w:val="Normal"/>
    <w:autoRedefine/>
    <w:uiPriority w:val="39"/>
    <w:rsid w:val="00BC378F"/>
    <w:pPr>
      <w:tabs>
        <w:tab w:val="right" w:leader="dot" w:pos="9350"/>
      </w:tabs>
      <w:spacing w:before="240" w:after="120"/>
      <w:ind w:left="720" w:hanging="360"/>
    </w:pPr>
    <w:rPr>
      <w:noProof/>
    </w:rPr>
  </w:style>
  <w:style w:type="paragraph" w:customStyle="1" w:styleId="BodyText1">
    <w:name w:val="Body Text1"/>
    <w:basedOn w:val="Normal"/>
    <w:link w:val="bodytextChar"/>
    <w:rsid w:val="00736695"/>
    <w:pPr>
      <w:spacing w:after="120" w:line="360" w:lineRule="auto"/>
      <w:ind w:firstLine="720"/>
    </w:pPr>
    <w:rPr>
      <w:szCs w:val="20"/>
    </w:rPr>
  </w:style>
  <w:style w:type="paragraph" w:styleId="TOC2">
    <w:name w:val="toc 2"/>
    <w:basedOn w:val="Normal"/>
    <w:next w:val="Normal"/>
    <w:autoRedefine/>
    <w:uiPriority w:val="39"/>
    <w:rsid w:val="00BC378F"/>
    <w:pPr>
      <w:tabs>
        <w:tab w:val="right" w:leader="dot" w:pos="9350"/>
      </w:tabs>
      <w:spacing w:before="120" w:after="120"/>
      <w:ind w:left="1350" w:hanging="630"/>
    </w:pPr>
    <w:rPr>
      <w:noProof/>
    </w:rPr>
  </w:style>
  <w:style w:type="paragraph" w:customStyle="1" w:styleId="Cov-Date">
    <w:name w:val="Cov-Date"/>
    <w:basedOn w:val="Normal"/>
    <w:rsid w:val="00495ADF"/>
    <w:pPr>
      <w:jc w:val="right"/>
    </w:pPr>
    <w:rPr>
      <w:rFonts w:ascii="Arial" w:hAnsi="Arial"/>
      <w:b/>
      <w:sz w:val="28"/>
      <w:szCs w:val="20"/>
    </w:rPr>
  </w:style>
  <w:style w:type="paragraph" w:customStyle="1" w:styleId="Cov-Title">
    <w:name w:val="Cov-Title"/>
    <w:basedOn w:val="Normal"/>
    <w:rsid w:val="00495ADF"/>
    <w:pPr>
      <w:jc w:val="right"/>
    </w:pPr>
    <w:rPr>
      <w:rFonts w:ascii="Arial Black" w:hAnsi="Arial Black"/>
      <w:sz w:val="48"/>
      <w:szCs w:val="20"/>
    </w:rPr>
  </w:style>
  <w:style w:type="paragraph" w:customStyle="1" w:styleId="Cov-Author">
    <w:name w:val="Cov-Author"/>
    <w:basedOn w:val="Normal"/>
    <w:rsid w:val="00495ADF"/>
    <w:pPr>
      <w:jc w:val="right"/>
    </w:pPr>
    <w:rPr>
      <w:rFonts w:ascii="Arial Black" w:hAnsi="Arial Black"/>
      <w:szCs w:val="20"/>
    </w:rPr>
  </w:style>
  <w:style w:type="paragraph" w:customStyle="1" w:styleId="Cov-Address">
    <w:name w:val="Cov-Address"/>
    <w:basedOn w:val="Normal"/>
    <w:rsid w:val="00495ADF"/>
    <w:pPr>
      <w:jc w:val="right"/>
    </w:pPr>
    <w:rPr>
      <w:rFonts w:ascii="Arial" w:hAnsi="Arial"/>
      <w:szCs w:val="20"/>
    </w:rPr>
  </w:style>
  <w:style w:type="paragraph" w:styleId="DocumentMap">
    <w:name w:val="Document Map"/>
    <w:basedOn w:val="Normal"/>
    <w:semiHidden/>
    <w:rsid w:val="00495ADF"/>
    <w:pPr>
      <w:shd w:val="clear" w:color="auto" w:fill="000080"/>
    </w:pPr>
    <w:rPr>
      <w:rFonts w:ascii="Tahoma" w:hAnsi="Tahoma" w:cs="Tahoma"/>
    </w:rPr>
  </w:style>
  <w:style w:type="paragraph" w:styleId="TOC4">
    <w:name w:val="toc 4"/>
    <w:basedOn w:val="Normal"/>
    <w:next w:val="Normal"/>
    <w:rsid w:val="00495ADF"/>
    <w:pPr>
      <w:tabs>
        <w:tab w:val="right" w:leader="dot" w:pos="9360"/>
      </w:tabs>
      <w:spacing w:before="60"/>
      <w:ind w:left="3240" w:hanging="720"/>
    </w:pPr>
    <w:rPr>
      <w:szCs w:val="20"/>
    </w:rPr>
  </w:style>
  <w:style w:type="paragraph" w:styleId="TOC3">
    <w:name w:val="toc 3"/>
    <w:basedOn w:val="Normal"/>
    <w:next w:val="Normal"/>
    <w:uiPriority w:val="39"/>
    <w:rsid w:val="001134BA"/>
    <w:pPr>
      <w:tabs>
        <w:tab w:val="right" w:leader="dot" w:pos="9360"/>
      </w:tabs>
      <w:spacing w:before="80" w:after="40"/>
      <w:ind w:left="2160" w:right="720" w:hanging="720"/>
    </w:pPr>
    <w:rPr>
      <w:noProof/>
      <w:szCs w:val="20"/>
    </w:rPr>
  </w:style>
  <w:style w:type="paragraph" w:customStyle="1" w:styleId="Question">
    <w:name w:val="Question"/>
    <w:basedOn w:val="Normal"/>
    <w:semiHidden/>
    <w:rsid w:val="00495ADF"/>
    <w:pPr>
      <w:keepNext/>
      <w:keepLines/>
      <w:spacing w:before="160" w:after="60"/>
      <w:ind w:left="900" w:hanging="547"/>
    </w:pPr>
    <w:rPr>
      <w:rFonts w:ascii="Optima" w:hAnsi="Optima"/>
      <w:sz w:val="22"/>
      <w:szCs w:val="20"/>
    </w:rPr>
  </w:style>
  <w:style w:type="character" w:customStyle="1" w:styleId="Heading7Char">
    <w:name w:val="Heading 7 Char"/>
    <w:basedOn w:val="DefaultParagraphFont"/>
    <w:semiHidden/>
    <w:rsid w:val="00495ADF"/>
    <w:rPr>
      <w:b/>
      <w:noProof w:val="0"/>
      <w:snapToGrid w:val="0"/>
      <w:sz w:val="24"/>
      <w:u w:val="single"/>
      <w:lang w:val="en-US" w:eastAsia="en-US" w:bidi="ar-SA"/>
    </w:rPr>
  </w:style>
  <w:style w:type="paragraph" w:styleId="TOC5">
    <w:name w:val="toc 5"/>
    <w:basedOn w:val="Normal"/>
    <w:next w:val="Normal"/>
    <w:uiPriority w:val="39"/>
    <w:rsid w:val="004A5A28"/>
    <w:pPr>
      <w:tabs>
        <w:tab w:val="right" w:leader="dot" w:pos="9360"/>
      </w:tabs>
      <w:spacing w:before="40" w:after="40"/>
      <w:ind w:left="720" w:right="720" w:hanging="360"/>
    </w:pPr>
    <w:rPr>
      <w:noProof/>
      <w:szCs w:val="20"/>
    </w:rPr>
  </w:style>
  <w:style w:type="paragraph" w:styleId="Index2">
    <w:name w:val="index 2"/>
    <w:basedOn w:val="Normal"/>
    <w:next w:val="Normal"/>
    <w:semiHidden/>
    <w:rsid w:val="00495ADF"/>
    <w:pPr>
      <w:ind w:left="360"/>
    </w:pPr>
    <w:rPr>
      <w:szCs w:val="20"/>
    </w:rPr>
  </w:style>
  <w:style w:type="paragraph" w:styleId="Index1">
    <w:name w:val="index 1"/>
    <w:basedOn w:val="Normal"/>
    <w:next w:val="Normal"/>
    <w:semiHidden/>
    <w:rsid w:val="00495ADF"/>
    <w:rPr>
      <w:szCs w:val="20"/>
    </w:rPr>
  </w:style>
  <w:style w:type="character" w:styleId="LineNumber">
    <w:name w:val="line number"/>
    <w:basedOn w:val="DefaultParagraphFont"/>
    <w:semiHidden/>
    <w:rsid w:val="00495ADF"/>
  </w:style>
  <w:style w:type="paragraph" w:customStyle="1" w:styleId="equation">
    <w:name w:val="equation"/>
    <w:rsid w:val="00495ADF"/>
    <w:pPr>
      <w:tabs>
        <w:tab w:val="center" w:pos="4680"/>
        <w:tab w:val="right" w:pos="9360"/>
      </w:tabs>
      <w:spacing w:after="240" w:line="480" w:lineRule="atLeast"/>
      <w:ind w:firstLine="720"/>
    </w:pPr>
    <w:rPr>
      <w:sz w:val="24"/>
    </w:rPr>
  </w:style>
  <w:style w:type="paragraph" w:customStyle="1" w:styleId="figurewobox">
    <w:name w:val="figure w/o box"/>
    <w:basedOn w:val="Normal"/>
    <w:rsid w:val="00495ADF"/>
    <w:pPr>
      <w:keepNext/>
      <w:spacing w:before="240"/>
      <w:jc w:val="center"/>
    </w:pPr>
    <w:rPr>
      <w:szCs w:val="20"/>
    </w:rPr>
  </w:style>
  <w:style w:type="paragraph" w:customStyle="1" w:styleId="TOC0">
    <w:name w:val="TOC 0"/>
    <w:basedOn w:val="Normal"/>
    <w:rsid w:val="00F72F56"/>
    <w:pPr>
      <w:spacing w:after="240"/>
      <w:jc w:val="center"/>
    </w:pPr>
    <w:rPr>
      <w:b/>
      <w:caps/>
      <w:sz w:val="28"/>
      <w:szCs w:val="20"/>
    </w:rPr>
  </w:style>
  <w:style w:type="paragraph" w:customStyle="1" w:styleId="toc-tabfig">
    <w:name w:val="toc-tab/fig"/>
    <w:basedOn w:val="Normal"/>
    <w:semiHidden/>
    <w:rsid w:val="00495ADF"/>
    <w:pPr>
      <w:tabs>
        <w:tab w:val="right" w:leader="dot" w:pos="9360"/>
      </w:tabs>
      <w:spacing w:before="240" w:after="80"/>
      <w:ind w:left="900" w:hanging="540"/>
    </w:pPr>
    <w:rPr>
      <w:szCs w:val="20"/>
    </w:rPr>
  </w:style>
  <w:style w:type="paragraph" w:customStyle="1" w:styleId="TOCHeader">
    <w:name w:val="TOC Header"/>
    <w:basedOn w:val="Normal"/>
    <w:rsid w:val="00495ADF"/>
    <w:pPr>
      <w:tabs>
        <w:tab w:val="right" w:pos="9360"/>
      </w:tabs>
      <w:spacing w:after="240"/>
    </w:pPr>
    <w:rPr>
      <w:szCs w:val="20"/>
      <w:u w:val="words"/>
    </w:rPr>
  </w:style>
  <w:style w:type="paragraph" w:customStyle="1" w:styleId="bullets-2ndlevel">
    <w:name w:val="bullets-2nd level"/>
    <w:basedOn w:val="ListBullet2"/>
    <w:rsid w:val="00D41D1D"/>
    <w:pPr>
      <w:spacing w:after="120"/>
      <w:ind w:left="1440"/>
      <w:contextualSpacing w:val="0"/>
    </w:pPr>
  </w:style>
  <w:style w:type="paragraph" w:customStyle="1" w:styleId="biblio">
    <w:name w:val="biblio"/>
    <w:basedOn w:val="Normal"/>
    <w:rsid w:val="00495ADF"/>
    <w:pPr>
      <w:keepLines/>
      <w:spacing w:after="240"/>
      <w:ind w:left="720" w:hanging="720"/>
    </w:pPr>
    <w:rPr>
      <w:szCs w:val="20"/>
    </w:rPr>
  </w:style>
  <w:style w:type="paragraph" w:customStyle="1" w:styleId="NumberBullets">
    <w:name w:val="Number Bullets"/>
    <w:basedOn w:val="Normal"/>
    <w:semiHidden/>
    <w:rsid w:val="00495ADF"/>
    <w:pPr>
      <w:numPr>
        <w:numId w:val="1"/>
      </w:numPr>
      <w:tabs>
        <w:tab w:val="left" w:pos="720"/>
      </w:tabs>
    </w:pPr>
    <w:rPr>
      <w:szCs w:val="20"/>
    </w:rPr>
  </w:style>
  <w:style w:type="paragraph" w:styleId="List3">
    <w:name w:val="List 3"/>
    <w:basedOn w:val="Normal"/>
    <w:semiHidden/>
    <w:rsid w:val="00495ADF"/>
    <w:pPr>
      <w:ind w:left="1915" w:hanging="360"/>
    </w:pPr>
    <w:rPr>
      <w:rFonts w:ascii="Arial" w:hAnsi="Arial"/>
      <w:spacing w:val="-5"/>
      <w:sz w:val="20"/>
      <w:szCs w:val="20"/>
    </w:rPr>
  </w:style>
  <w:style w:type="paragraph" w:customStyle="1" w:styleId="FigureTitle">
    <w:name w:val="Figure Title"/>
    <w:basedOn w:val="Normal"/>
    <w:rsid w:val="00DF0F0C"/>
    <w:pPr>
      <w:keepNext/>
      <w:keepLines/>
      <w:spacing w:before="240" w:after="240"/>
      <w:ind w:left="1080" w:hanging="1080"/>
    </w:pPr>
    <w:rPr>
      <w:b/>
      <w:szCs w:val="20"/>
    </w:rPr>
  </w:style>
  <w:style w:type="paragraph" w:styleId="ListParagraph">
    <w:name w:val="List Paragraph"/>
    <w:basedOn w:val="Normal"/>
    <w:uiPriority w:val="34"/>
    <w:qFormat/>
    <w:rsid w:val="006F01B8"/>
    <w:pPr>
      <w:ind w:left="720"/>
      <w:contextualSpacing/>
    </w:pPr>
  </w:style>
  <w:style w:type="character" w:customStyle="1" w:styleId="FootnoteTextChar">
    <w:name w:val="Footnote Text Char"/>
    <w:aliases w:val="ft Char,fo Char"/>
    <w:basedOn w:val="DefaultParagraphFont"/>
    <w:link w:val="FootnoteText"/>
    <w:uiPriority w:val="99"/>
    <w:rsid w:val="006E26EB"/>
    <w:rPr>
      <w:rFonts w:cs="Courier New"/>
      <w:sz w:val="22"/>
      <w:szCs w:val="24"/>
    </w:rPr>
  </w:style>
  <w:style w:type="character" w:styleId="FollowedHyperlink">
    <w:name w:val="FollowedHyperlink"/>
    <w:basedOn w:val="DefaultParagraphFont"/>
    <w:rsid w:val="006D6452"/>
    <w:rPr>
      <w:color w:val="800080" w:themeColor="followedHyperlink"/>
      <w:u w:val="single"/>
    </w:rPr>
  </w:style>
  <w:style w:type="paragraph" w:styleId="Revision">
    <w:name w:val="Revision"/>
    <w:hidden/>
    <w:uiPriority w:val="99"/>
    <w:semiHidden/>
    <w:rsid w:val="002D5DA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footnote text" w:uiPriority="99"/>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2F9D"/>
    <w:rPr>
      <w:sz w:val="24"/>
      <w:szCs w:val="24"/>
    </w:rPr>
  </w:style>
  <w:style w:type="paragraph" w:styleId="Heading1">
    <w:name w:val="heading 1"/>
    <w:basedOn w:val="Normal"/>
    <w:next w:val="Normal"/>
    <w:qFormat/>
    <w:rsid w:val="00BC378F"/>
    <w:pPr>
      <w:keepNext/>
      <w:spacing w:before="120" w:after="120"/>
      <w:outlineLvl w:val="0"/>
    </w:pPr>
    <w:rPr>
      <w:rFonts w:ascii="Times New Roman Bold" w:hAnsi="Times New Roman Bold"/>
      <w:b/>
      <w:bCs/>
      <w:caps/>
    </w:rPr>
  </w:style>
  <w:style w:type="paragraph" w:styleId="Heading2">
    <w:name w:val="heading 2"/>
    <w:basedOn w:val="Normal"/>
    <w:next w:val="Normal"/>
    <w:qFormat/>
    <w:rsid w:val="00BC378F"/>
    <w:pPr>
      <w:keepNext/>
      <w:spacing w:before="240" w:after="240"/>
      <w:ind w:left="720" w:hanging="720"/>
      <w:outlineLvl w:val="1"/>
    </w:pPr>
    <w:rPr>
      <w:rFonts w:cs="Arial"/>
      <w:b/>
      <w:bCs/>
      <w:iCs/>
      <w:szCs w:val="28"/>
    </w:rPr>
  </w:style>
  <w:style w:type="paragraph" w:styleId="Heading3">
    <w:name w:val="heading 3"/>
    <w:basedOn w:val="Normal"/>
    <w:next w:val="Normal"/>
    <w:qFormat/>
    <w:rsid w:val="00F72F56"/>
    <w:pPr>
      <w:keepNext/>
      <w:spacing w:before="240" w:after="120"/>
      <w:ind w:left="720" w:hanging="720"/>
      <w:outlineLvl w:val="2"/>
    </w:pPr>
    <w:rPr>
      <w:rFonts w:cs="Arial"/>
      <w:b/>
      <w:bCs/>
      <w:i/>
      <w:iCs/>
      <w:szCs w:val="22"/>
      <w:lang w:val="en-CA"/>
    </w:rPr>
  </w:style>
  <w:style w:type="paragraph" w:styleId="Heading4">
    <w:name w:val="heading 4"/>
    <w:basedOn w:val="Normal"/>
    <w:next w:val="Normal"/>
    <w:qFormat/>
    <w:rsid w:val="00742F9D"/>
    <w:pPr>
      <w:keepNext/>
      <w:spacing w:before="240" w:after="120"/>
      <w:ind w:left="-86"/>
      <w:outlineLvl w:val="3"/>
    </w:pPr>
    <w:rPr>
      <w:bCs/>
      <w:i/>
      <w:sz w:val="22"/>
      <w:szCs w:val="22"/>
    </w:rPr>
  </w:style>
  <w:style w:type="paragraph" w:styleId="Heading5">
    <w:name w:val="heading 5"/>
    <w:basedOn w:val="Normal"/>
    <w:next w:val="Normal"/>
    <w:qFormat/>
    <w:rsid w:val="00BC378F"/>
    <w:pPr>
      <w:keepNext/>
      <w:widowControl w:val="0"/>
      <w:outlineLvl w:val="4"/>
    </w:pPr>
    <w:rPr>
      <w:rFonts w:ascii="Arial" w:hAnsi="Arial" w:cs="Arial"/>
      <w:b/>
      <w:bCs/>
      <w:sz w:val="20"/>
      <w:szCs w:val="20"/>
      <w:u w:val="single"/>
    </w:rPr>
  </w:style>
  <w:style w:type="paragraph" w:styleId="Heading6">
    <w:name w:val="heading 6"/>
    <w:basedOn w:val="Normal"/>
    <w:next w:val="Normal"/>
    <w:qFormat/>
    <w:rsid w:val="00BC378F"/>
    <w:pPr>
      <w:keepNext/>
      <w:jc w:val="center"/>
      <w:outlineLvl w:val="5"/>
    </w:pPr>
    <w:rPr>
      <w:rFonts w:ascii="Arial" w:hAnsi="Arial" w:cs="Arial"/>
      <w:b/>
      <w:bCs/>
    </w:rPr>
  </w:style>
  <w:style w:type="paragraph" w:styleId="Heading7">
    <w:name w:val="heading 7"/>
    <w:basedOn w:val="Normal"/>
    <w:next w:val="Normal"/>
    <w:qFormat/>
    <w:rsid w:val="00BC378F"/>
    <w:pPr>
      <w:keepNext/>
      <w:jc w:val="center"/>
      <w:outlineLvl w:val="6"/>
    </w:pPr>
    <w:rPr>
      <w:rFonts w:ascii="Arial" w:hAnsi="Arial" w:cs="Arial"/>
      <w:b/>
      <w:bCs/>
      <w:sz w:val="16"/>
      <w:szCs w:val="16"/>
    </w:rPr>
  </w:style>
  <w:style w:type="paragraph" w:styleId="Heading8">
    <w:name w:val="heading 8"/>
    <w:basedOn w:val="Normal"/>
    <w:next w:val="Normal"/>
    <w:qFormat/>
    <w:rsid w:val="00BC378F"/>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qFormat/>
    <w:rsid w:val="00BC378F"/>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Normal"/>
    <w:rsid w:val="0055067F"/>
    <w:pPr>
      <w:numPr>
        <w:numId w:val="3"/>
      </w:numPr>
      <w:spacing w:after="120" w:line="240" w:lineRule="exact"/>
      <w:ind w:left="1080"/>
    </w:pPr>
    <w:rPr>
      <w:color w:val="000000"/>
    </w:rPr>
  </w:style>
  <w:style w:type="paragraph" w:customStyle="1" w:styleId="exhibitsource">
    <w:name w:val="exhibit source"/>
    <w:basedOn w:val="Normal"/>
    <w:rsid w:val="00742F9D"/>
    <w:pPr>
      <w:spacing w:before="120" w:after="240"/>
      <w:ind w:left="180" w:hanging="180"/>
    </w:pPr>
    <w:rPr>
      <w:sz w:val="20"/>
      <w:szCs w:val="22"/>
    </w:rPr>
  </w:style>
  <w:style w:type="numbering" w:customStyle="1" w:styleId="NoList1">
    <w:name w:val="No List1"/>
    <w:next w:val="NoList"/>
    <w:semiHidden/>
    <w:rsid w:val="00BC378F"/>
  </w:style>
  <w:style w:type="table" w:styleId="TableGrid">
    <w:name w:val="Table Grid"/>
    <w:basedOn w:val="TableNormal"/>
    <w:rsid w:val="006E24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1"/>
    <w:rsid w:val="0055067F"/>
    <w:rPr>
      <w:sz w:val="24"/>
    </w:rPr>
  </w:style>
  <w:style w:type="character" w:styleId="CommentReference">
    <w:name w:val="annotation reference"/>
    <w:basedOn w:val="DefaultParagraphFont"/>
    <w:uiPriority w:val="99"/>
    <w:unhideWhenUsed/>
    <w:rsid w:val="0055067F"/>
    <w:rPr>
      <w:sz w:val="16"/>
      <w:szCs w:val="16"/>
    </w:rPr>
  </w:style>
  <w:style w:type="paragraph" w:styleId="ListBullet2">
    <w:name w:val="List Bullet 2"/>
    <w:basedOn w:val="Normal"/>
    <w:rsid w:val="0055067F"/>
    <w:pPr>
      <w:numPr>
        <w:numId w:val="6"/>
      </w:numPr>
      <w:contextualSpacing/>
    </w:pPr>
  </w:style>
  <w:style w:type="paragraph" w:styleId="CommentText">
    <w:name w:val="annotation text"/>
    <w:basedOn w:val="Normal"/>
    <w:link w:val="CommentTextChar"/>
    <w:uiPriority w:val="99"/>
    <w:rsid w:val="00D676A3"/>
    <w:rPr>
      <w:sz w:val="20"/>
      <w:szCs w:val="20"/>
    </w:rPr>
  </w:style>
  <w:style w:type="paragraph" w:customStyle="1" w:styleId="paragraph">
    <w:name w:val="paragraph"/>
    <w:basedOn w:val="Normal"/>
    <w:rsid w:val="00BC378F"/>
    <w:pPr>
      <w:spacing w:before="200" w:line="320" w:lineRule="exact"/>
      <w:ind w:left="1440"/>
    </w:pPr>
  </w:style>
  <w:style w:type="paragraph" w:customStyle="1" w:styleId="Default">
    <w:name w:val="Default"/>
    <w:rsid w:val="00D41D1D"/>
    <w:pPr>
      <w:widowControl w:val="0"/>
      <w:autoSpaceDE w:val="0"/>
      <w:autoSpaceDN w:val="0"/>
      <w:adjustRightInd w:val="0"/>
    </w:pPr>
    <w:rPr>
      <w:color w:val="000000"/>
      <w:sz w:val="24"/>
      <w:szCs w:val="24"/>
    </w:rPr>
  </w:style>
  <w:style w:type="paragraph" w:styleId="FootnoteText">
    <w:name w:val="footnote text"/>
    <w:aliases w:val="ft,fo"/>
    <w:basedOn w:val="Normal"/>
    <w:link w:val="FootnoteTextChar"/>
    <w:uiPriority w:val="99"/>
    <w:rsid w:val="00742F9D"/>
    <w:pPr>
      <w:widowControl w:val="0"/>
      <w:ind w:left="180" w:hanging="180"/>
    </w:pPr>
    <w:rPr>
      <w:rFonts w:cs="Courier New"/>
      <w:sz w:val="22"/>
    </w:rPr>
  </w:style>
  <w:style w:type="character" w:styleId="FootnoteReference">
    <w:name w:val="footnote reference"/>
    <w:basedOn w:val="DefaultParagraphFont"/>
    <w:rsid w:val="00742F9D"/>
    <w:rPr>
      <w:vertAlign w:val="superscript"/>
    </w:rPr>
  </w:style>
  <w:style w:type="character" w:customStyle="1" w:styleId="CommentTextChar">
    <w:name w:val="Comment Text Char"/>
    <w:basedOn w:val="DefaultParagraphFont"/>
    <w:link w:val="CommentText"/>
    <w:uiPriority w:val="99"/>
    <w:rsid w:val="00D676A3"/>
  </w:style>
  <w:style w:type="paragraph" w:styleId="CommentSubject">
    <w:name w:val="annotation subject"/>
    <w:basedOn w:val="CommentText"/>
    <w:next w:val="CommentText"/>
    <w:link w:val="CommentSubjectChar"/>
    <w:rsid w:val="00D676A3"/>
    <w:rPr>
      <w:b/>
      <w:bCs/>
    </w:rPr>
  </w:style>
  <w:style w:type="character" w:customStyle="1" w:styleId="CommentSubjectChar">
    <w:name w:val="Comment Subject Char"/>
    <w:basedOn w:val="CommentTextChar"/>
    <w:link w:val="CommentSubject"/>
    <w:rsid w:val="00D676A3"/>
    <w:rPr>
      <w:b/>
      <w:bCs/>
    </w:rPr>
  </w:style>
  <w:style w:type="paragraph" w:customStyle="1" w:styleId="heading10">
    <w:name w:val="heading1"/>
    <w:basedOn w:val="Normal"/>
    <w:next w:val="Normal"/>
    <w:semiHidden/>
    <w:rsid w:val="00BC378F"/>
    <w:pPr>
      <w:spacing w:before="120" w:after="120"/>
    </w:pPr>
    <w:rPr>
      <w:b/>
      <w:bCs/>
      <w:sz w:val="22"/>
      <w:szCs w:val="22"/>
    </w:rPr>
  </w:style>
  <w:style w:type="paragraph" w:customStyle="1" w:styleId="heading20">
    <w:name w:val="heading2"/>
    <w:basedOn w:val="Heading3"/>
    <w:next w:val="Normal"/>
    <w:semiHidden/>
    <w:rsid w:val="00BC378F"/>
    <w:pPr>
      <w:spacing w:before="120"/>
    </w:pPr>
    <w:rPr>
      <w:rFonts w:cs="Times New Roman"/>
    </w:rPr>
  </w:style>
  <w:style w:type="paragraph" w:customStyle="1" w:styleId="bullets-blank">
    <w:name w:val="bullets-blank"/>
    <w:basedOn w:val="bullets"/>
    <w:qFormat/>
    <w:rsid w:val="009B561B"/>
    <w:pPr>
      <w:numPr>
        <w:numId w:val="0"/>
      </w:numPr>
      <w:tabs>
        <w:tab w:val="left" w:pos="1080"/>
      </w:tabs>
      <w:spacing w:line="240" w:lineRule="auto"/>
      <w:ind w:left="1080" w:hanging="360"/>
    </w:pPr>
  </w:style>
  <w:style w:type="paragraph" w:styleId="BalloonText">
    <w:name w:val="Balloon Text"/>
    <w:basedOn w:val="Normal"/>
    <w:semiHidden/>
    <w:rsid w:val="00BC378F"/>
    <w:pPr>
      <w:numPr>
        <w:numId w:val="2"/>
      </w:numPr>
      <w:tabs>
        <w:tab w:val="clear" w:pos="720"/>
        <w:tab w:val="num" w:pos="360"/>
      </w:tabs>
      <w:ind w:left="0" w:firstLine="0"/>
    </w:pPr>
    <w:rPr>
      <w:rFonts w:ascii="Tahoma" w:hAnsi="Tahoma" w:cs="Tahoma"/>
      <w:sz w:val="16"/>
      <w:szCs w:val="16"/>
    </w:rPr>
  </w:style>
  <w:style w:type="paragraph" w:styleId="Header">
    <w:name w:val="header"/>
    <w:basedOn w:val="Normal"/>
    <w:rsid w:val="00BC378F"/>
    <w:pPr>
      <w:tabs>
        <w:tab w:val="center" w:pos="4320"/>
        <w:tab w:val="right" w:pos="8640"/>
      </w:tabs>
    </w:pPr>
    <w:rPr>
      <w:sz w:val="20"/>
      <w:szCs w:val="20"/>
    </w:rPr>
  </w:style>
  <w:style w:type="paragraph" w:styleId="Footer">
    <w:name w:val="footer"/>
    <w:basedOn w:val="Normal"/>
    <w:rsid w:val="00BC378F"/>
    <w:pPr>
      <w:tabs>
        <w:tab w:val="center" w:pos="4320"/>
        <w:tab w:val="right" w:pos="8640"/>
      </w:tabs>
    </w:pPr>
    <w:rPr>
      <w:sz w:val="20"/>
      <w:szCs w:val="20"/>
    </w:rPr>
  </w:style>
  <w:style w:type="character" w:styleId="PageNumber">
    <w:name w:val="page number"/>
    <w:basedOn w:val="DefaultParagraphFont"/>
    <w:rsid w:val="00BC378F"/>
    <w:rPr>
      <w:rFonts w:ascii="Times New Roman" w:hAnsi="Times New Roman"/>
      <w:sz w:val="24"/>
    </w:rPr>
  </w:style>
  <w:style w:type="paragraph" w:styleId="EndnoteText">
    <w:name w:val="endnote text"/>
    <w:basedOn w:val="Normal"/>
    <w:semiHidden/>
    <w:rsid w:val="00BC378F"/>
    <w:rPr>
      <w:sz w:val="20"/>
      <w:szCs w:val="20"/>
    </w:rPr>
  </w:style>
  <w:style w:type="character" w:styleId="EndnoteReference">
    <w:name w:val="endnote reference"/>
    <w:basedOn w:val="DefaultParagraphFont"/>
    <w:semiHidden/>
    <w:rsid w:val="00BC378F"/>
    <w:rPr>
      <w:vertAlign w:val="superscript"/>
    </w:rPr>
  </w:style>
  <w:style w:type="paragraph" w:styleId="Title">
    <w:name w:val="Title"/>
    <w:basedOn w:val="Normal"/>
    <w:qFormat/>
    <w:rsid w:val="00BC378F"/>
    <w:pPr>
      <w:ind w:left="-270"/>
      <w:jc w:val="center"/>
    </w:pPr>
    <w:rPr>
      <w:b/>
      <w:bCs/>
    </w:rPr>
  </w:style>
  <w:style w:type="paragraph" w:customStyle="1" w:styleId="Level1">
    <w:name w:val="Level 1"/>
    <w:basedOn w:val="Normal"/>
    <w:rsid w:val="00BC378F"/>
    <w:pPr>
      <w:widowControl w:val="0"/>
      <w:autoSpaceDE w:val="0"/>
      <w:autoSpaceDN w:val="0"/>
      <w:adjustRightInd w:val="0"/>
      <w:ind w:left="720" w:hanging="720"/>
    </w:pPr>
  </w:style>
  <w:style w:type="character" w:styleId="Hyperlink">
    <w:name w:val="Hyperlink"/>
    <w:basedOn w:val="DefaultParagraphFont"/>
    <w:uiPriority w:val="99"/>
    <w:rsid w:val="00BC378F"/>
    <w:rPr>
      <w:color w:val="0000FF"/>
      <w:u w:val="single"/>
    </w:rPr>
  </w:style>
  <w:style w:type="paragraph" w:customStyle="1" w:styleId="bibliogrpahy">
    <w:name w:val="bibliogrpahy"/>
    <w:rsid w:val="00BC378F"/>
    <w:pPr>
      <w:spacing w:after="110"/>
      <w:ind w:left="720" w:hanging="720"/>
    </w:pPr>
    <w:rPr>
      <w:sz w:val="24"/>
      <w:szCs w:val="24"/>
    </w:rPr>
  </w:style>
  <w:style w:type="paragraph" w:styleId="NormalWeb">
    <w:name w:val="Normal (Web)"/>
    <w:basedOn w:val="Normal"/>
    <w:rsid w:val="00BC378F"/>
    <w:pPr>
      <w:spacing w:before="100" w:beforeAutospacing="1" w:after="100" w:afterAutospacing="1"/>
    </w:pPr>
    <w:rPr>
      <w:rFonts w:ascii="Arial" w:hAnsi="Arial" w:cs="Arial"/>
      <w:color w:val="000000"/>
    </w:rPr>
  </w:style>
  <w:style w:type="character" w:styleId="Strong">
    <w:name w:val="Strong"/>
    <w:basedOn w:val="DefaultParagraphFont"/>
    <w:qFormat/>
    <w:rsid w:val="00BC378F"/>
    <w:rPr>
      <w:b/>
      <w:bCs/>
    </w:rPr>
  </w:style>
  <w:style w:type="character" w:styleId="Emphasis">
    <w:name w:val="Emphasis"/>
    <w:basedOn w:val="DefaultParagraphFont"/>
    <w:qFormat/>
    <w:rsid w:val="00BC378F"/>
    <w:rPr>
      <w:i/>
      <w:iCs/>
    </w:rPr>
  </w:style>
  <w:style w:type="paragraph" w:styleId="HTMLPreformatted">
    <w:name w:val="HTML Preformatted"/>
    <w:basedOn w:val="Normal"/>
    <w:semiHidden/>
    <w:rsid w:val="00BC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OC1">
    <w:name w:val="toc 1"/>
    <w:basedOn w:val="Normal"/>
    <w:next w:val="Normal"/>
    <w:autoRedefine/>
    <w:uiPriority w:val="39"/>
    <w:rsid w:val="00BC378F"/>
    <w:pPr>
      <w:tabs>
        <w:tab w:val="right" w:leader="dot" w:pos="9350"/>
      </w:tabs>
      <w:spacing w:before="240" w:after="120"/>
      <w:ind w:left="720" w:hanging="360"/>
    </w:pPr>
    <w:rPr>
      <w:noProof/>
    </w:rPr>
  </w:style>
  <w:style w:type="paragraph" w:customStyle="1" w:styleId="BodyText1">
    <w:name w:val="Body Text1"/>
    <w:basedOn w:val="Normal"/>
    <w:link w:val="bodytextChar"/>
    <w:rsid w:val="00736695"/>
    <w:pPr>
      <w:spacing w:after="120" w:line="360" w:lineRule="auto"/>
      <w:ind w:firstLine="720"/>
    </w:pPr>
    <w:rPr>
      <w:szCs w:val="20"/>
    </w:rPr>
  </w:style>
  <w:style w:type="paragraph" w:styleId="TOC2">
    <w:name w:val="toc 2"/>
    <w:basedOn w:val="Normal"/>
    <w:next w:val="Normal"/>
    <w:autoRedefine/>
    <w:uiPriority w:val="39"/>
    <w:rsid w:val="00BC378F"/>
    <w:pPr>
      <w:tabs>
        <w:tab w:val="right" w:leader="dot" w:pos="9350"/>
      </w:tabs>
      <w:spacing w:before="120" w:after="120"/>
      <w:ind w:left="1350" w:hanging="630"/>
    </w:pPr>
    <w:rPr>
      <w:noProof/>
    </w:rPr>
  </w:style>
  <w:style w:type="paragraph" w:customStyle="1" w:styleId="Cov-Date">
    <w:name w:val="Cov-Date"/>
    <w:basedOn w:val="Normal"/>
    <w:rsid w:val="00495ADF"/>
    <w:pPr>
      <w:jc w:val="right"/>
    </w:pPr>
    <w:rPr>
      <w:rFonts w:ascii="Arial" w:hAnsi="Arial"/>
      <w:b/>
      <w:sz w:val="28"/>
      <w:szCs w:val="20"/>
    </w:rPr>
  </w:style>
  <w:style w:type="paragraph" w:customStyle="1" w:styleId="Cov-Title">
    <w:name w:val="Cov-Title"/>
    <w:basedOn w:val="Normal"/>
    <w:rsid w:val="00495ADF"/>
    <w:pPr>
      <w:jc w:val="right"/>
    </w:pPr>
    <w:rPr>
      <w:rFonts w:ascii="Arial Black" w:hAnsi="Arial Black"/>
      <w:sz w:val="48"/>
      <w:szCs w:val="20"/>
    </w:rPr>
  </w:style>
  <w:style w:type="paragraph" w:customStyle="1" w:styleId="Cov-Author">
    <w:name w:val="Cov-Author"/>
    <w:basedOn w:val="Normal"/>
    <w:rsid w:val="00495ADF"/>
    <w:pPr>
      <w:jc w:val="right"/>
    </w:pPr>
    <w:rPr>
      <w:rFonts w:ascii="Arial Black" w:hAnsi="Arial Black"/>
      <w:szCs w:val="20"/>
    </w:rPr>
  </w:style>
  <w:style w:type="paragraph" w:customStyle="1" w:styleId="Cov-Address">
    <w:name w:val="Cov-Address"/>
    <w:basedOn w:val="Normal"/>
    <w:rsid w:val="00495ADF"/>
    <w:pPr>
      <w:jc w:val="right"/>
    </w:pPr>
    <w:rPr>
      <w:rFonts w:ascii="Arial" w:hAnsi="Arial"/>
      <w:szCs w:val="20"/>
    </w:rPr>
  </w:style>
  <w:style w:type="paragraph" w:styleId="DocumentMap">
    <w:name w:val="Document Map"/>
    <w:basedOn w:val="Normal"/>
    <w:semiHidden/>
    <w:rsid w:val="00495ADF"/>
    <w:pPr>
      <w:shd w:val="clear" w:color="auto" w:fill="000080"/>
    </w:pPr>
    <w:rPr>
      <w:rFonts w:ascii="Tahoma" w:hAnsi="Tahoma" w:cs="Tahoma"/>
    </w:rPr>
  </w:style>
  <w:style w:type="paragraph" w:styleId="TOC4">
    <w:name w:val="toc 4"/>
    <w:basedOn w:val="Normal"/>
    <w:next w:val="Normal"/>
    <w:rsid w:val="00495ADF"/>
    <w:pPr>
      <w:tabs>
        <w:tab w:val="right" w:leader="dot" w:pos="9360"/>
      </w:tabs>
      <w:spacing w:before="60"/>
      <w:ind w:left="3240" w:hanging="720"/>
    </w:pPr>
    <w:rPr>
      <w:szCs w:val="20"/>
    </w:rPr>
  </w:style>
  <w:style w:type="paragraph" w:styleId="TOC3">
    <w:name w:val="toc 3"/>
    <w:basedOn w:val="Normal"/>
    <w:next w:val="Normal"/>
    <w:uiPriority w:val="39"/>
    <w:rsid w:val="001134BA"/>
    <w:pPr>
      <w:tabs>
        <w:tab w:val="right" w:leader="dot" w:pos="9360"/>
      </w:tabs>
      <w:spacing w:before="80" w:after="40"/>
      <w:ind w:left="2160" w:right="720" w:hanging="720"/>
    </w:pPr>
    <w:rPr>
      <w:noProof/>
      <w:szCs w:val="20"/>
    </w:rPr>
  </w:style>
  <w:style w:type="paragraph" w:customStyle="1" w:styleId="Question">
    <w:name w:val="Question"/>
    <w:basedOn w:val="Normal"/>
    <w:semiHidden/>
    <w:rsid w:val="00495ADF"/>
    <w:pPr>
      <w:keepNext/>
      <w:keepLines/>
      <w:spacing w:before="160" w:after="60"/>
      <w:ind w:left="900" w:hanging="547"/>
    </w:pPr>
    <w:rPr>
      <w:rFonts w:ascii="Optima" w:hAnsi="Optima"/>
      <w:sz w:val="22"/>
      <w:szCs w:val="20"/>
    </w:rPr>
  </w:style>
  <w:style w:type="character" w:customStyle="1" w:styleId="Heading7Char">
    <w:name w:val="Heading 7 Char"/>
    <w:basedOn w:val="DefaultParagraphFont"/>
    <w:semiHidden/>
    <w:rsid w:val="00495ADF"/>
    <w:rPr>
      <w:b/>
      <w:noProof w:val="0"/>
      <w:snapToGrid w:val="0"/>
      <w:sz w:val="24"/>
      <w:u w:val="single"/>
      <w:lang w:val="en-US" w:eastAsia="en-US" w:bidi="ar-SA"/>
    </w:rPr>
  </w:style>
  <w:style w:type="paragraph" w:styleId="TOC5">
    <w:name w:val="toc 5"/>
    <w:basedOn w:val="Normal"/>
    <w:next w:val="Normal"/>
    <w:uiPriority w:val="39"/>
    <w:rsid w:val="004A5A28"/>
    <w:pPr>
      <w:tabs>
        <w:tab w:val="right" w:leader="dot" w:pos="9360"/>
      </w:tabs>
      <w:spacing w:before="40" w:after="40"/>
      <w:ind w:left="720" w:right="720" w:hanging="360"/>
    </w:pPr>
    <w:rPr>
      <w:noProof/>
      <w:szCs w:val="20"/>
    </w:rPr>
  </w:style>
  <w:style w:type="paragraph" w:styleId="Index2">
    <w:name w:val="index 2"/>
    <w:basedOn w:val="Normal"/>
    <w:next w:val="Normal"/>
    <w:semiHidden/>
    <w:rsid w:val="00495ADF"/>
    <w:pPr>
      <w:ind w:left="360"/>
    </w:pPr>
    <w:rPr>
      <w:szCs w:val="20"/>
    </w:rPr>
  </w:style>
  <w:style w:type="paragraph" w:styleId="Index1">
    <w:name w:val="index 1"/>
    <w:basedOn w:val="Normal"/>
    <w:next w:val="Normal"/>
    <w:semiHidden/>
    <w:rsid w:val="00495ADF"/>
    <w:rPr>
      <w:szCs w:val="20"/>
    </w:rPr>
  </w:style>
  <w:style w:type="character" w:styleId="LineNumber">
    <w:name w:val="line number"/>
    <w:basedOn w:val="DefaultParagraphFont"/>
    <w:semiHidden/>
    <w:rsid w:val="00495ADF"/>
  </w:style>
  <w:style w:type="paragraph" w:customStyle="1" w:styleId="equation">
    <w:name w:val="equation"/>
    <w:rsid w:val="00495ADF"/>
    <w:pPr>
      <w:tabs>
        <w:tab w:val="center" w:pos="4680"/>
        <w:tab w:val="right" w:pos="9360"/>
      </w:tabs>
      <w:spacing w:after="240" w:line="480" w:lineRule="atLeast"/>
      <w:ind w:firstLine="720"/>
    </w:pPr>
    <w:rPr>
      <w:sz w:val="24"/>
    </w:rPr>
  </w:style>
  <w:style w:type="paragraph" w:customStyle="1" w:styleId="figurewobox">
    <w:name w:val="figure w/o box"/>
    <w:basedOn w:val="Normal"/>
    <w:rsid w:val="00495ADF"/>
    <w:pPr>
      <w:keepNext/>
      <w:spacing w:before="240"/>
      <w:jc w:val="center"/>
    </w:pPr>
    <w:rPr>
      <w:szCs w:val="20"/>
    </w:rPr>
  </w:style>
  <w:style w:type="paragraph" w:customStyle="1" w:styleId="TOC0">
    <w:name w:val="TOC 0"/>
    <w:basedOn w:val="Normal"/>
    <w:rsid w:val="00F72F56"/>
    <w:pPr>
      <w:spacing w:after="240"/>
      <w:jc w:val="center"/>
    </w:pPr>
    <w:rPr>
      <w:b/>
      <w:caps/>
      <w:sz w:val="28"/>
      <w:szCs w:val="20"/>
    </w:rPr>
  </w:style>
  <w:style w:type="paragraph" w:customStyle="1" w:styleId="toc-tabfig">
    <w:name w:val="toc-tab/fig"/>
    <w:basedOn w:val="Normal"/>
    <w:semiHidden/>
    <w:rsid w:val="00495ADF"/>
    <w:pPr>
      <w:tabs>
        <w:tab w:val="right" w:leader="dot" w:pos="9360"/>
      </w:tabs>
      <w:spacing w:before="240" w:after="80"/>
      <w:ind w:left="900" w:hanging="540"/>
    </w:pPr>
    <w:rPr>
      <w:szCs w:val="20"/>
    </w:rPr>
  </w:style>
  <w:style w:type="paragraph" w:customStyle="1" w:styleId="TOCHeader">
    <w:name w:val="TOC Header"/>
    <w:basedOn w:val="Normal"/>
    <w:rsid w:val="00495ADF"/>
    <w:pPr>
      <w:tabs>
        <w:tab w:val="right" w:pos="9360"/>
      </w:tabs>
      <w:spacing w:after="240"/>
    </w:pPr>
    <w:rPr>
      <w:szCs w:val="20"/>
      <w:u w:val="words"/>
    </w:rPr>
  </w:style>
  <w:style w:type="paragraph" w:customStyle="1" w:styleId="bullets-2ndlevel">
    <w:name w:val="bullets-2nd level"/>
    <w:basedOn w:val="ListBullet2"/>
    <w:rsid w:val="00D41D1D"/>
    <w:pPr>
      <w:spacing w:after="120"/>
      <w:ind w:left="1440"/>
      <w:contextualSpacing w:val="0"/>
    </w:pPr>
  </w:style>
  <w:style w:type="paragraph" w:customStyle="1" w:styleId="biblio">
    <w:name w:val="biblio"/>
    <w:basedOn w:val="Normal"/>
    <w:rsid w:val="00495ADF"/>
    <w:pPr>
      <w:keepLines/>
      <w:spacing w:after="240"/>
      <w:ind w:left="720" w:hanging="720"/>
    </w:pPr>
    <w:rPr>
      <w:szCs w:val="20"/>
    </w:rPr>
  </w:style>
  <w:style w:type="paragraph" w:customStyle="1" w:styleId="NumberBullets">
    <w:name w:val="Number Bullets"/>
    <w:basedOn w:val="Normal"/>
    <w:semiHidden/>
    <w:rsid w:val="00495ADF"/>
    <w:pPr>
      <w:numPr>
        <w:numId w:val="1"/>
      </w:numPr>
      <w:tabs>
        <w:tab w:val="left" w:pos="720"/>
      </w:tabs>
    </w:pPr>
    <w:rPr>
      <w:szCs w:val="20"/>
    </w:rPr>
  </w:style>
  <w:style w:type="paragraph" w:styleId="List3">
    <w:name w:val="List 3"/>
    <w:basedOn w:val="Normal"/>
    <w:semiHidden/>
    <w:rsid w:val="00495ADF"/>
    <w:pPr>
      <w:ind w:left="1915" w:hanging="360"/>
    </w:pPr>
    <w:rPr>
      <w:rFonts w:ascii="Arial" w:hAnsi="Arial"/>
      <w:spacing w:val="-5"/>
      <w:sz w:val="20"/>
      <w:szCs w:val="20"/>
    </w:rPr>
  </w:style>
  <w:style w:type="paragraph" w:customStyle="1" w:styleId="FigureTitle">
    <w:name w:val="Figure Title"/>
    <w:basedOn w:val="Normal"/>
    <w:rsid w:val="00DF0F0C"/>
    <w:pPr>
      <w:keepNext/>
      <w:keepLines/>
      <w:spacing w:before="240" w:after="240"/>
      <w:ind w:left="1080" w:hanging="1080"/>
    </w:pPr>
    <w:rPr>
      <w:b/>
      <w:szCs w:val="20"/>
    </w:rPr>
  </w:style>
  <w:style w:type="paragraph" w:styleId="ListParagraph">
    <w:name w:val="List Paragraph"/>
    <w:basedOn w:val="Normal"/>
    <w:uiPriority w:val="34"/>
    <w:qFormat/>
    <w:rsid w:val="006F01B8"/>
    <w:pPr>
      <w:ind w:left="720"/>
      <w:contextualSpacing/>
    </w:pPr>
  </w:style>
  <w:style w:type="character" w:customStyle="1" w:styleId="FootnoteTextChar">
    <w:name w:val="Footnote Text Char"/>
    <w:aliases w:val="ft Char,fo Char"/>
    <w:basedOn w:val="DefaultParagraphFont"/>
    <w:link w:val="FootnoteText"/>
    <w:uiPriority w:val="99"/>
    <w:rsid w:val="006E26EB"/>
    <w:rPr>
      <w:rFonts w:cs="Courier New"/>
      <w:sz w:val="22"/>
      <w:szCs w:val="24"/>
    </w:rPr>
  </w:style>
  <w:style w:type="character" w:styleId="FollowedHyperlink">
    <w:name w:val="FollowedHyperlink"/>
    <w:basedOn w:val="DefaultParagraphFont"/>
    <w:rsid w:val="006D6452"/>
    <w:rPr>
      <w:color w:val="800080" w:themeColor="followedHyperlink"/>
      <w:u w:val="single"/>
    </w:rPr>
  </w:style>
  <w:style w:type="paragraph" w:styleId="Revision">
    <w:name w:val="Revision"/>
    <w:hidden/>
    <w:uiPriority w:val="99"/>
    <w:semiHidden/>
    <w:rsid w:val="002D5DA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886707">
      <w:bodyDiv w:val="1"/>
      <w:marLeft w:val="0"/>
      <w:marRight w:val="0"/>
      <w:marTop w:val="0"/>
      <w:marBottom w:val="0"/>
      <w:divBdr>
        <w:top w:val="none" w:sz="0" w:space="0" w:color="auto"/>
        <w:left w:val="none" w:sz="0" w:space="0" w:color="auto"/>
        <w:bottom w:val="none" w:sz="0" w:space="0" w:color="auto"/>
        <w:right w:val="none" w:sz="0" w:space="0" w:color="auto"/>
      </w:divBdr>
    </w:div>
    <w:div w:id="394473117">
      <w:bodyDiv w:val="1"/>
      <w:marLeft w:val="0"/>
      <w:marRight w:val="0"/>
      <w:marTop w:val="0"/>
      <w:marBottom w:val="0"/>
      <w:divBdr>
        <w:top w:val="none" w:sz="0" w:space="0" w:color="auto"/>
        <w:left w:val="none" w:sz="0" w:space="0" w:color="auto"/>
        <w:bottom w:val="none" w:sz="0" w:space="0" w:color="auto"/>
        <w:right w:val="none" w:sz="0" w:space="0" w:color="auto"/>
      </w:divBdr>
    </w:div>
    <w:div w:id="501747395">
      <w:bodyDiv w:val="1"/>
      <w:marLeft w:val="0"/>
      <w:marRight w:val="0"/>
      <w:marTop w:val="0"/>
      <w:marBottom w:val="0"/>
      <w:divBdr>
        <w:top w:val="none" w:sz="0" w:space="0" w:color="auto"/>
        <w:left w:val="none" w:sz="0" w:space="0" w:color="auto"/>
        <w:bottom w:val="none" w:sz="0" w:space="0" w:color="auto"/>
        <w:right w:val="none" w:sz="0" w:space="0" w:color="auto"/>
      </w:divBdr>
    </w:div>
    <w:div w:id="813721442">
      <w:bodyDiv w:val="1"/>
      <w:marLeft w:val="0"/>
      <w:marRight w:val="0"/>
      <w:marTop w:val="0"/>
      <w:marBottom w:val="0"/>
      <w:divBdr>
        <w:top w:val="none" w:sz="0" w:space="0" w:color="auto"/>
        <w:left w:val="none" w:sz="0" w:space="0" w:color="auto"/>
        <w:bottom w:val="none" w:sz="0" w:space="0" w:color="auto"/>
        <w:right w:val="none" w:sz="0" w:space="0" w:color="auto"/>
      </w:divBdr>
    </w:div>
    <w:div w:id="830676514">
      <w:bodyDiv w:val="1"/>
      <w:marLeft w:val="0"/>
      <w:marRight w:val="0"/>
      <w:marTop w:val="0"/>
      <w:marBottom w:val="0"/>
      <w:divBdr>
        <w:top w:val="none" w:sz="0" w:space="0" w:color="auto"/>
        <w:left w:val="none" w:sz="0" w:space="0" w:color="auto"/>
        <w:bottom w:val="none" w:sz="0" w:space="0" w:color="auto"/>
        <w:right w:val="none" w:sz="0" w:space="0" w:color="auto"/>
      </w:divBdr>
    </w:div>
    <w:div w:id="1058557789">
      <w:bodyDiv w:val="1"/>
      <w:marLeft w:val="0"/>
      <w:marRight w:val="0"/>
      <w:marTop w:val="0"/>
      <w:marBottom w:val="0"/>
      <w:divBdr>
        <w:top w:val="none" w:sz="0" w:space="0" w:color="auto"/>
        <w:left w:val="none" w:sz="0" w:space="0" w:color="auto"/>
        <w:bottom w:val="none" w:sz="0" w:space="0" w:color="auto"/>
        <w:right w:val="none" w:sz="0" w:space="0" w:color="auto"/>
      </w:divBdr>
    </w:div>
    <w:div w:id="1267932626">
      <w:bodyDiv w:val="1"/>
      <w:marLeft w:val="0"/>
      <w:marRight w:val="0"/>
      <w:marTop w:val="0"/>
      <w:marBottom w:val="0"/>
      <w:divBdr>
        <w:top w:val="none" w:sz="0" w:space="0" w:color="auto"/>
        <w:left w:val="none" w:sz="0" w:space="0" w:color="auto"/>
        <w:bottom w:val="none" w:sz="0" w:space="0" w:color="auto"/>
        <w:right w:val="none" w:sz="0" w:space="0" w:color="auto"/>
      </w:divBdr>
    </w:div>
    <w:div w:id="1287348471">
      <w:bodyDiv w:val="1"/>
      <w:marLeft w:val="0"/>
      <w:marRight w:val="0"/>
      <w:marTop w:val="0"/>
      <w:marBottom w:val="0"/>
      <w:divBdr>
        <w:top w:val="none" w:sz="0" w:space="0" w:color="auto"/>
        <w:left w:val="none" w:sz="0" w:space="0" w:color="auto"/>
        <w:bottom w:val="none" w:sz="0" w:space="0" w:color="auto"/>
        <w:right w:val="none" w:sz="0" w:space="0" w:color="auto"/>
      </w:divBdr>
    </w:div>
    <w:div w:id="1409768386">
      <w:bodyDiv w:val="1"/>
      <w:marLeft w:val="0"/>
      <w:marRight w:val="0"/>
      <w:marTop w:val="0"/>
      <w:marBottom w:val="0"/>
      <w:divBdr>
        <w:top w:val="none" w:sz="0" w:space="0" w:color="auto"/>
        <w:left w:val="none" w:sz="0" w:space="0" w:color="auto"/>
        <w:bottom w:val="none" w:sz="0" w:space="0" w:color="auto"/>
        <w:right w:val="none" w:sz="0" w:space="0" w:color="auto"/>
      </w:divBdr>
      <w:divsChild>
        <w:div w:id="323512159">
          <w:marLeft w:val="0"/>
          <w:marRight w:val="0"/>
          <w:marTop w:val="0"/>
          <w:marBottom w:val="0"/>
          <w:divBdr>
            <w:top w:val="none" w:sz="0" w:space="0" w:color="auto"/>
            <w:left w:val="none" w:sz="0" w:space="0" w:color="auto"/>
            <w:bottom w:val="none" w:sz="0" w:space="0" w:color="auto"/>
            <w:right w:val="none" w:sz="0" w:space="0" w:color="auto"/>
          </w:divBdr>
          <w:divsChild>
            <w:div w:id="685787642">
              <w:marLeft w:val="0"/>
              <w:marRight w:val="0"/>
              <w:marTop w:val="0"/>
              <w:marBottom w:val="0"/>
              <w:divBdr>
                <w:top w:val="none" w:sz="0" w:space="0" w:color="auto"/>
                <w:left w:val="none" w:sz="0" w:space="0" w:color="auto"/>
                <w:bottom w:val="none" w:sz="0" w:space="0" w:color="auto"/>
                <w:right w:val="none" w:sz="0" w:space="0" w:color="auto"/>
              </w:divBdr>
            </w:div>
            <w:div w:id="792867251">
              <w:marLeft w:val="0"/>
              <w:marRight w:val="0"/>
              <w:marTop w:val="0"/>
              <w:marBottom w:val="0"/>
              <w:divBdr>
                <w:top w:val="none" w:sz="0" w:space="0" w:color="auto"/>
                <w:left w:val="none" w:sz="0" w:space="0" w:color="auto"/>
                <w:bottom w:val="none" w:sz="0" w:space="0" w:color="auto"/>
                <w:right w:val="none" w:sz="0" w:space="0" w:color="auto"/>
              </w:divBdr>
            </w:div>
            <w:div w:id="1109544775">
              <w:marLeft w:val="0"/>
              <w:marRight w:val="0"/>
              <w:marTop w:val="0"/>
              <w:marBottom w:val="0"/>
              <w:divBdr>
                <w:top w:val="none" w:sz="0" w:space="0" w:color="auto"/>
                <w:left w:val="none" w:sz="0" w:space="0" w:color="auto"/>
                <w:bottom w:val="none" w:sz="0" w:space="0" w:color="auto"/>
                <w:right w:val="none" w:sz="0" w:space="0" w:color="auto"/>
              </w:divBdr>
            </w:div>
            <w:div w:id="1285499805">
              <w:marLeft w:val="0"/>
              <w:marRight w:val="0"/>
              <w:marTop w:val="0"/>
              <w:marBottom w:val="0"/>
              <w:divBdr>
                <w:top w:val="none" w:sz="0" w:space="0" w:color="auto"/>
                <w:left w:val="none" w:sz="0" w:space="0" w:color="auto"/>
                <w:bottom w:val="none" w:sz="0" w:space="0" w:color="auto"/>
                <w:right w:val="none" w:sz="0" w:space="0" w:color="auto"/>
              </w:divBdr>
            </w:div>
            <w:div w:id="1682782198">
              <w:marLeft w:val="0"/>
              <w:marRight w:val="0"/>
              <w:marTop w:val="0"/>
              <w:marBottom w:val="0"/>
              <w:divBdr>
                <w:top w:val="none" w:sz="0" w:space="0" w:color="auto"/>
                <w:left w:val="none" w:sz="0" w:space="0" w:color="auto"/>
                <w:bottom w:val="none" w:sz="0" w:space="0" w:color="auto"/>
                <w:right w:val="none" w:sz="0" w:space="0" w:color="auto"/>
              </w:divBdr>
            </w:div>
            <w:div w:id="173172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8058">
      <w:bodyDiv w:val="1"/>
      <w:marLeft w:val="0"/>
      <w:marRight w:val="0"/>
      <w:marTop w:val="0"/>
      <w:marBottom w:val="0"/>
      <w:divBdr>
        <w:top w:val="none" w:sz="0" w:space="0" w:color="auto"/>
        <w:left w:val="none" w:sz="0" w:space="0" w:color="auto"/>
        <w:bottom w:val="none" w:sz="0" w:space="0" w:color="auto"/>
        <w:right w:val="none" w:sz="0" w:space="0" w:color="auto"/>
      </w:divBdr>
    </w:div>
    <w:div w:id="1717898243">
      <w:bodyDiv w:val="1"/>
      <w:marLeft w:val="0"/>
      <w:marRight w:val="0"/>
      <w:marTop w:val="0"/>
      <w:marBottom w:val="0"/>
      <w:divBdr>
        <w:top w:val="none" w:sz="0" w:space="0" w:color="auto"/>
        <w:left w:val="none" w:sz="0" w:space="0" w:color="auto"/>
        <w:bottom w:val="none" w:sz="0" w:space="0" w:color="auto"/>
        <w:right w:val="none" w:sz="0" w:space="0" w:color="auto"/>
      </w:divBdr>
    </w:div>
    <w:div w:id="190764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692062-DE96-415B-8D75-9F71073CC7A0}">
  <ds:schemaRefs>
    <ds:schemaRef ds:uri="http://schemas.openxmlformats.org/officeDocument/2006/bibliography"/>
  </ds:schemaRefs>
</ds:datastoreItem>
</file>

<file path=customXml/itemProps2.xml><?xml version="1.0" encoding="utf-8"?>
<ds:datastoreItem xmlns:ds="http://schemas.openxmlformats.org/officeDocument/2006/customXml" ds:itemID="{FAAE5ABE-538D-46D6-A340-770CD7273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12</Pages>
  <Words>4143</Words>
  <Characters>24337</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28424</CharactersWithSpaces>
  <SharedDoc>false</SharedDoc>
  <HLinks>
    <vt:vector size="246" baseType="variant">
      <vt:variant>
        <vt:i4>917598</vt:i4>
      </vt:variant>
      <vt:variant>
        <vt:i4>278</vt:i4>
      </vt:variant>
      <vt:variant>
        <vt:i4>0</vt:i4>
      </vt:variant>
      <vt:variant>
        <vt:i4>5</vt:i4>
      </vt:variant>
      <vt:variant>
        <vt:lpwstr>http://www.aau.edu/about/article.aspx?id=5476</vt:lpwstr>
      </vt:variant>
      <vt:variant>
        <vt:lpwstr/>
      </vt:variant>
      <vt:variant>
        <vt:i4>3342450</vt:i4>
      </vt:variant>
      <vt:variant>
        <vt:i4>275</vt:i4>
      </vt:variant>
      <vt:variant>
        <vt:i4>0</vt:i4>
      </vt:variant>
      <vt:variant>
        <vt:i4>5</vt:i4>
      </vt:variant>
      <vt:variant>
        <vt:lpwstr>http://www.nationalpostdoc.org/</vt:lpwstr>
      </vt:variant>
      <vt:variant>
        <vt:lpwstr/>
      </vt:variant>
      <vt:variant>
        <vt:i4>5898290</vt:i4>
      </vt:variant>
      <vt:variant>
        <vt:i4>272</vt:i4>
      </vt:variant>
      <vt:variant>
        <vt:i4>0</vt:i4>
      </vt:variant>
      <vt:variant>
        <vt:i4>5</vt:i4>
      </vt:variant>
      <vt:variant>
        <vt:lpwstr>http://services.aamc.org/memberlistings/index.cfm?fuseaction=home.search&amp;search_type=ms</vt:lpwstr>
      </vt:variant>
      <vt:variant>
        <vt:lpwstr/>
      </vt:variant>
      <vt:variant>
        <vt:i4>1114196</vt:i4>
      </vt:variant>
      <vt:variant>
        <vt:i4>269</vt:i4>
      </vt:variant>
      <vt:variant>
        <vt:i4>0</vt:i4>
      </vt:variant>
      <vt:variant>
        <vt:i4>5</vt:i4>
      </vt:variant>
      <vt:variant>
        <vt:lpwstr>http://cgsnet.org/Default.aspx?tabid=102</vt:lpwstr>
      </vt:variant>
      <vt:variant>
        <vt:lpwstr/>
      </vt:variant>
      <vt:variant>
        <vt:i4>6094863</vt:i4>
      </vt:variant>
      <vt:variant>
        <vt:i4>266</vt:i4>
      </vt:variant>
      <vt:variant>
        <vt:i4>0</vt:i4>
      </vt:variant>
      <vt:variant>
        <vt:i4>5</vt:i4>
      </vt:variant>
      <vt:variant>
        <vt:lpwstr>http://nces.ed.gov/collegenavigator/</vt:lpwstr>
      </vt:variant>
      <vt:variant>
        <vt:lpwstr/>
      </vt:variant>
      <vt:variant>
        <vt:i4>3473468</vt:i4>
      </vt:variant>
      <vt:variant>
        <vt:i4>263</vt:i4>
      </vt:variant>
      <vt:variant>
        <vt:i4>0</vt:i4>
      </vt:variant>
      <vt:variant>
        <vt:i4>5</vt:i4>
      </vt:variant>
      <vt:variant>
        <vt:lpwstr>http://classifications.carnegiefoundation.org/</vt:lpwstr>
      </vt:variant>
      <vt:variant>
        <vt:lpwstr/>
      </vt:variant>
      <vt:variant>
        <vt:i4>1638458</vt:i4>
      </vt:variant>
      <vt:variant>
        <vt:i4>208</vt:i4>
      </vt:variant>
      <vt:variant>
        <vt:i4>0</vt:i4>
      </vt:variant>
      <vt:variant>
        <vt:i4>5</vt:i4>
      </vt:variant>
      <vt:variant>
        <vt:lpwstr/>
      </vt:variant>
      <vt:variant>
        <vt:lpwstr>_Toc298763632</vt:lpwstr>
      </vt:variant>
      <vt:variant>
        <vt:i4>1638458</vt:i4>
      </vt:variant>
      <vt:variant>
        <vt:i4>202</vt:i4>
      </vt:variant>
      <vt:variant>
        <vt:i4>0</vt:i4>
      </vt:variant>
      <vt:variant>
        <vt:i4>5</vt:i4>
      </vt:variant>
      <vt:variant>
        <vt:lpwstr/>
      </vt:variant>
      <vt:variant>
        <vt:lpwstr>_Toc298763631</vt:lpwstr>
      </vt:variant>
      <vt:variant>
        <vt:i4>1638458</vt:i4>
      </vt:variant>
      <vt:variant>
        <vt:i4>196</vt:i4>
      </vt:variant>
      <vt:variant>
        <vt:i4>0</vt:i4>
      </vt:variant>
      <vt:variant>
        <vt:i4>5</vt:i4>
      </vt:variant>
      <vt:variant>
        <vt:lpwstr/>
      </vt:variant>
      <vt:variant>
        <vt:lpwstr>_Toc298763630</vt:lpwstr>
      </vt:variant>
      <vt:variant>
        <vt:i4>1572922</vt:i4>
      </vt:variant>
      <vt:variant>
        <vt:i4>190</vt:i4>
      </vt:variant>
      <vt:variant>
        <vt:i4>0</vt:i4>
      </vt:variant>
      <vt:variant>
        <vt:i4>5</vt:i4>
      </vt:variant>
      <vt:variant>
        <vt:lpwstr/>
      </vt:variant>
      <vt:variant>
        <vt:lpwstr>_Toc298763629</vt:lpwstr>
      </vt:variant>
      <vt:variant>
        <vt:i4>1572922</vt:i4>
      </vt:variant>
      <vt:variant>
        <vt:i4>184</vt:i4>
      </vt:variant>
      <vt:variant>
        <vt:i4>0</vt:i4>
      </vt:variant>
      <vt:variant>
        <vt:i4>5</vt:i4>
      </vt:variant>
      <vt:variant>
        <vt:lpwstr/>
      </vt:variant>
      <vt:variant>
        <vt:lpwstr>_Toc298763628</vt:lpwstr>
      </vt:variant>
      <vt:variant>
        <vt:i4>1572922</vt:i4>
      </vt:variant>
      <vt:variant>
        <vt:i4>178</vt:i4>
      </vt:variant>
      <vt:variant>
        <vt:i4>0</vt:i4>
      </vt:variant>
      <vt:variant>
        <vt:i4>5</vt:i4>
      </vt:variant>
      <vt:variant>
        <vt:lpwstr/>
      </vt:variant>
      <vt:variant>
        <vt:lpwstr>_Toc298763627</vt:lpwstr>
      </vt:variant>
      <vt:variant>
        <vt:i4>1572922</vt:i4>
      </vt:variant>
      <vt:variant>
        <vt:i4>172</vt:i4>
      </vt:variant>
      <vt:variant>
        <vt:i4>0</vt:i4>
      </vt:variant>
      <vt:variant>
        <vt:i4>5</vt:i4>
      </vt:variant>
      <vt:variant>
        <vt:lpwstr/>
      </vt:variant>
      <vt:variant>
        <vt:lpwstr>_Toc298763626</vt:lpwstr>
      </vt:variant>
      <vt:variant>
        <vt:i4>1572922</vt:i4>
      </vt:variant>
      <vt:variant>
        <vt:i4>166</vt:i4>
      </vt:variant>
      <vt:variant>
        <vt:i4>0</vt:i4>
      </vt:variant>
      <vt:variant>
        <vt:i4>5</vt:i4>
      </vt:variant>
      <vt:variant>
        <vt:lpwstr/>
      </vt:variant>
      <vt:variant>
        <vt:lpwstr>_Toc298763625</vt:lpwstr>
      </vt:variant>
      <vt:variant>
        <vt:i4>1572922</vt:i4>
      </vt:variant>
      <vt:variant>
        <vt:i4>160</vt:i4>
      </vt:variant>
      <vt:variant>
        <vt:i4>0</vt:i4>
      </vt:variant>
      <vt:variant>
        <vt:i4>5</vt:i4>
      </vt:variant>
      <vt:variant>
        <vt:lpwstr/>
      </vt:variant>
      <vt:variant>
        <vt:lpwstr>_Toc298763624</vt:lpwstr>
      </vt:variant>
      <vt:variant>
        <vt:i4>1572922</vt:i4>
      </vt:variant>
      <vt:variant>
        <vt:i4>154</vt:i4>
      </vt:variant>
      <vt:variant>
        <vt:i4>0</vt:i4>
      </vt:variant>
      <vt:variant>
        <vt:i4>5</vt:i4>
      </vt:variant>
      <vt:variant>
        <vt:lpwstr/>
      </vt:variant>
      <vt:variant>
        <vt:lpwstr>_Toc298763623</vt:lpwstr>
      </vt:variant>
      <vt:variant>
        <vt:i4>1572922</vt:i4>
      </vt:variant>
      <vt:variant>
        <vt:i4>148</vt:i4>
      </vt:variant>
      <vt:variant>
        <vt:i4>0</vt:i4>
      </vt:variant>
      <vt:variant>
        <vt:i4>5</vt:i4>
      </vt:variant>
      <vt:variant>
        <vt:lpwstr/>
      </vt:variant>
      <vt:variant>
        <vt:lpwstr>_Toc298763622</vt:lpwstr>
      </vt:variant>
      <vt:variant>
        <vt:i4>1572922</vt:i4>
      </vt:variant>
      <vt:variant>
        <vt:i4>142</vt:i4>
      </vt:variant>
      <vt:variant>
        <vt:i4>0</vt:i4>
      </vt:variant>
      <vt:variant>
        <vt:i4>5</vt:i4>
      </vt:variant>
      <vt:variant>
        <vt:lpwstr/>
      </vt:variant>
      <vt:variant>
        <vt:lpwstr>_Toc298763621</vt:lpwstr>
      </vt:variant>
      <vt:variant>
        <vt:i4>1572922</vt:i4>
      </vt:variant>
      <vt:variant>
        <vt:i4>136</vt:i4>
      </vt:variant>
      <vt:variant>
        <vt:i4>0</vt:i4>
      </vt:variant>
      <vt:variant>
        <vt:i4>5</vt:i4>
      </vt:variant>
      <vt:variant>
        <vt:lpwstr/>
      </vt:variant>
      <vt:variant>
        <vt:lpwstr>_Toc298763620</vt:lpwstr>
      </vt:variant>
      <vt:variant>
        <vt:i4>1769530</vt:i4>
      </vt:variant>
      <vt:variant>
        <vt:i4>130</vt:i4>
      </vt:variant>
      <vt:variant>
        <vt:i4>0</vt:i4>
      </vt:variant>
      <vt:variant>
        <vt:i4>5</vt:i4>
      </vt:variant>
      <vt:variant>
        <vt:lpwstr/>
      </vt:variant>
      <vt:variant>
        <vt:lpwstr>_Toc298763619</vt:lpwstr>
      </vt:variant>
      <vt:variant>
        <vt:i4>1769530</vt:i4>
      </vt:variant>
      <vt:variant>
        <vt:i4>124</vt:i4>
      </vt:variant>
      <vt:variant>
        <vt:i4>0</vt:i4>
      </vt:variant>
      <vt:variant>
        <vt:i4>5</vt:i4>
      </vt:variant>
      <vt:variant>
        <vt:lpwstr/>
      </vt:variant>
      <vt:variant>
        <vt:lpwstr>_Toc298763618</vt:lpwstr>
      </vt:variant>
      <vt:variant>
        <vt:i4>1769530</vt:i4>
      </vt:variant>
      <vt:variant>
        <vt:i4>118</vt:i4>
      </vt:variant>
      <vt:variant>
        <vt:i4>0</vt:i4>
      </vt:variant>
      <vt:variant>
        <vt:i4>5</vt:i4>
      </vt:variant>
      <vt:variant>
        <vt:lpwstr/>
      </vt:variant>
      <vt:variant>
        <vt:lpwstr>_Toc298763617</vt:lpwstr>
      </vt:variant>
      <vt:variant>
        <vt:i4>1769530</vt:i4>
      </vt:variant>
      <vt:variant>
        <vt:i4>112</vt:i4>
      </vt:variant>
      <vt:variant>
        <vt:i4>0</vt:i4>
      </vt:variant>
      <vt:variant>
        <vt:i4>5</vt:i4>
      </vt:variant>
      <vt:variant>
        <vt:lpwstr/>
      </vt:variant>
      <vt:variant>
        <vt:lpwstr>_Toc298763616</vt:lpwstr>
      </vt:variant>
      <vt:variant>
        <vt:i4>1769530</vt:i4>
      </vt:variant>
      <vt:variant>
        <vt:i4>106</vt:i4>
      </vt:variant>
      <vt:variant>
        <vt:i4>0</vt:i4>
      </vt:variant>
      <vt:variant>
        <vt:i4>5</vt:i4>
      </vt:variant>
      <vt:variant>
        <vt:lpwstr/>
      </vt:variant>
      <vt:variant>
        <vt:lpwstr>_Toc298763615</vt:lpwstr>
      </vt:variant>
      <vt:variant>
        <vt:i4>1769530</vt:i4>
      </vt:variant>
      <vt:variant>
        <vt:i4>100</vt:i4>
      </vt:variant>
      <vt:variant>
        <vt:i4>0</vt:i4>
      </vt:variant>
      <vt:variant>
        <vt:i4>5</vt:i4>
      </vt:variant>
      <vt:variant>
        <vt:lpwstr/>
      </vt:variant>
      <vt:variant>
        <vt:lpwstr>_Toc298763614</vt:lpwstr>
      </vt:variant>
      <vt:variant>
        <vt:i4>1769530</vt:i4>
      </vt:variant>
      <vt:variant>
        <vt:i4>94</vt:i4>
      </vt:variant>
      <vt:variant>
        <vt:i4>0</vt:i4>
      </vt:variant>
      <vt:variant>
        <vt:i4>5</vt:i4>
      </vt:variant>
      <vt:variant>
        <vt:lpwstr/>
      </vt:variant>
      <vt:variant>
        <vt:lpwstr>_Toc298763613</vt:lpwstr>
      </vt:variant>
      <vt:variant>
        <vt:i4>1769530</vt:i4>
      </vt:variant>
      <vt:variant>
        <vt:i4>88</vt:i4>
      </vt:variant>
      <vt:variant>
        <vt:i4>0</vt:i4>
      </vt:variant>
      <vt:variant>
        <vt:i4>5</vt:i4>
      </vt:variant>
      <vt:variant>
        <vt:lpwstr/>
      </vt:variant>
      <vt:variant>
        <vt:lpwstr>_Toc298763612</vt:lpwstr>
      </vt:variant>
      <vt:variant>
        <vt:i4>1769530</vt:i4>
      </vt:variant>
      <vt:variant>
        <vt:i4>82</vt:i4>
      </vt:variant>
      <vt:variant>
        <vt:i4>0</vt:i4>
      </vt:variant>
      <vt:variant>
        <vt:i4>5</vt:i4>
      </vt:variant>
      <vt:variant>
        <vt:lpwstr/>
      </vt:variant>
      <vt:variant>
        <vt:lpwstr>_Toc298763611</vt:lpwstr>
      </vt:variant>
      <vt:variant>
        <vt:i4>1769530</vt:i4>
      </vt:variant>
      <vt:variant>
        <vt:i4>76</vt:i4>
      </vt:variant>
      <vt:variant>
        <vt:i4>0</vt:i4>
      </vt:variant>
      <vt:variant>
        <vt:i4>5</vt:i4>
      </vt:variant>
      <vt:variant>
        <vt:lpwstr/>
      </vt:variant>
      <vt:variant>
        <vt:lpwstr>_Toc298763610</vt:lpwstr>
      </vt:variant>
      <vt:variant>
        <vt:i4>1703994</vt:i4>
      </vt:variant>
      <vt:variant>
        <vt:i4>70</vt:i4>
      </vt:variant>
      <vt:variant>
        <vt:i4>0</vt:i4>
      </vt:variant>
      <vt:variant>
        <vt:i4>5</vt:i4>
      </vt:variant>
      <vt:variant>
        <vt:lpwstr/>
      </vt:variant>
      <vt:variant>
        <vt:lpwstr>_Toc298763609</vt:lpwstr>
      </vt:variant>
      <vt:variant>
        <vt:i4>1703994</vt:i4>
      </vt:variant>
      <vt:variant>
        <vt:i4>64</vt:i4>
      </vt:variant>
      <vt:variant>
        <vt:i4>0</vt:i4>
      </vt:variant>
      <vt:variant>
        <vt:i4>5</vt:i4>
      </vt:variant>
      <vt:variant>
        <vt:lpwstr/>
      </vt:variant>
      <vt:variant>
        <vt:lpwstr>_Toc298763608</vt:lpwstr>
      </vt:variant>
      <vt:variant>
        <vt:i4>1703994</vt:i4>
      </vt:variant>
      <vt:variant>
        <vt:i4>58</vt:i4>
      </vt:variant>
      <vt:variant>
        <vt:i4>0</vt:i4>
      </vt:variant>
      <vt:variant>
        <vt:i4>5</vt:i4>
      </vt:variant>
      <vt:variant>
        <vt:lpwstr/>
      </vt:variant>
      <vt:variant>
        <vt:lpwstr>_Toc298763607</vt:lpwstr>
      </vt:variant>
      <vt:variant>
        <vt:i4>1703994</vt:i4>
      </vt:variant>
      <vt:variant>
        <vt:i4>52</vt:i4>
      </vt:variant>
      <vt:variant>
        <vt:i4>0</vt:i4>
      </vt:variant>
      <vt:variant>
        <vt:i4>5</vt:i4>
      </vt:variant>
      <vt:variant>
        <vt:lpwstr/>
      </vt:variant>
      <vt:variant>
        <vt:lpwstr>_Toc298763606</vt:lpwstr>
      </vt:variant>
      <vt:variant>
        <vt:i4>1703994</vt:i4>
      </vt:variant>
      <vt:variant>
        <vt:i4>46</vt:i4>
      </vt:variant>
      <vt:variant>
        <vt:i4>0</vt:i4>
      </vt:variant>
      <vt:variant>
        <vt:i4>5</vt:i4>
      </vt:variant>
      <vt:variant>
        <vt:lpwstr/>
      </vt:variant>
      <vt:variant>
        <vt:lpwstr>_Toc298763605</vt:lpwstr>
      </vt:variant>
      <vt:variant>
        <vt:i4>1703994</vt:i4>
      </vt:variant>
      <vt:variant>
        <vt:i4>40</vt:i4>
      </vt:variant>
      <vt:variant>
        <vt:i4>0</vt:i4>
      </vt:variant>
      <vt:variant>
        <vt:i4>5</vt:i4>
      </vt:variant>
      <vt:variant>
        <vt:lpwstr/>
      </vt:variant>
      <vt:variant>
        <vt:lpwstr>_Toc298763604</vt:lpwstr>
      </vt:variant>
      <vt:variant>
        <vt:i4>1703994</vt:i4>
      </vt:variant>
      <vt:variant>
        <vt:i4>34</vt:i4>
      </vt:variant>
      <vt:variant>
        <vt:i4>0</vt:i4>
      </vt:variant>
      <vt:variant>
        <vt:i4>5</vt:i4>
      </vt:variant>
      <vt:variant>
        <vt:lpwstr/>
      </vt:variant>
      <vt:variant>
        <vt:lpwstr>_Toc298763603</vt:lpwstr>
      </vt:variant>
      <vt:variant>
        <vt:i4>1703994</vt:i4>
      </vt:variant>
      <vt:variant>
        <vt:i4>28</vt:i4>
      </vt:variant>
      <vt:variant>
        <vt:i4>0</vt:i4>
      </vt:variant>
      <vt:variant>
        <vt:i4>5</vt:i4>
      </vt:variant>
      <vt:variant>
        <vt:lpwstr/>
      </vt:variant>
      <vt:variant>
        <vt:lpwstr>_Toc298763602</vt:lpwstr>
      </vt:variant>
      <vt:variant>
        <vt:i4>1703994</vt:i4>
      </vt:variant>
      <vt:variant>
        <vt:i4>22</vt:i4>
      </vt:variant>
      <vt:variant>
        <vt:i4>0</vt:i4>
      </vt:variant>
      <vt:variant>
        <vt:i4>5</vt:i4>
      </vt:variant>
      <vt:variant>
        <vt:lpwstr/>
      </vt:variant>
      <vt:variant>
        <vt:lpwstr>_Toc298763601</vt:lpwstr>
      </vt:variant>
      <vt:variant>
        <vt:i4>1703994</vt:i4>
      </vt:variant>
      <vt:variant>
        <vt:i4>16</vt:i4>
      </vt:variant>
      <vt:variant>
        <vt:i4>0</vt:i4>
      </vt:variant>
      <vt:variant>
        <vt:i4>5</vt:i4>
      </vt:variant>
      <vt:variant>
        <vt:lpwstr/>
      </vt:variant>
      <vt:variant>
        <vt:lpwstr>_Toc298763600</vt:lpwstr>
      </vt:variant>
      <vt:variant>
        <vt:i4>1245241</vt:i4>
      </vt:variant>
      <vt:variant>
        <vt:i4>10</vt:i4>
      </vt:variant>
      <vt:variant>
        <vt:i4>0</vt:i4>
      </vt:variant>
      <vt:variant>
        <vt:i4>5</vt:i4>
      </vt:variant>
      <vt:variant>
        <vt:lpwstr/>
      </vt:variant>
      <vt:variant>
        <vt:lpwstr>_Toc298763599</vt:lpwstr>
      </vt:variant>
      <vt:variant>
        <vt:i4>1245241</vt:i4>
      </vt:variant>
      <vt:variant>
        <vt:i4>4</vt:i4>
      </vt:variant>
      <vt:variant>
        <vt:i4>0</vt:i4>
      </vt:variant>
      <vt:variant>
        <vt:i4>5</vt:i4>
      </vt:variant>
      <vt:variant>
        <vt:lpwstr/>
      </vt:variant>
      <vt:variant>
        <vt:lpwstr>_Toc298763598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RTI_DP</dc:creator>
  <cp:lastModifiedBy>Plimpton, Suzanne H.</cp:lastModifiedBy>
  <cp:revision>3</cp:revision>
  <cp:lastPrinted>2014-04-30T13:28:00Z</cp:lastPrinted>
  <dcterms:created xsi:type="dcterms:W3CDTF">2014-04-30T13:57:00Z</dcterms:created>
  <dcterms:modified xsi:type="dcterms:W3CDTF">2014-04-30T20:55:00Z</dcterms:modified>
</cp:coreProperties>
</file>