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A7" w:rsidRDefault="00394CA7" w:rsidP="00A1103B">
      <w:pPr>
        <w:jc w:val="center"/>
        <w:rPr>
          <w:b/>
        </w:rPr>
      </w:pPr>
      <w:bookmarkStart w:id="0" w:name="_GoBack"/>
      <w:bookmarkEnd w:id="0"/>
      <w:r>
        <w:rPr>
          <w:b/>
        </w:rPr>
        <w:t>Before the</w:t>
      </w:r>
    </w:p>
    <w:p w:rsidR="00394CA7" w:rsidRDefault="00394CA7" w:rsidP="00A1103B">
      <w:pPr>
        <w:jc w:val="center"/>
        <w:rPr>
          <w:b/>
        </w:rPr>
      </w:pPr>
      <w:r>
        <w:rPr>
          <w:b/>
        </w:rPr>
        <w:t>Federal Communications Commission</w:t>
      </w:r>
    </w:p>
    <w:p w:rsidR="00394CA7" w:rsidRDefault="00E05285" w:rsidP="00A1103B">
      <w:pPr>
        <w:jc w:val="center"/>
        <w:rPr>
          <w:b/>
        </w:rPr>
      </w:pPr>
      <w:r>
        <w:rPr>
          <w:b/>
        </w:rPr>
        <w:t>Washington, DC</w:t>
      </w:r>
      <w:r w:rsidR="00394CA7">
        <w:rPr>
          <w:b/>
        </w:rPr>
        <w:t xml:space="preserve"> 20554</w:t>
      </w:r>
    </w:p>
    <w:p w:rsidR="00394CA7" w:rsidRDefault="00394CA7" w:rsidP="00A1103B"/>
    <w:p w:rsidR="00394CA7" w:rsidRDefault="00394CA7" w:rsidP="00A1103B"/>
    <w:tbl>
      <w:tblPr>
        <w:tblW w:w="9707" w:type="dxa"/>
        <w:tblLayout w:type="fixed"/>
        <w:tblLook w:val="0000" w:firstRow="0" w:lastRow="0" w:firstColumn="0" w:lastColumn="0" w:noHBand="0" w:noVBand="0"/>
      </w:tblPr>
      <w:tblGrid>
        <w:gridCol w:w="4727"/>
        <w:gridCol w:w="724"/>
        <w:gridCol w:w="4256"/>
      </w:tblGrid>
      <w:tr w:rsidR="00394CA7" w:rsidTr="004D4943">
        <w:trPr>
          <w:trHeight w:val="2896"/>
        </w:trPr>
        <w:tc>
          <w:tcPr>
            <w:tcW w:w="4727" w:type="dxa"/>
          </w:tcPr>
          <w:p w:rsidR="00394CA7" w:rsidRDefault="00394CA7" w:rsidP="00A1103B">
            <w:pPr>
              <w:ind w:right="-18"/>
            </w:pPr>
            <w:r>
              <w:t xml:space="preserve">In the </w:t>
            </w:r>
            <w:r w:rsidR="004849EA">
              <w:t>M</w:t>
            </w:r>
            <w:r>
              <w:t>atter of</w:t>
            </w:r>
          </w:p>
          <w:p w:rsidR="00394CA7" w:rsidRDefault="00394CA7" w:rsidP="00A1103B">
            <w:pPr>
              <w:ind w:right="-18"/>
            </w:pPr>
          </w:p>
          <w:p w:rsidR="00424FD7" w:rsidRDefault="00424FD7" w:rsidP="00424FD7">
            <w:pPr>
              <w:ind w:right="-18"/>
              <w:rPr>
                <w:szCs w:val="22"/>
              </w:rPr>
            </w:pPr>
            <w:r w:rsidRPr="00A96021">
              <w:rPr>
                <w:szCs w:val="22"/>
              </w:rPr>
              <w:t>Assessment and Collection of Regulatory Fees    for Fiscal Year 2013</w:t>
            </w:r>
          </w:p>
          <w:p w:rsidR="00424FD7" w:rsidRPr="00A96021" w:rsidRDefault="00424FD7" w:rsidP="00424FD7">
            <w:pPr>
              <w:ind w:right="-18"/>
              <w:rPr>
                <w:szCs w:val="22"/>
              </w:rPr>
            </w:pPr>
          </w:p>
          <w:p w:rsidR="004777BD" w:rsidRPr="00A96021" w:rsidRDefault="004777BD" w:rsidP="00A1103B">
            <w:pPr>
              <w:tabs>
                <w:tab w:val="center" w:pos="4680"/>
              </w:tabs>
              <w:suppressAutoHyphens/>
              <w:rPr>
                <w:spacing w:val="-2"/>
                <w:szCs w:val="22"/>
              </w:rPr>
            </w:pPr>
            <w:r w:rsidRPr="00A96021">
              <w:rPr>
                <w:spacing w:val="-2"/>
                <w:szCs w:val="22"/>
              </w:rPr>
              <w:t>Procedures for Assessment and Collection of Regulatory Fees</w:t>
            </w:r>
          </w:p>
          <w:p w:rsidR="004777BD" w:rsidRPr="00A96021" w:rsidRDefault="004777BD" w:rsidP="00A1103B">
            <w:pPr>
              <w:tabs>
                <w:tab w:val="center" w:pos="4680"/>
              </w:tabs>
              <w:suppressAutoHyphens/>
              <w:rPr>
                <w:spacing w:val="-2"/>
                <w:szCs w:val="22"/>
              </w:rPr>
            </w:pPr>
          </w:p>
          <w:p w:rsidR="004777BD" w:rsidRPr="00A96021" w:rsidRDefault="004777BD" w:rsidP="00A1103B">
            <w:pPr>
              <w:ind w:right="-18"/>
              <w:rPr>
                <w:spacing w:val="-2"/>
                <w:szCs w:val="22"/>
              </w:rPr>
            </w:pPr>
            <w:r w:rsidRPr="00A96021">
              <w:rPr>
                <w:spacing w:val="-2"/>
                <w:szCs w:val="22"/>
              </w:rPr>
              <w:t>Assessment and Collection of Regulatory Fees for</w:t>
            </w:r>
          </w:p>
          <w:p w:rsidR="004777BD" w:rsidRPr="00A96021" w:rsidRDefault="004777BD" w:rsidP="00A1103B">
            <w:pPr>
              <w:tabs>
                <w:tab w:val="center" w:pos="4680"/>
              </w:tabs>
              <w:suppressAutoHyphens/>
              <w:rPr>
                <w:spacing w:val="-2"/>
                <w:szCs w:val="22"/>
              </w:rPr>
            </w:pPr>
            <w:r w:rsidRPr="00A96021">
              <w:rPr>
                <w:spacing w:val="-2"/>
                <w:szCs w:val="22"/>
              </w:rPr>
              <w:t>Fiscal Year 2008</w:t>
            </w:r>
          </w:p>
          <w:p w:rsidR="00394CA7" w:rsidRDefault="00394CA7" w:rsidP="00A1103B">
            <w:pPr>
              <w:ind w:right="-18"/>
            </w:pPr>
          </w:p>
        </w:tc>
        <w:tc>
          <w:tcPr>
            <w:tcW w:w="724" w:type="dxa"/>
          </w:tcPr>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4777BD" w:rsidP="00A1103B">
            <w:pPr>
              <w:rPr>
                <w:b/>
              </w:rPr>
            </w:pPr>
            <w:r>
              <w:rPr>
                <w:b/>
              </w:rPr>
              <w:t>)</w:t>
            </w:r>
          </w:p>
        </w:tc>
        <w:tc>
          <w:tcPr>
            <w:tcW w:w="4256" w:type="dxa"/>
          </w:tcPr>
          <w:p w:rsidR="00394CA7" w:rsidRDefault="00394CA7" w:rsidP="00A1103B"/>
          <w:p w:rsidR="00394CA7" w:rsidRDefault="00394CA7" w:rsidP="00A1103B"/>
          <w:p w:rsidR="004777BD" w:rsidRPr="00A96021" w:rsidRDefault="004777BD" w:rsidP="00A1103B">
            <w:pPr>
              <w:tabs>
                <w:tab w:val="center" w:pos="4680"/>
              </w:tabs>
              <w:suppressAutoHyphens/>
              <w:rPr>
                <w:spacing w:val="-2"/>
                <w:szCs w:val="22"/>
              </w:rPr>
            </w:pPr>
            <w:r w:rsidRPr="00A96021">
              <w:rPr>
                <w:spacing w:val="-2"/>
                <w:szCs w:val="22"/>
              </w:rPr>
              <w:t>MD Docket No. 1</w:t>
            </w:r>
            <w:r w:rsidR="00424FD7">
              <w:rPr>
                <w:spacing w:val="-2"/>
                <w:szCs w:val="22"/>
              </w:rPr>
              <w:t>3</w:t>
            </w:r>
            <w:r w:rsidRPr="00A96021">
              <w:rPr>
                <w:spacing w:val="-2"/>
                <w:szCs w:val="22"/>
              </w:rPr>
              <w:t>-</w:t>
            </w:r>
            <w:r w:rsidR="00424FD7">
              <w:rPr>
                <w:spacing w:val="-2"/>
                <w:szCs w:val="22"/>
              </w:rPr>
              <w:t>140</w:t>
            </w:r>
          </w:p>
          <w:p w:rsidR="00394CA7" w:rsidRDefault="00394CA7" w:rsidP="00A1103B"/>
          <w:p w:rsidR="004777BD" w:rsidRDefault="004777BD" w:rsidP="00A1103B"/>
          <w:p w:rsidR="004777BD" w:rsidRPr="00A96021" w:rsidRDefault="00AF566B" w:rsidP="00A1103B">
            <w:pPr>
              <w:tabs>
                <w:tab w:val="center" w:pos="4680"/>
              </w:tabs>
              <w:suppressAutoHyphens/>
              <w:rPr>
                <w:spacing w:val="-2"/>
                <w:szCs w:val="22"/>
              </w:rPr>
            </w:pPr>
            <w:r>
              <w:rPr>
                <w:spacing w:val="-2"/>
                <w:szCs w:val="22"/>
              </w:rPr>
              <w:t>MD Docket No. 1</w:t>
            </w:r>
            <w:r w:rsidR="00424FD7">
              <w:rPr>
                <w:spacing w:val="-2"/>
                <w:szCs w:val="22"/>
              </w:rPr>
              <w:t>2</w:t>
            </w:r>
            <w:r>
              <w:rPr>
                <w:spacing w:val="-2"/>
                <w:szCs w:val="22"/>
              </w:rPr>
              <w:t>-</w:t>
            </w:r>
            <w:r w:rsidR="00424FD7">
              <w:rPr>
                <w:spacing w:val="-2"/>
                <w:szCs w:val="22"/>
              </w:rPr>
              <w:t>201</w:t>
            </w:r>
          </w:p>
          <w:p w:rsidR="004777BD" w:rsidRDefault="004777BD" w:rsidP="00A1103B"/>
          <w:p w:rsidR="004777BD" w:rsidRDefault="004777BD" w:rsidP="00A1103B"/>
          <w:p w:rsidR="004777BD" w:rsidRDefault="004777BD" w:rsidP="00A1103B">
            <w:r w:rsidRPr="00A96021">
              <w:rPr>
                <w:spacing w:val="-2"/>
                <w:szCs w:val="22"/>
              </w:rPr>
              <w:t>MD Docket No. 08-65</w:t>
            </w:r>
          </w:p>
        </w:tc>
      </w:tr>
    </w:tbl>
    <w:p w:rsidR="00394CA7" w:rsidRPr="00333068" w:rsidRDefault="00333068" w:rsidP="00333068">
      <w:pPr>
        <w:jc w:val="center"/>
        <w:rPr>
          <w:b/>
        </w:rPr>
      </w:pPr>
      <w:r w:rsidRPr="00333068">
        <w:rPr>
          <w:b/>
        </w:rPr>
        <w:t>REPORT AND ORDER</w:t>
      </w:r>
    </w:p>
    <w:p w:rsidR="00394CA7" w:rsidRDefault="00394CA7" w:rsidP="00A1103B">
      <w:pPr>
        <w:spacing w:before="120"/>
        <w:rPr>
          <w:b/>
        </w:rPr>
      </w:pPr>
    </w:p>
    <w:p w:rsidR="00394CA7" w:rsidRPr="007F7B4B" w:rsidRDefault="00394CA7" w:rsidP="00A1103B">
      <w:pPr>
        <w:tabs>
          <w:tab w:val="left" w:pos="5760"/>
        </w:tabs>
        <w:rPr>
          <w:b/>
          <w:spacing w:val="-2"/>
          <w:szCs w:val="22"/>
        </w:rPr>
      </w:pPr>
      <w:r w:rsidRPr="007F7B4B">
        <w:rPr>
          <w:b/>
          <w:szCs w:val="22"/>
        </w:rPr>
        <w:t xml:space="preserve">Adopted:  </w:t>
      </w:r>
      <w:r w:rsidR="000013D2">
        <w:rPr>
          <w:b/>
          <w:spacing w:val="-2"/>
          <w:szCs w:val="22"/>
        </w:rPr>
        <w:t>August 8, 2013</w:t>
      </w:r>
      <w:r w:rsidRPr="007F7B4B">
        <w:rPr>
          <w:b/>
          <w:szCs w:val="22"/>
        </w:rPr>
        <w:tab/>
        <w:t xml:space="preserve">Released:  </w:t>
      </w:r>
      <w:r w:rsidR="00504B6B">
        <w:rPr>
          <w:b/>
          <w:spacing w:val="-2"/>
          <w:szCs w:val="22"/>
        </w:rPr>
        <w:t>August 12, 2013</w:t>
      </w:r>
    </w:p>
    <w:p w:rsidR="003545BC" w:rsidRPr="007F7B4B" w:rsidRDefault="003545BC" w:rsidP="00A1103B">
      <w:pPr>
        <w:tabs>
          <w:tab w:val="left" w:pos="5760"/>
        </w:tabs>
        <w:rPr>
          <w:b/>
          <w:spacing w:val="-2"/>
          <w:szCs w:val="22"/>
        </w:rPr>
      </w:pPr>
    </w:p>
    <w:p w:rsidR="003545BC" w:rsidRPr="007F7B4B" w:rsidRDefault="003545BC" w:rsidP="003545BC">
      <w:pPr>
        <w:tabs>
          <w:tab w:val="left" w:pos="5760"/>
        </w:tabs>
        <w:rPr>
          <w:szCs w:val="22"/>
        </w:rPr>
      </w:pPr>
      <w:r w:rsidRPr="007F7B4B">
        <w:rPr>
          <w:szCs w:val="22"/>
        </w:rPr>
        <w:t xml:space="preserve">By the </w:t>
      </w:r>
      <w:r w:rsidRPr="007F7B4B">
        <w:rPr>
          <w:spacing w:val="-2"/>
          <w:szCs w:val="22"/>
        </w:rPr>
        <w:t>Commission:</w:t>
      </w:r>
    </w:p>
    <w:p w:rsidR="007764D3" w:rsidRPr="007F7B4B" w:rsidRDefault="007764D3" w:rsidP="006D0856">
      <w:pPr>
        <w:rPr>
          <w:b/>
          <w:szCs w:val="22"/>
        </w:rPr>
      </w:pPr>
    </w:p>
    <w:p w:rsidR="004777BD" w:rsidRPr="007F7B4B" w:rsidRDefault="004777BD" w:rsidP="00A1103B">
      <w:pPr>
        <w:pStyle w:val="Heading1"/>
        <w:rPr>
          <w:rFonts w:ascii="Times New Roman" w:hAnsi="Times New Roman"/>
          <w:bCs/>
          <w:szCs w:val="22"/>
        </w:rPr>
      </w:pPr>
      <w:bookmarkStart w:id="1" w:name="_Toc351484741"/>
      <w:bookmarkStart w:id="2" w:name="_Toc351484787"/>
      <w:bookmarkStart w:id="3" w:name="_Toc351484929"/>
      <w:bookmarkStart w:id="4" w:name="_Toc351571044"/>
      <w:bookmarkStart w:id="5" w:name="_Toc351572409"/>
      <w:bookmarkStart w:id="6" w:name="_Toc353032038"/>
      <w:bookmarkStart w:id="7" w:name="_Toc352943171"/>
      <w:bookmarkStart w:id="8" w:name="_Toc352943620"/>
      <w:bookmarkStart w:id="9" w:name="_Toc353987715"/>
      <w:r w:rsidRPr="007F7B4B">
        <w:rPr>
          <w:rFonts w:ascii="Times New Roman" w:hAnsi="Times New Roman"/>
          <w:bCs/>
          <w:szCs w:val="22"/>
        </w:rPr>
        <w:t>introduction</w:t>
      </w:r>
      <w:bookmarkEnd w:id="1"/>
      <w:bookmarkEnd w:id="2"/>
      <w:bookmarkEnd w:id="3"/>
      <w:bookmarkEnd w:id="4"/>
      <w:bookmarkEnd w:id="5"/>
      <w:r w:rsidR="005F0CAD" w:rsidRPr="007F7B4B">
        <w:rPr>
          <w:rFonts w:ascii="Times New Roman" w:hAnsi="Times New Roman"/>
          <w:bCs/>
          <w:szCs w:val="22"/>
        </w:rPr>
        <w:t xml:space="preserve"> </w:t>
      </w:r>
      <w:bookmarkEnd w:id="6"/>
      <w:bookmarkEnd w:id="7"/>
      <w:bookmarkEnd w:id="8"/>
      <w:bookmarkEnd w:id="9"/>
    </w:p>
    <w:p w:rsidR="0049279E" w:rsidRDefault="00F906EF" w:rsidP="00A051C5">
      <w:pPr>
        <w:pStyle w:val="ParaNum"/>
        <w:tabs>
          <w:tab w:val="num" w:pos="1350"/>
        </w:tabs>
        <w:ind w:left="-90"/>
        <w:rPr>
          <w:szCs w:val="22"/>
        </w:rPr>
      </w:pPr>
      <w:r w:rsidRPr="002431C0">
        <w:rPr>
          <w:szCs w:val="22"/>
        </w:rPr>
        <w:t>T</w:t>
      </w:r>
      <w:r w:rsidR="004777BD" w:rsidRPr="002431C0">
        <w:rPr>
          <w:szCs w:val="22"/>
        </w:rPr>
        <w:t xml:space="preserve">his </w:t>
      </w:r>
      <w:r w:rsidR="00F515AD" w:rsidRPr="009A3B34">
        <w:rPr>
          <w:i/>
          <w:szCs w:val="22"/>
        </w:rPr>
        <w:t>Report and Order</w:t>
      </w:r>
      <w:r w:rsidRPr="002431C0">
        <w:rPr>
          <w:szCs w:val="22"/>
        </w:rPr>
        <w:t xml:space="preserve"> </w:t>
      </w:r>
      <w:r w:rsidR="009A3B34">
        <w:rPr>
          <w:szCs w:val="22"/>
        </w:rPr>
        <w:t>concludes</w:t>
      </w:r>
      <w:r w:rsidR="00F515AD" w:rsidRPr="002431C0">
        <w:rPr>
          <w:szCs w:val="22"/>
        </w:rPr>
        <w:t xml:space="preserve"> the </w:t>
      </w:r>
      <w:r w:rsidR="009A3B34">
        <w:rPr>
          <w:szCs w:val="22"/>
        </w:rPr>
        <w:t xml:space="preserve">rulemaking </w:t>
      </w:r>
      <w:r w:rsidR="00F515AD" w:rsidRPr="002431C0">
        <w:rPr>
          <w:szCs w:val="22"/>
        </w:rPr>
        <w:t xml:space="preserve">proceeding </w:t>
      </w:r>
      <w:r w:rsidR="009A3B34">
        <w:rPr>
          <w:szCs w:val="22"/>
        </w:rPr>
        <w:t xml:space="preserve">initiated </w:t>
      </w:r>
      <w:r w:rsidR="00F515AD" w:rsidRPr="002431C0">
        <w:rPr>
          <w:szCs w:val="22"/>
        </w:rPr>
        <w:t xml:space="preserve">to collect $339,844,000 in regulatory fees </w:t>
      </w:r>
      <w:r w:rsidR="009A3B34">
        <w:rPr>
          <w:szCs w:val="22"/>
        </w:rPr>
        <w:t>for Fiscal Year (FY) 2013</w:t>
      </w:r>
      <w:r w:rsidR="0049279E">
        <w:rPr>
          <w:szCs w:val="22"/>
        </w:rPr>
        <w:t xml:space="preserve">, </w:t>
      </w:r>
      <w:r w:rsidR="00F515AD" w:rsidRPr="002431C0">
        <w:rPr>
          <w:szCs w:val="22"/>
        </w:rPr>
        <w:t>pursuant to Section 9 of the Communications Act of 1934, as amended (the Act or Communications Act)</w:t>
      </w:r>
      <w:r w:rsidR="00745D9D" w:rsidRPr="007F7B4B">
        <w:rPr>
          <w:rStyle w:val="FootnoteReference"/>
          <w:szCs w:val="22"/>
        </w:rPr>
        <w:footnoteReference w:id="2"/>
      </w:r>
      <w:r w:rsidR="00F515AD" w:rsidRPr="002431C0">
        <w:rPr>
          <w:szCs w:val="22"/>
        </w:rPr>
        <w:t xml:space="preserve"> and the FY 2013 </w:t>
      </w:r>
      <w:r w:rsidR="0049279E">
        <w:rPr>
          <w:szCs w:val="22"/>
        </w:rPr>
        <w:t xml:space="preserve">Further </w:t>
      </w:r>
      <w:r w:rsidR="00F515AD" w:rsidRPr="002431C0">
        <w:rPr>
          <w:szCs w:val="22"/>
        </w:rPr>
        <w:t xml:space="preserve">Continuing Appropriations </w:t>
      </w:r>
      <w:r w:rsidR="0049279E">
        <w:rPr>
          <w:szCs w:val="22"/>
        </w:rPr>
        <w:t>Act</w:t>
      </w:r>
      <w:r w:rsidR="00F515AD" w:rsidRPr="002431C0">
        <w:rPr>
          <w:szCs w:val="22"/>
        </w:rPr>
        <w:t>.</w:t>
      </w:r>
      <w:r w:rsidR="001163F6" w:rsidRPr="007F7B4B">
        <w:rPr>
          <w:rStyle w:val="FootnoteReference"/>
          <w:szCs w:val="22"/>
        </w:rPr>
        <w:footnoteReference w:id="3"/>
      </w:r>
      <w:r w:rsidR="00F515AD" w:rsidRPr="002431C0">
        <w:rPr>
          <w:szCs w:val="22"/>
        </w:rPr>
        <w:t xml:space="preserve">  </w:t>
      </w:r>
      <w:r w:rsidR="00576D37" w:rsidRPr="002431C0">
        <w:rPr>
          <w:szCs w:val="22"/>
        </w:rPr>
        <w:t>These reg</w:t>
      </w:r>
      <w:r w:rsidR="00A051C5" w:rsidRPr="002431C0">
        <w:rPr>
          <w:szCs w:val="22"/>
        </w:rPr>
        <w:t xml:space="preserve">ulatory fees </w:t>
      </w:r>
      <w:r w:rsidR="0008697F">
        <w:rPr>
          <w:szCs w:val="22"/>
        </w:rPr>
        <w:t xml:space="preserve">are due </w:t>
      </w:r>
      <w:r w:rsidR="00A97221">
        <w:rPr>
          <w:szCs w:val="22"/>
        </w:rPr>
        <w:t xml:space="preserve">in </w:t>
      </w:r>
      <w:r w:rsidR="00A051C5" w:rsidRPr="002431C0">
        <w:rPr>
          <w:szCs w:val="22"/>
        </w:rPr>
        <w:t>September 2013</w:t>
      </w:r>
      <w:r w:rsidR="00576D37" w:rsidRPr="002431C0">
        <w:rPr>
          <w:szCs w:val="22"/>
        </w:rPr>
        <w:t>.</w:t>
      </w:r>
      <w:r w:rsidRPr="002431C0">
        <w:rPr>
          <w:szCs w:val="22"/>
        </w:rPr>
        <w:t xml:space="preserve">  </w:t>
      </w:r>
    </w:p>
    <w:p w:rsidR="004A65A6" w:rsidRDefault="00F906EF" w:rsidP="0042179F">
      <w:pPr>
        <w:pStyle w:val="ParaNum"/>
        <w:widowControl/>
        <w:tabs>
          <w:tab w:val="num" w:pos="1350"/>
        </w:tabs>
        <w:ind w:left="-86"/>
        <w:rPr>
          <w:szCs w:val="22"/>
        </w:rPr>
      </w:pPr>
      <w:r w:rsidRPr="002431C0">
        <w:rPr>
          <w:szCs w:val="22"/>
        </w:rPr>
        <w:t>In addition</w:t>
      </w:r>
      <w:r w:rsidR="006D76DE">
        <w:rPr>
          <w:szCs w:val="22"/>
        </w:rPr>
        <w:t xml:space="preserve"> to proposing the FY 2013 regulatory fees</w:t>
      </w:r>
      <w:r w:rsidRPr="002431C0">
        <w:rPr>
          <w:szCs w:val="22"/>
        </w:rPr>
        <w:t xml:space="preserve">, </w:t>
      </w:r>
      <w:r w:rsidR="006D76DE">
        <w:rPr>
          <w:szCs w:val="22"/>
        </w:rPr>
        <w:t xml:space="preserve">the </w:t>
      </w:r>
      <w:r w:rsidR="003E34F7" w:rsidRPr="003E34F7">
        <w:rPr>
          <w:i/>
          <w:szCs w:val="22"/>
        </w:rPr>
        <w:t>FY 2013 NPRM</w:t>
      </w:r>
      <w:r w:rsidR="00CB24D7">
        <w:rPr>
          <w:rStyle w:val="FootnoteReference"/>
          <w:szCs w:val="22"/>
        </w:rPr>
        <w:footnoteReference w:id="4"/>
      </w:r>
      <w:r w:rsidR="006D76DE">
        <w:rPr>
          <w:szCs w:val="22"/>
        </w:rPr>
        <w:t xml:space="preserve"> requested comment on a number of proposals to revise the regulatory fee program to </w:t>
      </w:r>
      <w:r w:rsidR="00A051C5" w:rsidRPr="002431C0">
        <w:rPr>
          <w:szCs w:val="22"/>
        </w:rPr>
        <w:t xml:space="preserve">more accurately reflect the </w:t>
      </w:r>
      <w:r w:rsidR="003E34F7">
        <w:rPr>
          <w:szCs w:val="22"/>
        </w:rPr>
        <w:t xml:space="preserve">regulatory activities of </w:t>
      </w:r>
      <w:r w:rsidR="00A051C5" w:rsidRPr="002431C0">
        <w:rPr>
          <w:szCs w:val="22"/>
        </w:rPr>
        <w:t>current Commission full time employees (FTEs)</w:t>
      </w:r>
      <w:r w:rsidR="00466C35" w:rsidRPr="002431C0">
        <w:rPr>
          <w:szCs w:val="22"/>
        </w:rPr>
        <w:t>.</w:t>
      </w:r>
      <w:r w:rsidR="00A051C5" w:rsidRPr="007F7B4B">
        <w:rPr>
          <w:rStyle w:val="FootnoteReference"/>
          <w:szCs w:val="22"/>
        </w:rPr>
        <w:footnoteReference w:id="5"/>
      </w:r>
      <w:r w:rsidR="00A051C5" w:rsidRPr="002431C0">
        <w:rPr>
          <w:szCs w:val="22"/>
        </w:rPr>
        <w:t xml:space="preserve">  </w:t>
      </w:r>
    </w:p>
    <w:p w:rsidR="00A051C5" w:rsidRPr="002431C0" w:rsidRDefault="00E5443D" w:rsidP="00A051C5">
      <w:pPr>
        <w:pStyle w:val="ParaNum"/>
        <w:tabs>
          <w:tab w:val="num" w:pos="1350"/>
        </w:tabs>
        <w:ind w:left="-90"/>
        <w:rPr>
          <w:szCs w:val="22"/>
        </w:rPr>
      </w:pPr>
      <w:r>
        <w:rPr>
          <w:szCs w:val="22"/>
        </w:rPr>
        <w:lastRenderedPageBreak/>
        <w:t xml:space="preserve">In this </w:t>
      </w:r>
      <w:r w:rsidRPr="00287DC5">
        <w:rPr>
          <w:szCs w:val="22"/>
        </w:rPr>
        <w:t>Report and Order</w:t>
      </w:r>
      <w:r w:rsidR="00D5679C" w:rsidRPr="002431C0">
        <w:rPr>
          <w:szCs w:val="22"/>
        </w:rPr>
        <w:t xml:space="preserve"> we </w:t>
      </w:r>
      <w:r w:rsidR="001339E4">
        <w:rPr>
          <w:szCs w:val="22"/>
        </w:rPr>
        <w:t xml:space="preserve">look to current data to determine the number of FTEs </w:t>
      </w:r>
      <w:r w:rsidR="00A051C5" w:rsidRPr="002431C0">
        <w:rPr>
          <w:szCs w:val="22"/>
        </w:rPr>
        <w:t>working on</w:t>
      </w:r>
      <w:r w:rsidR="00D5679C" w:rsidRPr="002431C0">
        <w:rPr>
          <w:szCs w:val="22"/>
        </w:rPr>
        <w:t xml:space="preserve"> regulation and oversight of</w:t>
      </w:r>
      <w:r w:rsidR="00A051C5" w:rsidRPr="002431C0">
        <w:rPr>
          <w:szCs w:val="22"/>
        </w:rPr>
        <w:t xml:space="preserve"> Interstate </w:t>
      </w:r>
      <w:r w:rsidR="00BC677F">
        <w:rPr>
          <w:szCs w:val="22"/>
        </w:rPr>
        <w:t>T</w:t>
      </w:r>
      <w:r w:rsidR="00A051C5" w:rsidRPr="002431C0">
        <w:rPr>
          <w:szCs w:val="22"/>
        </w:rPr>
        <w:t>elecommunications Service Providers (ITSPs)</w:t>
      </w:r>
      <w:r w:rsidR="008F6BD3" w:rsidRPr="008F6BD3">
        <w:rPr>
          <w:rStyle w:val="FootnoteReference"/>
          <w:spacing w:val="-2"/>
        </w:rPr>
        <w:t xml:space="preserve"> </w:t>
      </w:r>
      <w:r w:rsidR="008F6BD3">
        <w:rPr>
          <w:rStyle w:val="FootnoteReference"/>
          <w:spacing w:val="-2"/>
        </w:rPr>
        <w:footnoteReference w:id="6"/>
      </w:r>
      <w:r w:rsidR="008F6BD3">
        <w:rPr>
          <w:spacing w:val="-2"/>
        </w:rPr>
        <w:t xml:space="preserve"> </w:t>
      </w:r>
      <w:r w:rsidR="008F567A">
        <w:rPr>
          <w:szCs w:val="22"/>
        </w:rPr>
        <w:t xml:space="preserve">and other fee categories </w:t>
      </w:r>
      <w:r w:rsidR="00A051C5" w:rsidRPr="002431C0">
        <w:rPr>
          <w:szCs w:val="22"/>
        </w:rPr>
        <w:t>and revis</w:t>
      </w:r>
      <w:r w:rsidR="00D5679C" w:rsidRPr="002431C0">
        <w:rPr>
          <w:szCs w:val="22"/>
        </w:rPr>
        <w:t>e</w:t>
      </w:r>
      <w:r w:rsidR="00F906EF" w:rsidRPr="002431C0">
        <w:rPr>
          <w:szCs w:val="22"/>
        </w:rPr>
        <w:t xml:space="preserve"> </w:t>
      </w:r>
      <w:r w:rsidR="00A051C5" w:rsidRPr="002431C0">
        <w:rPr>
          <w:szCs w:val="22"/>
        </w:rPr>
        <w:t>the calculatio</w:t>
      </w:r>
      <w:r w:rsidR="00D5679C" w:rsidRPr="002431C0">
        <w:rPr>
          <w:szCs w:val="22"/>
        </w:rPr>
        <w:t xml:space="preserve">n of </w:t>
      </w:r>
      <w:r w:rsidR="008F567A">
        <w:rPr>
          <w:szCs w:val="22"/>
        </w:rPr>
        <w:t xml:space="preserve">direct </w:t>
      </w:r>
      <w:r w:rsidR="00A051C5" w:rsidRPr="002431C0">
        <w:rPr>
          <w:szCs w:val="22"/>
        </w:rPr>
        <w:t>FTEs in the International Bureau.</w:t>
      </w:r>
      <w:r w:rsidR="00264B34">
        <w:rPr>
          <w:rStyle w:val="FootnoteReference"/>
          <w:szCs w:val="22"/>
        </w:rPr>
        <w:t xml:space="preserve"> </w:t>
      </w:r>
      <w:r w:rsidR="00264B34">
        <w:rPr>
          <w:szCs w:val="22"/>
        </w:rPr>
        <w:t xml:space="preserve"> </w:t>
      </w:r>
      <w:r w:rsidR="00D5679C" w:rsidRPr="002431C0">
        <w:rPr>
          <w:szCs w:val="22"/>
        </w:rPr>
        <w:t xml:space="preserve">We also adopt a </w:t>
      </w:r>
      <w:r w:rsidR="00A051C5" w:rsidRPr="000023CE">
        <w:rPr>
          <w:szCs w:val="22"/>
        </w:rPr>
        <w:t>7.5</w:t>
      </w:r>
      <w:r w:rsidR="00A051C5" w:rsidRPr="002431C0">
        <w:rPr>
          <w:szCs w:val="22"/>
        </w:rPr>
        <w:t xml:space="preserve"> percent limit to any increase in regulatory fee assessments to industry segments resulting from such reallocation</w:t>
      </w:r>
      <w:r w:rsidR="001339E4">
        <w:rPr>
          <w:szCs w:val="22"/>
        </w:rPr>
        <w:t xml:space="preserve"> of FTEs based on current data</w:t>
      </w:r>
      <w:r w:rsidR="00A051C5" w:rsidRPr="002431C0">
        <w:rPr>
          <w:szCs w:val="22"/>
        </w:rPr>
        <w:t>.</w:t>
      </w:r>
      <w:r w:rsidR="001339E4">
        <w:rPr>
          <w:rStyle w:val="FootnoteReference"/>
          <w:szCs w:val="22"/>
        </w:rPr>
        <w:footnoteReference w:id="7"/>
      </w:r>
      <w:r w:rsidR="00B008E0" w:rsidRPr="002431C0">
        <w:rPr>
          <w:szCs w:val="22"/>
        </w:rPr>
        <w:t xml:space="preserve">  </w:t>
      </w:r>
      <w:r w:rsidR="00824BDF">
        <w:rPr>
          <w:szCs w:val="22"/>
        </w:rPr>
        <w:t xml:space="preserve">We </w:t>
      </w:r>
      <w:r w:rsidR="00D41FA7">
        <w:rPr>
          <w:szCs w:val="22"/>
        </w:rPr>
        <w:t xml:space="preserve">will require </w:t>
      </w:r>
      <w:r w:rsidR="00824BDF">
        <w:rPr>
          <w:bCs/>
          <w:szCs w:val="22"/>
        </w:rPr>
        <w:t>Digital Low Power, Class A, and TV Translators/Boosters licensee</w:t>
      </w:r>
      <w:r w:rsidR="00D41FA7">
        <w:rPr>
          <w:bCs/>
          <w:szCs w:val="22"/>
        </w:rPr>
        <w:t>s simulcasting</w:t>
      </w:r>
      <w:r w:rsidR="00824BDF">
        <w:rPr>
          <w:bCs/>
          <w:szCs w:val="22"/>
        </w:rPr>
        <w:t xml:space="preserve"> in </w:t>
      </w:r>
      <w:r w:rsidR="00D41FA7">
        <w:rPr>
          <w:bCs/>
          <w:szCs w:val="22"/>
        </w:rPr>
        <w:t>both</w:t>
      </w:r>
      <w:r w:rsidR="00824BDF">
        <w:rPr>
          <w:bCs/>
          <w:szCs w:val="22"/>
        </w:rPr>
        <w:t xml:space="preserve"> </w:t>
      </w:r>
      <w:r w:rsidR="00824BDF" w:rsidRPr="007F7B4B">
        <w:rPr>
          <w:bCs/>
          <w:szCs w:val="22"/>
        </w:rPr>
        <w:t>an analog or digital mode</w:t>
      </w:r>
      <w:r w:rsidR="00D41FA7">
        <w:rPr>
          <w:bCs/>
          <w:szCs w:val="22"/>
        </w:rPr>
        <w:t xml:space="preserve"> to pay only </w:t>
      </w:r>
      <w:r w:rsidR="00824BDF" w:rsidRPr="007F7B4B">
        <w:rPr>
          <w:bCs/>
          <w:szCs w:val="22"/>
        </w:rPr>
        <w:t xml:space="preserve">a single regulatory fee for the analog facility and its corresponding digital component.  </w:t>
      </w:r>
      <w:r w:rsidR="00824BDF">
        <w:rPr>
          <w:bCs/>
          <w:szCs w:val="22"/>
        </w:rPr>
        <w:t xml:space="preserve">We conclude that these measures, which will take effect in FY 2013, will </w:t>
      </w:r>
      <w:r w:rsidR="00D5679C" w:rsidRPr="002431C0">
        <w:rPr>
          <w:szCs w:val="22"/>
        </w:rPr>
        <w:t xml:space="preserve">better align regulatory fees with </w:t>
      </w:r>
      <w:r w:rsidR="00824BDF">
        <w:rPr>
          <w:szCs w:val="22"/>
        </w:rPr>
        <w:t>regulatory</w:t>
      </w:r>
      <w:r w:rsidR="00D5679C" w:rsidRPr="002431C0">
        <w:rPr>
          <w:szCs w:val="22"/>
        </w:rPr>
        <w:t xml:space="preserve"> work performed without imposing un</w:t>
      </w:r>
      <w:r w:rsidR="00015478">
        <w:rPr>
          <w:szCs w:val="22"/>
        </w:rPr>
        <w:t>due economic hardship on certain</w:t>
      </w:r>
      <w:r w:rsidR="00D5679C" w:rsidRPr="002431C0">
        <w:rPr>
          <w:szCs w:val="22"/>
        </w:rPr>
        <w:t xml:space="preserve"> regulatees.</w:t>
      </w:r>
    </w:p>
    <w:p w:rsidR="00D5679C" w:rsidRDefault="00824BDF" w:rsidP="00D5679C">
      <w:pPr>
        <w:pStyle w:val="ParaNum"/>
        <w:tabs>
          <w:tab w:val="num" w:pos="1350"/>
        </w:tabs>
        <w:ind w:left="-90"/>
        <w:rPr>
          <w:szCs w:val="22"/>
        </w:rPr>
      </w:pPr>
      <w:r>
        <w:rPr>
          <w:szCs w:val="22"/>
        </w:rPr>
        <w:t xml:space="preserve">This </w:t>
      </w:r>
      <w:r w:rsidRPr="00287DC5">
        <w:rPr>
          <w:szCs w:val="22"/>
        </w:rPr>
        <w:t>Report and Order</w:t>
      </w:r>
      <w:r>
        <w:rPr>
          <w:szCs w:val="22"/>
        </w:rPr>
        <w:t xml:space="preserve"> also adopts several changes </w:t>
      </w:r>
      <w:r w:rsidR="00BB5661">
        <w:rPr>
          <w:szCs w:val="22"/>
        </w:rPr>
        <w:t xml:space="preserve">that </w:t>
      </w:r>
      <w:r>
        <w:rPr>
          <w:szCs w:val="22"/>
        </w:rPr>
        <w:t xml:space="preserve">will take effect in FY 2014.  Among these, </w:t>
      </w:r>
      <w:r w:rsidR="00A051C5" w:rsidRPr="00D5679C">
        <w:rPr>
          <w:szCs w:val="22"/>
        </w:rPr>
        <w:t xml:space="preserve">UHF and VHF </w:t>
      </w:r>
      <w:r w:rsidR="00BB5661">
        <w:rPr>
          <w:szCs w:val="22"/>
        </w:rPr>
        <w:t>t</w:t>
      </w:r>
      <w:r w:rsidR="00A051C5" w:rsidRPr="00D5679C">
        <w:rPr>
          <w:szCs w:val="22"/>
        </w:rPr>
        <w:t>elevision stations</w:t>
      </w:r>
      <w:r w:rsidR="003E175B">
        <w:rPr>
          <w:szCs w:val="22"/>
        </w:rPr>
        <w:t xml:space="preserve"> will be consolidated</w:t>
      </w:r>
      <w:r w:rsidR="00A051C5" w:rsidRPr="00D5679C">
        <w:rPr>
          <w:szCs w:val="22"/>
        </w:rPr>
        <w:t xml:space="preserve"> int</w:t>
      </w:r>
      <w:r w:rsidR="00D5679C" w:rsidRPr="00D5679C">
        <w:rPr>
          <w:szCs w:val="22"/>
        </w:rPr>
        <w:t xml:space="preserve">o one regulatory fee </w:t>
      </w:r>
      <w:r w:rsidR="00CA3559" w:rsidRPr="00D5679C">
        <w:rPr>
          <w:szCs w:val="22"/>
        </w:rPr>
        <w:t>category</w:t>
      </w:r>
      <w:r w:rsidR="00BB5661">
        <w:rPr>
          <w:szCs w:val="22"/>
        </w:rPr>
        <w:t xml:space="preserve">.  We will assess </w:t>
      </w:r>
      <w:r w:rsidR="00A051C5" w:rsidRPr="00D5679C">
        <w:rPr>
          <w:szCs w:val="22"/>
        </w:rPr>
        <w:t>regulatory fees on Internet Protocol TV (IPTV)</w:t>
      </w:r>
      <w:r w:rsidR="00CE7331" w:rsidRPr="00D5679C">
        <w:rPr>
          <w:szCs w:val="22"/>
        </w:rPr>
        <w:t xml:space="preserve"> </w:t>
      </w:r>
      <w:r w:rsidR="00BB5661">
        <w:rPr>
          <w:szCs w:val="22"/>
        </w:rPr>
        <w:t>licensees and we will create</w:t>
      </w:r>
      <w:r w:rsidR="003E175B">
        <w:rPr>
          <w:szCs w:val="22"/>
        </w:rPr>
        <w:t xml:space="preserve"> </w:t>
      </w:r>
      <w:r w:rsidR="005208CC" w:rsidRPr="00D5679C">
        <w:rPr>
          <w:szCs w:val="22"/>
        </w:rPr>
        <w:t xml:space="preserve">a new fee category </w:t>
      </w:r>
      <w:r w:rsidR="00370B00" w:rsidRPr="00D5679C">
        <w:rPr>
          <w:szCs w:val="22"/>
        </w:rPr>
        <w:t xml:space="preserve">that will include both </w:t>
      </w:r>
      <w:r w:rsidR="005208CC" w:rsidRPr="00D5679C">
        <w:rPr>
          <w:szCs w:val="22"/>
        </w:rPr>
        <w:t xml:space="preserve">cable </w:t>
      </w:r>
      <w:r w:rsidR="002C006B" w:rsidRPr="00D5679C">
        <w:rPr>
          <w:szCs w:val="22"/>
        </w:rPr>
        <w:t>television</w:t>
      </w:r>
      <w:r w:rsidR="005208CC" w:rsidRPr="00D5679C">
        <w:rPr>
          <w:szCs w:val="22"/>
        </w:rPr>
        <w:t xml:space="preserve"> and IPTV</w:t>
      </w:r>
      <w:r w:rsidR="00A051C5" w:rsidRPr="00D5679C">
        <w:rPr>
          <w:szCs w:val="22"/>
        </w:rPr>
        <w:t>.</w:t>
      </w:r>
      <w:r w:rsidR="00D5679C">
        <w:rPr>
          <w:szCs w:val="22"/>
        </w:rPr>
        <w:t xml:space="preserve">  </w:t>
      </w:r>
      <w:r w:rsidR="003E175B">
        <w:rPr>
          <w:szCs w:val="22"/>
        </w:rPr>
        <w:t>Beginning in FY 2014</w:t>
      </w:r>
      <w:r w:rsidR="00BC677F">
        <w:rPr>
          <w:szCs w:val="22"/>
        </w:rPr>
        <w:t>,</w:t>
      </w:r>
      <w:r w:rsidR="003E175B">
        <w:rPr>
          <w:szCs w:val="22"/>
        </w:rPr>
        <w:t xml:space="preserve"> we will also </w:t>
      </w:r>
      <w:r w:rsidR="00D5679C" w:rsidRPr="007F7B4B">
        <w:rPr>
          <w:szCs w:val="22"/>
        </w:rPr>
        <w:t xml:space="preserve">require that all regulatory fee payments be made electronically and </w:t>
      </w:r>
      <w:r w:rsidR="003E175B">
        <w:rPr>
          <w:szCs w:val="22"/>
        </w:rPr>
        <w:t xml:space="preserve">we </w:t>
      </w:r>
      <w:r w:rsidR="00D5679C" w:rsidRPr="007F7B4B">
        <w:rPr>
          <w:szCs w:val="22"/>
        </w:rPr>
        <w:t xml:space="preserve">will no longer mail out initial regulatory fee assessments to CMRS licensees.  </w:t>
      </w:r>
      <w:r w:rsidR="00BB5661">
        <w:rPr>
          <w:szCs w:val="22"/>
        </w:rPr>
        <w:t>Finally</w:t>
      </w:r>
      <w:r w:rsidR="003E175B">
        <w:rPr>
          <w:szCs w:val="22"/>
        </w:rPr>
        <w:t>, beginning in FY 2014</w:t>
      </w:r>
      <w:r w:rsidR="00DF1400">
        <w:rPr>
          <w:szCs w:val="22"/>
        </w:rPr>
        <w:t>,</w:t>
      </w:r>
      <w:r w:rsidR="00D5679C" w:rsidRPr="007F7B4B">
        <w:rPr>
          <w:szCs w:val="22"/>
        </w:rPr>
        <w:t xml:space="preserve"> unpaid regulatory fees will be transferred for collection to the U.S. Department of the Treasury at the end of the payment period </w:t>
      </w:r>
      <w:r w:rsidR="003E175B">
        <w:rPr>
          <w:szCs w:val="22"/>
        </w:rPr>
        <w:t>rather tha</w:t>
      </w:r>
      <w:r w:rsidR="00CA3559">
        <w:rPr>
          <w:szCs w:val="22"/>
        </w:rPr>
        <w:t>n</w:t>
      </w:r>
      <w:r w:rsidR="003E175B">
        <w:rPr>
          <w:szCs w:val="22"/>
        </w:rPr>
        <w:t xml:space="preserve"> 1</w:t>
      </w:r>
      <w:r w:rsidR="00D5679C" w:rsidRPr="007F7B4B">
        <w:rPr>
          <w:szCs w:val="22"/>
        </w:rPr>
        <w:t>80 days</w:t>
      </w:r>
      <w:r w:rsidR="003E175B">
        <w:rPr>
          <w:szCs w:val="22"/>
        </w:rPr>
        <w:t xml:space="preserve"> thereafter</w:t>
      </w:r>
      <w:r w:rsidR="00D5679C" w:rsidRPr="007F7B4B">
        <w:rPr>
          <w:szCs w:val="22"/>
        </w:rPr>
        <w:t>.</w:t>
      </w:r>
    </w:p>
    <w:p w:rsidR="00223017" w:rsidRDefault="00E04C3B" w:rsidP="000725D1">
      <w:pPr>
        <w:pStyle w:val="ParaNum"/>
        <w:tabs>
          <w:tab w:val="num" w:pos="1350"/>
        </w:tabs>
        <w:ind w:left="-90"/>
      </w:pPr>
      <w:r>
        <w:t>T</w:t>
      </w:r>
      <w:r w:rsidR="00223017" w:rsidRPr="00223017">
        <w:t xml:space="preserve">he FTE reallocations and the cap on fee increases we adopt today are interim measures that constitute the first step in comprehensively examining and reforming our regulatory fee program so that the fees paid by all licensees will more </w:t>
      </w:r>
      <w:r w:rsidR="00223017">
        <w:t xml:space="preserve">accurately reflect the current </w:t>
      </w:r>
      <w:r w:rsidR="00223017" w:rsidRPr="00223017">
        <w:t xml:space="preserve">cost of regulating them. </w:t>
      </w:r>
      <w:r w:rsidR="005F7F5F">
        <w:t xml:space="preserve"> </w:t>
      </w:r>
      <w:r w:rsidR="005F7F5F" w:rsidRPr="005F7F5F">
        <w:rPr>
          <w:szCs w:val="22"/>
        </w:rPr>
        <w:t xml:space="preserve">Various other issues relevant to revising our regulatory fee program were also raised in either the </w:t>
      </w:r>
      <w:r w:rsidR="005F7F5F" w:rsidRPr="005F7F5F">
        <w:rPr>
          <w:i/>
          <w:szCs w:val="22"/>
        </w:rPr>
        <w:t>FY 2013 NPRM</w:t>
      </w:r>
      <w:r w:rsidR="005F7F5F" w:rsidRPr="005F7F5F">
        <w:rPr>
          <w:szCs w:val="22"/>
        </w:rPr>
        <w:t xml:space="preserve"> or in comments submitted in response to it.  Because we require further information</w:t>
      </w:r>
      <w:r w:rsidR="005F7F5F" w:rsidRPr="005F7F5F">
        <w:t xml:space="preserve"> </w:t>
      </w:r>
      <w:r w:rsidR="005F7F5F" w:rsidRPr="005F7F5F">
        <w:rPr>
          <w:szCs w:val="22"/>
        </w:rPr>
        <w:t>to best determine what action to take on these complex issues,</w:t>
      </w:r>
      <w:r w:rsidR="005F7F5F" w:rsidRPr="005F7F5F">
        <w:t xml:space="preserve"> </w:t>
      </w:r>
      <w:r w:rsidR="005F7F5F" w:rsidRPr="005F7F5F">
        <w:rPr>
          <w:szCs w:val="22"/>
        </w:rPr>
        <w:t>we will consolidate them for consideration in a Second Further Notice</w:t>
      </w:r>
      <w:r w:rsidR="009956EF">
        <w:rPr>
          <w:szCs w:val="22"/>
        </w:rPr>
        <w:t xml:space="preserve"> of Proposed Rulemaking</w:t>
      </w:r>
      <w:r w:rsidR="00882151">
        <w:rPr>
          <w:szCs w:val="22"/>
        </w:rPr>
        <w:t xml:space="preserve"> that we will issue shortly.  </w:t>
      </w:r>
      <w:r w:rsidR="00E801FC">
        <w:rPr>
          <w:szCs w:val="22"/>
        </w:rPr>
        <w:t xml:space="preserve">We </w:t>
      </w:r>
      <w:r w:rsidR="00E801FC" w:rsidRPr="005F7F5F">
        <w:rPr>
          <w:szCs w:val="22"/>
        </w:rPr>
        <w:t xml:space="preserve">recognize that these are complex issues and that resolving them will be difficult. </w:t>
      </w:r>
      <w:r w:rsidR="00E801FC">
        <w:rPr>
          <w:szCs w:val="22"/>
        </w:rPr>
        <w:t xml:space="preserve"> Nevertheless, we </w:t>
      </w:r>
      <w:r w:rsidR="00E801FC" w:rsidRPr="00E801FC">
        <w:t xml:space="preserve">intend to </w:t>
      </w:r>
      <w:r w:rsidR="00E801FC" w:rsidRPr="00D22F24">
        <w:t xml:space="preserve">conclusively readjust </w:t>
      </w:r>
      <w:r w:rsidR="00E801FC">
        <w:t xml:space="preserve">regulatory </w:t>
      </w:r>
      <w:r w:rsidR="00E801FC" w:rsidRPr="00D22F24">
        <w:t>fees</w:t>
      </w:r>
      <w:r w:rsidR="00E801FC" w:rsidRPr="00E801FC">
        <w:t xml:space="preserve"> within three years.</w:t>
      </w:r>
      <w:r w:rsidR="00E801FC" w:rsidRPr="005F7F5F">
        <w:rPr>
          <w:szCs w:val="22"/>
        </w:rPr>
        <w:t xml:space="preserve">   </w:t>
      </w:r>
      <w:r w:rsidR="005F7F5F" w:rsidRPr="005F7F5F">
        <w:rPr>
          <w:szCs w:val="22"/>
        </w:rPr>
        <w:t xml:space="preserve">  </w:t>
      </w:r>
    </w:p>
    <w:p w:rsidR="00A051C5" w:rsidRPr="007F7B4B" w:rsidRDefault="00A051C5" w:rsidP="00A051C5">
      <w:pPr>
        <w:pStyle w:val="Heading1"/>
        <w:rPr>
          <w:rFonts w:ascii="Times New Roman" w:hAnsi="Times New Roman"/>
          <w:szCs w:val="22"/>
        </w:rPr>
      </w:pPr>
      <w:r w:rsidRPr="007F7B4B">
        <w:rPr>
          <w:rFonts w:ascii="Times New Roman" w:hAnsi="Times New Roman"/>
          <w:szCs w:val="22"/>
        </w:rPr>
        <w:t>background</w:t>
      </w:r>
    </w:p>
    <w:p w:rsidR="00F900B8" w:rsidRDefault="00F900B8" w:rsidP="002B0CD7">
      <w:pPr>
        <w:pStyle w:val="ParaNum"/>
        <w:tabs>
          <w:tab w:val="num" w:pos="1350"/>
        </w:tabs>
        <w:ind w:left="-90"/>
      </w:pPr>
      <w:r w:rsidRPr="007F7B4B">
        <w:t>Each year the Commission derives the fees that Congress requires it to collect by determining the full-time equivalent number of employees performing</w:t>
      </w:r>
      <w:r w:rsidR="00744BA3">
        <w:t xml:space="preserve"> the regulatory </w:t>
      </w:r>
      <w:r w:rsidRPr="007F7B4B">
        <w:t xml:space="preserve">activities </w:t>
      </w:r>
      <w:r w:rsidR="00744BA3">
        <w:t xml:space="preserve">specified in section 9(a), </w:t>
      </w:r>
      <w:r w:rsidRPr="007F7B4B">
        <w:t>“adjusted to take into account factors that are reasonably related to the benefits provided to the payer of the fee by the Commission’s activities</w:t>
      </w:r>
      <w:r w:rsidRPr="007F7B4B">
        <w:rPr>
          <w:caps/>
        </w:rPr>
        <w:t>….”</w:t>
      </w:r>
      <w:r w:rsidRPr="007F7B4B">
        <w:rPr>
          <w:rStyle w:val="FootnoteReference"/>
          <w:szCs w:val="22"/>
        </w:rPr>
        <w:footnoteReference w:id="8"/>
      </w:r>
      <w:r w:rsidRPr="007F7B4B">
        <w:t xml:space="preserve">  </w:t>
      </w:r>
      <w:r w:rsidR="00113D8D">
        <w:t>R</w:t>
      </w:r>
      <w:r w:rsidR="00113D8D" w:rsidRPr="005835D5">
        <w:rPr>
          <w:szCs w:val="22"/>
        </w:rPr>
        <w:t xml:space="preserve">egulatory fees </w:t>
      </w:r>
      <w:r w:rsidR="00113D8D">
        <w:rPr>
          <w:szCs w:val="22"/>
        </w:rPr>
        <w:t xml:space="preserve">must also </w:t>
      </w:r>
      <w:r w:rsidR="00113D8D" w:rsidRPr="005835D5">
        <w:rPr>
          <w:szCs w:val="22"/>
        </w:rPr>
        <w:t>cover the costs the Commission incurs in regulating entities that are statutorily exempt from paying regulatory fees,</w:t>
      </w:r>
      <w:r w:rsidR="00113D8D" w:rsidRPr="005835D5">
        <w:rPr>
          <w:rStyle w:val="FootnoteReference"/>
          <w:szCs w:val="22"/>
        </w:rPr>
        <w:footnoteReference w:id="9"/>
      </w:r>
      <w:r w:rsidR="00113D8D" w:rsidRPr="005835D5">
        <w:rPr>
          <w:szCs w:val="22"/>
        </w:rPr>
        <w:t xml:space="preserve"> entities whose regulatory fees are waived,</w:t>
      </w:r>
      <w:r w:rsidR="00113D8D" w:rsidRPr="005835D5">
        <w:rPr>
          <w:rStyle w:val="FootnoteReference"/>
          <w:szCs w:val="22"/>
        </w:rPr>
        <w:footnoteReference w:id="10"/>
      </w:r>
      <w:r w:rsidR="00113D8D" w:rsidRPr="005835D5">
        <w:rPr>
          <w:szCs w:val="22"/>
        </w:rPr>
        <w:t xml:space="preserve"> and entities that provide nonregulated services.</w:t>
      </w:r>
      <w:r w:rsidR="00113D8D" w:rsidRPr="005835D5">
        <w:rPr>
          <w:rStyle w:val="FootnoteReference"/>
          <w:szCs w:val="22"/>
        </w:rPr>
        <w:footnoteReference w:id="11"/>
      </w:r>
      <w:r w:rsidR="00113D8D" w:rsidRPr="005835D5">
        <w:rPr>
          <w:szCs w:val="22"/>
        </w:rPr>
        <w:t xml:space="preserve">  </w:t>
      </w:r>
      <w:r w:rsidRPr="007F7B4B">
        <w:t xml:space="preserve">To calculate regulatory fees, the Commission allocates the total amount to be collected among the various regulatory fee categories.  </w:t>
      </w:r>
      <w:r w:rsidR="001B6501" w:rsidRPr="001B6501">
        <w:rPr>
          <w:szCs w:val="22"/>
        </w:rPr>
        <w:t>This allocation is based on the number of FTEs assigned to work in each regulatory fee category.  FTEs are categorized as “direct” if they are performing regulatory activities in one of the “core” burea</w:t>
      </w:r>
      <w:r w:rsidR="001B6501">
        <w:rPr>
          <w:szCs w:val="22"/>
        </w:rPr>
        <w:t>us, i.e., the Wireless Telecomm</w:t>
      </w:r>
      <w:r w:rsidR="001B6501" w:rsidRPr="001B6501">
        <w:rPr>
          <w:szCs w:val="22"/>
        </w:rPr>
        <w:t>unications, Media, Wireline Competition, and International Bureaus.  All other FTEs are considered “indirect.”</w:t>
      </w:r>
      <w:r w:rsidR="00157B67" w:rsidRPr="007F7B4B">
        <w:rPr>
          <w:rStyle w:val="FootnoteReference"/>
          <w:szCs w:val="22"/>
        </w:rPr>
        <w:footnoteReference w:id="12"/>
      </w:r>
      <w:r w:rsidR="00157B67" w:rsidRPr="007F7B4B">
        <w:t xml:space="preserve"> </w:t>
      </w:r>
      <w:r w:rsidR="00157B67">
        <w:t xml:space="preserve"> </w:t>
      </w:r>
      <w:r w:rsidR="001B6501" w:rsidRPr="001B6501">
        <w:rPr>
          <w:szCs w:val="22"/>
        </w:rPr>
        <w:t xml:space="preserve">The total FTEs for each fee category is determined by counting the number of direct FTEs regulating licensees in that fee category, plus a proportional allocation of indirect FTEs.  </w:t>
      </w:r>
      <w:r w:rsidR="00157B67">
        <w:rPr>
          <w:szCs w:val="22"/>
        </w:rPr>
        <w:t>Finally, e</w:t>
      </w:r>
      <w:r w:rsidRPr="007F7B4B">
        <w:t>ach regulatee within a fee category pays its proportionate share based on an objective measure</w:t>
      </w:r>
      <w:r w:rsidRPr="005721F8">
        <w:t>, e.g.,</w:t>
      </w:r>
      <w:r w:rsidRPr="007F7B4B">
        <w:t xml:space="preserve"> revenues, subscribers, or licenses.</w:t>
      </w:r>
      <w:r w:rsidR="0088462E" w:rsidRPr="007F7B4B">
        <w:rPr>
          <w:rStyle w:val="FootnoteReference"/>
          <w:szCs w:val="22"/>
        </w:rPr>
        <w:footnoteReference w:id="13"/>
      </w:r>
      <w:r w:rsidR="0088462E" w:rsidRPr="007F7B4B">
        <w:t xml:space="preserve"> </w:t>
      </w:r>
      <w:r w:rsidRPr="007F7B4B">
        <w:t xml:space="preserve">  </w:t>
      </w:r>
    </w:p>
    <w:p w:rsidR="00C501E1" w:rsidRDefault="00745D9D" w:rsidP="0042179F">
      <w:pPr>
        <w:pStyle w:val="ParaNum"/>
        <w:widowControl/>
        <w:tabs>
          <w:tab w:val="num" w:pos="1350"/>
        </w:tabs>
        <w:ind w:left="-86"/>
      </w:pPr>
      <w:r w:rsidRPr="007F7B4B">
        <w:t xml:space="preserve">We began </w:t>
      </w:r>
      <w:r w:rsidR="00F900B8">
        <w:t xml:space="preserve">our </w:t>
      </w:r>
      <w:r w:rsidR="00885EF3" w:rsidRPr="007F7B4B">
        <w:t>regulatory</w:t>
      </w:r>
      <w:r w:rsidRPr="007F7B4B">
        <w:t xml:space="preserve"> fee reform analysis in the </w:t>
      </w:r>
      <w:r w:rsidRPr="007F7B4B">
        <w:rPr>
          <w:i/>
        </w:rPr>
        <w:t>FY 2008 Further Notice of Proposed Rulemaking.</w:t>
      </w:r>
      <w:r w:rsidRPr="007F7B4B">
        <w:rPr>
          <w:rStyle w:val="FootnoteReference"/>
          <w:szCs w:val="22"/>
        </w:rPr>
        <w:footnoteReference w:id="14"/>
      </w:r>
      <w:r w:rsidRPr="007F7B4B">
        <w:t xml:space="preserve">  </w:t>
      </w:r>
      <w:r w:rsidR="00273574">
        <w:t>In that proceeding</w:t>
      </w:r>
      <w:r w:rsidR="00BC677F">
        <w:t>,</w:t>
      </w:r>
      <w:r w:rsidR="00273574">
        <w:t xml:space="preserve"> we discussed </w:t>
      </w:r>
      <w:r w:rsidR="00942291">
        <w:t>the need to revise and improve our regulatory fe</w:t>
      </w:r>
      <w:r w:rsidR="00F236E1">
        <w:t xml:space="preserve">e process to better reflect </w:t>
      </w:r>
      <w:r w:rsidR="00942291">
        <w:t>industry</w:t>
      </w:r>
      <w:r w:rsidR="00F236E1">
        <w:t>,</w:t>
      </w:r>
      <w:r w:rsidR="00F236E1" w:rsidRPr="00F236E1">
        <w:t xml:space="preserve"> </w:t>
      </w:r>
      <w:r w:rsidR="00F236E1" w:rsidRPr="00F236E1">
        <w:rPr>
          <w:szCs w:val="22"/>
        </w:rPr>
        <w:t>regulatory, and Commission organizational changes</w:t>
      </w:r>
      <w:r w:rsidR="00942291">
        <w:t>.</w:t>
      </w:r>
      <w:r w:rsidR="00942291">
        <w:rPr>
          <w:rStyle w:val="FootnoteReference"/>
          <w:szCs w:val="22"/>
        </w:rPr>
        <w:footnoteReference w:id="15"/>
      </w:r>
      <w:r w:rsidR="00B64EB2">
        <w:t xml:space="preserve">  We sought comment on </w:t>
      </w:r>
      <w:r w:rsidR="00447A0E">
        <w:t xml:space="preserve">several issues, e.g., reviewing </w:t>
      </w:r>
      <w:r w:rsidR="00B64EB2">
        <w:t>FTE allocation</w:t>
      </w:r>
      <w:r w:rsidR="00B35BDC">
        <w:t>s,</w:t>
      </w:r>
      <w:r w:rsidR="00447A0E">
        <w:rPr>
          <w:rStyle w:val="FootnoteReference"/>
          <w:szCs w:val="22"/>
        </w:rPr>
        <w:footnoteReference w:id="16"/>
      </w:r>
      <w:r w:rsidR="00B35BDC">
        <w:t xml:space="preserve"> </w:t>
      </w:r>
      <w:r w:rsidR="00447A0E">
        <w:t xml:space="preserve">adding wireless providers to the </w:t>
      </w:r>
      <w:r w:rsidR="00B35BDC">
        <w:t xml:space="preserve">ITSP </w:t>
      </w:r>
      <w:r w:rsidR="00447A0E">
        <w:t>category</w:t>
      </w:r>
      <w:r w:rsidR="00B35BDC">
        <w:t>,</w:t>
      </w:r>
      <w:r w:rsidR="00B35BDC">
        <w:rPr>
          <w:rStyle w:val="FootnoteReference"/>
          <w:szCs w:val="22"/>
        </w:rPr>
        <w:footnoteReference w:id="17"/>
      </w:r>
      <w:r w:rsidR="00B35BDC">
        <w:t xml:space="preserve"> adding a category for IPTV,</w:t>
      </w:r>
      <w:r w:rsidR="00B35BDC">
        <w:rPr>
          <w:rStyle w:val="FootnoteReference"/>
          <w:szCs w:val="22"/>
        </w:rPr>
        <w:footnoteReference w:id="18"/>
      </w:r>
      <w:r w:rsidR="00B35BDC">
        <w:t xml:space="preserve"> and adopting a per-subscriber fee for </w:t>
      </w:r>
      <w:r w:rsidR="004540E1" w:rsidRPr="007F7B4B">
        <w:rPr>
          <w:szCs w:val="22"/>
        </w:rPr>
        <w:t xml:space="preserve">direct broadcast satellite </w:t>
      </w:r>
      <w:r w:rsidR="004540E1">
        <w:rPr>
          <w:szCs w:val="22"/>
        </w:rPr>
        <w:t>(</w:t>
      </w:r>
      <w:r w:rsidR="00B35BDC">
        <w:t>DBS</w:t>
      </w:r>
      <w:r w:rsidR="004540E1">
        <w:t>)</w:t>
      </w:r>
      <w:r w:rsidR="00B35BDC">
        <w:t>.</w:t>
      </w:r>
      <w:r w:rsidR="00B35BDC">
        <w:rPr>
          <w:rStyle w:val="FootnoteReference"/>
          <w:szCs w:val="22"/>
        </w:rPr>
        <w:footnoteReference w:id="19"/>
      </w:r>
      <w:r w:rsidR="00B35BDC">
        <w:t xml:space="preserve">  </w:t>
      </w:r>
      <w:r w:rsidR="00617CC9">
        <w:t>Lacking a sufficient record, w</w:t>
      </w:r>
      <w:r w:rsidR="00AD2EBC">
        <w:t xml:space="preserve">e did not take any further action on general </w:t>
      </w:r>
      <w:r w:rsidR="0099631A">
        <w:t xml:space="preserve">industry-wide </w:t>
      </w:r>
      <w:r w:rsidR="00AD2EBC">
        <w:t xml:space="preserve">regulatory fee reform at that time; </w:t>
      </w:r>
      <w:r w:rsidR="00617CC9">
        <w:t>although</w:t>
      </w:r>
      <w:r w:rsidR="00AD2EBC">
        <w:t xml:space="preserve"> </w:t>
      </w:r>
      <w:r w:rsidR="007B4D77">
        <w:t xml:space="preserve">we took a significant step in regulatory fee reform </w:t>
      </w:r>
      <w:r w:rsidR="00AD2EBC">
        <w:t>i</w:t>
      </w:r>
      <w:r w:rsidR="00AD2EBC" w:rsidRPr="00A1103B">
        <w:t>n the</w:t>
      </w:r>
      <w:r w:rsidR="00C501E1">
        <w:t xml:space="preserve"> subsequent</w:t>
      </w:r>
      <w:r w:rsidR="00AD2EBC" w:rsidRPr="00A1103B">
        <w:t xml:space="preserve"> </w:t>
      </w:r>
      <w:r w:rsidR="00AD2EBC" w:rsidRPr="00A1103B">
        <w:rPr>
          <w:i/>
        </w:rPr>
        <w:t>Submarine Cable Order</w:t>
      </w:r>
      <w:r w:rsidR="00C501E1">
        <w:t xml:space="preserve"> </w:t>
      </w:r>
      <w:r w:rsidR="007B4D77">
        <w:t xml:space="preserve">wherein </w:t>
      </w:r>
      <w:r w:rsidR="00C501E1">
        <w:t>we</w:t>
      </w:r>
      <w:r w:rsidR="00AD2EBC" w:rsidRPr="00A1103B">
        <w:t xml:space="preserve"> adopted a new submarine cable bearer circuit methodology </w:t>
      </w:r>
      <w:r w:rsidR="00617CC9">
        <w:t xml:space="preserve">for </w:t>
      </w:r>
      <w:r w:rsidR="00AD2EBC" w:rsidRPr="00A1103B">
        <w:t>assess</w:t>
      </w:r>
      <w:r w:rsidR="00617CC9">
        <w:t>ing</w:t>
      </w:r>
      <w:r w:rsidR="00AD2EBC" w:rsidRPr="00A1103B">
        <w:t xml:space="preserve"> regulatory fees on a cable landing license basis</w:t>
      </w:r>
      <w:r w:rsidR="00617CC9">
        <w:t>.</w:t>
      </w:r>
      <w:r w:rsidR="00AD2EBC" w:rsidRPr="00A1103B">
        <w:rPr>
          <w:rStyle w:val="FootnoteReference"/>
          <w:szCs w:val="22"/>
        </w:rPr>
        <w:footnoteReference w:id="20"/>
      </w:r>
      <w:r w:rsidR="00AD2EBC" w:rsidRPr="00A1103B">
        <w:t xml:space="preserve">   </w:t>
      </w:r>
    </w:p>
    <w:p w:rsidR="00F900B8" w:rsidRPr="00ED4B7D" w:rsidRDefault="00745D9D" w:rsidP="00B23147">
      <w:pPr>
        <w:pStyle w:val="ParaNum"/>
        <w:tabs>
          <w:tab w:val="num" w:pos="1350"/>
        </w:tabs>
        <w:ind w:left="-90"/>
        <w:rPr>
          <w:szCs w:val="22"/>
        </w:rPr>
      </w:pPr>
      <w:r w:rsidRPr="00ED4B7D">
        <w:rPr>
          <w:szCs w:val="22"/>
        </w:rPr>
        <w:t>In 2012, a report on the Commission’s regulatory fee program issued by the Government Accountability Office provided support for a</w:t>
      </w:r>
      <w:r w:rsidR="00E90FB2">
        <w:rPr>
          <w:szCs w:val="22"/>
        </w:rPr>
        <w:t xml:space="preserve"> </w:t>
      </w:r>
      <w:r w:rsidRPr="00ED4B7D">
        <w:rPr>
          <w:szCs w:val="22"/>
        </w:rPr>
        <w:t>fundamental reevaluation of how to align regulatory fees more closely with regulatory costs.</w:t>
      </w:r>
      <w:r w:rsidRPr="007F7B4B">
        <w:rPr>
          <w:rStyle w:val="FootnoteReference"/>
          <w:szCs w:val="22"/>
        </w:rPr>
        <w:footnoteReference w:id="21"/>
      </w:r>
      <w:r w:rsidRPr="00ED4B7D">
        <w:rPr>
          <w:szCs w:val="22"/>
        </w:rPr>
        <w:t xml:space="preserve">  In </w:t>
      </w:r>
      <w:r w:rsidR="00E95537">
        <w:rPr>
          <w:szCs w:val="22"/>
        </w:rPr>
        <w:t>the</w:t>
      </w:r>
      <w:r w:rsidRPr="00ED4B7D">
        <w:rPr>
          <w:szCs w:val="22"/>
        </w:rPr>
        <w:t xml:space="preserve"> </w:t>
      </w:r>
      <w:r w:rsidRPr="00ED4B7D">
        <w:rPr>
          <w:i/>
          <w:szCs w:val="22"/>
        </w:rPr>
        <w:t>FY 2012 NPRM</w:t>
      </w:r>
      <w:r w:rsidR="00ED00FB">
        <w:rPr>
          <w:szCs w:val="22"/>
        </w:rPr>
        <w:t>,</w:t>
      </w:r>
      <w:r w:rsidR="00E95537">
        <w:rPr>
          <w:rStyle w:val="FootnoteReference"/>
          <w:szCs w:val="22"/>
        </w:rPr>
        <w:footnoteReference w:id="22"/>
      </w:r>
      <w:r w:rsidRPr="00ED4B7D">
        <w:rPr>
          <w:szCs w:val="22"/>
        </w:rPr>
        <w:t xml:space="preserve"> </w:t>
      </w:r>
      <w:r w:rsidR="00E95537">
        <w:t xml:space="preserve">we acknowledged that the FTE allocations were outdated; that revising the allocations based on FTEs, without other adjustments, would drastically increase the regulatory fees for International Bureau regulatees; and </w:t>
      </w:r>
      <w:r w:rsidR="008F6BD3">
        <w:t xml:space="preserve">we </w:t>
      </w:r>
      <w:r w:rsidR="00E95537">
        <w:t xml:space="preserve">suggested that not all International Bureau FTEs should be considered direct FTEs.  Comments filed to the </w:t>
      </w:r>
      <w:r w:rsidR="00E95537" w:rsidRPr="00100C17">
        <w:rPr>
          <w:i/>
        </w:rPr>
        <w:t>FY 2012 N</w:t>
      </w:r>
      <w:r w:rsidR="00E95537">
        <w:rPr>
          <w:i/>
        </w:rPr>
        <w:t>PR</w:t>
      </w:r>
      <w:r w:rsidR="00E95537" w:rsidRPr="00100C17">
        <w:rPr>
          <w:i/>
        </w:rPr>
        <w:t>M</w:t>
      </w:r>
      <w:r w:rsidR="00E95537">
        <w:t xml:space="preserve"> were similar to those filed by those commenters in this proceeding</w:t>
      </w:r>
      <w:r w:rsidRPr="00ED4B7D">
        <w:rPr>
          <w:szCs w:val="22"/>
        </w:rPr>
        <w:t>.</w:t>
      </w:r>
      <w:r w:rsidRPr="007F7B4B">
        <w:rPr>
          <w:rStyle w:val="FootnoteReference"/>
          <w:szCs w:val="22"/>
        </w:rPr>
        <w:footnoteReference w:id="23"/>
      </w:r>
      <w:bookmarkStart w:id="10" w:name="_Toc353987718"/>
      <w:r w:rsidR="00804591">
        <w:rPr>
          <w:szCs w:val="22"/>
        </w:rPr>
        <w:t xml:space="preserve"> </w:t>
      </w:r>
    </w:p>
    <w:p w:rsidR="00FE6773" w:rsidRDefault="00804591" w:rsidP="002B0CD7">
      <w:pPr>
        <w:pStyle w:val="ParaNum"/>
        <w:tabs>
          <w:tab w:val="num" w:pos="1350"/>
        </w:tabs>
        <w:ind w:left="-90"/>
      </w:pPr>
      <w:r>
        <w:t>In</w:t>
      </w:r>
      <w:r w:rsidR="001144AB" w:rsidRPr="007F7B4B">
        <w:t xml:space="preserve"> the </w:t>
      </w:r>
      <w:r w:rsidR="00F900B8">
        <w:rPr>
          <w:i/>
        </w:rPr>
        <w:t>FY 2013 NPR</w:t>
      </w:r>
      <w:r w:rsidR="001144AB" w:rsidRPr="007F7B4B">
        <w:rPr>
          <w:i/>
        </w:rPr>
        <w:t>M</w:t>
      </w:r>
      <w:r w:rsidR="0088043A" w:rsidRPr="007F7B4B">
        <w:t>,</w:t>
      </w:r>
      <w:r w:rsidR="00DB3458" w:rsidRPr="007F7B4B">
        <w:t xml:space="preserve"> </w:t>
      </w:r>
      <w:r w:rsidR="001144AB" w:rsidRPr="007F7B4B">
        <w:t xml:space="preserve">we tentatively concluded that our methodology of </w:t>
      </w:r>
      <w:r w:rsidR="0014590B">
        <w:t xml:space="preserve">assigning </w:t>
      </w:r>
      <w:r w:rsidR="001144AB" w:rsidRPr="007F7B4B">
        <w:t xml:space="preserve">direct and indirect FTEs should be revised to </w:t>
      </w:r>
      <w:r w:rsidR="00103E14">
        <w:t xml:space="preserve">use current FTE data and that we should reexamine how </w:t>
      </w:r>
      <w:r w:rsidR="001144AB" w:rsidRPr="007F7B4B">
        <w:t xml:space="preserve">the direct and indirect costs </w:t>
      </w:r>
      <w:r w:rsidR="00FE6773">
        <w:t xml:space="preserve">of our current regulatory activities </w:t>
      </w:r>
      <w:r w:rsidR="00103E14">
        <w:t>are allocated among various categories of Commission licensees</w:t>
      </w:r>
      <w:r w:rsidR="001144AB" w:rsidRPr="007F7B4B">
        <w:t>.</w:t>
      </w:r>
      <w:r w:rsidR="0020132C" w:rsidRPr="007F7B4B">
        <w:rPr>
          <w:rStyle w:val="FootnoteReference"/>
          <w:szCs w:val="22"/>
        </w:rPr>
        <w:footnoteReference w:id="24"/>
      </w:r>
      <w:r w:rsidR="001144AB" w:rsidRPr="007F7B4B">
        <w:t xml:space="preserve">  </w:t>
      </w:r>
      <w:r w:rsidR="00FE6773">
        <w:t>B</w:t>
      </w:r>
      <w:r w:rsidR="001144AB" w:rsidRPr="007F7B4B">
        <w:t xml:space="preserve">ecause any change in the allocation of the regulatory fee amount for one category of fee payors necessarily affects the fees paid by payors in all </w:t>
      </w:r>
      <w:r w:rsidR="00FE6773">
        <w:t>o</w:t>
      </w:r>
      <w:r w:rsidR="001144AB" w:rsidRPr="007F7B4B">
        <w:t>ther fee categories</w:t>
      </w:r>
      <w:r w:rsidR="00FE6773">
        <w:t xml:space="preserve">, we also proposed that such revisions should take into account the impact on all regulatees.  </w:t>
      </w:r>
      <w:r w:rsidR="00287DC5">
        <w:t>We proposed that the International Bureau should no longer be entirely classified as a “core bureau.”</w:t>
      </w:r>
      <w:r w:rsidR="00287DC5">
        <w:rPr>
          <w:rStyle w:val="FootnoteReference"/>
        </w:rPr>
        <w:footnoteReference w:id="25"/>
      </w:r>
      <w:r w:rsidR="00287DC5">
        <w:t xml:space="preserve">  </w:t>
      </w:r>
      <w:r w:rsidR="00FE6773">
        <w:t>We soug</w:t>
      </w:r>
      <w:r w:rsidR="001144AB" w:rsidRPr="007F7B4B">
        <w:t>ht comment on</w:t>
      </w:r>
      <w:r w:rsidR="00BC7561" w:rsidRPr="007F7B4B">
        <w:t xml:space="preserve"> </w:t>
      </w:r>
      <w:r w:rsidR="008E7E2D">
        <w:t xml:space="preserve">specific proposals </w:t>
      </w:r>
      <w:r w:rsidR="00103E14">
        <w:t xml:space="preserve">to revise </w:t>
      </w:r>
      <w:r w:rsidR="001144AB" w:rsidRPr="007F7B4B">
        <w:t xml:space="preserve">the </w:t>
      </w:r>
      <w:r w:rsidR="00103E14">
        <w:t>allocation</w:t>
      </w:r>
      <w:r w:rsidR="001144AB" w:rsidRPr="007F7B4B">
        <w:t xml:space="preserve"> of direct and indirect FTEs </w:t>
      </w:r>
      <w:r w:rsidR="008E7E2D" w:rsidRPr="008E7E2D">
        <w:rPr>
          <w:szCs w:val="22"/>
        </w:rPr>
        <w:t>as well as on more general policy and procedural proposals to assure that regulatory fees are equitable, administrable, and sustainable</w:t>
      </w:r>
      <w:bookmarkEnd w:id="10"/>
      <w:r w:rsidR="004777BD" w:rsidRPr="007F7B4B">
        <w:t>.</w:t>
      </w:r>
      <w:r w:rsidR="00234340" w:rsidRPr="007F7B4B">
        <w:rPr>
          <w:rStyle w:val="FootnoteReference"/>
          <w:szCs w:val="22"/>
        </w:rPr>
        <w:footnoteReference w:id="26"/>
      </w:r>
      <w:r w:rsidR="004777BD" w:rsidRPr="007F7B4B">
        <w:t xml:space="preserve">  </w:t>
      </w:r>
    </w:p>
    <w:p w:rsidR="00356D85" w:rsidRPr="007F7B4B" w:rsidRDefault="009F190A" w:rsidP="00836FF4">
      <w:pPr>
        <w:pStyle w:val="Heading1"/>
        <w:rPr>
          <w:rFonts w:ascii="Times New Roman" w:hAnsi="Times New Roman"/>
          <w:szCs w:val="22"/>
        </w:rPr>
      </w:pPr>
      <w:r w:rsidRPr="007F7B4B">
        <w:rPr>
          <w:rFonts w:ascii="Times New Roman" w:hAnsi="Times New Roman"/>
          <w:szCs w:val="22"/>
        </w:rPr>
        <w:t>discu</w:t>
      </w:r>
      <w:r w:rsidR="001D6BCB">
        <w:rPr>
          <w:rFonts w:ascii="Times New Roman" w:hAnsi="Times New Roman"/>
          <w:szCs w:val="22"/>
        </w:rPr>
        <w:t>S</w:t>
      </w:r>
      <w:r w:rsidRPr="007F7B4B">
        <w:rPr>
          <w:rFonts w:ascii="Times New Roman" w:hAnsi="Times New Roman"/>
          <w:szCs w:val="22"/>
        </w:rPr>
        <w:t>sion</w:t>
      </w:r>
    </w:p>
    <w:p w:rsidR="00530E10" w:rsidRPr="007F7B4B" w:rsidRDefault="00AC7640" w:rsidP="00021D5D">
      <w:pPr>
        <w:pStyle w:val="Heading2"/>
      </w:pPr>
      <w:r>
        <w:t>Using Current FTE Data</w:t>
      </w:r>
    </w:p>
    <w:p w:rsidR="00B85183" w:rsidRPr="00B85183" w:rsidRDefault="005B3F5F" w:rsidP="00B23147">
      <w:pPr>
        <w:pStyle w:val="ParaNum"/>
        <w:tabs>
          <w:tab w:val="num" w:pos="1350"/>
        </w:tabs>
        <w:ind w:left="-90"/>
      </w:pPr>
      <w:r w:rsidRPr="007F7B4B">
        <w:t xml:space="preserve">As discussed in the </w:t>
      </w:r>
      <w:r w:rsidRPr="007F7B4B">
        <w:rPr>
          <w:i/>
        </w:rPr>
        <w:t>FY 2013 NPRM</w:t>
      </w:r>
      <w:r w:rsidRPr="007F7B4B">
        <w:t>, t</w:t>
      </w:r>
      <w:r w:rsidR="006B5AE6" w:rsidRPr="007F7B4B">
        <w:t xml:space="preserve">he current allocations of direct and indirect </w:t>
      </w:r>
      <w:r w:rsidR="00C114D1" w:rsidRPr="007F7B4B">
        <w:t>FTEs</w:t>
      </w:r>
      <w:r w:rsidR="006B5AE6" w:rsidRPr="007F7B4B">
        <w:t xml:space="preserve"> are taken from </w:t>
      </w:r>
      <w:r w:rsidR="00C114D1" w:rsidRPr="007F7B4B">
        <w:t>FTE</w:t>
      </w:r>
      <w:r w:rsidR="006B5AE6" w:rsidRPr="007F7B4B">
        <w:t xml:space="preserve"> data compiled in </w:t>
      </w:r>
      <w:r w:rsidR="00C114D1" w:rsidRPr="007F7B4B">
        <w:t>FY</w:t>
      </w:r>
      <w:r w:rsidR="006B5AE6" w:rsidRPr="007F7B4B">
        <w:t xml:space="preserve"> 1998</w:t>
      </w:r>
      <w:r w:rsidR="00BD7E45" w:rsidRPr="007F7B4B">
        <w:t xml:space="preserve"> and </w:t>
      </w:r>
      <w:r w:rsidR="00CE702C">
        <w:t xml:space="preserve">may </w:t>
      </w:r>
      <w:r w:rsidR="00BD7E45" w:rsidRPr="007F7B4B">
        <w:t>no longer accurate</w:t>
      </w:r>
      <w:r w:rsidR="00B5582E">
        <w:t>ly reflect the time that Commission employees devote to these activities</w:t>
      </w:r>
      <w:r w:rsidR="006B5AE6" w:rsidRPr="007F7B4B">
        <w:t>.</w:t>
      </w:r>
      <w:r w:rsidR="006B5AE6" w:rsidRPr="007F7B4B">
        <w:rPr>
          <w:rStyle w:val="FootnoteReference"/>
          <w:szCs w:val="22"/>
        </w:rPr>
        <w:footnoteReference w:id="27"/>
      </w:r>
      <w:r w:rsidR="006B5AE6" w:rsidRPr="007F7B4B">
        <w:t xml:space="preserve">  </w:t>
      </w:r>
      <w:r w:rsidR="00644276" w:rsidRPr="007F7B4B">
        <w:t>For example,</w:t>
      </w:r>
      <w:r w:rsidR="006B5AE6" w:rsidRPr="007F7B4B">
        <w:rPr>
          <w:spacing w:val="-2"/>
        </w:rPr>
        <w:t xml:space="preserve"> </w:t>
      </w:r>
      <w:r w:rsidR="00E36728">
        <w:rPr>
          <w:spacing w:val="-2"/>
        </w:rPr>
        <w:t xml:space="preserve">using 1998 FTE data results in </w:t>
      </w:r>
      <w:r w:rsidR="00404533">
        <w:rPr>
          <w:spacing w:val="-2"/>
        </w:rPr>
        <w:t>ITSPs</w:t>
      </w:r>
      <w:r w:rsidR="00335F7B">
        <w:rPr>
          <w:spacing w:val="-2"/>
        </w:rPr>
        <w:t xml:space="preserve"> </w:t>
      </w:r>
      <w:r w:rsidR="006B5AE6" w:rsidRPr="007F7B4B">
        <w:rPr>
          <w:spacing w:val="-2"/>
        </w:rPr>
        <w:t>pay</w:t>
      </w:r>
      <w:r w:rsidR="00E36728">
        <w:rPr>
          <w:spacing w:val="-2"/>
        </w:rPr>
        <w:t>ing</w:t>
      </w:r>
      <w:r w:rsidR="006B5AE6" w:rsidRPr="007F7B4B">
        <w:rPr>
          <w:spacing w:val="-2"/>
        </w:rPr>
        <w:t xml:space="preserve"> 47 percent of the total annual regulatory fee collection, while the </w:t>
      </w:r>
      <w:r w:rsidR="00B161F6" w:rsidRPr="007F7B4B">
        <w:rPr>
          <w:spacing w:val="-2"/>
        </w:rPr>
        <w:t>W</w:t>
      </w:r>
      <w:r w:rsidR="006B5AE6" w:rsidRPr="007F7B4B">
        <w:rPr>
          <w:spacing w:val="-2"/>
        </w:rPr>
        <w:t xml:space="preserve">ireline </w:t>
      </w:r>
      <w:r w:rsidR="00B161F6" w:rsidRPr="007F7B4B">
        <w:rPr>
          <w:spacing w:val="-2"/>
        </w:rPr>
        <w:t>C</w:t>
      </w:r>
      <w:r w:rsidR="006B5AE6" w:rsidRPr="007F7B4B">
        <w:rPr>
          <w:spacing w:val="-2"/>
        </w:rPr>
        <w:t xml:space="preserve">ompetition </w:t>
      </w:r>
      <w:r w:rsidR="00B161F6" w:rsidRPr="007F7B4B">
        <w:rPr>
          <w:spacing w:val="-2"/>
        </w:rPr>
        <w:t>B</w:t>
      </w:r>
      <w:r w:rsidR="006B5AE6" w:rsidRPr="007F7B4B">
        <w:rPr>
          <w:spacing w:val="-2"/>
        </w:rPr>
        <w:t xml:space="preserve">ureau employs 29.2 percent of the </w:t>
      </w:r>
      <w:r w:rsidR="00B161F6" w:rsidRPr="007F7B4B">
        <w:rPr>
          <w:spacing w:val="-2"/>
        </w:rPr>
        <w:t>C</w:t>
      </w:r>
      <w:r w:rsidR="006B5AE6" w:rsidRPr="007F7B4B">
        <w:rPr>
          <w:spacing w:val="-2"/>
        </w:rPr>
        <w:t xml:space="preserve">ommission’s direct </w:t>
      </w:r>
      <w:r w:rsidR="00C114D1" w:rsidRPr="007F7B4B">
        <w:rPr>
          <w:spacing w:val="-2"/>
        </w:rPr>
        <w:t>FTE</w:t>
      </w:r>
      <w:r w:rsidR="006B5AE6" w:rsidRPr="007F7B4B">
        <w:rPr>
          <w:spacing w:val="-2"/>
        </w:rPr>
        <w:t xml:space="preserve">s.  </w:t>
      </w:r>
      <w:r w:rsidR="00E36728">
        <w:rPr>
          <w:spacing w:val="-2"/>
        </w:rPr>
        <w:t xml:space="preserve">To address this anomaly, </w:t>
      </w:r>
      <w:r w:rsidR="00B85183" w:rsidRPr="00B85183">
        <w:rPr>
          <w:spacing w:val="-2"/>
          <w:szCs w:val="22"/>
        </w:rPr>
        <w:t xml:space="preserve">in the </w:t>
      </w:r>
      <w:r w:rsidR="00B85183" w:rsidRPr="00B85183">
        <w:rPr>
          <w:i/>
          <w:spacing w:val="-2"/>
          <w:szCs w:val="22"/>
        </w:rPr>
        <w:t xml:space="preserve">FY </w:t>
      </w:r>
      <w:r w:rsidR="00CE702C">
        <w:rPr>
          <w:i/>
          <w:spacing w:val="-2"/>
          <w:szCs w:val="22"/>
        </w:rPr>
        <w:t>20</w:t>
      </w:r>
      <w:r w:rsidR="00B85183" w:rsidRPr="00B85183">
        <w:rPr>
          <w:i/>
          <w:spacing w:val="-2"/>
          <w:szCs w:val="22"/>
        </w:rPr>
        <w:t>13 NPRM</w:t>
      </w:r>
      <w:r w:rsidR="00B85183" w:rsidRPr="00B85183">
        <w:rPr>
          <w:spacing w:val="-2"/>
          <w:szCs w:val="22"/>
        </w:rPr>
        <w:t xml:space="preserve"> we proposed to use </w:t>
      </w:r>
      <w:r w:rsidR="00E36728">
        <w:rPr>
          <w:spacing w:val="-2"/>
          <w:szCs w:val="22"/>
        </w:rPr>
        <w:t>current</w:t>
      </w:r>
      <w:r w:rsidR="00B85183" w:rsidRPr="00B85183">
        <w:rPr>
          <w:spacing w:val="-2"/>
          <w:szCs w:val="22"/>
        </w:rPr>
        <w:t xml:space="preserve"> FY 2012 FTE data.</w:t>
      </w:r>
      <w:r w:rsidR="005B5146">
        <w:rPr>
          <w:rStyle w:val="FootnoteReference"/>
          <w:spacing w:val="-2"/>
          <w:szCs w:val="22"/>
        </w:rPr>
        <w:footnoteReference w:id="28"/>
      </w:r>
      <w:r w:rsidR="00B85183" w:rsidRPr="00B85183">
        <w:rPr>
          <w:spacing w:val="-2"/>
          <w:szCs w:val="22"/>
        </w:rPr>
        <w:t xml:space="preserve">  </w:t>
      </w:r>
      <w:r w:rsidR="007C5BFA">
        <w:rPr>
          <w:spacing w:val="-2"/>
          <w:szCs w:val="22"/>
        </w:rPr>
        <w:t>Several c</w:t>
      </w:r>
      <w:r w:rsidR="00CE702C">
        <w:rPr>
          <w:spacing w:val="-2"/>
          <w:szCs w:val="22"/>
        </w:rPr>
        <w:t>ommenters</w:t>
      </w:r>
      <w:r w:rsidR="00E36728">
        <w:rPr>
          <w:spacing w:val="-2"/>
          <w:szCs w:val="22"/>
        </w:rPr>
        <w:t xml:space="preserve">, </w:t>
      </w:r>
      <w:r w:rsidR="005872AC">
        <w:rPr>
          <w:spacing w:val="-2"/>
          <w:szCs w:val="22"/>
        </w:rPr>
        <w:t xml:space="preserve">e.g., </w:t>
      </w:r>
      <w:r w:rsidR="00E36728">
        <w:rPr>
          <w:spacing w:val="-2"/>
          <w:szCs w:val="22"/>
        </w:rPr>
        <w:t xml:space="preserve">ITTA, AT&amp;T, CTIA, and USTA, </w:t>
      </w:r>
      <w:r w:rsidR="00CE702C">
        <w:rPr>
          <w:spacing w:val="-2"/>
          <w:szCs w:val="22"/>
        </w:rPr>
        <w:t xml:space="preserve">generally </w:t>
      </w:r>
      <w:r w:rsidR="00B85183" w:rsidRPr="00B85183">
        <w:rPr>
          <w:spacing w:val="-2"/>
          <w:szCs w:val="22"/>
        </w:rPr>
        <w:t>supported this proposal</w:t>
      </w:r>
      <w:r w:rsidR="00CE702C">
        <w:rPr>
          <w:spacing w:val="-2"/>
          <w:szCs w:val="22"/>
        </w:rPr>
        <w:t>.</w:t>
      </w:r>
      <w:r w:rsidR="00CE702C">
        <w:rPr>
          <w:rStyle w:val="FootnoteReference"/>
          <w:spacing w:val="-2"/>
          <w:szCs w:val="22"/>
        </w:rPr>
        <w:footnoteReference w:id="29"/>
      </w:r>
      <w:r w:rsidR="00B85183" w:rsidRPr="00B85183">
        <w:rPr>
          <w:spacing w:val="-2"/>
          <w:szCs w:val="22"/>
        </w:rPr>
        <w:t xml:space="preserve"> </w:t>
      </w:r>
      <w:r w:rsidR="00CE702C">
        <w:rPr>
          <w:spacing w:val="-2"/>
          <w:szCs w:val="22"/>
        </w:rPr>
        <w:t xml:space="preserve"> </w:t>
      </w:r>
      <w:r w:rsidR="00B85183">
        <w:rPr>
          <w:spacing w:val="-2"/>
          <w:szCs w:val="22"/>
        </w:rPr>
        <w:t>NAB</w:t>
      </w:r>
      <w:r w:rsidR="00B85183" w:rsidRPr="00B85183">
        <w:rPr>
          <w:spacing w:val="-2"/>
          <w:szCs w:val="22"/>
        </w:rPr>
        <w:t xml:space="preserve"> </w:t>
      </w:r>
      <w:r w:rsidR="006E5D92">
        <w:rPr>
          <w:spacing w:val="-2"/>
          <w:szCs w:val="22"/>
        </w:rPr>
        <w:t xml:space="preserve">and other commenters suggest </w:t>
      </w:r>
      <w:r w:rsidR="00B85183" w:rsidRPr="00B85183">
        <w:rPr>
          <w:spacing w:val="-2"/>
          <w:szCs w:val="22"/>
        </w:rPr>
        <w:t>that we defer using this data until we complete an examination of the effects of implementing it.</w:t>
      </w:r>
      <w:r w:rsidR="00B85183">
        <w:rPr>
          <w:rStyle w:val="FootnoteReference"/>
          <w:spacing w:val="-2"/>
          <w:szCs w:val="22"/>
        </w:rPr>
        <w:footnoteReference w:id="30"/>
      </w:r>
      <w:r w:rsidR="00B85183" w:rsidRPr="00B85183">
        <w:rPr>
          <w:spacing w:val="-2"/>
          <w:szCs w:val="22"/>
        </w:rPr>
        <w:t xml:space="preserve">  We find that it is consistent with section 9 of the Act to better align, to the extent feasible, regulatory fees with the current costs of Commission oversight and regulation and that the critical issue, noted by NAB and other commenters, is how to equitably resolve the </w:t>
      </w:r>
      <w:r w:rsidR="005703B5">
        <w:rPr>
          <w:spacing w:val="-2"/>
          <w:szCs w:val="22"/>
        </w:rPr>
        <w:t>issues</w:t>
      </w:r>
      <w:r w:rsidR="00B85183" w:rsidRPr="00B85183">
        <w:rPr>
          <w:spacing w:val="-2"/>
          <w:szCs w:val="22"/>
        </w:rPr>
        <w:t xml:space="preserve"> of fairness and administrability </w:t>
      </w:r>
      <w:r w:rsidR="00244892">
        <w:rPr>
          <w:spacing w:val="-2"/>
          <w:szCs w:val="22"/>
        </w:rPr>
        <w:t>in using the new data.</w:t>
      </w:r>
      <w:r w:rsidR="00B85183" w:rsidRPr="00B85183">
        <w:rPr>
          <w:spacing w:val="-2"/>
          <w:szCs w:val="22"/>
        </w:rPr>
        <w:t xml:space="preserve">  </w:t>
      </w:r>
      <w:r w:rsidR="00B85183">
        <w:rPr>
          <w:spacing w:val="-2"/>
          <w:szCs w:val="22"/>
        </w:rPr>
        <w:t xml:space="preserve">  </w:t>
      </w:r>
    </w:p>
    <w:p w:rsidR="002841F1" w:rsidRPr="00E36728" w:rsidRDefault="00B85183" w:rsidP="00B23147">
      <w:pPr>
        <w:pStyle w:val="ParaNum"/>
        <w:tabs>
          <w:tab w:val="num" w:pos="1350"/>
        </w:tabs>
        <w:ind w:left="-90"/>
        <w:rPr>
          <w:b/>
          <w:spacing w:val="-2"/>
          <w:szCs w:val="22"/>
        </w:rPr>
      </w:pPr>
      <w:r w:rsidRPr="00B85183">
        <w:rPr>
          <w:spacing w:val="-2"/>
          <w:szCs w:val="22"/>
        </w:rPr>
        <w:t xml:space="preserve">We next consider </w:t>
      </w:r>
      <w:r w:rsidR="002841F1" w:rsidRPr="00B85183">
        <w:rPr>
          <w:spacing w:val="-2"/>
        </w:rPr>
        <w:t>an</w:t>
      </w:r>
      <w:r w:rsidR="00D96BE1" w:rsidRPr="00B85183">
        <w:rPr>
          <w:spacing w:val="-2"/>
        </w:rPr>
        <w:t xml:space="preserve"> allocation </w:t>
      </w:r>
      <w:r w:rsidR="002841F1" w:rsidRPr="00B85183">
        <w:rPr>
          <w:spacing w:val="-2"/>
        </w:rPr>
        <w:t xml:space="preserve">methodology for </w:t>
      </w:r>
      <w:r w:rsidR="000F5BB1" w:rsidRPr="00B85183">
        <w:rPr>
          <w:spacing w:val="-2"/>
        </w:rPr>
        <w:t xml:space="preserve">direct and indirect FTEs </w:t>
      </w:r>
      <w:r w:rsidR="00D96BE1" w:rsidRPr="00B85183">
        <w:rPr>
          <w:spacing w:val="-2"/>
        </w:rPr>
        <w:t xml:space="preserve">to </w:t>
      </w:r>
      <w:r w:rsidR="006B5AE6" w:rsidRPr="007F7B4B">
        <w:t xml:space="preserve">better align regulatory fees with </w:t>
      </w:r>
      <w:r w:rsidR="005B3F5F" w:rsidRPr="007F7B4B">
        <w:t>the level of current regulation</w:t>
      </w:r>
      <w:r w:rsidR="002841F1" w:rsidRPr="007F7B4B">
        <w:t xml:space="preserve"> and we make the allocation more transparent</w:t>
      </w:r>
      <w:r w:rsidR="00D96BE1" w:rsidRPr="007F7B4B">
        <w:t>.</w:t>
      </w:r>
      <w:r w:rsidR="002841F1" w:rsidRPr="007F7B4B">
        <w:rPr>
          <w:rStyle w:val="FootnoteReference"/>
          <w:spacing w:val="-2"/>
          <w:szCs w:val="22"/>
        </w:rPr>
        <w:footnoteReference w:id="31"/>
      </w:r>
      <w:r w:rsidR="002841F1" w:rsidRPr="00B85183">
        <w:rPr>
          <w:spacing w:val="-2"/>
        </w:rPr>
        <w:t xml:space="preserve"> </w:t>
      </w:r>
      <w:r w:rsidR="00D96BE1" w:rsidRPr="007F7B4B">
        <w:t xml:space="preserve"> </w:t>
      </w:r>
      <w:r w:rsidR="00CC5011" w:rsidRPr="00B85183">
        <w:rPr>
          <w:szCs w:val="22"/>
        </w:rPr>
        <w:t>Using</w:t>
      </w:r>
      <w:r w:rsidR="0088186B" w:rsidRPr="00B85183">
        <w:rPr>
          <w:szCs w:val="22"/>
        </w:rPr>
        <w:t xml:space="preserve"> </w:t>
      </w:r>
      <w:r w:rsidR="0011286D">
        <w:rPr>
          <w:szCs w:val="22"/>
        </w:rPr>
        <w:t xml:space="preserve">FY 2012 </w:t>
      </w:r>
      <w:r w:rsidR="002841F1" w:rsidRPr="00B85183">
        <w:rPr>
          <w:szCs w:val="22"/>
        </w:rPr>
        <w:t>FTE data</w:t>
      </w:r>
      <w:r w:rsidR="001C6185">
        <w:rPr>
          <w:szCs w:val="22"/>
        </w:rPr>
        <w:t>,</w:t>
      </w:r>
      <w:r w:rsidR="00D23645" w:rsidRPr="007F7B4B">
        <w:rPr>
          <w:rStyle w:val="FootnoteReference"/>
          <w:szCs w:val="22"/>
        </w:rPr>
        <w:footnoteReference w:id="32"/>
      </w:r>
      <w:r w:rsidR="002841F1" w:rsidRPr="00B85183">
        <w:rPr>
          <w:szCs w:val="22"/>
        </w:rPr>
        <w:t xml:space="preserve"> without other significant changes in our methodology</w:t>
      </w:r>
      <w:r w:rsidR="008F6BD3">
        <w:rPr>
          <w:szCs w:val="22"/>
        </w:rPr>
        <w:t>,</w:t>
      </w:r>
      <w:r w:rsidR="00CC5011" w:rsidRPr="00B85183">
        <w:rPr>
          <w:szCs w:val="22"/>
        </w:rPr>
        <w:t xml:space="preserve"> </w:t>
      </w:r>
      <w:r w:rsidR="00BA34EE">
        <w:rPr>
          <w:szCs w:val="22"/>
        </w:rPr>
        <w:t>would</w:t>
      </w:r>
      <w:r w:rsidR="0011286D">
        <w:rPr>
          <w:szCs w:val="22"/>
        </w:rPr>
        <w:t xml:space="preserve"> reduce the </w:t>
      </w:r>
      <w:r w:rsidR="002841F1" w:rsidRPr="00B85183">
        <w:rPr>
          <w:szCs w:val="22"/>
        </w:rPr>
        <w:t>percentage of regulatory fees allocated to Wireline Competition Bureau regulatees from 47 percent to 29.2 percent and increase the percentage of fees allocated to International Bureau regulatees from 6.3 percent to 22 percent.</w:t>
      </w:r>
      <w:r w:rsidR="002841F1" w:rsidRPr="007F7B4B">
        <w:rPr>
          <w:rStyle w:val="FootnoteReference"/>
          <w:szCs w:val="22"/>
        </w:rPr>
        <w:footnoteReference w:id="33"/>
      </w:r>
      <w:r w:rsidR="002841F1" w:rsidRPr="00B85183">
        <w:rPr>
          <w:szCs w:val="22"/>
        </w:rPr>
        <w:t xml:space="preserve">  </w:t>
      </w:r>
      <w:r w:rsidR="00BA34EE">
        <w:rPr>
          <w:szCs w:val="22"/>
        </w:rPr>
        <w:t>Therefore, substituting current FTE data</w:t>
      </w:r>
      <w:r w:rsidR="00715D8B">
        <w:rPr>
          <w:szCs w:val="22"/>
        </w:rPr>
        <w:t xml:space="preserve"> for FY 1998 FTE data</w:t>
      </w:r>
      <w:r w:rsidR="008A6483">
        <w:rPr>
          <w:szCs w:val="22"/>
        </w:rPr>
        <w:t>, without other adjustments,</w:t>
      </w:r>
      <w:r w:rsidR="00715D8B">
        <w:rPr>
          <w:szCs w:val="22"/>
        </w:rPr>
        <w:t xml:space="preserve"> would </w:t>
      </w:r>
      <w:r w:rsidR="0011286D">
        <w:rPr>
          <w:szCs w:val="22"/>
        </w:rPr>
        <w:t xml:space="preserve">subject </w:t>
      </w:r>
      <w:r w:rsidR="002841F1" w:rsidRPr="00B85183">
        <w:rPr>
          <w:szCs w:val="22"/>
        </w:rPr>
        <w:t>international service providers to significant fee increases.</w:t>
      </w:r>
      <w:r w:rsidR="002841F1" w:rsidRPr="007F7B4B">
        <w:rPr>
          <w:rStyle w:val="FootnoteReference"/>
          <w:szCs w:val="22"/>
        </w:rPr>
        <w:footnoteReference w:id="34"/>
      </w:r>
      <w:r w:rsidR="002841F1" w:rsidRPr="00B85183">
        <w:rPr>
          <w:szCs w:val="22"/>
        </w:rPr>
        <w:t xml:space="preserve">  </w:t>
      </w:r>
    </w:p>
    <w:p w:rsidR="00E36728" w:rsidRPr="00204CCF" w:rsidRDefault="00E36728" w:rsidP="00B23147">
      <w:pPr>
        <w:pStyle w:val="ParaNum"/>
        <w:tabs>
          <w:tab w:val="num" w:pos="1350"/>
        </w:tabs>
        <w:ind w:left="-90"/>
        <w:rPr>
          <w:b/>
          <w:spacing w:val="-2"/>
          <w:szCs w:val="22"/>
        </w:rPr>
      </w:pPr>
      <w:r w:rsidRPr="008A6483">
        <w:t xml:space="preserve">  W</w:t>
      </w:r>
      <w:r w:rsidRPr="008A6483">
        <w:rPr>
          <w:spacing w:val="-2"/>
        </w:rPr>
        <w:t>e find no persuasive argument for perpetuating the use of 14 year-old FTE data as the basis for regulatory fees in FY 2013, and we therefore adopt our proposal to use current FY 2012 FTE data to calculate FY 2013 regulatory fees.  Instead, the critical issue, noted by NAB and other commenters, is whether and to what extent we should adjust the new fees that result from using the current FTE data to assure that our goals of fairness, sustainability</w:t>
      </w:r>
      <w:r w:rsidR="000D15F8">
        <w:rPr>
          <w:spacing w:val="-2"/>
        </w:rPr>
        <w:t xml:space="preserve">, </w:t>
      </w:r>
      <w:r w:rsidRPr="008A6483">
        <w:rPr>
          <w:spacing w:val="-2"/>
        </w:rPr>
        <w:t>and administrability are met</w:t>
      </w:r>
      <w:r w:rsidR="008A6483" w:rsidRPr="008A6483">
        <w:rPr>
          <w:spacing w:val="-2"/>
        </w:rPr>
        <w:t>.</w:t>
      </w:r>
    </w:p>
    <w:p w:rsidR="00204CCF" w:rsidRDefault="00204CCF" w:rsidP="00021D5D">
      <w:pPr>
        <w:pStyle w:val="Heading2"/>
      </w:pPr>
      <w:r>
        <w:t>Adjustments to Revised Fees</w:t>
      </w:r>
    </w:p>
    <w:p w:rsidR="000D15F8" w:rsidRPr="000D15F8" w:rsidRDefault="000D15F8" w:rsidP="0042179F">
      <w:pPr>
        <w:pStyle w:val="ParaNum"/>
        <w:widowControl/>
        <w:tabs>
          <w:tab w:val="num" w:pos="1350"/>
        </w:tabs>
        <w:ind w:left="-86"/>
        <w:rPr>
          <w:b/>
          <w:spacing w:val="-2"/>
          <w:szCs w:val="22"/>
        </w:rPr>
      </w:pPr>
      <w:r w:rsidRPr="000D15F8">
        <w:rPr>
          <w:b/>
          <w:i/>
          <w:spacing w:val="-2"/>
          <w:szCs w:val="22"/>
        </w:rPr>
        <w:t>Reallocation of International Bureau FTEs</w:t>
      </w:r>
      <w:r>
        <w:rPr>
          <w:b/>
          <w:i/>
          <w:spacing w:val="-2"/>
          <w:szCs w:val="22"/>
        </w:rPr>
        <w:t xml:space="preserve">.  </w:t>
      </w:r>
      <w:r w:rsidRPr="000D15F8">
        <w:rPr>
          <w:spacing w:val="-2"/>
          <w:szCs w:val="22"/>
        </w:rPr>
        <w:t xml:space="preserve">It is not surprising that changes in the scope and focus of Commission regulation since FY 1998 produce substantial shifts in the allocation of regulatory fees when current FTE data is used.  In the </w:t>
      </w:r>
      <w:r w:rsidRPr="000D15F8">
        <w:rPr>
          <w:i/>
          <w:spacing w:val="-2"/>
          <w:szCs w:val="22"/>
        </w:rPr>
        <w:t>FY 2013 N</w:t>
      </w:r>
      <w:r>
        <w:rPr>
          <w:i/>
          <w:spacing w:val="-2"/>
          <w:szCs w:val="22"/>
        </w:rPr>
        <w:t>PRM</w:t>
      </w:r>
      <w:r w:rsidRPr="000D15F8">
        <w:rPr>
          <w:spacing w:val="-2"/>
          <w:szCs w:val="22"/>
        </w:rPr>
        <w:t xml:space="preserve"> we analyzed these in detail.</w:t>
      </w:r>
      <w:r>
        <w:rPr>
          <w:rStyle w:val="FootnoteReference"/>
          <w:spacing w:val="-2"/>
          <w:szCs w:val="22"/>
        </w:rPr>
        <w:footnoteReference w:id="35"/>
      </w:r>
      <w:r w:rsidRPr="000D15F8">
        <w:rPr>
          <w:spacing w:val="-2"/>
          <w:szCs w:val="22"/>
        </w:rPr>
        <w:t xml:space="preserve">  The largest shifts would occur in the fees paid by International Bureau and Wireline Competition Bureau licensees:  fees paid by the former would triple, and fees paid by the latter would decrease by about 40 percent.  The fees paid by wireless and media service licensees would also change, but to a lesser extent.</w:t>
      </w:r>
      <w:r w:rsidR="003A2791">
        <w:rPr>
          <w:rStyle w:val="FootnoteReference"/>
          <w:spacing w:val="-2"/>
          <w:szCs w:val="22"/>
        </w:rPr>
        <w:footnoteReference w:id="36"/>
      </w:r>
    </w:p>
    <w:p w:rsidR="00152848" w:rsidRPr="00450706" w:rsidRDefault="00152848" w:rsidP="00EF30E2">
      <w:pPr>
        <w:pStyle w:val="ParaNum"/>
        <w:tabs>
          <w:tab w:val="num" w:pos="1350"/>
        </w:tabs>
        <w:ind w:left="-90"/>
      </w:pPr>
      <w:r w:rsidRPr="00450706">
        <w:t xml:space="preserve">The first issue we face is how the Commission should address these fluctuations in setting regulatory fees for FY 2013.  One way would be to take a fresh look at how direct and indirect FTEs are allocated to determine whether these allocations accurately reflect the regulatory activities performed by FTEs in the core bureaus.  As we have previously noted, this analysis is complicated by the convergence of digitally-based services, which can have the practical effect of causing the work of FTEs in one bureau to tangentially benefit licensees in another bureau.  In one singular case, however, the work of a bureau’s FTEs primarily benefits licensees regulated by other bureaus.  As we discussed at length in the </w:t>
      </w:r>
      <w:r w:rsidRPr="00450706">
        <w:rPr>
          <w:i/>
        </w:rPr>
        <w:t xml:space="preserve">FY 2012 </w:t>
      </w:r>
      <w:r w:rsidRPr="00450706">
        <w:t>and</w:t>
      </w:r>
      <w:r w:rsidRPr="00450706">
        <w:rPr>
          <w:i/>
        </w:rPr>
        <w:t xml:space="preserve"> FY 2013 NPRMs, </w:t>
      </w:r>
      <w:r w:rsidRPr="00450706">
        <w:t>the International Bureau is exceptional compared to the other licensing bureaus in that the work of many of its FTEs predominantly benefits other bureaus’ licensees rather than its own.</w:t>
      </w:r>
      <w:r w:rsidRPr="00450706">
        <w:rPr>
          <w:rStyle w:val="FootnoteReference"/>
          <w:spacing w:val="-2"/>
          <w:szCs w:val="22"/>
        </w:rPr>
        <w:footnoteReference w:id="37"/>
      </w:r>
      <w:r w:rsidRPr="00450706">
        <w:t xml:space="preserve">  We incorporate that analysis by reference herein.  Based on the facts and analysis we presented, we adopt our proposal, with one slight modification.   Specifically, as proposed in the </w:t>
      </w:r>
      <w:r w:rsidRPr="00244892">
        <w:rPr>
          <w:i/>
        </w:rPr>
        <w:t>FY 2013 NPRM</w:t>
      </w:r>
      <w:r w:rsidRPr="00450706">
        <w:t>, we reallocate the FTEs in the International Bureau’s Strategic Analysis and Negotiation Division (SAND), as well as all but 27 direct FTEs in the Policy and Satellite Divisions as indirect FTEs.  In addition, we allocate</w:t>
      </w:r>
      <w:r>
        <w:t xml:space="preserve"> one </w:t>
      </w:r>
      <w:r w:rsidRPr="00450706">
        <w:t>FTE from the Office of the Bureau Chief as direct.</w:t>
      </w:r>
      <w:r w:rsidRPr="00450706">
        <w:rPr>
          <w:rStyle w:val="FootnoteReference"/>
        </w:rPr>
        <w:t xml:space="preserve"> </w:t>
      </w:r>
      <w:r w:rsidRPr="00450706">
        <w:rPr>
          <w:rStyle w:val="FootnoteReference"/>
        </w:rPr>
        <w:footnoteReference w:id="38"/>
      </w:r>
      <w:r w:rsidRPr="00450706">
        <w:t xml:space="preserve">  As commenters suggest, we find that, based on further examination of the work done in the Office of the Bureau Chief, it is not appropriate to treat the entire office as indirect.</w:t>
      </w:r>
      <w:r w:rsidRPr="00450706">
        <w:rPr>
          <w:rStyle w:val="FootnoteReference"/>
        </w:rPr>
        <w:footnoteReference w:id="39"/>
      </w:r>
      <w:r w:rsidRPr="00450706">
        <w:t xml:space="preserve">  We therefore now find a more appropriate number representing the direct FTEs actually engaged in the regulation and oversight of International Bureau licensees is 28.</w:t>
      </w:r>
      <w:r w:rsidRPr="00450706">
        <w:rPr>
          <w:rStyle w:val="FootnoteReference"/>
          <w:szCs w:val="22"/>
        </w:rPr>
        <w:footnoteReference w:id="40"/>
      </w:r>
    </w:p>
    <w:p w:rsidR="005835D5" w:rsidRPr="005835D5" w:rsidRDefault="00DA3E35" w:rsidP="00A73513">
      <w:pPr>
        <w:pStyle w:val="ParaNum"/>
        <w:tabs>
          <w:tab w:val="num" w:pos="1350"/>
        </w:tabs>
        <w:ind w:left="-90"/>
        <w:rPr>
          <w:szCs w:val="22"/>
        </w:rPr>
      </w:pPr>
      <w:r w:rsidRPr="00124AFB">
        <w:t>Not all commenters agreed with th</w:t>
      </w:r>
      <w:r w:rsidRPr="00F06C1C">
        <w:t>ese proposal</w:t>
      </w:r>
      <w:r w:rsidRPr="007064D6">
        <w:t>s, although</w:t>
      </w:r>
      <w:r w:rsidRPr="00124AFB">
        <w:t xml:space="preserve"> commenters did agree that we should not assign all of the International Bureau FTEs as direct FTEs</w:t>
      </w:r>
      <w:r>
        <w:t>.</w:t>
      </w:r>
      <w:r w:rsidR="008C5F88">
        <w:t xml:space="preserve">  USTA suggests that we </w:t>
      </w:r>
      <w:r w:rsidR="008C5F88" w:rsidRPr="00124AFB">
        <w:t xml:space="preserve">follow the proposal in the </w:t>
      </w:r>
      <w:r w:rsidR="008C5F88" w:rsidRPr="008C5F88">
        <w:rPr>
          <w:i/>
        </w:rPr>
        <w:t>FY 2012 NPRM</w:t>
      </w:r>
      <w:r w:rsidR="008C5F88" w:rsidRPr="00F06C1C">
        <w:t xml:space="preserve"> and remove only one division, SAND, from the “core” In</w:t>
      </w:r>
      <w:r w:rsidR="008C5F88" w:rsidRPr="007064D6">
        <w:t>ternational Bureau.</w:t>
      </w:r>
      <w:r w:rsidR="00823C30">
        <w:rPr>
          <w:rStyle w:val="FootnoteReference"/>
        </w:rPr>
        <w:footnoteReference w:id="41"/>
      </w:r>
      <w:r w:rsidR="008C5F88" w:rsidRPr="007064D6">
        <w:t xml:space="preserve"> </w:t>
      </w:r>
      <w:r w:rsidR="008C5F88">
        <w:t xml:space="preserve"> </w:t>
      </w:r>
      <w:r w:rsidR="008C5F88" w:rsidRPr="007F7B4B">
        <w:t xml:space="preserve">Several commenters agree that </w:t>
      </w:r>
      <w:r w:rsidR="008C5F88">
        <w:t>many</w:t>
      </w:r>
      <w:r w:rsidR="008C5F88" w:rsidRPr="007F7B4B">
        <w:t xml:space="preserve"> of the FTEs in the International Bureau should not be considered direct, but observe that similar situations occur in other bureaus and urge us to take a closer look at all bureaus.</w:t>
      </w:r>
      <w:r w:rsidR="008C5F88" w:rsidRPr="007F7B4B">
        <w:rPr>
          <w:rStyle w:val="FootnoteReference"/>
          <w:szCs w:val="22"/>
        </w:rPr>
        <w:footnoteReference w:id="42"/>
      </w:r>
      <w:r w:rsidR="008C5F88" w:rsidRPr="007F7B4B">
        <w:t xml:space="preserve">  </w:t>
      </w:r>
      <w:r w:rsidR="00406439">
        <w:t xml:space="preserve"> </w:t>
      </w:r>
    </w:p>
    <w:p w:rsidR="00FA3A39" w:rsidRPr="00FA3A39" w:rsidRDefault="00792CED" w:rsidP="00FA3A39">
      <w:pPr>
        <w:pStyle w:val="ParaNum"/>
        <w:tabs>
          <w:tab w:val="num" w:pos="1350"/>
        </w:tabs>
        <w:ind w:left="-90"/>
        <w:rPr>
          <w:b/>
          <w:spacing w:val="-2"/>
          <w:szCs w:val="22"/>
        </w:rPr>
      </w:pPr>
      <w:r w:rsidRPr="005835D5">
        <w:t xml:space="preserve">NAB </w:t>
      </w:r>
      <w:r>
        <w:t xml:space="preserve">and ABA </w:t>
      </w:r>
      <w:r w:rsidRPr="005835D5">
        <w:t xml:space="preserve">recommend that we should not limit our analysis to the International Bureau, but should consider all such cross-cutting work throughout the Commission before revising </w:t>
      </w:r>
      <w:r w:rsidR="00C3626E">
        <w:t>our</w:t>
      </w:r>
      <w:r w:rsidR="00C3626E" w:rsidRPr="005835D5">
        <w:t xml:space="preserve"> </w:t>
      </w:r>
      <w:r w:rsidRPr="005835D5">
        <w:t>FTE reallocations.</w:t>
      </w:r>
      <w:r w:rsidRPr="005835D5">
        <w:rPr>
          <w:rStyle w:val="FootnoteReference"/>
        </w:rPr>
        <w:footnoteReference w:id="43"/>
      </w:r>
      <w:r w:rsidRPr="005835D5">
        <w:t xml:space="preserve">  </w:t>
      </w:r>
      <w:r w:rsidR="008C5F88" w:rsidRPr="005835D5">
        <w:t xml:space="preserve">Commenters have provided </w:t>
      </w:r>
      <w:r>
        <w:t xml:space="preserve">specific </w:t>
      </w:r>
      <w:r w:rsidR="008C5F88" w:rsidRPr="005835D5">
        <w:t>suggestions for other reallocations, e.g., assigning Enforcement Bureau and Consumer &amp; Governmental Affairs FTEs as direct costs to the Wireline Competition Bureau, Wireless Telecommunications Bureau, and Media Bureau;</w:t>
      </w:r>
      <w:r w:rsidR="008C5F88" w:rsidRPr="005835D5">
        <w:rPr>
          <w:rStyle w:val="FootnoteReference"/>
          <w:szCs w:val="22"/>
        </w:rPr>
        <w:footnoteReference w:id="44"/>
      </w:r>
      <w:r w:rsidR="008C5F88" w:rsidRPr="005835D5">
        <w:t xml:space="preserve"> assigning some Media Bureau FTEs to the Wireless Telecommunications Bureau;</w:t>
      </w:r>
      <w:r w:rsidR="008C5F88" w:rsidRPr="005835D5">
        <w:rPr>
          <w:rStyle w:val="FootnoteReference"/>
          <w:szCs w:val="22"/>
        </w:rPr>
        <w:footnoteReference w:id="45"/>
      </w:r>
      <w:r w:rsidR="00262413">
        <w:t xml:space="preserve"> reallocating regulatory fees among International Bureau </w:t>
      </w:r>
      <w:r w:rsidR="008C5F88" w:rsidRPr="005835D5">
        <w:t>regulatees</w:t>
      </w:r>
      <w:r w:rsidR="00262413">
        <w:t xml:space="preserve"> in order to lower the submarine cable system fee</w:t>
      </w:r>
      <w:r w:rsidR="008C5F88" w:rsidRPr="005835D5">
        <w:t>;</w:t>
      </w:r>
      <w:r w:rsidR="008C5F88" w:rsidRPr="005835D5">
        <w:rPr>
          <w:rStyle w:val="FootnoteReference"/>
          <w:szCs w:val="22"/>
        </w:rPr>
        <w:footnoteReference w:id="46"/>
      </w:r>
      <w:r w:rsidR="008C5F88" w:rsidRPr="005835D5">
        <w:t xml:space="preserve"> as well as assessing Media Bureau costs to DBS providers.</w:t>
      </w:r>
      <w:r w:rsidR="008C5F88" w:rsidRPr="005835D5">
        <w:rPr>
          <w:rStyle w:val="FootnoteReference"/>
          <w:szCs w:val="22"/>
        </w:rPr>
        <w:footnoteReference w:id="47"/>
      </w:r>
      <w:r w:rsidR="008C5F88" w:rsidRPr="005835D5">
        <w:t xml:space="preserve"> </w:t>
      </w:r>
      <w:r w:rsidR="001E36AD">
        <w:t xml:space="preserve"> </w:t>
      </w:r>
    </w:p>
    <w:p w:rsidR="00472BDF" w:rsidRPr="00472BDF" w:rsidRDefault="00FC6AE9" w:rsidP="00A73513">
      <w:pPr>
        <w:pStyle w:val="ParaNum"/>
        <w:tabs>
          <w:tab w:val="num" w:pos="1350"/>
        </w:tabs>
        <w:ind w:left="-90"/>
        <w:rPr>
          <w:szCs w:val="22"/>
        </w:rPr>
      </w:pPr>
      <w:r>
        <w:t>W</w:t>
      </w:r>
      <w:r w:rsidR="00472BDF">
        <w:t xml:space="preserve">e </w:t>
      </w:r>
      <w:r w:rsidR="00FA3A39">
        <w:t>recognize that there is substantial convergence in the industry and organizational change in the Commission</w:t>
      </w:r>
      <w:r w:rsidR="00472BDF">
        <w:t xml:space="preserve"> that </w:t>
      </w:r>
      <w:r w:rsidR="00A06FF8">
        <w:t>may</w:t>
      </w:r>
      <w:r w:rsidR="00472BDF">
        <w:t xml:space="preserve"> support additional FTE reallocations</w:t>
      </w:r>
      <w:r w:rsidR="00A06FF8">
        <w:t xml:space="preserve"> after further analysis</w:t>
      </w:r>
      <w:r w:rsidR="00FA3A39">
        <w:t xml:space="preserve">.  </w:t>
      </w:r>
      <w:r w:rsidR="005835D5" w:rsidRPr="00472BDF">
        <w:rPr>
          <w:szCs w:val="22"/>
        </w:rPr>
        <w:t>The high percentage of indirect FTEs is indicative of the fact that many Commission activities and costs are not limited to a particular fee category and instead benefit the Commission as a whole.  Even without the changes we adopt today, the number of non-core bureau FTEs are almost double the number of core bureau (non-auction) FTEs, demonstrating that our common costs far outweigh costs assigned to a particular core bureau.</w:t>
      </w:r>
      <w:r w:rsidR="00472BDF" w:rsidRPr="00472BDF">
        <w:t xml:space="preserve"> </w:t>
      </w:r>
    </w:p>
    <w:p w:rsidR="00A06FF8" w:rsidRDefault="00472BDF" w:rsidP="00A73513">
      <w:pPr>
        <w:pStyle w:val="ParaNum"/>
        <w:tabs>
          <w:tab w:val="num" w:pos="1350"/>
        </w:tabs>
        <w:ind w:left="-90"/>
        <w:rPr>
          <w:szCs w:val="22"/>
        </w:rPr>
      </w:pPr>
      <w:r w:rsidRPr="005835D5">
        <w:t>CTIA contends that “selective reallocation” would be “arbitrary and capricious”</w:t>
      </w:r>
      <w:r w:rsidRPr="005835D5">
        <w:rPr>
          <w:rStyle w:val="FootnoteReference"/>
        </w:rPr>
        <w:footnoteReference w:id="48"/>
      </w:r>
      <w:r w:rsidRPr="005835D5">
        <w:t xml:space="preserve"> upending the regulatory fee structure in contravention of section 9 of the Act.</w:t>
      </w:r>
      <w:r w:rsidRPr="005835D5">
        <w:rPr>
          <w:rStyle w:val="FootnoteReference"/>
        </w:rPr>
        <w:footnoteReference w:id="49"/>
      </w:r>
      <w:r w:rsidRPr="005835D5">
        <w:t xml:space="preserve">  CTIA further maintains that the Commission’s proposal reflects a system of cost allocation that does not depend on the cost of Commission regulation but rather on a “fair share” rationale that is incompatible with the Act.</w:t>
      </w:r>
      <w:r w:rsidRPr="005835D5">
        <w:rPr>
          <w:rStyle w:val="FootnoteReference"/>
        </w:rPr>
        <w:footnoteReference w:id="50"/>
      </w:r>
      <w:r w:rsidRPr="005835D5">
        <w:t xml:space="preserve"> </w:t>
      </w:r>
      <w:r>
        <w:t xml:space="preserve"> </w:t>
      </w:r>
      <w:r w:rsidRPr="005835D5">
        <w:t>This would cause “a tremendous amount of complexity and uncertainty” and, if applied broadly, would “threaten[] the administrability of the regulatory fee program.”</w:t>
      </w:r>
      <w:r w:rsidRPr="005835D5">
        <w:rPr>
          <w:rStyle w:val="FootnoteReference"/>
        </w:rPr>
        <w:footnoteReference w:id="51"/>
      </w:r>
      <w:r w:rsidRPr="005835D5">
        <w:t xml:space="preserve"> </w:t>
      </w:r>
      <w:r>
        <w:t xml:space="preserve"> </w:t>
      </w:r>
      <w:r w:rsidR="008C5F88" w:rsidRPr="00472BDF">
        <w:rPr>
          <w:szCs w:val="22"/>
        </w:rPr>
        <w:t xml:space="preserve">We disagree with these arguments.  Section 9(a) and (b)(1)(A) in relevant part directs the Commission to establish regulatory fees based on the number of FTEs engaged in regulatory activities within the named bureaus “and other offices of the Commission.”  Thus, the plain wording of the statute requires the Commission to calculate fees based on what FTEs are doing, not on where they are located.  Nowhere does the statute explicitly or implicitly limit the Commission’s ability to reassign FTEs, and the costs they represent, among the various bureaus.  Furthermore, because the “benefits provided” to fee payors by International Bureau FTEs inure mainly to licensees in other bureaus, the reallocation of these FTEs to the other bureaus is consistent with section 9(b)(1)(A) and is not arbitrary </w:t>
      </w:r>
      <w:r w:rsidR="009D2E31" w:rsidRPr="00472BDF">
        <w:rPr>
          <w:szCs w:val="22"/>
        </w:rPr>
        <w:t>and capricious</w:t>
      </w:r>
      <w:r w:rsidR="008C5F88" w:rsidRPr="00472BDF">
        <w:rPr>
          <w:szCs w:val="22"/>
        </w:rPr>
        <w:t xml:space="preserve">.  Limiting reassignments to the FTEs in </w:t>
      </w:r>
      <w:r w:rsidR="009D2E31" w:rsidRPr="00472BDF">
        <w:rPr>
          <w:szCs w:val="22"/>
        </w:rPr>
        <w:t>SAND</w:t>
      </w:r>
      <w:r w:rsidR="008C5F88" w:rsidRPr="00472BDF">
        <w:rPr>
          <w:szCs w:val="22"/>
        </w:rPr>
        <w:t xml:space="preserve"> as USTA proposes would also not be appropriate because further analysis has shown that the work of some FTEs in the International Bureau’s Policy and Satellite Divisions also predominantly benefits the licensees of other bureaus.  </w:t>
      </w:r>
    </w:p>
    <w:p w:rsidR="008C5F88" w:rsidRPr="00472BDF" w:rsidRDefault="008C5F88" w:rsidP="00A73513">
      <w:pPr>
        <w:pStyle w:val="ParaNum"/>
        <w:tabs>
          <w:tab w:val="num" w:pos="1350"/>
        </w:tabs>
        <w:ind w:left="-90"/>
        <w:rPr>
          <w:szCs w:val="22"/>
        </w:rPr>
      </w:pPr>
      <w:r w:rsidRPr="00472BDF">
        <w:rPr>
          <w:szCs w:val="22"/>
        </w:rPr>
        <w:t>Nor can we agree with NAB</w:t>
      </w:r>
      <w:r w:rsidR="00DB6065">
        <w:rPr>
          <w:szCs w:val="22"/>
        </w:rPr>
        <w:t xml:space="preserve"> that</w:t>
      </w:r>
      <w:r w:rsidRPr="00472BDF">
        <w:rPr>
          <w:szCs w:val="22"/>
        </w:rPr>
        <w:t xml:space="preserve"> we must toll all FTE reassignments until we have reexamined the allocation of FTEs throughout the Commission.  </w:t>
      </w:r>
      <w:r w:rsidR="00406439">
        <w:rPr>
          <w:szCs w:val="22"/>
        </w:rPr>
        <w:t>As EchoStar and DISH observe, the fact that we have not yet examined all bureaus on a division or branch level should not prevent us from adopting our proposal.</w:t>
      </w:r>
      <w:r w:rsidR="00406439">
        <w:rPr>
          <w:rStyle w:val="FootnoteReference"/>
          <w:szCs w:val="22"/>
        </w:rPr>
        <w:footnoteReference w:id="52"/>
      </w:r>
      <w:r w:rsidR="00CA5520">
        <w:rPr>
          <w:szCs w:val="22"/>
        </w:rPr>
        <w:t xml:space="preserve">  </w:t>
      </w:r>
      <w:r w:rsidRPr="00472BDF">
        <w:rPr>
          <w:szCs w:val="22"/>
        </w:rPr>
        <w:t xml:space="preserve">As we have noted, the extent to which the International Bureau’s FTEs are engaged in activities that primarily benefit licensees regulated by other bureaus is </w:t>
      </w:r>
      <w:r w:rsidRPr="00472BDF">
        <w:rPr>
          <w:i/>
          <w:iCs/>
          <w:szCs w:val="22"/>
        </w:rPr>
        <w:t xml:space="preserve">sui generis, </w:t>
      </w:r>
      <w:r w:rsidRPr="00472BDF">
        <w:rPr>
          <w:szCs w:val="22"/>
        </w:rPr>
        <w:t>and no commenter in this proceeding has submitted any facts that contradict this finding.  Moreover, our analysis shows that the digitally-driven convergence of formerly separate services will make a similar examination of possible FTE reallocations among the other licensing bureaus a much more difficult and lengthy task.  It would be inconsistent with section 9 to delay reallocating the International Bureau FTEs, where the reallocation is clearly warranted, while we engage in painstaking examinations of less clear and more factually complex situations in the other bureaus.  Finally, because the International Bureau’s situation is exceptional, we do not perceive how, as CTIA argue</w:t>
      </w:r>
      <w:r w:rsidR="00616E39">
        <w:rPr>
          <w:szCs w:val="22"/>
        </w:rPr>
        <w:t>d</w:t>
      </w:r>
      <w:r w:rsidRPr="00472BDF">
        <w:rPr>
          <w:szCs w:val="22"/>
        </w:rPr>
        <w:t>, that the proposed reallocation can constitute a “slippery slope.”</w:t>
      </w:r>
      <w:r w:rsidR="004351E1">
        <w:rPr>
          <w:rStyle w:val="FootnoteReference"/>
          <w:szCs w:val="22"/>
        </w:rPr>
        <w:footnoteReference w:id="53"/>
      </w:r>
      <w:r w:rsidRPr="00472BDF">
        <w:rPr>
          <w:szCs w:val="22"/>
        </w:rPr>
        <w:t xml:space="preserve">  For these reasons we conclude  it is reasonable and consistent with section 9 of the Act to readjust the assignment of FTEs in the bureau where the record demonstrates the clearest case for reassignment.    </w:t>
      </w:r>
    </w:p>
    <w:p w:rsidR="00771180" w:rsidRDefault="008C5F88" w:rsidP="00771180">
      <w:pPr>
        <w:pStyle w:val="ParaNum"/>
        <w:tabs>
          <w:tab w:val="num" w:pos="1350"/>
        </w:tabs>
        <w:ind w:left="-90"/>
      </w:pPr>
      <w:r w:rsidRPr="00124AFB">
        <w:rPr>
          <w:szCs w:val="22"/>
        </w:rPr>
        <w:t xml:space="preserve">At the same time, however, we recognize that a reexamination of how FTEs are allocated throughout the Commission is an indispensable part of comprehensively revising the Commission’s regulatory fee program.  For this reason </w:t>
      </w:r>
      <w:r w:rsidR="00E04C3B">
        <w:rPr>
          <w:szCs w:val="22"/>
        </w:rPr>
        <w:t xml:space="preserve">as stated in paragraph 5 above, </w:t>
      </w:r>
      <w:r w:rsidRPr="00124AFB">
        <w:rPr>
          <w:szCs w:val="22"/>
        </w:rPr>
        <w:t xml:space="preserve">we </w:t>
      </w:r>
      <w:r w:rsidR="00287DC5">
        <w:rPr>
          <w:szCs w:val="22"/>
        </w:rPr>
        <w:t xml:space="preserve">will </w:t>
      </w:r>
      <w:r w:rsidRPr="00124AFB">
        <w:rPr>
          <w:szCs w:val="22"/>
        </w:rPr>
        <w:t xml:space="preserve">issue a Second Further Notice of Proposed Rulemaking </w:t>
      </w:r>
      <w:r w:rsidR="005222FF">
        <w:rPr>
          <w:szCs w:val="22"/>
        </w:rPr>
        <w:t xml:space="preserve">in the near future </w:t>
      </w:r>
      <w:r w:rsidRPr="00124AFB">
        <w:rPr>
          <w:szCs w:val="22"/>
        </w:rPr>
        <w:t>to examine these, and other related issues.</w:t>
      </w:r>
    </w:p>
    <w:p w:rsidR="008C5F88" w:rsidRPr="00124AFB" w:rsidRDefault="008C5F88" w:rsidP="00A73513">
      <w:pPr>
        <w:pStyle w:val="ParaNum"/>
        <w:tabs>
          <w:tab w:val="num" w:pos="1350"/>
        </w:tabs>
        <w:ind w:left="-90"/>
        <w:rPr>
          <w:szCs w:val="22"/>
        </w:rPr>
      </w:pPr>
      <w:r w:rsidRPr="00124AFB">
        <w:rPr>
          <w:b/>
          <w:i/>
          <w:szCs w:val="22"/>
        </w:rPr>
        <w:t>Limiting Fee Increases.</w:t>
      </w:r>
      <w:r w:rsidR="0024110F">
        <w:rPr>
          <w:b/>
          <w:i/>
          <w:szCs w:val="22"/>
        </w:rPr>
        <w:t xml:space="preserve"> </w:t>
      </w:r>
      <w:r w:rsidR="001D6BCB">
        <w:rPr>
          <w:szCs w:val="22"/>
        </w:rPr>
        <w:t xml:space="preserve"> </w:t>
      </w:r>
      <w:r w:rsidR="00E04C3B">
        <w:rPr>
          <w:szCs w:val="22"/>
        </w:rPr>
        <w:t>As noted in para</w:t>
      </w:r>
      <w:r w:rsidR="00AC31E5">
        <w:rPr>
          <w:szCs w:val="22"/>
        </w:rPr>
        <w:t>graph</w:t>
      </w:r>
      <w:r w:rsidR="00E04C3B">
        <w:rPr>
          <w:szCs w:val="22"/>
        </w:rPr>
        <w:t xml:space="preserve"> 13 above, using </w:t>
      </w:r>
      <w:r w:rsidR="001D6BCB">
        <w:rPr>
          <w:szCs w:val="22"/>
        </w:rPr>
        <w:t xml:space="preserve">current FTE figures </w:t>
      </w:r>
      <w:r w:rsidR="00E04C3B">
        <w:rPr>
          <w:szCs w:val="22"/>
        </w:rPr>
        <w:t xml:space="preserve">causes shifts in the </w:t>
      </w:r>
      <w:r w:rsidR="002B4F5F">
        <w:rPr>
          <w:szCs w:val="22"/>
        </w:rPr>
        <w:t xml:space="preserve">allocation </w:t>
      </w:r>
      <w:r w:rsidR="007F529F">
        <w:rPr>
          <w:szCs w:val="22"/>
        </w:rPr>
        <w:t>of regulatory</w:t>
      </w:r>
      <w:r w:rsidR="00E04C3B">
        <w:rPr>
          <w:szCs w:val="22"/>
        </w:rPr>
        <w:t xml:space="preserve"> fee collection among the Bureau</w:t>
      </w:r>
      <w:r w:rsidR="00DE5A61" w:rsidRPr="002B4F5F">
        <w:rPr>
          <w:szCs w:val="22"/>
        </w:rPr>
        <w:t>s</w:t>
      </w:r>
      <w:r w:rsidR="00E04C3B">
        <w:rPr>
          <w:szCs w:val="22"/>
        </w:rPr>
        <w:t xml:space="preserve"> and, consequently, the fees their licensees will pay.</w:t>
      </w:r>
      <w:r w:rsidR="001D6BCB">
        <w:rPr>
          <w:szCs w:val="22"/>
        </w:rPr>
        <w:t xml:space="preserve"> </w:t>
      </w:r>
      <w:r w:rsidRPr="00124AFB">
        <w:rPr>
          <w:szCs w:val="22"/>
        </w:rPr>
        <w:t xml:space="preserve"> </w:t>
      </w:r>
      <w:r w:rsidR="00E04C3B">
        <w:rPr>
          <w:szCs w:val="22"/>
        </w:rPr>
        <w:t>B</w:t>
      </w:r>
      <w:r w:rsidRPr="00124AFB">
        <w:rPr>
          <w:szCs w:val="22"/>
        </w:rPr>
        <w:t xml:space="preserve">ecause we are required by statute to set regulatory fees that will recover the entire amount of our appropriation, any reduction in the proportion of all regulatory fees paid by </w:t>
      </w:r>
      <w:r w:rsidR="003F4FD6">
        <w:rPr>
          <w:szCs w:val="22"/>
        </w:rPr>
        <w:t xml:space="preserve">licensees in one fee category </w:t>
      </w:r>
      <w:r w:rsidRPr="00124AFB">
        <w:rPr>
          <w:szCs w:val="22"/>
        </w:rPr>
        <w:t xml:space="preserve">will necessarily result in an increase in regulatory fees paid by licensees </w:t>
      </w:r>
      <w:r w:rsidR="003B2FB0">
        <w:rPr>
          <w:szCs w:val="22"/>
        </w:rPr>
        <w:t>in others.</w:t>
      </w:r>
      <w:r w:rsidR="001F602F">
        <w:rPr>
          <w:szCs w:val="22"/>
        </w:rPr>
        <w:t xml:space="preserve">  </w:t>
      </w:r>
      <w:r w:rsidR="003B2FB0">
        <w:rPr>
          <w:szCs w:val="22"/>
        </w:rPr>
        <w:t xml:space="preserve">For the same reason, limiting fee increases for licensees in some fee categories will necessarily limit fee decreases that licensees in other fee categories would otherwise receive. </w:t>
      </w:r>
      <w:r w:rsidRPr="00124AFB">
        <w:rPr>
          <w:szCs w:val="22"/>
        </w:rPr>
        <w:t xml:space="preserve"> </w:t>
      </w:r>
      <w:r w:rsidR="003B2FB0">
        <w:rPr>
          <w:szCs w:val="22"/>
        </w:rPr>
        <w:t xml:space="preserve">With these considerations in mind, </w:t>
      </w:r>
      <w:r w:rsidRPr="00124AFB">
        <w:rPr>
          <w:szCs w:val="22"/>
        </w:rPr>
        <w:t xml:space="preserve">and to avoid sudden and large changes in the amount of fees paid by various classes of regulatees, </w:t>
      </w:r>
      <w:r w:rsidRPr="008C5F88">
        <w:rPr>
          <w:szCs w:val="22"/>
        </w:rPr>
        <w:t>we proposed</w:t>
      </w:r>
      <w:r w:rsidRPr="00124AFB">
        <w:rPr>
          <w:i/>
          <w:szCs w:val="22"/>
        </w:rPr>
        <w:t xml:space="preserve"> </w:t>
      </w:r>
      <w:r w:rsidRPr="00124AFB">
        <w:rPr>
          <w:szCs w:val="22"/>
        </w:rPr>
        <w:t xml:space="preserve">in the </w:t>
      </w:r>
      <w:r w:rsidR="00BE09E3">
        <w:rPr>
          <w:i/>
          <w:szCs w:val="22"/>
        </w:rPr>
        <w:t>FY 2013 NPRM</w:t>
      </w:r>
      <w:r w:rsidRPr="00124AFB">
        <w:rPr>
          <w:i/>
          <w:szCs w:val="22"/>
        </w:rPr>
        <w:t xml:space="preserve"> </w:t>
      </w:r>
      <w:r w:rsidRPr="00124AFB">
        <w:rPr>
          <w:szCs w:val="22"/>
        </w:rPr>
        <w:t>to cap increases in FY 2013 fees to no more than 7.5 percent.</w:t>
      </w:r>
      <w:r w:rsidR="006C30D7">
        <w:rPr>
          <w:rStyle w:val="FootnoteReference"/>
          <w:szCs w:val="22"/>
        </w:rPr>
        <w:footnoteReference w:id="54"/>
      </w:r>
      <w:r w:rsidR="001D6BCB">
        <w:rPr>
          <w:szCs w:val="22"/>
        </w:rPr>
        <w:t xml:space="preserve"> </w:t>
      </w:r>
    </w:p>
    <w:p w:rsidR="008C5F88" w:rsidRPr="00BE09E3" w:rsidRDefault="008C5F88" w:rsidP="00A73513">
      <w:pPr>
        <w:pStyle w:val="ParaNum"/>
        <w:tabs>
          <w:tab w:val="num" w:pos="1350"/>
        </w:tabs>
        <w:ind w:left="-90"/>
        <w:rPr>
          <w:szCs w:val="22"/>
        </w:rPr>
      </w:pPr>
      <w:r w:rsidRPr="00124AFB">
        <w:rPr>
          <w:spacing w:val="-2"/>
          <w:szCs w:val="22"/>
        </w:rPr>
        <w:t xml:space="preserve">USTA strongly opposes this </w:t>
      </w:r>
      <w:r w:rsidR="006D2985">
        <w:rPr>
          <w:spacing w:val="-2"/>
          <w:szCs w:val="22"/>
        </w:rPr>
        <w:t>limitation</w:t>
      </w:r>
      <w:r w:rsidRPr="00124AFB">
        <w:rPr>
          <w:spacing w:val="-2"/>
          <w:szCs w:val="22"/>
        </w:rPr>
        <w:t xml:space="preserve"> on fee rate increases or any other transition to fully normalized fees, contending that such proposals try to insure fairness to other fee payors while ignoring the fact that </w:t>
      </w:r>
      <w:r w:rsidRPr="008C5F88">
        <w:rPr>
          <w:spacing w:val="-2"/>
          <w:szCs w:val="22"/>
        </w:rPr>
        <w:t>ITSPs have been paying a disproportionate</w:t>
      </w:r>
      <w:r w:rsidRPr="00124AFB">
        <w:rPr>
          <w:spacing w:val="-2"/>
          <w:szCs w:val="22"/>
        </w:rPr>
        <w:t xml:space="preserve"> share of regulatory fees for a decade.</w:t>
      </w:r>
      <w:r w:rsidRPr="00124AFB">
        <w:rPr>
          <w:rStyle w:val="FootnoteReference"/>
          <w:spacing w:val="-2"/>
          <w:szCs w:val="22"/>
        </w:rPr>
        <w:footnoteReference w:id="55"/>
      </w:r>
      <w:r w:rsidRPr="00124AFB">
        <w:rPr>
          <w:spacing w:val="-2"/>
          <w:szCs w:val="22"/>
        </w:rPr>
        <w:t xml:space="preserve">  ITTA argues that any cap should only be applied in FY 2013.</w:t>
      </w:r>
      <w:r w:rsidRPr="00124AFB">
        <w:rPr>
          <w:rStyle w:val="FootnoteReference"/>
          <w:spacing w:val="-2"/>
          <w:szCs w:val="22"/>
        </w:rPr>
        <w:footnoteReference w:id="56"/>
      </w:r>
      <w:r w:rsidR="00BE09E3">
        <w:rPr>
          <w:spacing w:val="-2"/>
          <w:szCs w:val="22"/>
        </w:rPr>
        <w:t xml:space="preserve">  AT&amp;</w:t>
      </w:r>
      <w:r w:rsidRPr="00124AFB">
        <w:rPr>
          <w:spacing w:val="-2"/>
          <w:szCs w:val="22"/>
        </w:rPr>
        <w:t>T contends that a cap on increases would be</w:t>
      </w:r>
      <w:r>
        <w:rPr>
          <w:spacing w:val="-2"/>
          <w:szCs w:val="22"/>
        </w:rPr>
        <w:t xml:space="preserve"> unnecessary if the Commission fairly accounted for FTE distribution among all the core bureaus</w:t>
      </w:r>
      <w:r w:rsidRPr="00BE09E3">
        <w:rPr>
          <w:spacing w:val="-2"/>
          <w:szCs w:val="22"/>
        </w:rPr>
        <w:t>.</w:t>
      </w:r>
      <w:r w:rsidRPr="00BE09E3">
        <w:rPr>
          <w:rStyle w:val="FootnoteReference"/>
          <w:spacing w:val="-2"/>
          <w:szCs w:val="22"/>
        </w:rPr>
        <w:footnoteReference w:id="57"/>
      </w:r>
      <w:r w:rsidR="0086025F">
        <w:rPr>
          <w:spacing w:val="-2"/>
          <w:szCs w:val="22"/>
        </w:rPr>
        <w:t xml:space="preserve"> </w:t>
      </w:r>
      <w:r w:rsidR="00AB4D47">
        <w:rPr>
          <w:spacing w:val="-2"/>
          <w:szCs w:val="22"/>
        </w:rPr>
        <w:t xml:space="preserve"> </w:t>
      </w:r>
      <w:r w:rsidR="007526AE">
        <w:rPr>
          <w:spacing w:val="-2"/>
          <w:szCs w:val="22"/>
        </w:rPr>
        <w:t>ICC</w:t>
      </w:r>
      <w:r w:rsidR="0086025F">
        <w:rPr>
          <w:spacing w:val="-2"/>
          <w:szCs w:val="22"/>
        </w:rPr>
        <w:t xml:space="preserve"> agreed with our finding that limiting fee increases would have the unavoidable effect of also limiting fee decreases, and stated that for that reason “the proposed 7.5% cap on increases/decreases of regulatory fees should be an interim measure only</w:t>
      </w:r>
      <w:r w:rsidR="00403E78">
        <w:rPr>
          <w:spacing w:val="-2"/>
          <w:szCs w:val="22"/>
        </w:rPr>
        <w:t>.</w:t>
      </w:r>
      <w:r w:rsidR="00771180">
        <w:rPr>
          <w:spacing w:val="-2"/>
          <w:szCs w:val="22"/>
        </w:rPr>
        <w:t>”</w:t>
      </w:r>
      <w:r w:rsidR="00403E78">
        <w:rPr>
          <w:rStyle w:val="FootnoteReference"/>
          <w:spacing w:val="-2"/>
          <w:szCs w:val="22"/>
        </w:rPr>
        <w:footnoteReference w:id="58"/>
      </w:r>
    </w:p>
    <w:p w:rsidR="00771180" w:rsidRDefault="00786294" w:rsidP="00771180">
      <w:pPr>
        <w:pStyle w:val="ParaNum"/>
        <w:tabs>
          <w:tab w:val="num" w:pos="1350"/>
        </w:tabs>
        <w:ind w:left="-90"/>
      </w:pPr>
      <w:r w:rsidRPr="00786294">
        <w:rPr>
          <w:spacing w:val="-2"/>
        </w:rPr>
        <w:t xml:space="preserve">We disagree with the commenters objecting to the imposition of the </w:t>
      </w:r>
      <w:r w:rsidR="00C7523F">
        <w:rPr>
          <w:spacing w:val="-2"/>
        </w:rPr>
        <w:t>7.5</w:t>
      </w:r>
      <w:r w:rsidR="00565456">
        <w:rPr>
          <w:spacing w:val="-2"/>
        </w:rPr>
        <w:t xml:space="preserve"> percent</w:t>
      </w:r>
      <w:r w:rsidR="00C7523F">
        <w:rPr>
          <w:spacing w:val="-2"/>
        </w:rPr>
        <w:t xml:space="preserve"> </w:t>
      </w:r>
      <w:r w:rsidRPr="00786294">
        <w:rPr>
          <w:spacing w:val="-2"/>
        </w:rPr>
        <w:t>cap</w:t>
      </w:r>
      <w:r w:rsidR="001226A8">
        <w:rPr>
          <w:spacing w:val="-2"/>
        </w:rPr>
        <w:t xml:space="preserve"> on fee increases</w:t>
      </w:r>
      <w:r w:rsidR="00565456">
        <w:rPr>
          <w:spacing w:val="-2"/>
        </w:rPr>
        <w:t>.</w:t>
      </w:r>
      <w:r w:rsidRPr="003576FB">
        <w:t xml:space="preserve">  </w:t>
      </w:r>
      <w:r w:rsidR="00C7523F">
        <w:t xml:space="preserve">As an initial matter we note that the imposition of a cap on fee increases is not unprecedented.  </w:t>
      </w:r>
      <w:r w:rsidRPr="003576FB">
        <w:t>In 1997 we imposed a 25 percent cap to avoid the prospect of “fee shock” resulting from large and unpredictable fluctuations in fees.</w:t>
      </w:r>
      <w:r w:rsidRPr="003576FB">
        <w:rPr>
          <w:rStyle w:val="FootnoteReference"/>
        </w:rPr>
        <w:footnoteReference w:id="59"/>
      </w:r>
      <w:r w:rsidRPr="003576FB">
        <w:t xml:space="preserve">  Today</w:t>
      </w:r>
      <w:r w:rsidR="00AB4D47">
        <w:t>,</w:t>
      </w:r>
      <w:r w:rsidRPr="003576FB">
        <w:t xml:space="preserve"> </w:t>
      </w:r>
      <w:r w:rsidR="00C7523F">
        <w:t>a different set of circumstances supports the imposition of a more modest, interim cap.  The regulatory fees we adopt today reflect only the first of a series of chan</w:t>
      </w:r>
      <w:r w:rsidR="00B43CFA">
        <w:t>ges that we will consider in the</w:t>
      </w:r>
      <w:r w:rsidR="00C7523F">
        <w:t xml:space="preserve"> comprehensive revision of </w:t>
      </w:r>
      <w:r w:rsidR="00B43CFA">
        <w:t xml:space="preserve">our regulatory fee program.  As we noted in the </w:t>
      </w:r>
      <w:r w:rsidR="00B43CFA">
        <w:rPr>
          <w:i/>
        </w:rPr>
        <w:t xml:space="preserve">FY 2013 NPRM, </w:t>
      </w:r>
      <w:r w:rsidR="003B2FB0">
        <w:t>and in para</w:t>
      </w:r>
      <w:r w:rsidR="00565456">
        <w:t>graph</w:t>
      </w:r>
      <w:r w:rsidR="003B2FB0">
        <w:t xml:space="preserve"> 5 above, </w:t>
      </w:r>
      <w:r w:rsidR="00B43CFA">
        <w:t xml:space="preserve">there are unresolved regulatory fee reform initiatives </w:t>
      </w:r>
      <w:r w:rsidR="001226A8">
        <w:t>on which we will seek comment  and which</w:t>
      </w:r>
      <w:r w:rsidR="00B43CFA">
        <w:t xml:space="preserve"> could be adopted and implemented in setting regulatory fees in FY 2014.</w:t>
      </w:r>
      <w:r w:rsidR="00B43CFA">
        <w:rPr>
          <w:rStyle w:val="FootnoteReference"/>
        </w:rPr>
        <w:footnoteReference w:id="60"/>
      </w:r>
      <w:r w:rsidR="00B43CFA">
        <w:t xml:space="preserve">  Capping fee increases at 7.5</w:t>
      </w:r>
      <w:r w:rsidR="00565456">
        <w:t xml:space="preserve"> percent </w:t>
      </w:r>
      <w:r w:rsidR="00B43CFA">
        <w:t>is a conservative interim approach to assure that any fee increases resulting from use of the new FTE data will be reasonable as we transition to a rev</w:t>
      </w:r>
      <w:r w:rsidR="00771180">
        <w:t>ised regulatory fee program in which</w:t>
      </w:r>
      <w:r w:rsidR="00B43CFA">
        <w:t xml:space="preserve"> regulatory fees will more closely reflect the current costs and benefits of Commission regulation</w:t>
      </w:r>
      <w:r w:rsidR="00771180">
        <w:t>.</w:t>
      </w:r>
      <w:r w:rsidRPr="003576FB">
        <w:t xml:space="preserve"> </w:t>
      </w:r>
    </w:p>
    <w:p w:rsidR="00B43CFA" w:rsidRDefault="008C5F88" w:rsidP="00C200C4">
      <w:pPr>
        <w:pStyle w:val="ParaNum"/>
        <w:tabs>
          <w:tab w:val="num" w:pos="1350"/>
        </w:tabs>
        <w:ind w:left="-90"/>
      </w:pPr>
      <w:r w:rsidRPr="00124AFB">
        <w:t xml:space="preserve">USTA and other commenters have pointed out that ITSPs will be most affected by any </w:t>
      </w:r>
      <w:r w:rsidR="000311FD">
        <w:t>limitation</w:t>
      </w:r>
      <w:r w:rsidRPr="00124AFB">
        <w:t xml:space="preserve"> </w:t>
      </w:r>
      <w:r w:rsidR="000311FD">
        <w:t xml:space="preserve">on </w:t>
      </w:r>
      <w:r w:rsidRPr="00124AFB">
        <w:t>fee</w:t>
      </w:r>
      <w:r w:rsidR="00B43CFA">
        <w:t xml:space="preserve"> increases</w:t>
      </w:r>
      <w:r w:rsidRPr="00124AFB">
        <w:t xml:space="preserve">. </w:t>
      </w:r>
      <w:r w:rsidR="000311FD">
        <w:t xml:space="preserve"> </w:t>
      </w:r>
      <w:r w:rsidR="00AA44D7" w:rsidRPr="00C0085E">
        <w:t xml:space="preserve">USTA opposes the </w:t>
      </w:r>
      <w:r w:rsidR="00B43CFA">
        <w:t>7.5</w:t>
      </w:r>
      <w:r w:rsidR="00565456">
        <w:t xml:space="preserve"> percent </w:t>
      </w:r>
      <w:r w:rsidR="00B43CFA">
        <w:t>cap</w:t>
      </w:r>
      <w:r w:rsidR="00AA44D7" w:rsidRPr="00C0085E">
        <w:t xml:space="preserve"> on fee  increases, contending that ITSPs have been paying “an inordinate share of regulatory fees, paying 47 percent of the total fees while only 29.2 percent of the direct FTEs are assigned to the Wireline Competition Bureau.”</w:t>
      </w:r>
      <w:r w:rsidR="00AA44D7" w:rsidRPr="007F7B4B">
        <w:rPr>
          <w:rStyle w:val="FootnoteReference"/>
          <w:spacing w:val="-2"/>
          <w:szCs w:val="22"/>
        </w:rPr>
        <w:footnoteReference w:id="61"/>
      </w:r>
      <w:r w:rsidR="00AA44D7" w:rsidRPr="00C0085E">
        <w:t xml:space="preserve">  </w:t>
      </w:r>
    </w:p>
    <w:p w:rsidR="008C5F88" w:rsidRDefault="008C5F88" w:rsidP="0042179F">
      <w:pPr>
        <w:pStyle w:val="ParaNum"/>
        <w:widowControl/>
        <w:tabs>
          <w:tab w:val="num" w:pos="1350"/>
        </w:tabs>
        <w:ind w:left="-86"/>
      </w:pPr>
      <w:r w:rsidRPr="00124AFB">
        <w:t>We agree with USTA’s contention that ITSP fees</w:t>
      </w:r>
      <w:r w:rsidR="000311FD">
        <w:t xml:space="preserve"> should</w:t>
      </w:r>
      <w:r w:rsidRPr="00124AFB">
        <w:t xml:space="preserve"> be reduced to more accurately reflect the regulatory costs </w:t>
      </w:r>
      <w:r w:rsidR="000311FD">
        <w:t xml:space="preserve">that the industry </w:t>
      </w:r>
      <w:r w:rsidRPr="00124AFB">
        <w:t>currently generate</w:t>
      </w:r>
      <w:r w:rsidR="000311FD">
        <w:t>s</w:t>
      </w:r>
      <w:r w:rsidRPr="00124AFB">
        <w:t xml:space="preserve">, </w:t>
      </w:r>
      <w:r w:rsidR="00B9626D">
        <w:t>and</w:t>
      </w:r>
      <w:r w:rsidR="001226A8">
        <w:t xml:space="preserve"> thus</w:t>
      </w:r>
      <w:r w:rsidR="00B9626D">
        <w:t xml:space="preserve"> the interim fees we </w:t>
      </w:r>
      <w:r w:rsidR="001226A8">
        <w:t xml:space="preserve"> adopt today</w:t>
      </w:r>
      <w:r w:rsidR="00B9626D">
        <w:t xml:space="preserve"> give ITSPs a significant reduction in their </w:t>
      </w:r>
      <w:r w:rsidR="002B4F5F">
        <w:t>FY 2013</w:t>
      </w:r>
      <w:r w:rsidR="00E86E00">
        <w:t xml:space="preserve"> </w:t>
      </w:r>
      <w:r w:rsidR="00B9626D">
        <w:t>fees</w:t>
      </w:r>
      <w:r w:rsidR="002B4F5F">
        <w:t>.</w:t>
      </w:r>
      <w:r w:rsidR="00B9626D">
        <w:t>.  However,</w:t>
      </w:r>
      <w:r w:rsidR="00B9626D" w:rsidRPr="00124AFB">
        <w:t xml:space="preserve"> </w:t>
      </w:r>
      <w:r w:rsidRPr="00124AFB">
        <w:t xml:space="preserve">we cannot “flash cut” to immediate, unadjusted use of the FY 2012 FTE data without engendering significant and unexpected fee increases for other categories of fee payors.  </w:t>
      </w:r>
      <w:r w:rsidR="00B9626D">
        <w:t xml:space="preserve"> </w:t>
      </w:r>
      <w:r w:rsidR="003B2FB0">
        <w:t>As</w:t>
      </w:r>
      <w:r w:rsidR="001226A8">
        <w:t xml:space="preserve"> noted above,</w:t>
      </w:r>
      <w:r w:rsidR="003B2FB0">
        <w:t xml:space="preserve"> </w:t>
      </w:r>
      <w:r w:rsidR="00B9626D">
        <w:t xml:space="preserve">the cap we impose on fee increases for some licensees will unavoidably </w:t>
      </w:r>
      <w:r w:rsidR="001226A8">
        <w:t xml:space="preserve">limit </w:t>
      </w:r>
      <w:r w:rsidR="00B9626D">
        <w:t>the fee reductions other licensees</w:t>
      </w:r>
      <w:r w:rsidR="003B2FB0">
        <w:t>, like ITSPs,</w:t>
      </w:r>
      <w:r w:rsidR="00B9626D">
        <w:t xml:space="preserve"> would otherwise enjoy</w:t>
      </w:r>
      <w:r w:rsidR="00335F7B">
        <w:t>; simply put, capping fee increases reduces the amount of money available to effectuate all of the reductions in this fiscal year</w:t>
      </w:r>
      <w:r w:rsidR="00B9626D">
        <w:t xml:space="preserve">.  We are satisfied, however, that as an interim measure the limitations on fee increases are reasonable, and the </w:t>
      </w:r>
      <w:r w:rsidR="001226A8" w:rsidRPr="00EE2193">
        <w:t xml:space="preserve">resulting </w:t>
      </w:r>
      <w:r w:rsidR="00B9626D" w:rsidRPr="00EE2193">
        <w:t>fee</w:t>
      </w:r>
      <w:r w:rsidR="00B9626D">
        <w:t xml:space="preserve"> </w:t>
      </w:r>
      <w:r w:rsidR="00335F7B">
        <w:t>changes</w:t>
      </w:r>
      <w:r w:rsidR="00B9626D">
        <w:t xml:space="preserve"> are likewise reasonable. </w:t>
      </w:r>
      <w:r w:rsidR="00C7161A">
        <w:t xml:space="preserve"> </w:t>
      </w:r>
      <w:r w:rsidR="00335F7B">
        <w:t xml:space="preserve">Moreover, as this is an interim measure, we commit to </w:t>
      </w:r>
      <w:r w:rsidR="00C7161A">
        <w:t>revisit these issues and make whatever further fee reductions are warranted in the course of adopting further revisions to our regulatory fee program.</w:t>
      </w:r>
      <w:r w:rsidR="006A60E4">
        <w:rPr>
          <w:rStyle w:val="FootnoteReference"/>
        </w:rPr>
        <w:footnoteReference w:id="62"/>
      </w:r>
      <w:r w:rsidR="000311FD">
        <w:t xml:space="preserve">  </w:t>
      </w:r>
    </w:p>
    <w:p w:rsidR="00A97716" w:rsidRPr="00B16900" w:rsidRDefault="00D753FA" w:rsidP="006A08B5">
      <w:pPr>
        <w:pStyle w:val="ParaNum"/>
        <w:tabs>
          <w:tab w:val="num" w:pos="1350"/>
        </w:tabs>
        <w:ind w:left="-90"/>
        <w:rPr>
          <w:b/>
          <w:spacing w:val="-2"/>
          <w:szCs w:val="22"/>
        </w:rPr>
      </w:pPr>
      <w:r w:rsidRPr="006A08B5">
        <w:rPr>
          <w:b/>
          <w:i/>
        </w:rPr>
        <w:t>Limiting Fee Decreases</w:t>
      </w:r>
      <w:r w:rsidRPr="006A08B5">
        <w:rPr>
          <w:b/>
        </w:rPr>
        <w:t>.</w:t>
      </w:r>
      <w:r>
        <w:tab/>
        <w:t xml:space="preserve">  We are confronted with somewhat different issues in evaluating whether </w:t>
      </w:r>
      <w:r w:rsidR="001226A8">
        <w:t xml:space="preserve">to </w:t>
      </w:r>
      <w:r w:rsidR="00B77C98">
        <w:t>cap the amount of the fee decrease that any class of fee payors might otherwise receive as a result of our use of current FTE data.</w:t>
      </w:r>
      <w:r w:rsidR="00E67FEE">
        <w:t xml:space="preserve"> </w:t>
      </w:r>
      <w:r w:rsidR="00C7161A">
        <w:t xml:space="preserve"> </w:t>
      </w:r>
      <w:r w:rsidR="00245B70">
        <w:t>T</w:t>
      </w:r>
      <w:r w:rsidR="00B77C98">
        <w:t>he revised FY</w:t>
      </w:r>
      <w:r w:rsidR="00F40773">
        <w:t xml:space="preserve"> 2013 fee calculations appearing</w:t>
      </w:r>
      <w:r w:rsidR="00B77C98">
        <w:t xml:space="preserve"> at Attachment B of the </w:t>
      </w:r>
      <w:r w:rsidR="00B77C98" w:rsidRPr="00B16900">
        <w:rPr>
          <w:i/>
        </w:rPr>
        <w:t>FY 2013 NPRM</w:t>
      </w:r>
      <w:r w:rsidR="00245B70">
        <w:rPr>
          <w:i/>
        </w:rPr>
        <w:t xml:space="preserve"> </w:t>
      </w:r>
      <w:r w:rsidR="00245B70">
        <w:t>reflect both a</w:t>
      </w:r>
      <w:r w:rsidR="00E86E00">
        <w:t xml:space="preserve"> </w:t>
      </w:r>
      <w:r w:rsidR="00245B70">
        <w:t>10</w:t>
      </w:r>
      <w:r w:rsidR="00565456">
        <w:t xml:space="preserve"> percent</w:t>
      </w:r>
      <w:r w:rsidR="00245B70">
        <w:t xml:space="preserve"> cap on decreases, as well as a 7.5</w:t>
      </w:r>
      <w:r w:rsidR="00565456">
        <w:t xml:space="preserve"> percent</w:t>
      </w:r>
      <w:r w:rsidR="00245B70">
        <w:t xml:space="preserve"> cap on increases</w:t>
      </w:r>
      <w:r w:rsidR="00B77C98" w:rsidRPr="00B16900">
        <w:rPr>
          <w:i/>
        </w:rPr>
        <w:t>.</w:t>
      </w:r>
      <w:r w:rsidR="00B77C98" w:rsidRPr="00B16900">
        <w:rPr>
          <w:rStyle w:val="FootnoteReference"/>
        </w:rPr>
        <w:footnoteReference w:id="63"/>
      </w:r>
      <w:r w:rsidR="00B77C98" w:rsidRPr="00610335">
        <w:t xml:space="preserve"> </w:t>
      </w:r>
      <w:r w:rsidR="00B77C98">
        <w:t xml:space="preserve"> </w:t>
      </w:r>
      <w:r w:rsidR="00F40773">
        <w:t>Although the caption to Attachment B clearly stated that the fees resulted from the imposition of a 7.5% cap, it did not state that the fees also reflected a 10</w:t>
      </w:r>
      <w:r w:rsidR="00565456">
        <w:t xml:space="preserve"> percent</w:t>
      </w:r>
      <w:r w:rsidR="00F40773">
        <w:t xml:space="preserve"> cap on decreases.  </w:t>
      </w:r>
      <w:r w:rsidR="005434E0">
        <w:t>T</w:t>
      </w:r>
      <w:r w:rsidR="00F40773">
        <w:t xml:space="preserve">he text of the </w:t>
      </w:r>
      <w:r w:rsidR="00F40773" w:rsidRPr="006A08B5">
        <w:rPr>
          <w:i/>
        </w:rPr>
        <w:t xml:space="preserve">FY 2013 NPRM </w:t>
      </w:r>
      <w:r w:rsidR="00F40773">
        <w:t>did not reference this fact,</w:t>
      </w:r>
      <w:r w:rsidR="005434E0">
        <w:t xml:space="preserve"> however,</w:t>
      </w:r>
      <w:r w:rsidR="00F40773">
        <w:t xml:space="preserve"> nor did it request comment on the issue of cappin</w:t>
      </w:r>
      <w:r w:rsidR="00E67FEE">
        <w:t>g fee decreases</w:t>
      </w:r>
      <w:r w:rsidR="00335F7B">
        <w:t xml:space="preserve">.  Although we requested comment on </w:t>
      </w:r>
      <w:r w:rsidR="00E86E00">
        <w:t xml:space="preserve">the general issues of </w:t>
      </w:r>
      <w:r w:rsidR="00335F7B">
        <w:t>limit</w:t>
      </w:r>
      <w:r w:rsidR="00E86E00">
        <w:t>ing</w:t>
      </w:r>
      <w:r w:rsidR="00335F7B">
        <w:t xml:space="preserve"> fee increases and </w:t>
      </w:r>
      <w:r w:rsidR="00E86E00">
        <w:t xml:space="preserve">adopting </w:t>
      </w:r>
      <w:r w:rsidR="00335F7B">
        <w:t xml:space="preserve">possible measures to address the impacts of such limits, </w:t>
      </w:r>
      <w:r w:rsidR="00F40773">
        <w:t xml:space="preserve"> </w:t>
      </w:r>
      <w:r w:rsidR="00E67FEE">
        <w:t>n</w:t>
      </w:r>
      <w:r w:rsidR="00F40773">
        <w:t xml:space="preserve">o party specifically addressed the issue </w:t>
      </w:r>
      <w:r w:rsidR="00335F7B">
        <w:t xml:space="preserve">of an offsetting limit to decreases </w:t>
      </w:r>
      <w:r w:rsidR="00F40773">
        <w:t>in comments.</w:t>
      </w:r>
      <w:r w:rsidR="00610335">
        <w:rPr>
          <w:rStyle w:val="FootnoteReference"/>
        </w:rPr>
        <w:footnoteReference w:id="64"/>
      </w:r>
      <w:r w:rsidR="00610335">
        <w:t xml:space="preserve">  </w:t>
      </w:r>
      <w:r w:rsidR="00F40773">
        <w:t>Under these circumstances, we cannot find that interested parties were afforded an adequate opportunity to comment on the issue of cappi</w:t>
      </w:r>
      <w:r w:rsidR="00610335">
        <w:t>ng fee decreases</w:t>
      </w:r>
      <w:r w:rsidR="00F40142">
        <w:t xml:space="preserve">.  </w:t>
      </w:r>
      <w:r w:rsidR="00A97716">
        <w:t>Although this situation</w:t>
      </w:r>
      <w:r w:rsidR="00E67FEE">
        <w:t xml:space="preserve"> would normally</w:t>
      </w:r>
      <w:r w:rsidR="00A97716">
        <w:t xml:space="preserve"> be addressed </w:t>
      </w:r>
      <w:r w:rsidR="00C7161A">
        <w:t xml:space="preserve">by </w:t>
      </w:r>
      <w:r w:rsidR="00245B70">
        <w:t xml:space="preserve">requesting comments on </w:t>
      </w:r>
      <w:r w:rsidR="00C7161A">
        <w:t>this</w:t>
      </w:r>
      <w:r w:rsidR="00A97716">
        <w:t xml:space="preserve"> issue</w:t>
      </w:r>
      <w:r w:rsidR="005434E0">
        <w:t>,</w:t>
      </w:r>
      <w:r w:rsidR="00A97716">
        <w:t xml:space="preserve"> </w:t>
      </w:r>
      <w:r w:rsidR="005434E0">
        <w:t xml:space="preserve">here </w:t>
      </w:r>
      <w:r w:rsidR="00A97716">
        <w:t>we would not be able to receive and analyze</w:t>
      </w:r>
      <w:r w:rsidR="00E67FEE">
        <w:t xml:space="preserve"> further</w:t>
      </w:r>
      <w:r w:rsidR="00A97716">
        <w:t xml:space="preserve"> comments in time to publish and collect fees by the end of FY 2013.</w:t>
      </w:r>
      <w:r w:rsidR="006A08B5">
        <w:t xml:space="preserve">  </w:t>
      </w:r>
      <w:r w:rsidR="000E771A">
        <w:t>Further, as stated above,</w:t>
      </w:r>
      <w:r w:rsidR="00335F7B">
        <w:t xml:space="preserve"> we find the FY</w:t>
      </w:r>
      <w:r w:rsidR="00E86E00">
        <w:t xml:space="preserve"> </w:t>
      </w:r>
      <w:r w:rsidR="00335F7B">
        <w:t>2013 fee changes resulting from imposition of a 7.5</w:t>
      </w:r>
      <w:r w:rsidR="00565456">
        <w:t xml:space="preserve"> percent</w:t>
      </w:r>
      <w:r w:rsidR="00335F7B">
        <w:t xml:space="preserve"> cap on fee increases to be reasonable.  </w:t>
      </w:r>
      <w:r w:rsidR="006A08B5">
        <w:t>For t</w:t>
      </w:r>
      <w:r w:rsidR="00335F7B">
        <w:t>hese</w:t>
      </w:r>
      <w:r w:rsidR="001F602F">
        <w:t xml:space="preserve"> </w:t>
      </w:r>
      <w:r w:rsidR="006A08B5">
        <w:t>reason</w:t>
      </w:r>
      <w:r w:rsidR="00335F7B">
        <w:t>s</w:t>
      </w:r>
      <w:r w:rsidR="006A08B5">
        <w:t xml:space="preserve"> we find it </w:t>
      </w:r>
      <w:r w:rsidR="006A08B5" w:rsidRPr="006A08B5">
        <w:rPr>
          <w:szCs w:val="22"/>
        </w:rPr>
        <w:t xml:space="preserve">necessary to adopt revised FY 2013 fee calculations that reflect </w:t>
      </w:r>
      <w:r w:rsidR="00E67FEE">
        <w:rPr>
          <w:szCs w:val="22"/>
        </w:rPr>
        <w:t xml:space="preserve">only </w:t>
      </w:r>
      <w:r w:rsidR="006A08B5" w:rsidRPr="006A08B5">
        <w:rPr>
          <w:szCs w:val="22"/>
        </w:rPr>
        <w:t xml:space="preserve">the application of </w:t>
      </w:r>
      <w:r w:rsidR="00E67FEE">
        <w:rPr>
          <w:szCs w:val="22"/>
        </w:rPr>
        <w:t xml:space="preserve">a 7.5 </w:t>
      </w:r>
      <w:r w:rsidR="00565456">
        <w:rPr>
          <w:szCs w:val="22"/>
        </w:rPr>
        <w:t>percent</w:t>
      </w:r>
      <w:r w:rsidR="00E67FEE">
        <w:rPr>
          <w:szCs w:val="22"/>
        </w:rPr>
        <w:t xml:space="preserve"> cap on fee increases and</w:t>
      </w:r>
      <w:r w:rsidR="006A08B5" w:rsidRPr="006A08B5">
        <w:rPr>
          <w:szCs w:val="22"/>
        </w:rPr>
        <w:t xml:space="preserve"> no cap on fee decreases.  </w:t>
      </w:r>
      <w:r w:rsidR="006A08B5">
        <w:rPr>
          <w:szCs w:val="22"/>
        </w:rPr>
        <w:t>T</w:t>
      </w:r>
      <w:r w:rsidR="006A08B5" w:rsidRPr="006A08B5">
        <w:rPr>
          <w:szCs w:val="22"/>
        </w:rPr>
        <w:t xml:space="preserve">he revised fees are set forth in Attachment B.  </w:t>
      </w:r>
      <w:r w:rsidR="00610335" w:rsidRPr="006A08B5">
        <w:rPr>
          <w:szCs w:val="22"/>
        </w:rPr>
        <w:t xml:space="preserve"> </w:t>
      </w:r>
      <w:r w:rsidR="00A97716" w:rsidRPr="006A08B5">
        <w:rPr>
          <w:szCs w:val="22"/>
        </w:rPr>
        <w:t>T</w:t>
      </w:r>
      <w:r w:rsidR="006A08B5" w:rsidRPr="006A08B5">
        <w:rPr>
          <w:szCs w:val="22"/>
        </w:rPr>
        <w:t>he most significant shift</w:t>
      </w:r>
      <w:r w:rsidR="00E67FEE">
        <w:rPr>
          <w:szCs w:val="22"/>
        </w:rPr>
        <w:t>s</w:t>
      </w:r>
      <w:r w:rsidR="006A08B5">
        <w:rPr>
          <w:szCs w:val="22"/>
        </w:rPr>
        <w:t xml:space="preserve"> between the recalculated fees we adopt today </w:t>
      </w:r>
      <w:r w:rsidR="00E67FEE">
        <w:rPr>
          <w:szCs w:val="22"/>
        </w:rPr>
        <w:t>and the</w:t>
      </w:r>
      <w:r w:rsidR="00A97716" w:rsidRPr="006A08B5">
        <w:rPr>
          <w:szCs w:val="22"/>
        </w:rPr>
        <w:t xml:space="preserve"> fees that appe</w:t>
      </w:r>
      <w:r w:rsidR="00E67FEE">
        <w:rPr>
          <w:szCs w:val="22"/>
        </w:rPr>
        <w:t>ar</w:t>
      </w:r>
      <w:r w:rsidR="00A97716" w:rsidRPr="006A08B5">
        <w:rPr>
          <w:szCs w:val="22"/>
        </w:rPr>
        <w:t xml:space="preserve"> in Attachment B of the </w:t>
      </w:r>
      <w:r w:rsidR="00A97716" w:rsidRPr="006A08B5">
        <w:rPr>
          <w:i/>
          <w:szCs w:val="22"/>
        </w:rPr>
        <w:t>FY 2013 N</w:t>
      </w:r>
      <w:r w:rsidR="00565456">
        <w:rPr>
          <w:i/>
          <w:szCs w:val="22"/>
        </w:rPr>
        <w:t>PRM</w:t>
      </w:r>
      <w:r w:rsidR="00A97716" w:rsidRPr="006A08B5">
        <w:rPr>
          <w:szCs w:val="22"/>
        </w:rPr>
        <w:t xml:space="preserve"> </w:t>
      </w:r>
      <w:r w:rsidR="005434E0">
        <w:rPr>
          <w:szCs w:val="22"/>
        </w:rPr>
        <w:t xml:space="preserve">affect </w:t>
      </w:r>
      <w:r w:rsidR="006A08B5" w:rsidRPr="006A08B5">
        <w:rPr>
          <w:szCs w:val="22"/>
        </w:rPr>
        <w:t xml:space="preserve"> International Bureau licensees.</w:t>
      </w:r>
      <w:r w:rsidR="006A08B5">
        <w:rPr>
          <w:szCs w:val="22"/>
        </w:rPr>
        <w:t xml:space="preserve">  The reallocation of FTEs from the International Bureau</w:t>
      </w:r>
      <w:r w:rsidR="00F63C2A">
        <w:rPr>
          <w:szCs w:val="22"/>
        </w:rPr>
        <w:t>, combined with a</w:t>
      </w:r>
      <w:r w:rsidR="006A08B5">
        <w:rPr>
          <w:szCs w:val="22"/>
        </w:rPr>
        <w:t xml:space="preserve"> 10</w:t>
      </w:r>
      <w:r w:rsidR="00565456">
        <w:rPr>
          <w:szCs w:val="22"/>
        </w:rPr>
        <w:t xml:space="preserve"> percent</w:t>
      </w:r>
      <w:r w:rsidR="006A08B5">
        <w:rPr>
          <w:szCs w:val="22"/>
        </w:rPr>
        <w:t xml:space="preserve"> cap on decreases</w:t>
      </w:r>
      <w:r w:rsidR="00F63C2A">
        <w:rPr>
          <w:szCs w:val="22"/>
        </w:rPr>
        <w:t>, would have provided licen</w:t>
      </w:r>
      <w:r w:rsidR="006A08B5">
        <w:rPr>
          <w:szCs w:val="22"/>
        </w:rPr>
        <w:t>sees of Earth Stations, Geostationary Orbit Space Stations, Non-Geostationary Orbit S</w:t>
      </w:r>
      <w:r w:rsidR="00F63C2A">
        <w:rPr>
          <w:szCs w:val="22"/>
        </w:rPr>
        <w:t>atellite Systems, and Submarine Cable Systems with reduction</w:t>
      </w:r>
      <w:r w:rsidR="00E67FEE">
        <w:rPr>
          <w:szCs w:val="22"/>
        </w:rPr>
        <w:t>s of</w:t>
      </w:r>
      <w:r w:rsidR="00F63C2A">
        <w:rPr>
          <w:szCs w:val="22"/>
        </w:rPr>
        <w:t xml:space="preserve"> 3.85</w:t>
      </w:r>
      <w:r w:rsidR="00565456">
        <w:rPr>
          <w:szCs w:val="22"/>
        </w:rPr>
        <w:t xml:space="preserve"> percent</w:t>
      </w:r>
      <w:r w:rsidR="005434E0">
        <w:rPr>
          <w:szCs w:val="22"/>
        </w:rPr>
        <w:t xml:space="preserve"> to 10.01</w:t>
      </w:r>
      <w:r w:rsidR="00565456">
        <w:rPr>
          <w:szCs w:val="22"/>
        </w:rPr>
        <w:t xml:space="preserve"> percent</w:t>
      </w:r>
      <w:r w:rsidR="00F63C2A">
        <w:rPr>
          <w:szCs w:val="22"/>
        </w:rPr>
        <w:t xml:space="preserve"> from</w:t>
      </w:r>
      <w:r w:rsidR="00E67FEE">
        <w:rPr>
          <w:szCs w:val="22"/>
        </w:rPr>
        <w:t xml:space="preserve"> the fees they</w:t>
      </w:r>
      <w:r w:rsidR="00F63C2A">
        <w:rPr>
          <w:szCs w:val="22"/>
        </w:rPr>
        <w:t xml:space="preserve"> paid in FY 2012.</w:t>
      </w:r>
      <w:r w:rsidR="00F63C2A">
        <w:rPr>
          <w:rStyle w:val="FootnoteReference"/>
          <w:szCs w:val="22"/>
        </w:rPr>
        <w:footnoteReference w:id="65"/>
      </w:r>
      <w:r w:rsidR="00F63C2A">
        <w:rPr>
          <w:szCs w:val="22"/>
        </w:rPr>
        <w:t xml:space="preserve">  Removing the 10</w:t>
      </w:r>
      <w:r w:rsidR="00565456">
        <w:rPr>
          <w:szCs w:val="22"/>
        </w:rPr>
        <w:t xml:space="preserve"> percent</w:t>
      </w:r>
      <w:r w:rsidR="00F63C2A">
        <w:rPr>
          <w:szCs w:val="22"/>
        </w:rPr>
        <w:t xml:space="preserve"> cap on decreases causes the fees these licensees will pay in FY 2013 to increase between 2.31</w:t>
      </w:r>
      <w:r w:rsidR="00565456">
        <w:rPr>
          <w:szCs w:val="22"/>
        </w:rPr>
        <w:t xml:space="preserve"> percent </w:t>
      </w:r>
      <w:r w:rsidR="002922DA">
        <w:rPr>
          <w:szCs w:val="22"/>
        </w:rPr>
        <w:t>and</w:t>
      </w:r>
      <w:r w:rsidR="00F63C2A">
        <w:rPr>
          <w:szCs w:val="22"/>
        </w:rPr>
        <w:t xml:space="preserve"> 4.70</w:t>
      </w:r>
      <w:r w:rsidR="00565456">
        <w:rPr>
          <w:szCs w:val="22"/>
        </w:rPr>
        <w:t xml:space="preserve"> percent </w:t>
      </w:r>
      <w:r w:rsidR="00647BD9">
        <w:rPr>
          <w:szCs w:val="22"/>
        </w:rPr>
        <w:t xml:space="preserve">over the fees they paid </w:t>
      </w:r>
      <w:r w:rsidR="00335F7B">
        <w:rPr>
          <w:szCs w:val="22"/>
        </w:rPr>
        <w:t>in FY</w:t>
      </w:r>
      <w:r w:rsidR="00CC6DF6">
        <w:rPr>
          <w:szCs w:val="22"/>
        </w:rPr>
        <w:t xml:space="preserve"> </w:t>
      </w:r>
      <w:r w:rsidR="00335F7B">
        <w:rPr>
          <w:szCs w:val="22"/>
        </w:rPr>
        <w:t>2012</w:t>
      </w:r>
      <w:r w:rsidR="00647BD9">
        <w:rPr>
          <w:szCs w:val="22"/>
        </w:rPr>
        <w:t>.</w:t>
      </w:r>
      <w:r w:rsidR="00F63C2A">
        <w:rPr>
          <w:rStyle w:val="FootnoteReference"/>
          <w:szCs w:val="22"/>
        </w:rPr>
        <w:footnoteReference w:id="66"/>
      </w:r>
      <w:r w:rsidR="00647BD9">
        <w:rPr>
          <w:szCs w:val="22"/>
        </w:rPr>
        <w:t xml:space="preserve">  Although at variance from the results we had projected, we find that these modest increases</w:t>
      </w:r>
      <w:r w:rsidR="00C86BD6">
        <w:rPr>
          <w:szCs w:val="22"/>
        </w:rPr>
        <w:t xml:space="preserve"> in</w:t>
      </w:r>
      <w:r w:rsidR="00C7161A">
        <w:rPr>
          <w:szCs w:val="22"/>
        </w:rPr>
        <w:t xml:space="preserve"> the fees</w:t>
      </w:r>
      <w:r w:rsidR="00647BD9">
        <w:rPr>
          <w:szCs w:val="22"/>
        </w:rPr>
        <w:t xml:space="preserve"> </w:t>
      </w:r>
      <w:r w:rsidR="00C86BD6">
        <w:rPr>
          <w:szCs w:val="22"/>
        </w:rPr>
        <w:t xml:space="preserve">international service </w:t>
      </w:r>
      <w:r w:rsidR="00647BD9">
        <w:rPr>
          <w:szCs w:val="22"/>
        </w:rPr>
        <w:t xml:space="preserve">licensees </w:t>
      </w:r>
      <w:r w:rsidR="00C7161A">
        <w:rPr>
          <w:szCs w:val="22"/>
        </w:rPr>
        <w:t xml:space="preserve">will pay this </w:t>
      </w:r>
      <w:r w:rsidR="00647BD9">
        <w:rPr>
          <w:szCs w:val="22"/>
        </w:rPr>
        <w:t xml:space="preserve">year </w:t>
      </w:r>
      <w:r w:rsidR="005B6E63">
        <w:rPr>
          <w:szCs w:val="22"/>
        </w:rPr>
        <w:t>are unlikely</w:t>
      </w:r>
      <w:r w:rsidR="00C7161A">
        <w:rPr>
          <w:szCs w:val="22"/>
        </w:rPr>
        <w:t xml:space="preserve"> to</w:t>
      </w:r>
      <w:r w:rsidR="00647BD9">
        <w:rPr>
          <w:szCs w:val="22"/>
        </w:rPr>
        <w:t xml:space="preserve"> affect the</w:t>
      </w:r>
      <w:r w:rsidR="00C86BD6">
        <w:rPr>
          <w:szCs w:val="22"/>
        </w:rPr>
        <w:t>ir</w:t>
      </w:r>
      <w:r w:rsidR="00647BD9">
        <w:rPr>
          <w:szCs w:val="22"/>
        </w:rPr>
        <w:t xml:space="preserve"> abi</w:t>
      </w:r>
      <w:r w:rsidR="00C86BD6">
        <w:rPr>
          <w:szCs w:val="22"/>
        </w:rPr>
        <w:t>lity</w:t>
      </w:r>
      <w:r w:rsidR="00647BD9">
        <w:rPr>
          <w:szCs w:val="22"/>
        </w:rPr>
        <w:t xml:space="preserve"> to continue offer</w:t>
      </w:r>
      <w:r w:rsidR="005B6E63">
        <w:rPr>
          <w:szCs w:val="22"/>
        </w:rPr>
        <w:t>ing</w:t>
      </w:r>
      <w:r w:rsidR="00647BD9">
        <w:rPr>
          <w:szCs w:val="22"/>
        </w:rPr>
        <w:t xml:space="preserve"> the services for which the Commission has licensed them</w:t>
      </w:r>
      <w:r w:rsidR="00CC6DF6">
        <w:rPr>
          <w:szCs w:val="22"/>
        </w:rPr>
        <w:t>.</w:t>
      </w:r>
      <w:r w:rsidR="00C9352C">
        <w:rPr>
          <w:rStyle w:val="FootnoteReference"/>
          <w:szCs w:val="22"/>
        </w:rPr>
        <w:footnoteReference w:id="67"/>
      </w:r>
      <w:r w:rsidR="00C86BD6">
        <w:rPr>
          <w:szCs w:val="22"/>
        </w:rPr>
        <w:t xml:space="preserve">  Moreover</w:t>
      </w:r>
      <w:r w:rsidR="00C7161A">
        <w:rPr>
          <w:szCs w:val="22"/>
        </w:rPr>
        <w:t>,</w:t>
      </w:r>
      <w:r w:rsidR="00C9352C">
        <w:rPr>
          <w:szCs w:val="22"/>
        </w:rPr>
        <w:t xml:space="preserve"> </w:t>
      </w:r>
      <w:r w:rsidR="00C7161A">
        <w:rPr>
          <w:szCs w:val="22"/>
        </w:rPr>
        <w:t>we emphasize again that</w:t>
      </w:r>
      <w:r w:rsidR="00C9352C">
        <w:rPr>
          <w:szCs w:val="22"/>
        </w:rPr>
        <w:t xml:space="preserve"> the adjustments reflected in all the fees we adopt today are but an initial step</w:t>
      </w:r>
      <w:r w:rsidR="00C86BD6">
        <w:rPr>
          <w:szCs w:val="22"/>
        </w:rPr>
        <w:t xml:space="preserve"> in the</w:t>
      </w:r>
      <w:r w:rsidR="00C9352C">
        <w:rPr>
          <w:szCs w:val="22"/>
        </w:rPr>
        <w:t xml:space="preserve"> process of comprehensively reforming the way we assess regulatory fees, a process that we anticipate will lead to further significant changes in the</w:t>
      </w:r>
      <w:r w:rsidR="00420A35">
        <w:rPr>
          <w:szCs w:val="22"/>
        </w:rPr>
        <w:t xml:space="preserve"> </w:t>
      </w:r>
      <w:r w:rsidR="003F4FD6">
        <w:rPr>
          <w:szCs w:val="22"/>
        </w:rPr>
        <w:t xml:space="preserve">regulatory </w:t>
      </w:r>
      <w:r w:rsidR="00420A35">
        <w:rPr>
          <w:szCs w:val="22"/>
        </w:rPr>
        <w:t>fees Commission licensees will pay in FY 2014 and beyond.</w:t>
      </w:r>
    </w:p>
    <w:p w:rsidR="00DA3E35" w:rsidRPr="00AA44D7" w:rsidRDefault="008C5F88" w:rsidP="0042179F">
      <w:pPr>
        <w:pStyle w:val="ParaNum"/>
        <w:rPr>
          <w:b/>
          <w:spacing w:val="-2"/>
          <w:szCs w:val="22"/>
        </w:rPr>
      </w:pPr>
      <w:r>
        <w:rPr>
          <w:szCs w:val="22"/>
        </w:rPr>
        <w:t>T</w:t>
      </w:r>
      <w:r w:rsidRPr="007F3423">
        <w:rPr>
          <w:szCs w:val="22"/>
        </w:rPr>
        <w:t xml:space="preserve">he new allocations </w:t>
      </w:r>
      <w:r>
        <w:rPr>
          <w:szCs w:val="22"/>
        </w:rPr>
        <w:t xml:space="preserve">that result from the International Bureau FTE reassignments and the imposition of the 7.5 percent cap are </w:t>
      </w:r>
      <w:r w:rsidRPr="007F3423">
        <w:rPr>
          <w:szCs w:val="22"/>
        </w:rPr>
        <w:t>as follows:</w:t>
      </w:r>
      <w:r w:rsidR="00CB478D">
        <w:rPr>
          <w:rStyle w:val="FootnoteReference"/>
          <w:szCs w:val="22"/>
        </w:rPr>
        <w:footnoteReference w:id="68"/>
      </w:r>
    </w:p>
    <w:p w:rsidR="00AA44D7" w:rsidRPr="007F7B4B" w:rsidRDefault="00AA44D7" w:rsidP="00AA44D7">
      <w:pPr>
        <w:pStyle w:val="ListParagraph"/>
        <w:ind w:left="1080"/>
        <w:rPr>
          <w:szCs w:val="22"/>
        </w:rPr>
      </w:pPr>
    </w:p>
    <w:tbl>
      <w:tblPr>
        <w:tblStyle w:val="TableGrid"/>
        <w:tblW w:w="0" w:type="auto"/>
        <w:tblInd w:w="1080" w:type="dxa"/>
        <w:tblLook w:val="04A0" w:firstRow="1" w:lastRow="0" w:firstColumn="1" w:lastColumn="0" w:noHBand="0" w:noVBand="1"/>
      </w:tblPr>
      <w:tblGrid>
        <w:gridCol w:w="2973"/>
        <w:gridCol w:w="2775"/>
        <w:gridCol w:w="2748"/>
      </w:tblGrid>
      <w:tr w:rsidR="00AA44D7" w:rsidRPr="007F7B4B" w:rsidTr="00844F93">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International Bureau</w:t>
            </w:r>
          </w:p>
        </w:tc>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Formerly  6.3%</w:t>
            </w:r>
          </w:p>
        </w:tc>
        <w:tc>
          <w:tcPr>
            <w:tcW w:w="3192" w:type="dxa"/>
          </w:tcPr>
          <w:p w:rsidR="00AA44D7" w:rsidRPr="007F7B4B" w:rsidRDefault="00AA44D7" w:rsidP="00663F60">
            <w:pPr>
              <w:pStyle w:val="ListParagraph"/>
              <w:ind w:left="0"/>
              <w:rPr>
                <w:rFonts w:ascii="Times New Roman" w:hAnsi="Times New Roman" w:cs="Times New Roman"/>
              </w:rPr>
            </w:pPr>
            <w:r w:rsidRPr="007F7B4B">
              <w:rPr>
                <w:rFonts w:ascii="Times New Roman" w:hAnsi="Times New Roman" w:cs="Times New Roman"/>
              </w:rPr>
              <w:t xml:space="preserve">FY 2013   </w:t>
            </w:r>
            <w:r w:rsidR="00663F60">
              <w:rPr>
                <w:rFonts w:ascii="Times New Roman" w:hAnsi="Times New Roman" w:cs="Times New Roman"/>
              </w:rPr>
              <w:t>6.91</w:t>
            </w:r>
            <w:r w:rsidR="00CB478D">
              <w:rPr>
                <w:rFonts w:ascii="Times New Roman" w:hAnsi="Times New Roman" w:cs="Times New Roman"/>
              </w:rPr>
              <w:t>%</w:t>
            </w:r>
          </w:p>
        </w:tc>
      </w:tr>
      <w:tr w:rsidR="00AA44D7" w:rsidRPr="007F7B4B" w:rsidTr="00844F93">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Media Bureau</w:t>
            </w:r>
          </w:p>
        </w:tc>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Formerly  30.2%</w:t>
            </w:r>
          </w:p>
        </w:tc>
        <w:tc>
          <w:tcPr>
            <w:tcW w:w="3192" w:type="dxa"/>
          </w:tcPr>
          <w:p w:rsidR="00AA44D7" w:rsidRPr="007F7B4B" w:rsidRDefault="00AA44D7" w:rsidP="00663F60">
            <w:pPr>
              <w:pStyle w:val="ListParagraph"/>
              <w:ind w:left="0"/>
              <w:rPr>
                <w:rFonts w:ascii="Times New Roman" w:hAnsi="Times New Roman" w:cs="Times New Roman"/>
              </w:rPr>
            </w:pPr>
            <w:r w:rsidRPr="007F7B4B">
              <w:rPr>
                <w:rFonts w:ascii="Times New Roman" w:hAnsi="Times New Roman" w:cs="Times New Roman"/>
              </w:rPr>
              <w:t xml:space="preserve">FY 2013   </w:t>
            </w:r>
            <w:r w:rsidR="00663F60">
              <w:rPr>
                <w:rFonts w:ascii="Times New Roman" w:hAnsi="Times New Roman" w:cs="Times New Roman"/>
              </w:rPr>
              <w:t>33.69</w:t>
            </w:r>
            <w:r w:rsidRPr="007F7B4B">
              <w:rPr>
                <w:rFonts w:ascii="Times New Roman" w:hAnsi="Times New Roman" w:cs="Times New Roman"/>
              </w:rPr>
              <w:t>%</w:t>
            </w:r>
          </w:p>
        </w:tc>
      </w:tr>
      <w:tr w:rsidR="00AA44D7" w:rsidRPr="007F7B4B" w:rsidTr="00844F93">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Wireline Competition Bureau</w:t>
            </w:r>
          </w:p>
        </w:tc>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Formerly  46.7%</w:t>
            </w:r>
          </w:p>
        </w:tc>
        <w:tc>
          <w:tcPr>
            <w:tcW w:w="3192" w:type="dxa"/>
          </w:tcPr>
          <w:p w:rsidR="00AA44D7" w:rsidRPr="007F7B4B" w:rsidRDefault="00AA44D7" w:rsidP="00663F60">
            <w:pPr>
              <w:pStyle w:val="ListParagraph"/>
              <w:ind w:left="0"/>
              <w:rPr>
                <w:rFonts w:ascii="Times New Roman" w:hAnsi="Times New Roman" w:cs="Times New Roman"/>
              </w:rPr>
            </w:pPr>
            <w:r w:rsidRPr="007F7B4B">
              <w:rPr>
                <w:rFonts w:ascii="Times New Roman" w:hAnsi="Times New Roman" w:cs="Times New Roman"/>
              </w:rPr>
              <w:t xml:space="preserve">FY 2013   </w:t>
            </w:r>
            <w:r w:rsidR="00663F60">
              <w:rPr>
                <w:rFonts w:ascii="Times New Roman" w:hAnsi="Times New Roman" w:cs="Times New Roman"/>
              </w:rPr>
              <w:t>39.81</w:t>
            </w:r>
            <w:r w:rsidRPr="007F7B4B">
              <w:rPr>
                <w:rFonts w:ascii="Times New Roman" w:hAnsi="Times New Roman" w:cs="Times New Roman"/>
              </w:rPr>
              <w:t>%</w:t>
            </w:r>
          </w:p>
        </w:tc>
      </w:tr>
      <w:tr w:rsidR="00AA44D7" w:rsidRPr="007F7B4B" w:rsidTr="00844F93">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Wireless Telecommunications Bureau</w:t>
            </w:r>
          </w:p>
        </w:tc>
        <w:tc>
          <w:tcPr>
            <w:tcW w:w="3192" w:type="dxa"/>
          </w:tcPr>
          <w:p w:rsidR="00AA44D7" w:rsidRPr="007F7B4B" w:rsidRDefault="00AA44D7" w:rsidP="00844F93">
            <w:pPr>
              <w:pStyle w:val="ListParagraph"/>
              <w:ind w:left="0"/>
              <w:rPr>
                <w:rFonts w:ascii="Times New Roman" w:hAnsi="Times New Roman" w:cs="Times New Roman"/>
              </w:rPr>
            </w:pPr>
            <w:r w:rsidRPr="007F7B4B">
              <w:rPr>
                <w:rFonts w:ascii="Times New Roman" w:hAnsi="Times New Roman" w:cs="Times New Roman"/>
              </w:rPr>
              <w:t>Formerly  16.8%</w:t>
            </w:r>
          </w:p>
        </w:tc>
        <w:tc>
          <w:tcPr>
            <w:tcW w:w="3192" w:type="dxa"/>
          </w:tcPr>
          <w:p w:rsidR="00AA44D7" w:rsidRPr="007F7B4B" w:rsidRDefault="00AA44D7" w:rsidP="00663F60">
            <w:pPr>
              <w:pStyle w:val="ListParagraph"/>
              <w:ind w:left="0"/>
              <w:rPr>
                <w:rFonts w:ascii="Times New Roman" w:hAnsi="Times New Roman" w:cs="Times New Roman"/>
              </w:rPr>
            </w:pPr>
            <w:r w:rsidRPr="007F7B4B">
              <w:rPr>
                <w:rFonts w:ascii="Times New Roman" w:hAnsi="Times New Roman" w:cs="Times New Roman"/>
              </w:rPr>
              <w:t xml:space="preserve">FY 2013   </w:t>
            </w:r>
            <w:r w:rsidR="00663F60">
              <w:rPr>
                <w:rFonts w:ascii="Times New Roman" w:hAnsi="Times New Roman" w:cs="Times New Roman"/>
              </w:rPr>
              <w:t>19.59</w:t>
            </w:r>
            <w:r w:rsidRPr="007F7B4B">
              <w:rPr>
                <w:rFonts w:ascii="Times New Roman" w:hAnsi="Times New Roman" w:cs="Times New Roman"/>
              </w:rPr>
              <w:t>%</w:t>
            </w:r>
          </w:p>
        </w:tc>
      </w:tr>
    </w:tbl>
    <w:p w:rsidR="00AA44D7" w:rsidRPr="007F7B4B" w:rsidRDefault="00AA44D7" w:rsidP="00AA44D7">
      <w:pPr>
        <w:pStyle w:val="ListParagraph"/>
        <w:ind w:left="1080"/>
        <w:rPr>
          <w:szCs w:val="22"/>
        </w:rPr>
      </w:pPr>
    </w:p>
    <w:p w:rsidR="000725D1" w:rsidRPr="007F7B4B" w:rsidRDefault="000725D1" w:rsidP="00021D5D">
      <w:pPr>
        <w:pStyle w:val="Heading2"/>
      </w:pPr>
      <w:bookmarkStart w:id="11" w:name="_Toc351484746"/>
      <w:bookmarkStart w:id="12" w:name="_Toc351484792"/>
      <w:bookmarkStart w:id="13" w:name="_Toc351484934"/>
      <w:bookmarkStart w:id="14" w:name="_Toc351571049"/>
      <w:bookmarkStart w:id="15" w:name="_Toc351572414"/>
      <w:bookmarkStart w:id="16" w:name="_Toc353032043"/>
      <w:bookmarkStart w:id="17" w:name="_Toc352943176"/>
      <w:bookmarkStart w:id="18" w:name="_Toc352943625"/>
      <w:bookmarkStart w:id="19" w:name="_Toc353987720"/>
      <w:r w:rsidRPr="007F7B4B">
        <w:t xml:space="preserve">Changes to the </w:t>
      </w:r>
      <w:bookmarkEnd w:id="11"/>
      <w:bookmarkEnd w:id="12"/>
      <w:bookmarkEnd w:id="13"/>
      <w:bookmarkEnd w:id="14"/>
      <w:bookmarkEnd w:id="15"/>
      <w:r w:rsidRPr="007F7B4B">
        <w:t>Fee Categor</w:t>
      </w:r>
      <w:bookmarkEnd w:id="16"/>
      <w:bookmarkEnd w:id="17"/>
      <w:bookmarkEnd w:id="18"/>
      <w:bookmarkEnd w:id="19"/>
      <w:r w:rsidRPr="007F7B4B">
        <w:t xml:space="preserve">ies, Using Revised FTE Data </w:t>
      </w:r>
    </w:p>
    <w:p w:rsidR="00063EF5" w:rsidRPr="00B66746" w:rsidRDefault="00FD3A84" w:rsidP="004869AA">
      <w:pPr>
        <w:pStyle w:val="ParaNum"/>
      </w:pPr>
      <w:r>
        <w:t xml:space="preserve">As we discussed above in paragraph </w:t>
      </w:r>
      <w:r w:rsidR="00AB6B93">
        <w:t>16, we intend to further examine other possible FTE reallocations.  W</w:t>
      </w:r>
      <w:r w:rsidR="00026ED7" w:rsidRPr="00B66746">
        <w:t>e have concluded that the International Bureau is exceptional in that most of its activities benefit the regulatees of other bureaus and offices instead of its own regulatees, and none of the commenters have shown that this is the case to the same extent with regard to any other core bureau.  If parties can show that other bureaus’ activities directly benefit licensees of different bureaus as disproportionately as the International Bureau’s activities do, or that a non-core bureau’s activities benefit only certain bureaus or regulatees, we will consider those showings in setting regulatory fees in FY 2014.  W</w:t>
      </w:r>
      <w:r w:rsidR="00026ED7" w:rsidRPr="007F7B4B">
        <w:t xml:space="preserve">e will continue to examine these </w:t>
      </w:r>
      <w:r w:rsidR="00026ED7">
        <w:t>suggestions as we con</w:t>
      </w:r>
      <w:r w:rsidR="00F93961">
        <w:t>tinue our regulatory fee reform</w:t>
      </w:r>
      <w:r w:rsidR="00026ED7">
        <w:t>, as well as our</w:t>
      </w:r>
      <w:r w:rsidR="00026ED7" w:rsidRPr="007F7B4B">
        <w:t xml:space="preserve"> </w:t>
      </w:r>
      <w:r w:rsidR="00026ED7">
        <w:t xml:space="preserve">proposals </w:t>
      </w:r>
      <w:r w:rsidR="00E447DC">
        <w:t xml:space="preserve">that we do not reach in this Report and Order:  </w:t>
      </w:r>
      <w:r w:rsidR="00026ED7">
        <w:t>to combine the ITSP and wireless categories</w:t>
      </w:r>
      <w:r w:rsidR="003D6003">
        <w:t>,</w:t>
      </w:r>
      <w:r w:rsidR="00026ED7">
        <w:rPr>
          <w:rStyle w:val="FootnoteReference"/>
          <w:szCs w:val="22"/>
        </w:rPr>
        <w:footnoteReference w:id="69"/>
      </w:r>
      <w:r w:rsidR="003D6003">
        <w:t xml:space="preserve"> </w:t>
      </w:r>
      <w:r w:rsidR="00026ED7">
        <w:t>to use revenues in calculating all regulatory fees,</w:t>
      </w:r>
      <w:r w:rsidR="00026ED7">
        <w:rPr>
          <w:rStyle w:val="FootnoteReference"/>
          <w:szCs w:val="22"/>
        </w:rPr>
        <w:footnoteReference w:id="70"/>
      </w:r>
      <w:r w:rsidR="00026ED7">
        <w:t xml:space="preserve"> </w:t>
      </w:r>
      <w:r w:rsidR="003D6003">
        <w:t xml:space="preserve">and to include </w:t>
      </w:r>
      <w:r w:rsidR="003D6003" w:rsidRPr="007F7B4B">
        <w:t xml:space="preserve">DBS providers </w:t>
      </w:r>
      <w:r w:rsidR="003D6003">
        <w:t>in a new MVPD</w:t>
      </w:r>
      <w:r w:rsidR="003D6003" w:rsidRPr="007F7B4B">
        <w:t xml:space="preserve"> category</w:t>
      </w:r>
      <w:r w:rsidR="00026ED7" w:rsidRPr="007F7B4B">
        <w:t>.</w:t>
      </w:r>
      <w:r w:rsidR="00960FF9">
        <w:rPr>
          <w:rStyle w:val="FootnoteReference"/>
        </w:rPr>
        <w:footnoteReference w:id="71"/>
      </w:r>
      <w:r w:rsidR="004869AA" w:rsidRPr="004869AA">
        <w:t xml:space="preserve"> </w:t>
      </w:r>
      <w:r w:rsidR="004869AA">
        <w:t xml:space="preserve"> </w:t>
      </w:r>
      <w:r w:rsidR="004869AA" w:rsidRPr="004869AA">
        <w:t>We find additional time is necessary and appropriate to examine these proposals under Section 9 of the Communications Act and analyze how these proposals account for changes in the communications industry and the Commission’s regulatory processes and staffing</w:t>
      </w:r>
      <w:r w:rsidR="004869AA">
        <w:t>.</w:t>
      </w:r>
      <w:r w:rsidR="004869AA">
        <w:rPr>
          <w:rStyle w:val="FootnoteReference"/>
        </w:rPr>
        <w:footnoteReference w:id="72"/>
      </w:r>
    </w:p>
    <w:p w:rsidR="00863A53" w:rsidRPr="007F7B4B" w:rsidRDefault="00863A53" w:rsidP="00021D5D">
      <w:pPr>
        <w:pStyle w:val="Heading2"/>
      </w:pPr>
      <w:bookmarkStart w:id="20" w:name="_Toc351572416"/>
      <w:bookmarkStart w:id="21" w:name="_Toc351572418"/>
      <w:bookmarkStart w:id="22" w:name="_Toc189743263"/>
      <w:bookmarkStart w:id="23" w:name="_Toc351484754"/>
      <w:bookmarkStart w:id="24" w:name="_Toc351484800"/>
      <w:bookmarkStart w:id="25" w:name="_Toc351484942"/>
      <w:bookmarkStart w:id="26" w:name="_Toc351571052"/>
      <w:bookmarkStart w:id="27" w:name="_Toc353032048"/>
      <w:bookmarkStart w:id="28" w:name="_Toc351572419"/>
      <w:bookmarkStart w:id="29" w:name="_Toc352943181"/>
      <w:bookmarkStart w:id="30" w:name="_Toc352943630"/>
      <w:bookmarkStart w:id="31" w:name="_Toc353987725"/>
      <w:bookmarkEnd w:id="20"/>
      <w:bookmarkEnd w:id="21"/>
      <w:r w:rsidRPr="007F7B4B">
        <w:t xml:space="preserve">Other Telecommunications </w:t>
      </w:r>
      <w:r w:rsidR="00205444" w:rsidRPr="007F7B4B">
        <w:t>Regulatory Fee Issues</w:t>
      </w:r>
      <w:bookmarkEnd w:id="22"/>
      <w:bookmarkEnd w:id="23"/>
      <w:bookmarkEnd w:id="24"/>
      <w:bookmarkEnd w:id="25"/>
      <w:bookmarkEnd w:id="26"/>
      <w:bookmarkEnd w:id="27"/>
      <w:bookmarkEnd w:id="28"/>
      <w:bookmarkEnd w:id="29"/>
      <w:bookmarkEnd w:id="30"/>
      <w:bookmarkEnd w:id="31"/>
      <w:r w:rsidRPr="007F7B4B">
        <w:t xml:space="preserve"> </w:t>
      </w:r>
    </w:p>
    <w:p w:rsidR="00F6184B" w:rsidRPr="007F7B4B" w:rsidRDefault="00FA04DD" w:rsidP="00C5052D">
      <w:pPr>
        <w:pStyle w:val="Heading3"/>
        <w:rPr>
          <w:szCs w:val="22"/>
        </w:rPr>
      </w:pPr>
      <w:bookmarkStart w:id="32" w:name="_Toc320639447"/>
      <w:bookmarkStart w:id="33" w:name="_Toc321130246"/>
      <w:bookmarkStart w:id="34" w:name="_Toc321301149"/>
      <w:bookmarkStart w:id="35" w:name="_Toc351571055"/>
      <w:bookmarkStart w:id="36" w:name="_Toc353032051"/>
      <w:bookmarkStart w:id="37" w:name="_Toc351572422"/>
      <w:bookmarkStart w:id="38" w:name="_Toc352943184"/>
      <w:bookmarkStart w:id="39" w:name="_Toc352943633"/>
      <w:bookmarkStart w:id="40" w:name="_Toc353987727"/>
      <w:r w:rsidRPr="007F7B4B">
        <w:rPr>
          <w:szCs w:val="22"/>
        </w:rPr>
        <w:t>Combining UHF/VHF Television Regulatory Fees</w:t>
      </w:r>
      <w:bookmarkEnd w:id="32"/>
      <w:bookmarkEnd w:id="33"/>
      <w:bookmarkEnd w:id="34"/>
      <w:bookmarkEnd w:id="35"/>
      <w:bookmarkEnd w:id="36"/>
      <w:bookmarkEnd w:id="37"/>
      <w:bookmarkEnd w:id="38"/>
      <w:bookmarkEnd w:id="39"/>
      <w:bookmarkEnd w:id="40"/>
      <w:r w:rsidR="00366BCC" w:rsidRPr="007F7B4B">
        <w:rPr>
          <w:szCs w:val="22"/>
        </w:rPr>
        <w:t xml:space="preserve"> into One Fee Category Effective FY 2014</w:t>
      </w:r>
    </w:p>
    <w:p w:rsidR="0084062B" w:rsidRPr="0084062B" w:rsidRDefault="00314AF7" w:rsidP="00B23147">
      <w:pPr>
        <w:pStyle w:val="ParaNum"/>
        <w:tabs>
          <w:tab w:val="num" w:pos="1350"/>
        </w:tabs>
        <w:ind w:left="-90"/>
        <w:rPr>
          <w:szCs w:val="22"/>
        </w:rPr>
      </w:pPr>
      <w:r w:rsidRPr="007F7B4B">
        <w:rPr>
          <w:rStyle w:val="documentbody1"/>
          <w:rFonts w:ascii="Times New Roman" w:hAnsi="Times New Roman"/>
          <w:sz w:val="22"/>
          <w:szCs w:val="22"/>
        </w:rPr>
        <w:t xml:space="preserve">Regulatory fees for full-service television stations are calculated based on two, five-tiered market segments for Ultra High Frequency (UHF) and Very High Frequency (VHF) television stations.  After the transition to digital television on June 12, 2009, we </w:t>
      </w:r>
      <w:r w:rsidR="007F2524" w:rsidRPr="007F7B4B">
        <w:rPr>
          <w:rStyle w:val="documentbody1"/>
          <w:rFonts w:ascii="Times New Roman" w:hAnsi="Times New Roman"/>
          <w:sz w:val="22"/>
          <w:szCs w:val="22"/>
        </w:rPr>
        <w:t xml:space="preserve">proposed </w:t>
      </w:r>
      <w:r w:rsidR="007F2524">
        <w:rPr>
          <w:rStyle w:val="documentbody1"/>
          <w:rFonts w:ascii="Times New Roman" w:hAnsi="Times New Roman"/>
          <w:sz w:val="22"/>
          <w:szCs w:val="22"/>
        </w:rPr>
        <w:t>that the Commission</w:t>
      </w:r>
      <w:r w:rsidR="007F2524" w:rsidRPr="007F7B4B">
        <w:rPr>
          <w:rStyle w:val="documentbody1"/>
          <w:rFonts w:ascii="Times New Roman" w:hAnsi="Times New Roman"/>
          <w:sz w:val="22"/>
          <w:szCs w:val="22"/>
        </w:rPr>
        <w:t xml:space="preserve"> combine the VHF and UHF </w:t>
      </w:r>
      <w:r w:rsidR="007F2524">
        <w:rPr>
          <w:rStyle w:val="documentbody1"/>
          <w:rFonts w:ascii="Times New Roman" w:hAnsi="Times New Roman"/>
          <w:sz w:val="22"/>
          <w:szCs w:val="22"/>
        </w:rPr>
        <w:t>regulatory fee categories.</w:t>
      </w:r>
      <w:r w:rsidR="007F2524">
        <w:rPr>
          <w:rStyle w:val="FootnoteReference"/>
          <w:szCs w:val="22"/>
        </w:rPr>
        <w:footnoteReference w:id="73"/>
      </w:r>
      <w:r w:rsidR="007F2524">
        <w:rPr>
          <w:rStyle w:val="documentbody1"/>
          <w:rFonts w:ascii="Times New Roman" w:hAnsi="Times New Roman"/>
          <w:sz w:val="22"/>
          <w:szCs w:val="22"/>
        </w:rPr>
        <w:t xml:space="preserve">  </w:t>
      </w:r>
      <w:r w:rsidR="00B33B05">
        <w:rPr>
          <w:rStyle w:val="documentbody1"/>
          <w:rFonts w:ascii="Times New Roman" w:hAnsi="Times New Roman"/>
          <w:sz w:val="22"/>
          <w:szCs w:val="22"/>
        </w:rPr>
        <w:t xml:space="preserve">In response, </w:t>
      </w:r>
      <w:r w:rsidR="00083865">
        <w:t xml:space="preserve">Fireweed </w:t>
      </w:r>
      <w:r w:rsidR="00B33B05">
        <w:t xml:space="preserve">argued that we should base the regulatory fee structure on three tiers and Sky Television, LLC, Spanish Broadcasting System, Inc., and Sarkes Tarzian argued that instead of six separate categories for both VHF and UHF we should combine </w:t>
      </w:r>
      <w:r w:rsidR="000D580E">
        <w:t xml:space="preserve">all television stations </w:t>
      </w:r>
      <w:r w:rsidR="00B33B05">
        <w:t>into</w:t>
      </w:r>
      <w:r w:rsidR="000D580E">
        <w:t xml:space="preserve"> a single</w:t>
      </w:r>
      <w:r w:rsidR="00B33B05">
        <w:t xml:space="preserve"> six</w:t>
      </w:r>
      <w:r w:rsidR="000D580E">
        <w:t>-</w:t>
      </w:r>
      <w:r w:rsidR="004540E1">
        <w:t>tiered</w:t>
      </w:r>
      <w:r w:rsidR="000D580E">
        <w:t xml:space="preserve"> category</w:t>
      </w:r>
      <w:r w:rsidR="00B33B05">
        <w:t xml:space="preserve"> based on market size</w:t>
      </w:r>
      <w:r w:rsidR="000D580E">
        <w:t>,</w:t>
      </w:r>
      <w:r w:rsidR="00B33B05">
        <w:t xml:space="preserve"> thus eliminat</w:t>
      </w:r>
      <w:r w:rsidR="000D580E">
        <w:t>ing</w:t>
      </w:r>
      <w:r w:rsidR="00B33B05">
        <w:t xml:space="preserve"> any distinction between VHF and UHF.</w:t>
      </w:r>
      <w:r w:rsidR="00B33B05">
        <w:rPr>
          <w:rStyle w:val="FootnoteReference"/>
        </w:rPr>
        <w:footnoteReference w:id="74"/>
      </w:r>
      <w:r w:rsidR="00B33B05">
        <w:t xml:space="preserve">  </w:t>
      </w:r>
      <w:r w:rsidR="00226E2D">
        <w:t xml:space="preserve">In its most recent comments, Sarkes Tarzian and Sky Television </w:t>
      </w:r>
      <w:r w:rsidR="000D580E">
        <w:rPr>
          <w:rStyle w:val="documentbody1"/>
          <w:rFonts w:ascii="Times New Roman" w:hAnsi="Times New Roman"/>
          <w:sz w:val="22"/>
          <w:szCs w:val="22"/>
        </w:rPr>
        <w:t>support</w:t>
      </w:r>
      <w:r w:rsidR="00226E2D" w:rsidRPr="007F7B4B">
        <w:rPr>
          <w:rStyle w:val="documentbody1"/>
          <w:rFonts w:ascii="Times New Roman" w:hAnsi="Times New Roman"/>
          <w:sz w:val="22"/>
          <w:szCs w:val="22"/>
        </w:rPr>
        <w:t xml:space="preserve"> </w:t>
      </w:r>
      <w:r w:rsidR="00226E2D">
        <w:rPr>
          <w:rStyle w:val="documentbody1"/>
          <w:rFonts w:ascii="Times New Roman" w:hAnsi="Times New Roman"/>
          <w:sz w:val="22"/>
          <w:szCs w:val="22"/>
        </w:rPr>
        <w:t>our proposal</w:t>
      </w:r>
      <w:r w:rsidR="00226E2D" w:rsidRPr="007F7B4B">
        <w:rPr>
          <w:rStyle w:val="documentbody1"/>
          <w:rFonts w:ascii="Times New Roman" w:hAnsi="Times New Roman"/>
          <w:sz w:val="22"/>
          <w:szCs w:val="22"/>
        </w:rPr>
        <w:t xml:space="preserve"> to combine the VHF and UHF fee categories within the same market area into one fee category but suggests that the Commission </w:t>
      </w:r>
      <w:r w:rsidR="0084062B">
        <w:rPr>
          <w:rStyle w:val="documentbody1"/>
          <w:rFonts w:ascii="Times New Roman" w:hAnsi="Times New Roman"/>
          <w:sz w:val="22"/>
          <w:szCs w:val="22"/>
        </w:rPr>
        <w:t xml:space="preserve">implement </w:t>
      </w:r>
      <w:r w:rsidR="00226E2D" w:rsidRPr="007F7B4B">
        <w:rPr>
          <w:rStyle w:val="documentbody1"/>
          <w:rFonts w:ascii="Times New Roman" w:hAnsi="Times New Roman"/>
          <w:sz w:val="22"/>
          <w:szCs w:val="22"/>
        </w:rPr>
        <w:t>this proposal in FY 2013</w:t>
      </w:r>
      <w:r w:rsidR="0084062B">
        <w:rPr>
          <w:rStyle w:val="documentbody1"/>
          <w:rFonts w:ascii="Times New Roman" w:hAnsi="Times New Roman"/>
          <w:sz w:val="22"/>
          <w:szCs w:val="22"/>
        </w:rPr>
        <w:t xml:space="preserve"> rather than FY 2014</w:t>
      </w:r>
      <w:r w:rsidR="00226E2D" w:rsidRPr="007F7B4B">
        <w:rPr>
          <w:rStyle w:val="documentbody1"/>
          <w:rFonts w:ascii="Times New Roman" w:hAnsi="Times New Roman"/>
          <w:sz w:val="22"/>
          <w:szCs w:val="22"/>
        </w:rPr>
        <w:t>.</w:t>
      </w:r>
      <w:r w:rsidR="00226E2D" w:rsidRPr="007F7B4B">
        <w:rPr>
          <w:rStyle w:val="FootnoteReference"/>
          <w:szCs w:val="22"/>
        </w:rPr>
        <w:footnoteReference w:id="75"/>
      </w:r>
      <w:r w:rsidR="00226E2D" w:rsidRPr="007F7B4B">
        <w:rPr>
          <w:rStyle w:val="documentbody1"/>
          <w:rFonts w:ascii="Times New Roman" w:hAnsi="Times New Roman"/>
          <w:sz w:val="22"/>
          <w:szCs w:val="22"/>
        </w:rPr>
        <w:t xml:space="preserve">  </w:t>
      </w:r>
      <w:r w:rsidR="0084062B">
        <w:rPr>
          <w:rStyle w:val="documentbody1"/>
          <w:rFonts w:ascii="Times New Roman" w:hAnsi="Times New Roman"/>
          <w:sz w:val="22"/>
          <w:szCs w:val="22"/>
        </w:rPr>
        <w:t xml:space="preserve">In a recent </w:t>
      </w:r>
      <w:r w:rsidR="00B33B05">
        <w:t xml:space="preserve">Notice of Ex Parte Presentation, filed by </w:t>
      </w:r>
      <w:r w:rsidR="0084062B">
        <w:t>Sarkes Tarzian and Sky Television on February 15, 2013, these parties argued that because</w:t>
      </w:r>
      <w:r w:rsidR="00B33B05">
        <w:t xml:space="preserve"> VHF stations are less desirable than UHF stations it </w:t>
      </w:r>
      <w:r w:rsidR="000D580E">
        <w:t>is</w:t>
      </w:r>
      <w:r w:rsidR="00B33B05">
        <w:t xml:space="preserve"> unfair to </w:t>
      </w:r>
      <w:r w:rsidR="000D580E">
        <w:t xml:space="preserve">levy </w:t>
      </w:r>
      <w:r w:rsidR="00B33B05">
        <w:t xml:space="preserve">higher fees </w:t>
      </w:r>
      <w:r w:rsidR="00764E41">
        <w:t>on</w:t>
      </w:r>
      <w:r w:rsidR="0084062B">
        <w:t xml:space="preserve"> them.</w:t>
      </w:r>
      <w:r w:rsidR="00764E41">
        <w:t xml:space="preserve">  </w:t>
      </w:r>
    </w:p>
    <w:p w:rsidR="00314AF7" w:rsidRPr="007F7B4B" w:rsidRDefault="00314AF7" w:rsidP="00B23147">
      <w:pPr>
        <w:pStyle w:val="ParaNum"/>
        <w:tabs>
          <w:tab w:val="num" w:pos="1350"/>
        </w:tabs>
        <w:ind w:left="-90"/>
        <w:rPr>
          <w:rStyle w:val="documentbody1"/>
          <w:rFonts w:ascii="Times New Roman" w:hAnsi="Times New Roman"/>
          <w:sz w:val="22"/>
          <w:szCs w:val="22"/>
        </w:rPr>
      </w:pPr>
      <w:r w:rsidRPr="007F7B4B">
        <w:rPr>
          <w:rStyle w:val="documentbody1"/>
          <w:rFonts w:ascii="Times New Roman" w:hAnsi="Times New Roman"/>
          <w:sz w:val="22"/>
          <w:szCs w:val="22"/>
        </w:rPr>
        <w:t xml:space="preserve">Historically, analog VHF channels (channels 1-13) were coveted for their greater prestige and larger audience, and thus the regulatory fees assessed on VHF stations were higher than regulatory fees assessed for UHF (channels 14 and above) stations in the same market area.  After the digital conversion, it became evident that VHF channels were less desirable than digital UHF channels, and thus there may no longer be a basis in which to assess a higher regulatory fee on VHF channels.  </w:t>
      </w:r>
      <w:r w:rsidR="0084062B">
        <w:rPr>
          <w:rStyle w:val="documentbody1"/>
          <w:rFonts w:ascii="Times New Roman" w:hAnsi="Times New Roman"/>
          <w:sz w:val="22"/>
          <w:szCs w:val="22"/>
        </w:rPr>
        <w:t xml:space="preserve">Therefore, in the </w:t>
      </w:r>
      <w:r w:rsidR="0084062B" w:rsidRPr="00764E41">
        <w:rPr>
          <w:rStyle w:val="documentbody1"/>
          <w:rFonts w:ascii="Times New Roman" w:hAnsi="Times New Roman"/>
          <w:i/>
          <w:sz w:val="22"/>
          <w:szCs w:val="22"/>
        </w:rPr>
        <w:t>FY 2013 NPRM</w:t>
      </w:r>
      <w:r w:rsidR="0084062B">
        <w:rPr>
          <w:rStyle w:val="documentbody1"/>
          <w:rFonts w:ascii="Times New Roman" w:hAnsi="Times New Roman"/>
          <w:sz w:val="22"/>
          <w:szCs w:val="22"/>
        </w:rPr>
        <w:t xml:space="preserve"> we proposed to combine the VHF and UHF stations in the same market area into one fee category beginning in FY 2014 and eliminate the fee disparity between VHF and UHF stations.  </w:t>
      </w:r>
      <w:r w:rsidR="00764E41">
        <w:t xml:space="preserve">For the reasons given in the </w:t>
      </w:r>
      <w:r w:rsidR="00764E41" w:rsidRPr="00764E41">
        <w:rPr>
          <w:i/>
        </w:rPr>
        <w:t>FY 2013 NPRM</w:t>
      </w:r>
      <w:r w:rsidR="00764E41">
        <w:t xml:space="preserve">, we </w:t>
      </w:r>
      <w:r w:rsidRPr="007F7B4B">
        <w:rPr>
          <w:szCs w:val="22"/>
        </w:rPr>
        <w:t>adopt our proposal to combine UHF and VHF full service television station categories into one fee category.</w:t>
      </w:r>
    </w:p>
    <w:p w:rsidR="00314AF7" w:rsidRPr="007F7B4B" w:rsidRDefault="0084062B" w:rsidP="00B23147">
      <w:pPr>
        <w:pStyle w:val="ParaNum"/>
        <w:tabs>
          <w:tab w:val="num" w:pos="1350"/>
        </w:tabs>
        <w:ind w:left="-90"/>
        <w:rPr>
          <w:rStyle w:val="documentbody1"/>
          <w:rFonts w:ascii="Times New Roman" w:hAnsi="Times New Roman"/>
          <w:sz w:val="22"/>
          <w:szCs w:val="22"/>
        </w:rPr>
      </w:pPr>
      <w:r>
        <w:t xml:space="preserve">Sarkes Tarzian and Sky Television </w:t>
      </w:r>
      <w:r w:rsidR="00764E41">
        <w:t xml:space="preserve">also </w:t>
      </w:r>
      <w:r>
        <w:t xml:space="preserve">request that </w:t>
      </w:r>
      <w:r w:rsidRPr="007F7B4B">
        <w:rPr>
          <w:rStyle w:val="documentbody1"/>
          <w:rFonts w:ascii="Times New Roman" w:hAnsi="Times New Roman"/>
          <w:sz w:val="22"/>
          <w:szCs w:val="22"/>
        </w:rPr>
        <w:t xml:space="preserve">the Commission </w:t>
      </w:r>
      <w:r>
        <w:rPr>
          <w:rStyle w:val="documentbody1"/>
          <w:rFonts w:ascii="Times New Roman" w:hAnsi="Times New Roman"/>
          <w:sz w:val="22"/>
          <w:szCs w:val="22"/>
        </w:rPr>
        <w:t xml:space="preserve">implement </w:t>
      </w:r>
      <w:r w:rsidRPr="007F7B4B">
        <w:rPr>
          <w:rStyle w:val="documentbody1"/>
          <w:rFonts w:ascii="Times New Roman" w:hAnsi="Times New Roman"/>
          <w:sz w:val="22"/>
          <w:szCs w:val="22"/>
        </w:rPr>
        <w:t>this proposal in FY 2013.</w:t>
      </w:r>
      <w:r w:rsidRPr="007F7B4B">
        <w:rPr>
          <w:rStyle w:val="FootnoteReference"/>
          <w:szCs w:val="22"/>
        </w:rPr>
        <w:footnoteReference w:id="76"/>
      </w:r>
      <w:r w:rsidRPr="007F7B4B">
        <w:rPr>
          <w:rStyle w:val="documentbody1"/>
          <w:rFonts w:ascii="Times New Roman" w:hAnsi="Times New Roman"/>
          <w:sz w:val="22"/>
          <w:szCs w:val="22"/>
        </w:rPr>
        <w:t xml:space="preserve">  </w:t>
      </w:r>
      <w:r w:rsidR="00524B3A">
        <w:rPr>
          <w:rStyle w:val="documentbody1"/>
          <w:rFonts w:ascii="Times New Roman" w:hAnsi="Times New Roman"/>
          <w:sz w:val="22"/>
          <w:szCs w:val="22"/>
        </w:rPr>
        <w:t>With respect to this request, we note that section 9(b)(3) directs t</w:t>
      </w:r>
      <w:r w:rsidR="00314AF7" w:rsidRPr="007F7B4B">
        <w:t xml:space="preserve">he Commission </w:t>
      </w:r>
      <w:r w:rsidR="00524B3A">
        <w:t xml:space="preserve">to </w:t>
      </w:r>
      <w:r w:rsidR="00314AF7" w:rsidRPr="007F7B4B">
        <w:t>add, delete, or reclassify services in the fee schedule to reflect additions, deletions, or changes in the nature of its services “as a consequence of Commission rulemaking proceedings or changes in law.”</w:t>
      </w:r>
      <w:r w:rsidR="00314AF7" w:rsidRPr="007F7B4B">
        <w:rPr>
          <w:rStyle w:val="FootnoteReference"/>
          <w:szCs w:val="22"/>
        </w:rPr>
        <w:footnoteReference w:id="77"/>
      </w:r>
      <w:r w:rsidR="00314AF7" w:rsidRPr="007F7B4B">
        <w:t xml:space="preserve">  </w:t>
      </w:r>
      <w:r w:rsidR="00FE0CDE" w:rsidRPr="00FE0CDE">
        <w:rPr>
          <w:szCs w:val="22"/>
        </w:rPr>
        <w:t>Combining UHF and VHF full-service television stations into one fee category constitutes a reclassification of services in the regulatory fee schedule as defined in section 9(b)(3) of the Act,</w:t>
      </w:r>
      <w:r w:rsidR="00FE0CDE">
        <w:rPr>
          <w:rStyle w:val="FootnoteReference"/>
          <w:szCs w:val="22"/>
        </w:rPr>
        <w:footnoteReference w:id="78"/>
      </w:r>
      <w:r w:rsidR="00FE0CDE">
        <w:rPr>
          <w:szCs w:val="22"/>
        </w:rPr>
        <w:t xml:space="preserve"> </w:t>
      </w:r>
      <w:r w:rsidR="00FE0CDE" w:rsidRPr="00FE0CDE">
        <w:rPr>
          <w:szCs w:val="22"/>
        </w:rPr>
        <w:t>and pursuant to section 9(b)(4)(B) must be submitted to Congress at least 90 days before it becomes effective</w:t>
      </w:r>
      <w:r w:rsidR="00FE0CDE">
        <w:rPr>
          <w:szCs w:val="22"/>
        </w:rPr>
        <w:t>.</w:t>
      </w:r>
      <w:r w:rsidR="00314AF7" w:rsidRPr="007F7B4B">
        <w:rPr>
          <w:rStyle w:val="FootnoteReference"/>
          <w:szCs w:val="22"/>
        </w:rPr>
        <w:footnoteReference w:id="79"/>
      </w:r>
      <w:r w:rsidR="00314AF7" w:rsidRPr="007F7B4B">
        <w:t xml:space="preserve"> </w:t>
      </w:r>
      <w:r w:rsidR="00B53096">
        <w:t xml:space="preserve"> </w:t>
      </w:r>
      <w:r w:rsidR="00314AF7" w:rsidRPr="007F7B4B">
        <w:rPr>
          <w:rStyle w:val="documentbody1"/>
          <w:rFonts w:ascii="Times New Roman" w:hAnsi="Times New Roman"/>
          <w:sz w:val="22"/>
          <w:szCs w:val="22"/>
        </w:rPr>
        <w:t xml:space="preserve">The Commission </w:t>
      </w:r>
      <w:r w:rsidR="00764E41">
        <w:rPr>
          <w:rStyle w:val="documentbody1"/>
          <w:rFonts w:ascii="Times New Roman" w:hAnsi="Times New Roman"/>
          <w:sz w:val="22"/>
          <w:szCs w:val="22"/>
        </w:rPr>
        <w:t xml:space="preserve">will not have </w:t>
      </w:r>
      <w:r w:rsidR="00314AF7" w:rsidRPr="007F7B4B">
        <w:rPr>
          <w:rStyle w:val="documentbody1"/>
          <w:rFonts w:ascii="Times New Roman" w:hAnsi="Times New Roman"/>
          <w:sz w:val="22"/>
          <w:szCs w:val="22"/>
        </w:rPr>
        <w:t xml:space="preserve">sufficient time to </w:t>
      </w:r>
      <w:r w:rsidR="00FE0CDE">
        <w:rPr>
          <w:rStyle w:val="documentbody1"/>
          <w:rFonts w:ascii="Times New Roman" w:hAnsi="Times New Roman"/>
          <w:sz w:val="22"/>
          <w:szCs w:val="22"/>
        </w:rPr>
        <w:t xml:space="preserve">implement this change before </w:t>
      </w:r>
      <w:r w:rsidR="00314AF7" w:rsidRPr="007F7B4B">
        <w:rPr>
          <w:rStyle w:val="documentbody1"/>
          <w:rFonts w:ascii="Times New Roman" w:hAnsi="Times New Roman"/>
          <w:sz w:val="22"/>
          <w:szCs w:val="22"/>
        </w:rPr>
        <w:t>September 30, 2013</w:t>
      </w:r>
      <w:r w:rsidR="00764E41">
        <w:rPr>
          <w:rStyle w:val="documentbody1"/>
          <w:rFonts w:ascii="Times New Roman" w:hAnsi="Times New Roman"/>
          <w:sz w:val="22"/>
          <w:szCs w:val="22"/>
        </w:rPr>
        <w:t xml:space="preserve"> and therefore we</w:t>
      </w:r>
      <w:r w:rsidR="00314AF7" w:rsidRPr="007F7B4B">
        <w:rPr>
          <w:rStyle w:val="documentbody1"/>
          <w:rFonts w:ascii="Times New Roman" w:hAnsi="Times New Roman"/>
          <w:sz w:val="22"/>
          <w:szCs w:val="22"/>
        </w:rPr>
        <w:t xml:space="preserve"> will implement this change in FY 2014.</w:t>
      </w:r>
    </w:p>
    <w:p w:rsidR="002B0880" w:rsidRPr="007F7B4B" w:rsidRDefault="00E75CC1" w:rsidP="002B0880">
      <w:pPr>
        <w:pStyle w:val="Heading3"/>
        <w:rPr>
          <w:rStyle w:val="documentbody1"/>
          <w:rFonts w:ascii="Times New Roman" w:hAnsi="Times New Roman"/>
          <w:sz w:val="22"/>
          <w:szCs w:val="22"/>
        </w:rPr>
      </w:pPr>
      <w:r w:rsidRPr="007F7B4B">
        <w:rPr>
          <w:rStyle w:val="documentbody1"/>
          <w:rFonts w:ascii="Times New Roman" w:hAnsi="Times New Roman"/>
          <w:sz w:val="22"/>
          <w:szCs w:val="22"/>
        </w:rPr>
        <w:t xml:space="preserve">Including </w:t>
      </w:r>
      <w:r w:rsidR="002B0880" w:rsidRPr="007F7B4B">
        <w:rPr>
          <w:rStyle w:val="documentbody1"/>
          <w:rFonts w:ascii="Times New Roman" w:hAnsi="Times New Roman"/>
          <w:sz w:val="22"/>
          <w:szCs w:val="22"/>
        </w:rPr>
        <w:t>I</w:t>
      </w:r>
      <w:r w:rsidR="00873B52" w:rsidRPr="007F7B4B">
        <w:rPr>
          <w:rStyle w:val="documentbody1"/>
          <w:rFonts w:ascii="Times New Roman" w:hAnsi="Times New Roman"/>
          <w:sz w:val="22"/>
          <w:szCs w:val="22"/>
        </w:rPr>
        <w:t xml:space="preserve">nternet </w:t>
      </w:r>
      <w:r w:rsidR="005D1331" w:rsidRPr="007F7B4B">
        <w:rPr>
          <w:rStyle w:val="documentbody1"/>
          <w:rFonts w:ascii="Times New Roman" w:hAnsi="Times New Roman"/>
          <w:sz w:val="22"/>
          <w:szCs w:val="22"/>
        </w:rPr>
        <w:t>Protocol</w:t>
      </w:r>
      <w:r w:rsidR="00873B52" w:rsidRPr="007F7B4B">
        <w:rPr>
          <w:rStyle w:val="documentbody1"/>
          <w:rFonts w:ascii="Times New Roman" w:hAnsi="Times New Roman"/>
          <w:sz w:val="22"/>
          <w:szCs w:val="22"/>
        </w:rPr>
        <w:t xml:space="preserve"> </w:t>
      </w:r>
      <w:r w:rsidR="002B0880" w:rsidRPr="007F7B4B">
        <w:rPr>
          <w:rStyle w:val="documentbody1"/>
          <w:rFonts w:ascii="Times New Roman" w:hAnsi="Times New Roman"/>
          <w:sz w:val="22"/>
          <w:szCs w:val="22"/>
        </w:rPr>
        <w:t>TV</w:t>
      </w:r>
      <w:r w:rsidR="006973D9" w:rsidRPr="007F7B4B">
        <w:rPr>
          <w:rStyle w:val="documentbody1"/>
          <w:rFonts w:ascii="Times New Roman" w:hAnsi="Times New Roman"/>
          <w:sz w:val="22"/>
          <w:szCs w:val="22"/>
        </w:rPr>
        <w:t xml:space="preserve"> in Cable Television Systems Category, for FY 2014</w:t>
      </w:r>
    </w:p>
    <w:p w:rsidR="00CC6889" w:rsidRDefault="00606928" w:rsidP="00B23147">
      <w:pPr>
        <w:pStyle w:val="ParaNum"/>
        <w:tabs>
          <w:tab w:val="num" w:pos="1350"/>
        </w:tabs>
        <w:ind w:left="-90"/>
        <w:rPr>
          <w:szCs w:val="22"/>
        </w:rPr>
      </w:pPr>
      <w:r w:rsidRPr="007F7B4B">
        <w:rPr>
          <w:szCs w:val="22"/>
        </w:rPr>
        <w:t xml:space="preserve">IPTV is digital television delivered through a high speed Internet connection, instead of </w:t>
      </w:r>
      <w:r w:rsidR="0065253D">
        <w:rPr>
          <w:szCs w:val="22"/>
        </w:rPr>
        <w:t xml:space="preserve">by the </w:t>
      </w:r>
      <w:r w:rsidRPr="007F7B4B">
        <w:rPr>
          <w:szCs w:val="22"/>
        </w:rPr>
        <w:t xml:space="preserve">traditional cable </w:t>
      </w:r>
      <w:r w:rsidR="0065253D">
        <w:rPr>
          <w:szCs w:val="22"/>
        </w:rPr>
        <w:t>method</w:t>
      </w:r>
      <w:r w:rsidRPr="007F7B4B">
        <w:rPr>
          <w:szCs w:val="22"/>
        </w:rPr>
        <w:t xml:space="preserve">.  IPTV service generally is offered bundled with the customer’s Internet and telephone or VoIP services.  In the </w:t>
      </w:r>
      <w:r w:rsidRPr="007F7B4B">
        <w:rPr>
          <w:i/>
          <w:szCs w:val="22"/>
        </w:rPr>
        <w:t>FY 2008 Report and Order</w:t>
      </w:r>
      <w:r w:rsidRPr="007F7B4B">
        <w:rPr>
          <w:szCs w:val="22"/>
        </w:rPr>
        <w:t xml:space="preserve"> we </w:t>
      </w:r>
      <w:r w:rsidR="00873B52" w:rsidRPr="007F7B4B">
        <w:rPr>
          <w:szCs w:val="22"/>
        </w:rPr>
        <w:t xml:space="preserve">first </w:t>
      </w:r>
      <w:r w:rsidRPr="007F7B4B">
        <w:rPr>
          <w:szCs w:val="22"/>
        </w:rPr>
        <w:t>sought comment on whether this service should be subject to regulatory fees</w:t>
      </w:r>
      <w:r w:rsidR="006973D9" w:rsidRPr="007F7B4B">
        <w:rPr>
          <w:szCs w:val="22"/>
        </w:rPr>
        <w:t>.</w:t>
      </w:r>
      <w:r w:rsidRPr="007F7B4B">
        <w:rPr>
          <w:rStyle w:val="FootnoteReference"/>
          <w:szCs w:val="22"/>
        </w:rPr>
        <w:footnoteReference w:id="80"/>
      </w:r>
      <w:r w:rsidRPr="007F7B4B">
        <w:rPr>
          <w:szCs w:val="22"/>
        </w:rPr>
        <w:t xml:space="preserve">  </w:t>
      </w:r>
      <w:r w:rsidR="002C5A91" w:rsidRPr="007F7B4B">
        <w:rPr>
          <w:szCs w:val="22"/>
        </w:rPr>
        <w:t xml:space="preserve">In the </w:t>
      </w:r>
      <w:r w:rsidR="002C5A91" w:rsidRPr="007F7B4B">
        <w:rPr>
          <w:i/>
          <w:szCs w:val="22"/>
        </w:rPr>
        <w:t>FY 2013 NPRM</w:t>
      </w:r>
      <w:r w:rsidR="002C5A91" w:rsidRPr="007F7B4B">
        <w:rPr>
          <w:szCs w:val="22"/>
        </w:rPr>
        <w:t>, w</w:t>
      </w:r>
      <w:r w:rsidR="00873B52" w:rsidRPr="007F7B4B">
        <w:rPr>
          <w:szCs w:val="22"/>
        </w:rPr>
        <w:t>e observed that b</w:t>
      </w:r>
      <w:r w:rsidRPr="007F7B4B">
        <w:rPr>
          <w:szCs w:val="22"/>
        </w:rPr>
        <w:t xml:space="preserve">y assessing regulatory fees on cable </w:t>
      </w:r>
      <w:r w:rsidR="006973D9" w:rsidRPr="007F7B4B">
        <w:rPr>
          <w:szCs w:val="22"/>
        </w:rPr>
        <w:t>television systems</w:t>
      </w:r>
      <w:r w:rsidR="00003B30">
        <w:rPr>
          <w:szCs w:val="22"/>
        </w:rPr>
        <w:t>,</w:t>
      </w:r>
      <w:r w:rsidRPr="007F7B4B">
        <w:rPr>
          <w:szCs w:val="22"/>
        </w:rPr>
        <w:t xml:space="preserve"> but not on IPTV, we may place cable providers at a competitive disadvantage.</w:t>
      </w:r>
      <w:r w:rsidR="002C5A91" w:rsidRPr="007F7B4B">
        <w:rPr>
          <w:rStyle w:val="FootnoteReference"/>
          <w:szCs w:val="22"/>
        </w:rPr>
        <w:footnoteReference w:id="81"/>
      </w:r>
      <w:r w:rsidRPr="007F7B4B">
        <w:rPr>
          <w:szCs w:val="22"/>
        </w:rPr>
        <w:t xml:space="preserve">  </w:t>
      </w:r>
      <w:r w:rsidR="00873B52" w:rsidRPr="007F7B4B">
        <w:rPr>
          <w:szCs w:val="22"/>
        </w:rPr>
        <w:t>Commenters addressing this issue</w:t>
      </w:r>
      <w:r w:rsidR="006973D9" w:rsidRPr="007F7B4B">
        <w:rPr>
          <w:szCs w:val="22"/>
        </w:rPr>
        <w:t xml:space="preserve"> a</w:t>
      </w:r>
      <w:r w:rsidR="00873B52" w:rsidRPr="007F7B4B">
        <w:rPr>
          <w:szCs w:val="22"/>
        </w:rPr>
        <w:t>gree that we should assess regulatory fees on that service.</w:t>
      </w:r>
      <w:r w:rsidR="00873B52" w:rsidRPr="007F7B4B">
        <w:rPr>
          <w:rStyle w:val="FootnoteReference"/>
          <w:szCs w:val="22"/>
        </w:rPr>
        <w:footnoteReference w:id="82"/>
      </w:r>
      <w:r w:rsidR="00C20119" w:rsidRPr="007F7B4B">
        <w:rPr>
          <w:szCs w:val="22"/>
        </w:rPr>
        <w:t xml:space="preserve">  IPTV and cable service providers benefit from </w:t>
      </w:r>
      <w:r w:rsidR="001D6942">
        <w:rPr>
          <w:szCs w:val="22"/>
        </w:rPr>
        <w:t xml:space="preserve">Media Bureau regulation as </w:t>
      </w:r>
      <w:r w:rsidR="00C20119" w:rsidRPr="007F7B4B">
        <w:rPr>
          <w:szCs w:val="22"/>
        </w:rPr>
        <w:t>MVPDs.</w:t>
      </w:r>
      <w:r w:rsidR="00C20119" w:rsidRPr="007F7B4B">
        <w:rPr>
          <w:rStyle w:val="FootnoteReference"/>
          <w:szCs w:val="22"/>
        </w:rPr>
        <w:footnoteReference w:id="83"/>
      </w:r>
      <w:r w:rsidR="00F218A4" w:rsidRPr="007F7B4B">
        <w:rPr>
          <w:szCs w:val="22"/>
        </w:rPr>
        <w:t xml:space="preserve">  </w:t>
      </w:r>
      <w:r w:rsidR="001654A4" w:rsidRPr="007F7B4B">
        <w:rPr>
          <w:szCs w:val="22"/>
        </w:rPr>
        <w:t xml:space="preserve">We agree that IPTV providers should be subject to the same regulatory fees as cable providers.  </w:t>
      </w:r>
    </w:p>
    <w:p w:rsidR="00606928" w:rsidRPr="007F7B4B" w:rsidRDefault="00594802" w:rsidP="000E1F2C">
      <w:pPr>
        <w:pStyle w:val="ParaNum"/>
        <w:widowControl/>
        <w:tabs>
          <w:tab w:val="num" w:pos="1350"/>
        </w:tabs>
        <w:ind w:left="-86"/>
        <w:rPr>
          <w:szCs w:val="22"/>
        </w:rPr>
      </w:pPr>
      <w:r w:rsidRPr="007F7B4B">
        <w:rPr>
          <w:szCs w:val="22"/>
        </w:rPr>
        <w:t>We intend to revisit the issue of whether DBS providers should be included in this category; we are not including such additional services at this time.</w:t>
      </w:r>
      <w:r w:rsidR="00A739C2">
        <w:rPr>
          <w:rStyle w:val="FootnoteReference"/>
          <w:szCs w:val="22"/>
        </w:rPr>
        <w:footnoteReference w:id="84"/>
      </w:r>
      <w:r w:rsidRPr="007F7B4B">
        <w:rPr>
          <w:szCs w:val="22"/>
        </w:rPr>
        <w:t xml:space="preserve">  </w:t>
      </w:r>
      <w:r w:rsidR="00B8166F" w:rsidRPr="007F7B4B">
        <w:rPr>
          <w:szCs w:val="22"/>
        </w:rPr>
        <w:t xml:space="preserve">Therefore, we adopt the proposal in the </w:t>
      </w:r>
      <w:r w:rsidR="00B8166F" w:rsidRPr="007F7B4B">
        <w:rPr>
          <w:i/>
          <w:szCs w:val="22"/>
        </w:rPr>
        <w:t>FY 2013 NPRM</w:t>
      </w:r>
      <w:r w:rsidR="00B8166F" w:rsidRPr="007F7B4B">
        <w:rPr>
          <w:szCs w:val="22"/>
        </w:rPr>
        <w:t xml:space="preserve"> and </w:t>
      </w:r>
      <w:r w:rsidR="00732EBC" w:rsidRPr="007F7B4B">
        <w:rPr>
          <w:szCs w:val="22"/>
        </w:rPr>
        <w:t>broaden</w:t>
      </w:r>
      <w:r w:rsidR="00F218A4" w:rsidRPr="007F7B4B">
        <w:rPr>
          <w:szCs w:val="22"/>
        </w:rPr>
        <w:t xml:space="preserve"> the cable </w:t>
      </w:r>
      <w:r w:rsidR="00732EBC" w:rsidRPr="007F7B4B">
        <w:rPr>
          <w:szCs w:val="22"/>
        </w:rPr>
        <w:t>television systems category</w:t>
      </w:r>
      <w:r w:rsidR="00F218A4" w:rsidRPr="007F7B4B">
        <w:rPr>
          <w:szCs w:val="22"/>
        </w:rPr>
        <w:t xml:space="preserve"> to</w:t>
      </w:r>
      <w:r w:rsidR="00F9290B">
        <w:rPr>
          <w:szCs w:val="22"/>
        </w:rPr>
        <w:t xml:space="preserve"> include IPTV in the new category:</w:t>
      </w:r>
      <w:r w:rsidR="00F218A4" w:rsidRPr="007F7B4B">
        <w:rPr>
          <w:szCs w:val="22"/>
        </w:rPr>
        <w:t xml:space="preserve"> “cable </w:t>
      </w:r>
      <w:r w:rsidR="00732EBC" w:rsidRPr="007F7B4B">
        <w:rPr>
          <w:szCs w:val="22"/>
        </w:rPr>
        <w:t>television systems</w:t>
      </w:r>
      <w:r w:rsidR="00F218A4" w:rsidRPr="007F7B4B">
        <w:rPr>
          <w:szCs w:val="22"/>
        </w:rPr>
        <w:t xml:space="preserve"> and I</w:t>
      </w:r>
      <w:r w:rsidR="00732EBC" w:rsidRPr="007F7B4B">
        <w:rPr>
          <w:szCs w:val="22"/>
        </w:rPr>
        <w:t xml:space="preserve">nternet </w:t>
      </w:r>
      <w:r w:rsidR="00F218A4" w:rsidRPr="007F7B4B">
        <w:rPr>
          <w:szCs w:val="22"/>
        </w:rPr>
        <w:t>P</w:t>
      </w:r>
      <w:r w:rsidR="00732EBC" w:rsidRPr="007F7B4B">
        <w:rPr>
          <w:szCs w:val="22"/>
        </w:rPr>
        <w:t xml:space="preserve">rotocol </w:t>
      </w:r>
      <w:r w:rsidR="00F218A4" w:rsidRPr="007F7B4B">
        <w:rPr>
          <w:szCs w:val="22"/>
        </w:rPr>
        <w:t>TV</w:t>
      </w:r>
      <w:r w:rsidR="00732EBC" w:rsidRPr="007F7B4B">
        <w:rPr>
          <w:szCs w:val="22"/>
        </w:rPr>
        <w:t xml:space="preserve"> service providers.</w:t>
      </w:r>
      <w:r w:rsidR="00F218A4" w:rsidRPr="007F7B4B">
        <w:rPr>
          <w:szCs w:val="22"/>
        </w:rPr>
        <w:t>”</w:t>
      </w:r>
      <w:r w:rsidR="00732EBC" w:rsidRPr="007F7B4B">
        <w:rPr>
          <w:szCs w:val="22"/>
        </w:rPr>
        <w:t xml:space="preserve">  This will continue to be calculated on a per subscriber basis.  </w:t>
      </w:r>
      <w:r w:rsidR="00F9290B">
        <w:rPr>
          <w:szCs w:val="22"/>
        </w:rPr>
        <w:t xml:space="preserve">In this new category we assess regulatory fees on IPTV providers in the same manner as we assess fees on cable television providers; we are not stating that IPTV providers are cable television providers.  </w:t>
      </w:r>
      <w:r w:rsidR="00B8166F" w:rsidRPr="007F7B4B">
        <w:rPr>
          <w:szCs w:val="22"/>
        </w:rPr>
        <w:t>As this is a “permitted amendment</w:t>
      </w:r>
      <w:r w:rsidR="00E561EE" w:rsidRPr="007F7B4B">
        <w:rPr>
          <w:szCs w:val="22"/>
        </w:rPr>
        <w:t>,</w:t>
      </w:r>
      <w:r w:rsidR="00B8166F" w:rsidRPr="007F7B4B">
        <w:rPr>
          <w:szCs w:val="22"/>
        </w:rPr>
        <w:t>”</w:t>
      </w:r>
      <w:r w:rsidR="004C35A1" w:rsidRPr="007F7B4B">
        <w:rPr>
          <w:szCs w:val="22"/>
        </w:rPr>
        <w:t xml:space="preserve"> it will go into effect for </w:t>
      </w:r>
      <w:r w:rsidR="00606928" w:rsidRPr="007F7B4B">
        <w:rPr>
          <w:szCs w:val="22"/>
        </w:rPr>
        <w:t>FY 2014.</w:t>
      </w:r>
      <w:r w:rsidR="007A0D85" w:rsidRPr="007F7B4B">
        <w:rPr>
          <w:rStyle w:val="FootnoteReference"/>
          <w:szCs w:val="22"/>
        </w:rPr>
        <w:footnoteReference w:id="85"/>
      </w:r>
      <w:r w:rsidR="00F246B2" w:rsidRPr="007F7B4B">
        <w:rPr>
          <w:szCs w:val="22"/>
        </w:rPr>
        <w:t xml:space="preserve">  </w:t>
      </w:r>
    </w:p>
    <w:p w:rsidR="002B0880" w:rsidRPr="007F7B4B" w:rsidRDefault="002B0880" w:rsidP="002B0880">
      <w:pPr>
        <w:pStyle w:val="Heading3"/>
        <w:rPr>
          <w:szCs w:val="22"/>
        </w:rPr>
      </w:pPr>
      <w:bookmarkStart w:id="41" w:name="_Toc351572423"/>
      <w:bookmarkStart w:id="42" w:name="_Toc285458154"/>
      <w:bookmarkStart w:id="43" w:name="_Toc289263514"/>
      <w:bookmarkStart w:id="44" w:name="_Toc292177302"/>
      <w:bookmarkStart w:id="45" w:name="_Toc296691740"/>
      <w:bookmarkStart w:id="46" w:name="_Toc297116960"/>
      <w:bookmarkStart w:id="47" w:name="_Toc298752188"/>
      <w:bookmarkStart w:id="48" w:name="_Toc299091553"/>
      <w:bookmarkStart w:id="49" w:name="_Toc319681868"/>
      <w:bookmarkStart w:id="50" w:name="_Toc320103175"/>
      <w:bookmarkStart w:id="51" w:name="_Toc320615926"/>
      <w:bookmarkStart w:id="52" w:name="_Toc320616344"/>
      <w:bookmarkStart w:id="53" w:name="_Toc320616483"/>
      <w:bookmarkStart w:id="54" w:name="_Toc320632305"/>
      <w:bookmarkStart w:id="55" w:name="_Toc320632338"/>
      <w:bookmarkStart w:id="56" w:name="_Toc320639445"/>
      <w:bookmarkStart w:id="57" w:name="_Toc321130244"/>
      <w:bookmarkStart w:id="58" w:name="_Toc321301147"/>
      <w:bookmarkStart w:id="59" w:name="_Toc351571054"/>
      <w:bookmarkStart w:id="60" w:name="_Toc353032050"/>
      <w:bookmarkStart w:id="61" w:name="_Toc351572421"/>
      <w:bookmarkStart w:id="62" w:name="_Toc352943183"/>
      <w:bookmarkStart w:id="63" w:name="_Toc352943632"/>
      <w:bookmarkStart w:id="64" w:name="_Toc353987726"/>
      <w:bookmarkStart w:id="65" w:name="_Toc351484758"/>
      <w:bookmarkStart w:id="66" w:name="_Toc351484804"/>
      <w:bookmarkStart w:id="67" w:name="_Toc351484946"/>
      <w:bookmarkStart w:id="68" w:name="_Toc351571062"/>
      <w:bookmarkEnd w:id="41"/>
      <w:r w:rsidRPr="007F7B4B">
        <w:rPr>
          <w:szCs w:val="22"/>
        </w:rPr>
        <w:t>Regulatory Fee Obligations for Digital Low Power, Class A, and TV Translators/Boosters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C4DA1" w:rsidRPr="007F7B4B" w:rsidRDefault="0012628A" w:rsidP="0012628A">
      <w:pPr>
        <w:pStyle w:val="ParaNum"/>
        <w:tabs>
          <w:tab w:val="num" w:pos="1350"/>
        </w:tabs>
        <w:ind w:left="-90"/>
        <w:rPr>
          <w:szCs w:val="22"/>
        </w:rPr>
      </w:pPr>
      <w:r w:rsidRPr="007F7B4B">
        <w:rPr>
          <w:rStyle w:val="documentbody1"/>
          <w:rFonts w:ascii="Times New Roman" w:hAnsi="Times New Roman"/>
          <w:sz w:val="22"/>
          <w:szCs w:val="22"/>
        </w:rPr>
        <w:t xml:space="preserve">The digital transition to full-service television stations was completed on June 12, 2009, but the digital transition for Low Power, Class A, and TV Translators/Boosters still remains voluntary with a transition date of September 1, 2015.  </w:t>
      </w:r>
      <w:r w:rsidR="00F922EB">
        <w:rPr>
          <w:rStyle w:val="documentbody1"/>
          <w:rFonts w:ascii="Times New Roman" w:hAnsi="Times New Roman"/>
          <w:sz w:val="22"/>
          <w:szCs w:val="22"/>
        </w:rPr>
        <w:t>In the context of regulatory fees</w:t>
      </w:r>
      <w:r w:rsidRPr="007F7B4B">
        <w:rPr>
          <w:rStyle w:val="documentbody1"/>
          <w:rFonts w:ascii="Times New Roman" w:hAnsi="Times New Roman"/>
          <w:sz w:val="22"/>
          <w:szCs w:val="22"/>
        </w:rPr>
        <w:t xml:space="preserve">, we have </w:t>
      </w:r>
      <w:r w:rsidR="00F922EB">
        <w:rPr>
          <w:rStyle w:val="documentbody1"/>
          <w:rFonts w:ascii="Times New Roman" w:hAnsi="Times New Roman"/>
          <w:sz w:val="22"/>
          <w:szCs w:val="22"/>
        </w:rPr>
        <w:t xml:space="preserve">historically </w:t>
      </w:r>
      <w:r w:rsidRPr="007F7B4B">
        <w:rPr>
          <w:rStyle w:val="documentbody1"/>
          <w:rFonts w:ascii="Times New Roman" w:hAnsi="Times New Roman"/>
          <w:sz w:val="22"/>
          <w:szCs w:val="22"/>
        </w:rPr>
        <w:t xml:space="preserve">considered the digital transition only </w:t>
      </w:r>
      <w:r w:rsidR="00F922EB">
        <w:rPr>
          <w:rStyle w:val="documentbody1"/>
          <w:rFonts w:ascii="Times New Roman" w:hAnsi="Times New Roman"/>
          <w:sz w:val="22"/>
          <w:szCs w:val="22"/>
        </w:rPr>
        <w:t xml:space="preserve">with respect to </w:t>
      </w:r>
      <w:r w:rsidRPr="007F7B4B">
        <w:rPr>
          <w:rStyle w:val="documentbody1"/>
          <w:rFonts w:ascii="Times New Roman" w:hAnsi="Times New Roman"/>
          <w:sz w:val="22"/>
          <w:szCs w:val="22"/>
        </w:rPr>
        <w:t>regulatory fees applicable to full-service television stations, and not to Low Power, Class A, and TV Translators/Boosters.  B</w:t>
      </w:r>
      <w:r w:rsidRPr="007F7B4B">
        <w:rPr>
          <w:bCs/>
          <w:szCs w:val="22"/>
        </w:rPr>
        <w:t xml:space="preserve">ecause the digital transition </w:t>
      </w:r>
      <w:r w:rsidR="00F922EB">
        <w:rPr>
          <w:bCs/>
          <w:szCs w:val="22"/>
        </w:rPr>
        <w:t xml:space="preserve">for these services </w:t>
      </w:r>
      <w:r w:rsidRPr="007F7B4B">
        <w:rPr>
          <w:bCs/>
          <w:szCs w:val="22"/>
        </w:rPr>
        <w:t>is still voluntary, some of these facilities may transition from analog to digital service more rapidly than others.  During this period of transition, licensees of Low Power, Class A, and TV Translator/Booster facilities may be operating in analog mode, in digital mode, or in an analog and digital simulcast mode.  Therefore, for regulatory fee purposes, we will assess a fee for each facility operating either in an analog or digital mode.  In instances in which a licensee is simulcasting in both analog and digital modes, a single regulatory fee will be assessed for the analog facility and its corresponding digital component, but not for both facilities.  As greater numbers of facilities convert to digital mode, the Commission will provide revised instructions on how regulatory fees will be assessed.</w:t>
      </w:r>
      <w:r w:rsidRPr="007F7B4B">
        <w:rPr>
          <w:szCs w:val="22"/>
        </w:rPr>
        <w:t xml:space="preserve"> </w:t>
      </w:r>
    </w:p>
    <w:p w:rsidR="005C4DA1" w:rsidRPr="007F7B4B" w:rsidRDefault="005C4DA1" w:rsidP="005C4DA1">
      <w:pPr>
        <w:pStyle w:val="Heading3"/>
        <w:rPr>
          <w:b w:val="0"/>
          <w:szCs w:val="22"/>
        </w:rPr>
      </w:pPr>
      <w:bookmarkStart w:id="69" w:name="_Toc189743265"/>
      <w:bookmarkStart w:id="70" w:name="_Toc351484756"/>
      <w:bookmarkStart w:id="71" w:name="_Toc351484802"/>
      <w:bookmarkStart w:id="72" w:name="_Toc351484944"/>
      <w:bookmarkStart w:id="73" w:name="_Toc351571057"/>
      <w:bookmarkStart w:id="74" w:name="_Toc353032054"/>
      <w:bookmarkStart w:id="75" w:name="_Toc351572425"/>
      <w:bookmarkStart w:id="76" w:name="_Toc352943187"/>
      <w:bookmarkStart w:id="77" w:name="_Toc352943636"/>
      <w:bookmarkStart w:id="78" w:name="_Toc353987730"/>
      <w:bookmarkStart w:id="79" w:name="_Toc353988051"/>
      <w:r w:rsidRPr="007F7B4B">
        <w:rPr>
          <w:szCs w:val="22"/>
        </w:rPr>
        <w:t>Commercial Mobile Radio Service (CMRS) Messaging</w:t>
      </w:r>
      <w:bookmarkEnd w:id="69"/>
      <w:bookmarkEnd w:id="70"/>
      <w:bookmarkEnd w:id="71"/>
      <w:bookmarkEnd w:id="72"/>
      <w:bookmarkEnd w:id="73"/>
      <w:bookmarkEnd w:id="74"/>
      <w:bookmarkEnd w:id="75"/>
      <w:bookmarkEnd w:id="76"/>
      <w:bookmarkEnd w:id="77"/>
      <w:bookmarkEnd w:id="78"/>
      <w:bookmarkEnd w:id="79"/>
    </w:p>
    <w:p w:rsidR="005C4DA1" w:rsidRPr="007F7B4B" w:rsidRDefault="005C4DA1" w:rsidP="000E1F2C">
      <w:pPr>
        <w:pStyle w:val="ParaNum"/>
        <w:widowControl/>
        <w:tabs>
          <w:tab w:val="num" w:pos="1350"/>
        </w:tabs>
        <w:ind w:left="-86"/>
        <w:rPr>
          <w:szCs w:val="22"/>
        </w:rPr>
      </w:pPr>
      <w:r w:rsidRPr="007F7B4B">
        <w:rPr>
          <w:szCs w:val="22"/>
        </w:rPr>
        <w:t>CMRS Messaging Service, which replaced the CMRS One-Way Paging fee category in 1997, includes all narrowband services.</w:t>
      </w:r>
      <w:r w:rsidRPr="007F7B4B">
        <w:rPr>
          <w:rStyle w:val="FootnoteReference"/>
          <w:bCs/>
          <w:szCs w:val="22"/>
        </w:rPr>
        <w:footnoteReference w:id="86"/>
      </w:r>
      <w:r w:rsidRPr="007F7B4B">
        <w:rPr>
          <w:szCs w:val="22"/>
        </w:rPr>
        <w:t xml:space="preserve">  Initially, the Commission froze the regulatory fee for this fee category at the FY 2002 level to provide relief to the paging industry by setting an applicable rate of $0.08 per subscriber beginning in FY 2003.</w:t>
      </w:r>
      <w:r w:rsidRPr="007F7B4B">
        <w:rPr>
          <w:rStyle w:val="FootnoteReference"/>
          <w:bCs/>
          <w:szCs w:val="22"/>
        </w:rPr>
        <w:footnoteReference w:id="87"/>
      </w:r>
      <w:r w:rsidRPr="007F7B4B">
        <w:rPr>
          <w:szCs w:val="22"/>
        </w:rPr>
        <w:t xml:space="preserve">  At that time we noted that CMRS Messaging units had significantly declined from 40.8 million in FY 1997 to 19.7 million in FY 2003—a decline of 51.7 percent.</w:t>
      </w:r>
      <w:r w:rsidRPr="007F7B4B">
        <w:rPr>
          <w:rStyle w:val="FootnoteReference"/>
          <w:bCs/>
          <w:szCs w:val="22"/>
        </w:rPr>
        <w:footnoteReference w:id="88"/>
      </w:r>
      <w:r w:rsidRPr="007F7B4B">
        <w:rPr>
          <w:szCs w:val="22"/>
        </w:rPr>
        <w:t xml:space="preserve">  Commenters argued that this decline in subscribership was not just a temporary phenomenon, but a lasting one.  Commenters further argued that, because the messaging industry is spectrum-limited, geographically localized, and very cost sensitive, it is difficult for this industry to pass on increases in costs to its subscribers.</w:t>
      </w:r>
      <w:r w:rsidRPr="007F7B4B">
        <w:rPr>
          <w:rStyle w:val="FootnoteReference"/>
          <w:bCs/>
          <w:szCs w:val="22"/>
        </w:rPr>
        <w:footnoteReference w:id="89"/>
      </w:r>
      <w:r w:rsidRPr="007F7B4B">
        <w:rPr>
          <w:szCs w:val="22"/>
        </w:rPr>
        <w:t xml:space="preserve">  In response to our </w:t>
      </w:r>
      <w:r w:rsidRPr="009A3B34">
        <w:rPr>
          <w:i/>
          <w:szCs w:val="22"/>
        </w:rPr>
        <w:t>FY 2013 NPRM</w:t>
      </w:r>
      <w:r w:rsidRPr="007F7B4B">
        <w:rPr>
          <w:szCs w:val="22"/>
        </w:rPr>
        <w:t>, one commenter supported maintaining the CMRS Messaging fee rate at $.08 per subscriber, but urged the Commission to adopt an even lower fee rate in the future, suggesting a ratio of 1 to 7 (messaging/paging monthly ARPU to wireless telephony ARPU) to calculate the messaging regulatory fee rate.</w:t>
      </w:r>
      <w:r w:rsidRPr="007F7B4B">
        <w:rPr>
          <w:rStyle w:val="FootnoteReference"/>
          <w:szCs w:val="22"/>
        </w:rPr>
        <w:footnoteReference w:id="90"/>
      </w:r>
      <w:r w:rsidRPr="007F7B4B">
        <w:rPr>
          <w:szCs w:val="22"/>
        </w:rPr>
        <w:t xml:space="preserve"> </w:t>
      </w:r>
    </w:p>
    <w:p w:rsidR="0012628A" w:rsidRPr="007F7B4B" w:rsidRDefault="005C4DA1" w:rsidP="005C4DA1">
      <w:pPr>
        <w:pStyle w:val="ParaNum"/>
        <w:tabs>
          <w:tab w:val="num" w:pos="1350"/>
        </w:tabs>
        <w:ind w:left="-90"/>
        <w:rPr>
          <w:szCs w:val="22"/>
        </w:rPr>
      </w:pPr>
      <w:r w:rsidRPr="007F7B4B">
        <w:rPr>
          <w:szCs w:val="22"/>
        </w:rPr>
        <w:t>The Commission has frozen the CMRS Messaging fee rate since FY 2003.  By doing so, the Commission has provided the CMRS Messaging industry some level of regulatory fee stability.  As our earlier discussion on FTE allocation has indicated, the fee burden of regulatory fee categories is determined by FTEs, and not by comparative ARPUs or other forms of measurement.  By maintaining the CMRS Messaging rate at $.08 per subscriber for a decade, the CMRS Messaging industry has in effect been paying a fee rate of .07 percent (.0007) of all fees, compared to its allocated share of .32 percent (.0032).</w:t>
      </w:r>
      <w:r w:rsidRPr="007F7B4B">
        <w:rPr>
          <w:rStyle w:val="FootnoteReference"/>
          <w:szCs w:val="22"/>
        </w:rPr>
        <w:footnoteReference w:id="91"/>
      </w:r>
      <w:r w:rsidRPr="007F7B4B">
        <w:rPr>
          <w:szCs w:val="22"/>
        </w:rPr>
        <w:t xml:space="preserve">  As in previous years, the Commission in FY 2013 will maintain the CMRS Messaging fee rate at $.08 per subscriber.  The Commission, however, will continue to examine the impact of regulatory fees on CMRS Messaging and similar declining industries.  </w:t>
      </w:r>
      <w:r w:rsidR="0012628A" w:rsidRPr="007F7B4B">
        <w:rPr>
          <w:szCs w:val="22"/>
        </w:rPr>
        <w:t xml:space="preserve">   </w:t>
      </w:r>
    </w:p>
    <w:p w:rsidR="005E5FF8" w:rsidRPr="007F7B4B" w:rsidRDefault="005E5FF8" w:rsidP="00021D5D">
      <w:pPr>
        <w:pStyle w:val="Heading2"/>
      </w:pPr>
      <w:r w:rsidRPr="007F7B4B">
        <w:t>Excess Fees</w:t>
      </w:r>
    </w:p>
    <w:p w:rsidR="005E5FF8" w:rsidRPr="007F7B4B" w:rsidRDefault="00C25606" w:rsidP="00B23147">
      <w:pPr>
        <w:pStyle w:val="ParaNum"/>
        <w:tabs>
          <w:tab w:val="num" w:pos="1350"/>
        </w:tabs>
        <w:ind w:left="-90"/>
        <w:rPr>
          <w:szCs w:val="22"/>
        </w:rPr>
      </w:pPr>
      <w:r>
        <w:rPr>
          <w:szCs w:val="22"/>
        </w:rPr>
        <w:t xml:space="preserve">Commenters </w:t>
      </w:r>
      <w:r w:rsidR="00F36754" w:rsidRPr="007F7B4B">
        <w:rPr>
          <w:szCs w:val="22"/>
        </w:rPr>
        <w:t>recommend</w:t>
      </w:r>
      <w:r w:rsidR="00DD5E00" w:rsidRPr="007F7B4B">
        <w:rPr>
          <w:szCs w:val="22"/>
        </w:rPr>
        <w:t xml:space="preserve"> that the Commission </w:t>
      </w:r>
      <w:r w:rsidR="00F36754" w:rsidRPr="007F7B4B">
        <w:rPr>
          <w:szCs w:val="22"/>
        </w:rPr>
        <w:t xml:space="preserve">obtain Congressional approval to </w:t>
      </w:r>
      <w:r w:rsidR="00DD5E00" w:rsidRPr="007F7B4B">
        <w:rPr>
          <w:szCs w:val="22"/>
        </w:rPr>
        <w:t xml:space="preserve">refund excess </w:t>
      </w:r>
      <w:r w:rsidR="00F36754" w:rsidRPr="007F7B4B">
        <w:rPr>
          <w:szCs w:val="22"/>
        </w:rPr>
        <w:t xml:space="preserve">regulatory </w:t>
      </w:r>
      <w:r w:rsidR="00DD5E00" w:rsidRPr="007F7B4B">
        <w:rPr>
          <w:szCs w:val="22"/>
        </w:rPr>
        <w:t xml:space="preserve">fees or </w:t>
      </w:r>
      <w:r w:rsidR="00F36754" w:rsidRPr="007F7B4B">
        <w:rPr>
          <w:szCs w:val="22"/>
        </w:rPr>
        <w:t>alternatively</w:t>
      </w:r>
      <w:r w:rsidR="00DD5E00" w:rsidRPr="007F7B4B">
        <w:rPr>
          <w:szCs w:val="22"/>
        </w:rPr>
        <w:t xml:space="preserve"> apply the excess fees to FY 2014 collections.</w:t>
      </w:r>
      <w:r w:rsidR="00F36754" w:rsidRPr="007F7B4B">
        <w:rPr>
          <w:rStyle w:val="FootnoteReference"/>
          <w:szCs w:val="22"/>
        </w:rPr>
        <w:footnoteReference w:id="92"/>
      </w:r>
      <w:r w:rsidR="00F36754" w:rsidRPr="007F7B4B">
        <w:rPr>
          <w:szCs w:val="22"/>
        </w:rPr>
        <w:t xml:space="preserve">  </w:t>
      </w:r>
      <w:r w:rsidR="007A0D85" w:rsidRPr="007F7B4B">
        <w:rPr>
          <w:szCs w:val="22"/>
        </w:rPr>
        <w:t>The Commission’s annual appropriation</w:t>
      </w:r>
      <w:r w:rsidR="00DB08A9">
        <w:rPr>
          <w:szCs w:val="22"/>
        </w:rPr>
        <w:t>s</w:t>
      </w:r>
      <w:r w:rsidR="007A0D85" w:rsidRPr="007F7B4B">
        <w:rPr>
          <w:szCs w:val="22"/>
        </w:rPr>
        <w:t>, since 2008, have prohibited the use of any excess fees from current or previous fees without an appropriation from Congress.</w:t>
      </w:r>
      <w:r w:rsidR="005476FE">
        <w:rPr>
          <w:szCs w:val="22"/>
        </w:rPr>
        <w:t xml:space="preserve"> </w:t>
      </w:r>
      <w:r w:rsidR="005476FE" w:rsidRPr="007F7B4B">
        <w:rPr>
          <w:szCs w:val="22"/>
        </w:rPr>
        <w:t xml:space="preserve"> </w:t>
      </w:r>
      <w:r w:rsidR="007A0D85" w:rsidRPr="007F7B4B">
        <w:rPr>
          <w:szCs w:val="22"/>
        </w:rPr>
        <w:t>Should Congress decide to examine this issue or any other issues regarding regulatory fees, the Commission is committed to providing whatever information they request.</w:t>
      </w:r>
      <w:r w:rsidR="005E0BD4" w:rsidRPr="007F7B4B">
        <w:rPr>
          <w:rStyle w:val="FootnoteReference"/>
          <w:szCs w:val="22"/>
        </w:rPr>
        <w:footnoteReference w:id="93"/>
      </w:r>
      <w:r w:rsidR="00F36754" w:rsidRPr="007F7B4B">
        <w:rPr>
          <w:szCs w:val="22"/>
        </w:rPr>
        <w:t xml:space="preserve">  </w:t>
      </w:r>
    </w:p>
    <w:p w:rsidR="00314AF7" w:rsidRPr="007F7B4B" w:rsidRDefault="00314AF7" w:rsidP="00021D5D">
      <w:pPr>
        <w:pStyle w:val="Heading2"/>
        <w:rPr>
          <w:rStyle w:val="documentbody1"/>
          <w:rFonts w:ascii="Times New Roman" w:hAnsi="Times New Roman"/>
          <w:sz w:val="22"/>
          <w:szCs w:val="22"/>
        </w:rPr>
      </w:pPr>
      <w:r w:rsidRPr="007F7B4B">
        <w:rPr>
          <w:rStyle w:val="documentbody1"/>
          <w:rFonts w:ascii="Times New Roman" w:hAnsi="Times New Roman"/>
          <w:sz w:val="22"/>
          <w:szCs w:val="22"/>
        </w:rPr>
        <w:t>Fee Decisions and Waiver Policies</w:t>
      </w:r>
    </w:p>
    <w:p w:rsidR="00314AF7" w:rsidRPr="007F7B4B" w:rsidRDefault="00314AF7" w:rsidP="00314AF7">
      <w:pPr>
        <w:pStyle w:val="ParaNum"/>
        <w:tabs>
          <w:tab w:val="num" w:pos="1350"/>
        </w:tabs>
        <w:ind w:left="-90"/>
        <w:rPr>
          <w:szCs w:val="22"/>
        </w:rPr>
      </w:pPr>
      <w:r w:rsidRPr="007F7B4B">
        <w:rPr>
          <w:szCs w:val="22"/>
        </w:rPr>
        <w:t>The Commission received two unsolicited comments regarding its fee decisions and waiver policies.  MMTC urges the Commission “to waive application fees for small businesses and nonprofits and to provide regulatory fee relief</w:t>
      </w:r>
      <w:r w:rsidR="00F6556F">
        <w:rPr>
          <w:szCs w:val="22"/>
        </w:rPr>
        <w:t xml:space="preserve"> for certain broadcast entities.</w:t>
      </w:r>
      <w:r w:rsidRPr="007F7B4B">
        <w:rPr>
          <w:szCs w:val="22"/>
        </w:rPr>
        <w:t>”</w:t>
      </w:r>
      <w:r w:rsidRPr="007F7B4B">
        <w:rPr>
          <w:rStyle w:val="FootnoteReference"/>
          <w:szCs w:val="22"/>
        </w:rPr>
        <w:footnoteReference w:id="94"/>
      </w:r>
      <w:r w:rsidRPr="007F7B4B">
        <w:rPr>
          <w:szCs w:val="22"/>
        </w:rPr>
        <w:t xml:space="preserve">  In addition, MMTC </w:t>
      </w:r>
      <w:r w:rsidR="00F6556F">
        <w:rPr>
          <w:szCs w:val="22"/>
        </w:rPr>
        <w:t>explains that</w:t>
      </w:r>
      <w:r w:rsidRPr="007F7B4B">
        <w:rPr>
          <w:szCs w:val="22"/>
        </w:rPr>
        <w:t xml:space="preserve"> the Commission </w:t>
      </w:r>
      <w:r w:rsidR="00F6556F">
        <w:rPr>
          <w:szCs w:val="22"/>
        </w:rPr>
        <w:t xml:space="preserve">has the authority </w:t>
      </w:r>
      <w:r w:rsidRPr="007F7B4B">
        <w:rPr>
          <w:szCs w:val="22"/>
        </w:rPr>
        <w:t>to “waive, reduce, or defer payment of a fee in any specific instance of good cause shown,</w:t>
      </w:r>
      <w:r w:rsidR="005B083C">
        <w:rPr>
          <w:szCs w:val="22"/>
        </w:rPr>
        <w:t xml:space="preserve"> where such action would promote the public interest.</w:t>
      </w:r>
      <w:r w:rsidR="00F6556F">
        <w:rPr>
          <w:szCs w:val="22"/>
        </w:rPr>
        <w:t>”</w:t>
      </w:r>
      <w:r w:rsidR="005B083C">
        <w:rPr>
          <w:rStyle w:val="FootnoteReference"/>
          <w:szCs w:val="22"/>
        </w:rPr>
        <w:footnoteReference w:id="95"/>
      </w:r>
      <w:r w:rsidRPr="007F7B4B">
        <w:rPr>
          <w:szCs w:val="22"/>
        </w:rPr>
        <w:t xml:space="preserve"> </w:t>
      </w:r>
      <w:r w:rsidR="005B083C">
        <w:rPr>
          <w:szCs w:val="22"/>
        </w:rPr>
        <w:t xml:space="preserve">  MMTC contends that the Commission should adopt a rebuttable presumption that a certain class of entities need, and are eligible, for regulatory fee relief.</w:t>
      </w:r>
      <w:r w:rsidR="005B083C">
        <w:rPr>
          <w:rStyle w:val="FootnoteReference"/>
          <w:szCs w:val="22"/>
        </w:rPr>
        <w:footnoteReference w:id="96"/>
      </w:r>
      <w:r w:rsidR="005B083C">
        <w:rPr>
          <w:szCs w:val="22"/>
        </w:rPr>
        <w:t xml:space="preserve"> </w:t>
      </w:r>
      <w:r w:rsidRPr="007F7B4B">
        <w:rPr>
          <w:szCs w:val="22"/>
        </w:rPr>
        <w:t xml:space="preserve"> MMTC also urges the Commission to exercise its statutory authority and grant a one-year waiver of certain application fees.</w:t>
      </w:r>
      <w:r w:rsidRPr="007F7B4B">
        <w:rPr>
          <w:rStyle w:val="FootnoteReference"/>
          <w:szCs w:val="22"/>
        </w:rPr>
        <w:footnoteReference w:id="97"/>
      </w:r>
      <w:r w:rsidRPr="007F7B4B">
        <w:rPr>
          <w:szCs w:val="22"/>
        </w:rPr>
        <w:t xml:space="preserve"> </w:t>
      </w:r>
    </w:p>
    <w:p w:rsidR="00314AF7" w:rsidRPr="007F7B4B" w:rsidRDefault="00314AF7" w:rsidP="00314AF7">
      <w:pPr>
        <w:pStyle w:val="ParaNum"/>
        <w:tabs>
          <w:tab w:val="num" w:pos="1350"/>
        </w:tabs>
        <w:ind w:left="-90"/>
        <w:rPr>
          <w:szCs w:val="22"/>
        </w:rPr>
      </w:pPr>
      <w:r w:rsidRPr="007F7B4B">
        <w:rPr>
          <w:szCs w:val="22"/>
        </w:rPr>
        <w:t xml:space="preserve">The issues raised by MMTC </w:t>
      </w:r>
      <w:r w:rsidR="005B083C">
        <w:rPr>
          <w:szCs w:val="22"/>
        </w:rPr>
        <w:t>relating to application fees are beyond the scope of this proceeding.  W</w:t>
      </w:r>
      <w:r w:rsidRPr="007F7B4B">
        <w:rPr>
          <w:szCs w:val="22"/>
        </w:rPr>
        <w:t>e emphasize that all waivers, including a reduction and deferral of fees, are considered on a case-by-case basis under the statute .  These include instances in which financial hardship is presented, as well as instances in which the public interest will be promoted.</w:t>
      </w:r>
      <w:r w:rsidR="005476FE">
        <w:rPr>
          <w:szCs w:val="22"/>
        </w:rPr>
        <w:t xml:space="preserve"> </w:t>
      </w:r>
      <w:r w:rsidR="005476FE" w:rsidRPr="007F7B4B">
        <w:rPr>
          <w:szCs w:val="22"/>
        </w:rPr>
        <w:t xml:space="preserve"> </w:t>
      </w:r>
      <w:r w:rsidR="005476FE">
        <w:rPr>
          <w:szCs w:val="22"/>
        </w:rPr>
        <w:t>T</w:t>
      </w:r>
      <w:r w:rsidRPr="007F7B4B">
        <w:rPr>
          <w:szCs w:val="22"/>
        </w:rPr>
        <w:t>he Commission can exercise some discretion in providing relief on waivers, but this relief can only be provided within the confines of the statutory law that governs that particular waiver.</w:t>
      </w:r>
    </w:p>
    <w:p w:rsidR="00D02023" w:rsidRDefault="00314AF7" w:rsidP="000E1F2C">
      <w:pPr>
        <w:pStyle w:val="ParaNum"/>
        <w:widowControl/>
        <w:tabs>
          <w:tab w:val="num" w:pos="1350"/>
        </w:tabs>
        <w:ind w:left="-86"/>
        <w:rPr>
          <w:szCs w:val="22"/>
        </w:rPr>
      </w:pPr>
      <w:r w:rsidRPr="007F7B4B">
        <w:rPr>
          <w:szCs w:val="22"/>
        </w:rPr>
        <w:t>The Commission also received a comment requesting the Commission publish redacted financial data from fee decisions.</w:t>
      </w:r>
      <w:r w:rsidRPr="007F7B4B">
        <w:rPr>
          <w:rStyle w:val="FootnoteReference"/>
          <w:szCs w:val="22"/>
        </w:rPr>
        <w:footnoteReference w:id="98"/>
      </w:r>
      <w:r w:rsidRPr="007F7B4B">
        <w:rPr>
          <w:szCs w:val="22"/>
        </w:rPr>
        <w:t xml:space="preserve">  </w:t>
      </w:r>
      <w:r w:rsidR="005B083C">
        <w:rPr>
          <w:szCs w:val="22"/>
        </w:rPr>
        <w:t>Fireweed also contends that the Commission has hidden decisions from public view.</w:t>
      </w:r>
      <w:r w:rsidR="005B083C">
        <w:rPr>
          <w:rStyle w:val="FootnoteReference"/>
          <w:szCs w:val="22"/>
        </w:rPr>
        <w:footnoteReference w:id="99"/>
      </w:r>
      <w:r w:rsidR="005B083C">
        <w:rPr>
          <w:szCs w:val="22"/>
        </w:rPr>
        <w:t xml:space="preserve">  </w:t>
      </w:r>
      <w:r w:rsidRPr="007F7B4B">
        <w:rPr>
          <w:szCs w:val="22"/>
        </w:rPr>
        <w:t>The Commission intends to consider this issue as it reviews its current policy of publishing fee decisions.  However, the publishing of fee decisions, including redacted financial data, must adhere to the Commission’s privacy rules and guidelines.</w:t>
      </w:r>
    </w:p>
    <w:p w:rsidR="00314AF7" w:rsidRPr="007F7B4B" w:rsidRDefault="00D02023" w:rsidP="00314AF7">
      <w:pPr>
        <w:pStyle w:val="ParaNum"/>
        <w:tabs>
          <w:tab w:val="num" w:pos="1350"/>
        </w:tabs>
        <w:ind w:left="-90"/>
        <w:rPr>
          <w:rStyle w:val="documentbody1"/>
          <w:rFonts w:ascii="Times New Roman" w:hAnsi="Times New Roman"/>
          <w:sz w:val="22"/>
          <w:szCs w:val="22"/>
        </w:rPr>
      </w:pPr>
      <w:r>
        <w:rPr>
          <w:szCs w:val="22"/>
        </w:rPr>
        <w:t>Fireweed also contends that we should not require parties to support a waiver request with tax returns.</w:t>
      </w:r>
      <w:r>
        <w:rPr>
          <w:rStyle w:val="FootnoteReference"/>
          <w:szCs w:val="22"/>
        </w:rPr>
        <w:footnoteReference w:id="100"/>
      </w:r>
      <w:r>
        <w:rPr>
          <w:szCs w:val="22"/>
        </w:rPr>
        <w:t xml:space="preserve">  Fireweed has not, however, suggested an alternative method to substantiate financial hardship.  Tax returns or audited financial statements are generally used by parties before the Commission to demonstrate financial hardship</w:t>
      </w:r>
      <w:r w:rsidR="005476FE">
        <w:rPr>
          <w:szCs w:val="22"/>
        </w:rPr>
        <w:t>.</w:t>
      </w:r>
    </w:p>
    <w:p w:rsidR="00A25315" w:rsidRPr="007F7B4B" w:rsidRDefault="00A25315" w:rsidP="00021D5D">
      <w:pPr>
        <w:pStyle w:val="Heading2"/>
      </w:pPr>
      <w:bookmarkStart w:id="80" w:name="_Toc353987731"/>
      <w:r w:rsidRPr="007F7B4B">
        <w:t>Administrative Issues</w:t>
      </w:r>
      <w:bookmarkEnd w:id="80"/>
    </w:p>
    <w:p w:rsidR="005C4DA1" w:rsidRPr="00574337" w:rsidRDefault="005C4DA1" w:rsidP="005C4DA1">
      <w:pPr>
        <w:pStyle w:val="ParaNum"/>
        <w:tabs>
          <w:tab w:val="num" w:pos="1350"/>
        </w:tabs>
        <w:ind w:left="-90"/>
        <w:rPr>
          <w:szCs w:val="22"/>
        </w:rPr>
      </w:pPr>
      <w:r w:rsidRPr="00574337">
        <w:rPr>
          <w:szCs w:val="22"/>
        </w:rPr>
        <w:t xml:space="preserve">In FY 2009, the Commission implemented several procedural changes that simplified the payment and reconciliation processes for FY 2009 regulatory fees.  The Commission’s current regulatory fee collection procedures can be found in the </w:t>
      </w:r>
      <w:r w:rsidRPr="00574337">
        <w:rPr>
          <w:i/>
          <w:szCs w:val="22"/>
        </w:rPr>
        <w:t>Report and Order on Assessment and Collection of Regulatory Fees for FY 2012</w:t>
      </w:r>
      <w:r w:rsidRPr="00574337">
        <w:rPr>
          <w:szCs w:val="22"/>
        </w:rPr>
        <w:t>.</w:t>
      </w:r>
      <w:r w:rsidRPr="007F7B4B">
        <w:rPr>
          <w:rStyle w:val="FootnoteReference"/>
          <w:szCs w:val="22"/>
        </w:rPr>
        <w:footnoteReference w:id="101"/>
      </w:r>
      <w:r w:rsidRPr="00574337">
        <w:rPr>
          <w:szCs w:val="22"/>
        </w:rPr>
        <w:t xml:space="preserve">  In FY 2013, the Commission will continue to promote greater use of technology (and less use of paper) in improving our regulatory fee notification and collection process.  These </w:t>
      </w:r>
      <w:r w:rsidR="00DB6EA3" w:rsidRPr="00574337">
        <w:rPr>
          <w:szCs w:val="22"/>
        </w:rPr>
        <w:t>changes</w:t>
      </w:r>
      <w:r w:rsidRPr="00574337">
        <w:rPr>
          <w:szCs w:val="22"/>
        </w:rPr>
        <w:t xml:space="preserve"> and the</w:t>
      </w:r>
      <w:r w:rsidR="00574337" w:rsidRPr="00574337">
        <w:rPr>
          <w:szCs w:val="22"/>
        </w:rPr>
        <w:t>ir</w:t>
      </w:r>
      <w:r w:rsidRPr="00574337">
        <w:rPr>
          <w:szCs w:val="22"/>
        </w:rPr>
        <w:t xml:space="preserve"> </w:t>
      </w:r>
      <w:r w:rsidR="00574337" w:rsidRPr="00574337">
        <w:rPr>
          <w:szCs w:val="22"/>
        </w:rPr>
        <w:t xml:space="preserve">effective </w:t>
      </w:r>
      <w:r w:rsidRPr="00574337">
        <w:rPr>
          <w:szCs w:val="22"/>
        </w:rPr>
        <w:t xml:space="preserve">dates are discussed in more detail below.  Specifically, beginning on October 1, 2013, </w:t>
      </w:r>
      <w:r w:rsidR="00067117">
        <w:rPr>
          <w:szCs w:val="22"/>
        </w:rPr>
        <w:t xml:space="preserve">in FY 2014, </w:t>
      </w:r>
      <w:r w:rsidRPr="00574337">
        <w:rPr>
          <w:szCs w:val="22"/>
        </w:rPr>
        <w:t xml:space="preserve">we will no longer accept checks and hardcopy Form 159 remittance advice forms to pay regulatory fee obligations.  In FY 2014, we will also transfer electronic invoicing and receivables collection to the Treasury.  Finally, in FY 2014, we will no longer mail out initial CMRS assessments, and will instead require licensees to log into the Commission’s website to view and revise their subscriber counts.  </w:t>
      </w:r>
    </w:p>
    <w:p w:rsidR="00F6184B" w:rsidRPr="007F7B4B" w:rsidRDefault="00BC08B1" w:rsidP="00C5052D">
      <w:pPr>
        <w:pStyle w:val="Heading3"/>
        <w:rPr>
          <w:szCs w:val="22"/>
        </w:rPr>
      </w:pPr>
      <w:bookmarkStart w:id="81" w:name="_Toc353987733"/>
      <w:r w:rsidRPr="007F7B4B">
        <w:rPr>
          <w:szCs w:val="22"/>
        </w:rPr>
        <w:t>Discontinuation of Mai</w:t>
      </w:r>
      <w:r w:rsidR="00F6184B" w:rsidRPr="007F7B4B">
        <w:rPr>
          <w:szCs w:val="22"/>
        </w:rPr>
        <w:t>l Outs of Initial CMRS Assessments</w:t>
      </w:r>
      <w:bookmarkEnd w:id="81"/>
      <w:r w:rsidR="00A52CA4" w:rsidRPr="007F7B4B">
        <w:rPr>
          <w:szCs w:val="22"/>
        </w:rPr>
        <w:t>, FY 2014</w:t>
      </w:r>
      <w:r w:rsidR="00F6184B" w:rsidRPr="007F7B4B">
        <w:rPr>
          <w:szCs w:val="22"/>
        </w:rPr>
        <w:t xml:space="preserve"> </w:t>
      </w:r>
    </w:p>
    <w:p w:rsidR="005C4DA1" w:rsidRPr="007F7B4B" w:rsidRDefault="005C4DA1" w:rsidP="005C4DA1">
      <w:pPr>
        <w:pStyle w:val="ParaNum"/>
        <w:tabs>
          <w:tab w:val="num" w:pos="1350"/>
        </w:tabs>
        <w:ind w:left="-90"/>
        <w:rPr>
          <w:szCs w:val="22"/>
        </w:rPr>
      </w:pPr>
      <w:r w:rsidRPr="007F7B4B">
        <w:rPr>
          <w:szCs w:val="22"/>
        </w:rPr>
        <w:t xml:space="preserve">In FY 2014, as part of the Commission’s effort to become more “paperless,” the Commission will no longer mail out its initial CMRS assessments but will require licensees to log into the Commission’s website to view and revise their subscriber counts.  A system currently exists for providers to revise their CMRS subscriber counts electronically after the CMRS assessments are mailed, and it is possible that this system can be expanded to include letters that can be downloaded to serve as the initial CMRS assessment letter.  The Commission will provide more details in future announcements as this system is modified to accommodate this task.   </w:t>
      </w:r>
    </w:p>
    <w:p w:rsidR="00BF58D5" w:rsidRPr="00BF58D5" w:rsidRDefault="00BF58D5" w:rsidP="000023CE">
      <w:pPr>
        <w:pStyle w:val="Heading3"/>
        <w:rPr>
          <w:szCs w:val="22"/>
        </w:rPr>
      </w:pPr>
      <w:r w:rsidRPr="00BF58D5">
        <w:rPr>
          <w:szCs w:val="22"/>
        </w:rPr>
        <w:t>Discontinuation of Paper and Check Transactions Beginning October 1, 2013 (FY 2014)</w:t>
      </w:r>
    </w:p>
    <w:p w:rsidR="00BF58D5" w:rsidRPr="007F7B4B" w:rsidRDefault="00BF58D5" w:rsidP="00BF58D5">
      <w:pPr>
        <w:pStyle w:val="ParaNum"/>
        <w:tabs>
          <w:tab w:val="num" w:pos="1350"/>
        </w:tabs>
        <w:ind w:left="-90"/>
        <w:rPr>
          <w:szCs w:val="22"/>
        </w:rPr>
      </w:pPr>
      <w:r w:rsidRPr="007F7B4B">
        <w:rPr>
          <w:szCs w:val="22"/>
        </w:rPr>
        <w:t>Together with the U.S. Department of Treasury, the Commission is taking further steps to meet the OMB Open Government Directive.</w:t>
      </w:r>
      <w:r w:rsidRPr="007F7B4B">
        <w:rPr>
          <w:rStyle w:val="FootnoteReference"/>
          <w:szCs w:val="22"/>
        </w:rPr>
        <w:footnoteReference w:id="102"/>
      </w:r>
      <w:r w:rsidRPr="007F7B4B">
        <w:rPr>
          <w:szCs w:val="22"/>
        </w:rPr>
        <w:t xml:space="preserve">  A component part of the Treasury’s current flagship initiative pursuant to this Directive is moving to a paperless Treasury, which includes related activities in both disbursing and collecting select federal government payments and receipts.</w:t>
      </w:r>
      <w:r w:rsidRPr="007F7B4B">
        <w:rPr>
          <w:rStyle w:val="FootnoteReference"/>
          <w:szCs w:val="22"/>
        </w:rPr>
        <w:footnoteReference w:id="103"/>
      </w:r>
      <w:r w:rsidRPr="007F7B4B">
        <w:rPr>
          <w:szCs w:val="22"/>
        </w:rPr>
        <w:t xml:space="preserve">  Going paperless is expected to produce cost savings, reduce errors, and improve efficiencies across government.  Accordingly, beginning on October 1, 2013, the Commission will no longer accept checks (including cashier’s checks) and the accompanying hardcopy forms (e.g., Form 159’s, Form 159-B’s, Form 159-E’s, Form 159-W’s) for the payment of regulatory fees.  This new paperless procedure will require that all payments be made by </w:t>
      </w:r>
      <w:r>
        <w:rPr>
          <w:szCs w:val="22"/>
        </w:rPr>
        <w:t xml:space="preserve">online ACH payment, online </w:t>
      </w:r>
      <w:r w:rsidRPr="007F7B4B">
        <w:rPr>
          <w:szCs w:val="22"/>
        </w:rPr>
        <w:t xml:space="preserve">credit card, </w:t>
      </w:r>
      <w:r>
        <w:rPr>
          <w:szCs w:val="22"/>
        </w:rPr>
        <w:t xml:space="preserve">or </w:t>
      </w:r>
      <w:r w:rsidRPr="007F7B4B">
        <w:rPr>
          <w:szCs w:val="22"/>
        </w:rPr>
        <w:t>wire transfer.  Any other form of payment (e.g., checks) will be rejected and sent back to the payor.</w:t>
      </w:r>
      <w:r>
        <w:rPr>
          <w:szCs w:val="22"/>
        </w:rPr>
        <w:t xml:space="preserve">  So that the Commission can associate the wire payment with the correct regulatory fee information, an accompanying Form 159-E should still be transmitted via fax for wire transfers.  </w:t>
      </w:r>
      <w:r w:rsidRPr="007F7B4B">
        <w:rPr>
          <w:szCs w:val="22"/>
        </w:rPr>
        <w:t xml:space="preserve">This change will affect all payments </w:t>
      </w:r>
      <w:r>
        <w:rPr>
          <w:szCs w:val="22"/>
        </w:rPr>
        <w:t xml:space="preserve">of </w:t>
      </w:r>
      <w:r w:rsidRPr="007F7B4B">
        <w:rPr>
          <w:szCs w:val="22"/>
        </w:rPr>
        <w:t>regulatory fees made on or after October 1, 2013.</w:t>
      </w:r>
      <w:r w:rsidRPr="007F7B4B">
        <w:rPr>
          <w:rStyle w:val="FootnoteReference"/>
          <w:szCs w:val="22"/>
        </w:rPr>
        <w:footnoteReference w:id="104"/>
      </w:r>
    </w:p>
    <w:p w:rsidR="00835624" w:rsidRPr="00BF58D5" w:rsidRDefault="00835624" w:rsidP="000023CE">
      <w:pPr>
        <w:pStyle w:val="Heading3"/>
        <w:rPr>
          <w:szCs w:val="22"/>
        </w:rPr>
      </w:pPr>
      <w:r w:rsidRPr="00BF58D5">
        <w:rPr>
          <w:szCs w:val="22"/>
        </w:rPr>
        <w:t>Transfers to Treasury, FY 2014</w:t>
      </w:r>
    </w:p>
    <w:p w:rsidR="005C4DA1" w:rsidRPr="007F7B4B" w:rsidRDefault="005C4DA1" w:rsidP="005C4DA1">
      <w:pPr>
        <w:pStyle w:val="ParaNum"/>
        <w:tabs>
          <w:tab w:val="num" w:pos="1350"/>
        </w:tabs>
        <w:ind w:left="-90"/>
        <w:rPr>
          <w:szCs w:val="22"/>
        </w:rPr>
      </w:pPr>
      <w:r w:rsidRPr="007F7B4B">
        <w:rPr>
          <w:szCs w:val="22"/>
        </w:rPr>
        <w:t xml:space="preserve">Under section 9 of the Act, Commission rules, and the debt collection laws, a licensee’s regulatory fee is due on the first day of the fiscal year and payable at a date established by our annual regulatory fee Report and Order. The Commission will work with Treasury to facilitate end-to-end billing and collections capabilities for our receivables in the pre-delinquency </w:t>
      </w:r>
      <w:r w:rsidR="00F017F0">
        <w:rPr>
          <w:szCs w:val="22"/>
        </w:rPr>
        <w:t xml:space="preserve">stage.  </w:t>
      </w:r>
      <w:r w:rsidRPr="007F7B4B">
        <w:rPr>
          <w:szCs w:val="22"/>
        </w:rPr>
        <w:t>Under these revised procedures, the Commission will begin transferring appropriate receivables (unpaid regulatory fees) to Treasury at the end of the payment period instead of waiting for a period of 180 days from the date of delinquency to transfer a delinquent debt to Treasury for further collection action.</w:t>
      </w:r>
      <w:r w:rsidRPr="007F7B4B">
        <w:rPr>
          <w:rStyle w:val="FootnoteReference"/>
          <w:szCs w:val="22"/>
        </w:rPr>
        <w:footnoteReference w:id="105"/>
      </w:r>
      <w:r w:rsidRPr="007F7B4B">
        <w:rPr>
          <w:szCs w:val="22"/>
        </w:rPr>
        <w:t xml:space="preserve">  Accordingly, we anticipate that the transfer of FY 2013 debts to Treasury will occur much sooner than our current process.  Regulatees, however, will not likely see any substantial change in the current procedures of how past due debts are to be paid.  The Commission expects to modify its guidance and amend its rules accordingly.</w:t>
      </w:r>
    </w:p>
    <w:p w:rsidR="00EF6EC1" w:rsidRPr="007F7B4B" w:rsidRDefault="00EF6EC1" w:rsidP="00EF6EC1">
      <w:pPr>
        <w:pStyle w:val="Heading1"/>
        <w:widowControl/>
        <w:rPr>
          <w:rFonts w:ascii="Times New Roman" w:hAnsi="Times New Roman"/>
          <w:szCs w:val="22"/>
        </w:rPr>
      </w:pPr>
      <w:r w:rsidRPr="007F7B4B">
        <w:rPr>
          <w:rFonts w:ascii="Times New Roman" w:hAnsi="Times New Roman"/>
          <w:szCs w:val="22"/>
        </w:rPr>
        <w:t>procedural matters</w:t>
      </w:r>
    </w:p>
    <w:p w:rsidR="00EF6EC1" w:rsidRPr="007F7B4B" w:rsidRDefault="00EF6EC1" w:rsidP="00021D5D">
      <w:pPr>
        <w:pStyle w:val="Heading2"/>
      </w:pPr>
      <w:r w:rsidRPr="007F7B4B">
        <w:t>Assessment Notifications</w:t>
      </w:r>
    </w:p>
    <w:p w:rsidR="00EF6EC1" w:rsidRPr="007F7B4B" w:rsidRDefault="00EF6EC1" w:rsidP="00EF6EC1">
      <w:pPr>
        <w:pStyle w:val="Heading3"/>
        <w:rPr>
          <w:szCs w:val="22"/>
        </w:rPr>
      </w:pPr>
      <w:bookmarkStart w:id="82" w:name="_Toc285458165"/>
      <w:bookmarkStart w:id="83" w:name="_Toc289263526"/>
      <w:bookmarkStart w:id="84" w:name="_Toc292177314"/>
      <w:bookmarkStart w:id="85" w:name="_Toc296691754"/>
      <w:bookmarkStart w:id="86" w:name="_Toc297116974"/>
      <w:bookmarkStart w:id="87" w:name="_Toc298752202"/>
      <w:bookmarkStart w:id="88" w:name="_Toc299091567"/>
      <w:bookmarkStart w:id="89" w:name="_Toc319681880"/>
      <w:bookmarkStart w:id="90" w:name="_Toc320103187"/>
      <w:bookmarkStart w:id="91" w:name="_Toc320615937"/>
      <w:bookmarkStart w:id="92" w:name="_Toc320616355"/>
      <w:bookmarkStart w:id="93" w:name="_Toc320616494"/>
      <w:bookmarkStart w:id="94" w:name="_Toc320632315"/>
      <w:bookmarkStart w:id="95" w:name="_Toc320632348"/>
      <w:bookmarkStart w:id="96" w:name="_Toc320639455"/>
      <w:bookmarkStart w:id="97" w:name="_Toc321130254"/>
      <w:bookmarkStart w:id="98" w:name="_Toc321301156"/>
      <w:bookmarkStart w:id="99" w:name="_Toc327344912"/>
      <w:bookmarkStart w:id="100" w:name="_Toc327454752"/>
      <w:bookmarkStart w:id="101" w:name="_Toc328052396"/>
      <w:bookmarkStart w:id="102" w:name="_Toc330473847"/>
      <w:r w:rsidRPr="007F7B4B">
        <w:rPr>
          <w:szCs w:val="22"/>
        </w:rPr>
        <w:t>CMRS Cellular and Mobile Services Assessments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7F7B4B">
        <w:rPr>
          <w:szCs w:val="22"/>
        </w:rPr>
        <w:t xml:space="preserve">   </w:t>
      </w:r>
    </w:p>
    <w:p w:rsidR="00EF6EC1" w:rsidRPr="007F7B4B" w:rsidRDefault="00F017F0" w:rsidP="00B23147">
      <w:pPr>
        <w:pStyle w:val="ParaNum"/>
        <w:tabs>
          <w:tab w:val="num" w:pos="1350"/>
        </w:tabs>
        <w:ind w:left="-90"/>
        <w:rPr>
          <w:szCs w:val="22"/>
        </w:rPr>
      </w:pPr>
      <w:r>
        <w:rPr>
          <w:szCs w:val="22"/>
        </w:rPr>
        <w:t>For regulatory fee collection in FY 2013, w</w:t>
      </w:r>
      <w:r w:rsidR="00EF6EC1" w:rsidRPr="007F7B4B">
        <w:rPr>
          <w:szCs w:val="22"/>
        </w:rPr>
        <w:t>e will continue to follow our current procedures for conveying CMRS subscriber counts to providers.  We will mail an initial assessment letter to Commercial Mobile Radio Service (CMRS) providers using data from the Numbering Resource Utilization Forecast (NRUF) report that is based on “assigned” number counts that have been adjusted for porting to net Type 0 ports (“in” and “out”).</w:t>
      </w:r>
      <w:r w:rsidR="00EF6EC1" w:rsidRPr="007F7B4B">
        <w:rPr>
          <w:rStyle w:val="FootnoteReference"/>
          <w:szCs w:val="22"/>
        </w:rPr>
        <w:footnoteReference w:id="106"/>
      </w:r>
      <w:r w:rsidR="00EF6EC1" w:rsidRPr="007F7B4B">
        <w:rPr>
          <w:szCs w:val="22"/>
        </w:rPr>
        <w:t xml:space="preserve">  The letter will include a listing of the carrier’s Operating Company Numbers (OCNs) upon which the assessment is based.</w:t>
      </w:r>
      <w:r w:rsidR="00EF6EC1" w:rsidRPr="007F7B4B">
        <w:rPr>
          <w:rStyle w:val="FootnoteReference"/>
          <w:szCs w:val="22"/>
        </w:rPr>
        <w:footnoteReference w:id="107"/>
      </w:r>
      <w:r w:rsidR="00EF6EC1" w:rsidRPr="007F7B4B">
        <w:rPr>
          <w:szCs w:val="22"/>
        </w:rPr>
        <w:t xml:space="preserve">  The letters will not include OCNs with their respective assigned number counts, but rather, an aggregate total of assigned numbers for each carrier.   </w:t>
      </w:r>
    </w:p>
    <w:p w:rsidR="00EF6EC1" w:rsidRPr="007F7B4B" w:rsidRDefault="00EF6EC1" w:rsidP="00B23147">
      <w:pPr>
        <w:pStyle w:val="ParaNum"/>
        <w:tabs>
          <w:tab w:val="num" w:pos="1350"/>
        </w:tabs>
        <w:ind w:left="-90"/>
        <w:rPr>
          <w:szCs w:val="22"/>
        </w:rPr>
      </w:pPr>
      <w:r w:rsidRPr="007F7B4B">
        <w:rPr>
          <w:szCs w:val="22"/>
        </w:rPr>
        <w:t>A carrier wishing to revise its subscriber count can do so by accessing Fee Filer after receiving its initial CMRS assessment letter.  Providers should follow the prompts in Fee Filer to record their subscriber revisions, along with any supporting documentation.</w:t>
      </w:r>
      <w:r w:rsidRPr="007F7B4B">
        <w:rPr>
          <w:rStyle w:val="FootnoteReference"/>
          <w:szCs w:val="22"/>
        </w:rPr>
        <w:footnoteReference w:id="108"/>
      </w:r>
      <w:r w:rsidRPr="007F7B4B">
        <w:rPr>
          <w:szCs w:val="22"/>
        </w:rPr>
        <w:t xml:space="preserve">  The Commission will then review the revised count and supporting documentation and either approve or disapprove the submission in Fee Filer.  If the submission is disapproved, the Commission will contact the provider to afford the provider an opportunity to discuss its revised subscriber count and/or provide additional supporting documentation.  If we receive no response or correction to the initial assessment letter, or we do not reverse our initial disapproval of the provider’s revised count submission, we expect the fee payment to be based on the number of subscribers listed on the initial assessment letter.  Once the timeframe for revision has passed, the subscriber counts are final and are the basis upon which CMRS regulatory fees are expected to be paid.  Providers can also view their final subscriber counts online in Fee Filer.  A final CMRS assessment letter will not be mailed out.        </w:t>
      </w:r>
    </w:p>
    <w:p w:rsidR="00EF6EC1" w:rsidRPr="007F7B4B" w:rsidRDefault="00EF6EC1" w:rsidP="00B23147">
      <w:pPr>
        <w:pStyle w:val="ParaNum"/>
        <w:tabs>
          <w:tab w:val="num" w:pos="1350"/>
        </w:tabs>
        <w:ind w:left="-90"/>
        <w:rPr>
          <w:szCs w:val="22"/>
        </w:rPr>
      </w:pPr>
      <w:r w:rsidRPr="007F7B4B">
        <w:rPr>
          <w:szCs w:val="22"/>
        </w:rPr>
        <w:t>Because some carriers do not file the NRUF report, they may not receive an initial assessment letter.  In these instances, the carriers should compute their fee payment using the standard methodology that is currently in place for CMRS Wireless services (</w:t>
      </w:r>
      <w:r w:rsidR="00DB6EA3">
        <w:rPr>
          <w:szCs w:val="22"/>
        </w:rPr>
        <w:t xml:space="preserve">i.e., </w:t>
      </w:r>
      <w:r w:rsidRPr="007F7B4B">
        <w:rPr>
          <w:szCs w:val="22"/>
        </w:rPr>
        <w:t xml:space="preserve"> compute their subscriber counts as of De</w:t>
      </w:r>
      <w:r w:rsidR="00AD79CC">
        <w:rPr>
          <w:szCs w:val="22"/>
        </w:rPr>
        <w:t>cember 31, 2012</w:t>
      </w:r>
      <w:r w:rsidRPr="007F7B4B">
        <w:rPr>
          <w:szCs w:val="22"/>
        </w:rPr>
        <w:t xml:space="preserve">), and submit their fee payment accordingly.  Whether a carrier receives an assessment letter or not, the Commission reserves the right to audit the number of subscribers for which regulatory fees are paid.  In the event that the Commission determines that the number of subscribers paid is inaccurate, the Commission will bill the carrier for the difference between what was paid and what should have been paid. </w:t>
      </w:r>
    </w:p>
    <w:p w:rsidR="00EF6EC1" w:rsidRPr="007F7B4B" w:rsidRDefault="00EF6EC1" w:rsidP="00021D5D">
      <w:pPr>
        <w:pStyle w:val="Heading2"/>
      </w:pPr>
      <w:bookmarkStart w:id="103" w:name="_Toc285458170"/>
      <w:bookmarkStart w:id="104" w:name="_Toc289263533"/>
      <w:bookmarkStart w:id="105" w:name="_Toc292177321"/>
      <w:bookmarkStart w:id="106" w:name="_Toc296691761"/>
      <w:bookmarkStart w:id="107" w:name="_Toc297116981"/>
      <w:bookmarkStart w:id="108" w:name="_Toc298752209"/>
      <w:bookmarkStart w:id="109" w:name="_Toc299091574"/>
      <w:bookmarkStart w:id="110" w:name="_Toc319681886"/>
      <w:bookmarkStart w:id="111" w:name="_Toc320103193"/>
      <w:bookmarkStart w:id="112" w:name="_Toc320615943"/>
      <w:bookmarkStart w:id="113" w:name="_Toc320616361"/>
      <w:bookmarkStart w:id="114" w:name="_Toc320616500"/>
      <w:bookmarkStart w:id="115" w:name="_Toc320632321"/>
      <w:bookmarkStart w:id="116" w:name="_Toc320632354"/>
      <w:bookmarkStart w:id="117" w:name="_Toc320639461"/>
      <w:bookmarkStart w:id="118" w:name="_Toc321130260"/>
      <w:bookmarkStart w:id="119" w:name="_Toc321301162"/>
      <w:bookmarkStart w:id="120" w:name="_Toc327344918"/>
      <w:bookmarkStart w:id="121" w:name="_Toc327454758"/>
      <w:bookmarkStart w:id="122" w:name="_Toc328052401"/>
      <w:bookmarkStart w:id="123" w:name="_Toc330473852"/>
      <w:r w:rsidRPr="007F7B4B">
        <w:t>Payment of Regulatory Fees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F6EC1" w:rsidRPr="007F7B4B" w:rsidRDefault="00EF6EC1" w:rsidP="00EF6EC1">
      <w:pPr>
        <w:pStyle w:val="Heading3"/>
        <w:rPr>
          <w:szCs w:val="22"/>
        </w:rPr>
      </w:pPr>
      <w:bookmarkStart w:id="124" w:name="_Toc285458171"/>
      <w:bookmarkStart w:id="125" w:name="_Toc289263534"/>
      <w:bookmarkStart w:id="126" w:name="_Toc292177322"/>
      <w:bookmarkStart w:id="127" w:name="_Toc296691762"/>
      <w:bookmarkStart w:id="128" w:name="_Toc297116982"/>
      <w:bookmarkStart w:id="129" w:name="_Toc298752210"/>
      <w:bookmarkStart w:id="130" w:name="_Toc299091575"/>
      <w:bookmarkStart w:id="131" w:name="_Toc319681887"/>
      <w:bookmarkStart w:id="132" w:name="_Toc320103194"/>
      <w:bookmarkStart w:id="133" w:name="_Toc320615944"/>
      <w:bookmarkStart w:id="134" w:name="_Toc320616362"/>
      <w:bookmarkStart w:id="135" w:name="_Toc320616501"/>
      <w:bookmarkStart w:id="136" w:name="_Toc320632322"/>
      <w:bookmarkStart w:id="137" w:name="_Toc320632355"/>
      <w:bookmarkStart w:id="138" w:name="_Toc320639462"/>
      <w:bookmarkStart w:id="139" w:name="_Toc321130261"/>
      <w:bookmarkStart w:id="140" w:name="_Toc321301163"/>
      <w:bookmarkStart w:id="141" w:name="_Toc327344919"/>
      <w:bookmarkStart w:id="142" w:name="_Toc327454759"/>
      <w:bookmarkStart w:id="143" w:name="_Toc328052402"/>
      <w:bookmarkStart w:id="144" w:name="_Toc330473853"/>
      <w:r w:rsidRPr="007F7B4B">
        <w:rPr>
          <w:szCs w:val="22"/>
        </w:rPr>
        <w:t>Lock Box Bank</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EF6EC1" w:rsidRPr="007F7B4B" w:rsidRDefault="00EF6EC1" w:rsidP="00FC341D">
      <w:pPr>
        <w:pStyle w:val="ParaNum"/>
        <w:tabs>
          <w:tab w:val="num" w:pos="1350"/>
        </w:tabs>
        <w:ind w:left="-90"/>
        <w:rPr>
          <w:szCs w:val="22"/>
        </w:rPr>
      </w:pPr>
      <w:r w:rsidRPr="007F7B4B">
        <w:rPr>
          <w:szCs w:val="22"/>
        </w:rPr>
        <w:t>All lock box payments to the Commission for FY 201</w:t>
      </w:r>
      <w:r w:rsidR="00AD79CC">
        <w:rPr>
          <w:szCs w:val="22"/>
        </w:rPr>
        <w:t>3</w:t>
      </w:r>
      <w:r w:rsidRPr="007F7B4B">
        <w:rPr>
          <w:szCs w:val="22"/>
        </w:rPr>
        <w:t xml:space="preserve"> will be processed by U.S. Bank, St. Louis, Missouri, and payable to the FCC.  During the fee season for collecting FY 201</w:t>
      </w:r>
      <w:r w:rsidR="00AD79CC">
        <w:rPr>
          <w:szCs w:val="22"/>
        </w:rPr>
        <w:t>3</w:t>
      </w:r>
      <w:r w:rsidRPr="007F7B4B">
        <w:rPr>
          <w:szCs w:val="22"/>
        </w:rPr>
        <w:t xml:space="preserve"> regulatory fees, regulatees can pay their fees by </w:t>
      </w:r>
      <w:r w:rsidRPr="004739BE">
        <w:t>credit</w:t>
      </w:r>
      <w:r w:rsidRPr="007F7B4B">
        <w:rPr>
          <w:szCs w:val="22"/>
        </w:rPr>
        <w:t xml:space="preserve"> card through Pay.gov,</w:t>
      </w:r>
      <w:r w:rsidRPr="007F7B4B">
        <w:rPr>
          <w:rStyle w:val="FootnoteReference"/>
          <w:szCs w:val="22"/>
        </w:rPr>
        <w:footnoteReference w:id="109"/>
      </w:r>
      <w:r w:rsidRPr="007F7B4B">
        <w:rPr>
          <w:szCs w:val="22"/>
        </w:rPr>
        <w:t xml:space="preserve"> by check, money order, or debit card,</w:t>
      </w:r>
      <w:r w:rsidRPr="007F7B4B">
        <w:rPr>
          <w:rStyle w:val="FootnoteReference"/>
          <w:szCs w:val="22"/>
        </w:rPr>
        <w:footnoteReference w:id="110"/>
      </w:r>
      <w:r w:rsidRPr="007F7B4B">
        <w:rPr>
          <w:szCs w:val="22"/>
        </w:rPr>
        <w:t xml:space="preserve"> or by placing their credit card number on Form 159-E (Remittance Advice form) and mailing their fee and accompanying Form 159-E to the following address:  Federal Communications Commission, Regulatory Fees, P.O. Box 979084, St. Louis, MO 63197-9000.  Additional payment options and instructions are posted at </w:t>
      </w:r>
      <w:hyperlink r:id="rId8" w:history="1">
        <w:r w:rsidRPr="001C6185">
          <w:rPr>
            <w:rStyle w:val="Hyperlink"/>
            <w:szCs w:val="22"/>
          </w:rPr>
          <w:t>http://transition.fcc.gov/fees/regfees.html</w:t>
        </w:r>
      </w:hyperlink>
      <w:r w:rsidRPr="007F7B4B">
        <w:rPr>
          <w:szCs w:val="22"/>
          <w:u w:val="single"/>
        </w:rPr>
        <w:t>.</w:t>
      </w:r>
      <w:r w:rsidRPr="007F7B4B">
        <w:rPr>
          <w:szCs w:val="22"/>
        </w:rPr>
        <w:t xml:space="preserve"> </w:t>
      </w:r>
    </w:p>
    <w:p w:rsidR="00EF6EC1" w:rsidRPr="007F7B4B" w:rsidRDefault="00EF6EC1" w:rsidP="00EF6EC1">
      <w:pPr>
        <w:pStyle w:val="Heading3"/>
        <w:rPr>
          <w:szCs w:val="22"/>
        </w:rPr>
      </w:pPr>
      <w:bookmarkStart w:id="145" w:name="_Toc285458172"/>
      <w:bookmarkStart w:id="146" w:name="_Toc289263535"/>
      <w:bookmarkStart w:id="147" w:name="_Toc292177323"/>
      <w:bookmarkStart w:id="148" w:name="_Toc296691763"/>
      <w:bookmarkStart w:id="149" w:name="_Toc297116983"/>
      <w:bookmarkStart w:id="150" w:name="_Toc298752211"/>
      <w:bookmarkStart w:id="151" w:name="_Toc299091576"/>
      <w:bookmarkStart w:id="152" w:name="_Toc319681888"/>
      <w:bookmarkStart w:id="153" w:name="_Toc320103195"/>
      <w:bookmarkStart w:id="154" w:name="_Toc320615945"/>
      <w:bookmarkStart w:id="155" w:name="_Toc320616363"/>
      <w:bookmarkStart w:id="156" w:name="_Toc320616502"/>
      <w:bookmarkStart w:id="157" w:name="_Toc320632323"/>
      <w:bookmarkStart w:id="158" w:name="_Toc320632356"/>
      <w:bookmarkStart w:id="159" w:name="_Toc320639463"/>
      <w:bookmarkStart w:id="160" w:name="_Toc321130262"/>
      <w:bookmarkStart w:id="161" w:name="_Toc321301164"/>
      <w:bookmarkStart w:id="162" w:name="_Toc327344920"/>
      <w:bookmarkStart w:id="163" w:name="_Toc327454760"/>
      <w:bookmarkStart w:id="164" w:name="_Toc328052403"/>
      <w:bookmarkStart w:id="165" w:name="_Toc330473854"/>
      <w:r w:rsidRPr="007F7B4B">
        <w:rPr>
          <w:szCs w:val="22"/>
        </w:rPr>
        <w:t>Receiving Bank for Wire Payments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EF6EC1" w:rsidRPr="007F7B4B" w:rsidRDefault="00EF6EC1" w:rsidP="00B23147">
      <w:pPr>
        <w:pStyle w:val="ParaNum"/>
        <w:tabs>
          <w:tab w:val="num" w:pos="1350"/>
        </w:tabs>
        <w:ind w:left="-90"/>
        <w:rPr>
          <w:szCs w:val="22"/>
        </w:rPr>
      </w:pPr>
      <w:r w:rsidRPr="007F7B4B">
        <w:rPr>
          <w:szCs w:val="22"/>
        </w:rPr>
        <w:t xml:space="preserve">The receiving bank for all wire payments is the Federal Reserve Bank, New York, New York (TREAS NYC).  When making a wire transfer, regulatees must fax a copy of their Fee Filer generated Form 159-E to U.S. Bank, St. Louis, Missouri at (314) 418-4232 at least one hour before initiating the wire transfer (but on the same business day) so as not to delay crediting their account.  Regulatees should discuss arrangements (including bank closing schedules) with their bankers several days before they plan to make the wire transfer to allow sufficient time for the transfer to be initiated and completed before the deadline.  Complete instructions for making wire payments are posted at </w:t>
      </w:r>
      <w:hyperlink r:id="rId9" w:tooltip="http://transition.fcc.gov/fees/wiretran.html" w:history="1">
        <w:r w:rsidRPr="007F7B4B">
          <w:rPr>
            <w:rStyle w:val="Hyperlink"/>
            <w:szCs w:val="22"/>
          </w:rPr>
          <w:t>http://transition.fcc.gov/fees/wiretran.html</w:t>
        </w:r>
      </w:hyperlink>
      <w:r w:rsidRPr="007F7B4B">
        <w:rPr>
          <w:rStyle w:val="Hyperlink"/>
          <w:szCs w:val="22"/>
        </w:rPr>
        <w:t>.</w:t>
      </w:r>
    </w:p>
    <w:p w:rsidR="00EF6EC1" w:rsidRPr="007F7B4B" w:rsidRDefault="00EF6EC1" w:rsidP="00EF6EC1">
      <w:pPr>
        <w:pStyle w:val="Heading3"/>
        <w:rPr>
          <w:szCs w:val="22"/>
        </w:rPr>
      </w:pPr>
      <w:bookmarkStart w:id="166" w:name="_Toc285458173"/>
      <w:bookmarkStart w:id="167" w:name="_Toc289263536"/>
      <w:bookmarkStart w:id="168" w:name="_Toc292177324"/>
      <w:bookmarkStart w:id="169" w:name="_Toc296691764"/>
      <w:bookmarkStart w:id="170" w:name="_Toc297116984"/>
      <w:bookmarkStart w:id="171" w:name="_Toc298752212"/>
      <w:bookmarkStart w:id="172" w:name="_Toc299091577"/>
      <w:bookmarkStart w:id="173" w:name="_Toc319681889"/>
      <w:bookmarkStart w:id="174" w:name="_Toc320103196"/>
      <w:bookmarkStart w:id="175" w:name="_Toc320615946"/>
      <w:bookmarkStart w:id="176" w:name="_Toc320616364"/>
      <w:bookmarkStart w:id="177" w:name="_Toc320616503"/>
      <w:bookmarkStart w:id="178" w:name="_Toc320632324"/>
      <w:bookmarkStart w:id="179" w:name="_Toc320632357"/>
      <w:bookmarkStart w:id="180" w:name="_Toc320639464"/>
      <w:bookmarkStart w:id="181" w:name="_Toc321130263"/>
      <w:bookmarkStart w:id="182" w:name="_Toc321301165"/>
      <w:bookmarkStart w:id="183" w:name="_Toc327344921"/>
      <w:bookmarkStart w:id="184" w:name="_Toc327454761"/>
      <w:bookmarkStart w:id="185" w:name="_Toc328052404"/>
      <w:bookmarkStart w:id="186" w:name="_Toc330473855"/>
      <w:r w:rsidRPr="007F7B4B">
        <w:rPr>
          <w:szCs w:val="22"/>
        </w:rPr>
        <w:t>De Minimis Regulatory Fees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EF6EC1" w:rsidRDefault="00EF6EC1" w:rsidP="000E1F2C">
      <w:pPr>
        <w:pStyle w:val="ParaNum"/>
        <w:widowControl/>
        <w:tabs>
          <w:tab w:val="num" w:pos="1350"/>
        </w:tabs>
        <w:ind w:left="-86"/>
        <w:rPr>
          <w:szCs w:val="22"/>
        </w:rPr>
      </w:pPr>
      <w:r w:rsidRPr="007F7B4B">
        <w:rPr>
          <w:szCs w:val="22"/>
        </w:rPr>
        <w:t>Regulatees whose total FY 201</w:t>
      </w:r>
      <w:r w:rsidR="00AD79CC">
        <w:rPr>
          <w:szCs w:val="22"/>
        </w:rPr>
        <w:t>3</w:t>
      </w:r>
      <w:r w:rsidRPr="007F7B4B">
        <w:rPr>
          <w:szCs w:val="22"/>
        </w:rPr>
        <w:t xml:space="preserve"> regulatory fee liability, including all categories of fees for which payment is due, is less than $10 are </w:t>
      </w:r>
      <w:r w:rsidR="00AD79CC">
        <w:rPr>
          <w:szCs w:val="22"/>
        </w:rPr>
        <w:t>exempted from payment of FY 2013</w:t>
      </w:r>
      <w:r w:rsidRPr="007F7B4B">
        <w:rPr>
          <w:szCs w:val="22"/>
        </w:rPr>
        <w:t xml:space="preserve"> regulatory fees.</w:t>
      </w:r>
    </w:p>
    <w:p w:rsidR="00C761A3" w:rsidRDefault="00C761A3" w:rsidP="00C761A3">
      <w:pPr>
        <w:pStyle w:val="Heading3"/>
        <w:rPr>
          <w:szCs w:val="22"/>
        </w:rPr>
      </w:pPr>
      <w:r>
        <w:rPr>
          <w:szCs w:val="22"/>
        </w:rPr>
        <w:t>Two Additional Fee Categories Will be Established as Bills in FY 2013</w:t>
      </w:r>
    </w:p>
    <w:p w:rsidR="00C761A3" w:rsidRPr="00C761A3" w:rsidRDefault="002629E0" w:rsidP="00C761A3">
      <w:pPr>
        <w:pStyle w:val="ParaNum"/>
      </w:pPr>
      <w:r>
        <w:t xml:space="preserve">Presently, </w:t>
      </w:r>
      <w:r w:rsidRPr="00EA107A">
        <w:t xml:space="preserve">the Commission </w:t>
      </w:r>
      <w:r>
        <w:t xml:space="preserve">establishes bills for a </w:t>
      </w:r>
      <w:r w:rsidRPr="00EA107A">
        <w:t xml:space="preserve">select </w:t>
      </w:r>
      <w:r>
        <w:t xml:space="preserve">group of </w:t>
      </w:r>
      <w:r w:rsidRPr="00EA107A">
        <w:t>regulatory fee cate</w:t>
      </w:r>
      <w:r>
        <w:t>gories:  ITSPs, Geostationary (</w:t>
      </w:r>
      <w:r w:rsidRPr="00EA107A">
        <w:t>GSO</w:t>
      </w:r>
      <w:r>
        <w:t>) and Non-Geostationary (</w:t>
      </w:r>
      <w:r w:rsidRPr="00EA107A">
        <w:t>NGSO) satellite space station licensees,</w:t>
      </w:r>
      <w:r w:rsidRPr="00EA107A">
        <w:rPr>
          <w:rStyle w:val="FootnoteReference"/>
          <w:szCs w:val="22"/>
        </w:rPr>
        <w:footnoteReference w:id="111"/>
      </w:r>
      <w:r w:rsidRPr="00EA107A">
        <w:t xml:space="preserve"> holders of C</w:t>
      </w:r>
      <w:r>
        <w:t>able Television Relay Service (</w:t>
      </w:r>
      <w:r w:rsidRPr="00EA107A">
        <w:t>CARS) licenses, and Earth Station licensees.</w:t>
      </w:r>
      <w:r w:rsidRPr="00EA107A">
        <w:rPr>
          <w:rStyle w:val="FootnoteReference"/>
          <w:szCs w:val="22"/>
        </w:rPr>
        <w:footnoteReference w:id="112"/>
      </w:r>
      <w:r w:rsidRPr="00EA107A">
        <w:t xml:space="preserve">  In FY 2009, the Commission stopped sending hardcopy bills to licensees, and made them electronically available in Fee Filer</w:t>
      </w:r>
      <w:r>
        <w:t>,</w:t>
      </w:r>
      <w:r w:rsidRPr="00EA107A">
        <w:t xml:space="preserve"> the Commission’s electronic filing and payment system.  </w:t>
      </w:r>
      <w:r>
        <w:t xml:space="preserve">During the FY 2013 regulatory fee collection period, </w:t>
      </w:r>
      <w:r w:rsidRPr="00EA107A">
        <w:t>the Commission will expand its number of billing categories to include BRS/LMDS and Television Stations.</w:t>
      </w:r>
      <w:r>
        <w:t xml:space="preserve">  There will be no change in the procedures of how BRS/LMDS and television station licensees view and pay their regulatory fees.  The only noticeable difference will be that a bill number will be associated with each record for the BRS/LMDS and television station fee categories.  This bill number will enable the Commission to determine more quickly those entities that have not paid their FY 2013 regulatory fees.  This initiative is part of the Commission’s effort to streamline and expedite the process of regulatory fee collection and accounting.</w:t>
      </w:r>
    </w:p>
    <w:p w:rsidR="00EF6EC1" w:rsidRPr="007F7B4B" w:rsidRDefault="00EF6EC1" w:rsidP="00EF6EC1">
      <w:pPr>
        <w:pStyle w:val="Heading3"/>
        <w:rPr>
          <w:szCs w:val="22"/>
        </w:rPr>
      </w:pPr>
      <w:bookmarkStart w:id="187" w:name="_Toc285458174"/>
      <w:bookmarkStart w:id="188" w:name="_Toc289263537"/>
      <w:bookmarkStart w:id="189" w:name="_Toc292177325"/>
      <w:bookmarkStart w:id="190" w:name="_Toc296691765"/>
      <w:bookmarkStart w:id="191" w:name="_Toc297116985"/>
      <w:bookmarkStart w:id="192" w:name="_Toc298752213"/>
      <w:bookmarkStart w:id="193" w:name="_Toc299091578"/>
      <w:bookmarkStart w:id="194" w:name="_Toc319681890"/>
      <w:bookmarkStart w:id="195" w:name="_Toc320103197"/>
      <w:bookmarkStart w:id="196" w:name="_Toc320615947"/>
      <w:bookmarkStart w:id="197" w:name="_Toc320616365"/>
      <w:bookmarkStart w:id="198" w:name="_Toc320616504"/>
      <w:bookmarkStart w:id="199" w:name="_Toc320632325"/>
      <w:bookmarkStart w:id="200" w:name="_Toc320632358"/>
      <w:bookmarkStart w:id="201" w:name="_Toc320639465"/>
      <w:bookmarkStart w:id="202" w:name="_Toc321130264"/>
      <w:bookmarkStart w:id="203" w:name="_Toc321301166"/>
      <w:bookmarkStart w:id="204" w:name="_Toc327344922"/>
      <w:bookmarkStart w:id="205" w:name="_Toc327454762"/>
      <w:bookmarkStart w:id="206" w:name="_Toc328052405"/>
      <w:bookmarkStart w:id="207" w:name="_Toc330473856"/>
      <w:r w:rsidRPr="007F7B4B">
        <w:rPr>
          <w:szCs w:val="22"/>
        </w:rPr>
        <w:t>Standard Fee Calculations and Payment Dates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EF6EC1" w:rsidRPr="007F7B4B" w:rsidRDefault="00EF6EC1" w:rsidP="00B23147">
      <w:pPr>
        <w:pStyle w:val="ParaNum"/>
        <w:tabs>
          <w:tab w:val="num" w:pos="1350"/>
        </w:tabs>
        <w:ind w:left="-90"/>
        <w:rPr>
          <w:szCs w:val="22"/>
        </w:rPr>
      </w:pPr>
      <w:r w:rsidRPr="007F7B4B">
        <w:rPr>
          <w:szCs w:val="22"/>
        </w:rPr>
        <w:t>The Commission will accept fee payments made in advance of the window for the payment of regulatory fees.  The responsibility for payment of fees by service category is as follows:</w:t>
      </w:r>
    </w:p>
    <w:p w:rsidR="00EF6EC1" w:rsidRPr="007F7B4B" w:rsidRDefault="00EF6EC1" w:rsidP="00823E18">
      <w:pPr>
        <w:numPr>
          <w:ilvl w:val="0"/>
          <w:numId w:val="7"/>
        </w:numPr>
        <w:rPr>
          <w:szCs w:val="22"/>
        </w:rPr>
      </w:pPr>
      <w:r w:rsidRPr="007F7B4B">
        <w:rPr>
          <w:i/>
          <w:szCs w:val="22"/>
        </w:rPr>
        <w:t>Media Services</w:t>
      </w:r>
      <w:r w:rsidRPr="007F7B4B">
        <w:rPr>
          <w:szCs w:val="22"/>
        </w:rPr>
        <w:t>:  Regulatory fees must be paid for initial construction permits that were granted on or before October 1, 201</w:t>
      </w:r>
      <w:r w:rsidR="00FD670D">
        <w:rPr>
          <w:szCs w:val="22"/>
        </w:rPr>
        <w:t>2</w:t>
      </w:r>
      <w:r w:rsidRPr="007F7B4B">
        <w:rPr>
          <w:szCs w:val="22"/>
        </w:rPr>
        <w:t xml:space="preserve"> for AM/FM radio stations, VHF/UHF full service television stations, and satellite television stations.  Regulatory fees must be paid for all broadcast facility licenses granted on or before October 1, 201</w:t>
      </w:r>
      <w:r w:rsidR="00FD670D">
        <w:rPr>
          <w:szCs w:val="22"/>
        </w:rPr>
        <w:t>2</w:t>
      </w:r>
      <w:r w:rsidRPr="007F7B4B">
        <w:rPr>
          <w:szCs w:val="22"/>
        </w:rPr>
        <w:t>.  In instances where a permit or license is transferred or assigned after October 1, 201</w:t>
      </w:r>
      <w:r w:rsidR="00821EA3">
        <w:rPr>
          <w:szCs w:val="22"/>
        </w:rPr>
        <w:t>2</w:t>
      </w:r>
      <w:r w:rsidRPr="007F7B4B">
        <w:rPr>
          <w:szCs w:val="22"/>
        </w:rPr>
        <w:t>, responsibility for payment rests with the holder of the permit or license as of the fee due date.</w:t>
      </w:r>
    </w:p>
    <w:p w:rsidR="00EF6EC1" w:rsidRPr="007F7B4B" w:rsidRDefault="00EF6EC1" w:rsidP="00EF6EC1">
      <w:pPr>
        <w:ind w:left="450"/>
        <w:rPr>
          <w:szCs w:val="22"/>
        </w:rPr>
      </w:pPr>
    </w:p>
    <w:p w:rsidR="00EF6EC1" w:rsidRPr="007F7B4B" w:rsidRDefault="00EF6EC1" w:rsidP="00823E18">
      <w:pPr>
        <w:numPr>
          <w:ilvl w:val="0"/>
          <w:numId w:val="7"/>
        </w:numPr>
        <w:rPr>
          <w:szCs w:val="22"/>
        </w:rPr>
      </w:pPr>
      <w:r w:rsidRPr="007F7B4B">
        <w:rPr>
          <w:i/>
          <w:szCs w:val="22"/>
        </w:rPr>
        <w:t>Wireline (Common Carrier) Services</w:t>
      </w:r>
      <w:r w:rsidRPr="007F7B4B">
        <w:rPr>
          <w:szCs w:val="22"/>
        </w:rPr>
        <w:t>:  Regulatory fees must be paid for authorizations that were granted on or before October 1, 201</w:t>
      </w:r>
      <w:r w:rsidR="00821EA3">
        <w:rPr>
          <w:szCs w:val="22"/>
        </w:rPr>
        <w:t>2</w:t>
      </w:r>
      <w:r w:rsidRPr="007F7B4B">
        <w:rPr>
          <w:szCs w:val="22"/>
        </w:rPr>
        <w:t>.  In instances where a permit or license is transferred or assigned after October 1, 201</w:t>
      </w:r>
      <w:r w:rsidR="00821EA3">
        <w:rPr>
          <w:szCs w:val="22"/>
        </w:rPr>
        <w:t>2</w:t>
      </w:r>
      <w:r w:rsidRPr="007F7B4B">
        <w:rPr>
          <w:szCs w:val="22"/>
        </w:rPr>
        <w:t xml:space="preserve">, responsibility for payment rests with the holder of the permit or license as of the fee due date.  </w:t>
      </w:r>
      <w:r w:rsidR="008309CE">
        <w:rPr>
          <w:szCs w:val="22"/>
        </w:rPr>
        <w:t>A</w:t>
      </w:r>
      <w:r w:rsidRPr="007F7B4B">
        <w:rPr>
          <w:szCs w:val="22"/>
        </w:rPr>
        <w:t>udio bridging service providers are included in this category.</w:t>
      </w:r>
      <w:r w:rsidRPr="007F7B4B">
        <w:rPr>
          <w:rStyle w:val="FootnoteReference"/>
          <w:szCs w:val="22"/>
        </w:rPr>
        <w:footnoteReference w:id="113"/>
      </w:r>
    </w:p>
    <w:p w:rsidR="00EF6EC1" w:rsidRPr="007F7B4B" w:rsidRDefault="00EF6EC1" w:rsidP="00EF6EC1">
      <w:pPr>
        <w:ind w:left="450"/>
        <w:rPr>
          <w:szCs w:val="22"/>
        </w:rPr>
      </w:pPr>
    </w:p>
    <w:p w:rsidR="00EF6EC1" w:rsidRPr="007F7B4B" w:rsidRDefault="00EF6EC1" w:rsidP="00823E18">
      <w:pPr>
        <w:numPr>
          <w:ilvl w:val="0"/>
          <w:numId w:val="7"/>
        </w:numPr>
        <w:rPr>
          <w:szCs w:val="22"/>
        </w:rPr>
      </w:pPr>
      <w:r w:rsidRPr="007F7B4B">
        <w:rPr>
          <w:i/>
          <w:szCs w:val="22"/>
        </w:rPr>
        <w:t>Wireless Services</w:t>
      </w:r>
      <w:r w:rsidRPr="007F7B4B">
        <w:rPr>
          <w:szCs w:val="22"/>
        </w:rPr>
        <w:t>:  CMRS cellular, mobile, and messaging services (fees based on number of subscribers or telephone number count):  Regulatory fees must be paid for authorizations that were granted on or before October 1, 201</w:t>
      </w:r>
      <w:r w:rsidR="00821EA3">
        <w:rPr>
          <w:szCs w:val="22"/>
        </w:rPr>
        <w:t>2</w:t>
      </w:r>
      <w:r w:rsidRPr="007F7B4B">
        <w:rPr>
          <w:szCs w:val="22"/>
        </w:rPr>
        <w:t>.  The number of subscribers, units, or telephone numbers on December 31, 201</w:t>
      </w:r>
      <w:r w:rsidR="00AD79CC">
        <w:rPr>
          <w:szCs w:val="22"/>
        </w:rPr>
        <w:t>2</w:t>
      </w:r>
      <w:r w:rsidRPr="007F7B4B">
        <w:rPr>
          <w:szCs w:val="22"/>
        </w:rPr>
        <w:t xml:space="preserve"> will be used as the basis from which to calculate the fee payment.  In instances where a permit or license is transferred or assigned after October 1, 201</w:t>
      </w:r>
      <w:r w:rsidR="00821EA3">
        <w:rPr>
          <w:szCs w:val="22"/>
        </w:rPr>
        <w:t>2</w:t>
      </w:r>
      <w:r w:rsidRPr="007F7B4B">
        <w:rPr>
          <w:szCs w:val="22"/>
        </w:rPr>
        <w:t xml:space="preserve">, responsibility for payment rests with the holder of the permit or license as of the fee due date.  </w:t>
      </w:r>
    </w:p>
    <w:p w:rsidR="00EF6EC1" w:rsidRPr="007F7B4B" w:rsidRDefault="00EF6EC1" w:rsidP="00EF6EC1">
      <w:pPr>
        <w:ind w:left="450"/>
        <w:jc w:val="both"/>
        <w:rPr>
          <w:szCs w:val="22"/>
        </w:rPr>
      </w:pPr>
    </w:p>
    <w:p w:rsidR="00EF6EC1" w:rsidRPr="007F7B4B" w:rsidRDefault="00EF6EC1" w:rsidP="00823E18">
      <w:pPr>
        <w:numPr>
          <w:ilvl w:val="0"/>
          <w:numId w:val="7"/>
        </w:numPr>
        <w:rPr>
          <w:szCs w:val="22"/>
        </w:rPr>
      </w:pPr>
      <w:r w:rsidRPr="007F7B4B">
        <w:rPr>
          <w:szCs w:val="22"/>
        </w:rPr>
        <w:t>The first eleven regulatory fee categories in our Schedule of Regulatory Fees (</w:t>
      </w:r>
      <w:r w:rsidRPr="007F7B4B">
        <w:rPr>
          <w:i/>
          <w:szCs w:val="22"/>
        </w:rPr>
        <w:t>see</w:t>
      </w:r>
      <w:r w:rsidRPr="007F7B4B">
        <w:rPr>
          <w:szCs w:val="22"/>
        </w:rPr>
        <w:t xml:space="preserve"> Attachment C) pay “small multi-year wireless regulatory fees.”  Entities pay these regulatory fees in advance for the entire amount of their five-year or ten-year term of initial license, and only pay regulatory fees again when the license is renewed or a new license is obtained.  We include these fee categories in our Schedule of Regulatory Fees to publicize our estimates of the number of “small multi-year wireless” licenses that will be renewed or newly obtained in FY 2013. </w:t>
      </w:r>
    </w:p>
    <w:p w:rsidR="00EF6EC1" w:rsidRPr="007F7B4B" w:rsidRDefault="00EF6EC1" w:rsidP="00EF6EC1">
      <w:pPr>
        <w:ind w:left="450"/>
        <w:jc w:val="both"/>
        <w:rPr>
          <w:szCs w:val="22"/>
        </w:rPr>
      </w:pPr>
    </w:p>
    <w:p w:rsidR="00EF6EC1" w:rsidRPr="007F7B4B" w:rsidRDefault="00EF6EC1" w:rsidP="0042179F">
      <w:pPr>
        <w:widowControl/>
        <w:numPr>
          <w:ilvl w:val="0"/>
          <w:numId w:val="7"/>
        </w:numPr>
        <w:ind w:left="806"/>
        <w:rPr>
          <w:szCs w:val="22"/>
        </w:rPr>
      </w:pPr>
      <w:r w:rsidRPr="007F7B4B">
        <w:rPr>
          <w:i/>
          <w:szCs w:val="22"/>
        </w:rPr>
        <w:t>Multichannel Video Programming Distributor Services (cable television operators and CARS licensees)</w:t>
      </w:r>
      <w:r w:rsidRPr="007F7B4B">
        <w:rPr>
          <w:szCs w:val="22"/>
        </w:rPr>
        <w:t>:  Regulatory fees must be paid for the number of basic cable television subscribers as of December 31, 2012.</w:t>
      </w:r>
      <w:r w:rsidRPr="007F7B4B">
        <w:rPr>
          <w:szCs w:val="22"/>
          <w:vertAlign w:val="superscript"/>
        </w:rPr>
        <w:footnoteReference w:id="114"/>
      </w:r>
      <w:r w:rsidRPr="007F7B4B">
        <w:rPr>
          <w:szCs w:val="22"/>
        </w:rPr>
        <w:t xml:space="preserve">  Regulatory fees also must be paid for CARS licenses that were granted on or before October 1, 201</w:t>
      </w:r>
      <w:r w:rsidR="00821EA3">
        <w:rPr>
          <w:szCs w:val="22"/>
        </w:rPr>
        <w:t>2</w:t>
      </w:r>
      <w:r w:rsidRPr="007F7B4B">
        <w:rPr>
          <w:szCs w:val="22"/>
        </w:rPr>
        <w:t xml:space="preserve">.  In instances where a permit or license is transferred or assigned after October 1, 2012, responsibility for payment rests with the holder of the permit or license as of the fee due date.  </w:t>
      </w:r>
    </w:p>
    <w:p w:rsidR="00EF6EC1" w:rsidRPr="007F7B4B" w:rsidRDefault="00EF6EC1" w:rsidP="00EF6EC1">
      <w:pPr>
        <w:tabs>
          <w:tab w:val="left" w:pos="2160"/>
        </w:tabs>
        <w:jc w:val="both"/>
        <w:rPr>
          <w:szCs w:val="22"/>
        </w:rPr>
      </w:pPr>
    </w:p>
    <w:p w:rsidR="00EF6EC1" w:rsidRPr="007F7B4B" w:rsidRDefault="00EF6EC1" w:rsidP="00823E18">
      <w:pPr>
        <w:pStyle w:val="ParaNum"/>
        <w:numPr>
          <w:ilvl w:val="0"/>
          <w:numId w:val="7"/>
        </w:numPr>
        <w:rPr>
          <w:szCs w:val="22"/>
        </w:rPr>
      </w:pPr>
      <w:r w:rsidRPr="007F7B4B">
        <w:rPr>
          <w:i/>
          <w:szCs w:val="22"/>
        </w:rPr>
        <w:t>International Services:</w:t>
      </w:r>
      <w:r w:rsidRPr="007F7B4B">
        <w:rPr>
          <w:szCs w:val="22"/>
        </w:rPr>
        <w:t xml:space="preserve">  Regulatory fees must be paid for earth stations, geostationary orbit space stations</w:t>
      </w:r>
      <w:r w:rsidR="000C2DA1">
        <w:rPr>
          <w:szCs w:val="22"/>
        </w:rPr>
        <w:t>,</w:t>
      </w:r>
      <w:r w:rsidRPr="007F7B4B">
        <w:rPr>
          <w:szCs w:val="22"/>
        </w:rPr>
        <w:t xml:space="preserve"> and non-geostationary orbit satellite systems that were licensed and operational on or before October 1, 201</w:t>
      </w:r>
      <w:r w:rsidR="00821EA3">
        <w:rPr>
          <w:szCs w:val="22"/>
        </w:rPr>
        <w:t>2</w:t>
      </w:r>
      <w:r w:rsidRPr="007F7B4B">
        <w:rPr>
          <w:szCs w:val="22"/>
        </w:rPr>
        <w:t>.  In instances where a permit or license is transferred or assigned after October 1, 201</w:t>
      </w:r>
      <w:r w:rsidR="00821EA3">
        <w:rPr>
          <w:szCs w:val="22"/>
        </w:rPr>
        <w:t>2</w:t>
      </w:r>
      <w:r w:rsidRPr="007F7B4B">
        <w:rPr>
          <w:szCs w:val="22"/>
        </w:rPr>
        <w:t>, responsibility for payment rests with the holder of the permit or license as of the fee due date.</w:t>
      </w:r>
    </w:p>
    <w:p w:rsidR="00EF6EC1" w:rsidRPr="007F7B4B" w:rsidRDefault="00EF6EC1" w:rsidP="00823E18">
      <w:pPr>
        <w:pStyle w:val="ParaNum"/>
        <w:numPr>
          <w:ilvl w:val="0"/>
          <w:numId w:val="7"/>
        </w:numPr>
        <w:rPr>
          <w:szCs w:val="22"/>
        </w:rPr>
      </w:pPr>
      <w:r w:rsidRPr="007F7B4B">
        <w:rPr>
          <w:i/>
          <w:szCs w:val="22"/>
        </w:rPr>
        <w:t xml:space="preserve">International Services: Submarine Cable Systems:  </w:t>
      </w:r>
      <w:r w:rsidRPr="007F7B4B">
        <w:rPr>
          <w:szCs w:val="22"/>
        </w:rPr>
        <w:t>Regulatory fees for submarine cable systems are to be paid on a per cable landing license basis based on circuit capacity as of December 31, 2012.  In instances where a license is transferred o</w:t>
      </w:r>
      <w:r w:rsidR="00AD79CC">
        <w:rPr>
          <w:szCs w:val="22"/>
        </w:rPr>
        <w:t>r assigned after October 1, 201</w:t>
      </w:r>
      <w:r w:rsidR="00821EA3">
        <w:rPr>
          <w:szCs w:val="22"/>
        </w:rPr>
        <w:t>2</w:t>
      </w:r>
      <w:r w:rsidRPr="007F7B4B">
        <w:rPr>
          <w:szCs w:val="22"/>
        </w:rPr>
        <w:t xml:space="preserve">, responsibility for payment rests with the holder of the license as of the fee due date.  For regulatory fee purposes, the allocation in FY 2013 will remain at 87.6 percent for submarine cable and 12.4 percent for satellite/terrestrial facilities. </w:t>
      </w:r>
    </w:p>
    <w:p w:rsidR="00EF6EC1" w:rsidRPr="007F7B4B" w:rsidRDefault="00EF6EC1" w:rsidP="00823E18">
      <w:pPr>
        <w:pStyle w:val="ParaNum"/>
        <w:numPr>
          <w:ilvl w:val="0"/>
          <w:numId w:val="7"/>
        </w:numPr>
        <w:rPr>
          <w:szCs w:val="22"/>
        </w:rPr>
      </w:pPr>
      <w:r w:rsidRPr="007F7B4B">
        <w:rPr>
          <w:i/>
          <w:szCs w:val="22"/>
        </w:rPr>
        <w:t>International Services: Terrestrial and Satellite Services</w:t>
      </w:r>
      <w:r w:rsidRPr="007F7B4B">
        <w:rPr>
          <w:szCs w:val="22"/>
        </w:rPr>
        <w:t xml:space="preserve">:  </w:t>
      </w:r>
      <w:r w:rsidR="000C2DA1">
        <w:rPr>
          <w:szCs w:val="22"/>
        </w:rPr>
        <w:t>R</w:t>
      </w:r>
      <w:r w:rsidRPr="007F7B4B">
        <w:rPr>
          <w:szCs w:val="22"/>
        </w:rPr>
        <w:t>egulatory fees for International Bearer Circuits are to be paid by facilities-based common carriers that have active (used or leased) international bearer circuits as of December 31, 2012 in any terrestrial or satellite transmission facility for the provision of service to an end user or resale carrier, which includes active circuits to themselves or to their affiliates.  In addition, non-common carrier satellite operators must pay a fee for each circuit sold or leased to any customer, including themselves or their affiliates, other than an international common carrier authorized by the Commission to provide U.S. international common carrier services.  “Active circuits” for these purposes include backup and redundant circuits as of December 31, 2012.  Whether circuits are used specifically for voice or data is not relevant for purposes of determining that they are active circuits.  In instances where a permit or license is transferred or assigned after October 1, 201</w:t>
      </w:r>
      <w:r w:rsidR="00821EA3">
        <w:rPr>
          <w:szCs w:val="22"/>
        </w:rPr>
        <w:t>2</w:t>
      </w:r>
      <w:r w:rsidRPr="007F7B4B">
        <w:rPr>
          <w:szCs w:val="22"/>
        </w:rPr>
        <w:t xml:space="preserve">, responsibility for payment rests with the holder of the permit or license as of the fee due date.  For regulatory fee purposes, the allocation in FY 2013 will remain at 87.6 percent for submarine cable and 12.4 percent for satellite/terrestrial facilities.  </w:t>
      </w:r>
    </w:p>
    <w:p w:rsidR="00EF6EC1" w:rsidRPr="007F7B4B" w:rsidRDefault="00EF6EC1" w:rsidP="00021D5D">
      <w:pPr>
        <w:pStyle w:val="Heading2"/>
      </w:pPr>
      <w:bookmarkStart w:id="208" w:name="_Toc285458175"/>
      <w:bookmarkStart w:id="209" w:name="_Toc289263538"/>
      <w:bookmarkStart w:id="210" w:name="_Toc292177326"/>
      <w:bookmarkStart w:id="211" w:name="_Toc296691766"/>
      <w:bookmarkStart w:id="212" w:name="_Toc297116986"/>
      <w:bookmarkStart w:id="213" w:name="_Toc298752214"/>
      <w:bookmarkStart w:id="214" w:name="_Toc299091579"/>
      <w:bookmarkStart w:id="215" w:name="_Toc319681891"/>
      <w:bookmarkStart w:id="216" w:name="_Toc320103198"/>
      <w:bookmarkStart w:id="217" w:name="_Toc320615948"/>
      <w:bookmarkStart w:id="218" w:name="_Toc320616366"/>
      <w:bookmarkStart w:id="219" w:name="_Toc320616505"/>
      <w:bookmarkStart w:id="220" w:name="_Toc320632326"/>
      <w:bookmarkStart w:id="221" w:name="_Toc320632359"/>
      <w:bookmarkStart w:id="222" w:name="_Toc320639466"/>
      <w:bookmarkStart w:id="223" w:name="_Toc321130265"/>
      <w:bookmarkStart w:id="224" w:name="_Toc321301167"/>
      <w:bookmarkStart w:id="225" w:name="_Toc327344923"/>
      <w:bookmarkStart w:id="226" w:name="_Toc327454763"/>
      <w:bookmarkStart w:id="227" w:name="_Toc328052406"/>
      <w:bookmarkStart w:id="228" w:name="_Toc330473857"/>
      <w:r w:rsidRPr="007F7B4B">
        <w:t>Enforcement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EF6EC1" w:rsidRPr="007F7B4B" w:rsidRDefault="00EF6EC1" w:rsidP="00B23147">
      <w:pPr>
        <w:pStyle w:val="ParaNum"/>
        <w:tabs>
          <w:tab w:val="num" w:pos="1350"/>
        </w:tabs>
        <w:ind w:left="-90"/>
        <w:rPr>
          <w:szCs w:val="22"/>
        </w:rPr>
      </w:pPr>
      <w:r w:rsidRPr="007F7B4B">
        <w:rPr>
          <w:szCs w:val="22"/>
        </w:rPr>
        <w:t>To be considered timely, regulatory fee payments must be received and stamped at the lockbox bank by the due date of regulatory fees.  Section 9(c) of the Act requires us to impose a late payment penalty of 25 percent of the unpaid amount to be assessed on the first day following the deadline date for filing of these fees.</w:t>
      </w:r>
      <w:r w:rsidRPr="007F7B4B">
        <w:rPr>
          <w:rStyle w:val="FootnoteReference"/>
          <w:szCs w:val="22"/>
        </w:rPr>
        <w:footnoteReference w:id="115"/>
      </w:r>
      <w:r w:rsidRPr="007F7B4B">
        <w:rPr>
          <w:szCs w:val="22"/>
        </w:rPr>
        <w:t xml:space="preserve">  Failure to pay regulatory fees and/or any late penalty will subject regulatees to sanctions, including those set forth in section 1.1910 of the Commission’s </w:t>
      </w:r>
      <w:r w:rsidR="00AD79CC">
        <w:rPr>
          <w:szCs w:val="22"/>
        </w:rPr>
        <w:t>r</w:t>
      </w:r>
      <w:r w:rsidRPr="007F7B4B">
        <w:rPr>
          <w:szCs w:val="22"/>
        </w:rPr>
        <w:t>ules</w:t>
      </w:r>
      <w:r w:rsidRPr="007F7B4B">
        <w:rPr>
          <w:rStyle w:val="FootnoteReference"/>
          <w:szCs w:val="22"/>
        </w:rPr>
        <w:footnoteReference w:id="116"/>
      </w:r>
      <w:r w:rsidRPr="007F7B4B">
        <w:rPr>
          <w:szCs w:val="22"/>
        </w:rPr>
        <w:t xml:space="preserve"> and in the Debt Collection Improvement Act of 1996 (DCIA).</w:t>
      </w:r>
      <w:r w:rsidRPr="007F7B4B">
        <w:rPr>
          <w:rStyle w:val="FootnoteReference"/>
          <w:szCs w:val="22"/>
        </w:rPr>
        <w:footnoteReference w:id="117"/>
      </w:r>
      <w:r w:rsidRPr="007F7B4B">
        <w:rPr>
          <w:szCs w:val="22"/>
        </w:rPr>
        <w:t xml:space="preserve">  We also assess administrative processing charges on delinquent debts to recover additional costs incurred in processing and handling the related debt pursuant to the DCIA and section 1.1940(d) of the Commission’s </w:t>
      </w:r>
      <w:r w:rsidR="00AD79CC">
        <w:rPr>
          <w:szCs w:val="22"/>
        </w:rPr>
        <w:t>r</w:t>
      </w:r>
      <w:r w:rsidRPr="007F7B4B">
        <w:rPr>
          <w:szCs w:val="22"/>
        </w:rPr>
        <w:t>ules.</w:t>
      </w:r>
      <w:r w:rsidRPr="007F7B4B">
        <w:rPr>
          <w:rStyle w:val="FootnoteReference"/>
          <w:szCs w:val="22"/>
        </w:rPr>
        <w:footnoteReference w:id="118"/>
      </w:r>
      <w:r w:rsidRPr="007F7B4B">
        <w:rPr>
          <w:szCs w:val="22"/>
        </w:rPr>
        <w:t xml:space="preserve">  These administrative processing charges will be assessed on any delinquent regulatory fee, in addition to the 25 percent late charge penalty.  In case of partial payments (underpayments) of regulatory fees, the payor will be given credit for the amount paid, but if it is later determined that the fee paid is incorrect or not timely paid, then the 25 percent late charge penalty (and other charges and/or sanctions, as appropriate) will be assessed on the portion that is not paid in a timely manner.</w:t>
      </w:r>
    </w:p>
    <w:p w:rsidR="00EF6EC1" w:rsidRDefault="00EF6EC1" w:rsidP="00B23147">
      <w:pPr>
        <w:pStyle w:val="ParaNum"/>
        <w:tabs>
          <w:tab w:val="num" w:pos="1350"/>
        </w:tabs>
        <w:ind w:left="-90"/>
        <w:rPr>
          <w:szCs w:val="22"/>
        </w:rPr>
      </w:pPr>
      <w:r w:rsidRPr="007F7B4B">
        <w:rPr>
          <w:szCs w:val="22"/>
        </w:rPr>
        <w:t>We will withhold action on any applications or other requests for benefits filed by anyone who is delinquent in any non-tax debts owed to the Commission (including regulatory fees) and will ultimately dismiss those applications or other requests if payment of the delinquent debt or other satisfactory arrangement for payment is not made.</w:t>
      </w:r>
      <w:r w:rsidRPr="007F7B4B">
        <w:rPr>
          <w:rStyle w:val="FootnoteReference"/>
          <w:szCs w:val="22"/>
        </w:rPr>
        <w:footnoteReference w:id="119"/>
      </w:r>
      <w:r w:rsidRPr="007F7B4B">
        <w:rPr>
          <w:szCs w:val="22"/>
        </w:rPr>
        <w:t xml:space="preserve">  Failure to pay regulatory fees can also result in the initiation of a proceeding to revoke any and all authorizations held by the entity responsible for paying the delinquent fee(s).</w:t>
      </w:r>
    </w:p>
    <w:p w:rsidR="00C53451" w:rsidRPr="007F7B4B" w:rsidRDefault="00C53451" w:rsidP="00B23147">
      <w:pPr>
        <w:pStyle w:val="ParaNum"/>
        <w:tabs>
          <w:tab w:val="num" w:pos="1350"/>
        </w:tabs>
        <w:ind w:left="-90"/>
        <w:rPr>
          <w:szCs w:val="22"/>
        </w:rPr>
      </w:pPr>
      <w:r>
        <w:rPr>
          <w:szCs w:val="22"/>
        </w:rPr>
        <w:t>As a final matter, we note that providing a 30 day period after Federal Register publication before this Report and Order becomes effective as required by 5 U.S.C. § 553(d) will not allow sufficient time for the Commission to collect the FY 2013 fees before the end of FY 2013 on September 30, 2013.  For this reason, pursuant to 5 U.S.C. § 553(d)(3) the Commission finds there is good cause to waive the requirements of Section 553(d), and this Report and Order will become effective upon publication in the Federal Register.  Because payments of the regulatory fees will not actually be due until the middle of September persons affected by this Order will still have a reasonable period in which to prepare to make their payments and thereby comply with the rules established herein.</w:t>
      </w:r>
    </w:p>
    <w:p w:rsidR="00EF6EC1" w:rsidRPr="007F7B4B" w:rsidRDefault="00EF6EC1" w:rsidP="00021D5D">
      <w:pPr>
        <w:pStyle w:val="Heading2"/>
      </w:pPr>
      <w:r w:rsidRPr="007F7B4B">
        <w:t>Final Regulatory Flexibility Analysis</w:t>
      </w:r>
    </w:p>
    <w:p w:rsidR="00EF6EC1" w:rsidRDefault="00956A14" w:rsidP="00EF6EC1">
      <w:pPr>
        <w:pStyle w:val="ParaNum"/>
        <w:tabs>
          <w:tab w:val="num" w:pos="1350"/>
        </w:tabs>
        <w:ind w:left="-90"/>
        <w:rPr>
          <w:szCs w:val="22"/>
        </w:rPr>
      </w:pPr>
      <w:r>
        <w:t>As required by the Regulatory Flexibility Act of 1980 (RFA),</w:t>
      </w:r>
      <w:r>
        <w:rPr>
          <w:rStyle w:val="FootnoteReference"/>
        </w:rPr>
        <w:footnoteReference w:id="120"/>
      </w:r>
      <w:r>
        <w:t xml:space="preserve"> the Commission has prepared a Final Regulatory Flexibility Analysis (FRFA) relating to this Report and Order.  The </w:t>
      </w:r>
      <w:r w:rsidR="00EF6EC1" w:rsidRPr="007F7B4B">
        <w:rPr>
          <w:szCs w:val="22"/>
        </w:rPr>
        <w:t xml:space="preserve">FRFA is contained in Attachment </w:t>
      </w:r>
      <w:r w:rsidR="008E7210">
        <w:rPr>
          <w:szCs w:val="22"/>
        </w:rPr>
        <w:t>F.</w:t>
      </w:r>
      <w:r w:rsidR="00EF6EC1" w:rsidRPr="007F7B4B">
        <w:rPr>
          <w:szCs w:val="22"/>
        </w:rPr>
        <w:t xml:space="preserve"> </w:t>
      </w:r>
    </w:p>
    <w:p w:rsidR="00C3626E" w:rsidRPr="00C3626E" w:rsidRDefault="00BF0F71" w:rsidP="00C3626E">
      <w:pPr>
        <w:pStyle w:val="Heading2"/>
      </w:pPr>
      <w:r w:rsidRPr="00021D5D">
        <w:t>Final Paperwork Reduction Act of 1995 Analysis</w:t>
      </w:r>
    </w:p>
    <w:p w:rsidR="00C3626E" w:rsidRPr="005E5EFB" w:rsidRDefault="00BF0F71" w:rsidP="00B16900">
      <w:pPr>
        <w:pStyle w:val="ParaNum"/>
        <w:ind w:left="-90"/>
        <w:rPr>
          <w:szCs w:val="22"/>
        </w:rPr>
      </w:pPr>
      <w:r w:rsidRPr="000001F0">
        <w:t xml:space="preserve">This document does not contain new or modified information collection requirements subject to the Paperwork Reduction Act of 1995 (PRA), Public Law 104-13. </w:t>
      </w:r>
      <w:r>
        <w:t xml:space="preserve"> </w:t>
      </w:r>
      <w:r w:rsidRPr="000001F0">
        <w:t xml:space="preserve">In addition, therefore, it does not contain any new or modified information collection burden for small business concerns with fewer than 25 employees, pursuant to the Small Business Paperwork Relief Act of 2002, Public Law 107-198, </w:t>
      </w:r>
      <w:r w:rsidRPr="00461256">
        <w:rPr>
          <w:i/>
          <w:iCs/>
        </w:rPr>
        <w:t xml:space="preserve">see </w:t>
      </w:r>
      <w:r w:rsidRPr="000001F0">
        <w:t>44 U.S.C. 3506(c)(4).</w:t>
      </w:r>
    </w:p>
    <w:p w:rsidR="005E5EFB" w:rsidRPr="00B16900" w:rsidRDefault="005E5EFB" w:rsidP="00B16900">
      <w:pPr>
        <w:pStyle w:val="Heading2"/>
        <w:rPr>
          <w:b w:val="0"/>
          <w:color w:val="000000"/>
        </w:rPr>
      </w:pPr>
      <w:r>
        <w:rPr>
          <w:bCs/>
        </w:rPr>
        <w:t>Congressional Review Act.</w:t>
      </w:r>
    </w:p>
    <w:p w:rsidR="005E5EFB" w:rsidRDefault="005E5EFB" w:rsidP="005E5EFB">
      <w:pPr>
        <w:pStyle w:val="ParaNum"/>
        <w:rPr>
          <w:color w:val="000000"/>
        </w:rPr>
      </w:pPr>
      <w:r>
        <w:t>The Commission will send a copy of this Report &amp; Order to Congress and the Government Accountability Office pursuant to the Congressional Review Act</w:t>
      </w:r>
      <w:r w:rsidR="004A6CCA">
        <w:t xml:space="preserve">, </w:t>
      </w:r>
      <w:r w:rsidR="00827AAA">
        <w:rPr>
          <w:i/>
        </w:rPr>
        <w:t>see</w:t>
      </w:r>
      <w:r w:rsidR="004A6CCA">
        <w:rPr>
          <w:i/>
        </w:rPr>
        <w:t xml:space="preserve"> </w:t>
      </w:r>
      <w:r>
        <w:t xml:space="preserve">5 U.S.C. 801(a)(1)(A).  </w:t>
      </w:r>
    </w:p>
    <w:p w:rsidR="00863A53" w:rsidRPr="007F7B4B" w:rsidRDefault="00863A53" w:rsidP="00836FF4">
      <w:pPr>
        <w:pStyle w:val="Heading1"/>
        <w:widowControl/>
        <w:rPr>
          <w:rFonts w:ascii="Times New Roman" w:hAnsi="Times New Roman"/>
          <w:szCs w:val="22"/>
        </w:rPr>
      </w:pPr>
      <w:bookmarkStart w:id="229" w:name="_Toc351484775"/>
      <w:bookmarkStart w:id="230" w:name="_Toc351484821"/>
      <w:bookmarkStart w:id="231" w:name="_Toc351484963"/>
      <w:bookmarkStart w:id="232" w:name="_Toc351571072"/>
      <w:bookmarkStart w:id="233" w:name="_Toc353032062"/>
      <w:bookmarkStart w:id="234" w:name="_Toc351572436"/>
      <w:bookmarkStart w:id="235" w:name="_Toc352943195"/>
      <w:bookmarkStart w:id="236" w:name="_Toc352943644"/>
      <w:bookmarkStart w:id="237" w:name="_Toc353987739"/>
      <w:bookmarkEnd w:id="65"/>
      <w:bookmarkEnd w:id="66"/>
      <w:bookmarkEnd w:id="67"/>
      <w:bookmarkEnd w:id="68"/>
      <w:r w:rsidRPr="007F7B4B">
        <w:rPr>
          <w:rFonts w:ascii="Times New Roman" w:hAnsi="Times New Roman"/>
          <w:szCs w:val="22"/>
        </w:rPr>
        <w:t>Conclusion</w:t>
      </w:r>
      <w:bookmarkEnd w:id="229"/>
      <w:bookmarkEnd w:id="230"/>
      <w:bookmarkEnd w:id="231"/>
      <w:bookmarkEnd w:id="232"/>
      <w:bookmarkEnd w:id="233"/>
      <w:bookmarkEnd w:id="234"/>
      <w:bookmarkEnd w:id="235"/>
      <w:bookmarkEnd w:id="236"/>
      <w:bookmarkEnd w:id="237"/>
    </w:p>
    <w:p w:rsidR="00F6184B" w:rsidRPr="007F7B4B" w:rsidRDefault="00E561EE" w:rsidP="00B23147">
      <w:pPr>
        <w:pStyle w:val="ParaNum"/>
        <w:tabs>
          <w:tab w:val="num" w:pos="1350"/>
        </w:tabs>
        <w:ind w:left="-90"/>
        <w:rPr>
          <w:szCs w:val="22"/>
        </w:rPr>
      </w:pPr>
      <w:r w:rsidRPr="007F7B4B">
        <w:rPr>
          <w:szCs w:val="22"/>
        </w:rPr>
        <w:t xml:space="preserve">In this Report and Order we reallocate regulatory fees to more accurately reflect the subject areas worked on by current Commission FTEs for FY 2013.  We consider this our first step toward reforming the regulatory fee process and will continue to refine our regulatory fee methodology </w:t>
      </w:r>
      <w:r w:rsidR="007B2FBD" w:rsidRPr="007F7B4B">
        <w:rPr>
          <w:szCs w:val="22"/>
        </w:rPr>
        <w:t>to achieve equitable results that are consistent with section 9 of the Act</w:t>
      </w:r>
      <w:r w:rsidRPr="007F7B4B">
        <w:rPr>
          <w:szCs w:val="22"/>
        </w:rPr>
        <w:t>.</w:t>
      </w:r>
    </w:p>
    <w:p w:rsidR="00863A53" w:rsidRPr="007F7B4B" w:rsidRDefault="00863A53" w:rsidP="00A52CA4">
      <w:pPr>
        <w:pStyle w:val="Heading1"/>
        <w:rPr>
          <w:rFonts w:ascii="Times New Roman" w:hAnsi="Times New Roman"/>
          <w:szCs w:val="22"/>
        </w:rPr>
      </w:pPr>
      <w:bookmarkStart w:id="238" w:name="_Toc351484777"/>
      <w:bookmarkStart w:id="239" w:name="_Toc351484823"/>
      <w:bookmarkStart w:id="240" w:name="_Toc351484965"/>
      <w:bookmarkStart w:id="241" w:name="_Toc351571074"/>
      <w:bookmarkStart w:id="242" w:name="_Toc353032064"/>
      <w:bookmarkStart w:id="243" w:name="_Toc351572438"/>
      <w:bookmarkStart w:id="244" w:name="_Toc352943197"/>
      <w:bookmarkStart w:id="245" w:name="_Toc352943646"/>
      <w:bookmarkStart w:id="246" w:name="_Toc353987741"/>
      <w:r w:rsidRPr="007F7B4B">
        <w:rPr>
          <w:rFonts w:ascii="Times New Roman" w:hAnsi="Times New Roman"/>
          <w:szCs w:val="22"/>
        </w:rPr>
        <w:t>ORDERING CLAUSES</w:t>
      </w:r>
      <w:bookmarkEnd w:id="238"/>
      <w:bookmarkEnd w:id="239"/>
      <w:bookmarkEnd w:id="240"/>
      <w:bookmarkEnd w:id="241"/>
      <w:bookmarkEnd w:id="242"/>
      <w:bookmarkEnd w:id="243"/>
      <w:bookmarkEnd w:id="244"/>
      <w:bookmarkEnd w:id="245"/>
      <w:bookmarkEnd w:id="246"/>
    </w:p>
    <w:p w:rsidR="00863A53" w:rsidRDefault="00863A53" w:rsidP="00333068">
      <w:pPr>
        <w:pStyle w:val="ParaNum"/>
        <w:tabs>
          <w:tab w:val="num" w:pos="1350"/>
        </w:tabs>
        <w:ind w:left="-90"/>
        <w:rPr>
          <w:szCs w:val="22"/>
        </w:rPr>
      </w:pPr>
      <w:r w:rsidRPr="007F7B4B">
        <w:rPr>
          <w:szCs w:val="22"/>
        </w:rPr>
        <w:t xml:space="preserve">Accordingly, </w:t>
      </w:r>
      <w:r w:rsidRPr="007F7B4B">
        <w:rPr>
          <w:b/>
          <w:szCs w:val="22"/>
        </w:rPr>
        <w:t>IT IS ORDERED</w:t>
      </w:r>
      <w:r w:rsidRPr="007F7B4B">
        <w:rPr>
          <w:szCs w:val="22"/>
        </w:rPr>
        <w:t xml:space="preserve"> that, pursuant to Sections 4(i) and (j), 9, and 303(r) of the Communications Act of 1934, as amended, 47 U.S.C. §§ 154(i), 154(j), 159, and 303(r), this</w:t>
      </w:r>
      <w:r w:rsidR="004B4EAD" w:rsidRPr="007F7B4B">
        <w:rPr>
          <w:szCs w:val="22"/>
        </w:rPr>
        <w:t xml:space="preserve"> Report and Order </w:t>
      </w:r>
      <w:r w:rsidR="004B4EAD" w:rsidRPr="007F7B4B">
        <w:rPr>
          <w:b/>
          <w:szCs w:val="22"/>
        </w:rPr>
        <w:t>IS</w:t>
      </w:r>
      <w:r w:rsidRPr="007F7B4B">
        <w:rPr>
          <w:b/>
          <w:szCs w:val="22"/>
        </w:rPr>
        <w:t xml:space="preserve"> HEREBY ADOPTED</w:t>
      </w:r>
      <w:r w:rsidRPr="007F7B4B">
        <w:rPr>
          <w:szCs w:val="22"/>
        </w:rPr>
        <w:t>.</w:t>
      </w:r>
    </w:p>
    <w:p w:rsidR="00F912AF" w:rsidRDefault="00F912AF" w:rsidP="00333068">
      <w:pPr>
        <w:pStyle w:val="ParaNum"/>
        <w:tabs>
          <w:tab w:val="num" w:pos="1350"/>
        </w:tabs>
        <w:ind w:left="-90"/>
        <w:rPr>
          <w:szCs w:val="22"/>
        </w:rPr>
      </w:pPr>
      <w:r>
        <w:rPr>
          <w:b/>
          <w:szCs w:val="22"/>
        </w:rPr>
        <w:t xml:space="preserve">IT IS FURTHER ORDERED </w:t>
      </w:r>
      <w:r>
        <w:rPr>
          <w:szCs w:val="22"/>
        </w:rPr>
        <w:t>that, as provided in paragraph 5</w:t>
      </w:r>
      <w:r w:rsidR="004A6CCA">
        <w:rPr>
          <w:szCs w:val="22"/>
        </w:rPr>
        <w:t>6</w:t>
      </w:r>
      <w:r>
        <w:rPr>
          <w:szCs w:val="22"/>
        </w:rPr>
        <w:t xml:space="preserve">, this Report and Order </w:t>
      </w:r>
      <w:r w:rsidRPr="00B16900">
        <w:rPr>
          <w:b/>
          <w:szCs w:val="22"/>
        </w:rPr>
        <w:t>SHALL BE EFFECTIVE</w:t>
      </w:r>
      <w:r>
        <w:rPr>
          <w:szCs w:val="22"/>
        </w:rPr>
        <w:t xml:space="preserve"> upon publication in the Federal Register.</w:t>
      </w:r>
    </w:p>
    <w:p w:rsidR="00863A53" w:rsidRPr="007F7B4B" w:rsidRDefault="00863A53" w:rsidP="00333068">
      <w:pPr>
        <w:pStyle w:val="ParaNum"/>
        <w:tabs>
          <w:tab w:val="num" w:pos="1350"/>
        </w:tabs>
        <w:ind w:left="-90"/>
        <w:rPr>
          <w:szCs w:val="22"/>
        </w:rPr>
      </w:pPr>
      <w:r w:rsidRPr="007F7B4B">
        <w:rPr>
          <w:b/>
          <w:szCs w:val="22"/>
        </w:rPr>
        <w:t xml:space="preserve">IT IS FURTHER ORDERED </w:t>
      </w:r>
      <w:r w:rsidRPr="007F7B4B">
        <w:rPr>
          <w:szCs w:val="22"/>
        </w:rPr>
        <w:t xml:space="preserve">that the Commission’s Consumer and Governmental Affairs Bureau, Reference Information Center, </w:t>
      </w:r>
      <w:r w:rsidRPr="007F7B4B">
        <w:rPr>
          <w:b/>
          <w:szCs w:val="22"/>
        </w:rPr>
        <w:t>SHALL SEND</w:t>
      </w:r>
      <w:r w:rsidRPr="007F7B4B">
        <w:rPr>
          <w:szCs w:val="22"/>
        </w:rPr>
        <w:t xml:space="preserve"> a copy of this </w:t>
      </w:r>
      <w:r w:rsidR="004B4EAD" w:rsidRPr="007F7B4B">
        <w:rPr>
          <w:szCs w:val="22"/>
        </w:rPr>
        <w:t>Report and Order</w:t>
      </w:r>
      <w:r w:rsidRPr="007F7B4B">
        <w:rPr>
          <w:szCs w:val="22"/>
        </w:rPr>
        <w:t xml:space="preserve">, including the </w:t>
      </w:r>
      <w:r w:rsidR="004B4EAD" w:rsidRPr="007F7B4B">
        <w:rPr>
          <w:szCs w:val="22"/>
        </w:rPr>
        <w:t>Final</w:t>
      </w:r>
      <w:r w:rsidRPr="007F7B4B">
        <w:rPr>
          <w:szCs w:val="22"/>
        </w:rPr>
        <w:t xml:space="preserve"> Regulatory Flexibility Analysis in Attachment </w:t>
      </w:r>
      <w:r w:rsidR="008E7210">
        <w:rPr>
          <w:szCs w:val="22"/>
        </w:rPr>
        <w:t>F,</w:t>
      </w:r>
      <w:r w:rsidRPr="007F7B4B">
        <w:rPr>
          <w:szCs w:val="22"/>
        </w:rPr>
        <w:t xml:space="preserve"> to the Chief Counsel for Advocacy of the U.S. Small Business Administration.</w:t>
      </w:r>
    </w:p>
    <w:p w:rsidR="00863A53" w:rsidRPr="007F7B4B" w:rsidRDefault="00863A53" w:rsidP="00A1103B">
      <w:pPr>
        <w:pStyle w:val="Heading1"/>
        <w:numPr>
          <w:ilvl w:val="0"/>
          <w:numId w:val="0"/>
        </w:numPr>
        <w:ind w:left="720" w:hanging="720"/>
        <w:rPr>
          <w:rFonts w:ascii="Times New Roman" w:hAnsi="Times New Roman"/>
          <w:szCs w:val="22"/>
        </w:rPr>
      </w:pPr>
    </w:p>
    <w:p w:rsidR="00863A53" w:rsidRPr="007F7B4B" w:rsidRDefault="000E1F2C" w:rsidP="000E1F2C">
      <w:pPr>
        <w:pStyle w:val="Paranum0"/>
        <w:numPr>
          <w:ilvl w:val="0"/>
          <w:numId w:val="0"/>
        </w:numPr>
        <w:spacing w:after="0"/>
        <w:jc w:val="left"/>
        <w:rPr>
          <w:szCs w:val="22"/>
        </w:rPr>
      </w:pPr>
      <w:r>
        <w:rPr>
          <w:szCs w:val="22"/>
        </w:rPr>
        <w:t xml:space="preserve"> </w:t>
      </w:r>
      <w:r>
        <w:rPr>
          <w:szCs w:val="22"/>
        </w:rPr>
        <w:tab/>
      </w:r>
      <w:r>
        <w:rPr>
          <w:szCs w:val="22"/>
        </w:rPr>
        <w:tab/>
      </w:r>
      <w:r>
        <w:rPr>
          <w:szCs w:val="22"/>
        </w:rPr>
        <w:tab/>
      </w:r>
      <w:r>
        <w:rPr>
          <w:szCs w:val="22"/>
        </w:rPr>
        <w:tab/>
      </w:r>
      <w:r>
        <w:rPr>
          <w:szCs w:val="22"/>
        </w:rPr>
        <w:tab/>
      </w:r>
      <w:r w:rsidR="00863A53" w:rsidRPr="007F7B4B">
        <w:rPr>
          <w:szCs w:val="22"/>
        </w:rPr>
        <w:t>FEDERAL COMMUNICATIONS COMMISSION</w:t>
      </w:r>
    </w:p>
    <w:p w:rsidR="00863A53" w:rsidRPr="007F7B4B" w:rsidRDefault="00863A53" w:rsidP="000E1F2C">
      <w:pPr>
        <w:pStyle w:val="Paranum0"/>
        <w:numPr>
          <w:ilvl w:val="0"/>
          <w:numId w:val="0"/>
        </w:numPr>
        <w:spacing w:after="0"/>
        <w:jc w:val="left"/>
        <w:rPr>
          <w:szCs w:val="22"/>
        </w:rPr>
      </w:pPr>
    </w:p>
    <w:p w:rsidR="00863A53" w:rsidRPr="007F7B4B" w:rsidRDefault="00863A53" w:rsidP="000E1F2C">
      <w:pPr>
        <w:pStyle w:val="Paranum0"/>
        <w:numPr>
          <w:ilvl w:val="0"/>
          <w:numId w:val="0"/>
        </w:numPr>
        <w:spacing w:after="0"/>
        <w:jc w:val="left"/>
        <w:rPr>
          <w:szCs w:val="22"/>
        </w:rPr>
      </w:pPr>
    </w:p>
    <w:p w:rsidR="00863A53" w:rsidRPr="007F7B4B" w:rsidRDefault="00863A53" w:rsidP="000E1F2C">
      <w:pPr>
        <w:tabs>
          <w:tab w:val="left" w:pos="1440"/>
        </w:tabs>
        <w:suppressAutoHyphens/>
        <w:spacing w:line="240" w:lineRule="atLeast"/>
        <w:rPr>
          <w:spacing w:val="-2"/>
          <w:szCs w:val="22"/>
        </w:rPr>
      </w:pPr>
    </w:p>
    <w:p w:rsidR="00863A53" w:rsidRPr="007F7B4B" w:rsidRDefault="00863A53" w:rsidP="000E1F2C">
      <w:pPr>
        <w:tabs>
          <w:tab w:val="left" w:pos="1440"/>
        </w:tabs>
        <w:suppressAutoHyphens/>
        <w:spacing w:line="240" w:lineRule="atLeast"/>
        <w:rPr>
          <w:spacing w:val="-2"/>
          <w:szCs w:val="22"/>
        </w:rPr>
      </w:pPr>
    </w:p>
    <w:p w:rsidR="00863A53" w:rsidRPr="007F7B4B" w:rsidRDefault="00863A53" w:rsidP="000E1F2C">
      <w:pPr>
        <w:suppressAutoHyphens/>
        <w:spacing w:line="240" w:lineRule="atLeast"/>
        <w:rPr>
          <w:spacing w:val="-2"/>
          <w:szCs w:val="22"/>
        </w:rPr>
      </w:pPr>
      <w:r w:rsidRPr="007F7B4B">
        <w:rPr>
          <w:spacing w:val="-2"/>
          <w:szCs w:val="22"/>
        </w:rPr>
        <w:tab/>
      </w:r>
      <w:r w:rsidRPr="007F7B4B">
        <w:rPr>
          <w:spacing w:val="-2"/>
          <w:szCs w:val="22"/>
        </w:rPr>
        <w:tab/>
      </w:r>
      <w:r w:rsidRPr="007F7B4B">
        <w:rPr>
          <w:spacing w:val="-2"/>
          <w:szCs w:val="22"/>
        </w:rPr>
        <w:tab/>
      </w:r>
      <w:r w:rsidRPr="007F7B4B">
        <w:rPr>
          <w:spacing w:val="-2"/>
          <w:szCs w:val="22"/>
        </w:rPr>
        <w:tab/>
      </w:r>
      <w:r w:rsidRPr="007F7B4B">
        <w:rPr>
          <w:spacing w:val="-2"/>
          <w:szCs w:val="22"/>
        </w:rPr>
        <w:tab/>
      </w:r>
      <w:r w:rsidR="000E1F2C">
        <w:rPr>
          <w:spacing w:val="-2"/>
          <w:szCs w:val="22"/>
        </w:rPr>
        <w:tab/>
      </w:r>
      <w:r w:rsidRPr="007F7B4B">
        <w:rPr>
          <w:spacing w:val="-2"/>
          <w:szCs w:val="22"/>
        </w:rPr>
        <w:t>Marlene H. Dor</w:t>
      </w:r>
      <w:r w:rsidR="008E0F5B" w:rsidRPr="007F7B4B">
        <w:rPr>
          <w:spacing w:val="-2"/>
          <w:szCs w:val="22"/>
        </w:rPr>
        <w:t>t</w:t>
      </w:r>
      <w:r w:rsidRPr="007F7B4B">
        <w:rPr>
          <w:spacing w:val="-2"/>
          <w:szCs w:val="22"/>
        </w:rPr>
        <w:t>ch</w:t>
      </w:r>
    </w:p>
    <w:p w:rsidR="00925F51" w:rsidRPr="007F7B4B" w:rsidRDefault="00863A53" w:rsidP="000E1F2C">
      <w:pPr>
        <w:suppressAutoHyphens/>
        <w:spacing w:line="240" w:lineRule="atLeast"/>
        <w:rPr>
          <w:szCs w:val="22"/>
        </w:rPr>
      </w:pPr>
      <w:r w:rsidRPr="007F7B4B">
        <w:rPr>
          <w:szCs w:val="22"/>
        </w:rPr>
        <w:tab/>
      </w:r>
      <w:r w:rsidRPr="007F7B4B">
        <w:rPr>
          <w:szCs w:val="22"/>
        </w:rPr>
        <w:tab/>
      </w:r>
      <w:r w:rsidRPr="007F7B4B">
        <w:rPr>
          <w:szCs w:val="22"/>
        </w:rPr>
        <w:tab/>
      </w:r>
      <w:r w:rsidRPr="007F7B4B">
        <w:rPr>
          <w:szCs w:val="22"/>
        </w:rPr>
        <w:tab/>
      </w:r>
      <w:r w:rsidRPr="007F7B4B">
        <w:rPr>
          <w:szCs w:val="22"/>
        </w:rPr>
        <w:tab/>
      </w:r>
      <w:r w:rsidR="000E1F2C">
        <w:rPr>
          <w:szCs w:val="22"/>
        </w:rPr>
        <w:tab/>
      </w:r>
      <w:r w:rsidRPr="007F7B4B">
        <w:rPr>
          <w:szCs w:val="22"/>
        </w:rPr>
        <w:t>Secretary</w:t>
      </w:r>
    </w:p>
    <w:p w:rsidR="00515BD9" w:rsidRDefault="00515BD9">
      <w:pPr>
        <w:tabs>
          <w:tab w:val="left" w:pos="1440"/>
        </w:tabs>
        <w:suppressAutoHyphens/>
        <w:spacing w:line="240" w:lineRule="atLeast"/>
        <w:ind w:firstLine="720"/>
        <w:jc w:val="center"/>
        <w:rPr>
          <w:szCs w:val="22"/>
        </w:rPr>
      </w:pPr>
      <w:r>
        <w:rPr>
          <w:szCs w:val="22"/>
        </w:rPr>
        <w:br w:type="page"/>
      </w:r>
      <w:r w:rsidR="00D2439D" w:rsidRPr="0042179F">
        <w:rPr>
          <w:rFonts w:ascii="Times New Roman Bold" w:hAnsi="Times New Roman Bold"/>
          <w:b/>
          <w:caps/>
          <w:szCs w:val="22"/>
        </w:rPr>
        <w:t>A</w:t>
      </w:r>
      <w:r w:rsidR="003D2779" w:rsidRPr="0042179F">
        <w:rPr>
          <w:rFonts w:ascii="Times New Roman Bold" w:hAnsi="Times New Roman Bold"/>
          <w:b/>
          <w:caps/>
          <w:szCs w:val="22"/>
        </w:rPr>
        <w:t>ttachment</w:t>
      </w:r>
      <w:r w:rsidR="003D2779">
        <w:rPr>
          <w:b/>
          <w:szCs w:val="22"/>
        </w:rPr>
        <w:t xml:space="preserve"> A</w:t>
      </w:r>
    </w:p>
    <w:p w:rsidR="00A11977" w:rsidRDefault="00A11977" w:rsidP="00515BD9">
      <w:pPr>
        <w:tabs>
          <w:tab w:val="left" w:pos="1440"/>
        </w:tabs>
        <w:suppressAutoHyphens/>
        <w:spacing w:line="240" w:lineRule="atLeast"/>
        <w:ind w:firstLine="720"/>
        <w:jc w:val="center"/>
        <w:rPr>
          <w:szCs w:val="22"/>
        </w:rPr>
      </w:pPr>
    </w:p>
    <w:p w:rsidR="00E12B7C" w:rsidRDefault="00AE4063" w:rsidP="00AE4063">
      <w:pPr>
        <w:tabs>
          <w:tab w:val="left" w:pos="1440"/>
        </w:tabs>
        <w:suppressAutoHyphens/>
        <w:spacing w:line="240" w:lineRule="atLeast"/>
        <w:ind w:firstLine="720"/>
        <w:jc w:val="center"/>
        <w:rPr>
          <w:b/>
          <w:szCs w:val="22"/>
        </w:rPr>
      </w:pPr>
      <w:r w:rsidRPr="00A11977">
        <w:rPr>
          <w:b/>
          <w:szCs w:val="22"/>
        </w:rPr>
        <w:t>List of Commenters</w:t>
      </w:r>
      <w:r w:rsidR="00AD79CC">
        <w:rPr>
          <w:b/>
          <w:szCs w:val="22"/>
        </w:rPr>
        <w:t>—</w:t>
      </w:r>
      <w:r w:rsidR="00E12B7C">
        <w:rPr>
          <w:b/>
          <w:szCs w:val="22"/>
        </w:rPr>
        <w:t>Initial Comments</w:t>
      </w:r>
    </w:p>
    <w:p w:rsidR="00A11977" w:rsidRDefault="00A11977" w:rsidP="00AE4063">
      <w:pPr>
        <w:tabs>
          <w:tab w:val="left" w:pos="1440"/>
        </w:tabs>
        <w:suppressAutoHyphens/>
        <w:spacing w:line="240" w:lineRule="atLeast"/>
        <w:ind w:firstLine="720"/>
        <w:jc w:val="center"/>
        <w:rPr>
          <w:b/>
          <w:szCs w:val="22"/>
        </w:rPr>
      </w:pPr>
    </w:p>
    <w:tbl>
      <w:tblPr>
        <w:tblStyle w:val="TableGrid"/>
        <w:tblW w:w="0" w:type="auto"/>
        <w:tblLook w:val="04A0" w:firstRow="1" w:lastRow="0" w:firstColumn="1" w:lastColumn="0" w:noHBand="0" w:noVBand="1"/>
      </w:tblPr>
      <w:tblGrid>
        <w:gridCol w:w="4788"/>
        <w:gridCol w:w="4788"/>
      </w:tblGrid>
      <w:tr w:rsidR="00A11977" w:rsidTr="00A11977">
        <w:tc>
          <w:tcPr>
            <w:tcW w:w="4788" w:type="dxa"/>
          </w:tcPr>
          <w:p w:rsidR="00A11977" w:rsidRPr="0016737B" w:rsidRDefault="00A11977" w:rsidP="00AE4063">
            <w:pPr>
              <w:tabs>
                <w:tab w:val="left" w:pos="1440"/>
              </w:tabs>
              <w:suppressAutoHyphens/>
              <w:spacing w:line="240" w:lineRule="atLeast"/>
              <w:jc w:val="center"/>
              <w:rPr>
                <w:rFonts w:ascii="Times New Roman" w:hAnsi="Times New Roman" w:cs="Times New Roman"/>
                <w:b/>
              </w:rPr>
            </w:pPr>
            <w:r w:rsidRPr="0016737B">
              <w:rPr>
                <w:rFonts w:ascii="Times New Roman" w:hAnsi="Times New Roman" w:cs="Times New Roman"/>
                <w:b/>
              </w:rPr>
              <w:t>Commenter</w:t>
            </w:r>
          </w:p>
        </w:tc>
        <w:tc>
          <w:tcPr>
            <w:tcW w:w="4788" w:type="dxa"/>
          </w:tcPr>
          <w:p w:rsidR="00A11977" w:rsidRPr="0016737B" w:rsidRDefault="00A11977" w:rsidP="00AE4063">
            <w:pPr>
              <w:tabs>
                <w:tab w:val="left" w:pos="1440"/>
              </w:tabs>
              <w:suppressAutoHyphens/>
              <w:spacing w:line="240" w:lineRule="atLeast"/>
              <w:jc w:val="center"/>
              <w:rPr>
                <w:rFonts w:ascii="Times New Roman" w:hAnsi="Times New Roman" w:cs="Times New Roman"/>
                <w:b/>
              </w:rPr>
            </w:pPr>
            <w:r w:rsidRPr="0016737B">
              <w:rPr>
                <w:rFonts w:ascii="Times New Roman" w:hAnsi="Times New Roman" w:cs="Times New Roman"/>
                <w:b/>
              </w:rPr>
              <w:t>Abbreviation</w:t>
            </w:r>
          </w:p>
        </w:tc>
      </w:tr>
      <w:tr w:rsidR="00A11977" w:rsidRPr="00C95165" w:rsidTr="00A11977">
        <w:tc>
          <w:tcPr>
            <w:tcW w:w="4788" w:type="dxa"/>
          </w:tcPr>
          <w:p w:rsidR="00A11977" w:rsidRPr="00C95165" w:rsidRDefault="0016737B"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American Cable Association</w:t>
            </w:r>
          </w:p>
        </w:tc>
        <w:tc>
          <w:tcPr>
            <w:tcW w:w="4788" w:type="dxa"/>
          </w:tcPr>
          <w:p w:rsidR="00A11977" w:rsidRPr="00C95165" w:rsidRDefault="0016737B"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ACA</w:t>
            </w:r>
          </w:p>
        </w:tc>
      </w:tr>
      <w:tr w:rsidR="0016737B" w:rsidRPr="00C95165" w:rsidTr="00A11977">
        <w:tc>
          <w:tcPr>
            <w:tcW w:w="4788" w:type="dxa"/>
          </w:tcPr>
          <w:p w:rsidR="0016737B" w:rsidRPr="00C95165" w:rsidRDefault="0016737B"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AT&amp;T Services, Inc.</w:t>
            </w:r>
          </w:p>
        </w:tc>
        <w:tc>
          <w:tcPr>
            <w:tcW w:w="4788" w:type="dxa"/>
          </w:tcPr>
          <w:p w:rsidR="0016737B" w:rsidRPr="00C95165" w:rsidRDefault="0016737B"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AT&amp;T</w:t>
            </w:r>
          </w:p>
        </w:tc>
      </w:tr>
      <w:tr w:rsidR="00F502C5" w:rsidRPr="00C95165" w:rsidTr="00A11977">
        <w:tc>
          <w:tcPr>
            <w:tcW w:w="4788" w:type="dxa"/>
          </w:tcPr>
          <w:p w:rsidR="00F502C5" w:rsidRPr="00C95165" w:rsidRDefault="00F502C5"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Competitive Carriers Association</w:t>
            </w:r>
          </w:p>
        </w:tc>
        <w:tc>
          <w:tcPr>
            <w:tcW w:w="4788" w:type="dxa"/>
          </w:tcPr>
          <w:p w:rsidR="00F502C5" w:rsidRPr="00C95165" w:rsidRDefault="00F502C5"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CCA</w:t>
            </w:r>
          </w:p>
        </w:tc>
      </w:tr>
      <w:tr w:rsidR="00F502C5" w:rsidRPr="00C95165" w:rsidTr="00A11977">
        <w:tc>
          <w:tcPr>
            <w:tcW w:w="4788" w:type="dxa"/>
          </w:tcPr>
          <w:p w:rsidR="00F502C5" w:rsidRPr="00C95165" w:rsidRDefault="00F502C5"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Critical Messaging Association</w:t>
            </w:r>
          </w:p>
        </w:tc>
        <w:tc>
          <w:tcPr>
            <w:tcW w:w="4788" w:type="dxa"/>
          </w:tcPr>
          <w:p w:rsidR="00F502C5" w:rsidRPr="00C95165" w:rsidRDefault="00F502C5" w:rsidP="00AE406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CMA</w:t>
            </w:r>
          </w:p>
        </w:tc>
      </w:tr>
      <w:tr w:rsidR="00F502C5" w:rsidRPr="00C95165" w:rsidTr="00A11977">
        <w:tc>
          <w:tcPr>
            <w:tcW w:w="4788" w:type="dxa"/>
          </w:tcPr>
          <w:p w:rsidR="00F502C5" w:rsidRPr="00C95165" w:rsidRDefault="00F502C5"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DIRECTV, LLC</w:t>
            </w:r>
          </w:p>
        </w:tc>
        <w:tc>
          <w:tcPr>
            <w:tcW w:w="4788" w:type="dxa"/>
          </w:tcPr>
          <w:p w:rsidR="00F502C5" w:rsidRPr="00C95165" w:rsidRDefault="00F502C5"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DIRECTV</w:t>
            </w:r>
          </w:p>
        </w:tc>
      </w:tr>
      <w:tr w:rsidR="00F502C5" w:rsidRPr="00C95165" w:rsidTr="00A11977">
        <w:tc>
          <w:tcPr>
            <w:tcW w:w="4788" w:type="dxa"/>
          </w:tcPr>
          <w:p w:rsidR="00F502C5" w:rsidRPr="00C95165" w:rsidRDefault="00F502C5"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CTIA—The Wireless Association®</w:t>
            </w:r>
          </w:p>
        </w:tc>
        <w:tc>
          <w:tcPr>
            <w:tcW w:w="4788" w:type="dxa"/>
          </w:tcPr>
          <w:p w:rsidR="00F502C5" w:rsidRPr="00C95165" w:rsidRDefault="00F502C5"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CTIA</w:t>
            </w:r>
          </w:p>
        </w:tc>
      </w:tr>
      <w:tr w:rsidR="00F502C5" w:rsidRPr="00C95165" w:rsidTr="00A11977">
        <w:tc>
          <w:tcPr>
            <w:tcW w:w="4788" w:type="dxa"/>
          </w:tcPr>
          <w:p w:rsidR="00F502C5" w:rsidRPr="00C95165" w:rsidRDefault="00F502C5" w:rsidP="00814C9C">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Echo</w:t>
            </w:r>
            <w:r w:rsidR="00814C9C" w:rsidRPr="00C95165">
              <w:rPr>
                <w:rFonts w:ascii="Times New Roman" w:hAnsi="Times New Roman" w:cs="Times New Roman"/>
              </w:rPr>
              <w:t>S</w:t>
            </w:r>
            <w:r w:rsidRPr="00C95165">
              <w:rPr>
                <w:rFonts w:ascii="Times New Roman" w:hAnsi="Times New Roman" w:cs="Times New Roman"/>
              </w:rPr>
              <w:t xml:space="preserve">tar </w:t>
            </w:r>
            <w:r w:rsidR="00814C9C" w:rsidRPr="00C95165">
              <w:rPr>
                <w:rFonts w:ascii="Times New Roman" w:hAnsi="Times New Roman" w:cs="Times New Roman"/>
              </w:rPr>
              <w:t>Satellite Operating Company and Hughes Network Systems, LLC and DISH</w:t>
            </w:r>
            <w:r w:rsidRPr="00C95165">
              <w:rPr>
                <w:rFonts w:ascii="Times New Roman" w:hAnsi="Times New Roman" w:cs="Times New Roman"/>
              </w:rPr>
              <w:t xml:space="preserve"> Network L.L.C.</w:t>
            </w:r>
          </w:p>
        </w:tc>
        <w:tc>
          <w:tcPr>
            <w:tcW w:w="4788" w:type="dxa"/>
          </w:tcPr>
          <w:p w:rsidR="00F502C5" w:rsidRPr="00C95165" w:rsidRDefault="00814C9C"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EchoS</w:t>
            </w:r>
            <w:r w:rsidR="00F502C5" w:rsidRPr="00C95165">
              <w:rPr>
                <w:rFonts w:ascii="Times New Roman" w:hAnsi="Times New Roman" w:cs="Times New Roman"/>
              </w:rPr>
              <w:t xml:space="preserve">tar </w:t>
            </w:r>
            <w:r w:rsidRPr="00C95165">
              <w:rPr>
                <w:rFonts w:ascii="Times New Roman" w:hAnsi="Times New Roman" w:cs="Times New Roman"/>
              </w:rPr>
              <w:t>and DISH</w:t>
            </w:r>
          </w:p>
        </w:tc>
      </w:tr>
      <w:tr w:rsidR="00725B9A" w:rsidRPr="00C95165" w:rsidTr="00A11977">
        <w:tc>
          <w:tcPr>
            <w:tcW w:w="4788" w:type="dxa"/>
          </w:tcPr>
          <w:p w:rsidR="00725B9A" w:rsidRPr="00C95165" w:rsidRDefault="00725B9A" w:rsidP="00814C9C">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Fireweed Communications LLC and Jeremy Lansman</w:t>
            </w:r>
          </w:p>
        </w:tc>
        <w:tc>
          <w:tcPr>
            <w:tcW w:w="4788" w:type="dxa"/>
          </w:tcPr>
          <w:p w:rsidR="00725B9A" w:rsidRPr="00C95165" w:rsidRDefault="00725B9A"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Firew</w:t>
            </w:r>
            <w:r w:rsidR="00285A46">
              <w:rPr>
                <w:rFonts w:ascii="Times New Roman" w:hAnsi="Times New Roman" w:cs="Times New Roman"/>
              </w:rPr>
              <w:t>eed</w:t>
            </w:r>
          </w:p>
        </w:tc>
      </w:tr>
      <w:tr w:rsidR="00925268" w:rsidRPr="00C95165" w:rsidTr="00A11977">
        <w:tc>
          <w:tcPr>
            <w:tcW w:w="4788" w:type="dxa"/>
          </w:tcPr>
          <w:p w:rsidR="00925268" w:rsidRPr="00C95165" w:rsidRDefault="00925268" w:rsidP="00814C9C">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International Carrier Coalition</w:t>
            </w:r>
          </w:p>
        </w:tc>
        <w:tc>
          <w:tcPr>
            <w:tcW w:w="4788" w:type="dxa"/>
          </w:tcPr>
          <w:p w:rsidR="00925268" w:rsidRPr="00C95165" w:rsidRDefault="00925268"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ICC</w:t>
            </w:r>
          </w:p>
        </w:tc>
      </w:tr>
      <w:tr w:rsidR="00925268" w:rsidRPr="00C95165" w:rsidTr="00A11977">
        <w:tc>
          <w:tcPr>
            <w:tcW w:w="4788" w:type="dxa"/>
          </w:tcPr>
          <w:p w:rsidR="00925268" w:rsidRPr="00C95165" w:rsidRDefault="00925268" w:rsidP="00743626">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Intelsa</w:t>
            </w:r>
            <w:r w:rsidR="00743626">
              <w:rPr>
                <w:rFonts w:ascii="Times New Roman" w:hAnsi="Times New Roman" w:cs="Times New Roman"/>
              </w:rPr>
              <w:t>t</w:t>
            </w:r>
            <w:r w:rsidRPr="00C95165">
              <w:rPr>
                <w:rFonts w:ascii="Times New Roman" w:hAnsi="Times New Roman" w:cs="Times New Roman"/>
              </w:rPr>
              <w:t xml:space="preserve"> License LLC</w:t>
            </w:r>
          </w:p>
        </w:tc>
        <w:tc>
          <w:tcPr>
            <w:tcW w:w="4788" w:type="dxa"/>
          </w:tcPr>
          <w:p w:rsidR="00925268" w:rsidRPr="00C95165" w:rsidRDefault="00925268"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Intelsat</w:t>
            </w:r>
          </w:p>
        </w:tc>
      </w:tr>
      <w:tr w:rsidR="00925268" w:rsidRPr="00C95165" w:rsidTr="00A11977">
        <w:tc>
          <w:tcPr>
            <w:tcW w:w="4788" w:type="dxa"/>
          </w:tcPr>
          <w:p w:rsidR="00925268" w:rsidRPr="00C95165" w:rsidRDefault="000A1C31" w:rsidP="00814C9C">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Independent Telephone &amp; Telecommunications Alliance</w:t>
            </w:r>
          </w:p>
        </w:tc>
        <w:tc>
          <w:tcPr>
            <w:tcW w:w="4788" w:type="dxa"/>
          </w:tcPr>
          <w:p w:rsidR="00925268" w:rsidRPr="00C95165" w:rsidRDefault="000A1C31"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ITTA</w:t>
            </w:r>
          </w:p>
        </w:tc>
      </w:tr>
      <w:tr w:rsidR="000A1C31" w:rsidRPr="00C95165" w:rsidTr="00A11977">
        <w:tc>
          <w:tcPr>
            <w:tcW w:w="4788" w:type="dxa"/>
          </w:tcPr>
          <w:p w:rsidR="00330FB3" w:rsidRPr="00C95165" w:rsidRDefault="00330FB3"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Minority Media and Telecommunications Council</w:t>
            </w:r>
          </w:p>
        </w:tc>
        <w:tc>
          <w:tcPr>
            <w:tcW w:w="4788" w:type="dxa"/>
          </w:tcPr>
          <w:p w:rsidR="000A1C31" w:rsidRPr="00C95165" w:rsidRDefault="002A1EF7"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MMTC</w:t>
            </w:r>
          </w:p>
        </w:tc>
      </w:tr>
      <w:tr w:rsidR="002A1EF7" w:rsidRPr="00C95165" w:rsidTr="00A11977">
        <w:tc>
          <w:tcPr>
            <w:tcW w:w="4788" w:type="dxa"/>
          </w:tcPr>
          <w:p w:rsidR="002A1EF7"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National Association of Broadcasters</w:t>
            </w:r>
          </w:p>
        </w:tc>
        <w:tc>
          <w:tcPr>
            <w:tcW w:w="4788" w:type="dxa"/>
          </w:tcPr>
          <w:p w:rsidR="002A1EF7"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NAB</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North American Submarine Cable Association</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NASCA</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SES Americom, Inc., Inmarsat, Inc., and Telesat Canada</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SES</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Satellite Industry Association</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SIA</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Sarkes Tarzian, Inc. and Sky Television, L.L.C.</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Sarkes Tarzian and Sky Television</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Telesat Canada</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 xml:space="preserve">Telesat </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Telstra Incorporated and Australia-Japan Cable (Guam) Limited</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Telstra</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United States Telecom Association</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USTA</w:t>
            </w:r>
          </w:p>
        </w:tc>
      </w:tr>
      <w:tr w:rsidR="00686904" w:rsidRPr="00C95165" w:rsidTr="00A11977">
        <w:tc>
          <w:tcPr>
            <w:tcW w:w="4788" w:type="dxa"/>
          </w:tcPr>
          <w:p w:rsidR="00686904" w:rsidRPr="00C95165" w:rsidRDefault="00686904" w:rsidP="00330FB3">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Martin D. Wade</w:t>
            </w:r>
          </w:p>
        </w:tc>
        <w:tc>
          <w:tcPr>
            <w:tcW w:w="4788" w:type="dxa"/>
          </w:tcPr>
          <w:p w:rsidR="00686904" w:rsidRPr="00C95165" w:rsidRDefault="00686904" w:rsidP="00F502C5">
            <w:pPr>
              <w:tabs>
                <w:tab w:val="left" w:pos="1440"/>
              </w:tabs>
              <w:suppressAutoHyphens/>
              <w:spacing w:line="240" w:lineRule="atLeast"/>
              <w:jc w:val="center"/>
              <w:rPr>
                <w:rFonts w:ascii="Times New Roman" w:hAnsi="Times New Roman" w:cs="Times New Roman"/>
              </w:rPr>
            </w:pPr>
            <w:r w:rsidRPr="00C95165">
              <w:rPr>
                <w:rFonts w:ascii="Times New Roman" w:hAnsi="Times New Roman" w:cs="Times New Roman"/>
              </w:rPr>
              <w:t>Martin D. Wade</w:t>
            </w:r>
          </w:p>
        </w:tc>
      </w:tr>
    </w:tbl>
    <w:p w:rsidR="00A11977" w:rsidRDefault="00A11977" w:rsidP="00AE4063">
      <w:pPr>
        <w:tabs>
          <w:tab w:val="left" w:pos="1440"/>
        </w:tabs>
        <w:suppressAutoHyphens/>
        <w:spacing w:line="240" w:lineRule="atLeast"/>
        <w:ind w:firstLine="720"/>
        <w:jc w:val="center"/>
        <w:rPr>
          <w:szCs w:val="22"/>
        </w:rPr>
      </w:pPr>
    </w:p>
    <w:p w:rsidR="00E12B7C" w:rsidRDefault="00E12B7C" w:rsidP="00E12B7C">
      <w:pPr>
        <w:tabs>
          <w:tab w:val="left" w:pos="1440"/>
        </w:tabs>
        <w:suppressAutoHyphens/>
        <w:spacing w:line="240" w:lineRule="atLeast"/>
        <w:ind w:firstLine="720"/>
        <w:jc w:val="center"/>
        <w:rPr>
          <w:b/>
          <w:szCs w:val="22"/>
        </w:rPr>
      </w:pPr>
      <w:r w:rsidRPr="00A11977">
        <w:rPr>
          <w:b/>
          <w:szCs w:val="22"/>
        </w:rPr>
        <w:t>List of Commenters</w:t>
      </w:r>
      <w:r w:rsidR="00AD79CC">
        <w:rPr>
          <w:b/>
          <w:szCs w:val="22"/>
        </w:rPr>
        <w:t>—</w:t>
      </w:r>
      <w:r w:rsidR="00505C92">
        <w:rPr>
          <w:b/>
          <w:szCs w:val="22"/>
        </w:rPr>
        <w:t>Reply</w:t>
      </w:r>
      <w:r>
        <w:rPr>
          <w:b/>
          <w:szCs w:val="22"/>
        </w:rPr>
        <w:t xml:space="preserve"> Comments</w:t>
      </w:r>
    </w:p>
    <w:p w:rsidR="00E12B7C" w:rsidRDefault="00E12B7C" w:rsidP="00E12B7C">
      <w:pPr>
        <w:tabs>
          <w:tab w:val="left" w:pos="1440"/>
        </w:tabs>
        <w:suppressAutoHyphens/>
        <w:spacing w:line="240" w:lineRule="atLeast"/>
        <w:ind w:firstLine="720"/>
        <w:jc w:val="center"/>
        <w:rPr>
          <w:b/>
          <w:szCs w:val="22"/>
        </w:rPr>
      </w:pPr>
    </w:p>
    <w:tbl>
      <w:tblPr>
        <w:tblStyle w:val="TableGrid"/>
        <w:tblW w:w="0" w:type="auto"/>
        <w:tblLook w:val="04A0" w:firstRow="1" w:lastRow="0" w:firstColumn="1" w:lastColumn="0" w:noHBand="0" w:noVBand="1"/>
      </w:tblPr>
      <w:tblGrid>
        <w:gridCol w:w="4788"/>
        <w:gridCol w:w="4788"/>
      </w:tblGrid>
      <w:tr w:rsidR="00E12B7C" w:rsidTr="00E12B7C">
        <w:tc>
          <w:tcPr>
            <w:tcW w:w="4788" w:type="dxa"/>
          </w:tcPr>
          <w:p w:rsidR="00E12B7C" w:rsidRPr="0016737B" w:rsidRDefault="00E12B7C" w:rsidP="00E12B7C">
            <w:pPr>
              <w:tabs>
                <w:tab w:val="left" w:pos="1440"/>
              </w:tabs>
              <w:suppressAutoHyphens/>
              <w:spacing w:line="240" w:lineRule="atLeast"/>
              <w:jc w:val="center"/>
              <w:rPr>
                <w:rFonts w:ascii="Times New Roman" w:hAnsi="Times New Roman" w:cs="Times New Roman"/>
                <w:b/>
              </w:rPr>
            </w:pPr>
            <w:r w:rsidRPr="0016737B">
              <w:rPr>
                <w:rFonts w:ascii="Times New Roman" w:hAnsi="Times New Roman" w:cs="Times New Roman"/>
                <w:b/>
              </w:rPr>
              <w:t>Commenter</w:t>
            </w:r>
          </w:p>
        </w:tc>
        <w:tc>
          <w:tcPr>
            <w:tcW w:w="4788" w:type="dxa"/>
          </w:tcPr>
          <w:p w:rsidR="00E12B7C" w:rsidRPr="0016737B" w:rsidRDefault="00E12B7C" w:rsidP="00E12B7C">
            <w:pPr>
              <w:tabs>
                <w:tab w:val="left" w:pos="1440"/>
              </w:tabs>
              <w:suppressAutoHyphens/>
              <w:spacing w:line="240" w:lineRule="atLeast"/>
              <w:jc w:val="center"/>
              <w:rPr>
                <w:rFonts w:ascii="Times New Roman" w:hAnsi="Times New Roman" w:cs="Times New Roman"/>
                <w:b/>
              </w:rPr>
            </w:pPr>
            <w:r w:rsidRPr="0016737B">
              <w:rPr>
                <w:rFonts w:ascii="Times New Roman" w:hAnsi="Times New Roman" w:cs="Times New Roman"/>
                <w:b/>
              </w:rPr>
              <w:t>Abbreviation</w:t>
            </w:r>
          </w:p>
        </w:tc>
      </w:tr>
      <w:tr w:rsidR="004D56DA" w:rsidRPr="00317DDB" w:rsidTr="00E12B7C">
        <w:tc>
          <w:tcPr>
            <w:tcW w:w="4788" w:type="dxa"/>
          </w:tcPr>
          <w:p w:rsidR="004D56DA" w:rsidRPr="00743626" w:rsidRDefault="004D56DA"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American Cable Association</w:t>
            </w:r>
          </w:p>
        </w:tc>
        <w:tc>
          <w:tcPr>
            <w:tcW w:w="4788" w:type="dxa"/>
          </w:tcPr>
          <w:p w:rsidR="004D56DA" w:rsidRPr="00743626" w:rsidRDefault="004D56DA"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ACA</w:t>
            </w:r>
          </w:p>
        </w:tc>
      </w:tr>
      <w:tr w:rsidR="00317DDB" w:rsidRPr="00317DDB" w:rsidTr="00E12B7C">
        <w:tc>
          <w:tcPr>
            <w:tcW w:w="4788" w:type="dxa"/>
          </w:tcPr>
          <w:p w:rsidR="00317DDB" w:rsidRPr="00743626" w:rsidRDefault="00317DDB"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Arkansas Broadcasters Association and Christian Broadcasting System, LTD.</w:t>
            </w:r>
          </w:p>
        </w:tc>
        <w:tc>
          <w:tcPr>
            <w:tcW w:w="4788" w:type="dxa"/>
          </w:tcPr>
          <w:p w:rsidR="00317DDB" w:rsidRPr="00743626" w:rsidRDefault="00317DDB"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ABA</w:t>
            </w:r>
          </w:p>
        </w:tc>
      </w:tr>
      <w:tr w:rsidR="007570C8" w:rsidRPr="007570C8" w:rsidTr="00E12B7C">
        <w:tc>
          <w:tcPr>
            <w:tcW w:w="4788" w:type="dxa"/>
          </w:tcPr>
          <w:p w:rsidR="007570C8" w:rsidRPr="00743626" w:rsidRDefault="007570C8"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Clearwire Corporation</w:t>
            </w:r>
          </w:p>
        </w:tc>
        <w:tc>
          <w:tcPr>
            <w:tcW w:w="4788" w:type="dxa"/>
          </w:tcPr>
          <w:p w:rsidR="007570C8" w:rsidRPr="00743626" w:rsidRDefault="007570C8"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Clearwire</w:t>
            </w:r>
          </w:p>
        </w:tc>
      </w:tr>
      <w:tr w:rsidR="00E12B7C" w:rsidRPr="00C95165" w:rsidTr="00E12B7C">
        <w:tc>
          <w:tcPr>
            <w:tcW w:w="4788" w:type="dxa"/>
          </w:tcPr>
          <w:p w:rsidR="00E12B7C" w:rsidRPr="00743626" w:rsidRDefault="00E12B7C"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CTIA—The Wireless Association®</w:t>
            </w:r>
          </w:p>
        </w:tc>
        <w:tc>
          <w:tcPr>
            <w:tcW w:w="4788" w:type="dxa"/>
          </w:tcPr>
          <w:p w:rsidR="00E12B7C" w:rsidRPr="00743626" w:rsidRDefault="00E12B7C"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CTIA</w:t>
            </w:r>
          </w:p>
        </w:tc>
      </w:tr>
      <w:tr w:rsidR="00775646" w:rsidRPr="00C95165" w:rsidTr="00E12B7C">
        <w:tc>
          <w:tcPr>
            <w:tcW w:w="4788" w:type="dxa"/>
          </w:tcPr>
          <w:p w:rsidR="00775646" w:rsidRPr="00743626" w:rsidRDefault="00775646"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DIRECTV, LLC</w:t>
            </w:r>
          </w:p>
        </w:tc>
        <w:tc>
          <w:tcPr>
            <w:tcW w:w="4788" w:type="dxa"/>
          </w:tcPr>
          <w:p w:rsidR="00775646" w:rsidRPr="00743626" w:rsidRDefault="00775646"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DIRECTV</w:t>
            </w:r>
          </w:p>
        </w:tc>
      </w:tr>
      <w:tr w:rsidR="000A3189" w:rsidRPr="00C95165" w:rsidTr="00E12B7C">
        <w:tc>
          <w:tcPr>
            <w:tcW w:w="4788" w:type="dxa"/>
          </w:tcPr>
          <w:p w:rsidR="000A3189" w:rsidRPr="00743626" w:rsidRDefault="000A3189"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EchoStar Satellite Operating Company and Hughes Network Systems, LLC and DISH Network L.L.C.</w:t>
            </w:r>
          </w:p>
        </w:tc>
        <w:tc>
          <w:tcPr>
            <w:tcW w:w="4788" w:type="dxa"/>
          </w:tcPr>
          <w:p w:rsidR="000A3189" w:rsidRPr="00743626" w:rsidRDefault="000A3189"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EchoStar and DISH</w:t>
            </w:r>
          </w:p>
        </w:tc>
      </w:tr>
      <w:tr w:rsidR="005916BB" w:rsidRPr="00C95165" w:rsidTr="00E12B7C">
        <w:tc>
          <w:tcPr>
            <w:tcW w:w="4788" w:type="dxa"/>
          </w:tcPr>
          <w:p w:rsidR="005916BB" w:rsidRPr="00743626" w:rsidRDefault="005916BB"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Google Fiber Inc.</w:t>
            </w:r>
          </w:p>
        </w:tc>
        <w:tc>
          <w:tcPr>
            <w:tcW w:w="4788" w:type="dxa"/>
          </w:tcPr>
          <w:p w:rsidR="005916BB" w:rsidRPr="00743626" w:rsidRDefault="005916BB"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Google</w:t>
            </w:r>
          </w:p>
        </w:tc>
      </w:tr>
      <w:tr w:rsidR="004E0BDC" w:rsidRPr="00C95165" w:rsidTr="00E12B7C">
        <w:tc>
          <w:tcPr>
            <w:tcW w:w="4788" w:type="dxa"/>
          </w:tcPr>
          <w:p w:rsidR="004E0BDC" w:rsidRPr="00743626" w:rsidRDefault="004E0BDC"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International Carrier Coalition</w:t>
            </w:r>
          </w:p>
        </w:tc>
        <w:tc>
          <w:tcPr>
            <w:tcW w:w="4788" w:type="dxa"/>
          </w:tcPr>
          <w:p w:rsidR="004E0BDC" w:rsidRPr="00743626" w:rsidRDefault="004E0BDC"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ICC</w:t>
            </w:r>
          </w:p>
        </w:tc>
      </w:tr>
      <w:tr w:rsidR="00730DBF" w:rsidRPr="00C95165" w:rsidTr="00E12B7C">
        <w:tc>
          <w:tcPr>
            <w:tcW w:w="4788" w:type="dxa"/>
          </w:tcPr>
          <w:p w:rsidR="00730DBF" w:rsidRPr="00743626" w:rsidRDefault="00730DBF"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P. Randall Knowles</w:t>
            </w:r>
          </w:p>
        </w:tc>
        <w:tc>
          <w:tcPr>
            <w:tcW w:w="4788" w:type="dxa"/>
          </w:tcPr>
          <w:p w:rsidR="00730DBF" w:rsidRPr="00743626" w:rsidRDefault="00730DBF"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Knowles</w:t>
            </w:r>
          </w:p>
        </w:tc>
      </w:tr>
      <w:tr w:rsidR="002B492D" w:rsidRPr="002B492D" w:rsidTr="00E12B7C">
        <w:tc>
          <w:tcPr>
            <w:tcW w:w="4788" w:type="dxa"/>
          </w:tcPr>
          <w:p w:rsidR="002B492D" w:rsidRPr="00743626" w:rsidRDefault="002B492D"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Bennett Z. Kobb</w:t>
            </w:r>
          </w:p>
        </w:tc>
        <w:tc>
          <w:tcPr>
            <w:tcW w:w="4788" w:type="dxa"/>
          </w:tcPr>
          <w:p w:rsidR="002B492D" w:rsidRPr="00743626" w:rsidRDefault="002B492D"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Kobb</w:t>
            </w:r>
          </w:p>
        </w:tc>
      </w:tr>
    </w:tbl>
    <w:p w:rsidR="0042179F" w:rsidRDefault="0042179F">
      <w:r>
        <w:br w:type="page"/>
      </w:r>
    </w:p>
    <w:tbl>
      <w:tblPr>
        <w:tblStyle w:val="TableGrid"/>
        <w:tblW w:w="0" w:type="auto"/>
        <w:tblLook w:val="04A0" w:firstRow="1" w:lastRow="0" w:firstColumn="1" w:lastColumn="0" w:noHBand="0" w:noVBand="1"/>
      </w:tblPr>
      <w:tblGrid>
        <w:gridCol w:w="4788"/>
        <w:gridCol w:w="4788"/>
      </w:tblGrid>
      <w:tr w:rsidR="00052D9F" w:rsidRPr="00052D9F" w:rsidTr="00E12B7C">
        <w:tc>
          <w:tcPr>
            <w:tcW w:w="4788" w:type="dxa"/>
          </w:tcPr>
          <w:p w:rsidR="00052D9F" w:rsidRPr="00743626" w:rsidRDefault="00052D9F"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National Cable &amp; Telecommunications Association</w:t>
            </w:r>
          </w:p>
        </w:tc>
        <w:tc>
          <w:tcPr>
            <w:tcW w:w="4788" w:type="dxa"/>
          </w:tcPr>
          <w:p w:rsidR="00052D9F" w:rsidRPr="00743626" w:rsidRDefault="00052D9F"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NCTA</w:t>
            </w:r>
          </w:p>
        </w:tc>
      </w:tr>
      <w:tr w:rsidR="00D74241" w:rsidRPr="00C95165" w:rsidTr="00E12B7C">
        <w:tc>
          <w:tcPr>
            <w:tcW w:w="4788" w:type="dxa"/>
          </w:tcPr>
          <w:p w:rsidR="00D74241" w:rsidRPr="00743626" w:rsidRDefault="00D74241"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Satellite Industry Association</w:t>
            </w:r>
          </w:p>
        </w:tc>
        <w:tc>
          <w:tcPr>
            <w:tcW w:w="4788" w:type="dxa"/>
          </w:tcPr>
          <w:p w:rsidR="00D74241" w:rsidRPr="00743626" w:rsidRDefault="00D74241"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SIA</w:t>
            </w:r>
          </w:p>
        </w:tc>
      </w:tr>
      <w:tr w:rsidR="00E92021" w:rsidRPr="00C95165" w:rsidTr="00E12B7C">
        <w:tc>
          <w:tcPr>
            <w:tcW w:w="4788" w:type="dxa"/>
          </w:tcPr>
          <w:p w:rsidR="00E92021" w:rsidRPr="00743626" w:rsidRDefault="00E92021"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SES Americom, Inc., Inmarsat, Inc., and Telesat Canada</w:t>
            </w:r>
          </w:p>
        </w:tc>
        <w:tc>
          <w:tcPr>
            <w:tcW w:w="4788" w:type="dxa"/>
          </w:tcPr>
          <w:p w:rsidR="00E92021" w:rsidRPr="00743626" w:rsidRDefault="00E92021"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SES</w:t>
            </w:r>
          </w:p>
        </w:tc>
      </w:tr>
      <w:tr w:rsidR="00505C92" w:rsidRPr="00C95165" w:rsidTr="00E12B7C">
        <w:tc>
          <w:tcPr>
            <w:tcW w:w="4788" w:type="dxa"/>
          </w:tcPr>
          <w:p w:rsidR="00505C92" w:rsidRPr="00743626" w:rsidRDefault="00505C92"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Verizon and Verizon Wireless</w:t>
            </w:r>
          </w:p>
        </w:tc>
        <w:tc>
          <w:tcPr>
            <w:tcW w:w="4788" w:type="dxa"/>
          </w:tcPr>
          <w:p w:rsidR="00505C92" w:rsidRPr="00743626" w:rsidRDefault="00505C92" w:rsidP="00E12B7C">
            <w:pPr>
              <w:tabs>
                <w:tab w:val="left" w:pos="1440"/>
              </w:tabs>
              <w:suppressAutoHyphens/>
              <w:spacing w:line="240" w:lineRule="atLeast"/>
              <w:jc w:val="center"/>
              <w:rPr>
                <w:rFonts w:ascii="Times New Roman" w:hAnsi="Times New Roman" w:cs="Times New Roman"/>
              </w:rPr>
            </w:pPr>
            <w:r w:rsidRPr="00743626">
              <w:rPr>
                <w:rFonts w:ascii="Times New Roman" w:hAnsi="Times New Roman" w:cs="Times New Roman"/>
              </w:rPr>
              <w:t>Verizon</w:t>
            </w:r>
          </w:p>
        </w:tc>
      </w:tr>
    </w:tbl>
    <w:p w:rsidR="00E12B7C" w:rsidRPr="00C95165" w:rsidRDefault="00E12B7C" w:rsidP="00AE4063">
      <w:pPr>
        <w:tabs>
          <w:tab w:val="left" w:pos="1440"/>
        </w:tabs>
        <w:suppressAutoHyphens/>
        <w:spacing w:line="240" w:lineRule="atLeast"/>
        <w:ind w:firstLine="720"/>
        <w:jc w:val="center"/>
        <w:rPr>
          <w:szCs w:val="22"/>
        </w:rPr>
      </w:pPr>
    </w:p>
    <w:p w:rsidR="008E7210" w:rsidRDefault="008E7210">
      <w:pPr>
        <w:widowControl/>
        <w:rPr>
          <w:szCs w:val="22"/>
        </w:rPr>
      </w:pPr>
      <w:r>
        <w:rPr>
          <w:szCs w:val="22"/>
        </w:rPr>
        <w:br w:type="page"/>
      </w:r>
    </w:p>
    <w:p w:rsidR="00E77FDE" w:rsidRDefault="00E77FDE" w:rsidP="00E77FDE">
      <w:pPr>
        <w:autoSpaceDE w:val="0"/>
        <w:autoSpaceDN w:val="0"/>
        <w:adjustRightInd w:val="0"/>
        <w:jc w:val="center"/>
        <w:rPr>
          <w:b/>
        </w:rPr>
      </w:pPr>
      <w:r>
        <w:rPr>
          <w:b/>
        </w:rPr>
        <w:t>ATTACHMENT B</w:t>
      </w:r>
    </w:p>
    <w:p w:rsidR="00E77FDE" w:rsidRDefault="00E77FDE" w:rsidP="00E77FDE">
      <w:pPr>
        <w:autoSpaceDE w:val="0"/>
        <w:autoSpaceDN w:val="0"/>
        <w:adjustRightInd w:val="0"/>
        <w:jc w:val="center"/>
        <w:rPr>
          <w:b/>
        </w:rPr>
      </w:pPr>
    </w:p>
    <w:p w:rsidR="00E77FDE" w:rsidRDefault="00E77FDE" w:rsidP="00E77FDE">
      <w:pPr>
        <w:autoSpaceDE w:val="0"/>
        <w:autoSpaceDN w:val="0"/>
        <w:adjustRightInd w:val="0"/>
        <w:jc w:val="center"/>
        <w:rPr>
          <w:b/>
          <w:vertAlign w:val="superscript"/>
        </w:rPr>
      </w:pPr>
      <w:r>
        <w:rPr>
          <w:b/>
        </w:rPr>
        <w:t>Revised FTE (as of 9/30/12) Allocations,</w:t>
      </w:r>
      <w:r>
        <w:rPr>
          <w:b/>
          <w:vertAlign w:val="superscript"/>
        </w:rPr>
        <w:t>5</w:t>
      </w:r>
    </w:p>
    <w:p w:rsidR="00E77FDE" w:rsidRPr="0035735F" w:rsidRDefault="00E77FDE" w:rsidP="00E77FDE">
      <w:pPr>
        <w:autoSpaceDE w:val="0"/>
        <w:autoSpaceDN w:val="0"/>
        <w:adjustRightInd w:val="0"/>
        <w:jc w:val="center"/>
        <w:rPr>
          <w:rFonts w:ascii="Times New Roman Bold" w:hAnsi="Times New Roman Bold"/>
          <w:b/>
        </w:rPr>
      </w:pPr>
      <w:r>
        <w:rPr>
          <w:b/>
        </w:rPr>
        <w:t>Fee Rate Increases Capped at 7.5%</w:t>
      </w:r>
    </w:p>
    <w:p w:rsidR="00E77FDE" w:rsidRDefault="00E77FDE" w:rsidP="00E77FDE">
      <w:pPr>
        <w:autoSpaceDE w:val="0"/>
        <w:autoSpaceDN w:val="0"/>
        <w:adjustRightInd w:val="0"/>
        <w:jc w:val="center"/>
        <w:rPr>
          <w:b/>
        </w:rPr>
      </w:pPr>
    </w:p>
    <w:p w:rsidR="00E77FDE" w:rsidRDefault="00E77FDE" w:rsidP="00E77FDE">
      <w:pPr>
        <w:jc w:val="center"/>
        <w:rPr>
          <w:b/>
        </w:rPr>
      </w:pPr>
      <w:r>
        <w:rPr>
          <w:b/>
        </w:rPr>
        <w:t>Calculation of FY 2013 Revenue Requirements and Pro-Rata Fees</w:t>
      </w:r>
    </w:p>
    <w:p w:rsidR="00E77FDE" w:rsidRDefault="00E77FDE" w:rsidP="00E77FDE">
      <w:pPr>
        <w:jc w:val="center"/>
        <w:rPr>
          <w:b/>
        </w:rPr>
      </w:pPr>
    </w:p>
    <w:p w:rsidR="00E77FDE" w:rsidRDefault="00E77FDE" w:rsidP="00E77FDE">
      <w:pPr>
        <w:tabs>
          <w:tab w:val="center" w:pos="5040"/>
        </w:tabs>
        <w:suppressAutoHyphens/>
        <w:outlineLvl w:val="0"/>
        <w:rPr>
          <w:b/>
          <w:szCs w:val="22"/>
        </w:rPr>
      </w:pPr>
      <w:r>
        <w:rPr>
          <w:szCs w:val="22"/>
        </w:rPr>
        <w:t>Regulatory fees for the categories shaded in gray are collected by the Commission in advance to cover the term of the license and are submitted at the time the application is filed.</w:t>
      </w:r>
      <w:r>
        <w:rPr>
          <w:b/>
          <w:szCs w:val="22"/>
        </w:rPr>
        <w:t xml:space="preserve"> </w:t>
      </w:r>
    </w:p>
    <w:tbl>
      <w:tblPr>
        <w:tblW w:w="9180" w:type="dxa"/>
        <w:tblInd w:w="-60" w:type="dxa"/>
        <w:tblLayout w:type="fixed"/>
        <w:tblCellMar>
          <w:left w:w="30" w:type="dxa"/>
          <w:right w:w="30" w:type="dxa"/>
        </w:tblCellMar>
        <w:tblLook w:val="0000" w:firstRow="0" w:lastRow="0" w:firstColumn="0" w:lastColumn="0" w:noHBand="0" w:noVBand="0"/>
      </w:tblPr>
      <w:tblGrid>
        <w:gridCol w:w="1710"/>
        <w:gridCol w:w="1350"/>
        <w:gridCol w:w="630"/>
        <w:gridCol w:w="1080"/>
        <w:gridCol w:w="1080"/>
        <w:gridCol w:w="1080"/>
        <w:gridCol w:w="1170"/>
        <w:gridCol w:w="1080"/>
      </w:tblGrid>
      <w:tr w:rsidR="00E77FDE" w:rsidTr="003F3153">
        <w:trPr>
          <w:tblHeader/>
        </w:trPr>
        <w:tc>
          <w:tcPr>
            <w:tcW w:w="1710" w:type="dxa"/>
            <w:tcBorders>
              <w:top w:val="double" w:sz="6" w:space="0" w:color="auto"/>
              <w:left w:val="double" w:sz="6" w:space="0" w:color="auto"/>
              <w:bottom w:val="single" w:sz="18" w:space="0" w:color="auto"/>
            </w:tcBorders>
          </w:tcPr>
          <w:p w:rsidR="00E77FDE" w:rsidRDefault="00D40FAD"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fldChar w:fldCharType="begin"/>
            </w:r>
            <w:r w:rsidR="00E77FDE">
              <w:rPr>
                <w:b/>
                <w:sz w:val="20"/>
              </w:rPr>
              <w:instrText xml:space="preserve">PRIVATE </w:instrText>
            </w:r>
            <w:r>
              <w:rPr>
                <w:b/>
                <w:sz w:val="20"/>
              </w:rPr>
              <w:fldChar w:fldCharType="end"/>
            </w:r>
            <w:r w:rsidR="00E77FDE">
              <w:rPr>
                <w:b/>
                <w:sz w:val="20"/>
              </w:rPr>
              <w:t>Fee Category</w:t>
            </w:r>
          </w:p>
        </w:tc>
        <w:tc>
          <w:tcPr>
            <w:tcW w:w="1350" w:type="dxa"/>
            <w:tcBorders>
              <w:top w:val="double" w:sz="6" w:space="0" w:color="auto"/>
              <w:left w:val="single" w:sz="6" w:space="0" w:color="auto"/>
              <w:bottom w:val="single" w:sz="18"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FY 2013 Payment Units</w:t>
            </w:r>
          </w:p>
        </w:tc>
        <w:tc>
          <w:tcPr>
            <w:tcW w:w="630" w:type="dxa"/>
            <w:tcBorders>
              <w:top w:val="double" w:sz="6" w:space="0" w:color="auto"/>
              <w:left w:val="single" w:sz="6" w:space="0" w:color="auto"/>
              <w:bottom w:val="single" w:sz="18"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Years</w:t>
            </w:r>
          </w:p>
        </w:tc>
        <w:tc>
          <w:tcPr>
            <w:tcW w:w="1080" w:type="dxa"/>
            <w:tcBorders>
              <w:top w:val="double" w:sz="6" w:space="0" w:color="auto"/>
              <w:left w:val="single" w:sz="6" w:space="0" w:color="auto"/>
              <w:bottom w:val="single" w:sz="18"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FY 2012 Revenue Estimate</w:t>
            </w:r>
          </w:p>
        </w:tc>
        <w:tc>
          <w:tcPr>
            <w:tcW w:w="1080" w:type="dxa"/>
            <w:tcBorders>
              <w:top w:val="double" w:sz="6" w:space="0" w:color="auto"/>
              <w:left w:val="single" w:sz="6" w:space="0" w:color="auto"/>
              <w:bottom w:val="single" w:sz="18"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Pro-Rated FY 2013 Revenue Require-ment</w:t>
            </w:r>
          </w:p>
        </w:tc>
        <w:tc>
          <w:tcPr>
            <w:tcW w:w="1080" w:type="dxa"/>
            <w:tcBorders>
              <w:top w:val="double" w:sz="6" w:space="0" w:color="auto"/>
              <w:left w:val="single" w:sz="6" w:space="0" w:color="auto"/>
              <w:bottom w:val="single" w:sz="18"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b/>
                <w:sz w:val="20"/>
              </w:rPr>
              <w:t xml:space="preserve"> Uncapped FY 2013 Regulatory Fee</w:t>
            </w:r>
          </w:p>
        </w:tc>
        <w:tc>
          <w:tcPr>
            <w:tcW w:w="1170" w:type="dxa"/>
            <w:tcBorders>
              <w:top w:val="double" w:sz="6" w:space="0" w:color="auto"/>
              <w:left w:val="single" w:sz="6" w:space="0" w:color="auto"/>
              <w:bottom w:val="single" w:sz="18"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Rounded &amp; Capped</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 xml:space="preserve">FY 2013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b/>
                <w:sz w:val="20"/>
              </w:rPr>
              <w:t>Regulatory Fee</w:t>
            </w:r>
          </w:p>
        </w:tc>
        <w:tc>
          <w:tcPr>
            <w:tcW w:w="1080" w:type="dxa"/>
            <w:tcBorders>
              <w:top w:val="double" w:sz="6" w:space="0" w:color="auto"/>
              <w:left w:val="single" w:sz="6" w:space="0" w:color="auto"/>
              <w:bottom w:val="single" w:sz="18"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Expected</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FY 2013</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b/>
                <w:sz w:val="20"/>
              </w:rPr>
              <w:t>Revenue</w:t>
            </w:r>
          </w:p>
        </w:tc>
      </w:tr>
      <w:tr w:rsidR="00E77FDE" w:rsidTr="003F3153">
        <w:tc>
          <w:tcPr>
            <w:tcW w:w="1710" w:type="dxa"/>
            <w:tcBorders>
              <w:top w:val="single" w:sz="1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 PLMRS (Exclusive Use) </w:t>
            </w:r>
          </w:p>
        </w:tc>
        <w:tc>
          <w:tcPr>
            <w:tcW w:w="1350" w:type="dxa"/>
            <w:tcBorders>
              <w:top w:val="single" w:sz="1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1,400</w:t>
            </w:r>
          </w:p>
        </w:tc>
        <w:tc>
          <w:tcPr>
            <w:tcW w:w="630" w:type="dxa"/>
            <w:tcBorders>
              <w:top w:val="single" w:sz="1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1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490,000</w:t>
            </w:r>
          </w:p>
        </w:tc>
        <w:tc>
          <w:tcPr>
            <w:tcW w:w="1080" w:type="dxa"/>
            <w:tcBorders>
              <w:top w:val="single" w:sz="1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605,350</w:t>
            </w:r>
          </w:p>
        </w:tc>
        <w:tc>
          <w:tcPr>
            <w:tcW w:w="1080" w:type="dxa"/>
            <w:tcBorders>
              <w:top w:val="single" w:sz="1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43</w:t>
            </w:r>
          </w:p>
        </w:tc>
        <w:tc>
          <w:tcPr>
            <w:tcW w:w="1170" w:type="dxa"/>
            <w:tcBorders>
              <w:top w:val="single" w:sz="1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40</w:t>
            </w:r>
          </w:p>
        </w:tc>
        <w:tc>
          <w:tcPr>
            <w:tcW w:w="1080" w:type="dxa"/>
            <w:tcBorders>
              <w:top w:val="single" w:sz="1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560,000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PLMRS (Shared use)</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15,000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2,250,000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2,897,033</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2,250,000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Microwave</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13,200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2,640,000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2,853,794</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20</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2,640,000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218-219 MHz (Formerly IVDS)</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4,324</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86</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3,750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Marine (Ship)</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6,550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655,000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951,265</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655,000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GMRS</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7,900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5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192,500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345,914</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197,500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Aviation (Aircraft)</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2,900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432,393</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290,000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Marine (Coast)</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285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142,500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172,957</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61</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55</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156,750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Aviation (Ground)</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900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172,957</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135,000</w:t>
            </w:r>
          </w:p>
        </w:tc>
      </w:tr>
      <w:tr w:rsidR="00E77FDE" w:rsidTr="003F3153">
        <w:tc>
          <w:tcPr>
            <w:tcW w:w="171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Amateur Vanity Call Signs</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14,300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214,500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259,436</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1.81</w:t>
            </w:r>
          </w:p>
        </w:tc>
        <w:tc>
          <w:tcPr>
            <w:tcW w:w="1170" w:type="dxa"/>
            <w:tcBorders>
              <w:top w:val="single" w:sz="8" w:space="0" w:color="auto"/>
              <w:left w:val="single" w:sz="8"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1.61</w:t>
            </w:r>
          </w:p>
        </w:tc>
        <w:tc>
          <w:tcPr>
            <w:tcW w:w="108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230,230</w:t>
            </w:r>
          </w:p>
        </w:tc>
      </w:tr>
      <w:tr w:rsidR="00E77FDE" w:rsidTr="003F3153">
        <w:tc>
          <w:tcPr>
            <w:tcW w:w="1710" w:type="dxa"/>
            <w:tcBorders>
              <w:top w:val="single" w:sz="8"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A</w:t>
            </w:r>
            <w:r>
              <w:rPr>
                <w:sz w:val="20"/>
                <w:vertAlign w:val="superscript"/>
              </w:rPr>
              <w:t>4a</w:t>
            </w:r>
          </w:p>
        </w:tc>
        <w:tc>
          <w:tcPr>
            <w:tcW w:w="1350" w:type="dxa"/>
            <w:tcBorders>
              <w:top w:val="single" w:sz="8"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65</w:t>
            </w:r>
          </w:p>
        </w:tc>
        <w:tc>
          <w:tcPr>
            <w:tcW w:w="630" w:type="dxa"/>
            <w:tcBorders>
              <w:top w:val="single" w:sz="8"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8"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250,100</w:t>
            </w:r>
          </w:p>
        </w:tc>
        <w:tc>
          <w:tcPr>
            <w:tcW w:w="1080" w:type="dxa"/>
            <w:tcBorders>
              <w:top w:val="single" w:sz="8"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294,808</w:t>
            </w:r>
          </w:p>
        </w:tc>
        <w:tc>
          <w:tcPr>
            <w:tcW w:w="1080" w:type="dxa"/>
            <w:tcBorders>
              <w:top w:val="single" w:sz="8"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4,536</w:t>
            </w:r>
          </w:p>
        </w:tc>
        <w:tc>
          <w:tcPr>
            <w:tcW w:w="1170" w:type="dxa"/>
            <w:tcBorders>
              <w:top w:val="single" w:sz="8"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4,400</w:t>
            </w:r>
          </w:p>
        </w:tc>
        <w:tc>
          <w:tcPr>
            <w:tcW w:w="1080" w:type="dxa"/>
            <w:tcBorders>
              <w:top w:val="single" w:sz="8"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286,000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B</w:t>
            </w:r>
            <w:r>
              <w:rPr>
                <w:sz w:val="20"/>
                <w:vertAlign w:val="superscript"/>
              </w:rPr>
              <w:t>4b</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1,510</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3,125,875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3,664,040</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2,427</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3,435,250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C</w:t>
            </w:r>
            <w:r>
              <w:rPr>
                <w:sz w:val="20"/>
                <w:vertAlign w:val="superscript"/>
              </w:rPr>
              <w:t>4c</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890</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1,107,975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1,305,578</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1,467</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1,201,500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D</w:t>
            </w:r>
            <w:r>
              <w:rPr>
                <w:sz w:val="20"/>
                <w:vertAlign w:val="superscript"/>
              </w:rPr>
              <w:t>4d</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1,500</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3,698,400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4,337,887</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2,892</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3,862,500</w:t>
            </w:r>
          </w:p>
        </w:tc>
      </w:tr>
      <w:tr w:rsidR="00E77FDE" w:rsidTr="003F3153">
        <w:tc>
          <w:tcPr>
            <w:tcW w:w="1710" w:type="dxa"/>
            <w:tcBorders>
              <w:top w:val="single" w:sz="6" w:space="0" w:color="auto"/>
              <w:left w:val="double" w:sz="6" w:space="0" w:color="auto"/>
            </w:tcBorders>
          </w:tcPr>
          <w:p w:rsidR="00E77FDE" w:rsidRPr="00445C3B"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lang w:val="pt-BR"/>
              </w:rPr>
            </w:pPr>
            <w:r w:rsidRPr="00445C3B">
              <w:rPr>
                <w:sz w:val="20"/>
                <w:lang w:val="pt-BR"/>
              </w:rPr>
              <w:t>FM Classes A, B1 &amp; C3</w:t>
            </w:r>
            <w:r w:rsidRPr="00445C3B">
              <w:rPr>
                <w:sz w:val="20"/>
                <w:vertAlign w:val="superscript"/>
                <w:lang w:val="pt-BR"/>
              </w:rPr>
              <w:t>4e</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3,075</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7,764,750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8,970,581</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2,917</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2,725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8,379,375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FM Classes B, C, C0, C1 &amp; C2</w:t>
            </w:r>
            <w:r>
              <w:rPr>
                <w:sz w:val="20"/>
                <w:vertAlign w:val="superscript"/>
              </w:rPr>
              <w:t>4f</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3,140</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9,513,000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11,034,236</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3,514</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10,597,500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AM Construction Permits</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51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35,750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42,115</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826</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590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30,090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FM Construction Permits</w:t>
            </w:r>
            <w:r>
              <w:rPr>
                <w:sz w:val="20"/>
                <w:vertAlign w:val="superscript"/>
              </w:rPr>
              <w:t>1</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190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84,000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421,154</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2,217</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750</w:t>
            </w:r>
          </w:p>
        </w:tc>
        <w:tc>
          <w:tcPr>
            <w:tcW w:w="1080" w:type="dxa"/>
            <w:tcBorders>
              <w:top w:val="single" w:sz="6" w:space="0" w:color="auto"/>
              <w:left w:val="single" w:sz="6" w:space="0" w:color="auto"/>
              <w:right w:val="double" w:sz="6" w:space="0" w:color="auto"/>
            </w:tcBorders>
          </w:tcPr>
          <w:p w:rsidR="00E77FDE" w:rsidRDefault="00E77FDE" w:rsidP="006A0F1C">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w:t>
            </w:r>
            <w:r w:rsidR="006A0F1C">
              <w:rPr>
                <w:sz w:val="20"/>
              </w:rPr>
              <w:t>2</w:t>
            </w:r>
            <w:r>
              <w:rPr>
                <w:sz w:val="20"/>
              </w:rPr>
              <w:t>,</w:t>
            </w:r>
            <w:r w:rsidR="006A0F1C">
              <w:rPr>
                <w:sz w:val="20"/>
              </w:rPr>
              <w:t>5</w:t>
            </w:r>
            <w:r>
              <w:rPr>
                <w:sz w:val="20"/>
              </w:rPr>
              <w:t>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Satellite TV</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125</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178,125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210,577</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1,685</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1,525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190,625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Satellite TV Construction Permit</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3,580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4,212</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1,404</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960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2,880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VHF Markets 1-10</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23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1,761,650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2,366,150</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102,876</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86,075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1,979,725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VHF Markets 11-25</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23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1,836,875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2,454,013</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106,696</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78,975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1,816,425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VHF Markets 26-50</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39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1,512,400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2,034,276</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52,161</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42,775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1,668,225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VHF Markets 51-100</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61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1,255,500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1,757,149</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28,806</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22,475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1,370,975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VHF Remaining Markets </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137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798,025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1,020,393</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7,448</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6,250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856,250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VHF Construction Permits</w:t>
            </w:r>
            <w:r>
              <w:rPr>
                <w:sz w:val="20"/>
                <w:vertAlign w:val="superscript"/>
              </w:rPr>
              <w:t>1</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11,650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6,250</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6,250</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6,250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6,250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UHF Markets 1-10</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112</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3,853,150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4,248,631</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37,934</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38,000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4,256,000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UHF Markets 11-25</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109</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3,458,250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3,781,729</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34,695</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35,050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3,820,450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UHF Markets 26-50</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140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2,959,875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3,232,818</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23,092</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23,550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3,297,000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UHF  Markets 51-100</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239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2,868,750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3,099,301</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12,968</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13,700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3,274,300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UHF Remaining Markets </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247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845,975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916,915</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3,712</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3,675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907,725</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UHF Construction Permits</w:t>
            </w:r>
            <w:r>
              <w:rPr>
                <w:sz w:val="20"/>
                <w:vertAlign w:val="superscript"/>
              </w:rPr>
              <w:t>1</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4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23,975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14,700</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3,675</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3,675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14,700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Broadcast Auxiliaries</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25,400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248,000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336,923</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254,000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LPTV/Translators/ Boosters/Class A TV</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3,725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1,436,820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1,684,616</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452</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410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1,527,250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CARS Stations</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325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178,125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210,634</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648</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510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165,750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Cable TV Systems </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60,000,000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59,090,000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69,719,942</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1.162</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1.02</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61,200,000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Interstate Telecommunication Service Providers</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18"/>
                <w:szCs w:val="18"/>
              </w:rPr>
              <w:t xml:space="preserve">$39,000,000,000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148,875,000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118,979,384</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0.00305</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0.00347</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135,330,000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CMRS Mobile Services (Cellular/Public Mobile)</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18"/>
                <w:szCs w:val="18"/>
              </w:rPr>
              <w:t xml:space="preserve">326,000,000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53,210,000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63,105,583</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0.194</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0.18</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58,680,000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CMRS Messag. Services</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3,000,000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272,000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240,000</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0.0800</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0.080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240,000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BRS</w:t>
            </w:r>
            <w:r>
              <w:rPr>
                <w:sz w:val="20"/>
                <w:vertAlign w:val="superscript"/>
              </w:rPr>
              <w:t>2</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LMDS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920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451,250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225,625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693,680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128,180</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754</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754</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510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510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469,200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86,700</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Per 64 kbps Int’l Bearer Circuits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18"/>
                <w:szCs w:val="18"/>
              </w:rPr>
            </w:pPr>
            <w:r>
              <w:rPr>
                <w:sz w:val="18"/>
                <w:szCs w:val="18"/>
              </w:rPr>
              <w:t xml:space="preserve">Terrestrial (Common) &amp; Satellite (Common &amp; Non-Common) </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3,823,249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1,157,602</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1,066,139</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.279</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1,032,277</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Submarine Cable Providers (see chart in Appendix C)</w:t>
            </w:r>
            <w:r>
              <w:rPr>
                <w:sz w:val="20"/>
                <w:vertAlign w:val="superscript"/>
              </w:rPr>
              <w:t>3</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39.19</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8,150,984</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7,504,167</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191,494</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217,675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8,530,139</w:t>
            </w:r>
          </w:p>
        </w:tc>
      </w:tr>
      <w:tr w:rsidR="00E77FDE" w:rsidTr="003F3153">
        <w:trPr>
          <w:trHeight w:val="370"/>
        </w:trPr>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Earth Stations</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3,400 </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893,750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824,068</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242</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275</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935,000</w:t>
            </w:r>
          </w:p>
        </w:tc>
      </w:tr>
      <w:tr w:rsidR="00E77FDE" w:rsidTr="003F3153">
        <w:trPr>
          <w:trHeight w:val="595"/>
        </w:trPr>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Space Stations (Geostationary)</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87</w:t>
            </w: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11,560,125</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10,646,958</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122,379</w:t>
            </w: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139,100</w:t>
            </w:r>
          </w:p>
        </w:tc>
        <w:tc>
          <w:tcPr>
            <w:tcW w:w="108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12,101,700</w:t>
            </w:r>
          </w:p>
        </w:tc>
      </w:tr>
      <w:tr w:rsidR="00E77FDE" w:rsidTr="003F3153">
        <w:trPr>
          <w:trHeight w:val="874"/>
        </w:trPr>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Space Stations (Non-Geostationary</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 </w:t>
            </w:r>
          </w:p>
        </w:tc>
        <w:tc>
          <w:tcPr>
            <w:tcW w:w="1080" w:type="dxa"/>
            <w:tcBorders>
              <w:top w:val="single" w:sz="2" w:space="0" w:color="auto"/>
              <w:left w:val="single" w:sz="2" w:space="0" w:color="auto"/>
              <w:bottom w:val="double" w:sz="4" w:space="0" w:color="auto"/>
              <w:right w:val="single" w:sz="2"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858,900</w:t>
            </w:r>
          </w:p>
        </w:tc>
        <w:tc>
          <w:tcPr>
            <w:tcW w:w="1080" w:type="dxa"/>
            <w:tcBorders>
              <w:top w:val="single" w:sz="2" w:space="0" w:color="auto"/>
              <w:left w:val="nil"/>
              <w:bottom w:val="double" w:sz="4" w:space="0" w:color="auto"/>
              <w:right w:val="single" w:sz="2"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791,105</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nil"/>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131,851</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149,875</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2" w:space="0" w:color="auto"/>
              <w:left w:val="single" w:sz="2" w:space="0" w:color="auto"/>
              <w:bottom w:val="double" w:sz="2" w:space="0" w:color="auto"/>
              <w:right w:val="double" w:sz="2"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899,250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Total Estimated Revenue to be Collected</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340,568,811</w:t>
            </w:r>
          </w:p>
        </w:tc>
        <w:tc>
          <w:tcPr>
            <w:tcW w:w="1080" w:type="dxa"/>
            <w:tcBorders>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339,844,006</w:t>
            </w:r>
          </w:p>
        </w:tc>
        <w:tc>
          <w:tcPr>
            <w:tcW w:w="1080" w:type="dxa"/>
            <w:tcBorders>
              <w:top w:val="single" w:sz="6" w:space="0" w:color="auto"/>
              <w:left w:val="sing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339,965,741</w:t>
            </w:r>
          </w:p>
        </w:tc>
      </w:tr>
      <w:tr w:rsidR="00E77FDE" w:rsidTr="003F3153">
        <w:tc>
          <w:tcPr>
            <w:tcW w:w="171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Total Revenue Requirement</w:t>
            </w:r>
          </w:p>
        </w:tc>
        <w:tc>
          <w:tcPr>
            <w:tcW w:w="135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339,844,000</w:t>
            </w:r>
          </w:p>
        </w:tc>
        <w:tc>
          <w:tcPr>
            <w:tcW w:w="1080" w:type="dxa"/>
            <w:tcBorders>
              <w:top w:val="single" w:sz="2" w:space="0" w:color="auto"/>
              <w:left w:val="single" w:sz="2" w:space="0" w:color="auto"/>
              <w:bottom w:val="double" w:sz="2" w:space="0" w:color="auto"/>
              <w:right w:val="single" w:sz="2"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339,844,000</w:t>
            </w:r>
          </w:p>
        </w:tc>
        <w:tc>
          <w:tcPr>
            <w:tcW w:w="1080" w:type="dxa"/>
            <w:tcBorders>
              <w:top w:val="single" w:sz="6" w:space="0" w:color="auto"/>
              <w:left w:val="nil"/>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2" w:space="0" w:color="auto"/>
              <w:left w:val="single" w:sz="2" w:space="0" w:color="auto"/>
              <w:bottom w:val="double" w:sz="2" w:space="0" w:color="auto"/>
              <w:right w:val="double" w:sz="2"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339,844,000</w:t>
            </w:r>
          </w:p>
        </w:tc>
      </w:tr>
      <w:tr w:rsidR="00E77FDE" w:rsidTr="003F3153">
        <w:tc>
          <w:tcPr>
            <w:tcW w:w="1710" w:type="dxa"/>
            <w:tcBorders>
              <w:top w:val="single" w:sz="6" w:space="0" w:color="auto"/>
              <w:left w:val="doub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                   Difference</w:t>
            </w:r>
          </w:p>
        </w:tc>
        <w:tc>
          <w:tcPr>
            <w:tcW w:w="135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724,811</w:t>
            </w:r>
          </w:p>
        </w:tc>
        <w:tc>
          <w:tcPr>
            <w:tcW w:w="1080" w:type="dxa"/>
            <w:tcBorders>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w:t>
            </w:r>
          </w:p>
        </w:tc>
        <w:tc>
          <w:tcPr>
            <w:tcW w:w="1080" w:type="dxa"/>
            <w:tcBorders>
              <w:top w:val="single" w:sz="6" w:space="0" w:color="auto"/>
              <w:left w:val="single" w:sz="6" w:space="0" w:color="auto"/>
              <w:bottom w:val="double" w:sz="6" w:space="0" w:color="auto"/>
              <w:righ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left w:val="single" w:sz="6" w:space="0" w:color="auto"/>
              <w:bottom w:val="doub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121,741</w:t>
            </w:r>
          </w:p>
        </w:tc>
      </w:tr>
    </w:tbl>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rPr>
          <w:sz w:val="20"/>
        </w:rPr>
      </w:pPr>
      <w:r>
        <w:rPr>
          <w:sz w:val="20"/>
        </w:rPr>
        <w:t xml:space="preserve"> </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ind w:left="1080"/>
        <w:rPr>
          <w:sz w:val="20"/>
        </w:rPr>
      </w:pP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vertAlign w:val="superscript"/>
        </w:rPr>
      </w:pPr>
      <w:r>
        <w:rPr>
          <w:sz w:val="20"/>
          <w:vertAlign w:val="superscript"/>
        </w:rPr>
        <w:t>1</w:t>
      </w:r>
      <w:r>
        <w:rPr>
          <w:sz w:val="20"/>
        </w:rPr>
        <w:t xml:space="preserve"> The VHF and UHF Construction Permit revenues were adjusted to set the regulatory fee to an amount no higher than the lowest licensed fee for that class of service.  Similarly, reductions in the VHF and UHF Construction Permit revenues are offset by increases in the revenue totals for VHF and UHF television stations, respectively. </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2</w:t>
      </w:r>
      <w:r>
        <w:rPr>
          <w:sz w:val="20"/>
        </w:rPr>
        <w:t xml:space="preserve"> MDS/MMDS category was renamed Broadband Radio Service (BRS).  </w:t>
      </w:r>
      <w:r>
        <w:rPr>
          <w:i/>
          <w:sz w:val="20"/>
        </w:rPr>
        <w:t xml:space="preserve"> See Amendment of Parts 1, 21, 73, 74 and 101 of the Commission’s Rules to Facilitate the Provision of Fixed and Mobile Broadband  Access, Educational and Other Advanced Services in the 2150-2162 and 2500-2690 MHz Bands</w:t>
      </w:r>
      <w:r>
        <w:rPr>
          <w:sz w:val="20"/>
        </w:rPr>
        <w:t>, Report &amp; Order and Further Notice of Proposed Rulemaking, 19 FCC Rcd 14165, 14169, ¶ 6 (2004).</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3</w:t>
      </w:r>
      <w:r>
        <w:rPr>
          <w:sz w:val="20"/>
        </w:rPr>
        <w:t xml:space="preserve"> The chart at the end of </w:t>
      </w:r>
      <w:r w:rsidRPr="00A9597A">
        <w:rPr>
          <w:sz w:val="20"/>
        </w:rPr>
        <w:t xml:space="preserve">Appendix </w:t>
      </w:r>
      <w:r>
        <w:rPr>
          <w:sz w:val="20"/>
        </w:rPr>
        <w:t xml:space="preserve">C lists the submarine cable bearer circuit regulatory fees (common and non-common carrier basis) that resulted from the adoption of the following proceedings:  </w:t>
      </w:r>
      <w:r>
        <w:rPr>
          <w:i/>
          <w:sz w:val="20"/>
        </w:rPr>
        <w:t>Assessment and Collection of Regulatory Fees for Fiscal Year 2008</w:t>
      </w:r>
      <w:r>
        <w:rPr>
          <w:sz w:val="20"/>
        </w:rPr>
        <w:t xml:space="preserve">, Second Report and Order (MD Docket No. 08-65, RM-11312), released March 24, 2009; and </w:t>
      </w:r>
      <w:r>
        <w:rPr>
          <w:i/>
          <w:sz w:val="20"/>
        </w:rPr>
        <w:t xml:space="preserve">Assessment and Collection of Regulatory Fees for Fiscal Year 2009 and Assessment and Collection of Regulatory Fees for Fiscal Year 2008, </w:t>
      </w:r>
      <w:r>
        <w:rPr>
          <w:sz w:val="20"/>
        </w:rPr>
        <w:t>Notice of Proposed Rulemaking and Order (MD Docket No. 09-65, MD Docket No. 08-65), released on May 14, 2009.</w:t>
      </w:r>
    </w:p>
    <w:p w:rsidR="00E77FDE" w:rsidRPr="00AC395B"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4</w:t>
      </w:r>
      <w:r>
        <w:rPr>
          <w:sz w:val="20"/>
        </w:rPr>
        <w:t xml:space="preserve"> The fee amounts listed in the column entitled “Rounded New FY 2013 Regulatory Fee” constitute a weighted average media regulatory fee by class of service.  The actual FY 2013 regulatory fees for AM/FM radio stations are listed on a grid located at the end of </w:t>
      </w:r>
      <w:r w:rsidRPr="00A9597A">
        <w:rPr>
          <w:sz w:val="20"/>
        </w:rPr>
        <w:t xml:space="preserve">Attachment </w:t>
      </w:r>
      <w:r>
        <w:rPr>
          <w:sz w:val="20"/>
        </w:rPr>
        <w:t xml:space="preserve">C.    </w:t>
      </w:r>
      <w:r>
        <w:rPr>
          <w:i/>
          <w:sz w:val="20"/>
        </w:rPr>
        <w:t xml:space="preserve"> </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5</w:t>
      </w:r>
      <w:r>
        <w:rPr>
          <w:sz w:val="20"/>
        </w:rPr>
        <w:t xml:space="preserve"> The allocation percentages represent FTE data as of September 30, 2012, and include the proposal to use 28 Direct FTEs (rather than 119 FTEs) for the International Bureau.  </w:t>
      </w:r>
    </w:p>
    <w:p w:rsidR="00E77FDE" w:rsidRDefault="00E77FDE" w:rsidP="00E77FDE">
      <w:pPr>
        <w:autoSpaceDE w:val="0"/>
        <w:autoSpaceDN w:val="0"/>
        <w:adjustRightInd w:val="0"/>
        <w:rPr>
          <w:sz w:val="20"/>
        </w:rPr>
      </w:pPr>
    </w:p>
    <w:p w:rsidR="00E77FDE" w:rsidRDefault="00E77FDE" w:rsidP="00E77FDE">
      <w:pPr>
        <w:autoSpaceDE w:val="0"/>
        <w:autoSpaceDN w:val="0"/>
        <w:adjustRightInd w:val="0"/>
        <w:jc w:val="center"/>
        <w:rPr>
          <w:b/>
        </w:rPr>
      </w:pPr>
      <w:r>
        <w:rPr>
          <w:b/>
        </w:rPr>
        <w:br w:type="page"/>
        <w:t>ATTACHMENT C</w:t>
      </w:r>
    </w:p>
    <w:p w:rsidR="00E77FDE" w:rsidRDefault="00E77FDE" w:rsidP="00E77FDE">
      <w:pPr>
        <w:autoSpaceDE w:val="0"/>
        <w:autoSpaceDN w:val="0"/>
        <w:adjustRightInd w:val="0"/>
        <w:jc w:val="center"/>
        <w:rPr>
          <w:b/>
        </w:rPr>
      </w:pPr>
    </w:p>
    <w:p w:rsidR="00E77FDE" w:rsidRDefault="00E77FDE" w:rsidP="00E77FDE">
      <w:pPr>
        <w:autoSpaceDE w:val="0"/>
        <w:autoSpaceDN w:val="0"/>
        <w:adjustRightInd w:val="0"/>
        <w:jc w:val="center"/>
        <w:rPr>
          <w:b/>
          <w:vertAlign w:val="superscript"/>
        </w:rPr>
      </w:pPr>
      <w:r>
        <w:rPr>
          <w:b/>
        </w:rPr>
        <w:t>Revised FTE (as of 9/30/12) Allocations,</w:t>
      </w:r>
      <w:r>
        <w:rPr>
          <w:b/>
          <w:vertAlign w:val="superscript"/>
        </w:rPr>
        <w:t>5</w:t>
      </w:r>
    </w:p>
    <w:p w:rsidR="00E77FDE" w:rsidRDefault="00E77FDE" w:rsidP="00E77FDE">
      <w:pPr>
        <w:jc w:val="center"/>
        <w:rPr>
          <w:b/>
        </w:rPr>
      </w:pPr>
      <w:r>
        <w:rPr>
          <w:b/>
        </w:rPr>
        <w:t>Fee Rate Increases Capped at 7.5%</w:t>
      </w:r>
    </w:p>
    <w:p w:rsidR="00E77FDE" w:rsidRDefault="00E77FDE" w:rsidP="00E77FDE">
      <w:pPr>
        <w:jc w:val="center"/>
        <w:rPr>
          <w:b/>
        </w:rPr>
      </w:pPr>
    </w:p>
    <w:p w:rsidR="00E77FDE" w:rsidRDefault="00E77FDE" w:rsidP="00E77FDE">
      <w:pPr>
        <w:jc w:val="center"/>
        <w:rPr>
          <w:b/>
        </w:rPr>
      </w:pPr>
      <w:r>
        <w:rPr>
          <w:b/>
        </w:rPr>
        <w:t>FY 2013 Schedule of Regulatory Fees</w:t>
      </w:r>
    </w:p>
    <w:p w:rsidR="00E77FDE" w:rsidRDefault="00E77FDE" w:rsidP="00E77FDE">
      <w:pPr>
        <w:jc w:val="center"/>
        <w:rPr>
          <w:b/>
        </w:rPr>
      </w:pPr>
    </w:p>
    <w:p w:rsidR="00E77FDE" w:rsidRDefault="00E77FDE" w:rsidP="00E77FDE">
      <w:pPr>
        <w:tabs>
          <w:tab w:val="center" w:pos="5040"/>
        </w:tabs>
        <w:suppressAutoHyphens/>
        <w:outlineLvl w:val="0"/>
        <w:rPr>
          <w:szCs w:val="22"/>
        </w:rPr>
      </w:pPr>
      <w:r>
        <w:rPr>
          <w:szCs w:val="22"/>
        </w:rPr>
        <w:t>Regulatory fees for the categories shaded in gray are collected by the Commission in advance to cover the term of the license and are submitted at the time the application is filed.</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ind w:left="1440" w:hanging="1440"/>
        <w:rPr>
          <w:sz w:val="20"/>
        </w:rPr>
      </w:pPr>
      <w:r>
        <w:rPr>
          <w:sz w:val="20"/>
        </w:rPr>
        <w:tab/>
      </w:r>
      <w:r>
        <w:rPr>
          <w:sz w:val="20"/>
        </w:rPr>
        <w:tab/>
      </w:r>
      <w:r>
        <w:rPr>
          <w:sz w:val="20"/>
        </w:rPr>
        <w:tab/>
      </w:r>
    </w:p>
    <w:tbl>
      <w:tblPr>
        <w:tblW w:w="8550" w:type="dxa"/>
        <w:tblInd w:w="210" w:type="dxa"/>
        <w:tblLayout w:type="fixed"/>
        <w:tblCellMar>
          <w:left w:w="120" w:type="dxa"/>
          <w:right w:w="120" w:type="dxa"/>
        </w:tblCellMar>
        <w:tblLook w:val="0000" w:firstRow="0" w:lastRow="0" w:firstColumn="0" w:lastColumn="0" w:noHBand="0" w:noVBand="0"/>
      </w:tblPr>
      <w:tblGrid>
        <w:gridCol w:w="7020"/>
        <w:gridCol w:w="1530"/>
      </w:tblGrid>
      <w:tr w:rsidR="00E77FDE" w:rsidTr="003F3153">
        <w:trPr>
          <w:tblHeader/>
        </w:trPr>
        <w:tc>
          <w:tcPr>
            <w:tcW w:w="7020" w:type="dxa"/>
            <w:tcBorders>
              <w:top w:val="double" w:sz="6" w:space="0" w:color="auto"/>
              <w:left w:val="double" w:sz="6" w:space="0" w:color="auto"/>
              <w:bottom w:val="single" w:sz="8" w:space="0" w:color="auto"/>
            </w:tcBorders>
          </w:tcPr>
          <w:p w:rsidR="00E77FDE" w:rsidRDefault="00D40FAD"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sz w:val="20"/>
              </w:rPr>
            </w:pPr>
            <w:r>
              <w:rPr>
                <w:sz w:val="20"/>
              </w:rPr>
              <w:fldChar w:fldCharType="begin"/>
            </w:r>
            <w:r w:rsidR="00E77FDE">
              <w:rPr>
                <w:sz w:val="20"/>
              </w:rPr>
              <w:instrText xml:space="preserve">PRIVATE </w:instrText>
            </w:r>
            <w:r>
              <w:rPr>
                <w:sz w:val="20"/>
              </w:rPr>
              <w:fldChar w:fldCharType="end"/>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Fee Category</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54"/>
              <w:rPr>
                <w:b/>
                <w:sz w:val="20"/>
              </w:rPr>
            </w:pPr>
          </w:p>
        </w:tc>
        <w:tc>
          <w:tcPr>
            <w:tcW w:w="1530" w:type="dxa"/>
            <w:tcBorders>
              <w:top w:val="double" w:sz="6" w:space="0" w:color="auto"/>
              <w:left w:val="single" w:sz="6" w:space="0" w:color="auto"/>
              <w:bottom w:val="single" w:sz="8"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b/>
                <w:sz w:val="20"/>
              </w:rPr>
            </w:pPr>
            <w:r>
              <w:rPr>
                <w:b/>
                <w:sz w:val="20"/>
              </w:rPr>
              <w:t>Annual Regulatory Fee</w:t>
            </w:r>
          </w:p>
          <w:p w:rsidR="00E77FDE" w:rsidRDefault="00E77FDE" w:rsidP="003F3153">
            <w:pPr>
              <w:tabs>
                <w:tab w:val="center" w:pos="850"/>
              </w:tabs>
              <w:suppressAutoHyphens/>
              <w:spacing w:after="54"/>
              <w:jc w:val="center"/>
              <w:rPr>
                <w:b/>
                <w:sz w:val="20"/>
              </w:rPr>
            </w:pPr>
            <w:r>
              <w:rPr>
                <w:b/>
                <w:sz w:val="20"/>
              </w:rPr>
              <w:t>(U.S. $'s)</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ind w:left="4680" w:hanging="4680"/>
              <w:rPr>
                <w:sz w:val="20"/>
              </w:rPr>
            </w:pPr>
            <w:r>
              <w:rPr>
                <w:sz w:val="20"/>
              </w:rPr>
              <w:t>PLMRS (per license) (Exclusive Use) (47 CFR part 90)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40</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right" w:pos="3461"/>
                <w:tab w:val="left" w:pos="3600"/>
              </w:tabs>
              <w:suppressAutoHyphens/>
              <w:spacing w:before="90" w:after="54"/>
              <w:ind w:left="4320" w:hanging="4320"/>
              <w:rPr>
                <w:sz w:val="20"/>
              </w:rPr>
            </w:pPr>
            <w:r>
              <w:rPr>
                <w:sz w:val="20"/>
              </w:rPr>
              <w:t>Microwave (per license) (47 CFR part 101)</w:t>
            </w:r>
            <w:r>
              <w:rPr>
                <w:sz w:val="20"/>
              </w:rPr>
              <w:tab/>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20</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right" w:pos="3461"/>
                <w:tab w:val="left" w:pos="3600"/>
              </w:tabs>
              <w:suppressAutoHyphens/>
              <w:spacing w:before="90" w:after="54"/>
              <w:rPr>
                <w:sz w:val="20"/>
              </w:rPr>
            </w:pPr>
            <w:r>
              <w:rPr>
                <w:sz w:val="20"/>
              </w:rPr>
              <w:t>218-219 MHz (Formerly Interactive Video Data Service) (per license) (47 CFR part 95)</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75</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s>
              <w:suppressAutoHyphens/>
              <w:spacing w:before="90" w:after="54"/>
              <w:rPr>
                <w:sz w:val="20"/>
              </w:rPr>
            </w:pPr>
            <w:r>
              <w:rPr>
                <w:sz w:val="20"/>
              </w:rPr>
              <w:t>Marine (Ship) (per station) (47 CFR part 80)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10</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s>
              <w:suppressAutoHyphens/>
              <w:spacing w:before="90" w:after="54"/>
              <w:rPr>
                <w:sz w:val="20"/>
              </w:rPr>
            </w:pPr>
            <w:r>
              <w:rPr>
                <w:sz w:val="20"/>
              </w:rPr>
              <w:t>Marine (Coast) (per license) (47 CFR part 80)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55</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s>
              <w:suppressAutoHyphens/>
              <w:spacing w:before="90" w:after="54"/>
              <w:rPr>
                <w:sz w:val="20"/>
              </w:rPr>
            </w:pPr>
            <w:r>
              <w:rPr>
                <w:sz w:val="20"/>
              </w:rPr>
              <w:t>General Mobile Radio Service (per license) (47 CFR part 95)</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5</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s>
              <w:suppressAutoHyphens/>
              <w:spacing w:before="90" w:after="54"/>
              <w:rPr>
                <w:sz w:val="20"/>
              </w:rPr>
            </w:pPr>
            <w:r>
              <w:rPr>
                <w:sz w:val="20"/>
              </w:rPr>
              <w:t>Rural Radio (47 CFR part 22) (previously listed under the Land Mobile category)</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15</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s>
              <w:suppressAutoHyphens/>
              <w:spacing w:before="90" w:after="54"/>
              <w:rPr>
                <w:sz w:val="20"/>
              </w:rPr>
            </w:pPr>
            <w:r>
              <w:rPr>
                <w:sz w:val="20"/>
              </w:rPr>
              <w:t>PLMRS (Shared Use) (per license) (47 CFR part 90)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15</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Aviation (Aircraft) (per station) (47 CFR part 87)</w:t>
            </w:r>
            <w:r>
              <w:rPr>
                <w:sz w:val="20"/>
              </w:rPr>
              <w:tab/>
            </w:r>
            <w:r>
              <w:rPr>
                <w:sz w:val="20"/>
              </w:rPr>
              <w:tab/>
            </w:r>
            <w:r>
              <w:rPr>
                <w:sz w:val="20"/>
              </w:rPr>
              <w:tab/>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10</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Aviation (Ground) (per license) (47 CFR part 87)</w:t>
            </w:r>
            <w:r>
              <w:rPr>
                <w:sz w:val="20"/>
              </w:rPr>
              <w:tab/>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15</w:t>
            </w:r>
          </w:p>
        </w:tc>
      </w:tr>
      <w:tr w:rsidR="00E77FDE" w:rsidTr="003F3153">
        <w:tc>
          <w:tcPr>
            <w:tcW w:w="7020" w:type="dxa"/>
            <w:tcBorders>
              <w:top w:val="single" w:sz="8" w:space="0" w:color="auto"/>
              <w:left w:val="double" w:sz="12" w:space="0" w:color="auto"/>
              <w:bottom w:val="single" w:sz="8" w:space="0" w:color="auto"/>
              <w:right w:val="single" w:sz="8" w:space="0" w:color="auto"/>
            </w:tcBorders>
            <w:shd w:val="clear" w:color="auto" w:fill="C0C0C0"/>
          </w:tcPr>
          <w:p w:rsidR="00E77FDE" w:rsidRDefault="00E77FDE" w:rsidP="003F3153">
            <w:pPr>
              <w:tabs>
                <w:tab w:val="left" w:pos="-1440"/>
                <w:tab w:val="left" w:pos="-720"/>
              </w:tabs>
              <w:suppressAutoHyphens/>
              <w:spacing w:before="90" w:after="54"/>
              <w:rPr>
                <w:sz w:val="20"/>
              </w:rPr>
            </w:pPr>
            <w:r>
              <w:rPr>
                <w:sz w:val="20"/>
              </w:rPr>
              <w:t xml:space="preserve">Amateur Vanity Call Signs (per call sign) (47 CFR part 97) </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E77FDE" w:rsidRDefault="00E77FDE" w:rsidP="003F3153">
            <w:pPr>
              <w:tabs>
                <w:tab w:val="left" w:pos="-1440"/>
                <w:tab w:val="left" w:pos="-720"/>
              </w:tabs>
              <w:suppressAutoHyphens/>
              <w:spacing w:before="90" w:after="54"/>
              <w:jc w:val="center"/>
              <w:rPr>
                <w:sz w:val="20"/>
              </w:rPr>
            </w:pPr>
            <w:r>
              <w:rPr>
                <w:sz w:val="20"/>
              </w:rPr>
              <w:t>1.61</w:t>
            </w:r>
          </w:p>
        </w:tc>
      </w:tr>
      <w:tr w:rsidR="00E77FDE" w:rsidTr="003F3153">
        <w:tc>
          <w:tcPr>
            <w:tcW w:w="7020" w:type="dxa"/>
            <w:tcBorders>
              <w:top w:val="single" w:sz="8"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CMRS Mobile/Cellular Services (per unit) (47 CFR parts 20, 22, 24, 27, 80 and 90)</w:t>
            </w:r>
          </w:p>
        </w:tc>
        <w:tc>
          <w:tcPr>
            <w:tcW w:w="1530" w:type="dxa"/>
            <w:tcBorders>
              <w:top w:val="single" w:sz="8"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.18</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CMRS Messaging Services (per unit) (47 CFR parts 20, 22, 24 and 90)</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.08</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Broadband Radio Service (formerly MMDS/ MDS) (per license) (47 CFR part 27)</w:t>
            </w:r>
          </w:p>
          <w:p w:rsidR="00E77FDE" w:rsidRDefault="00E77FDE" w:rsidP="003F3153">
            <w:pPr>
              <w:tabs>
                <w:tab w:val="left" w:pos="-1440"/>
                <w:tab w:val="left" w:pos="-720"/>
              </w:tabs>
              <w:suppressAutoHyphens/>
              <w:spacing w:before="90" w:after="54"/>
              <w:rPr>
                <w:sz w:val="20"/>
              </w:rPr>
            </w:pPr>
            <w:r>
              <w:rPr>
                <w:sz w:val="20"/>
              </w:rPr>
              <w:t>Local Multipoint Distribution Service (per call sign) (47 CFR, part 101)</w:t>
            </w:r>
          </w:p>
          <w:p w:rsidR="00E77FDE" w:rsidRDefault="00E77FDE" w:rsidP="003F3153">
            <w:pPr>
              <w:tabs>
                <w:tab w:val="left" w:pos="-1440"/>
                <w:tab w:val="left" w:pos="-720"/>
              </w:tabs>
              <w:suppressAutoHyphens/>
              <w:spacing w:before="90" w:after="54"/>
              <w:rPr>
                <w:sz w:val="20"/>
              </w:rPr>
            </w:pP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510</w:t>
            </w:r>
          </w:p>
          <w:p w:rsidR="00E77FDE" w:rsidRDefault="00E77FDE" w:rsidP="003F3153">
            <w:pPr>
              <w:tabs>
                <w:tab w:val="left" w:pos="-1440"/>
                <w:tab w:val="left" w:pos="-720"/>
              </w:tabs>
              <w:suppressAutoHyphens/>
              <w:spacing w:before="90" w:after="54"/>
              <w:jc w:val="center"/>
              <w:rPr>
                <w:sz w:val="20"/>
              </w:rPr>
            </w:pPr>
            <w:r>
              <w:rPr>
                <w:sz w:val="20"/>
              </w:rPr>
              <w:t>510</w:t>
            </w:r>
          </w:p>
          <w:p w:rsidR="00E77FDE" w:rsidRDefault="00E77FDE" w:rsidP="003F3153">
            <w:pPr>
              <w:tabs>
                <w:tab w:val="left" w:pos="-1440"/>
                <w:tab w:val="left" w:pos="-720"/>
              </w:tabs>
              <w:suppressAutoHyphens/>
              <w:spacing w:before="90" w:after="54"/>
              <w:jc w:val="center"/>
              <w:rPr>
                <w:sz w:val="20"/>
              </w:rPr>
            </w:pP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AM Radio Construction Permits</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590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FM Radio Construction Permits</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750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TV (47 CFR part 73) VHF Commercial</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right"/>
              <w:rPr>
                <w:sz w:val="20"/>
              </w:rPr>
            </w:pP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s>
              <w:suppressAutoHyphens/>
              <w:spacing w:before="90" w:after="54"/>
              <w:ind w:left="2160" w:hanging="2160"/>
              <w:rPr>
                <w:sz w:val="20"/>
              </w:rPr>
            </w:pPr>
            <w:r>
              <w:rPr>
                <w:sz w:val="20"/>
              </w:rPr>
              <w:tab/>
              <w:t>Markets 1-10</w:t>
            </w:r>
            <w:r>
              <w:rPr>
                <w:sz w:val="20"/>
              </w:rPr>
              <w:tab/>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86,075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Markets 11-25</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78,975</w:t>
            </w:r>
          </w:p>
        </w:tc>
      </w:tr>
      <w:tr w:rsidR="00E77FDE" w:rsidTr="003F3153">
        <w:tc>
          <w:tcPr>
            <w:tcW w:w="7020" w:type="dxa"/>
            <w:tcBorders>
              <w:top w:val="single" w:sz="2" w:space="0" w:color="auto"/>
              <w:left w:val="double" w:sz="2" w:space="0" w:color="auto"/>
              <w:right w:val="single" w:sz="2"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Markets 26-50</w:t>
            </w:r>
          </w:p>
        </w:tc>
        <w:tc>
          <w:tcPr>
            <w:tcW w:w="1530" w:type="dxa"/>
            <w:tcBorders>
              <w:top w:val="single" w:sz="2" w:space="0" w:color="auto"/>
              <w:left w:val="single" w:sz="2" w:space="0" w:color="auto"/>
              <w:right w:val="double" w:sz="2" w:space="0" w:color="auto"/>
            </w:tcBorders>
          </w:tcPr>
          <w:p w:rsidR="00E77FDE" w:rsidRDefault="00E77FDE" w:rsidP="003F3153">
            <w:pPr>
              <w:tabs>
                <w:tab w:val="left" w:pos="-1440"/>
                <w:tab w:val="left" w:pos="-720"/>
              </w:tabs>
              <w:suppressAutoHyphens/>
              <w:spacing w:before="90" w:after="54"/>
              <w:jc w:val="center"/>
              <w:rPr>
                <w:sz w:val="20"/>
              </w:rPr>
            </w:pPr>
            <w:r>
              <w:rPr>
                <w:sz w:val="20"/>
              </w:rPr>
              <w:t>42,775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Markets 51-100</w:t>
            </w:r>
            <w:r>
              <w:rPr>
                <w:sz w:val="20"/>
              </w:rPr>
              <w:tab/>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22,475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Remaining Markets</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6,250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Construction Permits</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6,250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TV (47 CFR part 73) UHF Commercial</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right"/>
              <w:rPr>
                <w:sz w:val="20"/>
              </w:rPr>
            </w:pP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Markets 1-10</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38,000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Markets 11-25</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35,050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Markets 26-50</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23,550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Markets 51-100</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13,700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s>
              <w:suppressAutoHyphens/>
              <w:spacing w:before="90" w:after="54"/>
              <w:ind w:left="720" w:hanging="720"/>
              <w:rPr>
                <w:sz w:val="20"/>
              </w:rPr>
            </w:pPr>
            <w:r>
              <w:rPr>
                <w:sz w:val="20"/>
              </w:rPr>
              <w:tab/>
              <w:t>Remaining Markets</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3,675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Construction Permits</w:t>
            </w:r>
            <w:r>
              <w:rPr>
                <w:sz w:val="20"/>
              </w:rPr>
              <w:tab/>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3,675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 xml:space="preserve">Satellite Television Stations  (All Markets)   </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1,525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Construction Permits – Satellite Television Stations</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960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Low Power TV, Class A TV, TV/FM Translators &amp; Boosters (47 CFR part 74)</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410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s>
              <w:suppressAutoHyphens/>
              <w:spacing w:before="90" w:after="54"/>
              <w:ind w:left="3600" w:hanging="3600"/>
              <w:rPr>
                <w:sz w:val="20"/>
              </w:rPr>
            </w:pPr>
            <w:r>
              <w:rPr>
                <w:sz w:val="20"/>
              </w:rPr>
              <w:t>Broadcast Auxiliaries (47 CFR part 74)</w:t>
            </w:r>
            <w:r>
              <w:rPr>
                <w:sz w:val="20"/>
              </w:rPr>
              <w:tab/>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10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CARS (47 CFR part 78)</w:t>
            </w:r>
            <w:r>
              <w:rPr>
                <w:sz w:val="20"/>
              </w:rPr>
              <w:tab/>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510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Cable Television Systems (per subscriber) (47 CFR part 76)</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1.02</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Interstate Telecommunication Service Providers (per revenue dollar)</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.00347</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Earth Stations (47 CFR part 25)</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275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Space Stations (per operational station in geostationary orbit) (47 CFR part 25) also includes DBS Service (per operational station) (47 CFR part 100)</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jc w:val="center"/>
              <w:rPr>
                <w:sz w:val="20"/>
              </w:rPr>
            </w:pPr>
          </w:p>
          <w:p w:rsidR="00E77FDE" w:rsidRDefault="00E77FDE" w:rsidP="003F3153">
            <w:pPr>
              <w:tabs>
                <w:tab w:val="left" w:pos="-1440"/>
                <w:tab w:val="left" w:pos="-720"/>
              </w:tabs>
              <w:suppressAutoHyphens/>
              <w:spacing w:after="54"/>
              <w:jc w:val="center"/>
              <w:rPr>
                <w:sz w:val="20"/>
              </w:rPr>
            </w:pPr>
            <w:r>
              <w:rPr>
                <w:sz w:val="20"/>
              </w:rPr>
              <w:t>139,100</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Space Stations (per operational system in non-geostationary orbit) (47 CFR part 25)</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149,875</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s>
              <w:suppressAutoHyphens/>
              <w:spacing w:before="90" w:after="54"/>
              <w:rPr>
                <w:sz w:val="20"/>
              </w:rPr>
            </w:pPr>
            <w:r>
              <w:rPr>
                <w:sz w:val="20"/>
              </w:rPr>
              <w:t>International Bearer Circuits - Terrestrial/Satellites (per 64KB circuit)</w:t>
            </w:r>
            <w:r>
              <w:rPr>
                <w:sz w:val="20"/>
                <w:vertAlign w:val="superscript"/>
              </w:rPr>
              <w:t xml:space="preserve"> </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.27</w:t>
            </w:r>
          </w:p>
        </w:tc>
      </w:tr>
      <w:tr w:rsidR="00E77FDE" w:rsidTr="003F3153">
        <w:tc>
          <w:tcPr>
            <w:tcW w:w="702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 xml:space="preserve">International Bearer Circuits - Submarine Cable </w:t>
            </w:r>
          </w:p>
        </w:tc>
        <w:tc>
          <w:tcPr>
            <w:tcW w:w="1530" w:type="dxa"/>
            <w:tcBorders>
              <w:top w:val="single" w:sz="6" w:space="0" w:color="auto"/>
              <w:left w:val="single" w:sz="6" w:space="0" w:color="auto"/>
              <w:right w:val="double" w:sz="6" w:space="0" w:color="auto"/>
            </w:tcBorders>
          </w:tcPr>
          <w:p w:rsidR="00E77FDE" w:rsidRDefault="00E77FDE" w:rsidP="003F3153">
            <w:pPr>
              <w:tabs>
                <w:tab w:val="left" w:pos="-1440"/>
                <w:tab w:val="left" w:pos="-720"/>
              </w:tabs>
              <w:suppressAutoHyphens/>
              <w:spacing w:before="90" w:after="54"/>
              <w:jc w:val="center"/>
              <w:rPr>
                <w:sz w:val="20"/>
              </w:rPr>
            </w:pPr>
            <w:r>
              <w:rPr>
                <w:sz w:val="20"/>
              </w:rPr>
              <w:t>See Table Below</w:t>
            </w:r>
          </w:p>
        </w:tc>
      </w:tr>
      <w:tr w:rsidR="00E77FDE" w:rsidTr="003F3153">
        <w:trPr>
          <w:trHeight w:val="57"/>
        </w:trPr>
        <w:tc>
          <w:tcPr>
            <w:tcW w:w="7020" w:type="dxa"/>
            <w:tcBorders>
              <w:top w:val="single" w:sz="6" w:space="0" w:color="auto"/>
              <w:left w:val="doub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b/>
            </w:r>
          </w:p>
        </w:tc>
        <w:tc>
          <w:tcPr>
            <w:tcW w:w="1530" w:type="dxa"/>
            <w:tcBorders>
              <w:top w:val="single" w:sz="6" w:space="0" w:color="auto"/>
              <w:left w:val="single" w:sz="6" w:space="0" w:color="auto"/>
              <w:bottom w:val="double" w:sz="6" w:space="0" w:color="auto"/>
              <w:right w:val="double" w:sz="6" w:space="0" w:color="auto"/>
            </w:tcBorders>
          </w:tcPr>
          <w:p w:rsidR="00E77FDE" w:rsidRDefault="00E77FDE" w:rsidP="003F3153">
            <w:pPr>
              <w:tabs>
                <w:tab w:val="center" w:pos="850"/>
              </w:tabs>
              <w:suppressAutoHyphens/>
              <w:spacing w:before="90" w:after="54"/>
              <w:jc w:val="center"/>
              <w:rPr>
                <w:sz w:val="20"/>
              </w:rPr>
            </w:pPr>
          </w:p>
        </w:tc>
      </w:tr>
    </w:tbl>
    <w:p w:rsidR="00E77FDE" w:rsidRDefault="00E77FDE" w:rsidP="000E1F2C">
      <w:pPr>
        <w:suppressAutoHyphens/>
        <w:outlineLvl w:val="0"/>
        <w:rPr>
          <w:sz w:val="20"/>
        </w:rPr>
      </w:pP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rFonts w:ascii="Times New Roman Bold" w:hAnsi="Times New Roman Bold"/>
          <w:b/>
          <w:szCs w:val="22"/>
        </w:rPr>
      </w:pPr>
      <w:r>
        <w:rPr>
          <w:sz w:val="20"/>
        </w:rPr>
        <w:br w:type="page"/>
      </w:r>
      <w:bookmarkStart w:id="247" w:name="_Toc353987749"/>
      <w:bookmarkStart w:id="248" w:name="_Toc353988070"/>
      <w:r>
        <w:rPr>
          <w:b/>
          <w:szCs w:val="22"/>
        </w:rPr>
        <w:t xml:space="preserve">FY 2013 SCHEDULE OF REGULATORY FEES: </w:t>
      </w:r>
      <w:r>
        <w:rPr>
          <w:b/>
        </w:rPr>
        <w:t>Fee Rate Increases Capped at 7.5%</w:t>
      </w:r>
      <w:bookmarkStart w:id="249" w:name="_Toc353870723"/>
      <w:bookmarkStart w:id="250" w:name="_Toc353987750"/>
      <w:bookmarkStart w:id="251" w:name="_Toc353988071"/>
      <w:bookmarkEnd w:id="247"/>
      <w:bookmarkEnd w:id="248"/>
      <w:r>
        <w:rPr>
          <w:rFonts w:ascii="Times New Roman Bold" w:hAnsi="Times New Roman Bold"/>
          <w:b/>
          <w:szCs w:val="22"/>
        </w:rPr>
        <w:t xml:space="preserve"> </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rFonts w:ascii="Times New Roman Bold" w:hAnsi="Times New Roman Bold"/>
          <w:b/>
          <w:szCs w:val="22"/>
        </w:rPr>
      </w:pPr>
      <w:r>
        <w:rPr>
          <w:rFonts w:ascii="Times New Roman Bold" w:hAnsi="Times New Roman Bold"/>
          <w:b/>
          <w:szCs w:val="22"/>
        </w:rPr>
        <w:t>(continued)</w:t>
      </w:r>
      <w:bookmarkEnd w:id="249"/>
      <w:bookmarkEnd w:id="250"/>
      <w:bookmarkEnd w:id="251"/>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ind w:left="450"/>
        <w:rPr>
          <w:b/>
          <w:sz w:val="20"/>
        </w:rPr>
      </w:pPr>
    </w:p>
    <w:tbl>
      <w:tblPr>
        <w:tblW w:w="8550" w:type="dxa"/>
        <w:tblInd w:w="152" w:type="dxa"/>
        <w:tblLayout w:type="fixed"/>
        <w:tblCellMar>
          <w:left w:w="62" w:type="dxa"/>
          <w:right w:w="62" w:type="dxa"/>
        </w:tblCellMar>
        <w:tblLook w:val="0000" w:firstRow="0" w:lastRow="0" w:firstColumn="0" w:lastColumn="0" w:noHBand="0" w:noVBand="0"/>
      </w:tblPr>
      <w:tblGrid>
        <w:gridCol w:w="1890"/>
        <w:gridCol w:w="1080"/>
        <w:gridCol w:w="990"/>
        <w:gridCol w:w="900"/>
        <w:gridCol w:w="900"/>
        <w:gridCol w:w="1440"/>
        <w:gridCol w:w="1350"/>
      </w:tblGrid>
      <w:tr w:rsidR="00E77FDE" w:rsidTr="003F3153">
        <w:tc>
          <w:tcPr>
            <w:tcW w:w="8550" w:type="dxa"/>
            <w:gridSpan w:val="7"/>
            <w:tcBorders>
              <w:top w:val="double" w:sz="6" w:space="0" w:color="auto"/>
              <w:left w:val="doub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 xml:space="preserve">FY 2013 </w:t>
            </w:r>
            <w:r w:rsidR="00D40FAD">
              <w:rPr>
                <w:b/>
                <w:sz w:val="20"/>
              </w:rPr>
              <w:fldChar w:fldCharType="begin"/>
            </w:r>
            <w:r>
              <w:rPr>
                <w:b/>
                <w:sz w:val="20"/>
              </w:rPr>
              <w:instrText xml:space="preserve">PRIVATE </w:instrText>
            </w:r>
            <w:r w:rsidR="00D40FAD">
              <w:rPr>
                <w:b/>
                <w:sz w:val="20"/>
              </w:rPr>
              <w:fldChar w:fldCharType="end"/>
            </w:r>
            <w:r>
              <w:rPr>
                <w:b/>
                <w:sz w:val="20"/>
              </w:rPr>
              <w:t>RADIO STATION REGULATORY FEES</w:t>
            </w:r>
          </w:p>
        </w:tc>
      </w:tr>
      <w:tr w:rsidR="00E77FDE" w:rsidRPr="00445C3B" w:rsidTr="003F3153">
        <w:tc>
          <w:tcPr>
            <w:tcW w:w="189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rPr>
            </w:pPr>
            <w:r>
              <w:rPr>
                <w:b/>
                <w:sz w:val="20"/>
              </w:rPr>
              <w:t xml:space="preserve">Population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rPr>
            </w:pPr>
            <w:r>
              <w:rPr>
                <w:b/>
                <w:sz w:val="20"/>
              </w:rPr>
              <w:t>Served</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A</w:t>
            </w:r>
          </w:p>
        </w:tc>
        <w:tc>
          <w:tcPr>
            <w:tcW w:w="99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B</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C</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D</w:t>
            </w:r>
          </w:p>
        </w:tc>
        <w:tc>
          <w:tcPr>
            <w:tcW w:w="1440" w:type="dxa"/>
            <w:tcBorders>
              <w:top w:val="single" w:sz="6" w:space="0" w:color="auto"/>
              <w:left w:val="single" w:sz="6" w:space="0" w:color="auto"/>
            </w:tcBorders>
          </w:tcPr>
          <w:p w:rsidR="00E77FDE" w:rsidRPr="00445C3B"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lang w:val="pt-BR"/>
              </w:rPr>
            </w:pPr>
            <w:r w:rsidRPr="00445C3B">
              <w:rPr>
                <w:b/>
                <w:sz w:val="20"/>
                <w:lang w:val="pt-BR"/>
              </w:rPr>
              <w:t>FM Classes</w:t>
            </w:r>
          </w:p>
          <w:p w:rsidR="00E77FDE" w:rsidRPr="00445C3B"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lang w:val="pt-BR"/>
              </w:rPr>
            </w:pPr>
            <w:r w:rsidRPr="00445C3B">
              <w:rPr>
                <w:b/>
                <w:sz w:val="20"/>
                <w:lang w:val="pt-BR"/>
              </w:rPr>
              <w:t>A, B1 &amp; C3</w:t>
            </w:r>
          </w:p>
        </w:tc>
        <w:tc>
          <w:tcPr>
            <w:tcW w:w="1350" w:type="dxa"/>
            <w:tcBorders>
              <w:top w:val="single" w:sz="6" w:space="0" w:color="auto"/>
              <w:left w:val="single" w:sz="6" w:space="0" w:color="auto"/>
              <w:right w:val="double" w:sz="6" w:space="0" w:color="auto"/>
            </w:tcBorders>
          </w:tcPr>
          <w:p w:rsidR="00E77FDE" w:rsidRPr="00445C3B"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lang w:val="pt-BR"/>
              </w:rPr>
            </w:pPr>
            <w:r w:rsidRPr="00445C3B">
              <w:rPr>
                <w:b/>
                <w:sz w:val="20"/>
                <w:lang w:val="pt-BR"/>
              </w:rPr>
              <w:t>FM Classes</w:t>
            </w:r>
          </w:p>
          <w:p w:rsidR="00E77FDE" w:rsidRPr="00445C3B"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lang w:val="pt-BR"/>
              </w:rPr>
            </w:pPr>
            <w:r w:rsidRPr="00445C3B">
              <w:rPr>
                <w:b/>
                <w:sz w:val="20"/>
                <w:lang w:val="pt-BR"/>
              </w:rPr>
              <w:t>B, C, C0, C1 &amp; C2</w:t>
            </w:r>
          </w:p>
        </w:tc>
      </w:tr>
      <w:tr w:rsidR="00E77FDE" w:rsidTr="003F3153">
        <w:tc>
          <w:tcPr>
            <w:tcW w:w="189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&lt;=25,000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$775</w:t>
            </w:r>
          </w:p>
        </w:tc>
        <w:tc>
          <w:tcPr>
            <w:tcW w:w="99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$645</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$590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$670</w:t>
            </w:r>
          </w:p>
        </w:tc>
        <w:tc>
          <w:tcPr>
            <w:tcW w:w="144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$750</w:t>
            </w:r>
          </w:p>
        </w:tc>
        <w:tc>
          <w:tcPr>
            <w:tcW w:w="135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$925</w:t>
            </w:r>
          </w:p>
        </w:tc>
      </w:tr>
      <w:tr w:rsidR="00E77FDE" w:rsidTr="003F3153">
        <w:tc>
          <w:tcPr>
            <w:tcW w:w="189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25,001 – 75,000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$1,550</w:t>
            </w:r>
          </w:p>
        </w:tc>
        <w:tc>
          <w:tcPr>
            <w:tcW w:w="99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$1,300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$900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$1,000</w:t>
            </w:r>
          </w:p>
        </w:tc>
        <w:tc>
          <w:tcPr>
            <w:tcW w:w="144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$1,500</w:t>
            </w:r>
          </w:p>
        </w:tc>
        <w:tc>
          <w:tcPr>
            <w:tcW w:w="135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$1,625</w:t>
            </w:r>
          </w:p>
        </w:tc>
      </w:tr>
      <w:tr w:rsidR="00E77FDE" w:rsidTr="003F3153">
        <w:tc>
          <w:tcPr>
            <w:tcW w:w="189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75,001 – 150,000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$2,325</w:t>
            </w:r>
          </w:p>
        </w:tc>
        <w:tc>
          <w:tcPr>
            <w:tcW w:w="99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$1,625</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$1,200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$1,675</w:t>
            </w:r>
          </w:p>
        </w:tc>
        <w:tc>
          <w:tcPr>
            <w:tcW w:w="144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$2,050</w:t>
            </w:r>
          </w:p>
        </w:tc>
        <w:tc>
          <w:tcPr>
            <w:tcW w:w="135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$3,000</w:t>
            </w:r>
          </w:p>
        </w:tc>
      </w:tr>
      <w:tr w:rsidR="00E77FDE" w:rsidTr="003F3153">
        <w:tc>
          <w:tcPr>
            <w:tcW w:w="189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150,001 – 500,000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$3,475</w:t>
            </w:r>
          </w:p>
        </w:tc>
        <w:tc>
          <w:tcPr>
            <w:tcW w:w="99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$2,750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$1,800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$2,025</w:t>
            </w:r>
          </w:p>
        </w:tc>
        <w:tc>
          <w:tcPr>
            <w:tcW w:w="144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$3,175</w:t>
            </w:r>
          </w:p>
        </w:tc>
        <w:tc>
          <w:tcPr>
            <w:tcW w:w="135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$3,925</w:t>
            </w:r>
          </w:p>
        </w:tc>
      </w:tr>
      <w:tr w:rsidR="00E77FDE" w:rsidTr="003F3153">
        <w:tc>
          <w:tcPr>
            <w:tcW w:w="1890" w:type="dxa"/>
            <w:tcBorders>
              <w:top w:val="single" w:sz="6" w:space="0" w:color="auto"/>
              <w:lef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500,001 – 1,200,000</w:t>
            </w:r>
          </w:p>
        </w:tc>
        <w:tc>
          <w:tcPr>
            <w:tcW w:w="108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$5,025</w:t>
            </w:r>
          </w:p>
        </w:tc>
        <w:tc>
          <w:tcPr>
            <w:tcW w:w="99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$4,225</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$3,000</w:t>
            </w:r>
          </w:p>
        </w:tc>
        <w:tc>
          <w:tcPr>
            <w:tcW w:w="90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$3,375</w:t>
            </w:r>
          </w:p>
        </w:tc>
        <w:tc>
          <w:tcPr>
            <w:tcW w:w="1440" w:type="dxa"/>
            <w:tcBorders>
              <w:top w:val="single" w:sz="6" w:space="0" w:color="auto"/>
              <w:left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$5,050</w:t>
            </w:r>
          </w:p>
        </w:tc>
        <w:tc>
          <w:tcPr>
            <w:tcW w:w="1350" w:type="dxa"/>
            <w:tcBorders>
              <w:top w:val="single" w:sz="6" w:space="0" w:color="auto"/>
              <w:left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$5,775</w:t>
            </w:r>
          </w:p>
        </w:tc>
      </w:tr>
      <w:tr w:rsidR="00E77FDE" w:rsidTr="003F3153">
        <w:trPr>
          <w:trHeight w:val="361"/>
        </w:trPr>
        <w:tc>
          <w:tcPr>
            <w:tcW w:w="1890" w:type="dxa"/>
            <w:tcBorders>
              <w:top w:val="single" w:sz="6" w:space="0" w:color="auto"/>
              <w:left w:val="double" w:sz="6" w:space="0" w:color="auto"/>
              <w:bottom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1,200,001 – 3,000,00</w:t>
            </w:r>
          </w:p>
        </w:tc>
        <w:tc>
          <w:tcPr>
            <w:tcW w:w="1080" w:type="dxa"/>
            <w:tcBorders>
              <w:top w:val="single" w:sz="6" w:space="0" w:color="auto"/>
              <w:left w:val="single" w:sz="6" w:space="0" w:color="auto"/>
              <w:bottom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$7,750</w:t>
            </w:r>
          </w:p>
        </w:tc>
        <w:tc>
          <w:tcPr>
            <w:tcW w:w="990" w:type="dxa"/>
            <w:tcBorders>
              <w:top w:val="single" w:sz="6" w:space="0" w:color="auto"/>
              <w:left w:val="single" w:sz="6" w:space="0" w:color="auto"/>
              <w:bottom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$6,500</w:t>
            </w:r>
          </w:p>
        </w:tc>
        <w:tc>
          <w:tcPr>
            <w:tcW w:w="900" w:type="dxa"/>
            <w:tcBorders>
              <w:top w:val="single" w:sz="6" w:space="0" w:color="auto"/>
              <w:left w:val="single" w:sz="6" w:space="0" w:color="auto"/>
              <w:bottom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$4,500</w:t>
            </w:r>
          </w:p>
        </w:tc>
        <w:tc>
          <w:tcPr>
            <w:tcW w:w="900" w:type="dxa"/>
            <w:tcBorders>
              <w:top w:val="single" w:sz="6" w:space="0" w:color="auto"/>
              <w:left w:val="single" w:sz="6" w:space="0" w:color="auto"/>
              <w:bottom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$5,400</w:t>
            </w:r>
          </w:p>
        </w:tc>
        <w:tc>
          <w:tcPr>
            <w:tcW w:w="1440" w:type="dxa"/>
            <w:tcBorders>
              <w:top w:val="single" w:sz="6" w:space="0" w:color="auto"/>
              <w:left w:val="single" w:sz="6" w:space="0" w:color="auto"/>
              <w:bottom w:val="sing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$8,250</w:t>
            </w:r>
          </w:p>
        </w:tc>
        <w:tc>
          <w:tcPr>
            <w:tcW w:w="1350" w:type="dxa"/>
            <w:tcBorders>
              <w:top w:val="single" w:sz="6" w:space="0" w:color="auto"/>
              <w:left w:val="single" w:sz="6" w:space="0" w:color="auto"/>
              <w:bottom w:val="sing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$9,250</w:t>
            </w:r>
          </w:p>
        </w:tc>
      </w:tr>
      <w:tr w:rsidR="00E77FDE" w:rsidTr="003F3153">
        <w:tc>
          <w:tcPr>
            <w:tcW w:w="1890" w:type="dxa"/>
            <w:tcBorders>
              <w:top w:val="single" w:sz="6" w:space="0" w:color="auto"/>
              <w:left w:val="doub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&gt;3,000,000</w:t>
            </w:r>
          </w:p>
        </w:tc>
        <w:tc>
          <w:tcPr>
            <w:tcW w:w="108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$9,300</w:t>
            </w:r>
          </w:p>
        </w:tc>
        <w:tc>
          <w:tcPr>
            <w:tcW w:w="99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$7,800</w:t>
            </w:r>
          </w:p>
        </w:tc>
        <w:tc>
          <w:tcPr>
            <w:tcW w:w="90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$5,700</w:t>
            </w:r>
          </w:p>
        </w:tc>
        <w:tc>
          <w:tcPr>
            <w:tcW w:w="90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$6,750</w:t>
            </w:r>
          </w:p>
        </w:tc>
        <w:tc>
          <w:tcPr>
            <w:tcW w:w="1440" w:type="dxa"/>
            <w:tcBorders>
              <w:top w:val="single" w:sz="6" w:space="0" w:color="auto"/>
              <w:left w:val="single" w:sz="6" w:space="0" w:color="auto"/>
              <w:bottom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$10,500</w:t>
            </w:r>
          </w:p>
        </w:tc>
        <w:tc>
          <w:tcPr>
            <w:tcW w:w="1350" w:type="dxa"/>
            <w:tcBorders>
              <w:top w:val="single" w:sz="6" w:space="0" w:color="auto"/>
              <w:left w:val="single" w:sz="6" w:space="0" w:color="auto"/>
              <w:bottom w:val="double" w:sz="6" w:space="0" w:color="auto"/>
              <w:right w:val="double" w:sz="6" w:space="0" w:color="auto"/>
            </w:tcBorders>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$12,025</w:t>
            </w:r>
          </w:p>
        </w:tc>
      </w:tr>
    </w:tbl>
    <w:p w:rsidR="00E77FDE" w:rsidRDefault="00E77FDE" w:rsidP="00E77FDE">
      <w:pPr>
        <w:tabs>
          <w:tab w:val="right" w:pos="10080"/>
        </w:tabs>
        <w:suppressAutoHyphens/>
        <w:ind w:left="450"/>
        <w:jc w:val="center"/>
        <w:outlineLvl w:val="0"/>
        <w:rPr>
          <w:b/>
          <w:szCs w:val="22"/>
        </w:rPr>
      </w:pP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b/>
        </w:rPr>
      </w:pPr>
      <w:bookmarkStart w:id="252" w:name="_Toc353870724"/>
      <w:bookmarkStart w:id="253" w:name="_Toc353987751"/>
      <w:bookmarkStart w:id="254" w:name="_Toc353988072"/>
      <w:r>
        <w:rPr>
          <w:b/>
          <w:szCs w:val="22"/>
        </w:rPr>
        <w:t xml:space="preserve">FY 2013 SCHEDULE OF REGULATORY FEES: </w:t>
      </w:r>
      <w:r>
        <w:rPr>
          <w:b/>
        </w:rPr>
        <w:t>Fee Rate Increases</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b/>
          <w:szCs w:val="22"/>
        </w:rPr>
      </w:pPr>
      <w:r>
        <w:rPr>
          <w:b/>
        </w:rPr>
        <w:t>Capped at 7.5%</w:t>
      </w:r>
    </w:p>
    <w:p w:rsidR="00E77FDE" w:rsidRDefault="00E77FDE" w:rsidP="00E77FDE">
      <w:pPr>
        <w:tabs>
          <w:tab w:val="right" w:pos="10080"/>
        </w:tabs>
        <w:suppressAutoHyphens/>
        <w:ind w:left="450"/>
        <w:jc w:val="center"/>
        <w:outlineLvl w:val="0"/>
        <w:rPr>
          <w:b/>
          <w:szCs w:val="22"/>
        </w:rPr>
      </w:pPr>
      <w:r>
        <w:rPr>
          <w:b/>
          <w:szCs w:val="22"/>
        </w:rPr>
        <w:t>International Bearer Circuits - Submarine Cable</w:t>
      </w:r>
    </w:p>
    <w:p w:rsidR="00E77FDE" w:rsidRDefault="00E77FDE" w:rsidP="00E77FDE">
      <w:pPr>
        <w:tabs>
          <w:tab w:val="left" w:pos="-1440"/>
          <w:tab w:val="left" w:pos="-720"/>
          <w:tab w:val="left" w:pos="0"/>
          <w:tab w:val="left" w:pos="720"/>
          <w:tab w:val="left" w:pos="1440"/>
          <w:tab w:val="left" w:pos="2160"/>
          <w:tab w:val="left" w:pos="2880"/>
          <w:tab w:val="left" w:pos="3600"/>
          <w:tab w:val="left" w:pos="4680"/>
          <w:tab w:val="left" w:pos="504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E77FDE" w:rsidTr="003F3153">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Submarine Cable Systems</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 w:val="20"/>
              </w:rPr>
            </w:pPr>
            <w:r>
              <w:rPr>
                <w:sz w:val="20"/>
              </w:rPr>
              <w:t>(capacity as of December 31, 2012)</w:t>
            </w:r>
          </w:p>
        </w:tc>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spacing w:val="-3"/>
                <w:szCs w:val="22"/>
              </w:rPr>
              <w:t>Fee amount</w:t>
            </w:r>
          </w:p>
        </w:tc>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spacing w:val="-3"/>
                <w:szCs w:val="22"/>
              </w:rPr>
              <w:t>Address</w:t>
            </w:r>
          </w:p>
        </w:tc>
      </w:tr>
      <w:tr w:rsidR="00E77FDE" w:rsidTr="003F3153">
        <w:trPr>
          <w:trHeight w:val="1034"/>
        </w:trPr>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b/>
                <w:szCs w:val="22"/>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b/>
                <w:spacing w:val="-3"/>
                <w:szCs w:val="22"/>
              </w:rPr>
            </w:pPr>
            <w:r>
              <w:rPr>
                <w:b/>
                <w:szCs w:val="22"/>
              </w:rPr>
              <w:t>&lt; 2.5 Gbps</w:t>
            </w:r>
          </w:p>
        </w:tc>
        <w:tc>
          <w:tcPr>
            <w:tcW w:w="3192" w:type="dxa"/>
            <w:vAlign w:val="center"/>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bCs/>
                <w:szCs w:val="22"/>
              </w:rPr>
              <w:t>$13,600</w:t>
            </w:r>
          </w:p>
        </w:tc>
        <w:tc>
          <w:tcPr>
            <w:tcW w:w="3192" w:type="dxa"/>
          </w:tcPr>
          <w:p w:rsidR="00E77FDE" w:rsidRDefault="00E77FDE" w:rsidP="003F3153">
            <w:pPr>
              <w:rPr>
                <w:szCs w:val="22"/>
              </w:rPr>
            </w:pPr>
            <w:r>
              <w:rPr>
                <w:szCs w:val="22"/>
              </w:rPr>
              <w:t>FCC, International, P.O. Box 979084, St. Louis, MO 63197-9000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tc>
      </w:tr>
      <w:tr w:rsidR="00E77FDE" w:rsidTr="003F3153">
        <w:trPr>
          <w:trHeight w:val="1034"/>
        </w:trPr>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r>
              <w:rPr>
                <w:b/>
                <w:szCs w:val="22"/>
              </w:rPr>
              <w:t>2.5 Gbps or greater, but less than 5 Gbps</w:t>
            </w:r>
          </w:p>
        </w:tc>
        <w:tc>
          <w:tcPr>
            <w:tcW w:w="3192" w:type="dxa"/>
            <w:vAlign w:val="center"/>
          </w:tcPr>
          <w:p w:rsidR="00E77FDE" w:rsidRDefault="00E77FDE" w:rsidP="003F3153">
            <w:pPr>
              <w:jc w:val="center"/>
              <w:rPr>
                <w:bCs/>
                <w:szCs w:val="22"/>
              </w:rPr>
            </w:pPr>
            <w:r>
              <w:rPr>
                <w:bCs/>
                <w:szCs w:val="22"/>
              </w:rPr>
              <w:t>$27,200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E77FDE" w:rsidRDefault="00E77FDE" w:rsidP="003F3153">
            <w:pPr>
              <w:rPr>
                <w:szCs w:val="22"/>
              </w:rPr>
            </w:pPr>
            <w:r>
              <w:rPr>
                <w:szCs w:val="22"/>
              </w:rPr>
              <w:t>FCC, International, P.O. Box 979084, St. Louis, MO 63197-9000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E77FDE" w:rsidTr="003F3153">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r>
              <w:rPr>
                <w:b/>
                <w:szCs w:val="22"/>
              </w:rPr>
              <w:t>5 Gbps or greater, but less than 10 Gbps</w:t>
            </w:r>
          </w:p>
        </w:tc>
        <w:tc>
          <w:tcPr>
            <w:tcW w:w="3192" w:type="dxa"/>
            <w:vAlign w:val="center"/>
          </w:tcPr>
          <w:p w:rsidR="00E77FDE" w:rsidRDefault="00E77FDE" w:rsidP="003F3153">
            <w:pPr>
              <w:jc w:val="center"/>
              <w:rPr>
                <w:bCs/>
                <w:szCs w:val="22"/>
              </w:rPr>
            </w:pPr>
            <w:r>
              <w:rPr>
                <w:bCs/>
                <w:szCs w:val="22"/>
              </w:rPr>
              <w:t xml:space="preserve">$54,425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E77FDE" w:rsidRDefault="00E77FDE" w:rsidP="003F3153">
            <w:pPr>
              <w:rPr>
                <w:szCs w:val="22"/>
              </w:rPr>
            </w:pPr>
            <w:r>
              <w:rPr>
                <w:szCs w:val="22"/>
              </w:rPr>
              <w:t>FCC, International, P.O. Box 979084, St. Louis, MO 63197-9000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E77FDE" w:rsidTr="003F3153">
        <w:trPr>
          <w:trHeight w:val="998"/>
        </w:trPr>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10 Gbps or greater, but less than 20 Gbps</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p>
        </w:tc>
        <w:tc>
          <w:tcPr>
            <w:tcW w:w="3192" w:type="dxa"/>
            <w:vAlign w:val="center"/>
          </w:tcPr>
          <w:p w:rsidR="00E77FDE" w:rsidRDefault="00E77FDE" w:rsidP="003F3153">
            <w:pPr>
              <w:jc w:val="center"/>
              <w:rPr>
                <w:bCs/>
                <w:szCs w:val="22"/>
              </w:rPr>
            </w:pPr>
            <w:r>
              <w:rPr>
                <w:bCs/>
                <w:szCs w:val="22"/>
              </w:rPr>
              <w:t xml:space="preserve">$108,850 </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E77FDE" w:rsidRDefault="00E77FDE" w:rsidP="003F3153">
            <w:pPr>
              <w:rPr>
                <w:spacing w:val="-3"/>
                <w:szCs w:val="22"/>
              </w:rPr>
            </w:pPr>
            <w:r>
              <w:rPr>
                <w:szCs w:val="22"/>
              </w:rPr>
              <w:t>FCC, International, P.O. Box 979084, St. Louis, MO 63197-9000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E77FDE" w:rsidTr="003F3153">
        <w:trPr>
          <w:trHeight w:val="998"/>
        </w:trPr>
        <w:tc>
          <w:tcPr>
            <w:tcW w:w="3192" w:type="dxa"/>
          </w:tcPr>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20 Gbps or greater</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p>
        </w:tc>
        <w:tc>
          <w:tcPr>
            <w:tcW w:w="3192" w:type="dxa"/>
            <w:vAlign w:val="center"/>
          </w:tcPr>
          <w:p w:rsidR="00E77FDE" w:rsidRDefault="00E77FDE" w:rsidP="003F3153">
            <w:pPr>
              <w:jc w:val="center"/>
            </w:pPr>
            <w:r>
              <w:rPr>
                <w:bCs/>
                <w:szCs w:val="22"/>
              </w:rPr>
              <w:t>$217,675</w:t>
            </w:r>
          </w:p>
        </w:tc>
        <w:tc>
          <w:tcPr>
            <w:tcW w:w="3192" w:type="dxa"/>
          </w:tcPr>
          <w:p w:rsidR="00E77FDE" w:rsidRDefault="00E77FDE" w:rsidP="003F3153">
            <w:pPr>
              <w:rPr>
                <w:spacing w:val="-3"/>
              </w:rPr>
            </w:pPr>
            <w:r>
              <w:rPr>
                <w:szCs w:val="22"/>
              </w:rPr>
              <w:t>FCC, International, P.O. Box 979084, St. Louis, MO 63197-9000</w:t>
            </w:r>
          </w:p>
          <w:p w:rsidR="00E77FDE" w:rsidRDefault="00E77FDE" w:rsidP="003F3153">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tc>
      </w:tr>
      <w:bookmarkEnd w:id="252"/>
      <w:bookmarkEnd w:id="253"/>
      <w:bookmarkEnd w:id="254"/>
    </w:tbl>
    <w:p w:rsidR="00E77FDE" w:rsidRDefault="00E77FDE" w:rsidP="00E77FDE"/>
    <w:p w:rsidR="00E77FDE" w:rsidRDefault="00E77FDE">
      <w:pPr>
        <w:widowControl/>
      </w:pPr>
      <w:r>
        <w:br w:type="page"/>
      </w:r>
    </w:p>
    <w:p w:rsidR="0008039F" w:rsidRDefault="0008039F" w:rsidP="0008039F">
      <w:pPr>
        <w:autoSpaceDE w:val="0"/>
        <w:autoSpaceDN w:val="0"/>
        <w:adjustRightInd w:val="0"/>
        <w:jc w:val="center"/>
        <w:rPr>
          <w:b/>
        </w:rPr>
      </w:pPr>
      <w:r>
        <w:rPr>
          <w:b/>
        </w:rPr>
        <w:t>ATTACHMENT D</w:t>
      </w:r>
    </w:p>
    <w:p w:rsidR="0008039F" w:rsidRDefault="0008039F" w:rsidP="0008039F">
      <w:pPr>
        <w:autoSpaceDE w:val="0"/>
        <w:autoSpaceDN w:val="0"/>
        <w:adjustRightInd w:val="0"/>
        <w:jc w:val="center"/>
        <w:rPr>
          <w:sz w:val="24"/>
          <w:szCs w:val="24"/>
        </w:rPr>
      </w:pPr>
    </w:p>
    <w:p w:rsidR="0008039F" w:rsidRDefault="0008039F" w:rsidP="0008039F">
      <w:pPr>
        <w:jc w:val="center"/>
        <w:rPr>
          <w:b/>
        </w:rPr>
      </w:pPr>
      <w:r>
        <w:rPr>
          <w:b/>
        </w:rPr>
        <w:t>Sources of Payment Unit Estimates for FY 2013</w:t>
      </w:r>
    </w:p>
    <w:p w:rsidR="0008039F" w:rsidRDefault="0008039F" w:rsidP="0008039F">
      <w:pPr>
        <w:jc w:val="center"/>
        <w:rPr>
          <w:b/>
        </w:rPr>
      </w:pPr>
    </w:p>
    <w:p w:rsidR="0008039F" w:rsidRDefault="0008039F" w:rsidP="0008039F">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r>
        <w:t xml:space="preserve">In order to calculate individual service fees for FY 2013, we adjusted FY 2012 payment units for each service to more accurately reflect expected FY 2013 payment liabilities.  </w:t>
      </w:r>
      <w:r>
        <w:rPr>
          <w:spacing w:val="-2"/>
          <w:szCs w:val="22"/>
        </w:rPr>
        <w:t xml:space="preserve">We obtained our updated estimates through a variety of means. For example, we used Commission licensee data bases, actual prior year payment records and industry and trade association projections when available.  The databases we consulted include </w:t>
      </w:r>
      <w:r>
        <w:rPr>
          <w:szCs w:val="22"/>
        </w:rPr>
        <w:t xml:space="preserve">our </w:t>
      </w:r>
      <w:r>
        <w:t>Universal Licensing System (“ULS”), International Bureau Filing System (“IBFS”), Consolidated Database System (“CDBS”) and Cable Operations and Licensing System (“COALS”)</w:t>
      </w:r>
      <w:r>
        <w:rPr>
          <w:szCs w:val="22"/>
        </w:rPr>
        <w:t xml:space="preserve">, as well as reports generated within the Commission such as the Wireline Competition Bureau’s </w:t>
      </w:r>
      <w:r>
        <w:rPr>
          <w:i/>
          <w:szCs w:val="22"/>
        </w:rPr>
        <w:t>Trends in Telephone Service</w:t>
      </w:r>
      <w:r>
        <w:rPr>
          <w:szCs w:val="22"/>
        </w:rPr>
        <w:t xml:space="preserve"> and the Wireless Telecommunications Bureau’s </w:t>
      </w:r>
      <w:r>
        <w:rPr>
          <w:i/>
          <w:szCs w:val="22"/>
        </w:rPr>
        <w:t>Numbering Resource Utilization Forecast</w:t>
      </w:r>
      <w:r>
        <w:rPr>
          <w:szCs w:val="22"/>
        </w:rPr>
        <w:t xml:space="preserve">.  </w:t>
      </w:r>
    </w:p>
    <w:p w:rsidR="0008039F" w:rsidRDefault="0008039F" w:rsidP="0008039F">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 w:val="20"/>
        </w:rPr>
      </w:pPr>
    </w:p>
    <w:p w:rsidR="0008039F" w:rsidRDefault="0008039F" w:rsidP="0008039F">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r>
        <w:rPr>
          <w:spacing w:val="-2"/>
          <w:szCs w:val="22"/>
        </w:rPr>
        <w:t>We sought verification for these estimates from multiple sources and, in all cases; we compared FY 2013 estimates with actual FY 2012 payment units to ensure that our revised estimates were reasonable.  Where appropriate, we adjusted and/or rounded our final estimates to take into consideration the fact that certain variables that impact on the number of payment units cannot yet be estimated with sufficient accuracy.  These include an unknown number of waivers and/or exemptions that may occur in FY 2013 and the fact that, in many services, the number of actual licensees or station operators fluctuates from time to time due to economic, technical, or other reasons.  When we note, for example, that our estimated FY 2013 payment units are based on FY 2012 actual payment units, it does not necessarily mean that our FY 2013 projection is exactly the same number as in FY 2012.  We have either rounded the FY 2013 number or adjusted it slightly to account for these variables.</w:t>
      </w:r>
    </w:p>
    <w:p w:rsidR="0008039F" w:rsidRDefault="0008039F" w:rsidP="0008039F">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p>
    <w:p w:rsidR="0008039F" w:rsidRDefault="0008039F" w:rsidP="0008039F">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p>
    <w:p w:rsidR="0008039F" w:rsidRDefault="0008039F" w:rsidP="0008039F">
      <w:pPr>
        <w:tabs>
          <w:tab w:val="left" w:pos="-1440"/>
          <w:tab w:val="left" w:pos="-720"/>
          <w:tab w:val="left" w:pos="0"/>
          <w:tab w:val="left" w:pos="720"/>
          <w:tab w:val="left" w:pos="1440"/>
          <w:tab w:val="left" w:pos="2160"/>
          <w:tab w:val="left" w:pos="2880"/>
          <w:tab w:val="left" w:pos="3600"/>
          <w:tab w:val="left" w:pos="4680"/>
          <w:tab w:val="left" w:pos="5040"/>
        </w:tabs>
        <w:suppressAutoHyphens/>
        <w:ind w:left="-720"/>
        <w:rPr>
          <w:sz w:val="20"/>
        </w:rPr>
      </w:pPr>
      <w:r>
        <w:rPr>
          <w:sz w:val="20"/>
        </w:rPr>
        <w:t xml:space="preserve"> </w:t>
      </w:r>
    </w:p>
    <w:tbl>
      <w:tblPr>
        <w:tblW w:w="8640" w:type="dxa"/>
        <w:tblInd w:w="120" w:type="dxa"/>
        <w:tblLayout w:type="fixed"/>
        <w:tblCellMar>
          <w:left w:w="120" w:type="dxa"/>
          <w:right w:w="120" w:type="dxa"/>
        </w:tblCellMar>
        <w:tblLook w:val="0000" w:firstRow="0" w:lastRow="0" w:firstColumn="0" w:lastColumn="0" w:noHBand="0" w:noVBand="0"/>
      </w:tblPr>
      <w:tblGrid>
        <w:gridCol w:w="2978"/>
        <w:gridCol w:w="5662"/>
      </w:tblGrid>
      <w:tr w:rsidR="0008039F" w:rsidTr="00755B84">
        <w:tc>
          <w:tcPr>
            <w:tcW w:w="2978" w:type="dxa"/>
            <w:tcBorders>
              <w:top w:val="double" w:sz="6" w:space="0" w:color="auto"/>
              <w:left w:val="double" w:sz="6" w:space="0" w:color="auto"/>
            </w:tcBorders>
          </w:tcPr>
          <w:p w:rsidR="0008039F" w:rsidRDefault="00D40FAD"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jc w:val="center"/>
              <w:rPr>
                <w:b/>
                <w:sz w:val="20"/>
              </w:rPr>
            </w:pPr>
            <w:r>
              <w:rPr>
                <w:sz w:val="20"/>
              </w:rPr>
              <w:fldChar w:fldCharType="begin"/>
            </w:r>
            <w:r w:rsidR="0008039F">
              <w:rPr>
                <w:sz w:val="20"/>
              </w:rPr>
              <w:instrText xml:space="preserve">PRIVATE </w:instrText>
            </w:r>
            <w:r>
              <w:rPr>
                <w:sz w:val="20"/>
              </w:rPr>
              <w:fldChar w:fldCharType="end"/>
            </w:r>
            <w:r w:rsidR="0008039F">
              <w:rPr>
                <w:b/>
                <w:sz w:val="20"/>
              </w:rPr>
              <w:t>FEE CATEGORY</w:t>
            </w:r>
          </w:p>
        </w:tc>
        <w:tc>
          <w:tcPr>
            <w:tcW w:w="5662" w:type="dxa"/>
            <w:tcBorders>
              <w:top w:val="doub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jc w:val="center"/>
              <w:rPr>
                <w:b/>
                <w:sz w:val="20"/>
              </w:rPr>
            </w:pPr>
            <w:r>
              <w:rPr>
                <w:b/>
                <w:sz w:val="20"/>
              </w:rPr>
              <w:t>SOURCES OF PAYMENT UNIT ESTIMATES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Land Mobile (All), Microwave, 218-219 MHz, Marine (Ship &amp; Coast), Aviation (Aircraft &amp; Ground), GMRS, Amateur Vanity Call Signs, Domestic Public Fixed </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Wireless Telecommunications Bureau (“WTB”) projections of new applications and renewals taking into consideration existing Commission licensee data bases. Aviation (Aircraft) and Marine (Ship) estimates have been adjusted to take into consideration the licensing of portions of these services on a voluntary basis.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CMRS Cellular/Mobile Services </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WTB projection reports, and FY 12 payment data. </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CMRS Messaging Services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WTB reports, and FY 12 payment data.  </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AM/FM Radio Stations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CDBS data, adjusted for exemptions, and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UHF/VHF Television Stations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CDBS data, adjusted for exemptions, and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AM/FM/TV Construction Permits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CDBS data, adjusted for exemptions, and actual FY 2012 payment units. </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LPTV, Translators and Boosters, Class A Television</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CDBS data, adjusted for exemptions, and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Broadcast Auxiliaries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BRS (formerly MDS/MMDS)</w:t>
            </w:r>
          </w:p>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LMDS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WTB reports and actual FY 2012 payment units.</w:t>
            </w:r>
          </w:p>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WTB reports and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Cable Television Relay Service (“CARS”) Stations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data from Media Bureau’s COALS database and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Cable Television System Subscribers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publicly available data sources for estimated subscriber counts and actual FY 2011 payment units. </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Interstate Telecommunication Service Providers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FCC Form 499-Q data for the four quarters of calendar year 2012, the Wireline Competition Bureau projected the amount of calendar year 2012 revenue that will be reported on 2013 FCC Form 499-A worksheets in April, 2013.</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Earth Stations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International Bureau (“IB”) licensing data and actual FY 2012 payment units.</w:t>
            </w:r>
          </w:p>
        </w:tc>
      </w:tr>
      <w:tr w:rsidR="0008039F" w:rsidTr="00755B84">
        <w:tc>
          <w:tcPr>
            <w:tcW w:w="2978" w:type="dxa"/>
            <w:tcBorders>
              <w:top w:val="single" w:sz="6" w:space="0" w:color="auto"/>
              <w:lef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Space Stations (GSOs &amp; NGSOs)</w:t>
            </w:r>
          </w:p>
        </w:tc>
        <w:tc>
          <w:tcPr>
            <w:tcW w:w="5662" w:type="dxa"/>
            <w:tcBorders>
              <w:top w:val="single" w:sz="6" w:space="0" w:color="auto"/>
              <w:left w:val="sing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IB data reports and actual FY 2012 payment units.</w:t>
            </w:r>
          </w:p>
        </w:tc>
      </w:tr>
      <w:tr w:rsidR="0008039F" w:rsidTr="00755B84">
        <w:tc>
          <w:tcPr>
            <w:tcW w:w="2978" w:type="dxa"/>
            <w:tcBorders>
              <w:top w:val="single" w:sz="6" w:space="0" w:color="auto"/>
              <w:left w:val="double" w:sz="6" w:space="0" w:color="auto"/>
              <w:bottom w:val="single" w:sz="8"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International Bearer Circuits</w:t>
            </w:r>
          </w:p>
        </w:tc>
        <w:tc>
          <w:tcPr>
            <w:tcW w:w="5662" w:type="dxa"/>
            <w:tcBorders>
              <w:top w:val="single" w:sz="6" w:space="0" w:color="auto"/>
              <w:left w:val="single" w:sz="6" w:space="0" w:color="auto"/>
              <w:bottom w:val="single" w:sz="8"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IB reports and submissions by licensees.</w:t>
            </w:r>
          </w:p>
        </w:tc>
      </w:tr>
      <w:tr w:rsidR="0008039F" w:rsidTr="00755B84">
        <w:tc>
          <w:tcPr>
            <w:tcW w:w="2978" w:type="dxa"/>
            <w:tcBorders>
              <w:top w:val="single" w:sz="8" w:space="0" w:color="auto"/>
              <w:left w:val="double" w:sz="6" w:space="0" w:color="auto"/>
              <w:bottom w:val="double" w:sz="6" w:space="0" w:color="auto"/>
              <w:right w:val="single" w:sz="8"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Submarine Cable Licenses</w:t>
            </w:r>
          </w:p>
        </w:tc>
        <w:tc>
          <w:tcPr>
            <w:tcW w:w="5662" w:type="dxa"/>
            <w:tcBorders>
              <w:top w:val="single" w:sz="8" w:space="0" w:color="auto"/>
              <w:left w:val="single" w:sz="8" w:space="0" w:color="auto"/>
              <w:bottom w:val="double" w:sz="6" w:space="0" w:color="auto"/>
              <w:right w:val="double" w:sz="6" w:space="0" w:color="auto"/>
            </w:tcBorders>
          </w:tcPr>
          <w:p w:rsidR="0008039F" w:rsidRDefault="0008039F" w:rsidP="00755B8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IB license information.</w:t>
            </w:r>
          </w:p>
        </w:tc>
      </w:tr>
    </w:tbl>
    <w:p w:rsidR="0008039F" w:rsidRDefault="0008039F" w:rsidP="0008039F"/>
    <w:p w:rsidR="0008039F" w:rsidRDefault="0008039F" w:rsidP="0008039F">
      <w:pPr>
        <w:tabs>
          <w:tab w:val="right" w:pos="10080"/>
        </w:tabs>
        <w:suppressAutoHyphens/>
        <w:ind w:left="450"/>
        <w:jc w:val="center"/>
        <w:outlineLvl w:val="0"/>
        <w:rPr>
          <w:b/>
          <w:szCs w:val="22"/>
        </w:rPr>
      </w:pPr>
      <w:r>
        <w:br w:type="page"/>
      </w:r>
      <w:bookmarkStart w:id="255" w:name="_Toc351484783"/>
      <w:bookmarkStart w:id="256" w:name="_Toc351484829"/>
      <w:bookmarkStart w:id="257" w:name="_Toc351484971"/>
      <w:bookmarkStart w:id="258" w:name="_Toc351571080"/>
      <w:bookmarkStart w:id="259" w:name="_Toc351572444"/>
      <w:bookmarkStart w:id="260" w:name="_Toc353032075"/>
      <w:bookmarkStart w:id="261" w:name="_Toc352943208"/>
      <w:bookmarkStart w:id="262" w:name="_Toc352943657"/>
      <w:bookmarkStart w:id="263" w:name="_Toc353870727"/>
      <w:bookmarkStart w:id="264" w:name="_Toc353987754"/>
      <w:bookmarkStart w:id="265" w:name="_Toc353988075"/>
      <w:r>
        <w:rPr>
          <w:b/>
        </w:rPr>
        <w:t>ATTACHMENT E</w:t>
      </w:r>
      <w:bookmarkEnd w:id="255"/>
      <w:bookmarkEnd w:id="256"/>
      <w:bookmarkEnd w:id="257"/>
      <w:bookmarkEnd w:id="258"/>
      <w:bookmarkEnd w:id="259"/>
      <w:bookmarkEnd w:id="260"/>
      <w:bookmarkEnd w:id="261"/>
      <w:bookmarkEnd w:id="262"/>
      <w:bookmarkEnd w:id="263"/>
      <w:bookmarkEnd w:id="264"/>
      <w:bookmarkEnd w:id="265"/>
    </w:p>
    <w:p w:rsidR="0008039F" w:rsidRDefault="0008039F" w:rsidP="0008039F">
      <w:pPr>
        <w:tabs>
          <w:tab w:val="right" w:pos="10080"/>
        </w:tabs>
        <w:suppressAutoHyphens/>
        <w:ind w:left="450"/>
        <w:jc w:val="center"/>
        <w:outlineLvl w:val="0"/>
        <w:rPr>
          <w:b/>
          <w:szCs w:val="22"/>
        </w:rPr>
      </w:pPr>
    </w:p>
    <w:p w:rsidR="0008039F" w:rsidRDefault="0008039F" w:rsidP="0008039F">
      <w:pPr>
        <w:tabs>
          <w:tab w:val="right" w:pos="10080"/>
        </w:tabs>
        <w:suppressAutoHyphens/>
        <w:ind w:left="450"/>
        <w:jc w:val="center"/>
        <w:outlineLvl w:val="0"/>
        <w:rPr>
          <w:b/>
          <w:szCs w:val="22"/>
        </w:rPr>
      </w:pPr>
      <w:bookmarkStart w:id="266" w:name="_Toc351484784"/>
      <w:bookmarkStart w:id="267" w:name="_Toc351484830"/>
      <w:bookmarkStart w:id="268" w:name="_Toc351484972"/>
      <w:bookmarkStart w:id="269" w:name="_Toc351571081"/>
      <w:bookmarkStart w:id="270" w:name="_Toc351572445"/>
      <w:bookmarkStart w:id="271" w:name="_Toc353032076"/>
      <w:bookmarkStart w:id="272" w:name="_Toc352943209"/>
      <w:bookmarkStart w:id="273" w:name="_Toc352943658"/>
      <w:bookmarkStart w:id="274" w:name="_Toc353870728"/>
      <w:bookmarkStart w:id="275" w:name="_Toc353987755"/>
      <w:bookmarkStart w:id="276" w:name="_Toc353988076"/>
      <w:r>
        <w:rPr>
          <w:b/>
          <w:szCs w:val="22"/>
        </w:rPr>
        <w:t>Factors, Measurements, and Calculations That Determines Station</w:t>
      </w:r>
      <w:bookmarkEnd w:id="266"/>
      <w:bookmarkEnd w:id="267"/>
      <w:bookmarkEnd w:id="268"/>
      <w:bookmarkEnd w:id="269"/>
      <w:bookmarkEnd w:id="270"/>
      <w:bookmarkEnd w:id="271"/>
      <w:bookmarkEnd w:id="272"/>
      <w:bookmarkEnd w:id="273"/>
      <w:bookmarkEnd w:id="274"/>
      <w:bookmarkEnd w:id="275"/>
      <w:bookmarkEnd w:id="276"/>
    </w:p>
    <w:p w:rsidR="0008039F" w:rsidRDefault="0008039F" w:rsidP="0008039F">
      <w:pPr>
        <w:tabs>
          <w:tab w:val="right" w:pos="10080"/>
        </w:tabs>
        <w:suppressAutoHyphens/>
        <w:ind w:left="450"/>
        <w:jc w:val="center"/>
        <w:outlineLvl w:val="0"/>
        <w:rPr>
          <w:b/>
          <w:szCs w:val="22"/>
        </w:rPr>
      </w:pPr>
      <w:bookmarkStart w:id="277" w:name="_Toc351484785"/>
      <w:bookmarkStart w:id="278" w:name="_Toc351484831"/>
      <w:bookmarkStart w:id="279" w:name="_Toc351484973"/>
      <w:bookmarkStart w:id="280" w:name="_Toc351571082"/>
      <w:bookmarkStart w:id="281" w:name="_Toc351572446"/>
      <w:bookmarkStart w:id="282" w:name="_Toc353032077"/>
      <w:bookmarkStart w:id="283" w:name="_Toc352943210"/>
      <w:bookmarkStart w:id="284" w:name="_Toc352943659"/>
      <w:bookmarkStart w:id="285" w:name="_Toc353870729"/>
      <w:bookmarkStart w:id="286" w:name="_Toc353987756"/>
      <w:bookmarkStart w:id="287" w:name="_Toc353988077"/>
      <w:r>
        <w:rPr>
          <w:b/>
          <w:szCs w:val="22"/>
        </w:rPr>
        <w:t>Signal Contours and Associated Population Coverages</w:t>
      </w:r>
      <w:bookmarkEnd w:id="277"/>
      <w:bookmarkEnd w:id="278"/>
      <w:bookmarkEnd w:id="279"/>
      <w:bookmarkEnd w:id="280"/>
      <w:bookmarkEnd w:id="281"/>
      <w:bookmarkEnd w:id="282"/>
      <w:bookmarkEnd w:id="283"/>
      <w:bookmarkEnd w:id="284"/>
      <w:bookmarkEnd w:id="285"/>
      <w:bookmarkEnd w:id="286"/>
      <w:bookmarkEnd w:id="287"/>
    </w:p>
    <w:p w:rsidR="0008039F" w:rsidRDefault="0008039F" w:rsidP="0008039F">
      <w:pPr>
        <w:tabs>
          <w:tab w:val="right" w:pos="10080"/>
        </w:tabs>
        <w:suppressAutoHyphens/>
        <w:ind w:left="450"/>
        <w:jc w:val="center"/>
        <w:outlineLvl w:val="0"/>
        <w:rPr>
          <w:b/>
          <w:szCs w:val="22"/>
        </w:rPr>
      </w:pPr>
    </w:p>
    <w:p w:rsidR="0008039F" w:rsidRDefault="0008039F" w:rsidP="000E1F2C">
      <w:pPr>
        <w:suppressAutoHyphens/>
        <w:ind w:left="720" w:right="720"/>
        <w:outlineLvl w:val="0"/>
        <w:rPr>
          <w:b/>
          <w:spacing w:val="-3"/>
          <w:szCs w:val="22"/>
          <w:u w:val="single"/>
        </w:rPr>
      </w:pPr>
      <w:bookmarkStart w:id="288" w:name="_Toc351484786"/>
      <w:bookmarkStart w:id="289" w:name="_Toc351484832"/>
      <w:bookmarkStart w:id="290" w:name="_Toc351484974"/>
      <w:bookmarkStart w:id="291" w:name="_Toc351571083"/>
      <w:bookmarkStart w:id="292" w:name="_Toc351572447"/>
      <w:bookmarkStart w:id="293" w:name="_Toc353032078"/>
      <w:bookmarkStart w:id="294" w:name="_Toc352943211"/>
      <w:bookmarkStart w:id="295" w:name="_Toc352943660"/>
      <w:bookmarkStart w:id="296" w:name="_Toc353870730"/>
      <w:bookmarkStart w:id="297" w:name="_Toc353987757"/>
      <w:bookmarkStart w:id="298" w:name="_Toc353988078"/>
      <w:r>
        <w:rPr>
          <w:b/>
          <w:spacing w:val="-3"/>
          <w:szCs w:val="22"/>
          <w:u w:val="single"/>
        </w:rPr>
        <w:t xml:space="preserve">AM </w:t>
      </w:r>
      <w:r>
        <w:rPr>
          <w:b/>
          <w:szCs w:val="22"/>
          <w:u w:val="single"/>
        </w:rPr>
        <w:t>Stations</w:t>
      </w:r>
      <w:bookmarkEnd w:id="288"/>
      <w:bookmarkEnd w:id="289"/>
      <w:bookmarkEnd w:id="290"/>
      <w:bookmarkEnd w:id="291"/>
      <w:bookmarkEnd w:id="292"/>
      <w:bookmarkEnd w:id="293"/>
      <w:bookmarkEnd w:id="294"/>
      <w:bookmarkEnd w:id="295"/>
      <w:bookmarkEnd w:id="296"/>
      <w:bookmarkEnd w:id="297"/>
      <w:bookmarkEnd w:id="298"/>
    </w:p>
    <w:p w:rsidR="0008039F" w:rsidRDefault="0008039F" w:rsidP="000E1F2C">
      <w:pPr>
        <w:suppressAutoHyphens/>
        <w:rPr>
          <w:spacing w:val="-3"/>
          <w:szCs w:val="22"/>
        </w:rPr>
      </w:pPr>
    </w:p>
    <w:p w:rsidR="0008039F" w:rsidRDefault="0008039F" w:rsidP="000E1F2C">
      <w:pPr>
        <w:suppressAutoHyphens/>
        <w:ind w:left="720"/>
        <w:rPr>
          <w:szCs w:val="22"/>
        </w:rPr>
      </w:pPr>
      <w:r>
        <w:rPr>
          <w:szCs w:val="22"/>
        </w:rPr>
        <w:t>For stations with nondirectional daytime antennas, the theoretical radiation was used at all azimuths.  For stations with directional daytime antennas, specific information on each day tower, including field ratio, phase, spacing, and orientation was retrieved, as well as the theoretical pattern root-mean-square of the radiation in all directions in the horizontal plane (“RMS”) figure (milliVolt per meter (mV/m) @ 1 km) for the antenna system.  The standard, or augmented standard if pertinent, horizontal plane radiation pattern was calculated using techniques and methods specified in §§73.150 and 73.152 of the Commission's rules.</w:t>
      </w:r>
      <w:r>
        <w:rPr>
          <w:szCs w:val="22"/>
          <w:vertAlign w:val="superscript"/>
        </w:rPr>
        <w:t>1</w:t>
      </w:r>
      <w:r>
        <w:rPr>
          <w:szCs w:val="22"/>
        </w:rPr>
        <w:t xml:space="preserve">  Radiation values were calculated for each of 360 radials around the transmitter site.  Next, estimated soil conductivity data was retrieved from a database representing the information in FCC Figure R3.</w:t>
      </w:r>
      <w:r>
        <w:rPr>
          <w:szCs w:val="22"/>
          <w:vertAlign w:val="superscript"/>
        </w:rPr>
        <w:t>2</w:t>
      </w:r>
      <w:r>
        <w:rPr>
          <w:szCs w:val="22"/>
        </w:rPr>
        <w:t xml:space="preserve">  Using the calculated horizontal radiation values, and the retrieved soil conductivity data, the distance to the principal community (5 mV/m) contour was predicted for each of the 360 radials.  The resulting distance to principal community contours were used to form a geographical polygon.  Population counting was accomplished by determining which 2010 block centroids were contained in the polygon.  (A block centroid is the center point of a small area containing population as computed by the U.S. Census Bureau.)  The sum of the population figures for all enclosed blocks represents the total population for the predicted principal community coverage area.</w:t>
      </w:r>
    </w:p>
    <w:p w:rsidR="0008039F" w:rsidRDefault="0008039F" w:rsidP="000E1F2C">
      <w:pPr>
        <w:suppressAutoHyphens/>
        <w:rPr>
          <w:szCs w:val="22"/>
        </w:rPr>
      </w:pPr>
    </w:p>
    <w:p w:rsidR="0008039F" w:rsidRDefault="0008039F" w:rsidP="000E1F2C">
      <w:pPr>
        <w:suppressAutoHyphens/>
        <w:rPr>
          <w:b/>
          <w:szCs w:val="22"/>
        </w:rPr>
      </w:pPr>
      <w:r>
        <w:rPr>
          <w:b/>
          <w:szCs w:val="22"/>
        </w:rPr>
        <w:tab/>
      </w:r>
      <w:r>
        <w:rPr>
          <w:b/>
          <w:szCs w:val="22"/>
          <w:u w:val="single"/>
        </w:rPr>
        <w:t>FM Stations</w:t>
      </w:r>
    </w:p>
    <w:p w:rsidR="0008039F" w:rsidRDefault="0008039F" w:rsidP="000E1F2C">
      <w:pPr>
        <w:suppressAutoHyphens/>
        <w:rPr>
          <w:szCs w:val="22"/>
        </w:rPr>
      </w:pPr>
    </w:p>
    <w:p w:rsidR="0008039F" w:rsidRDefault="0008039F" w:rsidP="000E1F2C">
      <w:pPr>
        <w:suppressAutoHyphens/>
        <w:ind w:left="720"/>
      </w:pPr>
      <w:r>
        <w:rPr>
          <w:szCs w:val="22"/>
        </w:rPr>
        <w:t>The greater of the horizontal or vertical effective radiated power (“ERP”) (kW) and respective height above average terrain (“HAAT”) (m) combination was used.  Where the antenna height above mean sea level (“HAMSL”) was available, it was used in lieu of the average HAAT figure to calculate specific HAAT figures for each of 360 radials under study.  Any available directional pattern information was applied as well, to produce a radial-specific ERP figure.  The HAAT and ERP figures were used in conjunction with the Field Strength (50-50) propagation curves specified in 47 C.F.R. §73.313 of the Commission's rules to predict the distance to the principal community (70 dBu (decibel above 1 microVolt per meter) or 3.17 mV/m) contour for each of the 360 radials.</w:t>
      </w:r>
      <w:r>
        <w:rPr>
          <w:szCs w:val="22"/>
          <w:vertAlign w:val="superscript"/>
        </w:rPr>
        <w:t>3</w:t>
      </w:r>
      <w:r>
        <w:rPr>
          <w:szCs w:val="22"/>
        </w:rPr>
        <w:t xml:space="preserve">  The resulting distance to principal community contours were used to form a geographical polygon.  Population counting was accomplished by determining which 2010 block centroids were contained in the polygon.  The sum of the population figures for all enclosed blocks represents the total population for the predicted principal community coverage area.</w:t>
      </w:r>
      <w:r>
        <w:t xml:space="preserve"> </w:t>
      </w:r>
    </w:p>
    <w:p w:rsidR="0056530B" w:rsidRDefault="0056530B" w:rsidP="000E1F2C">
      <w:pPr>
        <w:suppressAutoHyphens/>
        <w:ind w:left="720"/>
      </w:pPr>
    </w:p>
    <w:p w:rsidR="0056530B" w:rsidRDefault="0056530B" w:rsidP="000E1F2C">
      <w:pPr>
        <w:suppressAutoHyphens/>
        <w:ind w:left="720"/>
      </w:pPr>
    </w:p>
    <w:p w:rsidR="0056530B" w:rsidRDefault="0056530B" w:rsidP="000E1F2C">
      <w:pPr>
        <w:suppressAutoHyphens/>
        <w:ind w:left="720"/>
      </w:pPr>
    </w:p>
    <w:p w:rsidR="000E1F2C" w:rsidRDefault="000E1F2C" w:rsidP="000E1F2C">
      <w:pPr>
        <w:suppressAutoHyphens/>
        <w:ind w:left="720"/>
      </w:pPr>
    </w:p>
    <w:p w:rsidR="000E1F2C" w:rsidRDefault="000E1F2C" w:rsidP="000E1F2C">
      <w:pPr>
        <w:suppressAutoHyphens/>
        <w:ind w:left="720"/>
      </w:pPr>
    </w:p>
    <w:p w:rsidR="0056530B" w:rsidRPr="0056530B" w:rsidRDefault="0056530B" w:rsidP="000E1F2C">
      <w:pPr>
        <w:suppressAutoHyphens/>
        <w:spacing w:after="120"/>
        <w:ind w:left="720"/>
        <w:rPr>
          <w:sz w:val="20"/>
        </w:rPr>
      </w:pPr>
      <w:r>
        <w:rPr>
          <w:sz w:val="20"/>
          <w:vertAlign w:val="superscript"/>
        </w:rPr>
        <w:t xml:space="preserve">1 </w:t>
      </w:r>
      <w:r w:rsidRPr="0056530B">
        <w:rPr>
          <w:sz w:val="20"/>
        </w:rPr>
        <w:t>47 C.F.R. §§ 73.150 and 73.152.</w:t>
      </w:r>
    </w:p>
    <w:p w:rsidR="0056530B" w:rsidRPr="0056530B" w:rsidRDefault="00A81C2D" w:rsidP="000E1F2C">
      <w:pPr>
        <w:suppressAutoHyphens/>
        <w:spacing w:after="120"/>
        <w:ind w:left="720"/>
        <w:rPr>
          <w:sz w:val="20"/>
        </w:rPr>
      </w:pPr>
      <w:r>
        <w:rPr>
          <w:sz w:val="20"/>
          <w:vertAlign w:val="superscript"/>
        </w:rPr>
        <w:t xml:space="preserve">2 </w:t>
      </w:r>
      <w:r w:rsidR="0056530B" w:rsidRPr="0056530B">
        <w:rPr>
          <w:sz w:val="20"/>
        </w:rPr>
        <w:t>See Map of Estimated Effective Ground Conductivity in the United States, 47 C.F.R. § 73.190 Figure R3.</w:t>
      </w:r>
    </w:p>
    <w:p w:rsidR="0056530B" w:rsidRDefault="00A81C2D" w:rsidP="000E1F2C">
      <w:pPr>
        <w:suppressAutoHyphens/>
        <w:spacing w:after="120"/>
        <w:ind w:left="720"/>
      </w:pPr>
      <w:r>
        <w:rPr>
          <w:sz w:val="20"/>
          <w:vertAlign w:val="superscript"/>
        </w:rPr>
        <w:t xml:space="preserve">3 </w:t>
      </w:r>
      <w:r w:rsidR="0056530B" w:rsidRPr="0056530B">
        <w:rPr>
          <w:sz w:val="20"/>
        </w:rPr>
        <w:t>47 C.F.R. § 73.313</w:t>
      </w:r>
    </w:p>
    <w:p w:rsidR="000E1F2C" w:rsidRDefault="000E1F2C">
      <w:pPr>
        <w:widowControl/>
      </w:pPr>
      <w:bookmarkStart w:id="299" w:name="_Toc93825446"/>
      <w:bookmarkStart w:id="300" w:name="_Toc93825447"/>
      <w:bookmarkStart w:id="301" w:name="_Toc93825448"/>
      <w:bookmarkStart w:id="302" w:name="_Toc93825449"/>
      <w:bookmarkStart w:id="303" w:name="_Toc93825450"/>
      <w:bookmarkEnd w:id="299"/>
      <w:bookmarkEnd w:id="300"/>
      <w:bookmarkEnd w:id="301"/>
      <w:bookmarkEnd w:id="302"/>
      <w:bookmarkEnd w:id="303"/>
      <w:r>
        <w:br w:type="page"/>
      </w:r>
    </w:p>
    <w:p w:rsidR="0033132C" w:rsidRDefault="00E33F68" w:rsidP="00E33F68">
      <w:pPr>
        <w:tabs>
          <w:tab w:val="left" w:pos="1440"/>
        </w:tabs>
        <w:suppressAutoHyphens/>
        <w:spacing w:line="240" w:lineRule="atLeast"/>
        <w:ind w:firstLine="720"/>
        <w:jc w:val="center"/>
        <w:rPr>
          <w:szCs w:val="22"/>
        </w:rPr>
      </w:pPr>
      <w:r>
        <w:t>A</w:t>
      </w:r>
      <w:r w:rsidR="0033132C" w:rsidRPr="007521D5">
        <w:rPr>
          <w:b/>
          <w:szCs w:val="22"/>
        </w:rPr>
        <w:t>TTACHMENT</w:t>
      </w:r>
      <w:r w:rsidR="0033132C">
        <w:rPr>
          <w:b/>
          <w:szCs w:val="22"/>
        </w:rPr>
        <w:t xml:space="preserve"> </w:t>
      </w:r>
      <w:r w:rsidR="008E7210">
        <w:rPr>
          <w:b/>
          <w:szCs w:val="22"/>
        </w:rPr>
        <w:t>F</w:t>
      </w:r>
    </w:p>
    <w:p w:rsidR="0033132C" w:rsidRDefault="0033132C" w:rsidP="0033132C">
      <w:pPr>
        <w:tabs>
          <w:tab w:val="left" w:pos="1440"/>
        </w:tabs>
        <w:suppressAutoHyphens/>
        <w:spacing w:line="240" w:lineRule="atLeast"/>
        <w:ind w:firstLine="720"/>
        <w:jc w:val="center"/>
        <w:rPr>
          <w:szCs w:val="22"/>
        </w:rPr>
      </w:pPr>
    </w:p>
    <w:p w:rsidR="00CC56FF" w:rsidRPr="007521D5" w:rsidRDefault="004B4EAD" w:rsidP="00CC56FF">
      <w:pPr>
        <w:tabs>
          <w:tab w:val="left" w:pos="1440"/>
        </w:tabs>
        <w:suppressAutoHyphens/>
        <w:spacing w:line="240" w:lineRule="atLeast"/>
        <w:ind w:firstLine="720"/>
        <w:jc w:val="center"/>
        <w:rPr>
          <w:b/>
          <w:spacing w:val="-2"/>
          <w:szCs w:val="22"/>
        </w:rPr>
      </w:pPr>
      <w:r>
        <w:rPr>
          <w:b/>
          <w:spacing w:val="-2"/>
          <w:szCs w:val="22"/>
        </w:rPr>
        <w:t>Final</w:t>
      </w:r>
      <w:r w:rsidR="00CC56FF" w:rsidRPr="007521D5">
        <w:rPr>
          <w:b/>
          <w:spacing w:val="-2"/>
          <w:szCs w:val="22"/>
        </w:rPr>
        <w:t xml:space="preserve"> Regulatory Flexibility Analysis</w:t>
      </w:r>
    </w:p>
    <w:p w:rsidR="00CC56FF" w:rsidRPr="007521D5" w:rsidRDefault="00CC56FF" w:rsidP="00CC56FF">
      <w:pPr>
        <w:tabs>
          <w:tab w:val="left" w:pos="1440"/>
        </w:tabs>
        <w:suppressAutoHyphens/>
        <w:spacing w:line="240" w:lineRule="atLeast"/>
        <w:ind w:firstLine="720"/>
        <w:jc w:val="center"/>
        <w:rPr>
          <w:b/>
          <w:spacing w:val="-2"/>
          <w:szCs w:val="22"/>
        </w:rPr>
      </w:pPr>
    </w:p>
    <w:p w:rsidR="00CC56FF" w:rsidRDefault="00CC56FF" w:rsidP="00CC56FF">
      <w:pPr>
        <w:tabs>
          <w:tab w:val="left" w:pos="1440"/>
        </w:tabs>
        <w:suppressAutoHyphens/>
        <w:spacing w:line="240" w:lineRule="atLeast"/>
        <w:ind w:firstLine="720"/>
        <w:rPr>
          <w:spacing w:val="-2"/>
          <w:szCs w:val="22"/>
        </w:rPr>
      </w:pPr>
      <w:r w:rsidRPr="007521D5">
        <w:rPr>
          <w:spacing w:val="-2"/>
          <w:szCs w:val="22"/>
        </w:rPr>
        <w:t>1.</w:t>
      </w:r>
      <w:r w:rsidRPr="007521D5">
        <w:rPr>
          <w:spacing w:val="-2"/>
          <w:szCs w:val="22"/>
        </w:rPr>
        <w:tab/>
        <w:t xml:space="preserve">As required by the Regulatory Flexibility Act </w:t>
      </w:r>
      <w:r w:rsidR="00F74BA2">
        <w:rPr>
          <w:spacing w:val="-2"/>
          <w:szCs w:val="22"/>
        </w:rPr>
        <w:t xml:space="preserve">of 1980, as amended </w:t>
      </w:r>
      <w:r w:rsidRPr="007521D5">
        <w:rPr>
          <w:spacing w:val="-2"/>
          <w:szCs w:val="22"/>
        </w:rPr>
        <w:t>(RFA),</w:t>
      </w:r>
      <w:r>
        <w:rPr>
          <w:rStyle w:val="FootnoteReference"/>
          <w:spacing w:val="-2"/>
          <w:szCs w:val="22"/>
        </w:rPr>
        <w:footnoteReference w:id="121"/>
      </w:r>
      <w:r>
        <w:rPr>
          <w:spacing w:val="-2"/>
          <w:szCs w:val="22"/>
        </w:rPr>
        <w:t xml:space="preserve"> </w:t>
      </w:r>
      <w:r w:rsidR="007153A1">
        <w:rPr>
          <w:spacing w:val="-2"/>
          <w:szCs w:val="22"/>
        </w:rPr>
        <w:t xml:space="preserve">an Initial Regulatory Flexibility Analysis (IRFA) was included in the </w:t>
      </w:r>
      <w:r w:rsidR="007153A1" w:rsidRPr="000A348F">
        <w:rPr>
          <w:i/>
          <w:szCs w:val="22"/>
        </w:rPr>
        <w:t>FY 2013 NPRM</w:t>
      </w:r>
      <w:r w:rsidR="007153A1">
        <w:rPr>
          <w:i/>
          <w:szCs w:val="22"/>
        </w:rPr>
        <w:t xml:space="preserve">.  </w:t>
      </w:r>
      <w:r w:rsidR="007153A1">
        <w:rPr>
          <w:szCs w:val="22"/>
        </w:rPr>
        <w:t>T</w:t>
      </w:r>
      <w:r w:rsidRPr="007521D5">
        <w:rPr>
          <w:spacing w:val="-2"/>
          <w:szCs w:val="22"/>
        </w:rPr>
        <w:t xml:space="preserve">he Commission </w:t>
      </w:r>
      <w:r w:rsidR="007153A1">
        <w:rPr>
          <w:spacing w:val="-2"/>
          <w:szCs w:val="22"/>
        </w:rPr>
        <w:t xml:space="preserve">sought written public comment on the proposals in the </w:t>
      </w:r>
      <w:r w:rsidR="007153A1" w:rsidRPr="000A348F">
        <w:rPr>
          <w:i/>
          <w:szCs w:val="22"/>
        </w:rPr>
        <w:t>FY 2013 NPRM</w:t>
      </w:r>
      <w:r w:rsidR="007153A1">
        <w:rPr>
          <w:szCs w:val="22"/>
        </w:rPr>
        <w:t>, including comment on the IRFA. T</w:t>
      </w:r>
      <w:r w:rsidRPr="007521D5">
        <w:rPr>
          <w:spacing w:val="-2"/>
          <w:szCs w:val="22"/>
        </w:rPr>
        <w:t xml:space="preserve">his </w:t>
      </w:r>
      <w:r w:rsidR="004B4EAD">
        <w:rPr>
          <w:spacing w:val="-2"/>
          <w:szCs w:val="22"/>
        </w:rPr>
        <w:t xml:space="preserve">Final </w:t>
      </w:r>
      <w:r w:rsidRPr="007521D5">
        <w:rPr>
          <w:spacing w:val="-2"/>
          <w:szCs w:val="22"/>
        </w:rPr>
        <w:t>Regulatory Flexibility Analysis (</w:t>
      </w:r>
      <w:r w:rsidR="004B4EAD">
        <w:rPr>
          <w:spacing w:val="-2"/>
          <w:szCs w:val="22"/>
        </w:rPr>
        <w:t>F</w:t>
      </w:r>
      <w:r w:rsidRPr="007521D5">
        <w:rPr>
          <w:spacing w:val="-2"/>
          <w:szCs w:val="22"/>
        </w:rPr>
        <w:t xml:space="preserve">RFA) </w:t>
      </w:r>
      <w:r w:rsidR="007153A1">
        <w:rPr>
          <w:spacing w:val="-2"/>
          <w:szCs w:val="22"/>
        </w:rPr>
        <w:t>conforms to the IRFA.</w:t>
      </w:r>
      <w:r w:rsidR="007153A1">
        <w:rPr>
          <w:rStyle w:val="FootnoteReference"/>
          <w:spacing w:val="-2"/>
          <w:szCs w:val="22"/>
        </w:rPr>
        <w:footnoteReference w:id="122"/>
      </w:r>
      <w:r w:rsidRPr="007521D5">
        <w:rPr>
          <w:spacing w:val="-2"/>
          <w:szCs w:val="22"/>
        </w:rPr>
        <w:t xml:space="preserve"> </w:t>
      </w:r>
    </w:p>
    <w:p w:rsidR="00CC56FF" w:rsidRPr="007521D5" w:rsidRDefault="00CC56FF" w:rsidP="00CC56FF">
      <w:pPr>
        <w:tabs>
          <w:tab w:val="left" w:pos="1440"/>
        </w:tabs>
        <w:suppressAutoHyphens/>
        <w:spacing w:line="240" w:lineRule="atLeast"/>
        <w:ind w:firstLine="720"/>
        <w:rPr>
          <w:spacing w:val="-2"/>
          <w:szCs w:val="22"/>
        </w:rPr>
      </w:pPr>
      <w:r w:rsidRPr="007521D5">
        <w:rPr>
          <w:spacing w:val="-2"/>
          <w:szCs w:val="22"/>
        </w:rPr>
        <w:t xml:space="preserve"> </w:t>
      </w:r>
    </w:p>
    <w:p w:rsidR="00CC56FF" w:rsidRPr="005E4686" w:rsidRDefault="00CC56FF" w:rsidP="00021D5D">
      <w:pPr>
        <w:pStyle w:val="Heading2"/>
      </w:pPr>
      <w:bookmarkStart w:id="304" w:name="_Toc353870731"/>
      <w:bookmarkStart w:id="305" w:name="_Toc353987758"/>
      <w:bookmarkStart w:id="306" w:name="_Toc353988079"/>
      <w:r w:rsidRPr="005E4686">
        <w:t>Need for, and Objectives of, the</w:t>
      </w:r>
      <w:r>
        <w:t xml:space="preserve"> </w:t>
      </w:r>
      <w:bookmarkEnd w:id="304"/>
      <w:bookmarkEnd w:id="305"/>
      <w:bookmarkEnd w:id="306"/>
      <w:r w:rsidR="007153A1">
        <w:t>Report and Order</w:t>
      </w:r>
      <w:r w:rsidRPr="005E4686">
        <w:t xml:space="preserve">  </w:t>
      </w:r>
    </w:p>
    <w:p w:rsidR="00136DD6" w:rsidRDefault="00CC56FF" w:rsidP="00B653CB">
      <w:pPr>
        <w:tabs>
          <w:tab w:val="left" w:pos="1440"/>
        </w:tabs>
        <w:suppressAutoHyphens/>
        <w:spacing w:line="240" w:lineRule="atLeast"/>
        <w:ind w:firstLine="720"/>
        <w:rPr>
          <w:szCs w:val="22"/>
        </w:rPr>
      </w:pPr>
      <w:r w:rsidRPr="007521D5">
        <w:rPr>
          <w:spacing w:val="-2"/>
          <w:szCs w:val="22"/>
        </w:rPr>
        <w:t>2.</w:t>
      </w:r>
      <w:r w:rsidRPr="007521D5">
        <w:rPr>
          <w:spacing w:val="-2"/>
          <w:szCs w:val="22"/>
        </w:rPr>
        <w:tab/>
      </w:r>
      <w:r w:rsidR="00B653CB" w:rsidRPr="00A1103B">
        <w:rPr>
          <w:szCs w:val="22"/>
        </w:rPr>
        <w:t xml:space="preserve">In this </w:t>
      </w:r>
      <w:r w:rsidR="00B653CB">
        <w:rPr>
          <w:szCs w:val="22"/>
        </w:rPr>
        <w:t xml:space="preserve">Report and Order, we conclude the Assessment and Collection of Regulatory Fees for Fiscal Year (FY) 2013 proceeding to collect </w:t>
      </w:r>
      <w:r w:rsidR="00B653CB" w:rsidRPr="00836FF4">
        <w:rPr>
          <w:szCs w:val="22"/>
        </w:rPr>
        <w:t>$339,844,000</w:t>
      </w:r>
      <w:r w:rsidR="00B653CB">
        <w:rPr>
          <w:szCs w:val="22"/>
        </w:rPr>
        <w:t xml:space="preserve"> in regulatory fees </w:t>
      </w:r>
      <w:r w:rsidR="00B653CB" w:rsidRPr="00836FF4">
        <w:rPr>
          <w:szCs w:val="22"/>
        </w:rPr>
        <w:t>for FY 2013, pursuant to Section 9 of the Communications Act</w:t>
      </w:r>
      <w:r w:rsidR="00B653CB" w:rsidRPr="00B653CB">
        <w:rPr>
          <w:rStyle w:val="FootnoteReference"/>
          <w:szCs w:val="22"/>
        </w:rPr>
        <w:t xml:space="preserve"> </w:t>
      </w:r>
      <w:r w:rsidR="00B653CB" w:rsidRPr="00963102">
        <w:rPr>
          <w:rStyle w:val="FootnoteReference"/>
          <w:szCs w:val="22"/>
        </w:rPr>
        <w:footnoteReference w:id="123"/>
      </w:r>
      <w:r w:rsidR="00B653CB" w:rsidRPr="00836FF4">
        <w:rPr>
          <w:szCs w:val="22"/>
        </w:rPr>
        <w:t xml:space="preserve"> </w:t>
      </w:r>
      <w:r w:rsidR="00B653CB" w:rsidRPr="00C5052D">
        <w:rPr>
          <w:szCs w:val="22"/>
        </w:rPr>
        <w:t>and the FY 2013 Continuing Appropriations Resolution.</w:t>
      </w:r>
      <w:r w:rsidR="00F06118" w:rsidRPr="00963102">
        <w:rPr>
          <w:rStyle w:val="FootnoteReference"/>
          <w:szCs w:val="22"/>
        </w:rPr>
        <w:footnoteReference w:id="124"/>
      </w:r>
      <w:r w:rsidR="00F06118" w:rsidRPr="00C5052D">
        <w:rPr>
          <w:szCs w:val="22"/>
        </w:rPr>
        <w:t xml:space="preserve"> </w:t>
      </w:r>
      <w:r w:rsidR="00B653CB" w:rsidRPr="00836FF4">
        <w:rPr>
          <w:szCs w:val="22"/>
        </w:rPr>
        <w:t xml:space="preserve">  </w:t>
      </w:r>
      <w:r w:rsidR="00B653CB">
        <w:rPr>
          <w:szCs w:val="22"/>
        </w:rPr>
        <w:t>These reg</w:t>
      </w:r>
      <w:r w:rsidR="006F1091">
        <w:rPr>
          <w:szCs w:val="22"/>
        </w:rPr>
        <w:t xml:space="preserve">ulatory fees will be due </w:t>
      </w:r>
      <w:r w:rsidR="00110F55">
        <w:rPr>
          <w:szCs w:val="22"/>
        </w:rPr>
        <w:t xml:space="preserve">in </w:t>
      </w:r>
      <w:r w:rsidR="006F1091">
        <w:rPr>
          <w:szCs w:val="22"/>
        </w:rPr>
        <w:t>September 2013</w:t>
      </w:r>
      <w:r w:rsidR="00B653CB">
        <w:rPr>
          <w:szCs w:val="22"/>
        </w:rPr>
        <w:t xml:space="preserve">.  </w:t>
      </w:r>
      <w:r w:rsidR="006F1091">
        <w:rPr>
          <w:szCs w:val="22"/>
        </w:rPr>
        <w:t>Under s</w:t>
      </w:r>
      <w:r w:rsidR="00B653CB" w:rsidRPr="00836FF4">
        <w:rPr>
          <w:szCs w:val="22"/>
        </w:rPr>
        <w:t xml:space="preserve">ection 9 </w:t>
      </w:r>
      <w:r w:rsidR="006F1091">
        <w:rPr>
          <w:szCs w:val="22"/>
        </w:rPr>
        <w:t xml:space="preserve">of the Communications Act, </w:t>
      </w:r>
      <w:r w:rsidR="00B653CB" w:rsidRPr="00836FF4">
        <w:rPr>
          <w:szCs w:val="22"/>
        </w:rPr>
        <w:t>regulatory fees are mandated by Congress</w:t>
      </w:r>
      <w:r w:rsidR="00B653CB" w:rsidRPr="00963102">
        <w:rPr>
          <w:szCs w:val="22"/>
        </w:rPr>
        <w:t xml:space="preserve"> and collected to recover the regulatory costs associated with the Commission’s enforcement, policy and rulemaking, user information, and international activities.</w:t>
      </w:r>
      <w:r w:rsidR="00B653CB" w:rsidRPr="00963102">
        <w:rPr>
          <w:rStyle w:val="FootnoteReference"/>
          <w:szCs w:val="22"/>
        </w:rPr>
        <w:footnoteReference w:id="125"/>
      </w:r>
      <w:r w:rsidR="00B653CB" w:rsidRPr="00C5052D">
        <w:rPr>
          <w:szCs w:val="22"/>
        </w:rPr>
        <w:t xml:space="preserve">  </w:t>
      </w:r>
      <w:r w:rsidR="00136DD6" w:rsidRPr="00A1103B">
        <w:rPr>
          <w:szCs w:val="22"/>
        </w:rPr>
        <w:t>In th</w:t>
      </w:r>
      <w:r w:rsidR="00233F8A">
        <w:rPr>
          <w:szCs w:val="22"/>
        </w:rPr>
        <w:t xml:space="preserve">e </w:t>
      </w:r>
      <w:r w:rsidR="00233F8A" w:rsidRPr="000A348F">
        <w:rPr>
          <w:i/>
          <w:szCs w:val="22"/>
        </w:rPr>
        <w:t>FY 2013 NPRM</w:t>
      </w:r>
      <w:r w:rsidR="00136DD6">
        <w:rPr>
          <w:szCs w:val="22"/>
        </w:rPr>
        <w:t xml:space="preserve"> </w:t>
      </w:r>
      <w:r w:rsidR="00885F6A">
        <w:rPr>
          <w:szCs w:val="22"/>
        </w:rPr>
        <w:t>we sought</w:t>
      </w:r>
      <w:r w:rsidR="00136DD6" w:rsidRPr="00A1103B">
        <w:rPr>
          <w:szCs w:val="22"/>
        </w:rPr>
        <w:t xml:space="preserve"> comment on </w:t>
      </w:r>
      <w:r w:rsidR="00136DD6">
        <w:rPr>
          <w:szCs w:val="22"/>
        </w:rPr>
        <w:t>our annual process of assessing regulatory fees to cover the Commission’s costs to offset the Commission’s FY 2013 appropriation, as directed by Congress.  W</w:t>
      </w:r>
      <w:r w:rsidR="00136DD6" w:rsidRPr="00A1103B">
        <w:rPr>
          <w:szCs w:val="22"/>
        </w:rPr>
        <w:t xml:space="preserve">e </w:t>
      </w:r>
      <w:r w:rsidR="00136DD6">
        <w:rPr>
          <w:szCs w:val="22"/>
        </w:rPr>
        <w:t xml:space="preserve">also </w:t>
      </w:r>
      <w:r w:rsidR="00CE11DB">
        <w:rPr>
          <w:szCs w:val="22"/>
        </w:rPr>
        <w:t>sought</w:t>
      </w:r>
      <w:r w:rsidR="00136DD6" w:rsidRPr="00A1103B">
        <w:rPr>
          <w:szCs w:val="22"/>
        </w:rPr>
        <w:t xml:space="preserve"> comment </w:t>
      </w:r>
      <w:r w:rsidR="0081289B">
        <w:rPr>
          <w:szCs w:val="22"/>
        </w:rPr>
        <w:t xml:space="preserve">in the </w:t>
      </w:r>
      <w:r w:rsidR="00233F8A">
        <w:rPr>
          <w:i/>
          <w:szCs w:val="22"/>
        </w:rPr>
        <w:t>FY 2013 NPRM</w:t>
      </w:r>
      <w:r w:rsidR="0081289B">
        <w:rPr>
          <w:szCs w:val="22"/>
        </w:rPr>
        <w:t xml:space="preserve"> </w:t>
      </w:r>
      <w:r w:rsidR="00136DD6" w:rsidRPr="00A1103B">
        <w:rPr>
          <w:szCs w:val="22"/>
        </w:rPr>
        <w:t>on reforming and revising our regulatory fee schedule for FY 2013 and beyond</w:t>
      </w:r>
      <w:r w:rsidR="00136DD6">
        <w:rPr>
          <w:szCs w:val="22"/>
        </w:rPr>
        <w:t xml:space="preserve"> to take into account changes in the communications industry and changes in the Commission’s regulatory processes and staffing in recent years</w:t>
      </w:r>
      <w:r w:rsidR="00136DD6" w:rsidRPr="00A1103B">
        <w:rPr>
          <w:szCs w:val="22"/>
        </w:rPr>
        <w:t>.</w:t>
      </w:r>
      <w:r w:rsidR="00136DD6">
        <w:rPr>
          <w:szCs w:val="22"/>
        </w:rPr>
        <w:t xml:space="preserve"> </w:t>
      </w:r>
      <w:r w:rsidR="00136DD6" w:rsidRPr="00A1103B">
        <w:rPr>
          <w:szCs w:val="22"/>
        </w:rPr>
        <w:t xml:space="preserve">  </w:t>
      </w:r>
    </w:p>
    <w:p w:rsidR="00136DD6" w:rsidRDefault="00136DD6" w:rsidP="000A348F">
      <w:pPr>
        <w:tabs>
          <w:tab w:val="left" w:pos="1440"/>
        </w:tabs>
        <w:suppressAutoHyphens/>
        <w:spacing w:line="240" w:lineRule="atLeast"/>
        <w:ind w:firstLine="720"/>
        <w:rPr>
          <w:szCs w:val="22"/>
        </w:rPr>
      </w:pPr>
    </w:p>
    <w:p w:rsidR="00136DD6" w:rsidRDefault="00136DD6" w:rsidP="000A348F">
      <w:pPr>
        <w:tabs>
          <w:tab w:val="left" w:pos="1440"/>
        </w:tabs>
        <w:suppressAutoHyphens/>
        <w:spacing w:line="240" w:lineRule="atLeast"/>
        <w:ind w:firstLine="720"/>
        <w:rPr>
          <w:szCs w:val="22"/>
        </w:rPr>
      </w:pPr>
      <w:r>
        <w:rPr>
          <w:szCs w:val="22"/>
        </w:rPr>
        <w:t>3.</w:t>
      </w:r>
      <w:r>
        <w:rPr>
          <w:szCs w:val="22"/>
        </w:rPr>
        <w:tab/>
        <w:t>Th</w:t>
      </w:r>
      <w:r w:rsidR="00233F8A">
        <w:rPr>
          <w:szCs w:val="22"/>
        </w:rPr>
        <w:t xml:space="preserve">e </w:t>
      </w:r>
      <w:r w:rsidR="00233F8A">
        <w:rPr>
          <w:i/>
          <w:szCs w:val="22"/>
        </w:rPr>
        <w:t xml:space="preserve">FY 2013 NPRM </w:t>
      </w:r>
      <w:r w:rsidR="00CE11DB" w:rsidRPr="00CE11DB">
        <w:rPr>
          <w:szCs w:val="22"/>
        </w:rPr>
        <w:t xml:space="preserve">sought </w:t>
      </w:r>
      <w:r>
        <w:rPr>
          <w:szCs w:val="22"/>
        </w:rPr>
        <w:t>comment on, among other things,</w:t>
      </w:r>
      <w:r>
        <w:t xml:space="preserve"> </w:t>
      </w:r>
      <w:r>
        <w:rPr>
          <w:szCs w:val="22"/>
        </w:rPr>
        <w:t xml:space="preserve">reallocating: (1) </w:t>
      </w:r>
      <w:r w:rsidRPr="00477D82">
        <w:rPr>
          <w:szCs w:val="22"/>
        </w:rPr>
        <w:t>direct FTEs</w:t>
      </w:r>
      <w:r w:rsidR="00D227C0">
        <w:rPr>
          <w:rStyle w:val="FootnoteReference"/>
          <w:szCs w:val="22"/>
        </w:rPr>
        <w:footnoteReference w:id="126"/>
      </w:r>
      <w:r w:rsidRPr="00477D82">
        <w:rPr>
          <w:szCs w:val="22"/>
        </w:rPr>
        <w:t xml:space="preserve"> </w:t>
      </w:r>
      <w:r w:rsidR="00233F8A">
        <w:rPr>
          <w:szCs w:val="22"/>
        </w:rPr>
        <w:t xml:space="preserve">currently allocated to the </w:t>
      </w:r>
      <w:r w:rsidRPr="00477D82">
        <w:rPr>
          <w:szCs w:val="22"/>
        </w:rPr>
        <w:t>I</w:t>
      </w:r>
      <w:r>
        <w:rPr>
          <w:szCs w:val="22"/>
        </w:rPr>
        <w:t>nterstate Telecommunications Service Providers (I</w:t>
      </w:r>
      <w:r w:rsidRPr="00477D82">
        <w:rPr>
          <w:szCs w:val="22"/>
        </w:rPr>
        <w:t>TSP</w:t>
      </w:r>
      <w:r>
        <w:rPr>
          <w:szCs w:val="22"/>
        </w:rPr>
        <w:t xml:space="preserve">s) </w:t>
      </w:r>
      <w:r w:rsidR="00233F8A">
        <w:rPr>
          <w:szCs w:val="22"/>
        </w:rPr>
        <w:t xml:space="preserve">fee category </w:t>
      </w:r>
      <w:r>
        <w:rPr>
          <w:szCs w:val="22"/>
        </w:rPr>
        <w:t xml:space="preserve">and other fee categories to reflect current workloads devoted to these subject areas; </w:t>
      </w:r>
      <w:r w:rsidR="00973F1F">
        <w:rPr>
          <w:szCs w:val="22"/>
        </w:rPr>
        <w:t xml:space="preserve">and </w:t>
      </w:r>
      <w:r>
        <w:rPr>
          <w:szCs w:val="22"/>
        </w:rPr>
        <w:t>(2) FTEs in the International Bureau to more accurately reflect the Commission’s regulation and oversight of the International Bureau regulatee</w:t>
      </w:r>
      <w:r w:rsidR="00B03601">
        <w:rPr>
          <w:szCs w:val="22"/>
        </w:rPr>
        <w:t xml:space="preserve">s, because many of the International Bureau FTEs </w:t>
      </w:r>
      <w:r w:rsidR="00B03601" w:rsidRPr="009B3CEC">
        <w:rPr>
          <w:szCs w:val="22"/>
        </w:rPr>
        <w:t xml:space="preserve">devote their time on issues international in nature, but not necessarily pertaining to the International Bureau regulatees.  </w:t>
      </w:r>
      <w:r w:rsidR="004C4882">
        <w:rPr>
          <w:szCs w:val="22"/>
        </w:rPr>
        <w:t>The Report and Order adopts t</w:t>
      </w:r>
      <w:r>
        <w:rPr>
          <w:szCs w:val="22"/>
        </w:rPr>
        <w:t>hese proposals</w:t>
      </w:r>
      <w:r w:rsidR="004C4882">
        <w:rPr>
          <w:szCs w:val="22"/>
        </w:rPr>
        <w:t xml:space="preserve">, together with a </w:t>
      </w:r>
      <w:r w:rsidR="00B8792B">
        <w:rPr>
          <w:szCs w:val="22"/>
        </w:rPr>
        <w:t>limit</w:t>
      </w:r>
      <w:r w:rsidR="004C4882">
        <w:rPr>
          <w:szCs w:val="22"/>
        </w:rPr>
        <w:t xml:space="preserve"> on</w:t>
      </w:r>
      <w:r w:rsidR="00B8792B">
        <w:rPr>
          <w:szCs w:val="22"/>
        </w:rPr>
        <w:t xml:space="preserve"> </w:t>
      </w:r>
      <w:r>
        <w:rPr>
          <w:szCs w:val="22"/>
        </w:rPr>
        <w:t xml:space="preserve">any increase in assessments </w:t>
      </w:r>
      <w:r w:rsidR="00B8792B">
        <w:rPr>
          <w:szCs w:val="22"/>
        </w:rPr>
        <w:t xml:space="preserve">to </w:t>
      </w:r>
      <w:r w:rsidR="0008039F">
        <w:rPr>
          <w:szCs w:val="22"/>
        </w:rPr>
        <w:t>7.5</w:t>
      </w:r>
      <w:r w:rsidR="00B8792B">
        <w:rPr>
          <w:szCs w:val="22"/>
        </w:rPr>
        <w:t xml:space="preserve"> percent </w:t>
      </w:r>
      <w:r>
        <w:rPr>
          <w:szCs w:val="22"/>
        </w:rPr>
        <w:t>to avoid fee shock to industry segments paying higher regulatory fees as a result of reallocation.</w:t>
      </w:r>
      <w:r w:rsidR="003648C4">
        <w:rPr>
          <w:szCs w:val="22"/>
        </w:rPr>
        <w:t xml:space="preserve">  In addition, for FY 2014, the Report and Order adds Internet Protocol TV </w:t>
      </w:r>
      <w:r w:rsidR="00B03601">
        <w:rPr>
          <w:szCs w:val="22"/>
        </w:rPr>
        <w:t xml:space="preserve">(IPTV) </w:t>
      </w:r>
      <w:r w:rsidR="003648C4">
        <w:rPr>
          <w:szCs w:val="22"/>
        </w:rPr>
        <w:t xml:space="preserve">to the cable television category </w:t>
      </w:r>
      <w:r w:rsidR="00B03601">
        <w:rPr>
          <w:szCs w:val="22"/>
        </w:rPr>
        <w:t>because</w:t>
      </w:r>
      <w:r w:rsidR="00B03601" w:rsidRPr="007F7B4B">
        <w:rPr>
          <w:szCs w:val="22"/>
        </w:rPr>
        <w:t xml:space="preserve"> by assessing regulatory fees on cable television systems but not on IPTV, we may place cable providers at a competitive disadvantage</w:t>
      </w:r>
      <w:r w:rsidR="00B03601">
        <w:rPr>
          <w:szCs w:val="22"/>
        </w:rPr>
        <w:t xml:space="preserve">.  The Report and Order also </w:t>
      </w:r>
      <w:r w:rsidR="003648C4">
        <w:rPr>
          <w:szCs w:val="22"/>
        </w:rPr>
        <w:t>combines UHF and VHF fee categories</w:t>
      </w:r>
      <w:r w:rsidR="00B03601">
        <w:rPr>
          <w:szCs w:val="22"/>
        </w:rPr>
        <w:t xml:space="preserve">, also for FY 2014, </w:t>
      </w:r>
      <w:r w:rsidR="00083865">
        <w:rPr>
          <w:szCs w:val="22"/>
        </w:rPr>
        <w:t xml:space="preserve">because after the digital conversion there was </w:t>
      </w:r>
      <w:r w:rsidR="00083865" w:rsidRPr="007F7B4B">
        <w:rPr>
          <w:rStyle w:val="documentbody1"/>
          <w:rFonts w:ascii="Times New Roman" w:hAnsi="Times New Roman"/>
          <w:sz w:val="22"/>
          <w:szCs w:val="22"/>
        </w:rPr>
        <w:t xml:space="preserve">no longer a basis in which to assess a higher regulatory fee on VHF channels.  </w:t>
      </w:r>
      <w:r>
        <w:rPr>
          <w:szCs w:val="22"/>
        </w:rPr>
        <w:t xml:space="preserve">  </w:t>
      </w:r>
    </w:p>
    <w:p w:rsidR="00136DD6" w:rsidRPr="00B32272" w:rsidRDefault="00136DD6" w:rsidP="000A348F">
      <w:pPr>
        <w:tabs>
          <w:tab w:val="left" w:pos="1440"/>
        </w:tabs>
        <w:suppressAutoHyphens/>
        <w:spacing w:line="240" w:lineRule="atLeast"/>
        <w:ind w:firstLine="720"/>
        <w:rPr>
          <w:szCs w:val="22"/>
        </w:rPr>
      </w:pPr>
    </w:p>
    <w:p w:rsidR="00CC56FF" w:rsidRPr="007521D5" w:rsidRDefault="00136DD6" w:rsidP="00CC56FF">
      <w:pPr>
        <w:tabs>
          <w:tab w:val="left" w:pos="1440"/>
        </w:tabs>
        <w:suppressAutoHyphens/>
        <w:spacing w:line="240" w:lineRule="atLeast"/>
        <w:ind w:firstLine="720"/>
        <w:rPr>
          <w:spacing w:val="-2"/>
          <w:szCs w:val="22"/>
        </w:rPr>
      </w:pPr>
      <w:r>
        <w:rPr>
          <w:szCs w:val="22"/>
        </w:rPr>
        <w:t>4.</w:t>
      </w:r>
      <w:r>
        <w:rPr>
          <w:szCs w:val="22"/>
        </w:rPr>
        <w:tab/>
      </w:r>
      <w:r w:rsidR="004C4882">
        <w:rPr>
          <w:szCs w:val="22"/>
        </w:rPr>
        <w:t>The Report and Order also clarifies</w:t>
      </w:r>
      <w:r w:rsidRPr="00C21178">
        <w:rPr>
          <w:szCs w:val="22"/>
        </w:rPr>
        <w:t xml:space="preserve"> that licensees of Digital Low Power, Class A, and TV Translators/Boosters should pay only one regulatory fee on their analog or digital station, bu</w:t>
      </w:r>
      <w:r w:rsidRPr="009D0104">
        <w:rPr>
          <w:szCs w:val="22"/>
        </w:rPr>
        <w:t>t not both</w:t>
      </w:r>
      <w:r w:rsidR="00251A61">
        <w:rPr>
          <w:szCs w:val="22"/>
        </w:rPr>
        <w:t xml:space="preserve">.  </w:t>
      </w:r>
      <w:r w:rsidR="00EE1DE7">
        <w:rPr>
          <w:bCs/>
          <w:szCs w:val="22"/>
        </w:rPr>
        <w:t>During</w:t>
      </w:r>
      <w:r w:rsidR="004B5B82">
        <w:rPr>
          <w:bCs/>
          <w:szCs w:val="22"/>
        </w:rPr>
        <w:t xml:space="preserve"> the</w:t>
      </w:r>
      <w:r w:rsidR="00EE1DE7">
        <w:rPr>
          <w:bCs/>
          <w:szCs w:val="22"/>
        </w:rPr>
        <w:t xml:space="preserve"> </w:t>
      </w:r>
      <w:r w:rsidR="00EE1DE7" w:rsidRPr="007F7B4B">
        <w:rPr>
          <w:bCs/>
          <w:szCs w:val="22"/>
        </w:rPr>
        <w:t>transition</w:t>
      </w:r>
      <w:r w:rsidR="00EE1DE7">
        <w:rPr>
          <w:bCs/>
          <w:szCs w:val="22"/>
        </w:rPr>
        <w:t xml:space="preserve"> from analog to digital</w:t>
      </w:r>
      <w:r w:rsidR="00EE1DE7" w:rsidRPr="007F7B4B">
        <w:rPr>
          <w:bCs/>
          <w:szCs w:val="22"/>
        </w:rPr>
        <w:t xml:space="preserve">, licensees of Low Power, Class A, and TV Translator/Booster facilities may be operating in analog mode, in digital mode, or in an analog and digital simulcast mode.  Therefore, for regulatory fee purposes, </w:t>
      </w:r>
      <w:r w:rsidR="00EE1DE7">
        <w:rPr>
          <w:bCs/>
          <w:szCs w:val="22"/>
        </w:rPr>
        <w:t>the Commission</w:t>
      </w:r>
      <w:r w:rsidR="00EE1DE7" w:rsidRPr="007F7B4B">
        <w:rPr>
          <w:bCs/>
          <w:szCs w:val="22"/>
        </w:rPr>
        <w:t xml:space="preserve"> will assess a fee for each facility operating either in an analog or digital mode.  In instances in which a licensee is simulcasting in both analog and digital modes, a single regulatory fee will be assessed for the analog facility and its corresponding digital component, but not for both facilities.  </w:t>
      </w:r>
      <w:r w:rsidR="00251A61">
        <w:rPr>
          <w:szCs w:val="22"/>
        </w:rPr>
        <w:t xml:space="preserve">In addition, the Report and Order announces that </w:t>
      </w:r>
      <w:r w:rsidR="00581908">
        <w:rPr>
          <w:szCs w:val="22"/>
        </w:rPr>
        <w:t>effective in FY 201</w:t>
      </w:r>
      <w:r w:rsidR="00067117">
        <w:rPr>
          <w:szCs w:val="22"/>
        </w:rPr>
        <w:t>4</w:t>
      </w:r>
      <w:r w:rsidR="00581908">
        <w:rPr>
          <w:szCs w:val="22"/>
        </w:rPr>
        <w:t xml:space="preserve"> all regulatory fee payments must be made electronically. </w:t>
      </w:r>
      <w:r w:rsidR="00E60780">
        <w:rPr>
          <w:szCs w:val="22"/>
        </w:rPr>
        <w:t xml:space="preserve"> The Report and Order also </w:t>
      </w:r>
      <w:r w:rsidR="00581908">
        <w:rPr>
          <w:szCs w:val="22"/>
        </w:rPr>
        <w:t>state</w:t>
      </w:r>
      <w:r w:rsidR="00E60780">
        <w:rPr>
          <w:szCs w:val="22"/>
        </w:rPr>
        <w:t>s</w:t>
      </w:r>
      <w:r w:rsidR="00581908">
        <w:rPr>
          <w:szCs w:val="22"/>
        </w:rPr>
        <w:t xml:space="preserve"> that beginning in FY 2014 the Commission will no longer mail out initial regulatory fee assessments to CMRS licensees</w:t>
      </w:r>
      <w:r w:rsidR="00EE1DE7">
        <w:rPr>
          <w:szCs w:val="22"/>
        </w:rPr>
        <w:t>.  Finally, the Commission</w:t>
      </w:r>
      <w:r w:rsidR="00E60780">
        <w:rPr>
          <w:szCs w:val="22"/>
        </w:rPr>
        <w:t xml:space="preserve"> will</w:t>
      </w:r>
      <w:r w:rsidR="00581908">
        <w:rPr>
          <w:szCs w:val="22"/>
        </w:rPr>
        <w:t xml:space="preserve"> refer to the Department of the Treasury end-to-end billing and collection beginning in FY 2014.   </w:t>
      </w:r>
      <w:r w:rsidR="00CC56FF">
        <w:rPr>
          <w:spacing w:val="-2"/>
          <w:szCs w:val="22"/>
        </w:rPr>
        <w:tab/>
      </w:r>
    </w:p>
    <w:p w:rsidR="00CC56FF" w:rsidRPr="007521D5" w:rsidRDefault="00CC56FF" w:rsidP="00CC56FF">
      <w:pPr>
        <w:tabs>
          <w:tab w:val="left" w:pos="1440"/>
        </w:tabs>
        <w:suppressAutoHyphens/>
        <w:spacing w:line="240" w:lineRule="atLeast"/>
        <w:ind w:firstLine="720"/>
        <w:jc w:val="center"/>
        <w:rPr>
          <w:spacing w:val="-2"/>
          <w:szCs w:val="22"/>
        </w:rPr>
      </w:pPr>
    </w:p>
    <w:p w:rsidR="00CC56FF" w:rsidRPr="00B03B81" w:rsidRDefault="0089337E" w:rsidP="00021D5D">
      <w:pPr>
        <w:pStyle w:val="Heading2"/>
      </w:pPr>
      <w:r w:rsidRPr="00B03B81">
        <w:t>Summary of the Significant Issues Raised by the Public Comments in Response to the IRFA</w:t>
      </w:r>
    </w:p>
    <w:p w:rsidR="00CC56FF" w:rsidRPr="007521D5" w:rsidRDefault="00CC56FF" w:rsidP="00CC56FF">
      <w:pPr>
        <w:tabs>
          <w:tab w:val="left" w:pos="1440"/>
        </w:tabs>
        <w:suppressAutoHyphens/>
        <w:spacing w:line="240" w:lineRule="atLeast"/>
        <w:ind w:firstLine="720"/>
        <w:jc w:val="center"/>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5</w:t>
      </w:r>
      <w:r w:rsidRPr="007521D5">
        <w:rPr>
          <w:spacing w:val="-2"/>
          <w:szCs w:val="22"/>
        </w:rPr>
        <w:t>.</w:t>
      </w:r>
      <w:r w:rsidRPr="007521D5">
        <w:rPr>
          <w:spacing w:val="-2"/>
          <w:szCs w:val="22"/>
        </w:rPr>
        <w:tab/>
      </w:r>
      <w:r w:rsidR="00925268">
        <w:rPr>
          <w:spacing w:val="-2"/>
          <w:szCs w:val="22"/>
        </w:rPr>
        <w:t xml:space="preserve">Fireweed Communications </w:t>
      </w:r>
      <w:r w:rsidR="00A5287F">
        <w:rPr>
          <w:spacing w:val="-2"/>
          <w:szCs w:val="22"/>
        </w:rPr>
        <w:t xml:space="preserve">and Jeremy Lansman filed joint comments to the IRFA.  They contend that the proposals in the </w:t>
      </w:r>
      <w:r w:rsidR="00A5287F" w:rsidRPr="00D50F49">
        <w:rPr>
          <w:i/>
          <w:spacing w:val="-2"/>
          <w:szCs w:val="22"/>
        </w:rPr>
        <w:t>FY 2013 NPRM</w:t>
      </w:r>
      <w:r w:rsidR="00A5287F">
        <w:rPr>
          <w:spacing w:val="-2"/>
          <w:szCs w:val="22"/>
        </w:rPr>
        <w:t xml:space="preserve"> greatly increase the reporting burden on small broadcasting entities requesting a fee waiver.</w:t>
      </w:r>
      <w:r w:rsidR="00A5287F">
        <w:rPr>
          <w:rStyle w:val="FootnoteReference"/>
          <w:spacing w:val="-2"/>
          <w:szCs w:val="22"/>
        </w:rPr>
        <w:footnoteReference w:id="127"/>
      </w:r>
      <w:r w:rsidR="00A5287F">
        <w:rPr>
          <w:spacing w:val="-2"/>
          <w:szCs w:val="22"/>
        </w:rPr>
        <w:t xml:space="preserve">  They also contend that the IRFA does not describe significant alternatives to the proposed rules or exemptions for small entities.</w:t>
      </w:r>
      <w:r w:rsidR="00A5287F">
        <w:rPr>
          <w:rStyle w:val="FootnoteReference"/>
          <w:spacing w:val="-2"/>
          <w:szCs w:val="22"/>
        </w:rPr>
        <w:footnoteReference w:id="128"/>
      </w:r>
      <w:r w:rsidR="00D50F49">
        <w:rPr>
          <w:spacing w:val="-2"/>
          <w:szCs w:val="22"/>
        </w:rPr>
        <w:t xml:space="preserve">  </w:t>
      </w:r>
      <w:r w:rsidR="00E25876" w:rsidRPr="00E25876">
        <w:rPr>
          <w:spacing w:val="-2"/>
          <w:szCs w:val="22"/>
        </w:rPr>
        <w:t xml:space="preserve">The Schedule of Regulatory Fees to be paid by radio and television broadcasters, which appears at 47 C.F.R. § 1153, takes into account the size of the market and/or size of the population served by the various classes of television and radio stations.  Thus, consideration for smaller stations is already built in to the Commission’s regulatory fee structure.  Any station experiencing financial hardship from the </w:t>
      </w:r>
      <w:r w:rsidR="008C3ED2">
        <w:rPr>
          <w:spacing w:val="-2"/>
          <w:szCs w:val="22"/>
        </w:rPr>
        <w:t xml:space="preserve">fee </w:t>
      </w:r>
      <w:r w:rsidR="00E25876" w:rsidRPr="00E25876">
        <w:rPr>
          <w:spacing w:val="-2"/>
          <w:szCs w:val="22"/>
        </w:rPr>
        <w:t xml:space="preserve">increase adopted today can file for a waiver pursuant to 47 C.F.R. § 1.116.  </w:t>
      </w:r>
      <w:r w:rsidR="00D50F49">
        <w:rPr>
          <w:spacing w:val="-2"/>
          <w:szCs w:val="22"/>
        </w:rPr>
        <w:t>This Report and Order makes no change in the fee waiver procedure for any entities seeking a waiver.  We have not proposed any changes in our regulatory fee process for small entities.  We have not increased the reporting burden on small entities in this proceeding.  These commenters appear to be seeking a change in the waiver process, which is outside the scope of this proceeding.</w:t>
      </w:r>
    </w:p>
    <w:p w:rsidR="00CC56FF" w:rsidRPr="007521D5" w:rsidRDefault="00CC56FF" w:rsidP="00CC56FF">
      <w:pPr>
        <w:tabs>
          <w:tab w:val="left" w:pos="1440"/>
        </w:tabs>
        <w:suppressAutoHyphens/>
        <w:spacing w:line="240" w:lineRule="atLeast"/>
        <w:ind w:firstLine="720"/>
        <w:jc w:val="center"/>
        <w:rPr>
          <w:spacing w:val="-2"/>
          <w:szCs w:val="22"/>
        </w:rPr>
      </w:pPr>
    </w:p>
    <w:p w:rsidR="00CC56FF" w:rsidRPr="00100F78" w:rsidRDefault="00CC56FF" w:rsidP="00021D5D">
      <w:pPr>
        <w:pStyle w:val="Heading2"/>
      </w:pPr>
      <w:r w:rsidRPr="00100F78">
        <w:t>Description and Estimate of the Number of Small Entities to Which the Rules Will Apply:</w:t>
      </w:r>
    </w:p>
    <w:p w:rsidR="00CC56FF" w:rsidRPr="007521D5" w:rsidRDefault="00CC56FF" w:rsidP="00CC56FF">
      <w:pPr>
        <w:tabs>
          <w:tab w:val="left" w:pos="1440"/>
        </w:tabs>
        <w:suppressAutoHyphens/>
        <w:spacing w:line="240" w:lineRule="atLeast"/>
        <w:ind w:firstLine="720"/>
        <w:jc w:val="center"/>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6</w:t>
      </w:r>
      <w:r w:rsidRPr="007521D5">
        <w:rPr>
          <w:spacing w:val="-2"/>
          <w:szCs w:val="22"/>
        </w:rPr>
        <w:t>.</w:t>
      </w:r>
      <w:r w:rsidRPr="007521D5">
        <w:rPr>
          <w:spacing w:val="-2"/>
          <w:szCs w:val="22"/>
        </w:rPr>
        <w:tab/>
        <w:t>The RFA directs agencies to provide a description of, and where feasible, an estimate of the number of small entities that may be affected by the proposed rules and policies, if adopted.</w:t>
      </w:r>
      <w:r>
        <w:rPr>
          <w:rStyle w:val="FootnoteReference"/>
          <w:spacing w:val="-2"/>
          <w:szCs w:val="22"/>
        </w:rPr>
        <w:footnoteReference w:id="129"/>
      </w:r>
      <w:r>
        <w:rPr>
          <w:spacing w:val="-2"/>
          <w:szCs w:val="22"/>
        </w:rPr>
        <w:t xml:space="preserve">  </w:t>
      </w:r>
      <w:r w:rsidRPr="007521D5">
        <w:rPr>
          <w:spacing w:val="-2"/>
          <w:szCs w:val="22"/>
        </w:rPr>
        <w:t>The RFA generally defines the term “small entity” as having the same meaning as the terms “small business,” “small organization,” and “small governmental jurisdiction.”</w:t>
      </w:r>
      <w:r>
        <w:rPr>
          <w:rStyle w:val="FootnoteReference"/>
          <w:spacing w:val="-2"/>
          <w:szCs w:val="22"/>
        </w:rPr>
        <w:footnoteReference w:id="130"/>
      </w:r>
      <w:r>
        <w:rPr>
          <w:spacing w:val="-2"/>
          <w:szCs w:val="22"/>
        </w:rPr>
        <w:t xml:space="preserve"> </w:t>
      </w:r>
      <w:r w:rsidRPr="007521D5">
        <w:rPr>
          <w:spacing w:val="-2"/>
          <w:szCs w:val="22"/>
        </w:rPr>
        <w:t xml:space="preserve"> In addition, the term “small business” has the same meaning as the term “small business concern” under the Small Business Act.</w:t>
      </w:r>
      <w:r>
        <w:rPr>
          <w:rStyle w:val="FootnoteReference"/>
          <w:spacing w:val="-2"/>
          <w:szCs w:val="22"/>
        </w:rPr>
        <w:footnoteReference w:id="131"/>
      </w:r>
      <w:r w:rsidRPr="007521D5">
        <w:rPr>
          <w:spacing w:val="-2"/>
          <w:szCs w:val="22"/>
        </w:rPr>
        <w:t xml:space="preserve">  A “small business concern” is one which: (1) is independently owned and operated; (2) is not dominant in its field of operation; and (3) satisfies any additional criteria established by the SBA.</w:t>
      </w:r>
      <w:r>
        <w:rPr>
          <w:rStyle w:val="FootnoteReference"/>
          <w:spacing w:val="-2"/>
          <w:szCs w:val="22"/>
        </w:rPr>
        <w:footnoteReference w:id="132"/>
      </w:r>
      <w:r w:rsidRPr="007521D5">
        <w:rPr>
          <w:spacing w:val="-2"/>
          <w:szCs w:val="22"/>
        </w:rPr>
        <w:t xml:space="preserve"> </w:t>
      </w:r>
      <w:r w:rsidR="00BB0957">
        <w:rPr>
          <w:spacing w:val="-2"/>
          <w:szCs w:val="22"/>
        </w:rPr>
        <w:t xml:space="preserve"> </w:t>
      </w:r>
      <w:r w:rsidR="000B412F" w:rsidRPr="007521D5">
        <w:rPr>
          <w:spacing w:val="-2"/>
          <w:szCs w:val="22"/>
        </w:rPr>
        <w:t>Nationwide, there are a total of approximately 2</w:t>
      </w:r>
      <w:r w:rsidR="000B412F">
        <w:rPr>
          <w:spacing w:val="-2"/>
          <w:szCs w:val="22"/>
        </w:rPr>
        <w:t>7.9</w:t>
      </w:r>
      <w:r w:rsidR="000B412F" w:rsidRPr="007521D5">
        <w:rPr>
          <w:spacing w:val="-2"/>
          <w:szCs w:val="22"/>
        </w:rPr>
        <w:t xml:space="preserve"> million small businesses, according to the SBA.</w:t>
      </w:r>
      <w:r w:rsidR="000B412F">
        <w:rPr>
          <w:rStyle w:val="FootnoteReference"/>
          <w:spacing w:val="-2"/>
          <w:szCs w:val="22"/>
        </w:rPr>
        <w:footnoteReference w:id="133"/>
      </w:r>
      <w:r w:rsidR="000B412F" w:rsidRPr="007521D5">
        <w:rPr>
          <w:spacing w:val="-2"/>
          <w:szCs w:val="22"/>
        </w:rPr>
        <w:t xml:space="preserve">   </w:t>
      </w:r>
    </w:p>
    <w:p w:rsidR="00CC56FF" w:rsidRPr="007521D5"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8</w:t>
      </w:r>
      <w:r w:rsidRPr="007521D5">
        <w:rPr>
          <w:spacing w:val="-2"/>
          <w:szCs w:val="22"/>
        </w:rPr>
        <w:t>.</w:t>
      </w:r>
      <w:r w:rsidRPr="007521D5">
        <w:rPr>
          <w:spacing w:val="-2"/>
          <w:szCs w:val="22"/>
        </w:rPr>
        <w:tab/>
      </w:r>
      <w:r w:rsidRPr="000942B2">
        <w:rPr>
          <w:b/>
          <w:spacing w:val="-2"/>
          <w:szCs w:val="22"/>
        </w:rPr>
        <w:t>Wired Telecommunications Carriers</w:t>
      </w:r>
      <w:r w:rsidRPr="000942B2">
        <w:rPr>
          <w:spacing w:val="-2"/>
          <w:szCs w:val="22"/>
        </w:rPr>
        <w:t>. The SBA has developed a small business size</w:t>
      </w:r>
      <w:r>
        <w:rPr>
          <w:spacing w:val="-2"/>
          <w:szCs w:val="22"/>
        </w:rPr>
        <w:t xml:space="preserve"> </w:t>
      </w:r>
      <w:r w:rsidRPr="000942B2">
        <w:rPr>
          <w:spacing w:val="-2"/>
          <w:szCs w:val="22"/>
        </w:rPr>
        <w:t>standard for Wired Telecommunications Carriers, which consists of all such companies having 1,500 or</w:t>
      </w:r>
      <w:r>
        <w:rPr>
          <w:spacing w:val="-2"/>
          <w:szCs w:val="22"/>
        </w:rPr>
        <w:t xml:space="preserve"> </w:t>
      </w:r>
      <w:r w:rsidRPr="000942B2">
        <w:rPr>
          <w:spacing w:val="-2"/>
          <w:szCs w:val="22"/>
        </w:rPr>
        <w:t>fewer employees</w:t>
      </w:r>
      <w:r>
        <w:rPr>
          <w:spacing w:val="-2"/>
          <w:szCs w:val="22"/>
        </w:rPr>
        <w:t xml:space="preserve">. </w:t>
      </w:r>
      <w:r w:rsidRPr="000942B2">
        <w:rPr>
          <w:spacing w:val="-2"/>
          <w:szCs w:val="22"/>
        </w:rPr>
        <w:t xml:space="preserve"> Census data for 2007 shows that there were 31,996 establishments that operated that</w:t>
      </w:r>
      <w:r>
        <w:rPr>
          <w:spacing w:val="-2"/>
          <w:szCs w:val="22"/>
        </w:rPr>
        <w:t xml:space="preserve"> </w:t>
      </w:r>
      <w:r w:rsidRPr="000942B2">
        <w:rPr>
          <w:spacing w:val="-2"/>
          <w:szCs w:val="22"/>
        </w:rPr>
        <w:t xml:space="preserve">year. </w:t>
      </w:r>
      <w:r>
        <w:rPr>
          <w:spacing w:val="-2"/>
          <w:szCs w:val="22"/>
        </w:rPr>
        <w:t xml:space="preserve"> </w:t>
      </w:r>
      <w:r w:rsidRPr="000942B2">
        <w:rPr>
          <w:spacing w:val="-2"/>
          <w:szCs w:val="22"/>
        </w:rPr>
        <w:t>Of those 31,996, 1,818 operated with more than 100 employees, and 30,178 operated with fewer</w:t>
      </w:r>
      <w:r>
        <w:rPr>
          <w:spacing w:val="-2"/>
          <w:szCs w:val="22"/>
        </w:rPr>
        <w:t xml:space="preserve"> </w:t>
      </w:r>
      <w:r w:rsidRPr="000942B2">
        <w:rPr>
          <w:spacing w:val="-2"/>
          <w:szCs w:val="22"/>
        </w:rPr>
        <w:t>than 100 employees.</w:t>
      </w:r>
      <w:r>
        <w:rPr>
          <w:rStyle w:val="FootnoteReference"/>
          <w:spacing w:val="-2"/>
          <w:szCs w:val="22"/>
        </w:rPr>
        <w:footnoteReference w:id="134"/>
      </w:r>
      <w:r w:rsidRPr="000942B2">
        <w:rPr>
          <w:spacing w:val="-2"/>
          <w:szCs w:val="22"/>
        </w:rPr>
        <w:t xml:space="preserve">  Thus, under this size standard, the majority of firms can be considered small.</w:t>
      </w:r>
    </w:p>
    <w:p w:rsidR="00CC56FF" w:rsidRDefault="00CC56FF" w:rsidP="00CC56FF">
      <w:pPr>
        <w:tabs>
          <w:tab w:val="left" w:pos="1440"/>
        </w:tabs>
        <w:suppressAutoHyphens/>
        <w:spacing w:line="240" w:lineRule="atLeast"/>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9.</w:t>
      </w:r>
      <w:r>
        <w:rPr>
          <w:spacing w:val="-2"/>
          <w:szCs w:val="22"/>
        </w:rPr>
        <w:tab/>
      </w:r>
      <w:r w:rsidRPr="00703D26">
        <w:rPr>
          <w:b/>
          <w:spacing w:val="-2"/>
          <w:szCs w:val="22"/>
        </w:rPr>
        <w:t>Local Exchange Carriers (LECs)</w:t>
      </w:r>
      <w:r w:rsidRPr="00AE4963">
        <w:rPr>
          <w:spacing w:val="-2"/>
          <w:szCs w:val="22"/>
        </w:rPr>
        <w:t xml:space="preserve">. </w:t>
      </w:r>
      <w:r>
        <w:rPr>
          <w:spacing w:val="-2"/>
          <w:szCs w:val="22"/>
        </w:rPr>
        <w:t xml:space="preserve"> </w:t>
      </w:r>
      <w:r w:rsidRPr="00AE4963">
        <w:rPr>
          <w:spacing w:val="-2"/>
          <w:szCs w:val="22"/>
        </w:rPr>
        <w:t>Neither the Commission nor the SBA has developed</w:t>
      </w:r>
      <w:r>
        <w:rPr>
          <w:spacing w:val="-2"/>
          <w:szCs w:val="22"/>
        </w:rPr>
        <w:t xml:space="preserve"> </w:t>
      </w:r>
      <w:r w:rsidRPr="00AE4963">
        <w:rPr>
          <w:spacing w:val="-2"/>
          <w:szCs w:val="22"/>
        </w:rPr>
        <w:t xml:space="preserve">a size standard for small businesses specifically applicable to local exchange services. </w:t>
      </w:r>
      <w:r>
        <w:rPr>
          <w:spacing w:val="-2"/>
          <w:szCs w:val="22"/>
        </w:rPr>
        <w:t xml:space="preserve"> </w:t>
      </w:r>
      <w:r w:rsidRPr="00AE4963">
        <w:rPr>
          <w:spacing w:val="-2"/>
          <w:szCs w:val="22"/>
        </w:rPr>
        <w:t>The closest</w:t>
      </w:r>
      <w:r>
        <w:rPr>
          <w:spacing w:val="-2"/>
          <w:szCs w:val="22"/>
        </w:rPr>
        <w:t xml:space="preserve"> </w:t>
      </w:r>
      <w:r w:rsidRPr="00AE4963">
        <w:rPr>
          <w:spacing w:val="-2"/>
          <w:szCs w:val="22"/>
        </w:rPr>
        <w:t xml:space="preserve">applicable size standard under SBA rules is for Wired Telecommunications Carriers. </w:t>
      </w:r>
      <w:r>
        <w:rPr>
          <w:spacing w:val="-2"/>
          <w:szCs w:val="22"/>
        </w:rPr>
        <w:t xml:space="preserve"> </w:t>
      </w:r>
      <w:r w:rsidRPr="00AE4963">
        <w:rPr>
          <w:spacing w:val="-2"/>
          <w:szCs w:val="22"/>
        </w:rPr>
        <w:t>Under that size</w:t>
      </w:r>
      <w:r>
        <w:rPr>
          <w:spacing w:val="-2"/>
          <w:szCs w:val="22"/>
        </w:rPr>
        <w:t xml:space="preserve"> </w:t>
      </w:r>
      <w:r w:rsidRPr="00AE4963">
        <w:rPr>
          <w:spacing w:val="-2"/>
          <w:szCs w:val="22"/>
        </w:rPr>
        <w:t xml:space="preserve">standard, such a business is small if it </w:t>
      </w:r>
      <w:r>
        <w:rPr>
          <w:spacing w:val="-2"/>
          <w:szCs w:val="22"/>
        </w:rPr>
        <w:t>has 1,500 or fewer employees.</w:t>
      </w:r>
      <w:r>
        <w:rPr>
          <w:rStyle w:val="FootnoteReference"/>
          <w:spacing w:val="-2"/>
          <w:szCs w:val="22"/>
        </w:rPr>
        <w:footnoteReference w:id="135"/>
      </w:r>
      <w:r>
        <w:rPr>
          <w:spacing w:val="-2"/>
          <w:szCs w:val="22"/>
        </w:rPr>
        <w:t xml:space="preserve">  </w:t>
      </w:r>
      <w:r w:rsidRPr="00AE4963">
        <w:rPr>
          <w:spacing w:val="-2"/>
          <w:szCs w:val="22"/>
        </w:rPr>
        <w:t>According to Commission data,</w:t>
      </w:r>
      <w:r>
        <w:rPr>
          <w:spacing w:val="-2"/>
          <w:szCs w:val="22"/>
        </w:rPr>
        <w:t xml:space="preserve"> c</w:t>
      </w:r>
      <w:r w:rsidRPr="00AE4963">
        <w:rPr>
          <w:spacing w:val="-2"/>
          <w:szCs w:val="22"/>
        </w:rPr>
        <w:t>ensus data for 2007 shows that there were 31,996 establishments that operated that year. Of those</w:t>
      </w:r>
      <w:r>
        <w:rPr>
          <w:spacing w:val="-2"/>
          <w:szCs w:val="22"/>
        </w:rPr>
        <w:t xml:space="preserve"> </w:t>
      </w:r>
      <w:r w:rsidRPr="00AE4963">
        <w:rPr>
          <w:spacing w:val="-2"/>
          <w:szCs w:val="22"/>
        </w:rPr>
        <w:t>31,996, 1,818 operated with more than 100 employees, and 30,178 operated with fewer than 100</w:t>
      </w:r>
      <w:r>
        <w:rPr>
          <w:spacing w:val="-2"/>
          <w:szCs w:val="22"/>
        </w:rPr>
        <w:t xml:space="preserve"> employees.</w:t>
      </w:r>
      <w:r>
        <w:rPr>
          <w:rStyle w:val="FootnoteReference"/>
          <w:spacing w:val="-2"/>
          <w:szCs w:val="22"/>
        </w:rPr>
        <w:footnoteReference w:id="136"/>
      </w:r>
      <w:r>
        <w:rPr>
          <w:spacing w:val="-2"/>
          <w:szCs w:val="22"/>
        </w:rPr>
        <w:t xml:space="preserve">  T</w:t>
      </w:r>
      <w:r w:rsidRPr="00AE4963">
        <w:rPr>
          <w:spacing w:val="-2"/>
          <w:szCs w:val="22"/>
        </w:rPr>
        <w:t>he Commission estimates that most providers of local exchange service are</w:t>
      </w:r>
      <w:r>
        <w:rPr>
          <w:spacing w:val="-2"/>
          <w:szCs w:val="22"/>
        </w:rPr>
        <w:t xml:space="preserve"> </w:t>
      </w:r>
      <w:r w:rsidRPr="00AE4963">
        <w:rPr>
          <w:spacing w:val="-2"/>
          <w:szCs w:val="22"/>
        </w:rPr>
        <w:t xml:space="preserve">small entities that may be affected by the rules and policies proposed in the </w:t>
      </w:r>
      <w:r w:rsidR="00F91882">
        <w:rPr>
          <w:i/>
          <w:szCs w:val="22"/>
        </w:rPr>
        <w:t>FY 2013 NPRM</w:t>
      </w:r>
      <w:r w:rsidRPr="00AE4963">
        <w:rPr>
          <w:spacing w:val="-2"/>
          <w:szCs w:val="22"/>
        </w:rPr>
        <w:t>.</w:t>
      </w:r>
    </w:p>
    <w:p w:rsidR="00CC56FF" w:rsidRPr="007521D5"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sidRPr="007521D5">
        <w:rPr>
          <w:spacing w:val="-2"/>
          <w:szCs w:val="22"/>
        </w:rPr>
        <w:t>1</w:t>
      </w:r>
      <w:r>
        <w:rPr>
          <w:spacing w:val="-2"/>
          <w:szCs w:val="22"/>
        </w:rPr>
        <w:t>0</w:t>
      </w:r>
      <w:r w:rsidRPr="007521D5">
        <w:rPr>
          <w:spacing w:val="-2"/>
          <w:szCs w:val="22"/>
        </w:rPr>
        <w:t>.</w:t>
      </w:r>
      <w:r w:rsidRPr="007521D5">
        <w:rPr>
          <w:spacing w:val="-2"/>
          <w:szCs w:val="22"/>
        </w:rPr>
        <w:tab/>
      </w:r>
      <w:r w:rsidRPr="00DD099F">
        <w:rPr>
          <w:b/>
          <w:spacing w:val="-2"/>
          <w:szCs w:val="22"/>
        </w:rPr>
        <w:t>Incumbent</w:t>
      </w:r>
      <w:r w:rsidR="001A1DC5">
        <w:rPr>
          <w:b/>
          <w:spacing w:val="-2"/>
          <w:szCs w:val="22"/>
        </w:rPr>
        <w:t xml:space="preserve"> LECs.</w:t>
      </w:r>
      <w:r w:rsidRPr="007521D5">
        <w:rPr>
          <w:spacing w:val="-2"/>
          <w:szCs w:val="22"/>
        </w:rPr>
        <w:t xml:space="preserve">  Neither the Commission nor the SBA has developed a small business size standard specifically for incumbent local exchange services.  The </w:t>
      </w:r>
      <w:r>
        <w:rPr>
          <w:spacing w:val="-2"/>
          <w:szCs w:val="22"/>
        </w:rPr>
        <w:t xml:space="preserve">closest applicable </w:t>
      </w:r>
      <w:r w:rsidRPr="007521D5">
        <w:rPr>
          <w:spacing w:val="-2"/>
          <w:szCs w:val="22"/>
        </w:rPr>
        <w:t>size standard under SBA rules is for the category Wired Telecommunications Carriers.  Under that size standard, such a business is small if it has 1,500 or fewer employees.</w:t>
      </w:r>
      <w:r>
        <w:rPr>
          <w:rStyle w:val="FootnoteReference"/>
          <w:spacing w:val="-2"/>
          <w:szCs w:val="22"/>
        </w:rPr>
        <w:footnoteReference w:id="137"/>
      </w:r>
      <w:r>
        <w:rPr>
          <w:spacing w:val="-2"/>
          <w:szCs w:val="22"/>
        </w:rPr>
        <w:t xml:space="preserve">  </w:t>
      </w:r>
      <w:r w:rsidRPr="007521D5">
        <w:rPr>
          <w:spacing w:val="-2"/>
          <w:szCs w:val="22"/>
        </w:rPr>
        <w:t>According to Commission data, 1,307 carriers reported that they were incumbent local exchange service providers.</w:t>
      </w:r>
      <w:r>
        <w:rPr>
          <w:rStyle w:val="FootnoteReference"/>
          <w:spacing w:val="-2"/>
          <w:szCs w:val="22"/>
        </w:rPr>
        <w:footnoteReference w:id="138"/>
      </w:r>
      <w:r>
        <w:rPr>
          <w:spacing w:val="-2"/>
          <w:szCs w:val="22"/>
        </w:rPr>
        <w:t xml:space="preserve">  </w:t>
      </w:r>
      <w:r w:rsidRPr="007521D5">
        <w:rPr>
          <w:spacing w:val="-2"/>
          <w:szCs w:val="22"/>
        </w:rPr>
        <w:t>Of these 1,307 carriers, an estimated 1,006 have 1,500 or fewer employees and 301 have more than 1,500 employees.</w:t>
      </w:r>
      <w:r>
        <w:rPr>
          <w:rStyle w:val="FootnoteReference"/>
          <w:spacing w:val="-2"/>
          <w:szCs w:val="22"/>
        </w:rPr>
        <w:footnoteReference w:id="139"/>
      </w:r>
      <w:r w:rsidRPr="007521D5">
        <w:rPr>
          <w:spacing w:val="-2"/>
          <w:szCs w:val="22"/>
        </w:rPr>
        <w:t xml:space="preserve">   Consequently, the Commission estimates that most providers of </w:t>
      </w:r>
      <w:r>
        <w:rPr>
          <w:spacing w:val="-2"/>
          <w:szCs w:val="22"/>
        </w:rPr>
        <w:t xml:space="preserve">incumbent </w:t>
      </w:r>
      <w:r w:rsidRPr="007521D5">
        <w:rPr>
          <w:spacing w:val="-2"/>
          <w:szCs w:val="22"/>
        </w:rPr>
        <w:t xml:space="preserve">local exchange service are small </w:t>
      </w:r>
      <w:r>
        <w:rPr>
          <w:spacing w:val="-2"/>
          <w:szCs w:val="22"/>
        </w:rPr>
        <w:t>businesses</w:t>
      </w:r>
      <w:r w:rsidRPr="007521D5">
        <w:rPr>
          <w:spacing w:val="-2"/>
          <w:szCs w:val="22"/>
        </w:rPr>
        <w:t xml:space="preserve"> that may be affected by the rules a</w:t>
      </w:r>
      <w:r>
        <w:rPr>
          <w:spacing w:val="-2"/>
          <w:szCs w:val="22"/>
        </w:rPr>
        <w:t>nd policie</w:t>
      </w:r>
      <w:r w:rsidR="00F91882">
        <w:rPr>
          <w:spacing w:val="-2"/>
          <w:szCs w:val="22"/>
        </w:rPr>
        <w:t xml:space="preserve">s proposed in the </w:t>
      </w:r>
      <w:r w:rsidR="00F91882">
        <w:rPr>
          <w:i/>
          <w:szCs w:val="22"/>
        </w:rPr>
        <w:t>FY 2013 NPRM</w:t>
      </w:r>
      <w:r w:rsidRPr="007521D5">
        <w:rPr>
          <w:spacing w:val="-2"/>
          <w:szCs w:val="22"/>
        </w:rPr>
        <w:t xml:space="preserve">.    </w:t>
      </w:r>
    </w:p>
    <w:p w:rsidR="00CC56FF" w:rsidRPr="007521D5"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sidRPr="007521D5">
        <w:rPr>
          <w:spacing w:val="-2"/>
          <w:szCs w:val="22"/>
        </w:rPr>
        <w:t>1</w:t>
      </w:r>
      <w:r>
        <w:rPr>
          <w:spacing w:val="-2"/>
          <w:szCs w:val="22"/>
        </w:rPr>
        <w:t>1</w:t>
      </w:r>
      <w:r w:rsidRPr="007521D5">
        <w:rPr>
          <w:spacing w:val="-2"/>
          <w:szCs w:val="22"/>
        </w:rPr>
        <w:t>.</w:t>
      </w:r>
      <w:r w:rsidRPr="007521D5">
        <w:rPr>
          <w:spacing w:val="-2"/>
          <w:szCs w:val="22"/>
        </w:rPr>
        <w:tab/>
      </w:r>
      <w:r w:rsidRPr="00EB0B7B">
        <w:rPr>
          <w:b/>
          <w:spacing w:val="-2"/>
          <w:szCs w:val="22"/>
        </w:rPr>
        <w:t>Competitive Local Exchange Carriers (Competitive LECs), Competitive Access Providers (CAPs), Shared-Tenant Service Providers, and Other Local Service Providers.</w:t>
      </w:r>
      <w:r w:rsidRPr="007521D5">
        <w:rPr>
          <w:spacing w:val="-2"/>
          <w:szCs w:val="22"/>
        </w:rPr>
        <w:t xml:space="preserve">  Neither the Commission nor the SBA has developed a small business size standard specifically for these service providers.  The appropriate size standard under SBA rules is for the category Wired Telecommunications Carriers.  Under that size standard, such a business is small if it has 1,500 or fewer employees.</w:t>
      </w:r>
      <w:r>
        <w:rPr>
          <w:rStyle w:val="FootnoteReference"/>
          <w:spacing w:val="-2"/>
          <w:szCs w:val="22"/>
        </w:rPr>
        <w:footnoteReference w:id="140"/>
      </w:r>
      <w:r w:rsidRPr="007521D5">
        <w:rPr>
          <w:spacing w:val="-2"/>
          <w:szCs w:val="22"/>
        </w:rPr>
        <w:t xml:space="preserve">   According to Commission data, 1,442 carriers reported that they were engaged in the provision of either competitive local exchange services or competitive access provider services.</w:t>
      </w:r>
      <w:r>
        <w:rPr>
          <w:rStyle w:val="FootnoteReference"/>
          <w:spacing w:val="-2"/>
          <w:szCs w:val="22"/>
        </w:rPr>
        <w:footnoteReference w:id="141"/>
      </w:r>
      <w:r w:rsidRPr="007521D5">
        <w:rPr>
          <w:spacing w:val="-2"/>
          <w:szCs w:val="22"/>
        </w:rPr>
        <w:t xml:space="preserve">   Of these 1,442 carriers, an estimated 1,256 have 1,500 or fewer employees and 186 have more than 1,500 employees.</w:t>
      </w:r>
      <w:r>
        <w:rPr>
          <w:rStyle w:val="FootnoteReference"/>
          <w:spacing w:val="-2"/>
          <w:szCs w:val="22"/>
        </w:rPr>
        <w:footnoteReference w:id="142"/>
      </w:r>
      <w:r w:rsidRPr="007521D5">
        <w:rPr>
          <w:spacing w:val="-2"/>
          <w:szCs w:val="22"/>
        </w:rPr>
        <w:t xml:space="preserve">   In addition, 17 carriers have reported that they are Shared-Tenant Service Providers, and all 17 are estimated to have 1,500 or fewer employees.</w:t>
      </w:r>
      <w:r>
        <w:rPr>
          <w:rStyle w:val="FootnoteReference"/>
          <w:spacing w:val="-2"/>
          <w:szCs w:val="22"/>
        </w:rPr>
        <w:footnoteReference w:id="143"/>
      </w:r>
      <w:r w:rsidRPr="007521D5">
        <w:rPr>
          <w:spacing w:val="-2"/>
          <w:szCs w:val="22"/>
        </w:rPr>
        <w:t xml:space="preserve">   In addition, 72 carriers have reported that they are Other Local Service Providers.</w:t>
      </w:r>
      <w:r>
        <w:rPr>
          <w:rStyle w:val="FootnoteReference"/>
          <w:spacing w:val="-2"/>
          <w:szCs w:val="22"/>
        </w:rPr>
        <w:footnoteReference w:id="144"/>
      </w:r>
      <w:r>
        <w:rPr>
          <w:spacing w:val="-2"/>
          <w:szCs w:val="22"/>
        </w:rPr>
        <w:t xml:space="preserve">   Of the 72, seventy</w:t>
      </w:r>
      <w:r w:rsidRPr="007521D5">
        <w:rPr>
          <w:spacing w:val="-2"/>
          <w:szCs w:val="22"/>
        </w:rPr>
        <w:t xml:space="preserve"> have 1,500 or fewer employees and two have more than 1,500 employees.</w:t>
      </w:r>
      <w:r>
        <w:rPr>
          <w:rStyle w:val="FootnoteReference"/>
          <w:spacing w:val="-2"/>
          <w:szCs w:val="22"/>
        </w:rPr>
        <w:footnoteReference w:id="145"/>
      </w:r>
      <w:r w:rsidRPr="007521D5">
        <w:rPr>
          <w:spacing w:val="-2"/>
          <w:szCs w:val="22"/>
        </w:rPr>
        <w:t xml:space="preserve">   Consequently, the Commission estimates that most providers of competitive local exchange service, competitive access providers, Shared-Tenant Service Providers, and Other Local Service Providers are small entities that may be affected by ru</w:t>
      </w:r>
      <w:r>
        <w:rPr>
          <w:spacing w:val="-2"/>
          <w:szCs w:val="22"/>
        </w:rPr>
        <w:t>les adopted pursuant to the proposals in this</w:t>
      </w:r>
      <w:r w:rsidR="00F91882">
        <w:rPr>
          <w:spacing w:val="-2"/>
          <w:szCs w:val="22"/>
        </w:rPr>
        <w:t xml:space="preserve"> </w:t>
      </w:r>
      <w:r w:rsidR="00F91882">
        <w:rPr>
          <w:i/>
          <w:szCs w:val="22"/>
        </w:rPr>
        <w:t>FY 2013 NPRM</w:t>
      </w:r>
      <w:r w:rsidRPr="007521D5">
        <w:rPr>
          <w:spacing w:val="-2"/>
          <w:szCs w:val="22"/>
        </w:rPr>
        <w:t xml:space="preserve">. </w:t>
      </w:r>
    </w:p>
    <w:p w:rsidR="00CC56FF"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sidRPr="007521D5">
        <w:rPr>
          <w:spacing w:val="-2"/>
          <w:szCs w:val="22"/>
        </w:rPr>
        <w:t>1</w:t>
      </w:r>
      <w:r>
        <w:rPr>
          <w:spacing w:val="-2"/>
          <w:szCs w:val="22"/>
        </w:rPr>
        <w:t>2</w:t>
      </w:r>
      <w:r w:rsidRPr="007521D5">
        <w:rPr>
          <w:spacing w:val="-2"/>
          <w:szCs w:val="22"/>
        </w:rPr>
        <w:t>.</w:t>
      </w:r>
      <w:r w:rsidRPr="007521D5">
        <w:rPr>
          <w:spacing w:val="-2"/>
          <w:szCs w:val="22"/>
        </w:rPr>
        <w:tab/>
      </w:r>
      <w:r w:rsidRPr="005B1923">
        <w:rPr>
          <w:b/>
          <w:spacing w:val="-2"/>
          <w:szCs w:val="22"/>
        </w:rPr>
        <w:t>Interexchange Carriers (IXCs)</w:t>
      </w:r>
      <w:r w:rsidRPr="007521D5">
        <w:rPr>
          <w:spacing w:val="-2"/>
          <w:szCs w:val="22"/>
        </w:rPr>
        <w:t xml:space="preserve">.  Neither the Commission nor the SBA has developed a small business size standard specifically </w:t>
      </w:r>
      <w:r>
        <w:rPr>
          <w:spacing w:val="-2"/>
          <w:szCs w:val="22"/>
        </w:rPr>
        <w:t xml:space="preserve">applicable to </w:t>
      </w:r>
      <w:r w:rsidRPr="007521D5">
        <w:rPr>
          <w:spacing w:val="-2"/>
          <w:szCs w:val="22"/>
        </w:rPr>
        <w:t xml:space="preserve">interexchange services.  The </w:t>
      </w:r>
      <w:r>
        <w:rPr>
          <w:spacing w:val="-2"/>
          <w:szCs w:val="22"/>
        </w:rPr>
        <w:t>applicable</w:t>
      </w:r>
      <w:r w:rsidRPr="007521D5">
        <w:rPr>
          <w:spacing w:val="-2"/>
          <w:szCs w:val="22"/>
        </w:rPr>
        <w:t xml:space="preserve"> size standard under SBA rules is for the Wired Telecommunications Carriers.  Under that size standard, such a business is small if it has 1,500 or fewer employees.</w:t>
      </w:r>
      <w:r>
        <w:rPr>
          <w:rStyle w:val="FootnoteReference"/>
          <w:spacing w:val="-2"/>
          <w:szCs w:val="22"/>
        </w:rPr>
        <w:footnoteReference w:id="146"/>
      </w:r>
      <w:r w:rsidRPr="007521D5">
        <w:rPr>
          <w:spacing w:val="-2"/>
          <w:szCs w:val="22"/>
        </w:rPr>
        <w:t xml:space="preserve">  According to Commission data, 359 companies reported that their primary telecommunications service activity was the provision of interexchange services.</w:t>
      </w:r>
      <w:r>
        <w:rPr>
          <w:rStyle w:val="FootnoteReference"/>
          <w:spacing w:val="-2"/>
          <w:szCs w:val="22"/>
        </w:rPr>
        <w:footnoteReference w:id="147"/>
      </w:r>
      <w:r w:rsidRPr="007521D5">
        <w:rPr>
          <w:spacing w:val="-2"/>
          <w:szCs w:val="22"/>
        </w:rPr>
        <w:t xml:space="preserve">   Of these 359 companies, an estimated 317 have 1,500 or fewer employees and 42 have more than 1,500 employees.</w:t>
      </w:r>
      <w:r>
        <w:rPr>
          <w:rStyle w:val="FootnoteReference"/>
          <w:spacing w:val="-2"/>
          <w:szCs w:val="22"/>
        </w:rPr>
        <w:footnoteReference w:id="148"/>
      </w:r>
      <w:r w:rsidRPr="007521D5">
        <w:rPr>
          <w:spacing w:val="-2"/>
          <w:szCs w:val="22"/>
        </w:rPr>
        <w:t xml:space="preserve">   Consequently, the Commission estimates that the majority of interexchange service providers are small entities that may be affected by rules adopted pursuant to the </w:t>
      </w:r>
      <w:r w:rsidR="00F91882">
        <w:rPr>
          <w:i/>
          <w:szCs w:val="22"/>
        </w:rPr>
        <w:t>FY 2013 NPRM</w:t>
      </w:r>
      <w:r w:rsidRPr="007521D5">
        <w:rPr>
          <w:spacing w:val="-2"/>
          <w:szCs w:val="22"/>
        </w:rPr>
        <w:t>.</w:t>
      </w:r>
    </w:p>
    <w:p w:rsidR="00CC56FF" w:rsidRDefault="00CC56FF" w:rsidP="00CC56FF">
      <w:pPr>
        <w:tabs>
          <w:tab w:val="left" w:pos="1440"/>
        </w:tabs>
        <w:suppressAutoHyphens/>
        <w:spacing w:line="240" w:lineRule="atLeast"/>
        <w:ind w:firstLine="720"/>
        <w:rPr>
          <w:spacing w:val="-2"/>
          <w:szCs w:val="22"/>
        </w:rPr>
      </w:pPr>
    </w:p>
    <w:p w:rsidR="0055291C" w:rsidRDefault="00CC56FF" w:rsidP="0055291C">
      <w:pPr>
        <w:tabs>
          <w:tab w:val="left" w:pos="1440"/>
        </w:tabs>
        <w:suppressAutoHyphens/>
        <w:spacing w:line="240" w:lineRule="atLeast"/>
        <w:ind w:firstLine="720"/>
        <w:rPr>
          <w:spacing w:val="-2"/>
          <w:szCs w:val="22"/>
        </w:rPr>
      </w:pPr>
      <w:r>
        <w:rPr>
          <w:spacing w:val="-2"/>
          <w:szCs w:val="22"/>
        </w:rPr>
        <w:t>13.</w:t>
      </w:r>
      <w:r>
        <w:rPr>
          <w:spacing w:val="-2"/>
          <w:szCs w:val="22"/>
        </w:rPr>
        <w:tab/>
      </w:r>
      <w:r w:rsidR="0055291C" w:rsidRPr="00AC5A57">
        <w:rPr>
          <w:b/>
          <w:spacing w:val="-2"/>
          <w:szCs w:val="22"/>
        </w:rPr>
        <w:t>Prepaid Calling Card Providers.</w:t>
      </w:r>
      <w:r w:rsidR="0055291C" w:rsidRPr="00AC5A57">
        <w:rPr>
          <w:spacing w:val="-2"/>
          <w:szCs w:val="22"/>
        </w:rPr>
        <w:t xml:space="preserve">  Neither the Commission nor the SBA has developed a small business size standard specifically for prepaid calling card providers.  The appropriate size standard under SBA rules is for the category Telecommunications Resellers.  Under that size standard, such a business is small if it has 1,500 or fewer employees.</w:t>
      </w:r>
      <w:r w:rsidR="0055291C">
        <w:rPr>
          <w:rStyle w:val="FootnoteReference"/>
          <w:spacing w:val="-2"/>
          <w:szCs w:val="22"/>
        </w:rPr>
        <w:footnoteReference w:id="149"/>
      </w:r>
      <w:r w:rsidR="0055291C" w:rsidRPr="00AC5A57">
        <w:rPr>
          <w:spacing w:val="-2"/>
          <w:szCs w:val="22"/>
        </w:rPr>
        <w:t xml:space="preserve">   Census data for 2007 show that 1,</w:t>
      </w:r>
      <w:r w:rsidR="0055291C">
        <w:rPr>
          <w:spacing w:val="-2"/>
          <w:szCs w:val="22"/>
        </w:rPr>
        <w:t xml:space="preserve">716 establishments </w:t>
      </w:r>
      <w:r w:rsidR="0055291C" w:rsidRPr="00AC5A57">
        <w:rPr>
          <w:spacing w:val="-2"/>
          <w:szCs w:val="22"/>
        </w:rPr>
        <w:t>provided resale services during that year.  Of that number, 1,</w:t>
      </w:r>
      <w:r w:rsidR="0055291C">
        <w:rPr>
          <w:spacing w:val="-2"/>
          <w:szCs w:val="22"/>
        </w:rPr>
        <w:t>674 operated with fewer than 99</w:t>
      </w:r>
      <w:r w:rsidR="0055291C" w:rsidRPr="00AC5A57">
        <w:rPr>
          <w:spacing w:val="-2"/>
          <w:szCs w:val="22"/>
        </w:rPr>
        <w:t xml:space="preserve"> employees and </w:t>
      </w:r>
      <w:r w:rsidR="0055291C">
        <w:rPr>
          <w:spacing w:val="-2"/>
          <w:szCs w:val="22"/>
        </w:rPr>
        <w:t>42 operated with more than 100 employees.</w:t>
      </w:r>
      <w:r w:rsidR="0055291C">
        <w:rPr>
          <w:rStyle w:val="FootnoteReference"/>
          <w:spacing w:val="-2"/>
          <w:szCs w:val="22"/>
        </w:rPr>
        <w:footnoteReference w:id="150"/>
      </w:r>
      <w:r w:rsidR="0055291C" w:rsidRPr="00AC5A57">
        <w:rPr>
          <w:spacing w:val="-2"/>
          <w:szCs w:val="22"/>
        </w:rPr>
        <w:t xml:space="preserve">   Thus under this category and the associated small business size standard, the majority of these prepaid calling card providers can be considered small entities.  According to Commission data, 193 carriers have reported that they are engaged in the provision of prepaid calling cards.</w:t>
      </w:r>
      <w:r w:rsidR="0055291C">
        <w:rPr>
          <w:rStyle w:val="FootnoteReference"/>
          <w:spacing w:val="-2"/>
          <w:szCs w:val="22"/>
        </w:rPr>
        <w:footnoteReference w:id="151"/>
      </w:r>
      <w:r w:rsidR="0055291C" w:rsidRPr="00AC5A57">
        <w:rPr>
          <w:spacing w:val="-2"/>
          <w:szCs w:val="22"/>
        </w:rPr>
        <w:t xml:space="preserve">   Of these, all 193 have 1,500 or fewer employees and none have more than 1,500 employees.</w:t>
      </w:r>
      <w:r w:rsidR="0055291C">
        <w:rPr>
          <w:rStyle w:val="FootnoteReference"/>
          <w:spacing w:val="-2"/>
          <w:szCs w:val="22"/>
        </w:rPr>
        <w:footnoteReference w:id="152"/>
      </w:r>
      <w:r w:rsidR="0055291C" w:rsidRPr="00AC5A57">
        <w:rPr>
          <w:spacing w:val="-2"/>
          <w:szCs w:val="22"/>
        </w:rPr>
        <w:t xml:space="preserve">   Consequently, the Commission estimates that the majority of prepaid calling card providers are small entities that may be affected by rules adopted pursuant to the </w:t>
      </w:r>
      <w:r w:rsidR="00F91882">
        <w:rPr>
          <w:i/>
          <w:szCs w:val="22"/>
        </w:rPr>
        <w:t>FY 2013 NPRM</w:t>
      </w:r>
      <w:r w:rsidR="0055291C" w:rsidRPr="00AC5A57">
        <w:rPr>
          <w:spacing w:val="-2"/>
          <w:szCs w:val="22"/>
        </w:rPr>
        <w:t>.</w:t>
      </w:r>
    </w:p>
    <w:p w:rsidR="00CC56FF" w:rsidRPr="007521D5"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sidRPr="007521D5">
        <w:rPr>
          <w:spacing w:val="-2"/>
          <w:szCs w:val="22"/>
        </w:rPr>
        <w:t>1</w:t>
      </w:r>
      <w:r>
        <w:rPr>
          <w:spacing w:val="-2"/>
          <w:szCs w:val="22"/>
        </w:rPr>
        <w:t>4</w:t>
      </w:r>
      <w:r w:rsidRPr="007521D5">
        <w:rPr>
          <w:spacing w:val="-2"/>
          <w:szCs w:val="22"/>
        </w:rPr>
        <w:t>.</w:t>
      </w:r>
      <w:r w:rsidRPr="007521D5">
        <w:rPr>
          <w:spacing w:val="-2"/>
          <w:szCs w:val="22"/>
        </w:rPr>
        <w:tab/>
      </w:r>
      <w:r w:rsidR="007C5C26" w:rsidRPr="00CE14D5">
        <w:rPr>
          <w:b/>
          <w:spacing w:val="-2"/>
          <w:szCs w:val="22"/>
        </w:rPr>
        <w:t>Local Resellers</w:t>
      </w:r>
      <w:r w:rsidR="007C5C26" w:rsidRPr="007521D5">
        <w:rPr>
          <w:spacing w:val="-2"/>
          <w:szCs w:val="22"/>
        </w:rPr>
        <w:t>.  The SBA has developed a small business size standard for the category of Telecommunications Resellers.  Under that size standard, such a business is small if it has 1,500 or fewer employees.</w:t>
      </w:r>
      <w:r w:rsidR="007C5C26">
        <w:rPr>
          <w:rStyle w:val="FootnoteReference"/>
          <w:spacing w:val="-2"/>
          <w:szCs w:val="22"/>
        </w:rPr>
        <w:footnoteReference w:id="153"/>
      </w:r>
      <w:r w:rsidR="007C5C26" w:rsidRPr="007521D5">
        <w:rPr>
          <w:spacing w:val="-2"/>
          <w:szCs w:val="22"/>
        </w:rPr>
        <w:t xml:space="preserve">   </w:t>
      </w:r>
      <w:r w:rsidR="007C5C26" w:rsidRPr="00AC5A57">
        <w:rPr>
          <w:spacing w:val="-2"/>
          <w:szCs w:val="22"/>
        </w:rPr>
        <w:t>Census data for 2007 show that 1,</w:t>
      </w:r>
      <w:r w:rsidR="007C5C26">
        <w:rPr>
          <w:spacing w:val="-2"/>
          <w:szCs w:val="22"/>
        </w:rPr>
        <w:t xml:space="preserve">716 establishments </w:t>
      </w:r>
      <w:r w:rsidR="007C5C26" w:rsidRPr="00AC5A57">
        <w:rPr>
          <w:spacing w:val="-2"/>
          <w:szCs w:val="22"/>
        </w:rPr>
        <w:t>provided resale services during that year.  Of that number, 1,</w:t>
      </w:r>
      <w:r w:rsidR="007C5C26">
        <w:rPr>
          <w:spacing w:val="-2"/>
          <w:szCs w:val="22"/>
        </w:rPr>
        <w:t>674 operated with fewer than 99</w:t>
      </w:r>
      <w:r w:rsidR="007C5C26" w:rsidRPr="00AC5A57">
        <w:rPr>
          <w:spacing w:val="-2"/>
          <w:szCs w:val="22"/>
        </w:rPr>
        <w:t xml:space="preserve"> employees and </w:t>
      </w:r>
      <w:r w:rsidR="007C5C26">
        <w:rPr>
          <w:spacing w:val="-2"/>
          <w:szCs w:val="22"/>
        </w:rPr>
        <w:t>42 operated with more than 100 employees.</w:t>
      </w:r>
      <w:r w:rsidR="007C5C26">
        <w:rPr>
          <w:rStyle w:val="FootnoteReference"/>
          <w:spacing w:val="-2"/>
          <w:szCs w:val="22"/>
        </w:rPr>
        <w:footnoteReference w:id="154"/>
      </w:r>
      <w:r w:rsidR="007C5C26" w:rsidRPr="00AC5A57">
        <w:rPr>
          <w:spacing w:val="-2"/>
          <w:szCs w:val="22"/>
        </w:rPr>
        <w:t xml:space="preserve">   </w:t>
      </w:r>
      <w:r w:rsidR="007C5C26">
        <w:rPr>
          <w:spacing w:val="-2"/>
          <w:szCs w:val="22"/>
        </w:rPr>
        <w:t>U</w:t>
      </w:r>
      <w:r w:rsidR="007C5C26" w:rsidRPr="007521D5">
        <w:rPr>
          <w:spacing w:val="-2"/>
          <w:szCs w:val="22"/>
        </w:rPr>
        <w:t>nder this category and the associated small business size standard, the majority of these local resellers can be considered small entities.  According to Commission data, 213 carriers have reported that they are engaged in the provision of local resale services.</w:t>
      </w:r>
      <w:r w:rsidR="007C5C26">
        <w:rPr>
          <w:rStyle w:val="FootnoteReference"/>
          <w:spacing w:val="-2"/>
          <w:szCs w:val="22"/>
        </w:rPr>
        <w:footnoteReference w:id="155"/>
      </w:r>
      <w:r w:rsidR="007C5C26" w:rsidRPr="007521D5">
        <w:rPr>
          <w:spacing w:val="-2"/>
          <w:szCs w:val="22"/>
        </w:rPr>
        <w:t xml:space="preserve">   Of these, an estimated 211 have 1,500 or fewer employees and two have more than 1,500 employees.</w:t>
      </w:r>
      <w:r w:rsidR="007C5C26">
        <w:rPr>
          <w:rStyle w:val="FootnoteReference"/>
          <w:spacing w:val="-2"/>
          <w:szCs w:val="22"/>
        </w:rPr>
        <w:footnoteReference w:id="156"/>
      </w:r>
      <w:r w:rsidR="007C5C26" w:rsidRPr="007521D5">
        <w:rPr>
          <w:spacing w:val="-2"/>
          <w:szCs w:val="22"/>
        </w:rPr>
        <w:t xml:space="preserve">   Consequently, the Commission estimates that the majority of local resellers are small entities that may be affected by rules adopted pursuant to the </w:t>
      </w:r>
      <w:r w:rsidR="00F91882">
        <w:rPr>
          <w:spacing w:val="-2"/>
          <w:szCs w:val="22"/>
        </w:rPr>
        <w:t xml:space="preserve">proposals in this </w:t>
      </w:r>
      <w:r w:rsidR="00F91882">
        <w:rPr>
          <w:i/>
          <w:szCs w:val="22"/>
        </w:rPr>
        <w:t>FY 2013 NPRM</w:t>
      </w:r>
      <w:r w:rsidR="007C5C26" w:rsidRPr="007521D5">
        <w:rPr>
          <w:spacing w:val="-2"/>
          <w:szCs w:val="22"/>
        </w:rPr>
        <w:t>.</w:t>
      </w:r>
    </w:p>
    <w:p w:rsidR="006B6789" w:rsidRPr="007521D5" w:rsidRDefault="006B6789" w:rsidP="00CC56FF">
      <w:pPr>
        <w:tabs>
          <w:tab w:val="left" w:pos="1440"/>
        </w:tabs>
        <w:suppressAutoHyphens/>
        <w:spacing w:line="240" w:lineRule="atLeast"/>
        <w:ind w:firstLine="720"/>
        <w:rPr>
          <w:spacing w:val="-2"/>
          <w:szCs w:val="22"/>
        </w:rPr>
      </w:pPr>
    </w:p>
    <w:p w:rsidR="006B6789" w:rsidRDefault="00CC56FF" w:rsidP="006B6789">
      <w:pPr>
        <w:tabs>
          <w:tab w:val="left" w:pos="1440"/>
        </w:tabs>
        <w:suppressAutoHyphens/>
        <w:spacing w:line="240" w:lineRule="atLeast"/>
        <w:ind w:firstLine="720"/>
        <w:rPr>
          <w:spacing w:val="-2"/>
          <w:szCs w:val="22"/>
        </w:rPr>
      </w:pPr>
      <w:r w:rsidRPr="007521D5">
        <w:rPr>
          <w:spacing w:val="-2"/>
          <w:szCs w:val="22"/>
        </w:rPr>
        <w:t>1</w:t>
      </w:r>
      <w:r>
        <w:rPr>
          <w:spacing w:val="-2"/>
          <w:szCs w:val="22"/>
        </w:rPr>
        <w:t>5</w:t>
      </w:r>
      <w:r w:rsidRPr="007521D5">
        <w:rPr>
          <w:spacing w:val="-2"/>
          <w:szCs w:val="22"/>
        </w:rPr>
        <w:t>.</w:t>
      </w:r>
      <w:r w:rsidRPr="007521D5">
        <w:rPr>
          <w:spacing w:val="-2"/>
          <w:szCs w:val="22"/>
        </w:rPr>
        <w:tab/>
      </w:r>
      <w:r w:rsidR="006B6789" w:rsidRPr="00D96FF2">
        <w:rPr>
          <w:b/>
          <w:spacing w:val="-2"/>
          <w:szCs w:val="22"/>
        </w:rPr>
        <w:t>Toll Resellers</w:t>
      </w:r>
      <w:r w:rsidR="006B6789" w:rsidRPr="007521D5">
        <w:rPr>
          <w:spacing w:val="-2"/>
          <w:szCs w:val="22"/>
        </w:rPr>
        <w:t>.  The SBA has developed a small business size standard for the category of Telecommunications Resellers.  Under that size standard, such a business is small if it has 1,500 or fewer employees.</w:t>
      </w:r>
      <w:r w:rsidR="006B6789">
        <w:rPr>
          <w:rStyle w:val="FootnoteReference"/>
          <w:spacing w:val="-2"/>
          <w:szCs w:val="22"/>
        </w:rPr>
        <w:footnoteReference w:id="157"/>
      </w:r>
      <w:r w:rsidR="006B6789" w:rsidRPr="007521D5">
        <w:rPr>
          <w:spacing w:val="-2"/>
          <w:szCs w:val="22"/>
        </w:rPr>
        <w:t xml:space="preserve">   </w:t>
      </w:r>
      <w:r w:rsidR="006B6789" w:rsidRPr="00AC5A57">
        <w:rPr>
          <w:spacing w:val="-2"/>
          <w:szCs w:val="22"/>
        </w:rPr>
        <w:t>Census data for 2007 show that 1,</w:t>
      </w:r>
      <w:r w:rsidR="006B6789">
        <w:rPr>
          <w:spacing w:val="-2"/>
          <w:szCs w:val="22"/>
        </w:rPr>
        <w:t xml:space="preserve">716 establishments </w:t>
      </w:r>
      <w:r w:rsidR="006B6789" w:rsidRPr="00AC5A57">
        <w:rPr>
          <w:spacing w:val="-2"/>
          <w:szCs w:val="22"/>
        </w:rPr>
        <w:t>provided resale services during that year.  Of that number, 1,</w:t>
      </w:r>
      <w:r w:rsidR="006B6789">
        <w:rPr>
          <w:spacing w:val="-2"/>
          <w:szCs w:val="22"/>
        </w:rPr>
        <w:t>674 operated with fewer than 99</w:t>
      </w:r>
      <w:r w:rsidR="006B6789" w:rsidRPr="00AC5A57">
        <w:rPr>
          <w:spacing w:val="-2"/>
          <w:szCs w:val="22"/>
        </w:rPr>
        <w:t xml:space="preserve"> employees and </w:t>
      </w:r>
      <w:r w:rsidR="006B6789">
        <w:rPr>
          <w:spacing w:val="-2"/>
          <w:szCs w:val="22"/>
        </w:rPr>
        <w:t>42 operated with more than 100 employees.</w:t>
      </w:r>
      <w:r w:rsidR="006B6789">
        <w:rPr>
          <w:rStyle w:val="FootnoteReference"/>
          <w:spacing w:val="-2"/>
          <w:szCs w:val="22"/>
        </w:rPr>
        <w:footnoteReference w:id="158"/>
      </w:r>
      <w:r w:rsidR="006B6789" w:rsidRPr="00AC5A57">
        <w:rPr>
          <w:spacing w:val="-2"/>
          <w:szCs w:val="22"/>
        </w:rPr>
        <w:t xml:space="preserve">  </w:t>
      </w:r>
      <w:r w:rsidR="006B6789" w:rsidRPr="007521D5">
        <w:rPr>
          <w:spacing w:val="-2"/>
          <w:szCs w:val="22"/>
        </w:rPr>
        <w:t xml:space="preserve">  Thus</w:t>
      </w:r>
      <w:r w:rsidR="006B6789">
        <w:rPr>
          <w:spacing w:val="-2"/>
          <w:szCs w:val="22"/>
        </w:rPr>
        <w:t>,</w:t>
      </w:r>
      <w:r w:rsidR="006B6789" w:rsidRPr="007521D5">
        <w:rPr>
          <w:spacing w:val="-2"/>
          <w:szCs w:val="22"/>
        </w:rPr>
        <w:t xml:space="preserve"> under this category and the associated small business size standard, the majority of these resellers can be considered small entities.</w:t>
      </w:r>
      <w:r w:rsidR="006B6789">
        <w:rPr>
          <w:spacing w:val="-2"/>
          <w:szCs w:val="22"/>
        </w:rPr>
        <w:t xml:space="preserve">  According to Commission data,</w:t>
      </w:r>
      <w:r w:rsidR="006B6789" w:rsidRPr="007521D5">
        <w:rPr>
          <w:spacing w:val="-2"/>
          <w:szCs w:val="22"/>
        </w:rPr>
        <w:t xml:space="preserve"> 881 carriers have reported that they are engaged in the provision of toll resale services.</w:t>
      </w:r>
      <w:r w:rsidR="006B6789">
        <w:rPr>
          <w:rStyle w:val="FootnoteReference"/>
          <w:spacing w:val="-2"/>
          <w:szCs w:val="22"/>
        </w:rPr>
        <w:footnoteReference w:id="159"/>
      </w:r>
      <w:r w:rsidR="006B6789" w:rsidRPr="007521D5">
        <w:rPr>
          <w:spacing w:val="-2"/>
          <w:szCs w:val="22"/>
        </w:rPr>
        <w:t xml:space="preserve">  Of these, an estimated 857 have 1,500 or fewer employees and 24 have more than 1,500 employees.</w:t>
      </w:r>
      <w:r w:rsidR="006B6789">
        <w:rPr>
          <w:rStyle w:val="FootnoteReference"/>
          <w:spacing w:val="-2"/>
          <w:szCs w:val="22"/>
        </w:rPr>
        <w:footnoteReference w:id="160"/>
      </w:r>
      <w:r w:rsidR="006B6789" w:rsidRPr="007521D5">
        <w:rPr>
          <w:spacing w:val="-2"/>
          <w:szCs w:val="22"/>
        </w:rPr>
        <w:t xml:space="preserve">  Consequently, the Commission estimates that the majority of toll resellers are small entities that may </w:t>
      </w:r>
      <w:r w:rsidR="006B6789">
        <w:rPr>
          <w:spacing w:val="-2"/>
          <w:szCs w:val="22"/>
        </w:rPr>
        <w:t xml:space="preserve">be affected by our proposals in the </w:t>
      </w:r>
      <w:r w:rsidR="00F91882">
        <w:rPr>
          <w:i/>
          <w:szCs w:val="22"/>
        </w:rPr>
        <w:t>FY 2013 NPRM</w:t>
      </w:r>
      <w:r w:rsidR="006B6789" w:rsidRPr="007521D5">
        <w:rPr>
          <w:spacing w:val="-2"/>
          <w:szCs w:val="22"/>
        </w:rPr>
        <w:t>.</w:t>
      </w:r>
    </w:p>
    <w:p w:rsidR="00CC56FF"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16.</w:t>
      </w:r>
      <w:r>
        <w:rPr>
          <w:spacing w:val="-2"/>
          <w:szCs w:val="22"/>
        </w:rPr>
        <w:tab/>
      </w:r>
      <w:r w:rsidRPr="009C04AC">
        <w:rPr>
          <w:b/>
          <w:spacing w:val="-2"/>
          <w:szCs w:val="22"/>
        </w:rPr>
        <w:t>Other Toll Carriers.</w:t>
      </w:r>
      <w:r w:rsidRPr="00CD1070">
        <w:rPr>
          <w:spacing w:val="-2"/>
          <w:szCs w:val="22"/>
        </w:rPr>
        <w:t xml:space="preserve"> </w:t>
      </w:r>
      <w:r>
        <w:rPr>
          <w:spacing w:val="-2"/>
          <w:szCs w:val="22"/>
        </w:rPr>
        <w:t xml:space="preserve"> </w:t>
      </w:r>
      <w:r w:rsidRPr="00CD1070">
        <w:rPr>
          <w:spacing w:val="-2"/>
          <w:szCs w:val="22"/>
        </w:rPr>
        <w:t>Neither the Commission nor the SBA has developed a size</w:t>
      </w:r>
      <w:r>
        <w:rPr>
          <w:spacing w:val="-2"/>
          <w:szCs w:val="22"/>
        </w:rPr>
        <w:t xml:space="preserve"> </w:t>
      </w:r>
      <w:r w:rsidRPr="00CD1070">
        <w:rPr>
          <w:spacing w:val="-2"/>
          <w:szCs w:val="22"/>
        </w:rPr>
        <w:t>standard for small businesses specifically applicable to Other Toll Carriers. This category includes toll</w:t>
      </w:r>
      <w:r>
        <w:rPr>
          <w:spacing w:val="-2"/>
          <w:szCs w:val="22"/>
        </w:rPr>
        <w:t xml:space="preserve"> </w:t>
      </w:r>
      <w:r w:rsidRPr="00CD1070">
        <w:rPr>
          <w:spacing w:val="-2"/>
          <w:szCs w:val="22"/>
        </w:rPr>
        <w:t>carriers that do not fall within the categories of interexchange carriers, operator service providers, prepaid</w:t>
      </w:r>
      <w:r>
        <w:rPr>
          <w:spacing w:val="-2"/>
          <w:szCs w:val="22"/>
        </w:rPr>
        <w:t xml:space="preserve"> </w:t>
      </w:r>
      <w:r w:rsidRPr="00CD1070">
        <w:rPr>
          <w:spacing w:val="-2"/>
          <w:szCs w:val="22"/>
        </w:rPr>
        <w:t>calling card providers, satellite service carriers, or toll resellers. The closest applicable size standard</w:t>
      </w:r>
      <w:r>
        <w:rPr>
          <w:spacing w:val="-2"/>
          <w:szCs w:val="22"/>
        </w:rPr>
        <w:t xml:space="preserve"> </w:t>
      </w:r>
      <w:r w:rsidRPr="00CD1070">
        <w:rPr>
          <w:spacing w:val="-2"/>
          <w:szCs w:val="22"/>
        </w:rPr>
        <w:t>under SBA rules is for Wired Telecommunications Carriers. Under that size standard, such a business is</w:t>
      </w:r>
      <w:r>
        <w:rPr>
          <w:spacing w:val="-2"/>
          <w:szCs w:val="22"/>
        </w:rPr>
        <w:t xml:space="preserve"> </w:t>
      </w:r>
      <w:r w:rsidRPr="00CD1070">
        <w:rPr>
          <w:spacing w:val="-2"/>
          <w:szCs w:val="22"/>
        </w:rPr>
        <w:t xml:space="preserve">small if it </w:t>
      </w:r>
      <w:r>
        <w:rPr>
          <w:spacing w:val="-2"/>
          <w:szCs w:val="22"/>
        </w:rPr>
        <w:t>has 1,500 or fewer employees.</w:t>
      </w:r>
      <w:r>
        <w:rPr>
          <w:rStyle w:val="FootnoteReference"/>
          <w:spacing w:val="-2"/>
          <w:szCs w:val="22"/>
        </w:rPr>
        <w:footnoteReference w:id="161"/>
      </w:r>
      <w:r>
        <w:rPr>
          <w:spacing w:val="-2"/>
          <w:szCs w:val="22"/>
        </w:rPr>
        <w:t xml:space="preserve">  </w:t>
      </w:r>
      <w:r w:rsidRPr="00CD1070">
        <w:rPr>
          <w:spacing w:val="-2"/>
          <w:szCs w:val="22"/>
        </w:rPr>
        <w:t>Census data for 2007 shows that there were 31,996</w:t>
      </w:r>
      <w:r>
        <w:rPr>
          <w:spacing w:val="-2"/>
          <w:szCs w:val="22"/>
        </w:rPr>
        <w:t xml:space="preserve"> </w:t>
      </w:r>
      <w:r w:rsidRPr="00CD1070">
        <w:rPr>
          <w:spacing w:val="-2"/>
          <w:szCs w:val="22"/>
        </w:rPr>
        <w:t xml:space="preserve">establishments that operated that year. </w:t>
      </w:r>
      <w:r>
        <w:rPr>
          <w:spacing w:val="-2"/>
          <w:szCs w:val="22"/>
        </w:rPr>
        <w:t xml:space="preserve"> </w:t>
      </w:r>
      <w:r w:rsidRPr="00CD1070">
        <w:rPr>
          <w:spacing w:val="-2"/>
          <w:szCs w:val="22"/>
        </w:rPr>
        <w:t>Of those 31,996, 1,818 operated with more than 100 employees,</w:t>
      </w:r>
      <w:r>
        <w:rPr>
          <w:spacing w:val="-2"/>
          <w:szCs w:val="22"/>
        </w:rPr>
        <w:t xml:space="preserve"> </w:t>
      </w:r>
      <w:r w:rsidRPr="00CD1070">
        <w:rPr>
          <w:spacing w:val="-2"/>
          <w:szCs w:val="22"/>
        </w:rPr>
        <w:t>and 30,178 operated with fewer than 100 employees.</w:t>
      </w:r>
      <w:r>
        <w:rPr>
          <w:rStyle w:val="FootnoteReference"/>
          <w:spacing w:val="-2"/>
          <w:szCs w:val="22"/>
        </w:rPr>
        <w:footnoteReference w:id="162"/>
      </w:r>
      <w:r>
        <w:rPr>
          <w:spacing w:val="-2"/>
          <w:szCs w:val="22"/>
        </w:rPr>
        <w:t xml:space="preserve">  </w:t>
      </w:r>
      <w:r w:rsidRPr="00CD1070">
        <w:rPr>
          <w:spacing w:val="-2"/>
          <w:szCs w:val="22"/>
        </w:rPr>
        <w:t>Thus, under this category and the associated</w:t>
      </w:r>
      <w:r>
        <w:rPr>
          <w:spacing w:val="-2"/>
          <w:szCs w:val="22"/>
        </w:rPr>
        <w:t xml:space="preserve"> </w:t>
      </w:r>
      <w:r w:rsidRPr="00CD1070">
        <w:rPr>
          <w:spacing w:val="-2"/>
          <w:szCs w:val="22"/>
        </w:rPr>
        <w:t xml:space="preserve">small business size standard, the majority of Other Toll Carriers can be considered small. </w:t>
      </w:r>
      <w:r>
        <w:rPr>
          <w:spacing w:val="-2"/>
          <w:szCs w:val="22"/>
        </w:rPr>
        <w:t xml:space="preserve"> </w:t>
      </w:r>
      <w:r w:rsidRPr="00CD1070">
        <w:rPr>
          <w:spacing w:val="-2"/>
          <w:szCs w:val="22"/>
        </w:rPr>
        <w:t>According to</w:t>
      </w:r>
      <w:r>
        <w:rPr>
          <w:spacing w:val="-2"/>
          <w:szCs w:val="22"/>
        </w:rPr>
        <w:t xml:space="preserve"> </w:t>
      </w:r>
      <w:r w:rsidRPr="00CD1070">
        <w:rPr>
          <w:spacing w:val="-2"/>
          <w:szCs w:val="22"/>
        </w:rPr>
        <w:t>Commission data, 284 companies reported that their primary telecommunications service activity was the</w:t>
      </w:r>
      <w:r>
        <w:rPr>
          <w:spacing w:val="-2"/>
          <w:szCs w:val="22"/>
        </w:rPr>
        <w:t xml:space="preserve"> </w:t>
      </w:r>
      <w:r w:rsidRPr="00CD1070">
        <w:rPr>
          <w:spacing w:val="-2"/>
          <w:szCs w:val="22"/>
        </w:rPr>
        <w:t>prov</w:t>
      </w:r>
      <w:r>
        <w:rPr>
          <w:spacing w:val="-2"/>
          <w:szCs w:val="22"/>
        </w:rPr>
        <w:t>ision of other toll carriage.</w:t>
      </w:r>
      <w:r>
        <w:rPr>
          <w:rStyle w:val="FootnoteReference"/>
          <w:spacing w:val="-2"/>
          <w:szCs w:val="22"/>
        </w:rPr>
        <w:footnoteReference w:id="163"/>
      </w:r>
      <w:r>
        <w:rPr>
          <w:spacing w:val="-2"/>
          <w:szCs w:val="22"/>
        </w:rPr>
        <w:t xml:space="preserve">  </w:t>
      </w:r>
      <w:r w:rsidRPr="00CD1070">
        <w:rPr>
          <w:spacing w:val="-2"/>
          <w:szCs w:val="22"/>
        </w:rPr>
        <w:t>Of these, an estimated 279 have 1,500 or fewer employees and five</w:t>
      </w:r>
      <w:r>
        <w:rPr>
          <w:spacing w:val="-2"/>
          <w:szCs w:val="22"/>
        </w:rPr>
        <w:t xml:space="preserve"> </w:t>
      </w:r>
      <w:r w:rsidRPr="00CD1070">
        <w:rPr>
          <w:spacing w:val="-2"/>
          <w:szCs w:val="22"/>
        </w:rPr>
        <w:t>ha</w:t>
      </w:r>
      <w:r>
        <w:rPr>
          <w:spacing w:val="-2"/>
          <w:szCs w:val="22"/>
        </w:rPr>
        <w:t>ve more than 1,500 employees.</w:t>
      </w:r>
      <w:r>
        <w:rPr>
          <w:rStyle w:val="FootnoteReference"/>
          <w:spacing w:val="-2"/>
          <w:szCs w:val="22"/>
        </w:rPr>
        <w:footnoteReference w:id="164"/>
      </w:r>
      <w:r>
        <w:rPr>
          <w:spacing w:val="-2"/>
          <w:szCs w:val="22"/>
        </w:rPr>
        <w:t xml:space="preserve">  </w:t>
      </w:r>
      <w:r w:rsidRPr="00CD1070">
        <w:rPr>
          <w:spacing w:val="-2"/>
          <w:szCs w:val="22"/>
        </w:rPr>
        <w:t>Consequently, the Commission estimates that most Other Toll</w:t>
      </w:r>
      <w:r>
        <w:rPr>
          <w:spacing w:val="-2"/>
          <w:szCs w:val="22"/>
        </w:rPr>
        <w:t xml:space="preserve"> </w:t>
      </w:r>
      <w:r w:rsidRPr="00CD1070">
        <w:rPr>
          <w:spacing w:val="-2"/>
          <w:szCs w:val="22"/>
        </w:rPr>
        <w:t>Carriers are small entities that may be affected by the rules and polic</w:t>
      </w:r>
      <w:r>
        <w:rPr>
          <w:spacing w:val="-2"/>
          <w:szCs w:val="22"/>
        </w:rPr>
        <w:t>ies adopte</w:t>
      </w:r>
      <w:r w:rsidR="00F91882">
        <w:rPr>
          <w:spacing w:val="-2"/>
          <w:szCs w:val="22"/>
        </w:rPr>
        <w:t xml:space="preserve">d pursuant to the </w:t>
      </w:r>
      <w:r w:rsidR="00F91882">
        <w:rPr>
          <w:i/>
          <w:szCs w:val="22"/>
        </w:rPr>
        <w:t>FY 2013 NPRM</w:t>
      </w:r>
      <w:r w:rsidRPr="00CD1070">
        <w:rPr>
          <w:spacing w:val="-2"/>
          <w:szCs w:val="22"/>
        </w:rPr>
        <w:t>.</w:t>
      </w:r>
    </w:p>
    <w:p w:rsidR="00CC56FF"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17.</w:t>
      </w:r>
      <w:r>
        <w:rPr>
          <w:spacing w:val="-2"/>
          <w:szCs w:val="22"/>
        </w:rPr>
        <w:tab/>
      </w:r>
      <w:r w:rsidRPr="00A50BC3">
        <w:rPr>
          <w:b/>
          <w:spacing w:val="-2"/>
          <w:szCs w:val="22"/>
        </w:rPr>
        <w:t xml:space="preserve">Wireless Telecommunications Carriers (except </w:t>
      </w:r>
      <w:r>
        <w:rPr>
          <w:b/>
          <w:spacing w:val="-2"/>
          <w:szCs w:val="22"/>
        </w:rPr>
        <w:t>S</w:t>
      </w:r>
      <w:r w:rsidRPr="00A50BC3">
        <w:rPr>
          <w:b/>
          <w:spacing w:val="-2"/>
          <w:szCs w:val="22"/>
        </w:rPr>
        <w:t>atellite).</w:t>
      </w:r>
      <w:r w:rsidRPr="00A50BC3">
        <w:rPr>
          <w:spacing w:val="-2"/>
          <w:szCs w:val="22"/>
        </w:rPr>
        <w:t xml:space="preserve">  </w:t>
      </w:r>
      <w:r w:rsidRPr="00A9716B">
        <w:rPr>
          <w:spacing w:val="-2"/>
          <w:szCs w:val="22"/>
        </w:rPr>
        <w:t>Since 2007, the SBA has</w:t>
      </w:r>
      <w:r>
        <w:rPr>
          <w:spacing w:val="-2"/>
          <w:szCs w:val="22"/>
        </w:rPr>
        <w:t xml:space="preserve"> </w:t>
      </w:r>
      <w:r w:rsidRPr="00A9716B">
        <w:rPr>
          <w:spacing w:val="-2"/>
          <w:szCs w:val="22"/>
        </w:rPr>
        <w:t>recognized wireless firms within this new, bro</w:t>
      </w:r>
      <w:r>
        <w:rPr>
          <w:spacing w:val="-2"/>
          <w:szCs w:val="22"/>
        </w:rPr>
        <w:t>ad, economic census category.</w:t>
      </w:r>
      <w:r>
        <w:rPr>
          <w:rStyle w:val="FootnoteReference"/>
          <w:spacing w:val="-2"/>
          <w:szCs w:val="22"/>
        </w:rPr>
        <w:footnoteReference w:id="165"/>
      </w:r>
      <w:r>
        <w:rPr>
          <w:spacing w:val="-2"/>
          <w:szCs w:val="22"/>
        </w:rPr>
        <w:t xml:space="preserve">  </w:t>
      </w:r>
      <w:r w:rsidRPr="00A9716B">
        <w:rPr>
          <w:spacing w:val="-2"/>
          <w:szCs w:val="22"/>
        </w:rPr>
        <w:t>Prior to that time, such</w:t>
      </w:r>
      <w:r>
        <w:rPr>
          <w:spacing w:val="-2"/>
          <w:szCs w:val="22"/>
        </w:rPr>
        <w:t xml:space="preserve"> </w:t>
      </w:r>
      <w:r w:rsidRPr="00A9716B">
        <w:rPr>
          <w:spacing w:val="-2"/>
          <w:szCs w:val="22"/>
        </w:rPr>
        <w:t>firms were within the now-superseded categories of Paging and Cellular and Other Wireless</w:t>
      </w:r>
      <w:r>
        <w:rPr>
          <w:spacing w:val="-2"/>
          <w:szCs w:val="22"/>
        </w:rPr>
        <w:t xml:space="preserve">  T</w:t>
      </w:r>
      <w:r w:rsidRPr="00A9716B">
        <w:rPr>
          <w:spacing w:val="-2"/>
          <w:szCs w:val="22"/>
        </w:rPr>
        <w:t>elecommunications.</w:t>
      </w:r>
      <w:r>
        <w:rPr>
          <w:rStyle w:val="FootnoteReference"/>
          <w:spacing w:val="-2"/>
          <w:szCs w:val="22"/>
        </w:rPr>
        <w:footnoteReference w:id="166"/>
      </w:r>
      <w:r>
        <w:rPr>
          <w:spacing w:val="-2"/>
          <w:szCs w:val="22"/>
        </w:rPr>
        <w:t xml:space="preserve">  </w:t>
      </w:r>
      <w:r w:rsidRPr="00A9716B">
        <w:rPr>
          <w:spacing w:val="-2"/>
          <w:szCs w:val="22"/>
        </w:rPr>
        <w:t>Under the present and prior categories, the SBA has deemed a wireless business</w:t>
      </w:r>
      <w:r>
        <w:rPr>
          <w:spacing w:val="-2"/>
          <w:szCs w:val="22"/>
        </w:rPr>
        <w:t xml:space="preserve"> </w:t>
      </w:r>
      <w:r w:rsidRPr="00A9716B">
        <w:rPr>
          <w:spacing w:val="-2"/>
          <w:szCs w:val="22"/>
        </w:rPr>
        <w:t>to be small if it has 1,500 or fewer employees.</w:t>
      </w:r>
      <w:r>
        <w:rPr>
          <w:rStyle w:val="FootnoteReference"/>
          <w:spacing w:val="-2"/>
          <w:szCs w:val="22"/>
        </w:rPr>
        <w:footnoteReference w:id="167"/>
      </w:r>
      <w:r>
        <w:rPr>
          <w:spacing w:val="-2"/>
          <w:szCs w:val="22"/>
        </w:rPr>
        <w:t xml:space="preserve">  </w:t>
      </w:r>
      <w:r w:rsidRPr="00A9716B">
        <w:rPr>
          <w:spacing w:val="-2"/>
          <w:szCs w:val="22"/>
        </w:rPr>
        <w:t>For this category, census data for 2007 show that there</w:t>
      </w:r>
      <w:r>
        <w:rPr>
          <w:spacing w:val="-2"/>
          <w:szCs w:val="22"/>
        </w:rPr>
        <w:t xml:space="preserve"> </w:t>
      </w:r>
      <w:r w:rsidRPr="00A9716B">
        <w:rPr>
          <w:spacing w:val="-2"/>
          <w:szCs w:val="22"/>
        </w:rPr>
        <w:t xml:space="preserve">were 11,163 establishments that </w:t>
      </w:r>
      <w:r>
        <w:rPr>
          <w:spacing w:val="-2"/>
          <w:szCs w:val="22"/>
        </w:rPr>
        <w:t>operated for the entire year.</w:t>
      </w:r>
      <w:r>
        <w:rPr>
          <w:rStyle w:val="FootnoteReference"/>
          <w:spacing w:val="-2"/>
          <w:szCs w:val="22"/>
        </w:rPr>
        <w:footnoteReference w:id="168"/>
      </w:r>
      <w:r>
        <w:rPr>
          <w:spacing w:val="-2"/>
          <w:szCs w:val="22"/>
        </w:rPr>
        <w:t xml:space="preserve">  </w:t>
      </w:r>
      <w:r w:rsidRPr="00A9716B">
        <w:rPr>
          <w:spacing w:val="-2"/>
          <w:szCs w:val="22"/>
        </w:rPr>
        <w:t>Of this total, 10,791 establishments had</w:t>
      </w:r>
      <w:r>
        <w:rPr>
          <w:spacing w:val="-2"/>
          <w:szCs w:val="22"/>
        </w:rPr>
        <w:t xml:space="preserve"> </w:t>
      </w:r>
      <w:r w:rsidRPr="00A9716B">
        <w:rPr>
          <w:spacing w:val="-2"/>
          <w:szCs w:val="22"/>
        </w:rPr>
        <w:t>employment of 999 or fewer employees and 372 had employment of 1000 employees or more.</w:t>
      </w:r>
      <w:r>
        <w:rPr>
          <w:rStyle w:val="FootnoteReference"/>
          <w:spacing w:val="-2"/>
          <w:szCs w:val="22"/>
        </w:rPr>
        <w:footnoteReference w:id="169"/>
      </w:r>
      <w:r>
        <w:rPr>
          <w:spacing w:val="-2"/>
          <w:szCs w:val="22"/>
        </w:rPr>
        <w:t xml:space="preserve">  </w:t>
      </w:r>
      <w:r w:rsidRPr="004740E3">
        <w:rPr>
          <w:spacing w:val="-2"/>
          <w:szCs w:val="22"/>
        </w:rPr>
        <w:t>Thus,</w:t>
      </w:r>
      <w:r w:rsidRPr="004740E3">
        <w:rPr>
          <w:szCs w:val="22"/>
        </w:rPr>
        <w:t xml:space="preserve"> under this category and the associated small business size standard, the Commission estimates that the m</w:t>
      </w:r>
      <w:r w:rsidRPr="004740E3">
        <w:rPr>
          <w:spacing w:val="-2"/>
          <w:szCs w:val="22"/>
        </w:rPr>
        <w:t>ajority of wireless telecommunications carriers (except satellite) are small entities that may be affected by our proposed action.</w:t>
      </w:r>
    </w:p>
    <w:p w:rsidR="00CC56FF"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18.</w:t>
      </w:r>
      <w:r>
        <w:rPr>
          <w:spacing w:val="-2"/>
          <w:szCs w:val="22"/>
        </w:rPr>
        <w:tab/>
      </w:r>
      <w:r w:rsidRPr="004740E3">
        <w:rPr>
          <w:spacing w:val="-2"/>
          <w:szCs w:val="22"/>
        </w:rPr>
        <w:t>Similarly, according to Commission data, 413 carriers reported</w:t>
      </w:r>
      <w:r w:rsidRPr="00A9716B">
        <w:rPr>
          <w:spacing w:val="-2"/>
          <w:szCs w:val="22"/>
        </w:rPr>
        <w:t xml:space="preserve"> that they were engaged in</w:t>
      </w:r>
      <w:r>
        <w:rPr>
          <w:spacing w:val="-2"/>
          <w:szCs w:val="22"/>
        </w:rPr>
        <w:t xml:space="preserve"> </w:t>
      </w:r>
      <w:r w:rsidRPr="00A9716B">
        <w:rPr>
          <w:spacing w:val="-2"/>
          <w:szCs w:val="22"/>
        </w:rPr>
        <w:t>the provision of wireless telephony, including cellular service, Personal Communications Service (PCS),</w:t>
      </w:r>
      <w:r>
        <w:rPr>
          <w:spacing w:val="-2"/>
          <w:szCs w:val="22"/>
        </w:rPr>
        <w:t xml:space="preserve"> </w:t>
      </w:r>
      <w:r w:rsidRPr="00A9716B">
        <w:rPr>
          <w:spacing w:val="-2"/>
          <w:szCs w:val="22"/>
        </w:rPr>
        <w:t>and Specialized Mobile Radio (SMR) Telephony services.</w:t>
      </w:r>
      <w:r>
        <w:rPr>
          <w:rStyle w:val="FootnoteReference"/>
          <w:spacing w:val="-2"/>
          <w:szCs w:val="22"/>
        </w:rPr>
        <w:footnoteReference w:id="170"/>
      </w:r>
      <w:r>
        <w:rPr>
          <w:spacing w:val="-2"/>
          <w:szCs w:val="22"/>
        </w:rPr>
        <w:t xml:space="preserve">  </w:t>
      </w:r>
      <w:r w:rsidRPr="00A9716B">
        <w:rPr>
          <w:spacing w:val="-2"/>
          <w:szCs w:val="22"/>
        </w:rPr>
        <w:t>Of these, an estimated 261 have 1,500 or</w:t>
      </w:r>
      <w:r>
        <w:rPr>
          <w:spacing w:val="-2"/>
          <w:szCs w:val="22"/>
        </w:rPr>
        <w:t xml:space="preserve"> </w:t>
      </w:r>
      <w:r w:rsidRPr="00A9716B">
        <w:rPr>
          <w:spacing w:val="-2"/>
          <w:szCs w:val="22"/>
        </w:rPr>
        <w:t>fewer employees and 152 ha</w:t>
      </w:r>
      <w:r>
        <w:rPr>
          <w:spacing w:val="-2"/>
          <w:szCs w:val="22"/>
        </w:rPr>
        <w:t>ve more than 1,500 employees.</w:t>
      </w:r>
      <w:r>
        <w:rPr>
          <w:rStyle w:val="FootnoteReference"/>
          <w:spacing w:val="-2"/>
          <w:szCs w:val="22"/>
        </w:rPr>
        <w:footnoteReference w:id="171"/>
      </w:r>
      <w:r>
        <w:rPr>
          <w:spacing w:val="-2"/>
          <w:szCs w:val="22"/>
        </w:rPr>
        <w:t xml:space="preserve">  </w:t>
      </w:r>
      <w:r w:rsidRPr="00A9716B">
        <w:rPr>
          <w:spacing w:val="-2"/>
          <w:szCs w:val="22"/>
        </w:rPr>
        <w:t>Consequently, the Commission estimates</w:t>
      </w:r>
      <w:r>
        <w:rPr>
          <w:spacing w:val="-2"/>
          <w:szCs w:val="22"/>
        </w:rPr>
        <w:t xml:space="preserve"> </w:t>
      </w:r>
      <w:r w:rsidRPr="00A9716B">
        <w:rPr>
          <w:spacing w:val="-2"/>
          <w:szCs w:val="22"/>
        </w:rPr>
        <w:t>that approximately half or more of these firms can be considered small. Thus, using available data, we</w:t>
      </w:r>
      <w:r>
        <w:rPr>
          <w:spacing w:val="-2"/>
          <w:szCs w:val="22"/>
        </w:rPr>
        <w:t xml:space="preserve"> </w:t>
      </w:r>
      <w:r w:rsidRPr="00A9716B">
        <w:rPr>
          <w:spacing w:val="-2"/>
          <w:szCs w:val="22"/>
        </w:rPr>
        <w:t>estimate that the majority of wireless firms can be considered small.</w:t>
      </w:r>
    </w:p>
    <w:p w:rsidR="00CC56FF" w:rsidRDefault="00CC56FF" w:rsidP="00CC56FF">
      <w:pPr>
        <w:tabs>
          <w:tab w:val="left" w:pos="1440"/>
        </w:tabs>
        <w:suppressAutoHyphens/>
        <w:spacing w:line="240" w:lineRule="atLeast"/>
        <w:ind w:firstLine="720"/>
        <w:rPr>
          <w:spacing w:val="-2"/>
          <w:szCs w:val="22"/>
        </w:rPr>
      </w:pPr>
    </w:p>
    <w:p w:rsidR="00CC56FF" w:rsidRDefault="00CC56FF" w:rsidP="00CC56FF">
      <w:pPr>
        <w:tabs>
          <w:tab w:val="left" w:pos="1440"/>
        </w:tabs>
        <w:suppressAutoHyphens/>
        <w:spacing w:line="240" w:lineRule="atLeast"/>
        <w:ind w:firstLine="720"/>
        <w:rPr>
          <w:spacing w:val="-2"/>
          <w:szCs w:val="22"/>
        </w:rPr>
      </w:pPr>
      <w:r>
        <w:rPr>
          <w:spacing w:val="-2"/>
          <w:szCs w:val="22"/>
        </w:rPr>
        <w:t>19.</w:t>
      </w:r>
      <w:r>
        <w:rPr>
          <w:spacing w:val="-2"/>
          <w:szCs w:val="22"/>
        </w:rPr>
        <w:tab/>
      </w:r>
      <w:r w:rsidRPr="0065680B">
        <w:rPr>
          <w:b/>
          <w:spacing w:val="-2"/>
          <w:szCs w:val="22"/>
        </w:rPr>
        <w:t>Cable Television and other Program Distribution</w:t>
      </w:r>
      <w:r w:rsidRPr="0065680B">
        <w:rPr>
          <w:spacing w:val="-2"/>
          <w:szCs w:val="22"/>
        </w:rPr>
        <w:t>.   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pacing w:val="-2"/>
          <w:szCs w:val="22"/>
        </w:rPr>
        <w:footnoteReference w:id="172"/>
      </w:r>
      <w:r>
        <w:rPr>
          <w:spacing w:val="-2"/>
          <w:szCs w:val="22"/>
        </w:rPr>
        <w:t xml:space="preserve">  </w:t>
      </w:r>
      <w:r w:rsidRPr="0065680B">
        <w:rPr>
          <w:spacing w:val="-2"/>
          <w:szCs w:val="22"/>
        </w:rPr>
        <w:t>The SBA has developed a small business size standard for this category, which is:  all such firms having 1,500 or fewer employees.</w:t>
      </w:r>
      <w:r>
        <w:rPr>
          <w:rStyle w:val="FootnoteReference"/>
          <w:spacing w:val="-2"/>
          <w:szCs w:val="22"/>
        </w:rPr>
        <w:footnoteReference w:id="173"/>
      </w:r>
      <w:r w:rsidRPr="0065680B">
        <w:rPr>
          <w:spacing w:val="-2"/>
          <w:szCs w:val="22"/>
        </w:rPr>
        <w:t xml:space="preserve">  Census data for 2007 shows that there were </w:t>
      </w:r>
      <w:r>
        <w:rPr>
          <w:spacing w:val="-2"/>
          <w:szCs w:val="22"/>
        </w:rPr>
        <w:t xml:space="preserve">31,996 establishments that operated </w:t>
      </w:r>
      <w:r w:rsidRPr="0065680B">
        <w:rPr>
          <w:spacing w:val="-2"/>
          <w:szCs w:val="22"/>
        </w:rPr>
        <w:t xml:space="preserve">that year.   Of those </w:t>
      </w:r>
      <w:r>
        <w:rPr>
          <w:spacing w:val="-2"/>
          <w:szCs w:val="22"/>
        </w:rPr>
        <w:t>31,996, 1,818</w:t>
      </w:r>
      <w:r w:rsidRPr="0065680B">
        <w:rPr>
          <w:spacing w:val="-2"/>
          <w:szCs w:val="22"/>
        </w:rPr>
        <w:t xml:space="preserve"> had </w:t>
      </w:r>
      <w:r>
        <w:rPr>
          <w:spacing w:val="-2"/>
          <w:szCs w:val="22"/>
        </w:rPr>
        <w:t>more</w:t>
      </w:r>
      <w:r w:rsidRPr="0065680B">
        <w:rPr>
          <w:spacing w:val="-2"/>
          <w:szCs w:val="22"/>
        </w:rPr>
        <w:t xml:space="preserve"> than 100 employees, and </w:t>
      </w:r>
      <w:r>
        <w:rPr>
          <w:spacing w:val="-2"/>
          <w:szCs w:val="22"/>
        </w:rPr>
        <w:t>30,178 operated with fewer than 100 employees</w:t>
      </w:r>
      <w:r w:rsidRPr="0065680B">
        <w:rPr>
          <w:spacing w:val="-2"/>
          <w:szCs w:val="22"/>
        </w:rPr>
        <w:t xml:space="preserve">.  Thus under this </w:t>
      </w:r>
      <w:r>
        <w:rPr>
          <w:spacing w:val="-2"/>
          <w:szCs w:val="22"/>
        </w:rPr>
        <w:t xml:space="preserve">size standard, </w:t>
      </w:r>
      <w:r w:rsidRPr="0065680B">
        <w:rPr>
          <w:spacing w:val="-2"/>
          <w:szCs w:val="22"/>
        </w:rPr>
        <w:t xml:space="preserve">the majority of firms </w:t>
      </w:r>
      <w:r>
        <w:rPr>
          <w:spacing w:val="-2"/>
          <w:szCs w:val="22"/>
        </w:rPr>
        <w:t xml:space="preserve">offering cable and other program distribution services </w:t>
      </w:r>
      <w:r w:rsidRPr="0065680B">
        <w:rPr>
          <w:spacing w:val="-2"/>
          <w:szCs w:val="22"/>
        </w:rPr>
        <w:t>can be considered small</w:t>
      </w:r>
      <w:r>
        <w:rPr>
          <w:spacing w:val="-2"/>
          <w:szCs w:val="22"/>
        </w:rPr>
        <w:t xml:space="preserve"> and may be affected by rules adopte</w:t>
      </w:r>
      <w:r w:rsidR="00F91882">
        <w:rPr>
          <w:spacing w:val="-2"/>
          <w:szCs w:val="22"/>
        </w:rPr>
        <w:t xml:space="preserve">d pursuant to the </w:t>
      </w:r>
      <w:r w:rsidR="00F91882">
        <w:rPr>
          <w:i/>
          <w:szCs w:val="22"/>
        </w:rPr>
        <w:t>FY 2013 NPRM</w:t>
      </w:r>
      <w:r w:rsidRPr="0065680B">
        <w:rPr>
          <w:spacing w:val="-2"/>
          <w:szCs w:val="22"/>
        </w:rPr>
        <w:t>.</w:t>
      </w:r>
    </w:p>
    <w:p w:rsidR="00CC56FF" w:rsidRPr="0065680B" w:rsidRDefault="00CC56FF" w:rsidP="00CC56FF">
      <w:pPr>
        <w:tabs>
          <w:tab w:val="left" w:pos="1440"/>
        </w:tabs>
        <w:suppressAutoHyphens/>
        <w:spacing w:line="240" w:lineRule="atLeast"/>
        <w:ind w:firstLine="720"/>
        <w:rPr>
          <w:spacing w:val="-2"/>
          <w:szCs w:val="22"/>
        </w:rPr>
      </w:pPr>
    </w:p>
    <w:p w:rsidR="00CC56FF" w:rsidRDefault="00CC56FF" w:rsidP="000E1F2C">
      <w:pPr>
        <w:widowControl/>
        <w:tabs>
          <w:tab w:val="left" w:pos="1440"/>
        </w:tabs>
        <w:suppressAutoHyphens/>
        <w:spacing w:line="240" w:lineRule="atLeast"/>
        <w:ind w:firstLine="720"/>
        <w:rPr>
          <w:spacing w:val="-2"/>
          <w:szCs w:val="22"/>
        </w:rPr>
      </w:pPr>
      <w:r>
        <w:rPr>
          <w:spacing w:val="-2"/>
          <w:szCs w:val="22"/>
        </w:rPr>
        <w:t>2</w:t>
      </w:r>
      <w:r w:rsidRPr="0065680B">
        <w:rPr>
          <w:spacing w:val="-2"/>
          <w:szCs w:val="22"/>
        </w:rPr>
        <w:t>0.</w:t>
      </w:r>
      <w:r w:rsidRPr="0065680B">
        <w:rPr>
          <w:spacing w:val="-2"/>
          <w:szCs w:val="22"/>
        </w:rPr>
        <w:tab/>
      </w:r>
      <w:r w:rsidRPr="00FB045B">
        <w:rPr>
          <w:b/>
          <w:spacing w:val="-2"/>
          <w:szCs w:val="22"/>
        </w:rPr>
        <w:t>Cable Companies and Systems</w:t>
      </w:r>
      <w:r w:rsidRPr="0065680B">
        <w:rPr>
          <w:spacing w:val="-2"/>
          <w:szCs w:val="22"/>
        </w:rPr>
        <w:t>.  The Commission has developed its own small business size standards, for the purpose of cable rate regulation.  Under the Commission’s rules, a “small cable company” is one serving 400,000 or fewer subscribers, nationwide.</w:t>
      </w:r>
      <w:r>
        <w:rPr>
          <w:rStyle w:val="FootnoteReference"/>
          <w:spacing w:val="-2"/>
          <w:szCs w:val="22"/>
        </w:rPr>
        <w:footnoteReference w:id="174"/>
      </w:r>
      <w:r>
        <w:rPr>
          <w:spacing w:val="-2"/>
          <w:szCs w:val="22"/>
        </w:rPr>
        <w:t xml:space="preserve">  </w:t>
      </w:r>
      <w:r w:rsidRPr="0065680B">
        <w:rPr>
          <w:spacing w:val="-2"/>
          <w:szCs w:val="22"/>
        </w:rPr>
        <w:t>Industry data indicate that, of 1,076 cable operators nationwide, all but eleven are small under this size standard.</w:t>
      </w:r>
      <w:r>
        <w:rPr>
          <w:rStyle w:val="FootnoteReference"/>
          <w:spacing w:val="-2"/>
          <w:szCs w:val="22"/>
        </w:rPr>
        <w:footnoteReference w:id="175"/>
      </w:r>
      <w:r>
        <w:rPr>
          <w:spacing w:val="-2"/>
          <w:szCs w:val="22"/>
        </w:rPr>
        <w:t xml:space="preserve"> </w:t>
      </w:r>
      <w:r w:rsidRPr="0065680B">
        <w:rPr>
          <w:spacing w:val="-2"/>
          <w:szCs w:val="22"/>
        </w:rPr>
        <w:t xml:space="preserve"> In addition, under the Commission’s rules, a “small system” is a cable system serving 15,000 or fewer subscribers.</w:t>
      </w:r>
      <w:r>
        <w:rPr>
          <w:rStyle w:val="FootnoteReference"/>
          <w:spacing w:val="-2"/>
          <w:szCs w:val="22"/>
        </w:rPr>
        <w:footnoteReference w:id="176"/>
      </w:r>
      <w:r w:rsidRPr="0065680B">
        <w:rPr>
          <w:spacing w:val="-2"/>
          <w:szCs w:val="22"/>
        </w:rPr>
        <w:t xml:space="preserve">   Industry data indicate that, of 6,635 systems nationwide, 5,802 systems have under 10,000 subscribers, and an additional 302 systems have 10,000-19,999 subscribers.</w:t>
      </w:r>
      <w:r>
        <w:rPr>
          <w:rStyle w:val="FootnoteReference"/>
          <w:spacing w:val="-2"/>
          <w:szCs w:val="22"/>
        </w:rPr>
        <w:footnoteReference w:id="177"/>
      </w:r>
      <w:r w:rsidRPr="0065680B">
        <w:rPr>
          <w:spacing w:val="-2"/>
          <w:szCs w:val="22"/>
        </w:rPr>
        <w:t xml:space="preserve">   Thus, under this second size standar</w:t>
      </w:r>
      <w:r>
        <w:rPr>
          <w:spacing w:val="-2"/>
          <w:szCs w:val="22"/>
        </w:rPr>
        <w:t>d, most cable systems are small and may be affected by rules adopte</w:t>
      </w:r>
      <w:r w:rsidR="00F91882">
        <w:rPr>
          <w:spacing w:val="-2"/>
          <w:szCs w:val="22"/>
        </w:rPr>
        <w:t xml:space="preserve">d pursuant to the </w:t>
      </w:r>
      <w:r w:rsidR="00F91882">
        <w:rPr>
          <w:i/>
          <w:szCs w:val="22"/>
        </w:rPr>
        <w:t>FY 2013 NPRM</w:t>
      </w:r>
      <w:r>
        <w:rPr>
          <w:spacing w:val="-2"/>
          <w:szCs w:val="22"/>
        </w:rPr>
        <w:t>.</w:t>
      </w:r>
    </w:p>
    <w:p w:rsidR="00CC56FF" w:rsidRDefault="00CC56FF" w:rsidP="00CC56FF">
      <w:pPr>
        <w:tabs>
          <w:tab w:val="left" w:pos="1440"/>
        </w:tabs>
        <w:suppressAutoHyphens/>
        <w:spacing w:line="240" w:lineRule="atLeast"/>
        <w:ind w:firstLine="720"/>
        <w:rPr>
          <w:spacing w:val="-2"/>
          <w:szCs w:val="22"/>
        </w:rPr>
      </w:pPr>
    </w:p>
    <w:p w:rsidR="00EC2B2C" w:rsidRPr="00EC2B2C" w:rsidRDefault="00CC56FF" w:rsidP="00EC2B2C">
      <w:pPr>
        <w:tabs>
          <w:tab w:val="left" w:pos="1440"/>
        </w:tabs>
        <w:suppressAutoHyphens/>
        <w:spacing w:line="240" w:lineRule="atLeast"/>
        <w:ind w:firstLine="720"/>
        <w:rPr>
          <w:spacing w:val="-2"/>
          <w:szCs w:val="22"/>
        </w:rPr>
      </w:pPr>
      <w:r>
        <w:rPr>
          <w:spacing w:val="-2"/>
          <w:szCs w:val="22"/>
        </w:rPr>
        <w:t>21.</w:t>
      </w:r>
      <w:r>
        <w:rPr>
          <w:spacing w:val="-2"/>
          <w:szCs w:val="22"/>
        </w:rPr>
        <w:tab/>
      </w:r>
      <w:r w:rsidRPr="00A205F0">
        <w:rPr>
          <w:b/>
          <w:spacing w:val="-2"/>
          <w:szCs w:val="22"/>
        </w:rPr>
        <w:t>All Other Telecommunications</w:t>
      </w:r>
      <w:r w:rsidRPr="00A205F0">
        <w:rPr>
          <w:spacing w:val="-2"/>
          <w:szCs w:val="22"/>
        </w:rPr>
        <w:t xml:space="preserve">. </w:t>
      </w:r>
      <w:r>
        <w:rPr>
          <w:spacing w:val="-2"/>
          <w:szCs w:val="22"/>
        </w:rPr>
        <w:t xml:space="preserve"> </w:t>
      </w:r>
      <w:r w:rsidRPr="00A205F0">
        <w:rPr>
          <w:spacing w:val="-2"/>
          <w:szCs w:val="22"/>
        </w:rPr>
        <w:t>The Census Bureau defines this industry as including</w:t>
      </w:r>
      <w:r>
        <w:rPr>
          <w:spacing w:val="-2"/>
          <w:szCs w:val="22"/>
        </w:rPr>
        <w:t xml:space="preserve"> </w:t>
      </w:r>
      <w:r w:rsidRPr="00A205F0">
        <w:rPr>
          <w:spacing w:val="-2"/>
          <w:szCs w:val="22"/>
        </w:rPr>
        <w:t>“establishments primarily engaged in providing specialized telecommunications services, such as satellite</w:t>
      </w:r>
      <w:r>
        <w:rPr>
          <w:spacing w:val="-2"/>
          <w:szCs w:val="22"/>
        </w:rPr>
        <w:t xml:space="preserve"> </w:t>
      </w:r>
      <w:r w:rsidRPr="00A205F0">
        <w:rPr>
          <w:spacing w:val="-2"/>
          <w:szCs w:val="22"/>
        </w:rPr>
        <w:t xml:space="preserve">tracking, communications telemetry, and radar station operation. </w:t>
      </w:r>
      <w:r>
        <w:rPr>
          <w:spacing w:val="-2"/>
          <w:szCs w:val="22"/>
        </w:rPr>
        <w:t xml:space="preserve"> </w:t>
      </w:r>
      <w:r w:rsidRPr="00A205F0">
        <w:rPr>
          <w:spacing w:val="-2"/>
          <w:szCs w:val="22"/>
        </w:rPr>
        <w:t>This industry also includes</w:t>
      </w:r>
      <w:r>
        <w:rPr>
          <w:spacing w:val="-2"/>
          <w:szCs w:val="22"/>
        </w:rPr>
        <w:t xml:space="preserve"> </w:t>
      </w:r>
      <w:r w:rsidRPr="00A205F0">
        <w:rPr>
          <w:spacing w:val="-2"/>
          <w:szCs w:val="22"/>
        </w:rPr>
        <w:t>establishments</w:t>
      </w:r>
      <w:r>
        <w:rPr>
          <w:spacing w:val="-2"/>
          <w:szCs w:val="22"/>
        </w:rPr>
        <w:t xml:space="preserve"> </w:t>
      </w:r>
      <w:r w:rsidRPr="00A205F0">
        <w:rPr>
          <w:spacing w:val="-2"/>
          <w:szCs w:val="22"/>
        </w:rPr>
        <w:t>primarily engaged in providing satellite terminal stations and associated facilities</w:t>
      </w:r>
      <w:r>
        <w:rPr>
          <w:spacing w:val="-2"/>
          <w:szCs w:val="22"/>
        </w:rPr>
        <w:t xml:space="preserve"> </w:t>
      </w:r>
      <w:r w:rsidRPr="00A205F0">
        <w:rPr>
          <w:spacing w:val="-2"/>
          <w:szCs w:val="22"/>
        </w:rPr>
        <w:t>connected with one or</w:t>
      </w:r>
      <w:r>
        <w:rPr>
          <w:spacing w:val="-2"/>
          <w:szCs w:val="22"/>
        </w:rPr>
        <w:t xml:space="preserve"> </w:t>
      </w:r>
      <w:r w:rsidRPr="00A205F0">
        <w:rPr>
          <w:spacing w:val="-2"/>
          <w:szCs w:val="22"/>
        </w:rPr>
        <w:t>more terrestrial systems and capable of transmitting telecommunications to, and</w:t>
      </w:r>
      <w:r>
        <w:rPr>
          <w:spacing w:val="-2"/>
          <w:szCs w:val="22"/>
        </w:rPr>
        <w:t xml:space="preserve"> </w:t>
      </w:r>
      <w:r w:rsidRPr="00A205F0">
        <w:rPr>
          <w:spacing w:val="-2"/>
          <w:szCs w:val="22"/>
        </w:rPr>
        <w:t>receiving</w:t>
      </w:r>
      <w:r>
        <w:rPr>
          <w:spacing w:val="-2"/>
          <w:szCs w:val="22"/>
        </w:rPr>
        <w:t xml:space="preserve"> </w:t>
      </w:r>
      <w:r w:rsidRPr="00A205F0">
        <w:rPr>
          <w:spacing w:val="-2"/>
          <w:szCs w:val="22"/>
        </w:rPr>
        <w:t xml:space="preserve">telecommunications from, satellite systems. </w:t>
      </w:r>
      <w:r w:rsidR="00B376D4">
        <w:rPr>
          <w:spacing w:val="-2"/>
          <w:szCs w:val="22"/>
        </w:rPr>
        <w:t xml:space="preserve"> </w:t>
      </w:r>
      <w:r w:rsidRPr="00A205F0">
        <w:rPr>
          <w:spacing w:val="-2"/>
          <w:szCs w:val="22"/>
        </w:rPr>
        <w:t>Establishments providing Internet services or</w:t>
      </w:r>
      <w:r>
        <w:rPr>
          <w:spacing w:val="-2"/>
          <w:szCs w:val="22"/>
        </w:rPr>
        <w:t xml:space="preserve"> </w:t>
      </w:r>
      <w:r w:rsidRPr="00A205F0">
        <w:rPr>
          <w:spacing w:val="-2"/>
          <w:szCs w:val="22"/>
        </w:rPr>
        <w:t>Voice over</w:t>
      </w:r>
      <w:r>
        <w:rPr>
          <w:spacing w:val="-2"/>
          <w:szCs w:val="22"/>
        </w:rPr>
        <w:t xml:space="preserve"> </w:t>
      </w:r>
      <w:r w:rsidRPr="00A205F0">
        <w:rPr>
          <w:spacing w:val="-2"/>
          <w:szCs w:val="22"/>
        </w:rPr>
        <w:t>Internet Protocol (VoIP) services via client-supplied telecommunications connections are also</w:t>
      </w:r>
      <w:r>
        <w:rPr>
          <w:spacing w:val="-2"/>
          <w:szCs w:val="22"/>
        </w:rPr>
        <w:t xml:space="preserve"> </w:t>
      </w:r>
      <w:r w:rsidRPr="00A205F0">
        <w:rPr>
          <w:spacing w:val="-2"/>
          <w:szCs w:val="22"/>
        </w:rPr>
        <w:t>included in</w:t>
      </w:r>
      <w:r>
        <w:rPr>
          <w:spacing w:val="-2"/>
          <w:szCs w:val="22"/>
        </w:rPr>
        <w:t xml:space="preserve"> this industry.”</w:t>
      </w:r>
      <w:r>
        <w:rPr>
          <w:rStyle w:val="FootnoteReference"/>
          <w:spacing w:val="-2"/>
          <w:szCs w:val="22"/>
        </w:rPr>
        <w:footnoteReference w:id="178"/>
      </w:r>
      <w:r>
        <w:rPr>
          <w:spacing w:val="-2"/>
          <w:szCs w:val="22"/>
        </w:rPr>
        <w:t xml:space="preserve">  </w:t>
      </w:r>
      <w:r w:rsidRPr="00A205F0">
        <w:rPr>
          <w:spacing w:val="-2"/>
          <w:szCs w:val="22"/>
        </w:rPr>
        <w:t>The SBA has developed a small business size standard for this category; that</w:t>
      </w:r>
      <w:r>
        <w:rPr>
          <w:spacing w:val="-2"/>
          <w:szCs w:val="22"/>
        </w:rPr>
        <w:t xml:space="preserve"> </w:t>
      </w:r>
      <w:r w:rsidRPr="00A205F0">
        <w:rPr>
          <w:spacing w:val="-2"/>
          <w:szCs w:val="22"/>
        </w:rPr>
        <w:t>size standard</w:t>
      </w:r>
      <w:r>
        <w:rPr>
          <w:spacing w:val="-2"/>
          <w:szCs w:val="22"/>
        </w:rPr>
        <w:t xml:space="preserve"> </w:t>
      </w:r>
      <w:r w:rsidRPr="00BB0957">
        <w:rPr>
          <w:spacing w:val="-2"/>
          <w:szCs w:val="22"/>
        </w:rPr>
        <w:t>is $30.0 million or less in average annual receipts.</w:t>
      </w:r>
      <w:r w:rsidRPr="00BB0957">
        <w:rPr>
          <w:rStyle w:val="FootnoteReference"/>
          <w:spacing w:val="-2"/>
          <w:szCs w:val="22"/>
        </w:rPr>
        <w:footnoteReference w:id="179"/>
      </w:r>
      <w:r w:rsidRPr="00BB0957">
        <w:rPr>
          <w:spacing w:val="-2"/>
          <w:szCs w:val="22"/>
        </w:rPr>
        <w:t xml:space="preserve">  According to Census Bureau data for 2007, there were 2,623 firms in this category that operated for the entire year.</w:t>
      </w:r>
      <w:r w:rsidRPr="00BB0957">
        <w:rPr>
          <w:rStyle w:val="FootnoteReference"/>
          <w:spacing w:val="-2"/>
          <w:szCs w:val="22"/>
        </w:rPr>
        <w:footnoteReference w:id="180"/>
      </w:r>
      <w:r w:rsidRPr="00BB0957">
        <w:rPr>
          <w:spacing w:val="-2"/>
          <w:szCs w:val="22"/>
        </w:rPr>
        <w:t xml:space="preserve">  Of these, 2478 establishments had annual receipts of under $10 million and 145 establishments had annual receipts of $10 million or more.</w:t>
      </w:r>
      <w:r w:rsidRPr="00BB0957">
        <w:rPr>
          <w:rStyle w:val="FootnoteReference"/>
          <w:spacing w:val="-2"/>
          <w:szCs w:val="22"/>
        </w:rPr>
        <w:footnoteReference w:id="181"/>
      </w:r>
      <w:r w:rsidRPr="00BB0957">
        <w:rPr>
          <w:spacing w:val="-2"/>
          <w:szCs w:val="22"/>
        </w:rPr>
        <w:t xml:space="preserve"> Consequently, we estimate that the majority of these firms are small entities that may be affected by our action.</w:t>
      </w:r>
      <w:r w:rsidR="00EC2B2C" w:rsidRPr="00BB0957">
        <w:rPr>
          <w:spacing w:val="-2"/>
          <w:szCs w:val="22"/>
        </w:rPr>
        <w:t xml:space="preserve">  In addition, some small businesses whose primary line of business does not involve provision </w:t>
      </w:r>
      <w:r w:rsidR="00CE39AF" w:rsidRPr="00BB0957">
        <w:rPr>
          <w:spacing w:val="-2"/>
          <w:szCs w:val="22"/>
        </w:rPr>
        <w:t>of communications</w:t>
      </w:r>
      <w:r w:rsidR="00EC2B2C" w:rsidRPr="00BB0957">
        <w:rPr>
          <w:spacing w:val="-2"/>
          <w:szCs w:val="22"/>
        </w:rPr>
        <w:t xml:space="preserve"> services hold FCC licenses or other authorizations for purposes incidental to their primary business.  We do not have a reliable estimate of how many of these entities are small businesses.</w:t>
      </w:r>
      <w:r w:rsidR="00EC2B2C" w:rsidRPr="00EC2B2C">
        <w:rPr>
          <w:spacing w:val="-2"/>
          <w:szCs w:val="22"/>
        </w:rPr>
        <w:t xml:space="preserve">  </w:t>
      </w:r>
    </w:p>
    <w:p w:rsidR="00CC56FF" w:rsidRPr="007521D5" w:rsidRDefault="00CC56FF" w:rsidP="00CC56FF">
      <w:pPr>
        <w:tabs>
          <w:tab w:val="left" w:pos="1440"/>
        </w:tabs>
        <w:suppressAutoHyphens/>
        <w:spacing w:line="240" w:lineRule="atLeast"/>
        <w:ind w:firstLine="720"/>
        <w:jc w:val="center"/>
        <w:rPr>
          <w:spacing w:val="-2"/>
          <w:szCs w:val="22"/>
        </w:rPr>
      </w:pPr>
      <w:r w:rsidRPr="007521D5">
        <w:rPr>
          <w:spacing w:val="-2"/>
          <w:szCs w:val="22"/>
        </w:rPr>
        <w:tab/>
        <w:t xml:space="preserve"> </w:t>
      </w:r>
    </w:p>
    <w:p w:rsidR="00CC56FF" w:rsidRPr="007521D5" w:rsidRDefault="00CC56FF" w:rsidP="00021D5D">
      <w:pPr>
        <w:pStyle w:val="Heading2"/>
      </w:pPr>
      <w:r w:rsidRPr="001502DB">
        <w:t>Description of Projected Reporting, Recordkeeping and Other Compliance Requirements</w:t>
      </w:r>
    </w:p>
    <w:p w:rsidR="00CC56FF" w:rsidRDefault="00CC56FF" w:rsidP="00CC56FF">
      <w:pPr>
        <w:tabs>
          <w:tab w:val="left" w:pos="1440"/>
        </w:tabs>
        <w:suppressAutoHyphens/>
        <w:spacing w:line="240" w:lineRule="atLeast"/>
        <w:ind w:firstLine="720"/>
        <w:rPr>
          <w:spacing w:val="-2"/>
          <w:szCs w:val="22"/>
        </w:rPr>
      </w:pPr>
      <w:r>
        <w:rPr>
          <w:spacing w:val="-2"/>
          <w:szCs w:val="22"/>
        </w:rPr>
        <w:t>2</w:t>
      </w:r>
      <w:r w:rsidRPr="007521D5">
        <w:rPr>
          <w:spacing w:val="-2"/>
          <w:szCs w:val="22"/>
        </w:rPr>
        <w:t>2.</w:t>
      </w:r>
      <w:r w:rsidRPr="007521D5">
        <w:rPr>
          <w:spacing w:val="-2"/>
          <w:szCs w:val="22"/>
        </w:rPr>
        <w:tab/>
        <w:t xml:space="preserve">This </w:t>
      </w:r>
      <w:r w:rsidR="00CE39AF">
        <w:rPr>
          <w:spacing w:val="-2"/>
          <w:szCs w:val="22"/>
        </w:rPr>
        <w:t>Report and Order does not adopt any new reporting, recordkeeping, or other compliance requirements</w:t>
      </w:r>
      <w:r>
        <w:rPr>
          <w:spacing w:val="-2"/>
          <w:szCs w:val="22"/>
        </w:rPr>
        <w:t>.</w:t>
      </w:r>
    </w:p>
    <w:p w:rsidR="00CC56FF" w:rsidRPr="007521D5" w:rsidRDefault="00CC56FF" w:rsidP="00CC56FF">
      <w:pPr>
        <w:tabs>
          <w:tab w:val="left" w:pos="1440"/>
        </w:tabs>
        <w:suppressAutoHyphens/>
        <w:spacing w:line="240" w:lineRule="atLeast"/>
        <w:ind w:firstLine="720"/>
        <w:rPr>
          <w:spacing w:val="-2"/>
          <w:szCs w:val="22"/>
        </w:rPr>
      </w:pPr>
    </w:p>
    <w:p w:rsidR="00CC56FF" w:rsidRPr="007521D5" w:rsidRDefault="00CC56FF" w:rsidP="00021D5D">
      <w:pPr>
        <w:pStyle w:val="Heading2"/>
      </w:pPr>
      <w:r w:rsidRPr="001502DB">
        <w:t>Steps Taken to Minimize Significant Economic Impact on Small Entities, and Significant Alternatives Considered</w:t>
      </w:r>
    </w:p>
    <w:p w:rsidR="00CC56FF" w:rsidRDefault="00CC56FF" w:rsidP="00CC56FF">
      <w:pPr>
        <w:tabs>
          <w:tab w:val="left" w:pos="1440"/>
        </w:tabs>
        <w:suppressAutoHyphens/>
        <w:spacing w:line="240" w:lineRule="atLeast"/>
        <w:ind w:firstLine="720"/>
        <w:rPr>
          <w:spacing w:val="-2"/>
          <w:szCs w:val="22"/>
        </w:rPr>
      </w:pPr>
      <w:r>
        <w:rPr>
          <w:spacing w:val="-2"/>
          <w:szCs w:val="22"/>
        </w:rPr>
        <w:t>2</w:t>
      </w:r>
      <w:r w:rsidRPr="007521D5">
        <w:rPr>
          <w:spacing w:val="-2"/>
          <w:szCs w:val="22"/>
        </w:rPr>
        <w:t>3.</w:t>
      </w:r>
      <w:r w:rsidRPr="007521D5">
        <w:rPr>
          <w:spacing w:val="-2"/>
          <w:szCs w:val="22"/>
        </w:rPr>
        <w:tab/>
        <w:t>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Pr>
          <w:rStyle w:val="FootnoteReference"/>
          <w:spacing w:val="-2"/>
          <w:szCs w:val="22"/>
        </w:rPr>
        <w:footnoteReference w:id="182"/>
      </w:r>
      <w:r w:rsidRPr="007521D5">
        <w:rPr>
          <w:spacing w:val="-2"/>
          <w:szCs w:val="22"/>
        </w:rPr>
        <w:t xml:space="preserve">   </w:t>
      </w:r>
    </w:p>
    <w:p w:rsidR="00CC56FF" w:rsidRDefault="00CC56FF" w:rsidP="00CC56FF">
      <w:pPr>
        <w:tabs>
          <w:tab w:val="left" w:pos="1440"/>
        </w:tabs>
        <w:suppressAutoHyphens/>
        <w:spacing w:line="240" w:lineRule="atLeast"/>
        <w:ind w:firstLine="720"/>
        <w:rPr>
          <w:spacing w:val="-2"/>
          <w:szCs w:val="22"/>
        </w:rPr>
      </w:pPr>
    </w:p>
    <w:p w:rsidR="00EC2B2C" w:rsidRPr="00EC2B2C" w:rsidRDefault="001F4665" w:rsidP="001F4665">
      <w:pPr>
        <w:tabs>
          <w:tab w:val="left" w:pos="1440"/>
        </w:tabs>
        <w:suppressAutoHyphens/>
        <w:spacing w:line="240" w:lineRule="atLeast"/>
        <w:ind w:firstLine="720"/>
        <w:rPr>
          <w:spacing w:val="-2"/>
          <w:szCs w:val="22"/>
        </w:rPr>
      </w:pPr>
      <w:r>
        <w:rPr>
          <w:spacing w:val="-2"/>
          <w:szCs w:val="22"/>
        </w:rPr>
        <w:t>24.</w:t>
      </w:r>
      <w:r>
        <w:rPr>
          <w:spacing w:val="-2"/>
          <w:szCs w:val="22"/>
        </w:rPr>
        <w:tab/>
        <w:t>T</w:t>
      </w:r>
      <w:r w:rsidR="006D01DC">
        <w:rPr>
          <w:spacing w:val="-2"/>
          <w:szCs w:val="22"/>
        </w:rPr>
        <w:t>his Report and Order does not adopt</w:t>
      </w:r>
      <w:r>
        <w:rPr>
          <w:spacing w:val="-2"/>
          <w:szCs w:val="22"/>
        </w:rPr>
        <w:t xml:space="preserve"> any new reporting requirements.  </w:t>
      </w:r>
      <w:r w:rsidR="00067117">
        <w:rPr>
          <w:spacing w:val="-2"/>
          <w:szCs w:val="22"/>
        </w:rPr>
        <w:t xml:space="preserve">Therefore no adverse economic impact on small entities will be sustained based on reporting requirements.  </w:t>
      </w:r>
      <w:r>
        <w:rPr>
          <w:spacing w:val="-2"/>
          <w:szCs w:val="22"/>
        </w:rPr>
        <w:t xml:space="preserve">There may be </w:t>
      </w:r>
      <w:r w:rsidR="00CC56FF">
        <w:rPr>
          <w:szCs w:val="22"/>
        </w:rPr>
        <w:t xml:space="preserve">a regulatory fee </w:t>
      </w:r>
      <w:r w:rsidR="00560B11">
        <w:rPr>
          <w:szCs w:val="22"/>
        </w:rPr>
        <w:t>increase</w:t>
      </w:r>
      <w:r w:rsidR="00CC56FF">
        <w:rPr>
          <w:szCs w:val="22"/>
        </w:rPr>
        <w:t xml:space="preserve"> </w:t>
      </w:r>
      <w:r w:rsidR="00CC56FF">
        <w:rPr>
          <w:spacing w:val="-2"/>
          <w:szCs w:val="22"/>
        </w:rPr>
        <w:t xml:space="preserve">on small entities, </w:t>
      </w:r>
      <w:r>
        <w:rPr>
          <w:spacing w:val="-2"/>
          <w:szCs w:val="22"/>
        </w:rPr>
        <w:t>in some cases</w:t>
      </w:r>
      <w:r w:rsidR="00B03B81">
        <w:rPr>
          <w:spacing w:val="-2"/>
          <w:szCs w:val="22"/>
        </w:rPr>
        <w:t xml:space="preserve"> and in some industries</w:t>
      </w:r>
      <w:r>
        <w:rPr>
          <w:spacing w:val="-2"/>
          <w:szCs w:val="22"/>
        </w:rPr>
        <w:t>, but if so i</w:t>
      </w:r>
      <w:r w:rsidR="00CC56FF">
        <w:rPr>
          <w:spacing w:val="-2"/>
          <w:szCs w:val="22"/>
        </w:rPr>
        <w:t>t would be specifically in furtherance of the</w:t>
      </w:r>
      <w:r w:rsidR="0028451D">
        <w:rPr>
          <w:spacing w:val="-2"/>
          <w:szCs w:val="22"/>
        </w:rPr>
        <w:t xml:space="preserve"> reform measures proposed</w:t>
      </w:r>
      <w:r>
        <w:rPr>
          <w:spacing w:val="-2"/>
          <w:szCs w:val="22"/>
        </w:rPr>
        <w:t xml:space="preserve"> in the </w:t>
      </w:r>
      <w:r w:rsidRPr="001F4665">
        <w:rPr>
          <w:i/>
          <w:spacing w:val="-2"/>
          <w:szCs w:val="22"/>
        </w:rPr>
        <w:t>Notice</w:t>
      </w:r>
      <w:r w:rsidR="00B03B81">
        <w:rPr>
          <w:i/>
          <w:spacing w:val="-2"/>
          <w:szCs w:val="22"/>
        </w:rPr>
        <w:t xml:space="preserve"> </w:t>
      </w:r>
      <w:r w:rsidR="00B03B81">
        <w:rPr>
          <w:spacing w:val="-2"/>
          <w:szCs w:val="22"/>
        </w:rPr>
        <w:t>to better align regulatory fees with Commission FTEs in core bureaus, as required under section 9 of the Act</w:t>
      </w:r>
      <w:r w:rsidR="00CC56FF">
        <w:rPr>
          <w:spacing w:val="-2"/>
          <w:szCs w:val="22"/>
        </w:rPr>
        <w:t xml:space="preserve">.  </w:t>
      </w:r>
      <w:r>
        <w:rPr>
          <w:spacing w:val="-2"/>
          <w:szCs w:val="22"/>
        </w:rPr>
        <w:t xml:space="preserve">We are mitigating </w:t>
      </w:r>
      <w:r w:rsidR="00CC56FF">
        <w:rPr>
          <w:spacing w:val="-2"/>
          <w:szCs w:val="22"/>
        </w:rPr>
        <w:t xml:space="preserve">fee increases to small entities, </w:t>
      </w:r>
      <w:r>
        <w:rPr>
          <w:spacing w:val="-2"/>
          <w:szCs w:val="22"/>
        </w:rPr>
        <w:t xml:space="preserve">and other entities, </w:t>
      </w:r>
      <w:r w:rsidR="00686BCA">
        <w:rPr>
          <w:spacing w:val="-2"/>
          <w:szCs w:val="22"/>
        </w:rPr>
        <w:t xml:space="preserve">by, for example, limiting </w:t>
      </w:r>
      <w:r w:rsidR="00251DE6">
        <w:rPr>
          <w:spacing w:val="-2"/>
          <w:szCs w:val="22"/>
        </w:rPr>
        <w:t xml:space="preserve">or capping </w:t>
      </w:r>
      <w:r w:rsidR="00686BCA">
        <w:rPr>
          <w:spacing w:val="-2"/>
          <w:szCs w:val="22"/>
        </w:rPr>
        <w:t xml:space="preserve">the </w:t>
      </w:r>
      <w:r w:rsidR="00686BCA" w:rsidRPr="00A41ABA">
        <w:rPr>
          <w:spacing w:val="-2"/>
          <w:szCs w:val="22"/>
        </w:rPr>
        <w:t>annual increase</w:t>
      </w:r>
      <w:r w:rsidR="00EC2B2C" w:rsidRPr="00A41ABA">
        <w:rPr>
          <w:spacing w:val="-2"/>
          <w:szCs w:val="22"/>
        </w:rPr>
        <w:t xml:space="preserve"> in regulatory fees</w:t>
      </w:r>
      <w:r w:rsidR="00067117">
        <w:rPr>
          <w:spacing w:val="-2"/>
          <w:szCs w:val="22"/>
        </w:rPr>
        <w:t xml:space="preserve"> to 7.5 percent</w:t>
      </w:r>
      <w:r w:rsidR="00CC56FF" w:rsidRPr="00A41ABA">
        <w:rPr>
          <w:spacing w:val="-2"/>
          <w:szCs w:val="22"/>
        </w:rPr>
        <w:t xml:space="preserve">.  </w:t>
      </w:r>
      <w:r w:rsidR="0071781E">
        <w:rPr>
          <w:spacing w:val="-2"/>
          <w:szCs w:val="22"/>
        </w:rPr>
        <w:t xml:space="preserve">Absent a cap, the cable fee would increase approximately </w:t>
      </w:r>
      <w:r w:rsidR="00B022ED">
        <w:rPr>
          <w:spacing w:val="-2"/>
          <w:szCs w:val="22"/>
        </w:rPr>
        <w:t>an additional 15</w:t>
      </w:r>
      <w:r w:rsidR="0071781E">
        <w:rPr>
          <w:spacing w:val="-2"/>
          <w:szCs w:val="22"/>
        </w:rPr>
        <w:t xml:space="preserve"> percent.  </w:t>
      </w:r>
      <w:r w:rsidR="00CC56FF" w:rsidRPr="00A41ABA">
        <w:rPr>
          <w:spacing w:val="-2"/>
          <w:szCs w:val="22"/>
        </w:rPr>
        <w:t xml:space="preserve">In keeping with the requirements of the Regulatory Flexibility Act, </w:t>
      </w:r>
      <w:r w:rsidR="0071781E">
        <w:rPr>
          <w:spacing w:val="-2"/>
          <w:szCs w:val="22"/>
        </w:rPr>
        <w:t xml:space="preserve">in </w:t>
      </w:r>
      <w:r w:rsidR="00151651">
        <w:rPr>
          <w:spacing w:val="-2"/>
          <w:szCs w:val="22"/>
        </w:rPr>
        <w:t xml:space="preserve">paragraphs 10 to </w:t>
      </w:r>
      <w:r w:rsidR="00F83BDF">
        <w:rPr>
          <w:spacing w:val="-2"/>
          <w:szCs w:val="22"/>
        </w:rPr>
        <w:t>28</w:t>
      </w:r>
      <w:r w:rsidR="00151651">
        <w:rPr>
          <w:spacing w:val="-2"/>
          <w:szCs w:val="22"/>
        </w:rPr>
        <w:t xml:space="preserve"> of </w:t>
      </w:r>
      <w:r w:rsidR="0071781E">
        <w:rPr>
          <w:spacing w:val="-2"/>
          <w:szCs w:val="22"/>
        </w:rPr>
        <w:t xml:space="preserve">this Report and Order, </w:t>
      </w:r>
      <w:r w:rsidR="00CC56FF" w:rsidRPr="00A41ABA">
        <w:rPr>
          <w:spacing w:val="-2"/>
          <w:szCs w:val="22"/>
        </w:rPr>
        <w:t xml:space="preserve">we have considered certain alternative means of mitigating the effects of fee increases to a particular industry segment.  </w:t>
      </w:r>
      <w:r w:rsidR="00EC2B2C" w:rsidRPr="00A41ABA">
        <w:rPr>
          <w:spacing w:val="-2"/>
          <w:szCs w:val="22"/>
        </w:rPr>
        <w:t xml:space="preserve">In addition, the Commission’s rules provide a process by which regulatory fee payors </w:t>
      </w:r>
      <w:r w:rsidR="003C2B0B" w:rsidRPr="00A41ABA">
        <w:rPr>
          <w:spacing w:val="-2"/>
          <w:szCs w:val="22"/>
        </w:rPr>
        <w:t>may s</w:t>
      </w:r>
      <w:r w:rsidR="00EC2B2C" w:rsidRPr="00A41ABA">
        <w:rPr>
          <w:spacing w:val="-2"/>
          <w:szCs w:val="22"/>
        </w:rPr>
        <w:t>eek waivers or other relief</w:t>
      </w:r>
      <w:r w:rsidR="003C2B0B" w:rsidRPr="00A41ABA">
        <w:rPr>
          <w:spacing w:val="-2"/>
          <w:szCs w:val="22"/>
        </w:rPr>
        <w:t xml:space="preserve"> on the basis of financial hardship.  47 C.F.R. §1.1166</w:t>
      </w:r>
      <w:r w:rsidR="00EC2B2C" w:rsidRPr="00EC2B2C">
        <w:rPr>
          <w:spacing w:val="-2"/>
          <w:szCs w:val="22"/>
        </w:rPr>
        <w:t xml:space="preserve"> </w:t>
      </w:r>
    </w:p>
    <w:p w:rsidR="00CC56FF" w:rsidRPr="007521D5" w:rsidRDefault="00CC56FF" w:rsidP="00CC56FF">
      <w:pPr>
        <w:tabs>
          <w:tab w:val="left" w:pos="1440"/>
        </w:tabs>
        <w:suppressAutoHyphens/>
        <w:spacing w:line="240" w:lineRule="atLeast"/>
        <w:ind w:firstLine="720"/>
        <w:rPr>
          <w:spacing w:val="-2"/>
          <w:szCs w:val="22"/>
        </w:rPr>
      </w:pPr>
    </w:p>
    <w:p w:rsidR="00CC56FF" w:rsidRPr="00AD49DF" w:rsidRDefault="00CC56FF" w:rsidP="00021D5D">
      <w:pPr>
        <w:pStyle w:val="Heading2"/>
      </w:pPr>
      <w:r w:rsidRPr="00AD49DF">
        <w:t>Federal Rules that May Duplicate, Overlap, or Conflict with the Proposed Rules</w:t>
      </w:r>
    </w:p>
    <w:p w:rsidR="00CC56FF" w:rsidRPr="007521D5" w:rsidRDefault="00CC56FF" w:rsidP="00CC56FF">
      <w:pPr>
        <w:tabs>
          <w:tab w:val="left" w:pos="1440"/>
        </w:tabs>
        <w:suppressAutoHyphens/>
        <w:spacing w:line="240" w:lineRule="atLeast"/>
        <w:ind w:firstLine="720"/>
        <w:rPr>
          <w:spacing w:val="-2"/>
          <w:szCs w:val="22"/>
        </w:rPr>
      </w:pPr>
      <w:r>
        <w:rPr>
          <w:spacing w:val="-2"/>
          <w:szCs w:val="22"/>
        </w:rPr>
        <w:t>26</w:t>
      </w:r>
      <w:r w:rsidRPr="007521D5">
        <w:rPr>
          <w:spacing w:val="-2"/>
          <w:szCs w:val="22"/>
        </w:rPr>
        <w:t>.</w:t>
      </w:r>
      <w:r w:rsidRPr="007521D5">
        <w:rPr>
          <w:spacing w:val="-2"/>
          <w:szCs w:val="22"/>
        </w:rPr>
        <w:tab/>
        <w:t>None.</w:t>
      </w:r>
    </w:p>
    <w:p w:rsidR="004A6CCA" w:rsidRDefault="004A6CCA">
      <w:pPr>
        <w:widowControl/>
        <w:rPr>
          <w:spacing w:val="-2"/>
          <w:szCs w:val="22"/>
        </w:rPr>
      </w:pPr>
      <w:r>
        <w:rPr>
          <w:spacing w:val="-2"/>
          <w:szCs w:val="22"/>
        </w:rPr>
        <w:br w:type="page"/>
      </w:r>
    </w:p>
    <w:p w:rsidR="008E7210" w:rsidRDefault="008E7210" w:rsidP="00BC1812">
      <w:pPr>
        <w:widowControl/>
        <w:jc w:val="center"/>
        <w:rPr>
          <w:b/>
        </w:rPr>
      </w:pPr>
      <w:r>
        <w:rPr>
          <w:b/>
        </w:rPr>
        <w:t>ATTACHMENT G</w:t>
      </w:r>
    </w:p>
    <w:p w:rsidR="008E7210" w:rsidRDefault="008E7210" w:rsidP="008E7210">
      <w:pPr>
        <w:jc w:val="center"/>
        <w:rPr>
          <w:b/>
        </w:rPr>
      </w:pPr>
    </w:p>
    <w:p w:rsidR="008E7210" w:rsidRDefault="008E7210" w:rsidP="008E7210">
      <w:pPr>
        <w:jc w:val="center"/>
        <w:rPr>
          <w:b/>
        </w:rPr>
      </w:pPr>
      <w:r>
        <w:rPr>
          <w:b/>
        </w:rPr>
        <w:t>FY 2012 Schedule of Regulatory Fees</w:t>
      </w:r>
    </w:p>
    <w:p w:rsidR="008E7210" w:rsidRDefault="008E7210" w:rsidP="008E7210">
      <w:pPr>
        <w:jc w:val="center"/>
        <w:rPr>
          <w:b/>
        </w:rPr>
      </w:pPr>
    </w:p>
    <w:p w:rsidR="008E7210" w:rsidRDefault="008E7210" w:rsidP="008E7210">
      <w:pPr>
        <w:tabs>
          <w:tab w:val="center" w:pos="5040"/>
        </w:tabs>
        <w:suppressAutoHyphens/>
        <w:outlineLvl w:val="0"/>
        <w:rPr>
          <w:szCs w:val="22"/>
        </w:rPr>
      </w:pPr>
      <w:bookmarkStart w:id="307" w:name="_Toc353870732"/>
      <w:bookmarkStart w:id="308" w:name="_Toc353987759"/>
      <w:bookmarkStart w:id="309" w:name="_Toc353988080"/>
      <w:r>
        <w:rPr>
          <w:szCs w:val="22"/>
        </w:rPr>
        <w:t>Regulatory fees for the categories shaded in gray are collected by the Commission in advance to cover the term of the license and are submitted at the time the application is filed.</w:t>
      </w:r>
      <w:bookmarkEnd w:id="307"/>
      <w:bookmarkEnd w:id="308"/>
      <w:bookmarkEnd w:id="309"/>
    </w:p>
    <w:p w:rsidR="008E7210" w:rsidRDefault="008E7210" w:rsidP="008E7210">
      <w:pPr>
        <w:tabs>
          <w:tab w:val="left" w:pos="-1440"/>
          <w:tab w:val="left" w:pos="-720"/>
          <w:tab w:val="left" w:pos="0"/>
          <w:tab w:val="left" w:pos="720"/>
          <w:tab w:val="left" w:pos="1440"/>
          <w:tab w:val="left" w:pos="2160"/>
          <w:tab w:val="left" w:pos="2880"/>
          <w:tab w:val="left" w:pos="3600"/>
          <w:tab w:val="left" w:pos="4680"/>
          <w:tab w:val="left" w:pos="5040"/>
        </w:tabs>
        <w:suppressAutoHyphens/>
        <w:ind w:left="1440" w:hanging="1440"/>
        <w:rPr>
          <w:sz w:val="20"/>
        </w:rPr>
      </w:pPr>
      <w:r>
        <w:rPr>
          <w:sz w:val="20"/>
        </w:rPr>
        <w:tab/>
      </w:r>
      <w:r>
        <w:rPr>
          <w:sz w:val="20"/>
        </w:rPr>
        <w:tab/>
      </w:r>
      <w:r>
        <w:rPr>
          <w:sz w:val="20"/>
        </w:rPr>
        <w:tab/>
      </w:r>
    </w:p>
    <w:tbl>
      <w:tblPr>
        <w:tblW w:w="8550" w:type="dxa"/>
        <w:tblInd w:w="210" w:type="dxa"/>
        <w:tblLayout w:type="fixed"/>
        <w:tblCellMar>
          <w:left w:w="120" w:type="dxa"/>
          <w:right w:w="120" w:type="dxa"/>
        </w:tblCellMar>
        <w:tblLook w:val="0000" w:firstRow="0" w:lastRow="0" w:firstColumn="0" w:lastColumn="0" w:noHBand="0" w:noVBand="0"/>
      </w:tblPr>
      <w:tblGrid>
        <w:gridCol w:w="6840"/>
        <w:gridCol w:w="1710"/>
      </w:tblGrid>
      <w:tr w:rsidR="008E7210" w:rsidTr="00844F93">
        <w:trPr>
          <w:tblHeader/>
        </w:trPr>
        <w:tc>
          <w:tcPr>
            <w:tcW w:w="6840" w:type="dxa"/>
            <w:tcBorders>
              <w:top w:val="double" w:sz="6" w:space="0" w:color="auto"/>
              <w:left w:val="double" w:sz="6" w:space="0" w:color="auto"/>
              <w:bottom w:val="single" w:sz="8" w:space="0" w:color="auto"/>
            </w:tcBorders>
          </w:tcPr>
          <w:p w:rsidR="008E7210" w:rsidRDefault="00D40FAD"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sz w:val="20"/>
              </w:rPr>
            </w:pPr>
            <w:r>
              <w:rPr>
                <w:sz w:val="20"/>
              </w:rPr>
              <w:fldChar w:fldCharType="begin"/>
            </w:r>
            <w:r w:rsidR="008E7210">
              <w:rPr>
                <w:sz w:val="20"/>
              </w:rPr>
              <w:instrText xml:space="preserve">PRIVATE </w:instrText>
            </w:r>
            <w:r>
              <w:rPr>
                <w:sz w:val="20"/>
              </w:rPr>
              <w:fldChar w:fldCharType="end"/>
            </w:r>
          </w:p>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Fee Category</w:t>
            </w:r>
          </w:p>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54"/>
              <w:rPr>
                <w:b/>
                <w:sz w:val="20"/>
              </w:rPr>
            </w:pPr>
          </w:p>
        </w:tc>
        <w:tc>
          <w:tcPr>
            <w:tcW w:w="1710" w:type="dxa"/>
            <w:tcBorders>
              <w:top w:val="double" w:sz="6" w:space="0" w:color="auto"/>
              <w:left w:val="single" w:sz="6" w:space="0" w:color="auto"/>
              <w:bottom w:val="single" w:sz="8" w:space="0" w:color="auto"/>
              <w:righ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b/>
                <w:sz w:val="20"/>
              </w:rPr>
            </w:pPr>
            <w:r>
              <w:rPr>
                <w:b/>
                <w:sz w:val="20"/>
              </w:rPr>
              <w:t>Annual Regulatory Fee</w:t>
            </w:r>
          </w:p>
          <w:p w:rsidR="008E7210" w:rsidRDefault="008E7210" w:rsidP="00844F93">
            <w:pPr>
              <w:tabs>
                <w:tab w:val="center" w:pos="850"/>
              </w:tabs>
              <w:suppressAutoHyphens/>
              <w:spacing w:after="54"/>
              <w:jc w:val="center"/>
              <w:rPr>
                <w:b/>
                <w:sz w:val="20"/>
              </w:rPr>
            </w:pPr>
            <w:r>
              <w:rPr>
                <w:b/>
                <w:sz w:val="20"/>
              </w:rPr>
              <w:t>(U.S. $'s)</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ind w:left="4680" w:hanging="4680"/>
              <w:rPr>
                <w:sz w:val="20"/>
              </w:rPr>
            </w:pPr>
            <w:r>
              <w:rPr>
                <w:sz w:val="20"/>
              </w:rPr>
              <w:t>PLMRS (per license) (Exclusive Use) (47 CFR part 90)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35</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right" w:pos="3461"/>
                <w:tab w:val="left" w:pos="3600"/>
              </w:tabs>
              <w:suppressAutoHyphens/>
              <w:spacing w:before="90" w:after="54"/>
              <w:ind w:left="4320" w:hanging="4320"/>
              <w:rPr>
                <w:sz w:val="20"/>
              </w:rPr>
            </w:pPr>
            <w:r>
              <w:rPr>
                <w:sz w:val="20"/>
              </w:rPr>
              <w:t>Microwave (per license) (47 CFR part 101)</w:t>
            </w:r>
            <w:r>
              <w:rPr>
                <w:sz w:val="20"/>
              </w:rPr>
              <w:tab/>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20</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right" w:pos="3461"/>
                <w:tab w:val="left" w:pos="3600"/>
              </w:tabs>
              <w:suppressAutoHyphens/>
              <w:spacing w:before="90" w:after="54"/>
              <w:rPr>
                <w:sz w:val="20"/>
              </w:rPr>
            </w:pPr>
            <w:r>
              <w:rPr>
                <w:sz w:val="20"/>
              </w:rPr>
              <w:t>218-219 MHz (Formerly Interactive Video Data Service) (per license) (47 CFR part 95)</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70</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s>
              <w:suppressAutoHyphens/>
              <w:spacing w:before="90" w:after="54"/>
              <w:rPr>
                <w:sz w:val="20"/>
              </w:rPr>
            </w:pPr>
            <w:r>
              <w:rPr>
                <w:sz w:val="20"/>
              </w:rPr>
              <w:t>Marine (Ship) (per station) (47 CFR part 80)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10</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s>
              <w:suppressAutoHyphens/>
              <w:spacing w:before="90" w:after="54"/>
              <w:rPr>
                <w:sz w:val="20"/>
              </w:rPr>
            </w:pPr>
            <w:r>
              <w:rPr>
                <w:sz w:val="20"/>
              </w:rPr>
              <w:t>Marine (Coast) (per license) (47 CFR part 80)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50</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s>
              <w:suppressAutoHyphens/>
              <w:spacing w:before="90" w:after="54"/>
              <w:rPr>
                <w:sz w:val="20"/>
              </w:rPr>
            </w:pPr>
            <w:r>
              <w:rPr>
                <w:sz w:val="20"/>
              </w:rPr>
              <w:t>General Mobile Radio Service (per license) (47 CFR part 95)</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5</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s>
              <w:suppressAutoHyphens/>
              <w:spacing w:before="90" w:after="54"/>
              <w:rPr>
                <w:sz w:val="20"/>
              </w:rPr>
            </w:pPr>
            <w:r>
              <w:rPr>
                <w:sz w:val="20"/>
              </w:rPr>
              <w:t>Rural Radio (47 CFR part 22) (previously listed under the Land Mobile category)</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15</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s>
              <w:suppressAutoHyphens/>
              <w:spacing w:before="90" w:after="54"/>
              <w:rPr>
                <w:sz w:val="20"/>
              </w:rPr>
            </w:pPr>
            <w:r>
              <w:rPr>
                <w:sz w:val="20"/>
              </w:rPr>
              <w:t>PLMRS (Shared Use) (per license) (47 CFR part 90)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15</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Aviation (Aircraft) (per station) (47 CFR part 87)</w:t>
            </w:r>
            <w:r>
              <w:rPr>
                <w:sz w:val="20"/>
              </w:rPr>
              <w:tab/>
            </w:r>
            <w:r>
              <w:rPr>
                <w:sz w:val="20"/>
              </w:rPr>
              <w:tab/>
            </w:r>
            <w:r>
              <w:rPr>
                <w:sz w:val="20"/>
              </w:rPr>
              <w:tab/>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10</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Aviation (Ground) (per license) (47 CFR part 87)</w:t>
            </w:r>
            <w:r>
              <w:rPr>
                <w:sz w:val="20"/>
              </w:rPr>
              <w:tab/>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15</w:t>
            </w:r>
          </w:p>
        </w:tc>
      </w:tr>
      <w:tr w:rsidR="008E7210" w:rsidTr="00844F93">
        <w:tc>
          <w:tcPr>
            <w:tcW w:w="6840" w:type="dxa"/>
            <w:tcBorders>
              <w:top w:val="single" w:sz="8" w:space="0" w:color="auto"/>
              <w:left w:val="double" w:sz="12" w:space="0" w:color="auto"/>
              <w:bottom w:val="single" w:sz="8" w:space="0" w:color="auto"/>
              <w:right w:val="single" w:sz="8" w:space="0" w:color="auto"/>
            </w:tcBorders>
            <w:shd w:val="clear" w:color="auto" w:fill="C0C0C0"/>
          </w:tcPr>
          <w:p w:rsidR="008E7210" w:rsidRDefault="008E7210" w:rsidP="00844F93">
            <w:pPr>
              <w:tabs>
                <w:tab w:val="left" w:pos="-1440"/>
                <w:tab w:val="left" w:pos="-720"/>
              </w:tabs>
              <w:suppressAutoHyphens/>
              <w:spacing w:before="90" w:after="54"/>
              <w:rPr>
                <w:sz w:val="20"/>
              </w:rPr>
            </w:pPr>
            <w:r>
              <w:rPr>
                <w:sz w:val="20"/>
              </w:rPr>
              <w:t xml:space="preserve">Amateur Vanity Call Signs (per call sign) (47 CFR part 97) </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8E7210" w:rsidRDefault="008E7210" w:rsidP="00844F93">
            <w:pPr>
              <w:tabs>
                <w:tab w:val="left" w:pos="-1440"/>
                <w:tab w:val="left" w:pos="-720"/>
              </w:tabs>
              <w:suppressAutoHyphens/>
              <w:spacing w:before="90" w:after="54"/>
              <w:jc w:val="center"/>
              <w:rPr>
                <w:sz w:val="20"/>
              </w:rPr>
            </w:pPr>
            <w:r>
              <w:rPr>
                <w:sz w:val="20"/>
              </w:rPr>
              <w:t>1.50</w:t>
            </w:r>
          </w:p>
        </w:tc>
      </w:tr>
      <w:tr w:rsidR="008E7210" w:rsidTr="00844F93">
        <w:tc>
          <w:tcPr>
            <w:tcW w:w="6840" w:type="dxa"/>
            <w:tcBorders>
              <w:top w:val="single" w:sz="8"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CMRS Mobile/Cellular Services (per unit) (47 CFR parts 20, 22, 24, 27, 80 and 90)</w:t>
            </w:r>
          </w:p>
        </w:tc>
        <w:tc>
          <w:tcPr>
            <w:tcW w:w="1710" w:type="dxa"/>
            <w:tcBorders>
              <w:top w:val="single" w:sz="8"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.17</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CMRS Messaging Services (per unit) (47 CFR parts 20, 22, 24 and 90)</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.08</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Broadband Radio Service (formerly MMDS/ MDS) (per license) (47 CFR part 27)</w:t>
            </w:r>
          </w:p>
          <w:p w:rsidR="008E7210" w:rsidRDefault="008E7210" w:rsidP="00844F93">
            <w:pPr>
              <w:tabs>
                <w:tab w:val="left" w:pos="-1440"/>
                <w:tab w:val="left" w:pos="-720"/>
              </w:tabs>
              <w:suppressAutoHyphens/>
              <w:spacing w:before="90" w:after="54"/>
              <w:rPr>
                <w:sz w:val="20"/>
              </w:rPr>
            </w:pPr>
            <w:r>
              <w:rPr>
                <w:sz w:val="20"/>
              </w:rPr>
              <w:t>Local Multipoint Distribution Service (per call sign) (47 CFR, part 101)</w:t>
            </w:r>
          </w:p>
          <w:p w:rsidR="008E7210" w:rsidRDefault="008E7210" w:rsidP="00844F93">
            <w:pPr>
              <w:tabs>
                <w:tab w:val="left" w:pos="-1440"/>
                <w:tab w:val="left" w:pos="-720"/>
              </w:tabs>
              <w:suppressAutoHyphens/>
              <w:spacing w:before="90" w:after="54"/>
              <w:rPr>
                <w:sz w:val="20"/>
              </w:rPr>
            </w:pP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475</w:t>
            </w:r>
          </w:p>
          <w:p w:rsidR="008E7210" w:rsidRDefault="008E7210" w:rsidP="00844F93">
            <w:pPr>
              <w:tabs>
                <w:tab w:val="left" w:pos="-1440"/>
                <w:tab w:val="left" w:pos="-720"/>
              </w:tabs>
              <w:suppressAutoHyphens/>
              <w:spacing w:before="90" w:after="54"/>
              <w:jc w:val="center"/>
              <w:rPr>
                <w:sz w:val="20"/>
              </w:rPr>
            </w:pPr>
          </w:p>
          <w:p w:rsidR="008E7210" w:rsidRDefault="008E7210" w:rsidP="00844F93">
            <w:pPr>
              <w:tabs>
                <w:tab w:val="left" w:pos="-1440"/>
                <w:tab w:val="left" w:pos="-720"/>
              </w:tabs>
              <w:suppressAutoHyphens/>
              <w:spacing w:before="90" w:after="54"/>
              <w:jc w:val="center"/>
              <w:rPr>
                <w:sz w:val="20"/>
              </w:rPr>
            </w:pPr>
            <w:r>
              <w:rPr>
                <w:sz w:val="20"/>
              </w:rPr>
              <w:t>475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AM Radio Construction Permits</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550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FM Radio Construction Permits</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700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TV (47 CFR part 73) VHF Commercial</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right"/>
              <w:rPr>
                <w:sz w:val="20"/>
              </w:rPr>
            </w:pP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s>
              <w:suppressAutoHyphens/>
              <w:spacing w:before="90" w:after="54"/>
              <w:ind w:left="2160" w:hanging="2160"/>
              <w:rPr>
                <w:sz w:val="20"/>
              </w:rPr>
            </w:pPr>
            <w:r>
              <w:rPr>
                <w:sz w:val="20"/>
              </w:rPr>
              <w:tab/>
              <w:t>Markets 1-10</w:t>
            </w:r>
            <w:r>
              <w:rPr>
                <w:sz w:val="20"/>
              </w:rPr>
              <w:tab/>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80,075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Markets 11-25</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73,475</w:t>
            </w:r>
          </w:p>
        </w:tc>
      </w:tr>
      <w:tr w:rsidR="008E7210" w:rsidTr="00844F93">
        <w:tc>
          <w:tcPr>
            <w:tcW w:w="6840" w:type="dxa"/>
            <w:tcBorders>
              <w:top w:val="single" w:sz="2" w:space="0" w:color="auto"/>
              <w:left w:val="double" w:sz="2" w:space="0" w:color="auto"/>
              <w:right w:val="single" w:sz="2"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Markets 26-50</w:t>
            </w:r>
          </w:p>
        </w:tc>
        <w:tc>
          <w:tcPr>
            <w:tcW w:w="1710" w:type="dxa"/>
            <w:tcBorders>
              <w:top w:val="single" w:sz="2" w:space="0" w:color="auto"/>
              <w:left w:val="single" w:sz="2" w:space="0" w:color="auto"/>
              <w:right w:val="double" w:sz="2" w:space="0" w:color="auto"/>
            </w:tcBorders>
          </w:tcPr>
          <w:p w:rsidR="008E7210" w:rsidRDefault="008E7210" w:rsidP="00844F93">
            <w:pPr>
              <w:tabs>
                <w:tab w:val="left" w:pos="-1440"/>
                <w:tab w:val="left" w:pos="-720"/>
              </w:tabs>
              <w:suppressAutoHyphens/>
              <w:spacing w:before="90" w:after="54"/>
              <w:jc w:val="center"/>
              <w:rPr>
                <w:sz w:val="20"/>
              </w:rPr>
            </w:pPr>
            <w:r>
              <w:rPr>
                <w:sz w:val="20"/>
              </w:rPr>
              <w:t>39,800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Markets 51-100</w:t>
            </w:r>
            <w:r>
              <w:rPr>
                <w:sz w:val="20"/>
              </w:rPr>
              <w:tab/>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20,925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Remaining Markets</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5,825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Construction Permits</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5,825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TV (47 CFR part 73) UHF Commercial</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right"/>
              <w:rPr>
                <w:sz w:val="20"/>
              </w:rPr>
            </w:pP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Markets 1-10</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35,350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Markets 11-25</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32,625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Markets 26-50</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21,925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Markets 51-100</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12,750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s>
              <w:suppressAutoHyphens/>
              <w:spacing w:before="90" w:after="54"/>
              <w:ind w:left="720" w:hanging="720"/>
              <w:rPr>
                <w:sz w:val="20"/>
              </w:rPr>
            </w:pPr>
            <w:r>
              <w:rPr>
                <w:sz w:val="20"/>
              </w:rPr>
              <w:tab/>
              <w:t>Remaining Markets</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3,425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Construction Permits</w:t>
            </w:r>
            <w:r>
              <w:rPr>
                <w:sz w:val="20"/>
              </w:rPr>
              <w:tab/>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3,425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 xml:space="preserve">Satellite Television Stations  (All Markets)   </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1,425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Construction Permits – Satellite Television Stations</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895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Low Power TV, Class A TV, TV/FM Translators &amp; Boosters (47 CFR part 74)</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385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s>
              <w:suppressAutoHyphens/>
              <w:spacing w:before="90" w:after="54"/>
              <w:ind w:left="3600" w:hanging="3600"/>
              <w:rPr>
                <w:sz w:val="20"/>
              </w:rPr>
            </w:pPr>
            <w:r>
              <w:rPr>
                <w:sz w:val="20"/>
              </w:rPr>
              <w:t>Broadcast Auxiliaries (47 CFR part 74)</w:t>
            </w:r>
            <w:r>
              <w:rPr>
                <w:sz w:val="20"/>
              </w:rPr>
              <w:tab/>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10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CARS (47 CFR part 78)</w:t>
            </w:r>
            <w:r>
              <w:rPr>
                <w:sz w:val="20"/>
              </w:rPr>
              <w:tab/>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475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Cable Television Systems (per subscriber) (47 CFR part 76)</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.95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Interstate Telecommunication Service Providers (per revenue dollar)</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.00375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Earth Stations (47 CFR part 25)</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275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Space Stations (per operational station in geostationary orbit) (47 CFR part 25) also includes DBS Service (per operational station) (47 CFR part 100)</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jc w:val="center"/>
              <w:rPr>
                <w:sz w:val="20"/>
              </w:rPr>
            </w:pPr>
          </w:p>
          <w:p w:rsidR="008E7210" w:rsidRDefault="008E7210" w:rsidP="00844F93">
            <w:pPr>
              <w:tabs>
                <w:tab w:val="left" w:pos="-1440"/>
                <w:tab w:val="left" w:pos="-720"/>
              </w:tabs>
              <w:suppressAutoHyphens/>
              <w:spacing w:after="54"/>
              <w:jc w:val="center"/>
              <w:rPr>
                <w:sz w:val="20"/>
              </w:rPr>
            </w:pPr>
            <w:r>
              <w:rPr>
                <w:sz w:val="20"/>
              </w:rPr>
              <w:t>132,875</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Space Stations (per operational system in non-geostationary orbit) (47 CFR part 25)</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143,150</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s>
              <w:suppressAutoHyphens/>
              <w:spacing w:before="90" w:after="54"/>
              <w:rPr>
                <w:sz w:val="20"/>
              </w:rPr>
            </w:pPr>
            <w:r>
              <w:rPr>
                <w:sz w:val="20"/>
              </w:rPr>
              <w:t>International Bearer Circuits -  Terrestrial/Satellites (per 64KB circuit)</w:t>
            </w:r>
            <w:r>
              <w:rPr>
                <w:sz w:val="20"/>
                <w:vertAlign w:val="superscript"/>
              </w:rPr>
              <w:t xml:space="preserve"> </w:t>
            </w:r>
            <w:r>
              <w:rPr>
                <w:sz w:val="20"/>
              </w:rPr>
              <w:t xml:space="preserve"> </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.26</w:t>
            </w:r>
          </w:p>
        </w:tc>
      </w:tr>
      <w:tr w:rsidR="008E7210" w:rsidTr="00844F93">
        <w:tc>
          <w:tcPr>
            <w:tcW w:w="684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 xml:space="preserve">International Bearer Circuits - Submarine Cable </w:t>
            </w:r>
          </w:p>
        </w:tc>
        <w:tc>
          <w:tcPr>
            <w:tcW w:w="1710" w:type="dxa"/>
            <w:tcBorders>
              <w:top w:val="single" w:sz="6" w:space="0" w:color="auto"/>
              <w:left w:val="single" w:sz="6" w:space="0" w:color="auto"/>
              <w:right w:val="double" w:sz="6" w:space="0" w:color="auto"/>
            </w:tcBorders>
          </w:tcPr>
          <w:p w:rsidR="008E7210" w:rsidRDefault="008E7210" w:rsidP="00844F93">
            <w:pPr>
              <w:tabs>
                <w:tab w:val="left" w:pos="-1440"/>
                <w:tab w:val="left" w:pos="-720"/>
              </w:tabs>
              <w:suppressAutoHyphens/>
              <w:spacing w:before="90" w:after="54"/>
              <w:jc w:val="center"/>
              <w:rPr>
                <w:sz w:val="20"/>
              </w:rPr>
            </w:pPr>
            <w:r>
              <w:rPr>
                <w:sz w:val="20"/>
              </w:rPr>
              <w:t>See Table Below</w:t>
            </w:r>
          </w:p>
        </w:tc>
      </w:tr>
      <w:tr w:rsidR="008E7210" w:rsidTr="00844F93">
        <w:trPr>
          <w:trHeight w:val="57"/>
        </w:trPr>
        <w:tc>
          <w:tcPr>
            <w:tcW w:w="6840" w:type="dxa"/>
            <w:tcBorders>
              <w:top w:val="single" w:sz="6" w:space="0" w:color="auto"/>
              <w:left w:val="double" w:sz="6" w:space="0" w:color="auto"/>
              <w:bottom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b/>
            </w:r>
          </w:p>
        </w:tc>
        <w:tc>
          <w:tcPr>
            <w:tcW w:w="1710" w:type="dxa"/>
            <w:tcBorders>
              <w:top w:val="single" w:sz="6" w:space="0" w:color="auto"/>
              <w:left w:val="single" w:sz="6" w:space="0" w:color="auto"/>
              <w:bottom w:val="double" w:sz="6" w:space="0" w:color="auto"/>
              <w:right w:val="double" w:sz="6" w:space="0" w:color="auto"/>
            </w:tcBorders>
          </w:tcPr>
          <w:p w:rsidR="008E7210" w:rsidRDefault="008E7210" w:rsidP="00844F93">
            <w:pPr>
              <w:tabs>
                <w:tab w:val="center" w:pos="850"/>
              </w:tabs>
              <w:suppressAutoHyphens/>
              <w:spacing w:before="90" w:after="54"/>
              <w:jc w:val="center"/>
              <w:rPr>
                <w:sz w:val="20"/>
              </w:rPr>
            </w:pPr>
          </w:p>
        </w:tc>
      </w:tr>
    </w:tbl>
    <w:p w:rsidR="008E7210" w:rsidRDefault="008E7210" w:rsidP="00865F9E">
      <w:pPr>
        <w:suppressAutoHyphens/>
        <w:outlineLvl w:val="0"/>
        <w:rPr>
          <w:b/>
          <w:sz w:val="20"/>
        </w:rPr>
      </w:pPr>
    </w:p>
    <w:p w:rsidR="008E7210" w:rsidRDefault="008E7210" w:rsidP="008E7210">
      <w:pPr>
        <w:tabs>
          <w:tab w:val="left" w:pos="-1440"/>
          <w:tab w:val="left" w:pos="-720"/>
          <w:tab w:val="left" w:pos="0"/>
          <w:tab w:val="left" w:pos="720"/>
          <w:tab w:val="left" w:pos="1440"/>
          <w:tab w:val="left" w:pos="2160"/>
          <w:tab w:val="left" w:pos="2880"/>
          <w:tab w:val="left" w:pos="3600"/>
          <w:tab w:val="left" w:pos="4680"/>
          <w:tab w:val="left" w:pos="5040"/>
        </w:tabs>
        <w:suppressAutoHyphens/>
        <w:outlineLvl w:val="0"/>
        <w:rPr>
          <w:sz w:val="20"/>
        </w:rPr>
      </w:pPr>
      <w:r>
        <w:rPr>
          <w:sz w:val="20"/>
        </w:rPr>
        <w:br w:type="page"/>
      </w:r>
    </w:p>
    <w:p w:rsidR="008E7210" w:rsidRDefault="008E7210" w:rsidP="00865F9E">
      <w:pPr>
        <w:suppressAutoHyphens/>
        <w:jc w:val="center"/>
        <w:outlineLvl w:val="0"/>
        <w:rPr>
          <w:rFonts w:ascii="Times New Roman Bold" w:hAnsi="Times New Roman Bold"/>
          <w:b/>
          <w:szCs w:val="22"/>
        </w:rPr>
      </w:pPr>
      <w:bookmarkStart w:id="310" w:name="_Toc353870733"/>
      <w:bookmarkStart w:id="311" w:name="_Toc353987760"/>
      <w:bookmarkStart w:id="312" w:name="_Toc353988081"/>
      <w:r>
        <w:rPr>
          <w:b/>
          <w:szCs w:val="22"/>
        </w:rPr>
        <w:t>FY 2012 SCHEDULE OF REGULATORY FEES</w:t>
      </w:r>
      <w:r>
        <w:rPr>
          <w:rFonts w:ascii="Times New Roman Bold" w:hAnsi="Times New Roman Bold"/>
          <w:b/>
          <w:szCs w:val="22"/>
        </w:rPr>
        <w:t xml:space="preserve"> (continued)</w:t>
      </w:r>
      <w:bookmarkEnd w:id="310"/>
      <w:bookmarkEnd w:id="311"/>
      <w:bookmarkEnd w:id="312"/>
    </w:p>
    <w:p w:rsidR="008E7210" w:rsidRDefault="008E7210" w:rsidP="00865F9E">
      <w:pPr>
        <w:suppressAutoHyphens/>
        <w:rPr>
          <w:b/>
          <w:sz w:val="20"/>
        </w:rPr>
      </w:pPr>
    </w:p>
    <w:p w:rsidR="008E7210" w:rsidRDefault="008E7210" w:rsidP="00865F9E">
      <w:pPr>
        <w:suppressAutoHyphens/>
        <w:ind w:left="450"/>
        <w:rPr>
          <w:b/>
          <w:sz w:val="20"/>
        </w:rPr>
      </w:pPr>
    </w:p>
    <w:tbl>
      <w:tblPr>
        <w:tblW w:w="8550" w:type="dxa"/>
        <w:tblInd w:w="152" w:type="dxa"/>
        <w:tblLayout w:type="fixed"/>
        <w:tblCellMar>
          <w:left w:w="62" w:type="dxa"/>
          <w:right w:w="62" w:type="dxa"/>
        </w:tblCellMar>
        <w:tblLook w:val="0000" w:firstRow="0" w:lastRow="0" w:firstColumn="0" w:lastColumn="0" w:noHBand="0" w:noVBand="0"/>
      </w:tblPr>
      <w:tblGrid>
        <w:gridCol w:w="1890"/>
        <w:gridCol w:w="1080"/>
        <w:gridCol w:w="990"/>
        <w:gridCol w:w="900"/>
        <w:gridCol w:w="900"/>
        <w:gridCol w:w="1440"/>
        <w:gridCol w:w="1350"/>
      </w:tblGrid>
      <w:tr w:rsidR="008E7210" w:rsidTr="00844F93">
        <w:tc>
          <w:tcPr>
            <w:tcW w:w="8550" w:type="dxa"/>
            <w:gridSpan w:val="7"/>
            <w:tcBorders>
              <w:top w:val="double" w:sz="6" w:space="0" w:color="auto"/>
              <w:left w:val="double" w:sz="6" w:space="0" w:color="auto"/>
              <w:right w:val="double" w:sz="6" w:space="0" w:color="auto"/>
            </w:tcBorders>
          </w:tcPr>
          <w:p w:rsidR="008E7210" w:rsidRDefault="008E7210" w:rsidP="00865F9E">
            <w:pPr>
              <w:suppressAutoHyphens/>
              <w:spacing w:before="42" w:after="104"/>
              <w:jc w:val="center"/>
              <w:rPr>
                <w:b/>
                <w:sz w:val="20"/>
              </w:rPr>
            </w:pPr>
            <w:r>
              <w:rPr>
                <w:b/>
                <w:sz w:val="20"/>
              </w:rPr>
              <w:t xml:space="preserve">FY 2012 </w:t>
            </w:r>
            <w:r w:rsidR="00D40FAD">
              <w:rPr>
                <w:b/>
                <w:sz w:val="20"/>
              </w:rPr>
              <w:fldChar w:fldCharType="begin"/>
            </w:r>
            <w:r>
              <w:rPr>
                <w:b/>
                <w:sz w:val="20"/>
              </w:rPr>
              <w:instrText xml:space="preserve">PRIVATE </w:instrText>
            </w:r>
            <w:r w:rsidR="00D40FAD">
              <w:rPr>
                <w:b/>
                <w:sz w:val="20"/>
              </w:rPr>
              <w:fldChar w:fldCharType="end"/>
            </w:r>
            <w:r>
              <w:rPr>
                <w:b/>
                <w:sz w:val="20"/>
              </w:rPr>
              <w:t>RADIO STATION REGULATORY FEES</w:t>
            </w:r>
          </w:p>
        </w:tc>
      </w:tr>
      <w:tr w:rsidR="008E7210" w:rsidTr="00844F93">
        <w:tc>
          <w:tcPr>
            <w:tcW w:w="1890" w:type="dxa"/>
            <w:tcBorders>
              <w:top w:val="single" w:sz="6" w:space="0" w:color="auto"/>
              <w:lef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rPr>
            </w:pPr>
            <w:r>
              <w:rPr>
                <w:b/>
                <w:sz w:val="20"/>
              </w:rPr>
              <w:t xml:space="preserve">Population </w:t>
            </w:r>
          </w:p>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rPr>
            </w:pPr>
            <w:r>
              <w:rPr>
                <w:b/>
                <w:sz w:val="20"/>
              </w:rPr>
              <w:t>Served</w:t>
            </w:r>
          </w:p>
        </w:tc>
        <w:tc>
          <w:tcPr>
            <w:tcW w:w="1080" w:type="dxa"/>
            <w:tcBorders>
              <w:top w:val="single" w:sz="6" w:space="0" w:color="auto"/>
              <w:left w:val="single" w:sz="6" w:space="0" w:color="auto"/>
            </w:tcBorders>
          </w:tcPr>
          <w:p w:rsidR="008E7210" w:rsidRDefault="008E7210" w:rsidP="00865F9E">
            <w:pPr>
              <w:suppressAutoHyphens/>
              <w:spacing w:before="42" w:after="104"/>
              <w:jc w:val="center"/>
              <w:rPr>
                <w:b/>
                <w:sz w:val="20"/>
              </w:rPr>
            </w:pPr>
            <w:r>
              <w:rPr>
                <w:b/>
                <w:sz w:val="20"/>
              </w:rPr>
              <w:t>AM Class A</w:t>
            </w:r>
          </w:p>
        </w:tc>
        <w:tc>
          <w:tcPr>
            <w:tcW w:w="990" w:type="dxa"/>
            <w:tcBorders>
              <w:top w:val="single" w:sz="6" w:space="0" w:color="auto"/>
              <w:left w:val="sing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B</w:t>
            </w:r>
          </w:p>
        </w:tc>
        <w:tc>
          <w:tcPr>
            <w:tcW w:w="900" w:type="dxa"/>
            <w:tcBorders>
              <w:top w:val="single" w:sz="6" w:space="0" w:color="auto"/>
              <w:left w:val="sing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C</w:t>
            </w:r>
          </w:p>
        </w:tc>
        <w:tc>
          <w:tcPr>
            <w:tcW w:w="900" w:type="dxa"/>
            <w:tcBorders>
              <w:top w:val="single" w:sz="6" w:space="0" w:color="auto"/>
              <w:left w:val="sing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D</w:t>
            </w:r>
          </w:p>
        </w:tc>
        <w:tc>
          <w:tcPr>
            <w:tcW w:w="1440" w:type="dxa"/>
            <w:tcBorders>
              <w:top w:val="single" w:sz="6" w:space="0" w:color="auto"/>
              <w:left w:val="sing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rPr>
            </w:pPr>
            <w:r>
              <w:rPr>
                <w:b/>
                <w:sz w:val="20"/>
              </w:rPr>
              <w:t>FM Classes</w:t>
            </w:r>
          </w:p>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rPr>
            </w:pPr>
            <w:r>
              <w:rPr>
                <w:b/>
                <w:sz w:val="20"/>
              </w:rPr>
              <w:t>A, B1 &amp; C3</w:t>
            </w:r>
          </w:p>
        </w:tc>
        <w:tc>
          <w:tcPr>
            <w:tcW w:w="1350" w:type="dxa"/>
            <w:tcBorders>
              <w:top w:val="single" w:sz="6" w:space="0" w:color="auto"/>
              <w:left w:val="single" w:sz="6" w:space="0" w:color="auto"/>
              <w:right w:val="double" w:sz="6" w:space="0" w:color="auto"/>
            </w:tcBorders>
          </w:tcPr>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rPr>
            </w:pPr>
            <w:r>
              <w:rPr>
                <w:b/>
                <w:sz w:val="20"/>
              </w:rPr>
              <w:t>FM Classes</w:t>
            </w:r>
          </w:p>
          <w:p w:rsidR="008E7210" w:rsidRDefault="008E7210" w:rsidP="00844F93">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rPr>
            </w:pPr>
            <w:r>
              <w:rPr>
                <w:b/>
                <w:sz w:val="20"/>
              </w:rPr>
              <w:t>B, C, C0, C1 &amp; C2</w:t>
            </w:r>
          </w:p>
        </w:tc>
      </w:tr>
      <w:tr w:rsidR="008E7210" w:rsidTr="00844F93">
        <w:tc>
          <w:tcPr>
            <w:tcW w:w="1890" w:type="dxa"/>
            <w:tcBorders>
              <w:top w:val="single" w:sz="6" w:space="0" w:color="auto"/>
              <w:left w:val="double" w:sz="6" w:space="0" w:color="auto"/>
            </w:tcBorders>
          </w:tcPr>
          <w:p w:rsidR="008E7210" w:rsidRDefault="008E7210" w:rsidP="00865F9E">
            <w:pPr>
              <w:suppressAutoHyphens/>
              <w:spacing w:before="42" w:after="104"/>
              <w:rPr>
                <w:b/>
                <w:sz w:val="20"/>
              </w:rPr>
            </w:pPr>
            <w:r>
              <w:rPr>
                <w:b/>
                <w:sz w:val="20"/>
              </w:rPr>
              <w:t>&lt;=25,000</w:t>
            </w:r>
          </w:p>
        </w:tc>
        <w:tc>
          <w:tcPr>
            <w:tcW w:w="108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$725</w:t>
            </w:r>
          </w:p>
        </w:tc>
        <w:tc>
          <w:tcPr>
            <w:tcW w:w="99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$600</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$550</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$625</w:t>
            </w:r>
          </w:p>
        </w:tc>
        <w:tc>
          <w:tcPr>
            <w:tcW w:w="144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$700</w:t>
            </w:r>
          </w:p>
        </w:tc>
        <w:tc>
          <w:tcPr>
            <w:tcW w:w="1350" w:type="dxa"/>
            <w:tcBorders>
              <w:top w:val="single" w:sz="6" w:space="0" w:color="auto"/>
              <w:left w:val="single" w:sz="6" w:space="0" w:color="auto"/>
              <w:right w:val="double" w:sz="6" w:space="0" w:color="auto"/>
            </w:tcBorders>
          </w:tcPr>
          <w:p w:rsidR="008E7210" w:rsidRDefault="008E7210" w:rsidP="00865F9E">
            <w:pPr>
              <w:suppressAutoHyphens/>
              <w:spacing w:before="42" w:after="104"/>
              <w:jc w:val="right"/>
              <w:rPr>
                <w:sz w:val="20"/>
              </w:rPr>
            </w:pPr>
            <w:r>
              <w:rPr>
                <w:sz w:val="20"/>
              </w:rPr>
              <w:t>$875</w:t>
            </w:r>
          </w:p>
        </w:tc>
      </w:tr>
      <w:tr w:rsidR="008E7210" w:rsidTr="00844F93">
        <w:tc>
          <w:tcPr>
            <w:tcW w:w="1890" w:type="dxa"/>
            <w:tcBorders>
              <w:top w:val="single" w:sz="6" w:space="0" w:color="auto"/>
              <w:left w:val="double" w:sz="6" w:space="0" w:color="auto"/>
            </w:tcBorders>
          </w:tcPr>
          <w:p w:rsidR="008E7210" w:rsidRDefault="008E7210" w:rsidP="00865F9E">
            <w:pPr>
              <w:suppressAutoHyphens/>
              <w:spacing w:before="42" w:after="104"/>
              <w:rPr>
                <w:b/>
                <w:sz w:val="20"/>
              </w:rPr>
            </w:pPr>
            <w:r>
              <w:rPr>
                <w:b/>
                <w:sz w:val="20"/>
              </w:rPr>
              <w:t>25,001 – 75,000</w:t>
            </w:r>
          </w:p>
        </w:tc>
        <w:tc>
          <w:tcPr>
            <w:tcW w:w="108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$1,475</w:t>
            </w:r>
          </w:p>
        </w:tc>
        <w:tc>
          <w:tcPr>
            <w:tcW w:w="99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$1,225</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$850</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$950</w:t>
            </w:r>
          </w:p>
        </w:tc>
        <w:tc>
          <w:tcPr>
            <w:tcW w:w="144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$1,425</w:t>
            </w:r>
          </w:p>
        </w:tc>
        <w:tc>
          <w:tcPr>
            <w:tcW w:w="1350" w:type="dxa"/>
            <w:tcBorders>
              <w:top w:val="single" w:sz="6" w:space="0" w:color="auto"/>
              <w:left w:val="single" w:sz="6" w:space="0" w:color="auto"/>
              <w:right w:val="double" w:sz="6" w:space="0" w:color="auto"/>
            </w:tcBorders>
          </w:tcPr>
          <w:p w:rsidR="008E7210" w:rsidRDefault="008E7210" w:rsidP="00865F9E">
            <w:pPr>
              <w:suppressAutoHyphens/>
              <w:spacing w:before="42" w:after="104"/>
              <w:jc w:val="right"/>
              <w:rPr>
                <w:sz w:val="20"/>
              </w:rPr>
            </w:pPr>
            <w:r>
              <w:rPr>
                <w:sz w:val="20"/>
              </w:rPr>
              <w:t>$1,550</w:t>
            </w:r>
          </w:p>
        </w:tc>
      </w:tr>
      <w:tr w:rsidR="008E7210" w:rsidTr="00844F93">
        <w:tc>
          <w:tcPr>
            <w:tcW w:w="1890" w:type="dxa"/>
            <w:tcBorders>
              <w:top w:val="single" w:sz="6" w:space="0" w:color="auto"/>
              <w:left w:val="double" w:sz="6" w:space="0" w:color="auto"/>
            </w:tcBorders>
          </w:tcPr>
          <w:p w:rsidR="008E7210" w:rsidRDefault="008E7210" w:rsidP="00865F9E">
            <w:pPr>
              <w:suppressAutoHyphens/>
              <w:spacing w:before="42" w:after="104"/>
              <w:rPr>
                <w:b/>
                <w:sz w:val="20"/>
              </w:rPr>
            </w:pPr>
            <w:r>
              <w:rPr>
                <w:b/>
                <w:sz w:val="20"/>
              </w:rPr>
              <w:t>75,001 – 150,000</w:t>
            </w:r>
          </w:p>
        </w:tc>
        <w:tc>
          <w:tcPr>
            <w:tcW w:w="108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$2,200</w:t>
            </w:r>
          </w:p>
        </w:tc>
        <w:tc>
          <w:tcPr>
            <w:tcW w:w="99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$1,525</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$1,125</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$1,600</w:t>
            </w:r>
          </w:p>
        </w:tc>
        <w:tc>
          <w:tcPr>
            <w:tcW w:w="144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$1,950</w:t>
            </w:r>
          </w:p>
        </w:tc>
        <w:tc>
          <w:tcPr>
            <w:tcW w:w="1350" w:type="dxa"/>
            <w:tcBorders>
              <w:top w:val="single" w:sz="6" w:space="0" w:color="auto"/>
              <w:left w:val="single" w:sz="6" w:space="0" w:color="auto"/>
              <w:right w:val="double" w:sz="6" w:space="0" w:color="auto"/>
            </w:tcBorders>
          </w:tcPr>
          <w:p w:rsidR="008E7210" w:rsidRDefault="008E7210" w:rsidP="00865F9E">
            <w:pPr>
              <w:suppressAutoHyphens/>
              <w:spacing w:before="42" w:after="104"/>
              <w:jc w:val="right"/>
              <w:rPr>
                <w:sz w:val="20"/>
              </w:rPr>
            </w:pPr>
            <w:r>
              <w:rPr>
                <w:sz w:val="20"/>
              </w:rPr>
              <w:t>$2,875</w:t>
            </w:r>
          </w:p>
        </w:tc>
      </w:tr>
      <w:tr w:rsidR="008E7210" w:rsidTr="00844F93">
        <w:tc>
          <w:tcPr>
            <w:tcW w:w="1890" w:type="dxa"/>
            <w:tcBorders>
              <w:top w:val="single" w:sz="6" w:space="0" w:color="auto"/>
              <w:left w:val="double" w:sz="6" w:space="0" w:color="auto"/>
            </w:tcBorders>
          </w:tcPr>
          <w:p w:rsidR="008E7210" w:rsidRDefault="008E7210" w:rsidP="00865F9E">
            <w:pPr>
              <w:suppressAutoHyphens/>
              <w:spacing w:before="42" w:after="104"/>
              <w:rPr>
                <w:b/>
                <w:sz w:val="20"/>
              </w:rPr>
            </w:pPr>
            <w:r>
              <w:rPr>
                <w:b/>
                <w:sz w:val="20"/>
              </w:rPr>
              <w:t>150,001 – 500,000</w:t>
            </w:r>
          </w:p>
        </w:tc>
        <w:tc>
          <w:tcPr>
            <w:tcW w:w="108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$3,300</w:t>
            </w:r>
          </w:p>
        </w:tc>
        <w:tc>
          <w:tcPr>
            <w:tcW w:w="99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$2,600</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$1,675</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$1,900</w:t>
            </w:r>
          </w:p>
        </w:tc>
        <w:tc>
          <w:tcPr>
            <w:tcW w:w="144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$3,025</w:t>
            </w:r>
          </w:p>
        </w:tc>
        <w:tc>
          <w:tcPr>
            <w:tcW w:w="1350" w:type="dxa"/>
            <w:tcBorders>
              <w:top w:val="single" w:sz="6" w:space="0" w:color="auto"/>
              <w:left w:val="single" w:sz="6" w:space="0" w:color="auto"/>
              <w:right w:val="double" w:sz="6" w:space="0" w:color="auto"/>
            </w:tcBorders>
          </w:tcPr>
          <w:p w:rsidR="008E7210" w:rsidRDefault="008E7210" w:rsidP="00865F9E">
            <w:pPr>
              <w:suppressAutoHyphens/>
              <w:spacing w:before="42" w:after="104"/>
              <w:jc w:val="right"/>
              <w:rPr>
                <w:sz w:val="20"/>
              </w:rPr>
            </w:pPr>
            <w:r>
              <w:rPr>
                <w:sz w:val="20"/>
              </w:rPr>
              <w:t>$3,750</w:t>
            </w:r>
          </w:p>
        </w:tc>
      </w:tr>
      <w:tr w:rsidR="008E7210" w:rsidTr="00844F93">
        <w:tc>
          <w:tcPr>
            <w:tcW w:w="1890" w:type="dxa"/>
            <w:tcBorders>
              <w:top w:val="single" w:sz="6" w:space="0" w:color="auto"/>
              <w:left w:val="double" w:sz="6" w:space="0" w:color="auto"/>
            </w:tcBorders>
          </w:tcPr>
          <w:p w:rsidR="008E7210" w:rsidRDefault="008E7210" w:rsidP="00865F9E">
            <w:pPr>
              <w:suppressAutoHyphens/>
              <w:spacing w:before="42" w:after="104"/>
              <w:rPr>
                <w:b/>
                <w:sz w:val="20"/>
              </w:rPr>
            </w:pPr>
            <w:r>
              <w:rPr>
                <w:b/>
                <w:sz w:val="20"/>
              </w:rPr>
              <w:t>500,001 – 1,200,000</w:t>
            </w:r>
          </w:p>
        </w:tc>
        <w:tc>
          <w:tcPr>
            <w:tcW w:w="108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$4,775</w:t>
            </w:r>
          </w:p>
        </w:tc>
        <w:tc>
          <w:tcPr>
            <w:tcW w:w="99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$3,975</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$2,800</w:t>
            </w:r>
          </w:p>
        </w:tc>
        <w:tc>
          <w:tcPr>
            <w:tcW w:w="90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$3,175</w:t>
            </w:r>
          </w:p>
        </w:tc>
        <w:tc>
          <w:tcPr>
            <w:tcW w:w="1440" w:type="dxa"/>
            <w:tcBorders>
              <w:top w:val="single" w:sz="6" w:space="0" w:color="auto"/>
              <w:left w:val="single" w:sz="6" w:space="0" w:color="auto"/>
            </w:tcBorders>
          </w:tcPr>
          <w:p w:rsidR="008E7210" w:rsidRDefault="008E7210" w:rsidP="00865F9E">
            <w:pPr>
              <w:suppressAutoHyphens/>
              <w:spacing w:before="42" w:after="104"/>
              <w:jc w:val="right"/>
              <w:rPr>
                <w:sz w:val="20"/>
              </w:rPr>
            </w:pPr>
            <w:r>
              <w:rPr>
                <w:sz w:val="20"/>
              </w:rPr>
              <w:t>$4,800</w:t>
            </w:r>
          </w:p>
        </w:tc>
        <w:tc>
          <w:tcPr>
            <w:tcW w:w="1350" w:type="dxa"/>
            <w:tcBorders>
              <w:top w:val="single" w:sz="6" w:space="0" w:color="auto"/>
              <w:left w:val="single" w:sz="6" w:space="0" w:color="auto"/>
              <w:right w:val="double" w:sz="6" w:space="0" w:color="auto"/>
            </w:tcBorders>
          </w:tcPr>
          <w:p w:rsidR="008E7210" w:rsidRDefault="008E7210" w:rsidP="00865F9E">
            <w:pPr>
              <w:suppressAutoHyphens/>
              <w:spacing w:before="42" w:after="104"/>
              <w:jc w:val="right"/>
              <w:rPr>
                <w:sz w:val="20"/>
              </w:rPr>
            </w:pPr>
            <w:r>
              <w:rPr>
                <w:sz w:val="20"/>
              </w:rPr>
              <w:t>$5,525</w:t>
            </w:r>
          </w:p>
        </w:tc>
      </w:tr>
      <w:tr w:rsidR="008E7210" w:rsidTr="00844F93">
        <w:trPr>
          <w:trHeight w:val="361"/>
        </w:trPr>
        <w:tc>
          <w:tcPr>
            <w:tcW w:w="1890" w:type="dxa"/>
            <w:tcBorders>
              <w:top w:val="single" w:sz="6" w:space="0" w:color="auto"/>
              <w:left w:val="double" w:sz="6" w:space="0" w:color="auto"/>
              <w:bottom w:val="single" w:sz="6" w:space="0" w:color="auto"/>
            </w:tcBorders>
          </w:tcPr>
          <w:p w:rsidR="008E7210" w:rsidRDefault="008E7210" w:rsidP="00865F9E">
            <w:pPr>
              <w:suppressAutoHyphens/>
              <w:spacing w:before="42" w:after="104"/>
              <w:rPr>
                <w:b/>
                <w:sz w:val="20"/>
              </w:rPr>
            </w:pPr>
            <w:r>
              <w:rPr>
                <w:b/>
                <w:sz w:val="20"/>
              </w:rPr>
              <w:t>1,200,001 – 3,000,00</w:t>
            </w:r>
          </w:p>
        </w:tc>
        <w:tc>
          <w:tcPr>
            <w:tcW w:w="1080" w:type="dxa"/>
            <w:tcBorders>
              <w:top w:val="single" w:sz="6" w:space="0" w:color="auto"/>
              <w:left w:val="single" w:sz="6" w:space="0" w:color="auto"/>
              <w:bottom w:val="single" w:sz="6" w:space="0" w:color="auto"/>
            </w:tcBorders>
          </w:tcPr>
          <w:p w:rsidR="008E7210" w:rsidRDefault="008E7210" w:rsidP="00865F9E">
            <w:pPr>
              <w:suppressAutoHyphens/>
              <w:spacing w:before="42" w:after="104"/>
              <w:jc w:val="right"/>
              <w:rPr>
                <w:sz w:val="20"/>
              </w:rPr>
            </w:pPr>
            <w:r>
              <w:rPr>
                <w:sz w:val="20"/>
              </w:rPr>
              <w:t>$7,350</w:t>
            </w:r>
          </w:p>
        </w:tc>
        <w:tc>
          <w:tcPr>
            <w:tcW w:w="990" w:type="dxa"/>
            <w:tcBorders>
              <w:top w:val="single" w:sz="6" w:space="0" w:color="auto"/>
              <w:left w:val="single" w:sz="6" w:space="0" w:color="auto"/>
              <w:bottom w:val="single" w:sz="6" w:space="0" w:color="auto"/>
            </w:tcBorders>
          </w:tcPr>
          <w:p w:rsidR="008E7210" w:rsidRDefault="008E7210" w:rsidP="00865F9E">
            <w:pPr>
              <w:suppressAutoHyphens/>
              <w:spacing w:before="42" w:after="104"/>
              <w:jc w:val="right"/>
              <w:rPr>
                <w:sz w:val="20"/>
              </w:rPr>
            </w:pPr>
            <w:r>
              <w:rPr>
                <w:sz w:val="20"/>
              </w:rPr>
              <w:t>$6,100</w:t>
            </w:r>
          </w:p>
        </w:tc>
        <w:tc>
          <w:tcPr>
            <w:tcW w:w="900" w:type="dxa"/>
            <w:tcBorders>
              <w:top w:val="single" w:sz="6" w:space="0" w:color="auto"/>
              <w:left w:val="single" w:sz="6" w:space="0" w:color="auto"/>
              <w:bottom w:val="single" w:sz="6" w:space="0" w:color="auto"/>
            </w:tcBorders>
          </w:tcPr>
          <w:p w:rsidR="008E7210" w:rsidRDefault="008E7210" w:rsidP="00865F9E">
            <w:pPr>
              <w:suppressAutoHyphens/>
              <w:spacing w:before="42" w:after="104"/>
              <w:jc w:val="right"/>
              <w:rPr>
                <w:sz w:val="20"/>
              </w:rPr>
            </w:pPr>
            <w:r>
              <w:rPr>
                <w:sz w:val="20"/>
              </w:rPr>
              <w:t>$4,200</w:t>
            </w:r>
          </w:p>
        </w:tc>
        <w:tc>
          <w:tcPr>
            <w:tcW w:w="900" w:type="dxa"/>
            <w:tcBorders>
              <w:top w:val="single" w:sz="6" w:space="0" w:color="auto"/>
              <w:left w:val="single" w:sz="6" w:space="0" w:color="auto"/>
              <w:bottom w:val="single" w:sz="6" w:space="0" w:color="auto"/>
            </w:tcBorders>
          </w:tcPr>
          <w:p w:rsidR="008E7210" w:rsidRDefault="008E7210" w:rsidP="00865F9E">
            <w:pPr>
              <w:suppressAutoHyphens/>
              <w:spacing w:before="42" w:after="104"/>
              <w:jc w:val="right"/>
              <w:rPr>
                <w:sz w:val="20"/>
              </w:rPr>
            </w:pPr>
            <w:r>
              <w:rPr>
                <w:sz w:val="20"/>
              </w:rPr>
              <w:t>$5,075</w:t>
            </w:r>
          </w:p>
        </w:tc>
        <w:tc>
          <w:tcPr>
            <w:tcW w:w="1440" w:type="dxa"/>
            <w:tcBorders>
              <w:top w:val="single" w:sz="6" w:space="0" w:color="auto"/>
              <w:left w:val="single" w:sz="6" w:space="0" w:color="auto"/>
              <w:bottom w:val="single" w:sz="6" w:space="0" w:color="auto"/>
            </w:tcBorders>
          </w:tcPr>
          <w:p w:rsidR="008E7210" w:rsidRDefault="008E7210" w:rsidP="00865F9E">
            <w:pPr>
              <w:suppressAutoHyphens/>
              <w:spacing w:before="42" w:after="104"/>
              <w:jc w:val="right"/>
              <w:rPr>
                <w:sz w:val="20"/>
              </w:rPr>
            </w:pPr>
            <w:r>
              <w:rPr>
                <w:sz w:val="20"/>
              </w:rPr>
              <w:t>$7,800</w:t>
            </w:r>
          </w:p>
        </w:tc>
        <w:tc>
          <w:tcPr>
            <w:tcW w:w="1350" w:type="dxa"/>
            <w:tcBorders>
              <w:top w:val="single" w:sz="6" w:space="0" w:color="auto"/>
              <w:left w:val="single" w:sz="6" w:space="0" w:color="auto"/>
              <w:bottom w:val="single" w:sz="6" w:space="0" w:color="auto"/>
              <w:right w:val="double" w:sz="6" w:space="0" w:color="auto"/>
            </w:tcBorders>
          </w:tcPr>
          <w:p w:rsidR="008E7210" w:rsidRDefault="008E7210" w:rsidP="00865F9E">
            <w:pPr>
              <w:suppressAutoHyphens/>
              <w:spacing w:before="42" w:after="104"/>
              <w:jc w:val="right"/>
              <w:rPr>
                <w:sz w:val="20"/>
              </w:rPr>
            </w:pPr>
            <w:r>
              <w:rPr>
                <w:sz w:val="20"/>
              </w:rPr>
              <w:t>$8,850</w:t>
            </w:r>
          </w:p>
        </w:tc>
      </w:tr>
      <w:tr w:rsidR="008E7210" w:rsidTr="00844F93">
        <w:tc>
          <w:tcPr>
            <w:tcW w:w="1890" w:type="dxa"/>
            <w:tcBorders>
              <w:top w:val="single" w:sz="6" w:space="0" w:color="auto"/>
              <w:left w:val="double" w:sz="6" w:space="0" w:color="auto"/>
              <w:bottom w:val="double" w:sz="6" w:space="0" w:color="auto"/>
            </w:tcBorders>
          </w:tcPr>
          <w:p w:rsidR="008E7210" w:rsidRDefault="008E7210" w:rsidP="00865F9E">
            <w:pPr>
              <w:suppressAutoHyphens/>
              <w:spacing w:before="42" w:after="104"/>
              <w:rPr>
                <w:b/>
                <w:sz w:val="20"/>
              </w:rPr>
            </w:pPr>
            <w:r>
              <w:rPr>
                <w:b/>
                <w:sz w:val="20"/>
              </w:rPr>
              <w:t>&gt;3,000,000</w:t>
            </w:r>
          </w:p>
        </w:tc>
        <w:tc>
          <w:tcPr>
            <w:tcW w:w="1080" w:type="dxa"/>
            <w:tcBorders>
              <w:top w:val="single" w:sz="6" w:space="0" w:color="auto"/>
              <w:left w:val="single" w:sz="6" w:space="0" w:color="auto"/>
              <w:bottom w:val="double" w:sz="6" w:space="0" w:color="auto"/>
            </w:tcBorders>
          </w:tcPr>
          <w:p w:rsidR="008E7210" w:rsidRDefault="008E7210" w:rsidP="00865F9E">
            <w:pPr>
              <w:suppressAutoHyphens/>
              <w:spacing w:before="42" w:after="104"/>
              <w:jc w:val="right"/>
              <w:rPr>
                <w:sz w:val="20"/>
              </w:rPr>
            </w:pPr>
            <w:r>
              <w:rPr>
                <w:sz w:val="20"/>
              </w:rPr>
              <w:t>$8,825</w:t>
            </w:r>
          </w:p>
        </w:tc>
        <w:tc>
          <w:tcPr>
            <w:tcW w:w="990" w:type="dxa"/>
            <w:tcBorders>
              <w:top w:val="single" w:sz="6" w:space="0" w:color="auto"/>
              <w:left w:val="single" w:sz="6" w:space="0" w:color="auto"/>
              <w:bottom w:val="double" w:sz="6" w:space="0" w:color="auto"/>
            </w:tcBorders>
          </w:tcPr>
          <w:p w:rsidR="008E7210" w:rsidRDefault="008E7210" w:rsidP="00865F9E">
            <w:pPr>
              <w:suppressAutoHyphens/>
              <w:spacing w:before="42" w:after="104"/>
              <w:jc w:val="right"/>
              <w:rPr>
                <w:sz w:val="20"/>
              </w:rPr>
            </w:pPr>
            <w:r>
              <w:rPr>
                <w:sz w:val="20"/>
              </w:rPr>
              <w:t>$7,325</w:t>
            </w:r>
          </w:p>
        </w:tc>
        <w:tc>
          <w:tcPr>
            <w:tcW w:w="900" w:type="dxa"/>
            <w:tcBorders>
              <w:top w:val="single" w:sz="6" w:space="0" w:color="auto"/>
              <w:left w:val="single" w:sz="6" w:space="0" w:color="auto"/>
              <w:bottom w:val="double" w:sz="6" w:space="0" w:color="auto"/>
            </w:tcBorders>
          </w:tcPr>
          <w:p w:rsidR="008E7210" w:rsidRDefault="008E7210" w:rsidP="00865F9E">
            <w:pPr>
              <w:suppressAutoHyphens/>
              <w:spacing w:before="42" w:after="104"/>
              <w:jc w:val="right"/>
              <w:rPr>
                <w:sz w:val="20"/>
              </w:rPr>
            </w:pPr>
            <w:r>
              <w:rPr>
                <w:sz w:val="20"/>
              </w:rPr>
              <w:t>$5,325</w:t>
            </w:r>
          </w:p>
        </w:tc>
        <w:tc>
          <w:tcPr>
            <w:tcW w:w="900" w:type="dxa"/>
            <w:tcBorders>
              <w:top w:val="single" w:sz="6" w:space="0" w:color="auto"/>
              <w:left w:val="single" w:sz="6" w:space="0" w:color="auto"/>
              <w:bottom w:val="double" w:sz="6" w:space="0" w:color="auto"/>
            </w:tcBorders>
          </w:tcPr>
          <w:p w:rsidR="008E7210" w:rsidRDefault="008E7210" w:rsidP="00865F9E">
            <w:pPr>
              <w:suppressAutoHyphens/>
              <w:spacing w:before="42" w:after="104"/>
              <w:jc w:val="right"/>
              <w:rPr>
                <w:sz w:val="20"/>
              </w:rPr>
            </w:pPr>
            <w:r>
              <w:rPr>
                <w:sz w:val="20"/>
              </w:rPr>
              <w:t>$6,350</w:t>
            </w:r>
          </w:p>
        </w:tc>
        <w:tc>
          <w:tcPr>
            <w:tcW w:w="1440" w:type="dxa"/>
            <w:tcBorders>
              <w:top w:val="single" w:sz="6" w:space="0" w:color="auto"/>
              <w:left w:val="single" w:sz="6" w:space="0" w:color="auto"/>
              <w:bottom w:val="double" w:sz="6" w:space="0" w:color="auto"/>
            </w:tcBorders>
          </w:tcPr>
          <w:p w:rsidR="008E7210" w:rsidRDefault="008E7210" w:rsidP="00865F9E">
            <w:pPr>
              <w:suppressAutoHyphens/>
              <w:spacing w:before="42" w:after="104"/>
              <w:jc w:val="right"/>
              <w:rPr>
                <w:sz w:val="20"/>
              </w:rPr>
            </w:pPr>
            <w:r>
              <w:rPr>
                <w:sz w:val="20"/>
              </w:rPr>
              <w:t>$9,950</w:t>
            </w:r>
          </w:p>
        </w:tc>
        <w:tc>
          <w:tcPr>
            <w:tcW w:w="1350" w:type="dxa"/>
            <w:tcBorders>
              <w:top w:val="single" w:sz="6" w:space="0" w:color="auto"/>
              <w:left w:val="single" w:sz="6" w:space="0" w:color="auto"/>
              <w:bottom w:val="double" w:sz="6" w:space="0" w:color="auto"/>
              <w:right w:val="double" w:sz="6" w:space="0" w:color="auto"/>
            </w:tcBorders>
          </w:tcPr>
          <w:p w:rsidR="008E7210" w:rsidRDefault="008E7210" w:rsidP="00865F9E">
            <w:pPr>
              <w:suppressAutoHyphens/>
              <w:spacing w:before="42" w:after="104"/>
              <w:jc w:val="right"/>
              <w:rPr>
                <w:sz w:val="20"/>
              </w:rPr>
            </w:pPr>
            <w:r>
              <w:rPr>
                <w:sz w:val="20"/>
              </w:rPr>
              <w:t>$11,500</w:t>
            </w:r>
          </w:p>
        </w:tc>
      </w:tr>
    </w:tbl>
    <w:p w:rsidR="008E7210" w:rsidRDefault="008E7210" w:rsidP="008E7210">
      <w:pPr>
        <w:tabs>
          <w:tab w:val="right" w:pos="10080"/>
        </w:tabs>
        <w:suppressAutoHyphens/>
        <w:ind w:left="450"/>
        <w:jc w:val="center"/>
        <w:outlineLvl w:val="0"/>
        <w:rPr>
          <w:b/>
          <w:szCs w:val="22"/>
        </w:rPr>
      </w:pPr>
    </w:p>
    <w:p w:rsidR="008E7210" w:rsidRDefault="008E7210" w:rsidP="008E7210">
      <w:pPr>
        <w:tabs>
          <w:tab w:val="right" w:pos="10080"/>
        </w:tabs>
        <w:suppressAutoHyphens/>
        <w:ind w:left="450"/>
        <w:jc w:val="center"/>
        <w:outlineLvl w:val="0"/>
        <w:rPr>
          <w:b/>
          <w:szCs w:val="22"/>
        </w:rPr>
      </w:pPr>
      <w:bookmarkStart w:id="313" w:name="_Toc353870734"/>
      <w:bookmarkStart w:id="314" w:name="_Toc353987761"/>
      <w:bookmarkStart w:id="315" w:name="_Toc353988082"/>
      <w:r>
        <w:rPr>
          <w:b/>
          <w:szCs w:val="22"/>
        </w:rPr>
        <w:t>FY 2012 SCHEDULE OF REGULATORY FEES</w:t>
      </w:r>
      <w:bookmarkEnd w:id="313"/>
      <w:bookmarkEnd w:id="314"/>
      <w:bookmarkEnd w:id="315"/>
    </w:p>
    <w:p w:rsidR="008E7210" w:rsidRDefault="008E7210" w:rsidP="008E7210">
      <w:pPr>
        <w:tabs>
          <w:tab w:val="right" w:pos="10080"/>
        </w:tabs>
        <w:suppressAutoHyphens/>
        <w:ind w:left="450"/>
        <w:jc w:val="center"/>
        <w:outlineLvl w:val="0"/>
        <w:rPr>
          <w:b/>
          <w:szCs w:val="22"/>
        </w:rPr>
      </w:pPr>
      <w:bookmarkStart w:id="316" w:name="_Toc353870735"/>
      <w:bookmarkStart w:id="317" w:name="_Toc353987762"/>
      <w:bookmarkStart w:id="318" w:name="_Toc353988083"/>
      <w:r>
        <w:rPr>
          <w:b/>
          <w:szCs w:val="22"/>
        </w:rPr>
        <w:t>International Bearer Circuits - Submarine Cable</w:t>
      </w:r>
      <w:bookmarkEnd w:id="316"/>
      <w:bookmarkEnd w:id="317"/>
      <w:bookmarkEnd w:id="318"/>
    </w:p>
    <w:p w:rsidR="008E7210" w:rsidRDefault="008E7210" w:rsidP="00865F9E">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766"/>
        <w:gridCol w:w="3618"/>
      </w:tblGrid>
      <w:tr w:rsidR="008E7210" w:rsidTr="00844F93">
        <w:tc>
          <w:tcPr>
            <w:tcW w:w="3192" w:type="dxa"/>
          </w:tcPr>
          <w:p w:rsidR="008E7210" w:rsidRDefault="008E7210" w:rsidP="00865F9E">
            <w:pPr>
              <w:suppressAutoHyphens/>
              <w:jc w:val="both"/>
              <w:rPr>
                <w:spacing w:val="-3"/>
                <w:szCs w:val="22"/>
              </w:rPr>
            </w:pPr>
            <w:r>
              <w:rPr>
                <w:spacing w:val="-3"/>
                <w:szCs w:val="22"/>
              </w:rPr>
              <w:t>Submarine Cable Systems</w:t>
            </w:r>
          </w:p>
          <w:p w:rsidR="008E7210" w:rsidRDefault="008E7210" w:rsidP="00865F9E">
            <w:pPr>
              <w:suppressAutoHyphens/>
              <w:jc w:val="both"/>
              <w:rPr>
                <w:spacing w:val="-3"/>
                <w:sz w:val="20"/>
              </w:rPr>
            </w:pPr>
            <w:r>
              <w:rPr>
                <w:sz w:val="20"/>
              </w:rPr>
              <w:t>(capacity as of December 31, 2011)</w:t>
            </w:r>
          </w:p>
        </w:tc>
        <w:tc>
          <w:tcPr>
            <w:tcW w:w="2766" w:type="dxa"/>
          </w:tcPr>
          <w:p w:rsidR="008E7210" w:rsidRDefault="008E7210" w:rsidP="00865F9E">
            <w:pPr>
              <w:suppressAutoHyphens/>
              <w:jc w:val="center"/>
              <w:rPr>
                <w:spacing w:val="-3"/>
                <w:szCs w:val="22"/>
              </w:rPr>
            </w:pPr>
            <w:r>
              <w:rPr>
                <w:spacing w:val="-3"/>
                <w:szCs w:val="22"/>
              </w:rPr>
              <w:t>Fee amount</w:t>
            </w:r>
          </w:p>
        </w:tc>
        <w:tc>
          <w:tcPr>
            <w:tcW w:w="3618" w:type="dxa"/>
          </w:tcPr>
          <w:p w:rsidR="008E7210" w:rsidRDefault="008E7210" w:rsidP="00865F9E">
            <w:pPr>
              <w:suppressAutoHyphens/>
              <w:jc w:val="center"/>
              <w:rPr>
                <w:spacing w:val="-3"/>
                <w:szCs w:val="22"/>
              </w:rPr>
            </w:pPr>
            <w:r>
              <w:rPr>
                <w:spacing w:val="-3"/>
                <w:szCs w:val="22"/>
              </w:rPr>
              <w:t>Address</w:t>
            </w:r>
          </w:p>
        </w:tc>
      </w:tr>
      <w:tr w:rsidR="008E7210" w:rsidTr="00844F93">
        <w:trPr>
          <w:trHeight w:val="1034"/>
        </w:trPr>
        <w:tc>
          <w:tcPr>
            <w:tcW w:w="3192" w:type="dxa"/>
          </w:tcPr>
          <w:p w:rsidR="008E7210" w:rsidRDefault="008E7210" w:rsidP="00865F9E">
            <w:pPr>
              <w:suppressAutoHyphens/>
              <w:jc w:val="both"/>
              <w:rPr>
                <w:b/>
                <w:spacing w:val="-3"/>
                <w:szCs w:val="22"/>
              </w:rPr>
            </w:pPr>
            <w:r>
              <w:rPr>
                <w:b/>
                <w:szCs w:val="22"/>
              </w:rPr>
              <w:t>&lt; 2.5 Gbps</w:t>
            </w:r>
          </w:p>
        </w:tc>
        <w:tc>
          <w:tcPr>
            <w:tcW w:w="2766" w:type="dxa"/>
            <w:vAlign w:val="center"/>
          </w:tcPr>
          <w:p w:rsidR="008E7210" w:rsidRDefault="008E7210" w:rsidP="00865F9E">
            <w:pPr>
              <w:suppressAutoHyphens/>
              <w:jc w:val="center"/>
              <w:rPr>
                <w:spacing w:val="-3"/>
                <w:szCs w:val="22"/>
              </w:rPr>
            </w:pPr>
            <w:r>
              <w:rPr>
                <w:bCs/>
                <w:szCs w:val="22"/>
              </w:rPr>
              <w:t>$13,300</w:t>
            </w:r>
          </w:p>
        </w:tc>
        <w:tc>
          <w:tcPr>
            <w:tcW w:w="3618" w:type="dxa"/>
          </w:tcPr>
          <w:p w:rsidR="008E7210" w:rsidRDefault="008E7210" w:rsidP="00865F9E">
            <w:pPr>
              <w:rPr>
                <w:szCs w:val="22"/>
              </w:rPr>
            </w:pPr>
          </w:p>
          <w:p w:rsidR="008E7210" w:rsidRDefault="008E7210" w:rsidP="00865F9E">
            <w:pPr>
              <w:rPr>
                <w:szCs w:val="22"/>
              </w:rPr>
            </w:pPr>
            <w:r>
              <w:rPr>
                <w:szCs w:val="22"/>
              </w:rPr>
              <w:t>FCC, International, P.O. Box 979084, St. Louis, MO 63197-9000</w:t>
            </w:r>
          </w:p>
          <w:p w:rsidR="008E7210" w:rsidRDefault="008E7210" w:rsidP="00865F9E">
            <w:pPr>
              <w:suppressAutoHyphens/>
              <w:rPr>
                <w:spacing w:val="-3"/>
                <w:szCs w:val="22"/>
              </w:rPr>
            </w:pPr>
          </w:p>
        </w:tc>
      </w:tr>
      <w:tr w:rsidR="008E7210" w:rsidTr="00844F93">
        <w:trPr>
          <w:trHeight w:val="1034"/>
        </w:trPr>
        <w:tc>
          <w:tcPr>
            <w:tcW w:w="3192" w:type="dxa"/>
          </w:tcPr>
          <w:p w:rsidR="008E7210" w:rsidRDefault="008E7210" w:rsidP="00865F9E">
            <w:pPr>
              <w:suppressAutoHyphens/>
              <w:rPr>
                <w:b/>
                <w:spacing w:val="-3"/>
                <w:szCs w:val="22"/>
              </w:rPr>
            </w:pPr>
            <w:r>
              <w:rPr>
                <w:b/>
                <w:szCs w:val="22"/>
              </w:rPr>
              <w:t>2.5 Gbps or greater, but less than 5 Gbps</w:t>
            </w:r>
          </w:p>
        </w:tc>
        <w:tc>
          <w:tcPr>
            <w:tcW w:w="2766" w:type="dxa"/>
            <w:vAlign w:val="center"/>
          </w:tcPr>
          <w:p w:rsidR="008E7210" w:rsidRDefault="008E7210" w:rsidP="00865F9E">
            <w:pPr>
              <w:jc w:val="center"/>
              <w:rPr>
                <w:bCs/>
                <w:szCs w:val="22"/>
              </w:rPr>
            </w:pPr>
            <w:r>
              <w:rPr>
                <w:bCs/>
                <w:szCs w:val="22"/>
              </w:rPr>
              <w:t>$26,600</w:t>
            </w:r>
          </w:p>
          <w:p w:rsidR="008E7210" w:rsidRDefault="008E7210" w:rsidP="00865F9E">
            <w:pPr>
              <w:suppressAutoHyphens/>
              <w:jc w:val="center"/>
              <w:rPr>
                <w:spacing w:val="-3"/>
                <w:szCs w:val="22"/>
              </w:rPr>
            </w:pPr>
          </w:p>
        </w:tc>
        <w:tc>
          <w:tcPr>
            <w:tcW w:w="3618" w:type="dxa"/>
          </w:tcPr>
          <w:p w:rsidR="008E7210" w:rsidRDefault="008E7210" w:rsidP="00865F9E">
            <w:pPr>
              <w:suppressAutoHyphens/>
              <w:rPr>
                <w:spacing w:val="-3"/>
                <w:szCs w:val="22"/>
              </w:rPr>
            </w:pPr>
          </w:p>
          <w:p w:rsidR="008E7210" w:rsidRDefault="008E7210" w:rsidP="00865F9E">
            <w:pPr>
              <w:rPr>
                <w:szCs w:val="22"/>
              </w:rPr>
            </w:pPr>
            <w:r>
              <w:rPr>
                <w:szCs w:val="22"/>
              </w:rPr>
              <w:t>FCC, International, P.O. Box 979084, St. Louis, MO 63197-9000</w:t>
            </w:r>
          </w:p>
          <w:p w:rsidR="008E7210" w:rsidRDefault="008E7210" w:rsidP="00865F9E">
            <w:pPr>
              <w:suppressAutoHyphens/>
              <w:jc w:val="both"/>
              <w:rPr>
                <w:spacing w:val="-3"/>
                <w:szCs w:val="22"/>
              </w:rPr>
            </w:pPr>
          </w:p>
        </w:tc>
      </w:tr>
      <w:tr w:rsidR="008E7210" w:rsidTr="00844F93">
        <w:tc>
          <w:tcPr>
            <w:tcW w:w="3192" w:type="dxa"/>
          </w:tcPr>
          <w:p w:rsidR="008E7210" w:rsidRDefault="008E7210" w:rsidP="00865F9E">
            <w:pPr>
              <w:suppressAutoHyphens/>
              <w:rPr>
                <w:b/>
                <w:spacing w:val="-3"/>
                <w:szCs w:val="22"/>
              </w:rPr>
            </w:pPr>
            <w:r>
              <w:rPr>
                <w:b/>
                <w:szCs w:val="22"/>
              </w:rPr>
              <w:t>5 Gbps or greater, but less than 10 Gbps</w:t>
            </w:r>
          </w:p>
        </w:tc>
        <w:tc>
          <w:tcPr>
            <w:tcW w:w="2766" w:type="dxa"/>
            <w:vAlign w:val="center"/>
          </w:tcPr>
          <w:p w:rsidR="008E7210" w:rsidRDefault="008E7210" w:rsidP="00865F9E">
            <w:pPr>
              <w:jc w:val="center"/>
              <w:rPr>
                <w:bCs/>
                <w:szCs w:val="22"/>
              </w:rPr>
            </w:pPr>
            <w:r>
              <w:rPr>
                <w:bCs/>
                <w:szCs w:val="22"/>
              </w:rPr>
              <w:t xml:space="preserve">$53,200 </w:t>
            </w:r>
          </w:p>
          <w:p w:rsidR="008E7210" w:rsidRDefault="008E7210" w:rsidP="00865F9E">
            <w:pPr>
              <w:suppressAutoHyphens/>
              <w:jc w:val="center"/>
              <w:rPr>
                <w:spacing w:val="-3"/>
                <w:szCs w:val="22"/>
              </w:rPr>
            </w:pPr>
          </w:p>
        </w:tc>
        <w:tc>
          <w:tcPr>
            <w:tcW w:w="3618" w:type="dxa"/>
          </w:tcPr>
          <w:p w:rsidR="008E7210" w:rsidRDefault="008E7210" w:rsidP="00865F9E">
            <w:pPr>
              <w:suppressAutoHyphens/>
              <w:rPr>
                <w:spacing w:val="-3"/>
                <w:szCs w:val="22"/>
              </w:rPr>
            </w:pPr>
          </w:p>
          <w:p w:rsidR="008E7210" w:rsidRDefault="008E7210" w:rsidP="00865F9E">
            <w:pPr>
              <w:rPr>
                <w:szCs w:val="22"/>
              </w:rPr>
            </w:pPr>
            <w:r>
              <w:rPr>
                <w:szCs w:val="22"/>
              </w:rPr>
              <w:t>FCC, International, P.O. Box 979084, St. Louis, MO 63197-9000</w:t>
            </w:r>
          </w:p>
          <w:p w:rsidR="008E7210" w:rsidRDefault="008E7210" w:rsidP="00865F9E">
            <w:pPr>
              <w:suppressAutoHyphens/>
              <w:jc w:val="both"/>
              <w:rPr>
                <w:spacing w:val="-3"/>
                <w:szCs w:val="22"/>
              </w:rPr>
            </w:pPr>
          </w:p>
        </w:tc>
      </w:tr>
      <w:tr w:rsidR="008E7210" w:rsidTr="00844F93">
        <w:trPr>
          <w:trHeight w:val="998"/>
        </w:trPr>
        <w:tc>
          <w:tcPr>
            <w:tcW w:w="3192" w:type="dxa"/>
          </w:tcPr>
          <w:p w:rsidR="008E7210" w:rsidRDefault="008E7210" w:rsidP="00865F9E">
            <w:pPr>
              <w:suppressAutoHyphens/>
              <w:rPr>
                <w:b/>
                <w:spacing w:val="-3"/>
                <w:szCs w:val="22"/>
              </w:rPr>
            </w:pPr>
            <w:r>
              <w:rPr>
                <w:b/>
                <w:szCs w:val="22"/>
              </w:rPr>
              <w:t>10 Gbps or greater, but less than 20 Gbps</w:t>
            </w:r>
          </w:p>
        </w:tc>
        <w:tc>
          <w:tcPr>
            <w:tcW w:w="2766" w:type="dxa"/>
            <w:vAlign w:val="center"/>
          </w:tcPr>
          <w:p w:rsidR="008E7210" w:rsidRDefault="008E7210" w:rsidP="00865F9E">
            <w:pPr>
              <w:jc w:val="center"/>
              <w:rPr>
                <w:bCs/>
                <w:szCs w:val="22"/>
              </w:rPr>
            </w:pPr>
            <w:r>
              <w:rPr>
                <w:bCs/>
                <w:szCs w:val="22"/>
              </w:rPr>
              <w:t xml:space="preserve">$106,375 </w:t>
            </w:r>
          </w:p>
          <w:p w:rsidR="008E7210" w:rsidRDefault="008E7210" w:rsidP="00865F9E">
            <w:pPr>
              <w:suppressAutoHyphens/>
              <w:jc w:val="center"/>
              <w:rPr>
                <w:spacing w:val="-3"/>
                <w:szCs w:val="22"/>
              </w:rPr>
            </w:pPr>
          </w:p>
        </w:tc>
        <w:tc>
          <w:tcPr>
            <w:tcW w:w="3618" w:type="dxa"/>
          </w:tcPr>
          <w:p w:rsidR="008E7210" w:rsidRDefault="008E7210" w:rsidP="00865F9E">
            <w:pPr>
              <w:suppressAutoHyphens/>
              <w:rPr>
                <w:spacing w:val="-3"/>
                <w:szCs w:val="22"/>
              </w:rPr>
            </w:pPr>
            <w:r>
              <w:rPr>
                <w:spacing w:val="-3"/>
                <w:szCs w:val="22"/>
              </w:rPr>
              <w:t xml:space="preserve"> </w:t>
            </w:r>
          </w:p>
          <w:p w:rsidR="008E7210" w:rsidRDefault="008E7210" w:rsidP="00865F9E">
            <w:pPr>
              <w:rPr>
                <w:spacing w:val="-3"/>
                <w:szCs w:val="22"/>
              </w:rPr>
            </w:pPr>
            <w:r>
              <w:rPr>
                <w:szCs w:val="22"/>
              </w:rPr>
              <w:t>FCC, International, P.O. Box 979084, St. Louis, MO 63197-9000</w:t>
            </w:r>
          </w:p>
          <w:p w:rsidR="008E7210" w:rsidRDefault="008E7210" w:rsidP="00865F9E">
            <w:pPr>
              <w:suppressAutoHyphens/>
              <w:jc w:val="both"/>
              <w:rPr>
                <w:spacing w:val="-3"/>
                <w:szCs w:val="22"/>
              </w:rPr>
            </w:pPr>
          </w:p>
        </w:tc>
      </w:tr>
      <w:tr w:rsidR="008E7210" w:rsidTr="00844F93">
        <w:trPr>
          <w:trHeight w:val="1124"/>
        </w:trPr>
        <w:tc>
          <w:tcPr>
            <w:tcW w:w="3192" w:type="dxa"/>
          </w:tcPr>
          <w:p w:rsidR="008E7210" w:rsidRDefault="008E7210" w:rsidP="00865F9E">
            <w:pPr>
              <w:suppressAutoHyphens/>
              <w:rPr>
                <w:b/>
                <w:szCs w:val="22"/>
              </w:rPr>
            </w:pPr>
            <w:r>
              <w:rPr>
                <w:b/>
                <w:szCs w:val="22"/>
              </w:rPr>
              <w:t>20 Gbps or greater</w:t>
            </w:r>
          </w:p>
        </w:tc>
        <w:tc>
          <w:tcPr>
            <w:tcW w:w="2766" w:type="dxa"/>
            <w:vAlign w:val="center"/>
          </w:tcPr>
          <w:p w:rsidR="008E7210" w:rsidRDefault="008E7210" w:rsidP="00865F9E">
            <w:pPr>
              <w:jc w:val="center"/>
              <w:rPr>
                <w:bCs/>
                <w:szCs w:val="22"/>
              </w:rPr>
            </w:pPr>
            <w:r>
              <w:rPr>
                <w:bCs/>
                <w:szCs w:val="22"/>
              </w:rPr>
              <w:t xml:space="preserve">$212,750 </w:t>
            </w:r>
          </w:p>
          <w:p w:rsidR="008E7210" w:rsidRDefault="008E7210" w:rsidP="00865F9E">
            <w:pPr>
              <w:suppressAutoHyphens/>
              <w:jc w:val="center"/>
              <w:rPr>
                <w:spacing w:val="-3"/>
                <w:szCs w:val="22"/>
              </w:rPr>
            </w:pPr>
          </w:p>
        </w:tc>
        <w:tc>
          <w:tcPr>
            <w:tcW w:w="3618" w:type="dxa"/>
          </w:tcPr>
          <w:p w:rsidR="008E7210" w:rsidRDefault="008E7210" w:rsidP="00865F9E">
            <w:pPr>
              <w:rPr>
                <w:szCs w:val="22"/>
              </w:rPr>
            </w:pPr>
          </w:p>
          <w:p w:rsidR="008E7210" w:rsidRDefault="008E7210" w:rsidP="00865F9E">
            <w:pPr>
              <w:suppressAutoHyphens/>
              <w:rPr>
                <w:szCs w:val="22"/>
              </w:rPr>
            </w:pPr>
            <w:r>
              <w:rPr>
                <w:szCs w:val="22"/>
              </w:rPr>
              <w:t>FCC, International, P.O. Box 979084, St. Louis, MO 63197-9000</w:t>
            </w:r>
          </w:p>
          <w:p w:rsidR="008E7210" w:rsidRDefault="008E7210" w:rsidP="00865F9E">
            <w:pPr>
              <w:suppressAutoHyphens/>
              <w:rPr>
                <w:spacing w:val="-3"/>
                <w:szCs w:val="22"/>
              </w:rPr>
            </w:pPr>
          </w:p>
        </w:tc>
      </w:tr>
    </w:tbl>
    <w:p w:rsidR="008E7210" w:rsidRPr="00A1103B" w:rsidRDefault="008E7210" w:rsidP="008E7210">
      <w:pPr>
        <w:tabs>
          <w:tab w:val="left" w:pos="1440"/>
        </w:tabs>
        <w:suppressAutoHyphens/>
        <w:spacing w:line="240" w:lineRule="atLeast"/>
        <w:rPr>
          <w:szCs w:val="22"/>
        </w:rPr>
      </w:pPr>
    </w:p>
    <w:p w:rsidR="00B5459C" w:rsidRDefault="008E7210" w:rsidP="00B5459C">
      <w:pPr>
        <w:pStyle w:val="EndnoteText"/>
        <w:jc w:val="center"/>
        <w:rPr>
          <w:b/>
          <w:sz w:val="22"/>
          <w:szCs w:val="22"/>
        </w:rPr>
      </w:pPr>
      <w:r>
        <w:br w:type="page"/>
      </w:r>
      <w:r w:rsidR="00B5459C">
        <w:rPr>
          <w:b/>
          <w:sz w:val="22"/>
          <w:szCs w:val="22"/>
        </w:rPr>
        <w:t>ATTACHMENT H</w:t>
      </w:r>
    </w:p>
    <w:p w:rsidR="00B5459C" w:rsidRDefault="00B5459C" w:rsidP="00B5459C">
      <w:pPr>
        <w:pStyle w:val="EndnoteText"/>
        <w:jc w:val="center"/>
        <w:rPr>
          <w:b/>
          <w:sz w:val="22"/>
          <w:szCs w:val="22"/>
        </w:rPr>
      </w:pPr>
    </w:p>
    <w:p w:rsidR="00B5459C" w:rsidRDefault="00B5459C" w:rsidP="00B5459C">
      <w:pPr>
        <w:pStyle w:val="EndnoteText"/>
        <w:jc w:val="center"/>
        <w:rPr>
          <w:b/>
          <w:sz w:val="22"/>
          <w:szCs w:val="22"/>
        </w:rPr>
      </w:pPr>
      <w:r>
        <w:rPr>
          <w:b/>
          <w:sz w:val="22"/>
          <w:szCs w:val="22"/>
        </w:rPr>
        <w:t>Rule Changes</w:t>
      </w:r>
    </w:p>
    <w:p w:rsidR="00B5459C" w:rsidRDefault="00B5459C" w:rsidP="00B5459C">
      <w:pPr>
        <w:pStyle w:val="EndnoteText"/>
        <w:rPr>
          <w:sz w:val="22"/>
          <w:szCs w:val="22"/>
        </w:rPr>
      </w:pPr>
    </w:p>
    <w:p w:rsidR="00B5459C" w:rsidRDefault="00B5459C" w:rsidP="00B5459C">
      <w:pPr>
        <w:pStyle w:val="EndnoteText"/>
        <w:rPr>
          <w:sz w:val="22"/>
          <w:szCs w:val="22"/>
        </w:rPr>
      </w:pPr>
      <w:r>
        <w:rPr>
          <w:sz w:val="22"/>
          <w:szCs w:val="22"/>
        </w:rPr>
        <w:t>Part 1 of Title 47 of the Code of Federal Regulations is amended to read as follows:</w:t>
      </w:r>
    </w:p>
    <w:p w:rsidR="00B5459C" w:rsidRDefault="00B5459C" w:rsidP="00B5459C">
      <w:pPr>
        <w:pStyle w:val="EndnoteText"/>
        <w:rPr>
          <w:sz w:val="22"/>
          <w:szCs w:val="22"/>
        </w:rPr>
      </w:pPr>
    </w:p>
    <w:p w:rsidR="00B5459C" w:rsidRDefault="00B5459C" w:rsidP="00B5459C">
      <w:pPr>
        <w:pStyle w:val="EndnoteText"/>
        <w:rPr>
          <w:b/>
          <w:sz w:val="22"/>
          <w:szCs w:val="22"/>
        </w:rPr>
      </w:pPr>
      <w:r>
        <w:rPr>
          <w:b/>
          <w:sz w:val="22"/>
          <w:szCs w:val="22"/>
        </w:rPr>
        <w:t>PART 1 – PRACTICE AND PROCEDURE</w:t>
      </w:r>
    </w:p>
    <w:p w:rsidR="00B5459C" w:rsidRDefault="00B5459C" w:rsidP="00B5459C">
      <w:pPr>
        <w:pStyle w:val="EndnoteText"/>
        <w:rPr>
          <w:sz w:val="22"/>
          <w:szCs w:val="22"/>
        </w:rPr>
      </w:pPr>
    </w:p>
    <w:p w:rsidR="00B5459C" w:rsidRDefault="00B5459C" w:rsidP="00B5459C">
      <w:pPr>
        <w:pStyle w:val="EndnoteText"/>
        <w:tabs>
          <w:tab w:val="left" w:pos="720"/>
        </w:tabs>
        <w:rPr>
          <w:sz w:val="22"/>
          <w:szCs w:val="22"/>
        </w:rPr>
      </w:pPr>
      <w:r>
        <w:rPr>
          <w:sz w:val="22"/>
          <w:szCs w:val="22"/>
        </w:rPr>
        <w:t>1.</w:t>
      </w:r>
      <w:r>
        <w:rPr>
          <w:sz w:val="22"/>
          <w:szCs w:val="22"/>
        </w:rPr>
        <w:tab/>
        <w:t xml:space="preserve">The authority citation for part 1 continues to read as follows:                                                       </w:t>
      </w:r>
    </w:p>
    <w:p w:rsidR="00B5459C" w:rsidRDefault="00B5459C" w:rsidP="00B5459C">
      <w:pPr>
        <w:pStyle w:val="EndnoteText"/>
        <w:rPr>
          <w:sz w:val="22"/>
          <w:szCs w:val="22"/>
        </w:rPr>
      </w:pPr>
      <w:r>
        <w:rPr>
          <w:sz w:val="22"/>
          <w:szCs w:val="22"/>
        </w:rPr>
        <w:tab/>
        <w:t xml:space="preserve">Authority:  15 U.S.C. 79 </w:t>
      </w:r>
      <w:r>
        <w:rPr>
          <w:i/>
          <w:sz w:val="22"/>
          <w:szCs w:val="22"/>
        </w:rPr>
        <w:t>et seq.</w:t>
      </w:r>
      <w:r>
        <w:rPr>
          <w:sz w:val="22"/>
          <w:szCs w:val="22"/>
        </w:rPr>
        <w:t>; 47 U.S.C. 151, 154(i), 154(j), 155, 157, 225, 303(r), 309.</w:t>
      </w:r>
    </w:p>
    <w:p w:rsidR="00B5459C" w:rsidRDefault="00B5459C" w:rsidP="00B5459C">
      <w:pPr>
        <w:pStyle w:val="EndnoteText"/>
        <w:rPr>
          <w:sz w:val="22"/>
          <w:szCs w:val="22"/>
        </w:rPr>
      </w:pPr>
    </w:p>
    <w:p w:rsidR="00B5459C" w:rsidRDefault="00B5459C" w:rsidP="00B5459C">
      <w:pPr>
        <w:pStyle w:val="EndnoteText"/>
        <w:tabs>
          <w:tab w:val="left" w:pos="720"/>
        </w:tabs>
        <w:rPr>
          <w:sz w:val="22"/>
          <w:szCs w:val="22"/>
        </w:rPr>
      </w:pPr>
      <w:r>
        <w:rPr>
          <w:sz w:val="22"/>
          <w:szCs w:val="22"/>
        </w:rPr>
        <w:t xml:space="preserve">2.   </w:t>
      </w:r>
      <w:r>
        <w:rPr>
          <w:sz w:val="22"/>
          <w:szCs w:val="22"/>
        </w:rPr>
        <w:tab/>
        <w:t>Section 1.1152 is revised to read as follows:</w:t>
      </w:r>
    </w:p>
    <w:p w:rsidR="00B5459C" w:rsidRDefault="00B5459C" w:rsidP="00B5459C">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 xml:space="preserve">   </w:t>
      </w:r>
    </w:p>
    <w:p w:rsidR="00B5459C" w:rsidRDefault="00B5459C" w:rsidP="00B5459C">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 1.1152  Schedule of annual regulatory fees and filing locations for wireless radio services.</w:t>
      </w:r>
    </w:p>
    <w:p w:rsidR="00B5459C" w:rsidRDefault="00B5459C" w:rsidP="00B5459C">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 xml:space="preserve">                     </w:t>
      </w:r>
    </w:p>
    <w:p w:rsidR="00B5459C" w:rsidRDefault="00B5459C" w:rsidP="00B5459C">
      <w:pPr>
        <w:tabs>
          <w:tab w:val="left" w:pos="-1440"/>
          <w:tab w:val="left" w:pos="-720"/>
          <w:tab w:val="left" w:pos="0"/>
          <w:tab w:val="left" w:pos="720"/>
          <w:tab w:val="left" w:pos="1440"/>
          <w:tab w:val="left" w:pos="2160"/>
          <w:tab w:val="left" w:pos="2880"/>
          <w:tab w:val="left" w:pos="3600"/>
          <w:tab w:val="left" w:pos="4320"/>
          <w:tab w:val="left" w:pos="4860"/>
          <w:tab w:val="left" w:pos="5760"/>
          <w:tab w:val="left" w:pos="6480"/>
          <w:tab w:val="left" w:pos="6840"/>
          <w:tab w:val="left" w:pos="7920"/>
        </w:tabs>
        <w:suppressAutoHyphens/>
        <w:jc w:val="both"/>
        <w:rPr>
          <w:spacing w:val="-3"/>
          <w:szCs w:val="22"/>
        </w:rPr>
      </w:pPr>
      <w:r>
        <w:rPr>
          <w:b/>
          <w:spacing w:val="-3"/>
          <w:szCs w:val="22"/>
        </w:rPr>
        <w:t>Exclusive use services (per license)</w:t>
      </w:r>
      <w:r>
        <w:rPr>
          <w:b/>
          <w:spacing w:val="-3"/>
          <w:szCs w:val="22"/>
        </w:rPr>
        <w:tab/>
      </w:r>
      <w:r>
        <w:rPr>
          <w:b/>
          <w:spacing w:val="-3"/>
          <w:szCs w:val="22"/>
        </w:rPr>
        <w:tab/>
      </w:r>
      <w:r>
        <w:rPr>
          <w:b/>
          <w:spacing w:val="-3"/>
          <w:szCs w:val="22"/>
        </w:rPr>
        <w:tab/>
        <w:t>Fee Amount</w:t>
      </w:r>
      <w:r>
        <w:rPr>
          <w:spacing w:val="-3"/>
          <w:szCs w:val="22"/>
        </w:rPr>
        <w:t xml:space="preserve"> </w:t>
      </w:r>
      <w:r>
        <w:rPr>
          <w:rStyle w:val="FootnoteReference"/>
          <w:spacing w:val="-2"/>
          <w:szCs w:val="22"/>
        </w:rPr>
        <w:footnoteReference w:id="183"/>
      </w:r>
      <w:r>
        <w:rPr>
          <w:b/>
          <w:spacing w:val="-3"/>
          <w:szCs w:val="22"/>
        </w:rPr>
        <w:tab/>
      </w:r>
      <w:r>
        <w:rPr>
          <w:b/>
          <w:spacing w:val="-3"/>
          <w:szCs w:val="22"/>
        </w:rPr>
        <w:tab/>
        <w:t>Address</w:t>
      </w:r>
      <w:r>
        <w:rPr>
          <w:spacing w:val="-3"/>
          <w:szCs w:val="22"/>
        </w:rPr>
        <w:t xml:space="preserve">  </w:t>
      </w:r>
    </w:p>
    <w:p w:rsidR="00B5459C" w:rsidRDefault="00B5459C" w:rsidP="00B5459C">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3"/>
          <w:szCs w:val="22"/>
        </w:rPr>
      </w:pPr>
    </w:p>
    <w:p w:rsidR="00B5459C" w:rsidRDefault="00B5459C" w:rsidP="00B5459C">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rPr>
          <w:spacing w:val="-3"/>
          <w:szCs w:val="22"/>
        </w:rPr>
      </w:pPr>
      <w:r>
        <w:rPr>
          <w:b/>
          <w:spacing w:val="-3"/>
          <w:szCs w:val="22"/>
        </w:rPr>
        <w:t>1.</w:t>
      </w:r>
      <w:r>
        <w:rPr>
          <w:b/>
          <w:spacing w:val="-3"/>
          <w:szCs w:val="22"/>
        </w:rPr>
        <w:tab/>
        <w:t xml:space="preserve">Land </w:t>
      </w:r>
      <w:smartTag w:uri="urn:schemas-microsoft-com:office:smarttags" w:element="place">
        <w:smartTag w:uri="urn:schemas-microsoft-com:office:smarttags" w:element="City">
          <w:r>
            <w:rPr>
              <w:b/>
              <w:spacing w:val="-3"/>
              <w:szCs w:val="22"/>
            </w:rPr>
            <w:t>Mobile</w:t>
          </w:r>
        </w:smartTag>
      </w:smartTag>
      <w:r>
        <w:rPr>
          <w:b/>
          <w:spacing w:val="-3"/>
          <w:szCs w:val="22"/>
        </w:rPr>
        <w:t xml:space="preserve"> (Above 470</w:t>
      </w:r>
    </w:p>
    <w:p w:rsidR="00B5459C" w:rsidRDefault="00B5459C" w:rsidP="00B5459C">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rPr>
          <w:b/>
          <w:spacing w:val="-3"/>
          <w:szCs w:val="22"/>
        </w:rPr>
      </w:pPr>
      <w:r>
        <w:rPr>
          <w:b/>
          <w:spacing w:val="-3"/>
          <w:szCs w:val="22"/>
        </w:rPr>
        <w:tab/>
        <w:t>MHz and 220 MHz Local,</w:t>
      </w:r>
    </w:p>
    <w:p w:rsidR="00B5459C" w:rsidRDefault="00B5459C" w:rsidP="00B5459C">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rPr>
          <w:b/>
          <w:spacing w:val="-3"/>
          <w:szCs w:val="22"/>
        </w:rPr>
      </w:pPr>
      <w:r>
        <w:rPr>
          <w:b/>
          <w:spacing w:val="-3"/>
          <w:szCs w:val="22"/>
        </w:rPr>
        <w:tab/>
        <w:t>Base Station &amp; SMRS)</w:t>
      </w:r>
    </w:p>
    <w:p w:rsidR="00B5459C" w:rsidRDefault="00B5459C" w:rsidP="00B5459C">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3"/>
          <w:szCs w:val="22"/>
        </w:rPr>
      </w:pPr>
      <w:r>
        <w:rPr>
          <w:b/>
          <w:spacing w:val="-3"/>
          <w:szCs w:val="22"/>
        </w:rPr>
        <w:tab/>
        <w:t>(47 CFR part 90)</w:t>
      </w:r>
    </w:p>
    <w:p w:rsidR="00B5459C" w:rsidRDefault="00B5459C" w:rsidP="00B5459C">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Renew/Mod</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 New, Renew/Mod</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d)Renewal Only</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w:t>
      </w:r>
      <w:r>
        <w:rPr>
          <w:b/>
          <w:spacing w:val="-3"/>
          <w:szCs w:val="22"/>
        </w:rPr>
        <w:t>220 MHz Nationwide</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Renew/Mod</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Renew/Mod</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c)Renewal Only</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d)Renewal Only</w:t>
      </w:r>
      <w:r>
        <w:rPr>
          <w:spacing w:val="-3"/>
          <w:szCs w:val="22"/>
        </w:rPr>
        <w:tab/>
        <w:t>$40.00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b/>
          <w:spacing w:val="-3"/>
          <w:szCs w:val="22"/>
        </w:rPr>
        <w:t>2.</w:t>
      </w:r>
      <w:r>
        <w:rPr>
          <w:b/>
          <w:spacing w:val="-3"/>
          <w:szCs w:val="22"/>
        </w:rPr>
        <w:tab/>
        <w:t>Microwave (47 CFR Pt. 101) (Private)</w:t>
      </w: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w:t>
      </w:r>
      <w:r>
        <w:rPr>
          <w:spacing w:val="-3"/>
          <w:szCs w:val="22"/>
        </w:rPr>
        <w:tab/>
        <w:t>a)New, Renew/Mod</w:t>
      </w:r>
      <w:r>
        <w:rPr>
          <w:spacing w:val="-3"/>
          <w:szCs w:val="22"/>
        </w:rPr>
        <w:tab/>
        <w:t>$20.00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Renew/Mod</w:t>
      </w:r>
      <w:r>
        <w:rPr>
          <w:spacing w:val="-3"/>
          <w:szCs w:val="22"/>
        </w:rPr>
        <w:tab/>
        <w:t>$20.00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p>
    <w:p w:rsidR="00B5459C" w:rsidRDefault="00B5459C" w:rsidP="00B5459C">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$20.00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d)Renewal Only</w:t>
      </w:r>
      <w:r>
        <w:rPr>
          <w:spacing w:val="-3"/>
          <w:szCs w:val="22"/>
        </w:rPr>
        <w:tab/>
        <w:t>$20.00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b/>
          <w:spacing w:val="-3"/>
          <w:szCs w:val="22"/>
        </w:rPr>
        <w:t>3.  218-219 MHz Service</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Renew/Mod</w:t>
      </w:r>
      <w:r>
        <w:rPr>
          <w:spacing w:val="-3"/>
          <w:szCs w:val="22"/>
        </w:rPr>
        <w:tab/>
        <w:t>$75.00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w:t>
      </w:r>
    </w:p>
    <w:p w:rsidR="00B5459C" w:rsidRDefault="00B5459C" w:rsidP="00B5459C">
      <w:pPr>
        <w:tabs>
          <w:tab w:val="left" w:pos="540"/>
          <w:tab w:val="left" w:pos="4860"/>
          <w:tab w:val="left" w:pos="6840"/>
        </w:tabs>
        <w:suppressAutoHyphens/>
        <w:ind w:firstLine="540"/>
        <w:jc w:val="both"/>
        <w:rPr>
          <w:spacing w:val="-3"/>
          <w:szCs w:val="22"/>
        </w:rPr>
      </w:pPr>
      <w:r>
        <w:rPr>
          <w:spacing w:val="-3"/>
          <w:szCs w:val="22"/>
        </w:rPr>
        <w:t xml:space="preserve"> b)New, Renew/Mod</w:t>
      </w:r>
      <w:r>
        <w:rPr>
          <w:spacing w:val="-3"/>
          <w:szCs w:val="22"/>
        </w:rPr>
        <w:tab/>
        <w:t>$75.00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$75.00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d)Renewal Only</w:t>
      </w:r>
      <w:r>
        <w:rPr>
          <w:spacing w:val="-3"/>
          <w:szCs w:val="22"/>
        </w:rPr>
        <w:tab/>
        <w:t>$75.00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b/>
          <w:spacing w:val="-3"/>
          <w:szCs w:val="22"/>
        </w:rPr>
      </w:pPr>
    </w:p>
    <w:p w:rsidR="00B5459C" w:rsidRDefault="00B5459C" w:rsidP="00B5459C">
      <w:pPr>
        <w:tabs>
          <w:tab w:val="left" w:pos="540"/>
          <w:tab w:val="left" w:pos="4860"/>
          <w:tab w:val="left" w:pos="6840"/>
        </w:tabs>
        <w:suppressAutoHyphens/>
        <w:jc w:val="both"/>
        <w:outlineLvl w:val="0"/>
        <w:rPr>
          <w:spacing w:val="-3"/>
          <w:szCs w:val="22"/>
        </w:rPr>
      </w:pPr>
      <w:r>
        <w:rPr>
          <w:b/>
          <w:spacing w:val="-3"/>
          <w:szCs w:val="22"/>
        </w:rPr>
        <w:t>4.  Shared Use Services</w:t>
      </w:r>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outlineLvl w:val="0"/>
        <w:rPr>
          <w:b/>
          <w:spacing w:val="-3"/>
          <w:szCs w:val="22"/>
        </w:rPr>
      </w:pPr>
      <w:r>
        <w:rPr>
          <w:spacing w:val="-3"/>
          <w:szCs w:val="22"/>
        </w:rPr>
        <w:t xml:space="preserve">          </w:t>
      </w:r>
      <w:r>
        <w:rPr>
          <w:b/>
          <w:spacing w:val="-3"/>
          <w:szCs w:val="22"/>
        </w:rPr>
        <w:t xml:space="preserve">Land </w:t>
      </w:r>
      <w:smartTag w:uri="urn:schemas-microsoft-com:office:smarttags" w:element="place">
        <w:smartTag w:uri="urn:schemas-microsoft-com:office:smarttags" w:element="City">
          <w:r>
            <w:rPr>
              <w:b/>
              <w:spacing w:val="-3"/>
              <w:szCs w:val="22"/>
            </w:rPr>
            <w:t>Mobile</w:t>
          </w:r>
        </w:smartTag>
      </w:smartTag>
      <w:r>
        <w:rPr>
          <w:b/>
          <w:spacing w:val="-3"/>
          <w:szCs w:val="22"/>
        </w:rPr>
        <w:t xml:space="preserve"> (Frequencies</w:t>
      </w:r>
    </w:p>
    <w:p w:rsidR="00B5459C" w:rsidRDefault="00B5459C" w:rsidP="00B5459C">
      <w:pPr>
        <w:tabs>
          <w:tab w:val="left" w:pos="540"/>
          <w:tab w:val="left" w:pos="4860"/>
          <w:tab w:val="left" w:pos="6840"/>
        </w:tabs>
        <w:suppressAutoHyphens/>
        <w:jc w:val="both"/>
        <w:outlineLvl w:val="0"/>
        <w:rPr>
          <w:b/>
          <w:spacing w:val="-3"/>
          <w:szCs w:val="22"/>
        </w:rPr>
      </w:pPr>
      <w:r>
        <w:rPr>
          <w:spacing w:val="-3"/>
          <w:szCs w:val="22"/>
        </w:rPr>
        <w:t xml:space="preserve">          </w:t>
      </w:r>
      <w:r>
        <w:rPr>
          <w:b/>
          <w:spacing w:val="-3"/>
          <w:szCs w:val="22"/>
        </w:rPr>
        <w:t>Below 470 MHz – except</w:t>
      </w:r>
    </w:p>
    <w:p w:rsidR="00B5459C" w:rsidRDefault="00B5459C" w:rsidP="00B5459C">
      <w:pPr>
        <w:tabs>
          <w:tab w:val="left" w:pos="540"/>
          <w:tab w:val="left" w:pos="4860"/>
          <w:tab w:val="left" w:pos="6840"/>
        </w:tabs>
        <w:suppressAutoHyphens/>
        <w:jc w:val="both"/>
        <w:outlineLvl w:val="0"/>
        <w:rPr>
          <w:b/>
          <w:spacing w:val="-3"/>
          <w:szCs w:val="22"/>
        </w:rPr>
      </w:pPr>
      <w:r>
        <w:rPr>
          <w:b/>
          <w:spacing w:val="-3"/>
          <w:szCs w:val="22"/>
        </w:rPr>
        <w:t xml:space="preserve">           220 MHz)</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Renew/Mod</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b) New, Renew/Mod</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c)Renewal Only</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d)Renewal Only</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spacing w:val="-3"/>
          <w:szCs w:val="22"/>
        </w:rPr>
        <w:tab/>
      </w:r>
      <w:r>
        <w:rPr>
          <w:b/>
          <w:spacing w:val="-3"/>
          <w:szCs w:val="22"/>
        </w:rPr>
        <w:t>General Mobile Radio Service</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Renew/Mod</w:t>
      </w:r>
      <w:r>
        <w:rPr>
          <w:spacing w:val="-3"/>
          <w:szCs w:val="22"/>
        </w:rPr>
        <w:tab/>
        <w:t>$5.00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w:t>
      </w:r>
      <w:r>
        <w:rPr>
          <w:spacing w:val="-3"/>
          <w:szCs w:val="22"/>
        </w:rPr>
        <w:tab/>
        <w:t xml:space="preserve">  (FCC 605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Renew/Mod</w:t>
      </w:r>
      <w:r>
        <w:rPr>
          <w:spacing w:val="-3"/>
          <w:szCs w:val="22"/>
        </w:rPr>
        <w:tab/>
        <w:t>$5.00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w:t>
      </w: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w:t>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c)Renewal Only</w:t>
      </w:r>
      <w:r>
        <w:rPr>
          <w:spacing w:val="-3"/>
          <w:szCs w:val="22"/>
        </w:rPr>
        <w:tab/>
        <w:t>$5.00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ind w:left="540"/>
        <w:jc w:val="both"/>
        <w:rPr>
          <w:spacing w:val="-3"/>
          <w:szCs w:val="22"/>
        </w:rPr>
      </w:pPr>
      <w:r>
        <w:rPr>
          <w:spacing w:val="-3"/>
          <w:szCs w:val="22"/>
        </w:rPr>
        <w:t>d)Renewal Only</w:t>
      </w:r>
      <w:r>
        <w:rPr>
          <w:spacing w:val="-3"/>
          <w:szCs w:val="22"/>
        </w:rPr>
        <w:tab/>
        <w:t>$5.00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spacing w:val="-3"/>
          <w:szCs w:val="22"/>
        </w:rPr>
        <w:tab/>
      </w:r>
      <w:r>
        <w:rPr>
          <w:b/>
          <w:spacing w:val="-3"/>
          <w:szCs w:val="22"/>
        </w:rPr>
        <w:t>Rural Radio (Part 22)</w:t>
      </w:r>
    </w:p>
    <w:p w:rsidR="00B5459C" w:rsidRDefault="00B5459C" w:rsidP="00B5459C">
      <w:pPr>
        <w:tabs>
          <w:tab w:val="left" w:pos="540"/>
          <w:tab w:val="left" w:pos="4860"/>
          <w:tab w:val="left" w:pos="6840"/>
        </w:tabs>
        <w:suppressAutoHyphens/>
        <w:jc w:val="both"/>
        <w:rPr>
          <w:spacing w:val="-3"/>
          <w:szCs w:val="22"/>
        </w:rPr>
      </w:pPr>
      <w:r>
        <w:rPr>
          <w:spacing w:val="-3"/>
          <w:szCs w:val="22"/>
        </w:rPr>
        <w:tab/>
        <w:t>a)New, Additional Facility,</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Major Renew/Mod</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63197-9000</w:t>
      </w:r>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b)Renewal, Minor Renew/Mod</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ind w:left="540"/>
        <w:jc w:val="both"/>
        <w:outlineLvl w:val="0"/>
        <w:rPr>
          <w:spacing w:val="-3"/>
          <w:szCs w:val="22"/>
        </w:rPr>
      </w:pPr>
      <w:smartTag w:uri="urn:schemas-microsoft-com:office:smarttags" w:element="place">
        <w:smartTag w:uri="urn:schemas-microsoft-com:office:smarttags" w:element="PlaceName">
          <w:r>
            <w:rPr>
              <w:b/>
              <w:spacing w:val="-3"/>
              <w:szCs w:val="22"/>
            </w:rPr>
            <w:t>Marine</w:t>
          </w:r>
        </w:smartTag>
        <w:r>
          <w:rPr>
            <w:b/>
            <w:spacing w:val="-3"/>
            <w:szCs w:val="22"/>
          </w:rPr>
          <w:t xml:space="preserve"> </w:t>
        </w:r>
        <w:smartTag w:uri="urn:schemas-microsoft-com:office:smarttags" w:element="PlaceType">
          <w:r>
            <w:rPr>
              <w:b/>
              <w:spacing w:val="-3"/>
              <w:szCs w:val="22"/>
            </w:rPr>
            <w:t>Coast</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t>a)New Renewal/Mod</w:t>
      </w:r>
      <w:r>
        <w:rPr>
          <w:spacing w:val="-3"/>
          <w:szCs w:val="22"/>
        </w:rPr>
        <w:tab/>
        <w:t>$55.00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Renewal/Mod</w:t>
      </w:r>
      <w:r>
        <w:rPr>
          <w:spacing w:val="-3"/>
          <w:szCs w:val="22"/>
        </w:rPr>
        <w:tab/>
        <w:t>$55.00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p>
    <w:p w:rsidR="00B5459C" w:rsidRDefault="00B5459C" w:rsidP="00B5459C">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$55.00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d)Renewal Only</w:t>
      </w:r>
      <w:r>
        <w:rPr>
          <w:spacing w:val="-3"/>
          <w:szCs w:val="22"/>
        </w:rPr>
        <w:tab/>
        <w:t>$55.00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spacing w:val="-3"/>
          <w:szCs w:val="22"/>
        </w:rPr>
        <w:tab/>
      </w:r>
      <w:r>
        <w:rPr>
          <w:b/>
          <w:spacing w:val="-3"/>
          <w:szCs w:val="22"/>
        </w:rPr>
        <w:t>Aviation Ground</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Renewal/Mod</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Renewal/Mod</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c)Renewal Only</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d)Renewal Only</w:t>
      </w:r>
      <w:r>
        <w:rPr>
          <w:spacing w:val="-3"/>
          <w:szCs w:val="22"/>
        </w:rPr>
        <w:tab/>
        <w:t>$15.00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Only)</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spacing w:val="-3"/>
          <w:szCs w:val="22"/>
        </w:rPr>
        <w:tab/>
      </w:r>
      <w:r>
        <w:rPr>
          <w:b/>
          <w:spacing w:val="-3"/>
          <w:szCs w:val="22"/>
        </w:rPr>
        <w:t>Marine Ship</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Renewal/Mod</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Renewal/Mod</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c)Renewal Only</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d)Renewal Only</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B5459C" w:rsidRDefault="00B5459C" w:rsidP="00B5459C">
      <w:pPr>
        <w:tabs>
          <w:tab w:val="left" w:pos="540"/>
          <w:tab w:val="left" w:pos="4860"/>
          <w:tab w:val="left" w:pos="6840"/>
        </w:tabs>
        <w:suppressAutoHyphens/>
        <w:jc w:val="both"/>
        <w:outlineLvl w:val="0"/>
        <w:rPr>
          <w:spacing w:val="-3"/>
          <w:szCs w:val="22"/>
        </w:rPr>
      </w:pPr>
      <w:r>
        <w:rPr>
          <w:spacing w:val="-3"/>
          <w:szCs w:val="22"/>
        </w:rPr>
        <w:tab/>
      </w:r>
      <w:r>
        <w:rPr>
          <w:b/>
          <w:spacing w:val="-3"/>
          <w:szCs w:val="22"/>
        </w:rPr>
        <w:t>Aviation Aircraft</w:t>
      </w:r>
    </w:p>
    <w:p w:rsidR="00B5459C" w:rsidRDefault="00B5459C" w:rsidP="00B5459C">
      <w:pPr>
        <w:tabs>
          <w:tab w:val="left" w:pos="540"/>
          <w:tab w:val="left" w:pos="4860"/>
          <w:tab w:val="left" w:pos="6840"/>
        </w:tabs>
        <w:suppressAutoHyphens/>
        <w:jc w:val="both"/>
        <w:rPr>
          <w:spacing w:val="-3"/>
          <w:szCs w:val="22"/>
        </w:rPr>
      </w:pPr>
      <w:r>
        <w:rPr>
          <w:spacing w:val="-3"/>
          <w:szCs w:val="22"/>
        </w:rPr>
        <w:tab/>
        <w:t>a)New, Renew/Mod</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b)New, Renew/Mod</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c)Renewal Only</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r>
        <w:rPr>
          <w:spacing w:val="-3"/>
          <w:szCs w:val="22"/>
        </w:rPr>
        <w:tab/>
      </w:r>
    </w:p>
    <w:p w:rsidR="00B5459C" w:rsidRDefault="00B5459C" w:rsidP="00B5459C">
      <w:pPr>
        <w:tabs>
          <w:tab w:val="left" w:pos="540"/>
          <w:tab w:val="left" w:pos="4860"/>
          <w:tab w:val="left" w:pos="6840"/>
        </w:tabs>
        <w:suppressAutoHyphens/>
        <w:jc w:val="both"/>
        <w:rPr>
          <w:spacing w:val="-3"/>
          <w:szCs w:val="22"/>
        </w:rPr>
      </w:pPr>
      <w:r>
        <w:rPr>
          <w:spacing w:val="-3"/>
          <w:szCs w:val="22"/>
        </w:rPr>
        <w:tab/>
        <w:t>d)Renewal Only</w:t>
      </w:r>
      <w:r>
        <w:rPr>
          <w:spacing w:val="-3"/>
          <w:szCs w:val="22"/>
        </w:rPr>
        <w:tab/>
        <w:t>$10.00</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b/>
          <w:spacing w:val="-3"/>
          <w:szCs w:val="22"/>
        </w:rPr>
        <w:t>5.  Amateur Vanity Call Signs</w:t>
      </w:r>
      <w:r>
        <w:rPr>
          <w:spacing w:val="-3"/>
          <w:szCs w:val="22"/>
        </w:rPr>
        <w:tab/>
        <w:t>$1.61</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a)Initial or Renew</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r>
        <w:rPr>
          <w:spacing w:val="-3"/>
          <w:szCs w:val="22"/>
        </w:rPr>
        <w:t xml:space="preserve"> </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spacing w:val="-3"/>
          <w:szCs w:val="22"/>
        </w:rPr>
        <w:tab/>
        <w:t>b)Initial or Renew</w:t>
      </w:r>
      <w:r>
        <w:rPr>
          <w:spacing w:val="-3"/>
          <w:szCs w:val="22"/>
        </w:rPr>
        <w:tab/>
        <w:t>$1.61</w:t>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r>
        <w:rPr>
          <w:spacing w:val="-3"/>
          <w:szCs w:val="22"/>
        </w:rPr>
        <w:tab/>
      </w:r>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b/>
          <w:spacing w:val="-3"/>
          <w:szCs w:val="22"/>
        </w:rPr>
        <w:t>6.  CMRS Cellular/Mobile Services</w:t>
      </w:r>
      <w:r>
        <w:rPr>
          <w:spacing w:val="-3"/>
          <w:szCs w:val="22"/>
        </w:rPr>
        <w:tab/>
        <w:t>$ .18</w:t>
      </w:r>
      <w:r>
        <w:rPr>
          <w:rStyle w:val="FootnoteReference"/>
          <w:spacing w:val="-3"/>
          <w:szCs w:val="22"/>
        </w:rPr>
        <w:footnoteReference w:id="184"/>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b/>
          <w:spacing w:val="-3"/>
          <w:szCs w:val="22"/>
        </w:rPr>
        <w:t xml:space="preserve">     (per unit)</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(FCC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b/>
          <w:spacing w:val="-3"/>
          <w:szCs w:val="22"/>
        </w:rPr>
        <w:t>7.  CMRS Messaging Services</w:t>
      </w:r>
      <w:r>
        <w:rPr>
          <w:spacing w:val="-3"/>
          <w:szCs w:val="22"/>
        </w:rPr>
        <w:tab/>
        <w:t>$ .08</w:t>
      </w:r>
      <w:r>
        <w:rPr>
          <w:rStyle w:val="FootnoteReference"/>
          <w:spacing w:val="-3"/>
          <w:szCs w:val="22"/>
        </w:rPr>
        <w:footnoteReference w:id="185"/>
      </w:r>
      <w:r>
        <w:rPr>
          <w:spacing w:val="-3"/>
          <w:szCs w:val="22"/>
        </w:rPr>
        <w:tab/>
        <w:t>FCC</w:t>
      </w:r>
    </w:p>
    <w:p w:rsidR="00B5459C" w:rsidRDefault="00B5459C" w:rsidP="00B5459C">
      <w:pPr>
        <w:tabs>
          <w:tab w:val="left" w:pos="540"/>
          <w:tab w:val="left" w:pos="4860"/>
          <w:tab w:val="left" w:pos="6840"/>
        </w:tabs>
        <w:suppressAutoHyphens/>
        <w:jc w:val="both"/>
        <w:rPr>
          <w:spacing w:val="-3"/>
          <w:szCs w:val="22"/>
        </w:rPr>
      </w:pPr>
      <w:r>
        <w:rPr>
          <w:b/>
          <w:spacing w:val="-3"/>
          <w:szCs w:val="22"/>
        </w:rPr>
        <w:t xml:space="preserve">     (per unit)</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p>
    <w:p w:rsidR="00B5459C" w:rsidRDefault="00B5459C" w:rsidP="00B5459C">
      <w:pPr>
        <w:tabs>
          <w:tab w:val="left" w:pos="540"/>
          <w:tab w:val="left" w:pos="4860"/>
          <w:tab w:val="left" w:pos="6840"/>
        </w:tabs>
        <w:suppressAutoHyphens/>
        <w:jc w:val="both"/>
        <w:rPr>
          <w:spacing w:val="-3"/>
          <w:szCs w:val="22"/>
        </w:rPr>
      </w:pPr>
      <w:r>
        <w:rPr>
          <w:spacing w:val="-3"/>
          <w:szCs w:val="22"/>
        </w:rPr>
        <w:t xml:space="preserve">     (FCC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8. Broadband Radio Service</w:t>
      </w:r>
      <w:r>
        <w:rPr>
          <w:spacing w:val="-3"/>
          <w:szCs w:val="22"/>
        </w:rPr>
        <w:tab/>
        <w:t xml:space="preserve">     $  510</w:t>
      </w:r>
      <w:r>
        <w:rPr>
          <w:spacing w:val="-3"/>
          <w:szCs w:val="22"/>
        </w:rPr>
        <w:tab/>
        <w:t xml:space="preserve">       FCC</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 xml:space="preserve">    (formerly MMDS and  MDS)</w:t>
      </w:r>
      <w:r>
        <w:rPr>
          <w:spacing w:val="-3"/>
          <w:szCs w:val="22"/>
        </w:rPr>
        <w:tab/>
      </w:r>
      <w:r>
        <w:rPr>
          <w:spacing w:val="-3"/>
          <w:szCs w:val="22"/>
        </w:rPr>
        <w:tab/>
        <w:t xml:space="preserve">       </w:t>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 xml:space="preserve">       </w:t>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9. Local Multipoint Distribution Service</w:t>
      </w:r>
      <w:r>
        <w:rPr>
          <w:spacing w:val="-3"/>
          <w:szCs w:val="22"/>
        </w:rPr>
        <w:tab/>
        <w:t>$  510</w:t>
      </w:r>
      <w:r>
        <w:rPr>
          <w:spacing w:val="-3"/>
          <w:szCs w:val="22"/>
        </w:rPr>
        <w:tab/>
        <w:t xml:space="preserve">       FCC, ,</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 xml:space="preserve">    </w:t>
      </w:r>
      <w:r>
        <w:rPr>
          <w:spacing w:val="-3"/>
          <w:szCs w:val="22"/>
        </w:rPr>
        <w:tab/>
      </w:r>
      <w:r>
        <w:rPr>
          <w:spacing w:val="-3"/>
          <w:szCs w:val="22"/>
        </w:rPr>
        <w:tab/>
      </w:r>
      <w:r>
        <w:rPr>
          <w:spacing w:val="-3"/>
          <w:szCs w:val="22"/>
        </w:rPr>
        <w:tab/>
        <w:t xml:space="preserve">       </w:t>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 xml:space="preserve">       </w:t>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720"/>
          <w:tab w:val="left" w:pos="4860"/>
          <w:tab w:val="left" w:pos="6840"/>
        </w:tabs>
        <w:suppressAutoHyphens/>
        <w:jc w:val="both"/>
        <w:rPr>
          <w:spacing w:val="-3"/>
          <w:szCs w:val="22"/>
        </w:rPr>
      </w:pPr>
      <w:r>
        <w:rPr>
          <w:spacing w:val="-3"/>
          <w:szCs w:val="22"/>
        </w:rPr>
        <w:t>3.   Section 1.1153 is revised to read as follows:</w:t>
      </w:r>
    </w:p>
    <w:p w:rsidR="00B5459C" w:rsidRDefault="00B5459C" w:rsidP="00B5459C">
      <w:pPr>
        <w:tabs>
          <w:tab w:val="left" w:pos="540"/>
          <w:tab w:val="left" w:pos="4860"/>
          <w:tab w:val="left" w:pos="6840"/>
        </w:tabs>
        <w:suppressAutoHyphens/>
        <w:rPr>
          <w:b/>
          <w:szCs w:val="22"/>
        </w:rPr>
      </w:pPr>
    </w:p>
    <w:p w:rsidR="00B5459C" w:rsidRDefault="00B5459C" w:rsidP="00B5459C">
      <w:pPr>
        <w:tabs>
          <w:tab w:val="left" w:pos="540"/>
          <w:tab w:val="left" w:pos="4860"/>
          <w:tab w:val="left" w:pos="6840"/>
        </w:tabs>
        <w:suppressAutoHyphens/>
        <w:rPr>
          <w:szCs w:val="22"/>
        </w:rPr>
      </w:pPr>
      <w:r>
        <w:rPr>
          <w:szCs w:val="22"/>
        </w:rPr>
        <w:t xml:space="preserve">§ 1.1153  Schedule of annual regulatory fees and filing locations for mass media services. </w:t>
      </w:r>
    </w:p>
    <w:p w:rsidR="00B5459C" w:rsidRDefault="00B5459C" w:rsidP="00B5459C">
      <w:pPr>
        <w:tabs>
          <w:tab w:val="left" w:pos="540"/>
          <w:tab w:val="left" w:pos="4860"/>
          <w:tab w:val="left" w:pos="6840"/>
        </w:tabs>
        <w:suppressAutoHyphens/>
        <w:jc w:val="both"/>
        <w:rPr>
          <w:spacing w:val="-3"/>
          <w:szCs w:val="22"/>
        </w:rPr>
      </w:pPr>
    </w:p>
    <w:p w:rsidR="00B5459C" w:rsidRDefault="00B5459C" w:rsidP="00B5459C">
      <w:pPr>
        <w:tabs>
          <w:tab w:val="left" w:pos="540"/>
          <w:tab w:val="left" w:pos="4860"/>
          <w:tab w:val="left" w:pos="6840"/>
        </w:tabs>
        <w:suppressAutoHyphens/>
        <w:jc w:val="both"/>
        <w:rPr>
          <w:spacing w:val="-3"/>
          <w:szCs w:val="22"/>
        </w:rPr>
      </w:pPr>
      <w:r>
        <w:rPr>
          <w:b/>
          <w:spacing w:val="-3"/>
          <w:szCs w:val="22"/>
        </w:rPr>
        <w:t>Radio [AM and FM] (47 CFR part 73)</w:t>
      </w:r>
      <w:r>
        <w:rPr>
          <w:b/>
          <w:spacing w:val="-3"/>
          <w:szCs w:val="22"/>
        </w:rPr>
        <w:tab/>
        <w:t>Fee Amount</w:t>
      </w:r>
      <w:r>
        <w:rPr>
          <w:b/>
          <w:spacing w:val="-3"/>
          <w:szCs w:val="22"/>
        </w:rPr>
        <w:tab/>
        <w:t>Address</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rPr>
      </w:pPr>
      <w:r>
        <w:rPr>
          <w:spacing w:val="-3"/>
          <w:szCs w:val="22"/>
        </w:rPr>
        <w:t>1.</w:t>
      </w:r>
      <w:r>
        <w:rPr>
          <w:spacing w:val="-3"/>
          <w:szCs w:val="22"/>
        </w:rPr>
        <w:tab/>
      </w:r>
      <w:r>
        <w:rPr>
          <w:spacing w:val="-3"/>
          <w:szCs w:val="22"/>
          <w:u w:val="single"/>
        </w:rPr>
        <w:t>AM Class A</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t>&lt;=25,000 population</w:t>
      </w:r>
      <w:r>
        <w:rPr>
          <w:spacing w:val="-3"/>
          <w:szCs w:val="22"/>
        </w:rPr>
        <w:tab/>
        <w:t xml:space="preserve">   $775</w:t>
      </w:r>
      <w:r>
        <w:rPr>
          <w:spacing w:val="-3"/>
          <w:szCs w:val="22"/>
        </w:rPr>
        <w:tab/>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rPr>
        <w:tab/>
      </w:r>
      <w:r>
        <w:rPr>
          <w:spacing w:val="-3"/>
          <w:szCs w:val="22"/>
          <w:lang w:val="fr-FR"/>
        </w:rPr>
        <w:t>25,001-75,000 population</w:t>
      </w:r>
      <w:r>
        <w:rPr>
          <w:spacing w:val="-3"/>
          <w:szCs w:val="22"/>
          <w:lang w:val="fr-FR"/>
        </w:rPr>
        <w:tab/>
        <w:t>$1,550</w:t>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$2,325</w:t>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$3,475</w:t>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$5,025</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$7,750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$9,300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2.</w:t>
      </w:r>
      <w:r>
        <w:rPr>
          <w:spacing w:val="-3"/>
          <w:szCs w:val="22"/>
          <w:lang w:val="fr-FR"/>
        </w:rPr>
        <w:tab/>
      </w:r>
      <w:r>
        <w:rPr>
          <w:spacing w:val="-3"/>
          <w:szCs w:val="22"/>
          <w:u w:val="single"/>
          <w:lang w:val="fr-FR"/>
        </w:rPr>
        <w:t>AM Class B</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$645</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$1,300</w:t>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$1,625</w:t>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$2,750</w:t>
      </w:r>
      <w:r>
        <w:rPr>
          <w:spacing w:val="-3"/>
          <w:szCs w:val="22"/>
          <w:lang w:val="fr-FR"/>
        </w:rPr>
        <w:tab/>
        <w:t>63197-9000</w:t>
      </w:r>
    </w:p>
    <w:p w:rsidR="00865F9E" w:rsidRDefault="00865F9E">
      <w:pPr>
        <w:widowControl/>
        <w:rPr>
          <w:spacing w:val="-3"/>
          <w:szCs w:val="22"/>
          <w:lang w:val="fr-FR"/>
        </w:rPr>
      </w:pPr>
      <w:r>
        <w:rPr>
          <w:spacing w:val="-3"/>
          <w:szCs w:val="22"/>
          <w:lang w:val="fr-FR"/>
        </w:rPr>
        <w:br w:type="page"/>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$4,225</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$6,500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$7,800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lang w:val="fr-FR"/>
        </w:rPr>
      </w:pPr>
      <w:r>
        <w:rPr>
          <w:spacing w:val="-3"/>
          <w:szCs w:val="22"/>
          <w:lang w:val="fr-FR"/>
        </w:rPr>
        <w:t>3.</w:t>
      </w:r>
      <w:r>
        <w:rPr>
          <w:spacing w:val="-3"/>
          <w:szCs w:val="22"/>
          <w:lang w:val="fr-FR"/>
        </w:rPr>
        <w:tab/>
      </w:r>
      <w:r>
        <w:rPr>
          <w:spacing w:val="-3"/>
          <w:szCs w:val="22"/>
          <w:u w:val="single"/>
          <w:lang w:val="fr-FR"/>
        </w:rPr>
        <w:t>AM Class C</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$590</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 xml:space="preserve">   $900</w:t>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$1,200</w:t>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$1,800</w:t>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$3,000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$4,500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$5,700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lang w:val="fr-FR"/>
        </w:rPr>
      </w:pPr>
      <w:r>
        <w:rPr>
          <w:spacing w:val="-3"/>
          <w:szCs w:val="22"/>
          <w:lang w:val="fr-FR"/>
        </w:rPr>
        <w:t>4.</w:t>
      </w:r>
      <w:r>
        <w:rPr>
          <w:spacing w:val="-3"/>
          <w:szCs w:val="22"/>
          <w:lang w:val="fr-FR"/>
        </w:rPr>
        <w:tab/>
      </w:r>
      <w:r>
        <w:rPr>
          <w:spacing w:val="-3"/>
          <w:szCs w:val="22"/>
          <w:u w:val="single"/>
          <w:lang w:val="fr-FR"/>
        </w:rPr>
        <w:t>AM Class D</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$670</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$1,000</w:t>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$1,675</w:t>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$2,025</w:t>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$3,375</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$5,400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$6,750</w:t>
      </w:r>
    </w:p>
    <w:p w:rsidR="00B5459C" w:rsidRDefault="00B5459C" w:rsidP="00865F9E">
      <w:pPr>
        <w:suppressAutoHyphens/>
        <w:jc w:val="both"/>
        <w:rPr>
          <w:spacing w:val="-3"/>
          <w:szCs w:val="22"/>
          <w:lang w:val="fr-FR"/>
        </w:rPr>
      </w:pP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5.</w:t>
      </w:r>
      <w:r>
        <w:rPr>
          <w:spacing w:val="-3"/>
          <w:szCs w:val="22"/>
          <w:lang w:val="fr-FR"/>
        </w:rPr>
        <w:tab/>
        <w:t>AM Construction Permit</w:t>
      </w:r>
      <w:r>
        <w:rPr>
          <w:spacing w:val="-3"/>
          <w:szCs w:val="22"/>
          <w:lang w:val="fr-FR"/>
        </w:rPr>
        <w:tab/>
        <w:t xml:space="preserve">   $590</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outlineLvl w:val="0"/>
        <w:rPr>
          <w:spacing w:val="-3"/>
          <w:szCs w:val="22"/>
          <w:lang w:val="fr-FR"/>
        </w:rPr>
      </w:pPr>
      <w:r>
        <w:rPr>
          <w:spacing w:val="-3"/>
          <w:szCs w:val="22"/>
          <w:lang w:val="fr-FR"/>
        </w:rPr>
        <w:t>6.</w:t>
      </w:r>
      <w:r>
        <w:rPr>
          <w:spacing w:val="-3"/>
          <w:szCs w:val="22"/>
          <w:lang w:val="fr-FR"/>
        </w:rPr>
        <w:tab/>
      </w:r>
      <w:r>
        <w:rPr>
          <w:spacing w:val="-3"/>
          <w:szCs w:val="22"/>
          <w:u w:val="single"/>
          <w:lang w:val="fr-FR"/>
        </w:rPr>
        <w:t>FM Classes A, B1 and C3</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$750</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$1,500</w:t>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$2,050</w:t>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$3,175</w:t>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$5,050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$8,250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$10,500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rPr>
      </w:pPr>
      <w:r>
        <w:rPr>
          <w:spacing w:val="-3"/>
          <w:szCs w:val="22"/>
        </w:rPr>
        <w:t>7.</w:t>
      </w:r>
      <w:r>
        <w:rPr>
          <w:spacing w:val="-3"/>
          <w:szCs w:val="22"/>
        </w:rPr>
        <w:tab/>
      </w:r>
      <w:r>
        <w:rPr>
          <w:spacing w:val="-3"/>
          <w:szCs w:val="22"/>
          <w:u w:val="single"/>
        </w:rPr>
        <w:t>FM Classes B, C, C0, C1 and C2</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rPr>
        <w:tab/>
      </w:r>
      <w:r>
        <w:rPr>
          <w:spacing w:val="-3"/>
          <w:szCs w:val="22"/>
          <w:lang w:val="fr-FR"/>
        </w:rPr>
        <w:t>&lt;=25,000 population</w:t>
      </w:r>
      <w:r>
        <w:rPr>
          <w:spacing w:val="-3"/>
          <w:szCs w:val="22"/>
          <w:lang w:val="fr-FR"/>
        </w:rPr>
        <w:tab/>
        <w:t xml:space="preserve">   $925</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$1,625</w:t>
      </w:r>
      <w:r>
        <w:rPr>
          <w:spacing w:val="-3"/>
          <w:szCs w:val="22"/>
          <w:lang w:val="fr-FR"/>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$3,000</w:t>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$3,925</w:t>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$5,775</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$9,250</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$12,025</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lang w:val="fr-FR"/>
        </w:rPr>
        <w:t>8.</w:t>
      </w:r>
      <w:r>
        <w:rPr>
          <w:spacing w:val="-3"/>
          <w:szCs w:val="22"/>
          <w:lang w:val="fr-FR"/>
        </w:rPr>
        <w:tab/>
        <w:t>FM Construction Permits</w:t>
      </w:r>
      <w:r>
        <w:rPr>
          <w:spacing w:val="-3"/>
          <w:szCs w:val="22"/>
          <w:lang w:val="fr-FR"/>
        </w:rPr>
        <w:tab/>
        <w:t>$750</w:t>
      </w:r>
      <w:r>
        <w:rPr>
          <w:spacing w:val="-3"/>
          <w:szCs w:val="22"/>
          <w:lang w:val="fr-FR"/>
        </w:rPr>
        <w:tab/>
      </w:r>
      <w:r>
        <w:rPr>
          <w:spacing w:val="-3"/>
          <w:szCs w:val="22"/>
        </w:rPr>
        <w:t>FCC, Radio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rPr>
        <w:tab/>
      </w:r>
      <w:r>
        <w:rPr>
          <w:spacing w:val="-3"/>
          <w:szCs w:val="22"/>
        </w:rPr>
        <w:tab/>
      </w:r>
      <w:r>
        <w:rPr>
          <w:spacing w:val="-3"/>
          <w:szCs w:val="22"/>
        </w:rPr>
        <w:tab/>
      </w:r>
      <w:r>
        <w:rPr>
          <w:spacing w:val="-3"/>
          <w:szCs w:val="22"/>
          <w:lang w:val="fr-FR"/>
        </w:rPr>
        <w:t>P.O. Box 979084</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63197-9000</w:t>
      </w:r>
    </w:p>
    <w:p w:rsidR="00B5459C" w:rsidRDefault="00B5459C" w:rsidP="00B5459C">
      <w:pPr>
        <w:tabs>
          <w:tab w:val="left" w:pos="-1440"/>
          <w:tab w:val="left" w:pos="-720"/>
          <w:tab w:val="left" w:pos="540"/>
          <w:tab w:val="left" w:pos="4590"/>
          <w:tab w:val="left" w:pos="6480"/>
        </w:tabs>
        <w:suppressAutoHyphens/>
        <w:jc w:val="both"/>
        <w:rPr>
          <w:b/>
          <w:spacing w:val="-3"/>
          <w:szCs w:val="22"/>
          <w:lang w:val="fr-FR"/>
        </w:rPr>
      </w:pPr>
    </w:p>
    <w:p w:rsidR="00865F9E" w:rsidRDefault="00865F9E">
      <w:pPr>
        <w:widowControl/>
        <w:rPr>
          <w:b/>
          <w:spacing w:val="-3"/>
          <w:szCs w:val="22"/>
        </w:rPr>
      </w:pPr>
      <w:r>
        <w:rPr>
          <w:b/>
          <w:spacing w:val="-3"/>
          <w:szCs w:val="22"/>
        </w:rPr>
        <w:br w:type="page"/>
      </w:r>
    </w:p>
    <w:p w:rsidR="00B5459C" w:rsidRDefault="00B5459C" w:rsidP="00B5459C">
      <w:pPr>
        <w:tabs>
          <w:tab w:val="left" w:pos="-1440"/>
          <w:tab w:val="left" w:pos="-720"/>
          <w:tab w:val="left" w:pos="540"/>
          <w:tab w:val="left" w:pos="4590"/>
          <w:tab w:val="left" w:pos="6480"/>
        </w:tabs>
        <w:suppressAutoHyphens/>
        <w:jc w:val="both"/>
        <w:outlineLvl w:val="0"/>
        <w:rPr>
          <w:b/>
          <w:spacing w:val="-3"/>
          <w:szCs w:val="22"/>
        </w:rPr>
      </w:pPr>
      <w:r>
        <w:rPr>
          <w:b/>
          <w:spacing w:val="-3"/>
          <w:szCs w:val="22"/>
        </w:rPr>
        <w:t>TV (47 CFR, part 73)</w:t>
      </w:r>
    </w:p>
    <w:p w:rsidR="00B5459C" w:rsidRDefault="00B5459C" w:rsidP="00B5459C">
      <w:pPr>
        <w:tabs>
          <w:tab w:val="left" w:pos="-1440"/>
          <w:tab w:val="left" w:pos="-720"/>
          <w:tab w:val="left" w:pos="540"/>
          <w:tab w:val="left" w:pos="4590"/>
          <w:tab w:val="left" w:pos="6480"/>
        </w:tabs>
        <w:suppressAutoHyphens/>
        <w:jc w:val="both"/>
        <w:outlineLvl w:val="0"/>
        <w:rPr>
          <w:spacing w:val="-3"/>
          <w:szCs w:val="22"/>
        </w:rPr>
      </w:pPr>
      <w:r>
        <w:rPr>
          <w:b/>
          <w:spacing w:val="-3"/>
          <w:szCs w:val="22"/>
        </w:rPr>
        <w:t>VHF Commercial</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Markets 1 thru 10</w:t>
      </w:r>
      <w:r>
        <w:rPr>
          <w:spacing w:val="-3"/>
          <w:szCs w:val="22"/>
        </w:rPr>
        <w:tab/>
        <w:t>$86,075</w:t>
      </w:r>
      <w:r>
        <w:rPr>
          <w:spacing w:val="-3"/>
          <w:szCs w:val="22"/>
        </w:rPr>
        <w:tab/>
        <w:t>FCC, TV Branch</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Markets 11 thru 25</w:t>
      </w:r>
      <w:r>
        <w:rPr>
          <w:spacing w:val="-3"/>
          <w:szCs w:val="22"/>
        </w:rPr>
        <w:tab/>
        <w:t>$78,975</w:t>
      </w:r>
      <w:r>
        <w:rPr>
          <w:spacing w:val="-3"/>
          <w:szCs w:val="22"/>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3.</w:t>
      </w:r>
      <w:r>
        <w:rPr>
          <w:spacing w:val="-3"/>
          <w:szCs w:val="22"/>
        </w:rPr>
        <w:tab/>
        <w:t>Markets 26 thru 50</w:t>
      </w:r>
      <w:r>
        <w:rPr>
          <w:spacing w:val="-3"/>
          <w:szCs w:val="22"/>
        </w:rPr>
        <w:tab/>
        <w:t>$42,775</w:t>
      </w:r>
      <w:r>
        <w:rPr>
          <w:spacing w:val="-3"/>
          <w:szCs w:val="22"/>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4.</w:t>
      </w:r>
      <w:r>
        <w:rPr>
          <w:spacing w:val="-3"/>
          <w:szCs w:val="22"/>
        </w:rPr>
        <w:tab/>
        <w:t>Markets 51 thru 100</w:t>
      </w:r>
      <w:r>
        <w:rPr>
          <w:spacing w:val="-3"/>
          <w:szCs w:val="22"/>
        </w:rPr>
        <w:tab/>
        <w:t xml:space="preserve">$22,475   </w:t>
      </w:r>
      <w:r>
        <w:rPr>
          <w:spacing w:val="-3"/>
          <w:szCs w:val="22"/>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5.</w:t>
      </w:r>
      <w:r>
        <w:rPr>
          <w:spacing w:val="-3"/>
          <w:szCs w:val="22"/>
        </w:rPr>
        <w:tab/>
        <w:t>Remaining Markets</w:t>
      </w:r>
      <w:r>
        <w:rPr>
          <w:spacing w:val="-3"/>
          <w:szCs w:val="22"/>
        </w:rPr>
        <w:tab/>
        <w:t>$  6,250</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6.</w:t>
      </w:r>
      <w:r>
        <w:rPr>
          <w:spacing w:val="-3"/>
          <w:szCs w:val="22"/>
        </w:rPr>
        <w:tab/>
        <w:t>Construction Permits</w:t>
      </w:r>
      <w:r>
        <w:rPr>
          <w:spacing w:val="-3"/>
          <w:szCs w:val="22"/>
        </w:rPr>
        <w:tab/>
        <w:t>$  6,250</w:t>
      </w:r>
    </w:p>
    <w:p w:rsidR="00B5459C" w:rsidRDefault="00B5459C" w:rsidP="00B5459C">
      <w:pPr>
        <w:tabs>
          <w:tab w:val="left" w:pos="-1440"/>
          <w:tab w:val="left" w:pos="-720"/>
          <w:tab w:val="left" w:pos="540"/>
          <w:tab w:val="left" w:pos="4590"/>
          <w:tab w:val="left" w:pos="6480"/>
        </w:tabs>
        <w:suppressAutoHyphens/>
        <w:jc w:val="both"/>
        <w:outlineLvl w:val="0"/>
        <w:rPr>
          <w:b/>
          <w:spacing w:val="-3"/>
          <w:szCs w:val="22"/>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rPr>
      </w:pPr>
      <w:r>
        <w:rPr>
          <w:b/>
          <w:spacing w:val="-3"/>
          <w:szCs w:val="22"/>
        </w:rPr>
        <w:t>UHF Commercial</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rPr>
          <w:spacing w:val="-3"/>
          <w:szCs w:val="22"/>
        </w:rPr>
      </w:pPr>
      <w:r>
        <w:rPr>
          <w:spacing w:val="-3"/>
          <w:szCs w:val="22"/>
        </w:rPr>
        <w:t>1.</w:t>
      </w:r>
      <w:r>
        <w:rPr>
          <w:spacing w:val="-3"/>
          <w:szCs w:val="22"/>
        </w:rPr>
        <w:tab/>
        <w:t>Markets 1 thru 10</w:t>
      </w:r>
      <w:r>
        <w:rPr>
          <w:spacing w:val="-3"/>
          <w:szCs w:val="22"/>
        </w:rPr>
        <w:tab/>
        <w:t>$38,000</w:t>
      </w:r>
      <w:r>
        <w:rPr>
          <w:spacing w:val="-3"/>
          <w:szCs w:val="22"/>
        </w:rPr>
        <w:tab/>
        <w:t>FCC,UHF Commercial</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Markets 11 thru 25</w:t>
      </w:r>
      <w:r>
        <w:rPr>
          <w:spacing w:val="-3"/>
          <w:szCs w:val="22"/>
        </w:rPr>
        <w:tab/>
        <w:t>$35,050</w:t>
      </w:r>
      <w:r>
        <w:rPr>
          <w:spacing w:val="-3"/>
          <w:szCs w:val="22"/>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3.</w:t>
      </w:r>
      <w:r>
        <w:rPr>
          <w:spacing w:val="-3"/>
          <w:szCs w:val="22"/>
        </w:rPr>
        <w:tab/>
        <w:t>Markets 26 thru 50</w:t>
      </w:r>
      <w:r>
        <w:rPr>
          <w:spacing w:val="-3"/>
          <w:szCs w:val="22"/>
        </w:rPr>
        <w:tab/>
        <w:t>$23,550</w:t>
      </w:r>
      <w:r>
        <w:rPr>
          <w:spacing w:val="-3"/>
          <w:szCs w:val="22"/>
        </w:rPr>
        <w:tab/>
        <w:t>St. Louis, MO</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4.</w:t>
      </w:r>
      <w:r>
        <w:rPr>
          <w:spacing w:val="-3"/>
          <w:szCs w:val="22"/>
        </w:rPr>
        <w:tab/>
        <w:t>Markets 51 thru 100</w:t>
      </w:r>
      <w:r>
        <w:rPr>
          <w:spacing w:val="-3"/>
          <w:szCs w:val="22"/>
        </w:rPr>
        <w:tab/>
        <w:t>$13,700</w:t>
      </w:r>
      <w:r>
        <w:rPr>
          <w:spacing w:val="-3"/>
          <w:szCs w:val="22"/>
        </w:rPr>
        <w:tab/>
        <w:t>63197-9000</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5.</w:t>
      </w:r>
      <w:r>
        <w:rPr>
          <w:spacing w:val="-3"/>
          <w:szCs w:val="22"/>
        </w:rPr>
        <w:tab/>
        <w:t>Remaining Markets</w:t>
      </w:r>
      <w:r>
        <w:rPr>
          <w:spacing w:val="-3"/>
          <w:szCs w:val="22"/>
        </w:rPr>
        <w:tab/>
        <w:t xml:space="preserve">  $3,675</w:t>
      </w:r>
      <w:r>
        <w:rPr>
          <w:spacing w:val="-3"/>
          <w:szCs w:val="22"/>
        </w:rPr>
        <w:tab/>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6.</w:t>
      </w:r>
      <w:r>
        <w:rPr>
          <w:spacing w:val="-3"/>
          <w:szCs w:val="22"/>
        </w:rPr>
        <w:tab/>
        <w:t>Construction Permits</w:t>
      </w:r>
      <w:r>
        <w:rPr>
          <w:spacing w:val="-3"/>
          <w:szCs w:val="22"/>
        </w:rPr>
        <w:tab/>
        <w:t xml:space="preserve">  $3,675</w:t>
      </w:r>
    </w:p>
    <w:p w:rsidR="00B5459C" w:rsidRDefault="00B5459C">
      <w:pPr>
        <w:widowControl/>
        <w:rPr>
          <w:b/>
          <w:spacing w:val="-3"/>
          <w:szCs w:val="22"/>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rPr>
      </w:pPr>
      <w:r>
        <w:rPr>
          <w:b/>
          <w:spacing w:val="-3"/>
          <w:szCs w:val="22"/>
        </w:rPr>
        <w:t>Satellite UHF/VHF Commercial</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All Markets</w:t>
      </w:r>
      <w:r>
        <w:rPr>
          <w:spacing w:val="-3"/>
          <w:szCs w:val="22"/>
        </w:rPr>
        <w:tab/>
        <w:t>$1,525</w:t>
      </w:r>
      <w:r>
        <w:rPr>
          <w:spacing w:val="-3"/>
          <w:szCs w:val="22"/>
        </w:rPr>
        <w:tab/>
        <w:t>FCC Satellite TV</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Construction Permits</w:t>
      </w:r>
      <w:r>
        <w:rPr>
          <w:spacing w:val="-3"/>
          <w:szCs w:val="22"/>
        </w:rPr>
        <w:tab/>
        <w:t>$   960</w:t>
      </w:r>
      <w:r>
        <w:rPr>
          <w:spacing w:val="-3"/>
          <w:szCs w:val="22"/>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Low Power TV,  Class A TV, TV/FM</w:t>
      </w:r>
      <w:r>
        <w:rPr>
          <w:spacing w:val="-3"/>
          <w:szCs w:val="22"/>
        </w:rPr>
        <w:tab/>
        <w:t>$  410</w:t>
      </w:r>
      <w:r>
        <w:rPr>
          <w:spacing w:val="-3"/>
          <w:szCs w:val="22"/>
        </w:rPr>
        <w:tab/>
        <w:t>FCC, Low Power</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Translator, &amp; TV/FM Booster</w:t>
      </w:r>
      <w:r>
        <w:rPr>
          <w:spacing w:val="-3"/>
          <w:szCs w:val="22"/>
        </w:rPr>
        <w:t xml:space="preserve"> </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(47 CFR part 74)</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Broadcast Auxiliary</w:t>
      </w:r>
      <w:r>
        <w:rPr>
          <w:spacing w:val="-3"/>
          <w:szCs w:val="22"/>
        </w:rPr>
        <w:tab/>
        <w:t>$    10</w:t>
      </w:r>
      <w:r>
        <w:rPr>
          <w:spacing w:val="-3"/>
          <w:szCs w:val="22"/>
        </w:rPr>
        <w:tab/>
        <w:t>FCC, Auxiliary</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865F9E">
      <w:pPr>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4</w:t>
      </w:r>
      <w:r>
        <w:rPr>
          <w:szCs w:val="22"/>
        </w:rPr>
        <w:t>.   Section 1.1154 is revised to read as follows:</w:t>
      </w:r>
    </w:p>
    <w:p w:rsidR="00B5459C" w:rsidRDefault="00B5459C" w:rsidP="00B5459C">
      <w:pPr>
        <w:pStyle w:val="BodyText"/>
        <w:rPr>
          <w:sz w:val="22"/>
          <w:szCs w:val="22"/>
        </w:rPr>
      </w:pPr>
    </w:p>
    <w:p w:rsidR="00B5459C" w:rsidRDefault="00B5459C" w:rsidP="00B5459C">
      <w:pPr>
        <w:pStyle w:val="BodyText"/>
        <w:rPr>
          <w:sz w:val="22"/>
          <w:szCs w:val="22"/>
        </w:rPr>
      </w:pPr>
      <w:r>
        <w:rPr>
          <w:sz w:val="22"/>
          <w:szCs w:val="22"/>
        </w:rPr>
        <w:t>§ 1.1154  Schedule of annual regulatory charges and filing locations for common carrier services.</w:t>
      </w:r>
    </w:p>
    <w:p w:rsidR="00B5459C" w:rsidRDefault="00B5459C" w:rsidP="00B5459C">
      <w:pPr>
        <w:tabs>
          <w:tab w:val="left" w:pos="-1440"/>
          <w:tab w:val="left" w:pos="-720"/>
          <w:tab w:val="left" w:pos="540"/>
          <w:tab w:val="left" w:pos="4590"/>
          <w:tab w:val="left" w:pos="6480"/>
        </w:tabs>
        <w:suppressAutoHyphens/>
        <w:rPr>
          <w:b/>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Radio Facilities</w:t>
      </w:r>
      <w:r>
        <w:rPr>
          <w:b/>
          <w:spacing w:val="-3"/>
          <w:szCs w:val="22"/>
        </w:rPr>
        <w:tab/>
        <w:t>Fee Amount</w:t>
      </w:r>
      <w:r>
        <w:rPr>
          <w:b/>
          <w:spacing w:val="-3"/>
          <w:szCs w:val="22"/>
        </w:rPr>
        <w:tab/>
        <w:t>Address</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Microwave (Domestic Public Fixed)</w:t>
      </w:r>
      <w:r>
        <w:rPr>
          <w:spacing w:val="-3"/>
          <w:szCs w:val="22"/>
        </w:rPr>
        <w:tab/>
        <w:t>$20.00</w:t>
      </w:r>
      <w:r>
        <w:rPr>
          <w:spacing w:val="-3"/>
          <w:szCs w:val="22"/>
        </w:rPr>
        <w:tab/>
        <w:t>FCC</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t>(Electronic Filing)</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979097</w:t>
        </w:r>
      </w:smartTag>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t>(FCC Form 601 &amp; 159)</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outlineLvl w:val="0"/>
        <w:rPr>
          <w:spacing w:val="-3"/>
          <w:szCs w:val="22"/>
        </w:rPr>
      </w:pPr>
      <w:r>
        <w:rPr>
          <w:b/>
          <w:spacing w:val="-3"/>
          <w:szCs w:val="22"/>
        </w:rPr>
        <w:t>Carriers</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Interstate Telephone Service Providers</w:t>
      </w:r>
      <w:r>
        <w:rPr>
          <w:spacing w:val="-3"/>
          <w:szCs w:val="22"/>
        </w:rPr>
        <w:tab/>
        <w:t>$   .00347</w:t>
      </w:r>
      <w:r>
        <w:rPr>
          <w:spacing w:val="-3"/>
          <w:szCs w:val="22"/>
        </w:rPr>
        <w:tab/>
        <w:t>FCC, Carriers</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t xml:space="preserve">(per interstate and international end-user </w:t>
      </w:r>
      <w:r>
        <w:rPr>
          <w:spacing w:val="-3"/>
          <w:szCs w:val="22"/>
        </w:rPr>
        <w:tab/>
      </w:r>
      <w:r>
        <w:rPr>
          <w:spacing w:val="-3"/>
          <w:szCs w:val="22"/>
        </w:rPr>
        <w:tab/>
      </w:r>
      <w:smartTag w:uri="urn:schemas-microsoft-com:office:smarttags" w:element="address">
        <w:smartTag w:uri="urn:schemas-microsoft-com:office:smarttags" w:element="Street">
          <w:r>
            <w:rPr>
              <w:spacing w:val="-3"/>
              <w:szCs w:val="22"/>
            </w:rPr>
            <w:t>P.O. Box</w:t>
          </w:r>
        </w:smartTag>
        <w:r>
          <w:rPr>
            <w:spacing w:val="-3"/>
            <w:szCs w:val="22"/>
          </w:rPr>
          <w:t xml:space="preserve"> 979084</w:t>
        </w:r>
      </w:smartTag>
      <w:r>
        <w:rPr>
          <w:spacing w:val="-3"/>
          <w:szCs w:val="22"/>
        </w:rPr>
        <w:tab/>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t>revenues (see FCC Form 499-A)</w:t>
      </w:r>
      <w:r>
        <w:rPr>
          <w:spacing w:val="-3"/>
          <w:szCs w:val="22"/>
        </w:rPr>
        <w:tab/>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865F9E" w:rsidRDefault="00865F9E">
      <w:pPr>
        <w:widowControl/>
        <w:rPr>
          <w:spacing w:val="-3"/>
          <w:szCs w:val="22"/>
        </w:rPr>
      </w:pPr>
      <w:r>
        <w:rPr>
          <w:spacing w:val="-3"/>
          <w:szCs w:val="22"/>
        </w:rPr>
        <w:br w:type="page"/>
      </w:r>
    </w:p>
    <w:p w:rsidR="00B5459C" w:rsidRDefault="00B5459C" w:rsidP="00865F9E">
      <w:pPr>
        <w:suppressAutoHyphens/>
        <w:jc w:val="both"/>
        <w:outlineLvl w:val="0"/>
        <w:rPr>
          <w:spacing w:val="-3"/>
          <w:szCs w:val="22"/>
        </w:rPr>
      </w:pPr>
      <w:r>
        <w:rPr>
          <w:spacing w:val="-3"/>
          <w:szCs w:val="22"/>
        </w:rPr>
        <w:t>5.   Section 1.1155 is revised to read as follows:</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rPr>
          <w:szCs w:val="22"/>
        </w:rPr>
      </w:pPr>
      <w:r>
        <w:rPr>
          <w:szCs w:val="22"/>
        </w:rPr>
        <w:t>§ 1.1155  Schedule of regulatory fees and filing locations for cable television services.</w:t>
      </w:r>
    </w:p>
    <w:p w:rsidR="00B5459C" w:rsidRDefault="00B5459C" w:rsidP="00B5459C">
      <w:pPr>
        <w:tabs>
          <w:tab w:val="left" w:pos="-1440"/>
          <w:tab w:val="left" w:pos="-720"/>
          <w:tab w:val="left" w:pos="540"/>
          <w:tab w:val="left" w:pos="4590"/>
          <w:tab w:val="left" w:pos="6480"/>
        </w:tabs>
        <w:suppressAutoHyphens/>
        <w:jc w:val="both"/>
        <w:rPr>
          <w:b/>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b/>
          <w:spacing w:val="-3"/>
          <w:szCs w:val="22"/>
        </w:rPr>
        <w:tab/>
      </w:r>
      <w:r>
        <w:rPr>
          <w:b/>
          <w:spacing w:val="-3"/>
          <w:szCs w:val="22"/>
        </w:rPr>
        <w:tab/>
        <w:t>Fee Amount</w:t>
      </w:r>
      <w:r>
        <w:rPr>
          <w:b/>
          <w:spacing w:val="-3"/>
          <w:szCs w:val="22"/>
        </w:rPr>
        <w:tab/>
        <w:t>Address</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Cable Television Relay Service</w:t>
      </w:r>
      <w:r>
        <w:rPr>
          <w:spacing w:val="-3"/>
          <w:szCs w:val="22"/>
        </w:rPr>
        <w:tab/>
        <w:t>$510</w:t>
      </w:r>
      <w:r>
        <w:rPr>
          <w:spacing w:val="-3"/>
          <w:szCs w:val="22"/>
        </w:rPr>
        <w:tab/>
        <w:t>FCC, Cable</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Cable TV System</w:t>
      </w:r>
      <w:r>
        <w:rPr>
          <w:spacing w:val="-3"/>
          <w:szCs w:val="22"/>
        </w:rPr>
        <w:tab/>
        <w:t>$  1.02</w:t>
      </w:r>
      <w:r>
        <w:rPr>
          <w:spacing w:val="-3"/>
          <w:szCs w:val="22"/>
        </w:rPr>
        <w:tab/>
        <w:t>P.O. Box 979084</w:t>
      </w:r>
    </w:p>
    <w:p w:rsidR="00B5459C" w:rsidRDefault="00B5459C" w:rsidP="00B5459C">
      <w:pPr>
        <w:tabs>
          <w:tab w:val="left" w:pos="-1440"/>
          <w:tab w:val="left" w:pos="-720"/>
          <w:tab w:val="left" w:pos="540"/>
          <w:tab w:val="left" w:pos="4590"/>
          <w:tab w:val="left" w:pos="6480"/>
        </w:tabs>
        <w:suppressAutoHyphens/>
        <w:jc w:val="both"/>
        <w:rPr>
          <w:spacing w:val="-3"/>
          <w:szCs w:val="22"/>
        </w:rPr>
      </w:pPr>
      <w:r>
        <w:rPr>
          <w:spacing w:val="-3"/>
          <w:szCs w:val="22"/>
        </w:rPr>
        <w:tab/>
        <w:t>(per subscriber)</w:t>
      </w:r>
      <w:r>
        <w:rPr>
          <w:spacing w:val="-3"/>
          <w:szCs w:val="22"/>
        </w:rPr>
        <w:tab/>
        <w:t xml:space="preserve">  </w:t>
      </w:r>
      <w:r>
        <w:rPr>
          <w:spacing w:val="-3"/>
          <w:szCs w:val="22"/>
        </w:rPr>
        <w:tab/>
      </w:r>
      <w:smartTag w:uri="urn:schemas-microsoft-com:office:smarttags" w:element="place">
        <w:smartTag w:uri="urn:schemas-microsoft-com:office:smarttags" w:element="City">
          <w:r>
            <w:rPr>
              <w:spacing w:val="-3"/>
              <w:szCs w:val="22"/>
            </w:rPr>
            <w:t>St. Louis</w:t>
          </w:r>
        </w:smartTag>
        <w:r>
          <w:rPr>
            <w:spacing w:val="-3"/>
            <w:szCs w:val="22"/>
          </w:rPr>
          <w:t xml:space="preserve">, </w:t>
        </w:r>
        <w:smartTag w:uri="urn:schemas-microsoft-com:office:smarttags" w:element="State">
          <w:r>
            <w:rPr>
              <w:spacing w:val="-3"/>
              <w:szCs w:val="22"/>
            </w:rPr>
            <w:t>MO</w:t>
          </w:r>
        </w:smartTag>
        <w:r>
          <w:rPr>
            <w:spacing w:val="-3"/>
            <w:szCs w:val="22"/>
          </w:rPr>
          <w:t xml:space="preserve"> </w:t>
        </w:r>
        <w:smartTag w:uri="urn:schemas-microsoft-com:office:smarttags" w:element="PostalCode">
          <w:r>
            <w:rPr>
              <w:spacing w:val="-3"/>
              <w:szCs w:val="22"/>
            </w:rPr>
            <w:t>63197-9000</w:t>
          </w:r>
        </w:smartTag>
      </w:smartTag>
    </w:p>
    <w:p w:rsidR="00B5459C" w:rsidRDefault="00B5459C">
      <w:pPr>
        <w:widowControl/>
        <w:rPr>
          <w:spacing w:val="-3"/>
          <w:szCs w:val="22"/>
        </w:rPr>
      </w:pPr>
    </w:p>
    <w:p w:rsidR="00B5459C" w:rsidRDefault="00B5459C" w:rsidP="00B5459C">
      <w:pPr>
        <w:tabs>
          <w:tab w:val="left" w:pos="-1440"/>
          <w:tab w:val="left" w:pos="-720"/>
          <w:tab w:val="left" w:pos="720"/>
          <w:tab w:val="left" w:pos="4590"/>
          <w:tab w:val="left" w:pos="6480"/>
        </w:tabs>
        <w:suppressAutoHyphens/>
        <w:outlineLvl w:val="0"/>
        <w:rPr>
          <w:szCs w:val="22"/>
        </w:rPr>
      </w:pPr>
      <w:r>
        <w:rPr>
          <w:szCs w:val="22"/>
        </w:rPr>
        <w:t>6.   Section 1.1156 is revised to read as follows:</w:t>
      </w:r>
    </w:p>
    <w:p w:rsidR="00B5459C" w:rsidRDefault="00B5459C" w:rsidP="00B5459C">
      <w:pPr>
        <w:tabs>
          <w:tab w:val="left" w:pos="-1440"/>
          <w:tab w:val="left" w:pos="-720"/>
          <w:tab w:val="left" w:pos="540"/>
          <w:tab w:val="left" w:pos="4590"/>
          <w:tab w:val="left" w:pos="6480"/>
        </w:tabs>
        <w:suppressAutoHyphens/>
        <w:rPr>
          <w:szCs w:val="22"/>
        </w:rPr>
      </w:pPr>
      <w:r>
        <w:rPr>
          <w:szCs w:val="22"/>
        </w:rPr>
        <w:t xml:space="preserve"> </w:t>
      </w:r>
      <w:r>
        <w:rPr>
          <w:szCs w:val="22"/>
        </w:rPr>
        <w:tab/>
      </w:r>
    </w:p>
    <w:p w:rsidR="00B5459C" w:rsidRDefault="00B5459C" w:rsidP="00B5459C">
      <w:pPr>
        <w:tabs>
          <w:tab w:val="left" w:pos="-1440"/>
          <w:tab w:val="left" w:pos="-720"/>
          <w:tab w:val="left" w:pos="540"/>
          <w:tab w:val="left" w:pos="4590"/>
          <w:tab w:val="left" w:pos="6480"/>
        </w:tabs>
        <w:suppressAutoHyphens/>
        <w:rPr>
          <w:szCs w:val="22"/>
        </w:rPr>
      </w:pPr>
      <w:r>
        <w:rPr>
          <w:szCs w:val="22"/>
        </w:rPr>
        <w:t>§ 1.1156  Schedule of regulatory fees and filing locations for international services.</w:t>
      </w:r>
    </w:p>
    <w:p w:rsidR="00B5459C" w:rsidRDefault="00B5459C" w:rsidP="00B5459C">
      <w:pPr>
        <w:tabs>
          <w:tab w:val="left" w:pos="-1440"/>
          <w:tab w:val="left" w:pos="-720"/>
          <w:tab w:val="left" w:pos="540"/>
          <w:tab w:val="left" w:pos="4590"/>
          <w:tab w:val="left" w:pos="6480"/>
        </w:tabs>
        <w:suppressAutoHyphens/>
        <w:jc w:val="both"/>
        <w:rPr>
          <w:spacing w:val="-3"/>
          <w:szCs w:val="22"/>
        </w:rPr>
      </w:pPr>
    </w:p>
    <w:p w:rsidR="00B5459C" w:rsidRDefault="00B5459C" w:rsidP="00B5459C">
      <w:pPr>
        <w:widowControl/>
        <w:jc w:val="both"/>
        <w:rPr>
          <w:spacing w:val="-3"/>
          <w:kern w:val="0"/>
          <w:sz w:val="24"/>
          <w:szCs w:val="24"/>
        </w:rPr>
      </w:pPr>
      <w:r>
        <w:rPr>
          <w:spacing w:val="-3"/>
          <w:kern w:val="0"/>
          <w:sz w:val="24"/>
          <w:szCs w:val="24"/>
        </w:rPr>
        <w:t>a.         The following schedule applies for the listed services:</w:t>
      </w:r>
    </w:p>
    <w:p w:rsidR="00B5459C" w:rsidRDefault="00B5459C" w:rsidP="00B5459C">
      <w:pPr>
        <w:widowControl/>
        <w:jc w:val="both"/>
        <w:rPr>
          <w:spacing w:val="-3"/>
          <w:kern w:val="0"/>
          <w:sz w:val="24"/>
          <w:szCs w:val="24"/>
        </w:rPr>
      </w:pPr>
    </w:p>
    <w:tbl>
      <w:tblPr>
        <w:tblW w:w="0" w:type="auto"/>
        <w:tblCellMar>
          <w:left w:w="0" w:type="dxa"/>
          <w:right w:w="0" w:type="dxa"/>
        </w:tblCellMar>
        <w:tblLook w:val="0000" w:firstRow="0" w:lastRow="0" w:firstColumn="0" w:lastColumn="0" w:noHBand="0" w:noVBand="0"/>
      </w:tblPr>
      <w:tblGrid>
        <w:gridCol w:w="3192"/>
        <w:gridCol w:w="3192"/>
        <w:gridCol w:w="3192"/>
      </w:tblGrid>
      <w:tr w:rsidR="00B5459C" w:rsidTr="003F3153">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r>
              <w:rPr>
                <w:spacing w:val="-3"/>
                <w:kern w:val="0"/>
                <w:sz w:val="24"/>
                <w:szCs w:val="24"/>
              </w:rPr>
              <w:t>Fee Category</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r>
              <w:rPr>
                <w:spacing w:val="-3"/>
                <w:kern w:val="0"/>
                <w:sz w:val="24"/>
                <w:szCs w:val="24"/>
              </w:rPr>
              <w:t>Fee Amount</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r>
              <w:rPr>
                <w:spacing w:val="-3"/>
                <w:kern w:val="0"/>
                <w:sz w:val="24"/>
                <w:szCs w:val="24"/>
              </w:rPr>
              <w:t>Address</w:t>
            </w:r>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spacing w:val="-3"/>
                <w:kern w:val="0"/>
                <w:sz w:val="24"/>
                <w:szCs w:val="24"/>
              </w:rPr>
              <w:t>Space Stations (Geostationary Orbit)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p>
          <w:p w:rsidR="00B5459C" w:rsidRDefault="00B5459C" w:rsidP="003F3153">
            <w:pPr>
              <w:widowControl/>
              <w:jc w:val="center"/>
              <w:rPr>
                <w:spacing w:val="-3"/>
                <w:kern w:val="0"/>
                <w:sz w:val="24"/>
                <w:szCs w:val="24"/>
              </w:rPr>
            </w:pPr>
            <w:r>
              <w:rPr>
                <w:spacing w:val="-3"/>
                <w:kern w:val="0"/>
                <w:sz w:val="24"/>
                <w:szCs w:val="24"/>
              </w:rPr>
              <w:t>$139,100</w:t>
            </w:r>
          </w:p>
          <w:p w:rsidR="00B5459C" w:rsidRDefault="00B5459C" w:rsidP="003F3153">
            <w:pPr>
              <w:widowControl/>
              <w:jc w:val="center"/>
              <w:rPr>
                <w:spacing w:val="-3"/>
                <w:kern w:val="0"/>
                <w:sz w:val="24"/>
                <w:szCs w:val="24"/>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spacing w:val="-3"/>
                <w:kern w:val="0"/>
                <w:sz w:val="24"/>
                <w:szCs w:val="24"/>
              </w:rPr>
              <w:t>Space Stations (Non-Geostationary Orbit)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p>
          <w:p w:rsidR="00B5459C" w:rsidRDefault="00B5459C" w:rsidP="003F3153">
            <w:pPr>
              <w:widowControl/>
              <w:jc w:val="center"/>
              <w:rPr>
                <w:spacing w:val="-3"/>
                <w:kern w:val="0"/>
                <w:sz w:val="24"/>
                <w:szCs w:val="24"/>
              </w:rPr>
            </w:pPr>
            <w:r>
              <w:rPr>
                <w:spacing w:val="-3"/>
                <w:kern w:val="0"/>
                <w:sz w:val="24"/>
                <w:szCs w:val="24"/>
              </w:rPr>
              <w:t>$149,875</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spacing w:val="-3"/>
                <w:kern w:val="0"/>
                <w:sz w:val="24"/>
                <w:szCs w:val="24"/>
              </w:rPr>
              <w:t>Earth Stations:  Transmit/Receive &amp; Transmit only (per authorization  or registration)</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p>
          <w:p w:rsidR="00B5459C" w:rsidRDefault="00B5459C" w:rsidP="003F3153">
            <w:pPr>
              <w:widowControl/>
              <w:jc w:val="center"/>
              <w:rPr>
                <w:spacing w:val="-3"/>
                <w:kern w:val="0"/>
                <w:sz w:val="24"/>
                <w:szCs w:val="24"/>
              </w:rPr>
            </w:pPr>
            <w:r>
              <w:rPr>
                <w:spacing w:val="-3"/>
                <w:kern w:val="0"/>
                <w:sz w:val="24"/>
                <w:szCs w:val="24"/>
              </w:rPr>
              <w:t>$275</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tc>
      </w:tr>
    </w:tbl>
    <w:p w:rsidR="00B5459C" w:rsidRDefault="00B5459C" w:rsidP="00B5459C">
      <w:pPr>
        <w:widowControl/>
        <w:rPr>
          <w:spacing w:val="-3"/>
          <w:kern w:val="0"/>
          <w:sz w:val="24"/>
          <w:szCs w:val="24"/>
        </w:rPr>
      </w:pPr>
    </w:p>
    <w:p w:rsidR="00B5459C" w:rsidRDefault="00B5459C" w:rsidP="00B5459C">
      <w:pPr>
        <w:widowControl/>
        <w:rPr>
          <w:spacing w:val="-3"/>
          <w:kern w:val="0"/>
          <w:sz w:val="24"/>
          <w:szCs w:val="24"/>
        </w:rPr>
      </w:pPr>
      <w:r>
        <w:rPr>
          <w:spacing w:val="-3"/>
          <w:kern w:val="0"/>
          <w:sz w:val="24"/>
          <w:szCs w:val="24"/>
        </w:rPr>
        <w:t xml:space="preserve">b.         </w:t>
      </w:r>
      <w:r>
        <w:rPr>
          <w:i/>
          <w:iCs/>
          <w:kern w:val="0"/>
          <w:sz w:val="24"/>
          <w:szCs w:val="24"/>
        </w:rPr>
        <w:t>International Terrestrial and Satellite</w:t>
      </w:r>
      <w:r>
        <w:rPr>
          <w:kern w:val="0"/>
          <w:sz w:val="24"/>
          <w:szCs w:val="24"/>
        </w:rPr>
        <w:t>.  Regulatory fees for International Bearer Circuits are to be paid by facilities-based common carriers that have active (used or leased) international bearer circuits as of December 31 of the prior year in any terrestrial or satellite transmission facility for the provision of service to an end user or resale carrier, which includes active circuits to themselves or to their affiliates.   In addition, non-common carrier satellite operators must pay a fee for each circuit sold or leased to any customer, including themselves or their affiliates, other than an international common carrier authorized by the Commission to provide U.S. international common carrier services.  “Active circuits” for these purposes include backup and redundant circuits.  In addition, whether circuits are used specifically for voice or data is not relevant in determining that they are active circuits.</w:t>
      </w:r>
    </w:p>
    <w:p w:rsidR="00B5459C" w:rsidRDefault="00B5459C" w:rsidP="00B5459C">
      <w:pPr>
        <w:widowControl/>
        <w:rPr>
          <w:spacing w:val="-3"/>
          <w:kern w:val="0"/>
          <w:sz w:val="24"/>
          <w:szCs w:val="24"/>
        </w:rPr>
      </w:pPr>
    </w:p>
    <w:p w:rsidR="00865F9E" w:rsidRDefault="00865F9E">
      <w:pPr>
        <w:widowControl/>
        <w:rPr>
          <w:spacing w:val="-3"/>
          <w:kern w:val="0"/>
          <w:sz w:val="20"/>
        </w:rPr>
      </w:pPr>
      <w:r>
        <w:rPr>
          <w:spacing w:val="-3"/>
          <w:kern w:val="0"/>
          <w:sz w:val="20"/>
        </w:rPr>
        <w:br w:type="page"/>
      </w:r>
    </w:p>
    <w:p w:rsidR="00B5459C" w:rsidRDefault="00B5459C" w:rsidP="00B5459C">
      <w:pPr>
        <w:widowControl/>
        <w:snapToGrid w:val="0"/>
        <w:rPr>
          <w:kern w:val="0"/>
          <w:sz w:val="24"/>
          <w:szCs w:val="24"/>
        </w:rPr>
      </w:pPr>
      <w:r>
        <w:rPr>
          <w:spacing w:val="-3"/>
          <w:kern w:val="0"/>
          <w:sz w:val="20"/>
        </w:rPr>
        <w:t xml:space="preserve">                </w:t>
      </w:r>
      <w:r>
        <w:rPr>
          <w:spacing w:val="-3"/>
          <w:kern w:val="0"/>
          <w:sz w:val="24"/>
          <w:szCs w:val="24"/>
        </w:rPr>
        <w:t>The fee amount, per active 64 KB circuit or equivalent will be determined for each fiscal year.</w:t>
      </w:r>
      <w:r>
        <w:rPr>
          <w:kern w:val="0"/>
          <w:sz w:val="24"/>
          <w:szCs w:val="24"/>
        </w:rPr>
        <w:t xml:space="preserve"> Payment, if mailed, shall be sent to:  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r>
        <w:rPr>
          <w:kern w:val="0"/>
          <w:sz w:val="24"/>
          <w:szCs w:val="24"/>
        </w:rPr>
        <w:t>.</w:t>
      </w:r>
    </w:p>
    <w:p w:rsidR="00B5459C" w:rsidRDefault="00B5459C" w:rsidP="00B5459C">
      <w:pPr>
        <w:widowControl/>
        <w:snapToGrid w:val="0"/>
        <w:rPr>
          <w:kern w:val="0"/>
          <w:szCs w:val="22"/>
        </w:rPr>
      </w:pPr>
    </w:p>
    <w:tbl>
      <w:tblPr>
        <w:tblW w:w="0" w:type="auto"/>
        <w:tblCellMar>
          <w:left w:w="0" w:type="dxa"/>
          <w:right w:w="0" w:type="dxa"/>
        </w:tblCellMar>
        <w:tblLook w:val="0000" w:firstRow="0" w:lastRow="0" w:firstColumn="0" w:lastColumn="0" w:noHBand="0" w:noVBand="0"/>
      </w:tblPr>
      <w:tblGrid>
        <w:gridCol w:w="3124"/>
        <w:gridCol w:w="3060"/>
        <w:gridCol w:w="3138"/>
      </w:tblGrid>
      <w:tr w:rsidR="00B5459C" w:rsidTr="003F3153">
        <w:trPr>
          <w:trHeight w:val="793"/>
        </w:trPr>
        <w:tc>
          <w:tcPr>
            <w:tcW w:w="3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spacing w:val="-3"/>
                <w:kern w:val="0"/>
                <w:sz w:val="24"/>
                <w:szCs w:val="24"/>
              </w:rPr>
              <w:t xml:space="preserve">International Terrestrial and Satellite </w:t>
            </w:r>
            <w:r>
              <w:rPr>
                <w:kern w:val="0"/>
                <w:sz w:val="24"/>
                <w:szCs w:val="24"/>
              </w:rPr>
              <w:t>(capacity as of December 31, 2012)</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r>
              <w:rPr>
                <w:spacing w:val="-3"/>
                <w:kern w:val="0"/>
                <w:sz w:val="24"/>
                <w:szCs w:val="24"/>
              </w:rPr>
              <w:t>Fee Amount</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r>
              <w:rPr>
                <w:spacing w:val="-3"/>
                <w:kern w:val="0"/>
                <w:sz w:val="24"/>
                <w:szCs w:val="24"/>
              </w:rPr>
              <w:t>Address</w:t>
            </w:r>
          </w:p>
        </w:tc>
      </w:tr>
      <w:tr w:rsidR="00B5459C" w:rsidTr="003F3153">
        <w:trPr>
          <w:trHeight w:val="1380"/>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p>
          <w:p w:rsidR="00B5459C" w:rsidRDefault="00B5459C" w:rsidP="003F3153">
            <w:pPr>
              <w:widowControl/>
              <w:jc w:val="both"/>
              <w:rPr>
                <w:spacing w:val="-3"/>
                <w:kern w:val="0"/>
                <w:sz w:val="24"/>
                <w:szCs w:val="24"/>
              </w:rPr>
            </w:pPr>
            <w:r>
              <w:rPr>
                <w:spacing w:val="-3"/>
                <w:kern w:val="0"/>
                <w:sz w:val="24"/>
                <w:szCs w:val="24"/>
              </w:rPr>
              <w:t>Terrestrial Common Carrier</w:t>
            </w:r>
          </w:p>
          <w:p w:rsidR="00B5459C" w:rsidRDefault="00B5459C" w:rsidP="003F3153">
            <w:pPr>
              <w:widowControl/>
              <w:jc w:val="both"/>
              <w:rPr>
                <w:spacing w:val="-3"/>
                <w:kern w:val="0"/>
                <w:sz w:val="24"/>
                <w:szCs w:val="24"/>
              </w:rPr>
            </w:pPr>
            <w:r>
              <w:rPr>
                <w:spacing w:val="-3"/>
                <w:kern w:val="0"/>
                <w:sz w:val="24"/>
                <w:szCs w:val="24"/>
              </w:rPr>
              <w:t>Satellite Common Carrier</w:t>
            </w:r>
          </w:p>
          <w:p w:rsidR="00B5459C" w:rsidRDefault="00B5459C" w:rsidP="003F3153">
            <w:pPr>
              <w:widowControl/>
              <w:jc w:val="both"/>
              <w:rPr>
                <w:spacing w:val="-3"/>
                <w:kern w:val="0"/>
                <w:sz w:val="24"/>
                <w:szCs w:val="24"/>
              </w:rPr>
            </w:pPr>
            <w:r>
              <w:rPr>
                <w:spacing w:val="-3"/>
                <w:kern w:val="0"/>
                <w:sz w:val="24"/>
                <w:szCs w:val="24"/>
              </w:rPr>
              <w:t>Satellite Non-Common Carrier</w:t>
            </w:r>
          </w:p>
          <w:p w:rsidR="00B5459C" w:rsidRDefault="00B5459C" w:rsidP="003F3153">
            <w:pPr>
              <w:widowControl/>
              <w:jc w:val="both"/>
              <w:rPr>
                <w:spacing w:val="-3"/>
                <w:kern w:val="0"/>
                <w:sz w:val="24"/>
                <w:szCs w:val="24"/>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tcPr>
          <w:p w:rsidR="00B5459C" w:rsidRDefault="00B5459C" w:rsidP="003F3153">
            <w:pPr>
              <w:widowControl/>
              <w:jc w:val="center"/>
              <w:rPr>
                <w:spacing w:val="-3"/>
                <w:kern w:val="0"/>
                <w:sz w:val="24"/>
                <w:szCs w:val="24"/>
              </w:rPr>
            </w:pPr>
            <w:r>
              <w:rPr>
                <w:kern w:val="0"/>
                <w:sz w:val="24"/>
                <w:szCs w:val="24"/>
              </w:rPr>
              <w:t>$0.27 per 64 KB Circuit</w:t>
            </w:r>
          </w:p>
        </w:tc>
        <w:tc>
          <w:tcPr>
            <w:tcW w:w="3138"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rPr>
                <w:kern w:val="0"/>
                <w:sz w:val="24"/>
                <w:szCs w:val="24"/>
              </w:rPr>
            </w:pPr>
          </w:p>
          <w:p w:rsidR="00B5459C" w:rsidRDefault="00B5459C" w:rsidP="003F3153">
            <w:pPr>
              <w:widowControl/>
              <w:rPr>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tc>
      </w:tr>
    </w:tbl>
    <w:p w:rsidR="00B5459C" w:rsidRDefault="00B5459C" w:rsidP="00B5459C">
      <w:pPr>
        <w:widowControl/>
        <w:snapToGrid w:val="0"/>
        <w:rPr>
          <w:kern w:val="0"/>
          <w:szCs w:val="22"/>
        </w:rPr>
      </w:pPr>
    </w:p>
    <w:p w:rsidR="00B5459C" w:rsidRDefault="00B5459C" w:rsidP="00B5459C">
      <w:pPr>
        <w:widowControl/>
        <w:rPr>
          <w:kern w:val="0"/>
          <w:sz w:val="24"/>
          <w:szCs w:val="24"/>
        </w:rPr>
      </w:pPr>
      <w:r>
        <w:rPr>
          <w:kern w:val="0"/>
          <w:sz w:val="24"/>
          <w:szCs w:val="24"/>
        </w:rPr>
        <w:t xml:space="preserve">c.         </w:t>
      </w:r>
      <w:r>
        <w:rPr>
          <w:i/>
          <w:iCs/>
          <w:kern w:val="0"/>
          <w:sz w:val="24"/>
          <w:szCs w:val="24"/>
        </w:rPr>
        <w:t xml:space="preserve">Submarine cable:  </w:t>
      </w:r>
      <w:r>
        <w:rPr>
          <w:kern w:val="0"/>
          <w:sz w:val="24"/>
          <w:szCs w:val="24"/>
        </w:rPr>
        <w:t xml:space="preserve">Regulatory fees for submarine cable systems will be paid annually, per cable landing license, for all submarine cable systems operating as of December 31 of the prior year.  The fee amount will be determined by the Commission for each fiscal year.  Payment, if mailed, shall be sent to:  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r>
        <w:rPr>
          <w:kern w:val="0"/>
          <w:sz w:val="24"/>
          <w:szCs w:val="24"/>
        </w:rPr>
        <w:t>.</w:t>
      </w:r>
    </w:p>
    <w:p w:rsidR="00B5459C" w:rsidRDefault="00B5459C" w:rsidP="00B5459C">
      <w:pPr>
        <w:widowControl/>
        <w:rPr>
          <w:kern w:val="0"/>
          <w:sz w:val="24"/>
          <w:szCs w:val="24"/>
        </w:rPr>
      </w:pPr>
    </w:p>
    <w:tbl>
      <w:tblPr>
        <w:tblW w:w="0" w:type="auto"/>
        <w:tblCellMar>
          <w:left w:w="0" w:type="dxa"/>
          <w:right w:w="0" w:type="dxa"/>
        </w:tblCellMar>
        <w:tblLook w:val="0000" w:firstRow="0" w:lastRow="0" w:firstColumn="0" w:lastColumn="0" w:noHBand="0" w:noVBand="0"/>
      </w:tblPr>
      <w:tblGrid>
        <w:gridCol w:w="3192"/>
        <w:gridCol w:w="3192"/>
        <w:gridCol w:w="3192"/>
      </w:tblGrid>
      <w:tr w:rsidR="00B5459C" w:rsidTr="003F3153">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spacing w:val="-3"/>
                <w:kern w:val="0"/>
                <w:sz w:val="24"/>
                <w:szCs w:val="24"/>
              </w:rPr>
              <w:t>Submarine Cable Systems</w:t>
            </w:r>
          </w:p>
          <w:p w:rsidR="00B5459C" w:rsidRDefault="00B5459C" w:rsidP="003F3153">
            <w:pPr>
              <w:widowControl/>
              <w:jc w:val="both"/>
              <w:rPr>
                <w:spacing w:val="-3"/>
                <w:kern w:val="0"/>
                <w:sz w:val="24"/>
                <w:szCs w:val="24"/>
              </w:rPr>
            </w:pPr>
            <w:r>
              <w:rPr>
                <w:kern w:val="0"/>
                <w:sz w:val="24"/>
                <w:szCs w:val="24"/>
              </w:rPr>
              <w:t>(capacity as of Dec. 31, 201</w:t>
            </w:r>
            <w:r w:rsidR="0049485F">
              <w:rPr>
                <w:kern w:val="0"/>
                <w:sz w:val="24"/>
                <w:szCs w:val="24"/>
              </w:rPr>
              <w:t>2</w:t>
            </w:r>
            <w:r>
              <w:rPr>
                <w:kern w:val="0"/>
                <w:sz w:val="24"/>
                <w:szCs w:val="24"/>
              </w:rPr>
              <w:t>)</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center"/>
              <w:rPr>
                <w:spacing w:val="-3"/>
                <w:kern w:val="0"/>
                <w:sz w:val="24"/>
                <w:szCs w:val="24"/>
              </w:rPr>
            </w:pPr>
            <w:r>
              <w:rPr>
                <w:spacing w:val="-3"/>
                <w:kern w:val="0"/>
                <w:sz w:val="24"/>
                <w:szCs w:val="24"/>
              </w:rPr>
              <w:t>Fee Amount</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spacing w:val="-3"/>
                <w:kern w:val="0"/>
                <w:sz w:val="24"/>
                <w:szCs w:val="24"/>
              </w:rPr>
              <w:t>Address</w:t>
            </w:r>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jc w:val="both"/>
              <w:rPr>
                <w:spacing w:val="-3"/>
                <w:kern w:val="0"/>
                <w:sz w:val="24"/>
                <w:szCs w:val="24"/>
              </w:rPr>
            </w:pPr>
            <w:r>
              <w:rPr>
                <w:kern w:val="0"/>
                <w:sz w:val="24"/>
                <w:szCs w:val="24"/>
              </w:rPr>
              <w:t>&lt; 2.5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B5459C" w:rsidRDefault="00B5459C" w:rsidP="003F3153">
            <w:pPr>
              <w:widowControl/>
              <w:jc w:val="center"/>
              <w:rPr>
                <w:spacing w:val="-3"/>
                <w:kern w:val="0"/>
                <w:sz w:val="24"/>
                <w:szCs w:val="24"/>
              </w:rPr>
            </w:pPr>
            <w:r>
              <w:rPr>
                <w:kern w:val="0"/>
                <w:sz w:val="24"/>
                <w:szCs w:val="24"/>
              </w:rPr>
              <w:t>$13,600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rPr>
                <w:kern w:val="0"/>
                <w:sz w:val="24"/>
                <w:szCs w:val="24"/>
              </w:rPr>
            </w:pPr>
          </w:p>
          <w:p w:rsidR="00B5459C" w:rsidRDefault="00B5459C" w:rsidP="003F3153">
            <w:pPr>
              <w:widowControl/>
              <w:rPr>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p w:rsidR="00B5459C" w:rsidRDefault="00B5459C" w:rsidP="003F3153">
            <w:pPr>
              <w:widowControl/>
              <w:rPr>
                <w:spacing w:val="-3"/>
                <w:kern w:val="0"/>
                <w:sz w:val="24"/>
                <w:szCs w:val="24"/>
              </w:rPr>
            </w:pPr>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kern w:val="0"/>
                <w:sz w:val="24"/>
                <w:szCs w:val="24"/>
              </w:rPr>
              <w:t>2.5 Gbps or greater, but less than 5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B5459C" w:rsidRDefault="00B5459C" w:rsidP="003F3153">
            <w:pPr>
              <w:widowControl/>
              <w:jc w:val="center"/>
              <w:rPr>
                <w:kern w:val="0"/>
                <w:sz w:val="24"/>
                <w:szCs w:val="24"/>
              </w:rPr>
            </w:pPr>
            <w:r>
              <w:rPr>
                <w:kern w:val="0"/>
                <w:sz w:val="24"/>
                <w:szCs w:val="24"/>
              </w:rPr>
              <w:t>$27,200</w:t>
            </w:r>
          </w:p>
          <w:p w:rsidR="00B5459C" w:rsidRDefault="00B5459C" w:rsidP="003F3153">
            <w:pPr>
              <w:widowControl/>
              <w:jc w:val="center"/>
              <w:rPr>
                <w:spacing w:val="-3"/>
                <w:kern w:val="0"/>
                <w:sz w:val="24"/>
                <w:szCs w:val="24"/>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p>
          <w:p w:rsidR="00B5459C" w:rsidRDefault="00B5459C" w:rsidP="003F3153">
            <w:pPr>
              <w:widowControl/>
              <w:rPr>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p w:rsidR="00B5459C" w:rsidRDefault="00B5459C" w:rsidP="003F3153">
            <w:pPr>
              <w:widowControl/>
              <w:jc w:val="both"/>
              <w:rPr>
                <w:spacing w:val="-3"/>
                <w:kern w:val="0"/>
                <w:sz w:val="24"/>
                <w:szCs w:val="24"/>
              </w:rPr>
            </w:pPr>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kern w:val="0"/>
                <w:sz w:val="24"/>
                <w:szCs w:val="24"/>
              </w:rPr>
              <w:t>5 Gbps or greater, but less than 10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B5459C" w:rsidRDefault="00B5459C" w:rsidP="003F3153">
            <w:pPr>
              <w:widowControl/>
              <w:jc w:val="center"/>
              <w:rPr>
                <w:kern w:val="0"/>
                <w:sz w:val="24"/>
                <w:szCs w:val="24"/>
              </w:rPr>
            </w:pPr>
            <w:r>
              <w:rPr>
                <w:kern w:val="0"/>
                <w:sz w:val="24"/>
                <w:szCs w:val="24"/>
              </w:rPr>
              <w:t xml:space="preserve">$54,425 </w:t>
            </w:r>
          </w:p>
          <w:p w:rsidR="00B5459C" w:rsidRDefault="00B5459C" w:rsidP="003F3153">
            <w:pPr>
              <w:widowControl/>
              <w:jc w:val="center"/>
              <w:rPr>
                <w:spacing w:val="-3"/>
                <w:kern w:val="0"/>
                <w:sz w:val="24"/>
                <w:szCs w:val="24"/>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p>
          <w:p w:rsidR="00B5459C" w:rsidRDefault="00B5459C" w:rsidP="003F3153">
            <w:pPr>
              <w:widowControl/>
              <w:rPr>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p w:rsidR="00B5459C" w:rsidRDefault="00B5459C" w:rsidP="003F3153">
            <w:pPr>
              <w:widowControl/>
              <w:jc w:val="both"/>
              <w:rPr>
                <w:spacing w:val="-3"/>
                <w:kern w:val="0"/>
                <w:sz w:val="24"/>
                <w:szCs w:val="24"/>
              </w:rPr>
            </w:pPr>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kern w:val="0"/>
                <w:sz w:val="24"/>
                <w:szCs w:val="24"/>
              </w:rPr>
              <w:t>10 Gbps or greater, but less than 20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B5459C" w:rsidRDefault="00B5459C" w:rsidP="003F3153">
            <w:pPr>
              <w:widowControl/>
              <w:jc w:val="center"/>
              <w:rPr>
                <w:kern w:val="0"/>
                <w:sz w:val="24"/>
                <w:szCs w:val="24"/>
              </w:rPr>
            </w:pPr>
            <w:r>
              <w:rPr>
                <w:kern w:val="0"/>
                <w:sz w:val="24"/>
                <w:szCs w:val="24"/>
              </w:rPr>
              <w:t xml:space="preserve">$108,850 </w:t>
            </w:r>
          </w:p>
          <w:p w:rsidR="00B5459C" w:rsidRDefault="00B5459C" w:rsidP="003F3153">
            <w:pPr>
              <w:widowControl/>
              <w:jc w:val="center"/>
              <w:rPr>
                <w:spacing w:val="-3"/>
                <w:kern w:val="0"/>
                <w:sz w:val="24"/>
                <w:szCs w:val="24"/>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rPr>
                <w:spacing w:val="-3"/>
                <w:kern w:val="0"/>
                <w:sz w:val="24"/>
                <w:szCs w:val="24"/>
              </w:rPr>
            </w:pPr>
            <w:r>
              <w:rPr>
                <w:spacing w:val="-3"/>
                <w:kern w:val="0"/>
                <w:sz w:val="24"/>
                <w:szCs w:val="24"/>
              </w:rPr>
              <w:t> </w:t>
            </w:r>
          </w:p>
          <w:p w:rsidR="00B5459C" w:rsidRDefault="00B5459C" w:rsidP="003F3153">
            <w:pPr>
              <w:widowControl/>
              <w:rPr>
                <w:spacing w:val="-3"/>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p w:rsidR="00B5459C" w:rsidRDefault="00B5459C" w:rsidP="003F3153">
            <w:pPr>
              <w:widowControl/>
              <w:jc w:val="both"/>
              <w:rPr>
                <w:spacing w:val="-3"/>
                <w:kern w:val="0"/>
                <w:sz w:val="24"/>
                <w:szCs w:val="24"/>
              </w:rPr>
            </w:pPr>
          </w:p>
        </w:tc>
      </w:tr>
      <w:tr w:rsidR="00B5459C" w:rsidTr="003F315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459C" w:rsidRDefault="00B5459C" w:rsidP="003F3153">
            <w:pPr>
              <w:widowControl/>
              <w:rPr>
                <w:kern w:val="0"/>
                <w:sz w:val="24"/>
                <w:szCs w:val="24"/>
              </w:rPr>
            </w:pPr>
            <w:r>
              <w:rPr>
                <w:kern w:val="0"/>
                <w:sz w:val="24"/>
                <w:szCs w:val="24"/>
              </w:rPr>
              <w:t>20 Gbps or greater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B5459C" w:rsidRDefault="00B5459C" w:rsidP="003F3153">
            <w:pPr>
              <w:widowControl/>
              <w:jc w:val="center"/>
              <w:rPr>
                <w:kern w:val="0"/>
                <w:sz w:val="24"/>
                <w:szCs w:val="24"/>
              </w:rPr>
            </w:pPr>
            <w:r>
              <w:rPr>
                <w:kern w:val="0"/>
                <w:sz w:val="24"/>
                <w:szCs w:val="24"/>
              </w:rPr>
              <w:t xml:space="preserve">$217,675 </w:t>
            </w:r>
          </w:p>
          <w:p w:rsidR="00B5459C" w:rsidRDefault="00B5459C" w:rsidP="003F3153">
            <w:pPr>
              <w:widowControl/>
              <w:jc w:val="center"/>
              <w:rPr>
                <w:spacing w:val="-3"/>
                <w:kern w:val="0"/>
                <w:sz w:val="24"/>
                <w:szCs w:val="24"/>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B5459C" w:rsidRDefault="00B5459C" w:rsidP="003F3153">
            <w:pPr>
              <w:widowControl/>
              <w:rPr>
                <w:kern w:val="0"/>
                <w:sz w:val="24"/>
                <w:szCs w:val="24"/>
              </w:rPr>
            </w:pPr>
          </w:p>
          <w:p w:rsidR="00B5459C" w:rsidRDefault="00B5459C" w:rsidP="003F3153">
            <w:pPr>
              <w:widowControl/>
              <w:rPr>
                <w:kern w:val="0"/>
                <w:sz w:val="24"/>
                <w:szCs w:val="24"/>
              </w:rPr>
            </w:pPr>
            <w:r>
              <w:rPr>
                <w:kern w:val="0"/>
                <w:sz w:val="24"/>
                <w:szCs w:val="24"/>
              </w:rPr>
              <w:t xml:space="preserve">FCC, International, </w:t>
            </w:r>
            <w:smartTag w:uri="urn:schemas-microsoft-com:office:smarttags" w:element="address">
              <w:smartTag w:uri="urn:schemas-microsoft-com:office:smarttags" w:element="Street">
                <w:r>
                  <w:rPr>
                    <w:kern w:val="0"/>
                    <w:sz w:val="24"/>
                    <w:szCs w:val="24"/>
                  </w:rPr>
                  <w:t>P.O. Box 979084</w:t>
                </w:r>
              </w:smartTag>
              <w:r>
                <w:rPr>
                  <w:kern w:val="0"/>
                  <w:sz w:val="24"/>
                  <w:szCs w:val="24"/>
                </w:rPr>
                <w:t xml:space="preserve">, </w:t>
              </w:r>
              <w:smartTag w:uri="urn:schemas-microsoft-com:office:smarttags" w:element="City">
                <w:r>
                  <w:rPr>
                    <w:kern w:val="0"/>
                    <w:sz w:val="24"/>
                    <w:szCs w:val="24"/>
                  </w:rPr>
                  <w:t>St. Louis</w:t>
                </w:r>
              </w:smartTag>
              <w:r>
                <w:rPr>
                  <w:kern w:val="0"/>
                  <w:sz w:val="24"/>
                  <w:szCs w:val="24"/>
                </w:rPr>
                <w:t xml:space="preserve">, </w:t>
              </w:r>
              <w:smartTag w:uri="urn:schemas-microsoft-com:office:smarttags" w:element="State">
                <w:r>
                  <w:rPr>
                    <w:kern w:val="0"/>
                    <w:sz w:val="24"/>
                    <w:szCs w:val="24"/>
                  </w:rPr>
                  <w:t>MO</w:t>
                </w:r>
              </w:smartTag>
              <w:r>
                <w:rPr>
                  <w:kern w:val="0"/>
                  <w:sz w:val="24"/>
                  <w:szCs w:val="24"/>
                </w:rPr>
                <w:t xml:space="preserve"> </w:t>
              </w:r>
              <w:smartTag w:uri="urn:schemas-microsoft-com:office:smarttags" w:element="PostalCode">
                <w:r>
                  <w:rPr>
                    <w:kern w:val="0"/>
                    <w:sz w:val="24"/>
                    <w:szCs w:val="24"/>
                  </w:rPr>
                  <w:t>63197-9000</w:t>
                </w:r>
              </w:smartTag>
            </w:smartTag>
          </w:p>
          <w:p w:rsidR="00B5459C" w:rsidRDefault="00B5459C" w:rsidP="003F3153">
            <w:pPr>
              <w:widowControl/>
              <w:rPr>
                <w:spacing w:val="-3"/>
                <w:kern w:val="0"/>
                <w:sz w:val="24"/>
                <w:szCs w:val="24"/>
              </w:rPr>
            </w:pPr>
          </w:p>
        </w:tc>
      </w:tr>
    </w:tbl>
    <w:p w:rsidR="008E7210" w:rsidRDefault="008E7210" w:rsidP="00865F9E">
      <w:pPr>
        <w:pStyle w:val="EndnoteText"/>
      </w:pPr>
    </w:p>
    <w:sectPr w:rsidR="008E7210" w:rsidSect="00B3227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7B2" w:rsidRDefault="002A67B2">
      <w:r>
        <w:separator/>
      </w:r>
    </w:p>
  </w:endnote>
  <w:endnote w:type="continuationSeparator" w:id="0">
    <w:p w:rsidR="002A67B2" w:rsidRDefault="002A67B2">
      <w:r>
        <w:continuationSeparator/>
      </w:r>
    </w:p>
  </w:endnote>
  <w:endnote w:type="continuationNotice" w:id="1">
    <w:p w:rsidR="002A67B2" w:rsidRDefault="002A6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MDAA K+ Century">
    <w:altName w:val="Centu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8E" w:rsidRDefault="00ED6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22" w:rsidRDefault="00A47022" w:rsidP="0042179F">
    <w:pPr>
      <w:pStyle w:val="Footer"/>
      <w:jc w:val="center"/>
    </w:pPr>
    <w:r>
      <w:fldChar w:fldCharType="begin"/>
    </w:r>
    <w:r>
      <w:instrText xml:space="preserve"> PAGE   \* MERGEFORMAT </w:instrText>
    </w:r>
    <w:r>
      <w:fldChar w:fldCharType="separate"/>
    </w:r>
    <w:r w:rsidR="00946496">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22" w:rsidRDefault="00A47022" w:rsidP="00B32272">
    <w:pPr>
      <w:pStyle w:val="Footer"/>
      <w:jc w:val="center"/>
    </w:pPr>
  </w:p>
  <w:p w:rsidR="00A47022" w:rsidRDefault="00A47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7B2" w:rsidRDefault="002A67B2">
      <w:pPr>
        <w:rPr>
          <w:sz w:val="20"/>
        </w:rPr>
      </w:pPr>
      <w:r>
        <w:rPr>
          <w:sz w:val="20"/>
        </w:rPr>
        <w:separator/>
      </w:r>
    </w:p>
  </w:footnote>
  <w:footnote w:type="continuationSeparator" w:id="0">
    <w:p w:rsidR="002A67B2" w:rsidRPr="0042179F" w:rsidRDefault="002A67B2">
      <w:pPr>
        <w:rPr>
          <w:sz w:val="20"/>
        </w:rPr>
      </w:pPr>
      <w:r>
        <w:rPr>
          <w:sz w:val="20"/>
        </w:rPr>
        <w:t xml:space="preserve">(Continued from previous page) </w:t>
      </w:r>
      <w:r>
        <w:rPr>
          <w:sz w:val="20"/>
        </w:rPr>
        <w:separator/>
      </w:r>
    </w:p>
  </w:footnote>
  <w:footnote w:type="continuationNotice" w:id="1">
    <w:p w:rsidR="002A67B2" w:rsidRDefault="002A67B2">
      <w:pPr>
        <w:jc w:val="right"/>
        <w:rPr>
          <w:sz w:val="20"/>
        </w:rPr>
      </w:pPr>
      <w:r>
        <w:rPr>
          <w:sz w:val="20"/>
        </w:rPr>
        <w:t>(continued....)</w:t>
      </w:r>
    </w:p>
  </w:footnote>
  <w:footnote w:id="2">
    <w:p w:rsidR="00A47022" w:rsidRDefault="00A47022" w:rsidP="008F567A">
      <w:pPr>
        <w:pStyle w:val="FootnoteText"/>
        <w:spacing w:before="120" w:after="0"/>
      </w:pPr>
      <w:r>
        <w:rPr>
          <w:rStyle w:val="FootnoteReference"/>
        </w:rPr>
        <w:footnoteRef/>
      </w:r>
      <w:r>
        <w:t xml:space="preserve"> </w:t>
      </w:r>
      <w:r w:rsidRPr="001163F6">
        <w:rPr>
          <w:i/>
        </w:rPr>
        <w:t>Procedures for Assessment and Collection of Regulatory Fees; Assessment and Collection of Regulatory Fees for Fiscal Year 2013</w:t>
      </w:r>
      <w:r>
        <w:t>, Notice of Proposed Rulemaking and Further Notice of Proposed Rulemaking in MD Docket Nos. 12-201, 13-140, and 08-05, 28 FCC Rcd 7790 (2013) (</w:t>
      </w:r>
      <w:r w:rsidRPr="00F906EF">
        <w:rPr>
          <w:i/>
        </w:rPr>
        <w:t xml:space="preserve">FY 2013 </w:t>
      </w:r>
      <w:r w:rsidRPr="007C7421">
        <w:rPr>
          <w:i/>
        </w:rPr>
        <w:t>NPRM</w:t>
      </w:r>
      <w:r>
        <w:t xml:space="preserve">).  </w:t>
      </w:r>
      <w:r w:rsidRPr="000842AE">
        <w:rPr>
          <w:szCs w:val="22"/>
        </w:rPr>
        <w:t>Section</w:t>
      </w:r>
      <w:r w:rsidRPr="001144AB">
        <w:rPr>
          <w:szCs w:val="22"/>
        </w:rPr>
        <w:t xml:space="preserve"> 9 regulatory fees are mandated by Congress and collected to recover the regulatory costs associated with the Commission’s enforcement, policy and rulemaking, user information, and international activities</w:t>
      </w:r>
      <w:r>
        <w:rPr>
          <w:szCs w:val="22"/>
        </w:rPr>
        <w:t>.</w:t>
      </w:r>
      <w:r w:rsidRPr="00745D9D">
        <w:rPr>
          <w:color w:val="000000"/>
        </w:rPr>
        <w:t xml:space="preserve"> </w:t>
      </w:r>
      <w:r w:rsidRPr="00A1103B">
        <w:rPr>
          <w:color w:val="000000"/>
        </w:rPr>
        <w:t>47 U.S.C. § 159(a).</w:t>
      </w:r>
    </w:p>
  </w:footnote>
  <w:footnote w:id="3">
    <w:p w:rsidR="00A47022" w:rsidRPr="00A1103B" w:rsidRDefault="00A47022" w:rsidP="008F567A">
      <w:pPr>
        <w:pStyle w:val="FootnoteText"/>
        <w:spacing w:before="120" w:after="0"/>
      </w:pPr>
      <w:r w:rsidRPr="00A1103B">
        <w:rPr>
          <w:rStyle w:val="FootnoteReference"/>
        </w:rPr>
        <w:footnoteRef/>
      </w:r>
      <w:r w:rsidRPr="00A1103B">
        <w:t xml:space="preserve"> </w:t>
      </w:r>
      <w:r>
        <w:t xml:space="preserve">In FY 2013, the Consolidated and Further Continuing Appropriations Act, Pub. L. 113-6 (2013) at Division F authorizes the Commission to collect offsetting regulatory fees at the level provided to the Commission’s FY 2012 appropriation of $339,844,000.  </w:t>
      </w:r>
      <w:r w:rsidRPr="006C47CE">
        <w:rPr>
          <w:i/>
        </w:rPr>
        <w:t xml:space="preserve">See </w:t>
      </w:r>
      <w:r>
        <w:t>Financial Services and General Government Appropriations Act, 2012, Division C of Pub. L. No. 112-74, 125 Stat. 108-9 (2011).</w:t>
      </w:r>
      <w:r>
        <w:rPr>
          <w:szCs w:val="22"/>
        </w:rPr>
        <w:t xml:space="preserve">  T</w:t>
      </w:r>
      <w:r w:rsidRPr="001144AB">
        <w:rPr>
          <w:szCs w:val="22"/>
        </w:rPr>
        <w:t>he sequester effectuated by the Budget Control Act of 20</w:t>
      </w:r>
      <w:r>
        <w:rPr>
          <w:szCs w:val="22"/>
        </w:rPr>
        <w:t xml:space="preserve">11, </w:t>
      </w:r>
      <w:r>
        <w:t>Pub. L. No. 112-15,</w:t>
      </w:r>
      <w:r w:rsidRPr="000842AE">
        <w:t xml:space="preserve"> </w:t>
      </w:r>
      <w:r>
        <w:t xml:space="preserve">§101, 125 Stat. 241 (2011) </w:t>
      </w:r>
      <w:r w:rsidRPr="001144AB">
        <w:rPr>
          <w:szCs w:val="22"/>
        </w:rPr>
        <w:t>reduce</w:t>
      </w:r>
      <w:r>
        <w:rPr>
          <w:szCs w:val="22"/>
        </w:rPr>
        <w:t>d</w:t>
      </w:r>
      <w:r w:rsidRPr="001144AB">
        <w:rPr>
          <w:szCs w:val="22"/>
        </w:rPr>
        <w:t xml:space="preserve"> the Commission’s </w:t>
      </w:r>
      <w:r>
        <w:rPr>
          <w:szCs w:val="22"/>
        </w:rPr>
        <w:t xml:space="preserve">budget for salary and expenses </w:t>
      </w:r>
      <w:r w:rsidRPr="001144AB">
        <w:rPr>
          <w:szCs w:val="22"/>
        </w:rPr>
        <w:t xml:space="preserve">to </w:t>
      </w:r>
      <w:r>
        <w:rPr>
          <w:color w:val="1F497D"/>
        </w:rPr>
        <w:t>$322,747,807</w:t>
      </w:r>
      <w:r w:rsidRPr="001144AB">
        <w:rPr>
          <w:szCs w:val="22"/>
        </w:rPr>
        <w:t xml:space="preserve">.  </w:t>
      </w:r>
      <w:r w:rsidRPr="00FD360B">
        <w:rPr>
          <w:i/>
          <w:szCs w:val="22"/>
        </w:rPr>
        <w:t>See</w:t>
      </w:r>
      <w:r>
        <w:rPr>
          <w:szCs w:val="22"/>
        </w:rPr>
        <w:t xml:space="preserve"> </w:t>
      </w:r>
      <w:r>
        <w:t xml:space="preserve">Budget Control Act of 2011, </w:t>
      </w:r>
      <w:r w:rsidRPr="00A14BCA">
        <w:t xml:space="preserve">Pub. L. </w:t>
      </w:r>
      <w:r>
        <w:t xml:space="preserve">No. </w:t>
      </w:r>
      <w:r w:rsidRPr="00A14BCA">
        <w:t>112-15</w:t>
      </w:r>
      <w:r>
        <w:t>, §101, 125 Stat. 241</w:t>
      </w:r>
      <w:r w:rsidRPr="00A14BCA">
        <w:t xml:space="preserve"> (2011)</w:t>
      </w:r>
      <w:r>
        <w:t xml:space="preserve"> (amending § 251 of the Balanced Budget and Emergency Deficit Control Act of 1985, Pub. L. No. 99-177, 99 Stat. 1037 (2005).  </w:t>
      </w:r>
      <w:r w:rsidRPr="001144AB">
        <w:rPr>
          <w:szCs w:val="22"/>
        </w:rPr>
        <w:t xml:space="preserve">However, </w:t>
      </w:r>
      <w:r>
        <w:rPr>
          <w:szCs w:val="22"/>
        </w:rPr>
        <w:t xml:space="preserve">the Budget Control Act </w:t>
      </w:r>
      <w:r w:rsidRPr="001144AB">
        <w:rPr>
          <w:szCs w:val="22"/>
        </w:rPr>
        <w:t xml:space="preserve">does not alter the congressional directive set out in the </w:t>
      </w:r>
      <w:r>
        <w:t>Further Continuing Appropriations Act</w:t>
      </w:r>
      <w:r w:rsidRPr="001144AB">
        <w:rPr>
          <w:szCs w:val="22"/>
        </w:rPr>
        <w:t xml:space="preserve"> </w:t>
      </w:r>
      <w:r>
        <w:rPr>
          <w:szCs w:val="22"/>
        </w:rPr>
        <w:t>to collect $339,844,000 in regulatory fees for FY 2013</w:t>
      </w:r>
      <w:r>
        <w:t>.</w:t>
      </w:r>
    </w:p>
  </w:footnote>
  <w:footnote w:id="4">
    <w:p w:rsidR="00A47022" w:rsidRDefault="00A47022" w:rsidP="00E4469C">
      <w:pPr>
        <w:pStyle w:val="FootnoteText"/>
        <w:spacing w:before="120" w:after="0"/>
      </w:pPr>
      <w:r>
        <w:rPr>
          <w:rStyle w:val="FootnoteReference"/>
        </w:rPr>
        <w:footnoteRef/>
      </w:r>
      <w:r>
        <w:t xml:space="preserve"> Attachment A contains a list of commenters and their abbreviated names.  We have used the same abbreviations in referring to those commenters where we discuss previous comments filed by the same parties.  Where previous comments are cited we have added the date of the filing to clarify that the comment was filed to an earlier notice of proposed rulemaking.</w:t>
      </w:r>
    </w:p>
  </w:footnote>
  <w:footnote w:id="5">
    <w:p w:rsidR="00A47022" w:rsidRDefault="00A47022" w:rsidP="008F567A">
      <w:pPr>
        <w:pStyle w:val="FootnoteText"/>
        <w:spacing w:before="120" w:after="0"/>
      </w:pPr>
      <w:r>
        <w:rPr>
          <w:rStyle w:val="FootnoteReference"/>
        </w:rPr>
        <w:footnoteRef/>
      </w:r>
      <w:r>
        <w:t xml:space="preserve"> O</w:t>
      </w:r>
      <w:r w:rsidRPr="006A303E">
        <w:t>ne FTE</w:t>
      </w:r>
      <w:r>
        <w:t>, a “Full Time Equivalent” or “Full Time Employee,”</w:t>
      </w:r>
      <w:r w:rsidRPr="006A303E">
        <w:t xml:space="preserve"> is a unit of measure equal to the work performed annually by a full ti</w:t>
      </w:r>
      <w:r>
        <w:t>me</w:t>
      </w:r>
      <w:r w:rsidRPr="006A303E">
        <w:t xml:space="preserve"> person </w:t>
      </w:r>
      <w:r>
        <w:t xml:space="preserve">(working a 40 hour workweek for a full year) </w:t>
      </w:r>
      <w:r w:rsidRPr="006A303E">
        <w:t>assigned to the particular</w:t>
      </w:r>
      <w:r>
        <w:t xml:space="preserve"> job</w:t>
      </w:r>
      <w:r w:rsidRPr="006A303E">
        <w:t>, and subject to agency personnel staffing limitations established by the U.S. Office of Management and Budget.</w:t>
      </w:r>
      <w:r>
        <w:t xml:space="preserve">   </w:t>
      </w:r>
    </w:p>
  </w:footnote>
  <w:footnote w:id="6">
    <w:p w:rsidR="00A47022" w:rsidRDefault="00A47022" w:rsidP="008F6BD3">
      <w:pPr>
        <w:pStyle w:val="FootnoteText"/>
        <w:spacing w:before="120" w:after="0"/>
      </w:pPr>
      <w:r>
        <w:rPr>
          <w:rStyle w:val="FootnoteReference"/>
        </w:rPr>
        <w:footnoteRef/>
      </w:r>
      <w:r>
        <w:t xml:space="preserve"> ITSPs are </w:t>
      </w:r>
      <w:r w:rsidRPr="007F7B4B">
        <w:rPr>
          <w:spacing w:val="-2"/>
        </w:rPr>
        <w:t>interexchange carriers (IXCs), incumbent local exchange carriers (LECs), toll resellers, and other IXC service providers regulated by the Wireline Competition Bureau</w:t>
      </w:r>
      <w:r>
        <w:rPr>
          <w:spacing w:val="-2"/>
        </w:rPr>
        <w:t>.</w:t>
      </w:r>
    </w:p>
  </w:footnote>
  <w:footnote w:id="7">
    <w:p w:rsidR="00A47022" w:rsidRDefault="00A47022" w:rsidP="00D41FA7">
      <w:pPr>
        <w:pStyle w:val="FootnoteText"/>
        <w:spacing w:before="120" w:after="0"/>
      </w:pPr>
      <w:r>
        <w:rPr>
          <w:rStyle w:val="FootnoteReference"/>
        </w:rPr>
        <w:footnoteRef/>
      </w:r>
      <w:r>
        <w:t xml:space="preserve"> The updated FTE data are current as of Sept. 30, 2012.</w:t>
      </w:r>
    </w:p>
  </w:footnote>
  <w:footnote w:id="8">
    <w:p w:rsidR="00A47022" w:rsidRPr="00A1103B" w:rsidRDefault="00A47022" w:rsidP="00F900B8">
      <w:pPr>
        <w:pStyle w:val="FootnoteText"/>
        <w:spacing w:before="120" w:after="0"/>
      </w:pPr>
      <w:r w:rsidRPr="00A1103B">
        <w:rPr>
          <w:rStyle w:val="FootnoteReference"/>
        </w:rPr>
        <w:footnoteRef/>
      </w:r>
      <w:r w:rsidRPr="00A1103B">
        <w:t xml:space="preserve"> 47 U.S.C. § 159(b)(1)(A).</w:t>
      </w:r>
      <w:r w:rsidRPr="00905784">
        <w:rPr>
          <w:szCs w:val="22"/>
        </w:rPr>
        <w:t xml:space="preserve"> </w:t>
      </w:r>
      <w:r>
        <w:rPr>
          <w:szCs w:val="22"/>
        </w:rPr>
        <w:t xml:space="preserve"> </w:t>
      </w:r>
      <w:r w:rsidRPr="00754D4D">
        <w:rPr>
          <w:szCs w:val="22"/>
        </w:rPr>
        <w:t xml:space="preserve">When section 9 was adopted, the total FTEs were to be calculated based on the number of FTEs in the Private Radio Bureau, Mass Media Bureau, and Common Carrier Bureau.  </w:t>
      </w:r>
      <w:r>
        <w:rPr>
          <w:szCs w:val="22"/>
        </w:rPr>
        <w:t xml:space="preserve">(The names of these bureaus were subsequently changed.)  </w:t>
      </w:r>
      <w:r w:rsidRPr="00754D4D">
        <w:rPr>
          <w:szCs w:val="22"/>
        </w:rPr>
        <w:t xml:space="preserve">Satellites and submarine cable were regulated through the Common Carrier Bureau before the International Bureau was created.  </w:t>
      </w:r>
    </w:p>
  </w:footnote>
  <w:footnote w:id="9">
    <w:p w:rsidR="00A47022" w:rsidRPr="00A1103B" w:rsidRDefault="00A47022" w:rsidP="00113D8D">
      <w:pPr>
        <w:pStyle w:val="FootnoteText"/>
        <w:spacing w:before="120" w:after="0"/>
      </w:pPr>
      <w:r w:rsidRPr="00A1103B">
        <w:rPr>
          <w:rStyle w:val="FootnoteReference"/>
        </w:rPr>
        <w:footnoteRef/>
      </w:r>
      <w:r>
        <w:t xml:space="preserve"> </w:t>
      </w:r>
      <w:r w:rsidRPr="00453F64">
        <w:rPr>
          <w:i/>
        </w:rPr>
        <w:t>Assessment and Collection of Regulatory Fees for Fiscal Year 2004</w:t>
      </w:r>
      <w:r>
        <w:t xml:space="preserve">, Report and Order, </w:t>
      </w:r>
      <w:r w:rsidRPr="00A1103B">
        <w:t xml:space="preserve">19 FCC Rcd </w:t>
      </w:r>
      <w:r>
        <w:t xml:space="preserve">11662, </w:t>
      </w:r>
      <w:r w:rsidRPr="00A1103B">
        <w:t>11666, para. 11</w:t>
      </w:r>
      <w:r>
        <w:t xml:space="preserve"> (2004) (</w:t>
      </w:r>
      <w:r w:rsidRPr="00A1103B">
        <w:rPr>
          <w:i/>
        </w:rPr>
        <w:t>FY 2004 Report and Order</w:t>
      </w:r>
      <w:r>
        <w:t>)</w:t>
      </w:r>
      <w:r w:rsidRPr="00A1103B">
        <w:t xml:space="preserve">.  For example, governmental and nonprofit entities are exempt from regulatory fees under section 9(h) </w:t>
      </w:r>
      <w:r>
        <w:t>of the Act.  47 U.S.C. § 159(h);</w:t>
      </w:r>
      <w:r w:rsidRPr="00F7118E">
        <w:t xml:space="preserve"> </w:t>
      </w:r>
      <w:r>
        <w:t xml:space="preserve">47 C.F.R. </w:t>
      </w:r>
      <w:r w:rsidRPr="00A1103B">
        <w:t>§</w:t>
      </w:r>
      <w:r>
        <w:t xml:space="preserve"> 1.1162.</w:t>
      </w:r>
    </w:p>
  </w:footnote>
  <w:footnote w:id="10">
    <w:p w:rsidR="00A47022" w:rsidRDefault="00A47022" w:rsidP="00113D8D">
      <w:pPr>
        <w:pStyle w:val="FootnoteText"/>
        <w:spacing w:before="120" w:after="0"/>
      </w:pPr>
      <w:r>
        <w:rPr>
          <w:rStyle w:val="FootnoteReference"/>
        </w:rPr>
        <w:footnoteRef/>
      </w:r>
      <w:r>
        <w:t xml:space="preserve"> 47 C.F.R. </w:t>
      </w:r>
      <w:r w:rsidRPr="00A1103B">
        <w:t>§</w:t>
      </w:r>
      <w:r>
        <w:t xml:space="preserve"> 1.1166.</w:t>
      </w:r>
    </w:p>
  </w:footnote>
  <w:footnote w:id="11">
    <w:p w:rsidR="00A47022" w:rsidRDefault="00A47022" w:rsidP="00113D8D">
      <w:pPr>
        <w:pStyle w:val="FootnoteText"/>
        <w:spacing w:before="120" w:after="0"/>
      </w:pPr>
      <w:r>
        <w:rPr>
          <w:rStyle w:val="FootnoteReference"/>
        </w:rPr>
        <w:footnoteRef/>
      </w:r>
      <w:r>
        <w:t xml:space="preserve"> </w:t>
      </w:r>
      <w:r w:rsidRPr="00412CF0">
        <w:t>E.g.,</w:t>
      </w:r>
      <w:r>
        <w:t xml:space="preserve"> broadband services, non-U.S.-licensed space stations.</w:t>
      </w:r>
    </w:p>
  </w:footnote>
  <w:footnote w:id="12">
    <w:p w:rsidR="00A47022" w:rsidRPr="00A1103B" w:rsidRDefault="00A47022" w:rsidP="00157B67">
      <w:pPr>
        <w:pStyle w:val="FootnoteText"/>
        <w:spacing w:before="120" w:after="0"/>
      </w:pPr>
      <w:r w:rsidRPr="00A1103B">
        <w:rPr>
          <w:rStyle w:val="FootnoteReference"/>
        </w:rPr>
        <w:footnoteRef/>
      </w:r>
      <w:r w:rsidRPr="00A1103B">
        <w:t xml:space="preserve"> The indirect FTEs are the employees from the following bureaus and offices:  Enforcement Bureau, Consumer and Governmental Affairs Bureau, Public Safety and Homeland Security Bureau, Chairman and Commissioners’ offices, Office of Managing Director, Office of General Counsel, Office of the Inspector General, Office of Communications Business Opportunities, Office of Engineering and Technology, Office of Legislative Affairs, Office of Strategic Planning and Policy Analysis, </w:t>
      </w:r>
      <w:r>
        <w:t>O</w:t>
      </w:r>
      <w:r w:rsidRPr="00A1103B">
        <w:t xml:space="preserve">ffice of Workplace Diversity, </w:t>
      </w:r>
      <w:r>
        <w:t xml:space="preserve">Office of Media Relations, and Office of Administrative Law Judges, </w:t>
      </w:r>
      <w:r w:rsidRPr="00A1103B">
        <w:t>totaling</w:t>
      </w:r>
      <w:r>
        <w:t xml:space="preserve"> </w:t>
      </w:r>
      <w:r w:rsidRPr="00B32272">
        <w:t>967</w:t>
      </w:r>
      <w:r>
        <w:t xml:space="preserve"> </w:t>
      </w:r>
      <w:r w:rsidRPr="00A1103B">
        <w:t xml:space="preserve">FTEs.  </w:t>
      </w:r>
    </w:p>
  </w:footnote>
  <w:footnote w:id="13">
    <w:p w:rsidR="00A47022" w:rsidRPr="00A1103B" w:rsidRDefault="00A47022" w:rsidP="0088462E">
      <w:pPr>
        <w:pStyle w:val="FootnoteText"/>
        <w:spacing w:before="120" w:after="0"/>
      </w:pPr>
      <w:r w:rsidRPr="00A1103B">
        <w:rPr>
          <w:rStyle w:val="FootnoteReference"/>
        </w:rPr>
        <w:footnoteRef/>
      </w:r>
      <w:r w:rsidRPr="00A1103B">
        <w:t xml:space="preserve"> </w:t>
      </w:r>
      <w:r>
        <w:t xml:space="preserve">For a fuller description of this process, </w:t>
      </w:r>
      <w:r w:rsidRPr="0088462E">
        <w:rPr>
          <w:i/>
        </w:rPr>
        <w:t xml:space="preserve">see </w:t>
      </w:r>
      <w:r w:rsidRPr="00A1103B">
        <w:rPr>
          <w:i/>
        </w:rPr>
        <w:t>Assessment and Collection of Regulatory Fees</w:t>
      </w:r>
      <w:r w:rsidRPr="00A1103B">
        <w:t>, Notice of Proposed Rulemaking, 27 FCC Rcd 8458</w:t>
      </w:r>
      <w:r>
        <w:t>, 8461-62, paras. 8-11</w:t>
      </w:r>
      <w:r w:rsidRPr="00A1103B">
        <w:t xml:space="preserve"> (2012) (</w:t>
      </w:r>
      <w:r w:rsidRPr="00A1103B">
        <w:rPr>
          <w:i/>
        </w:rPr>
        <w:t>FY 2012 NPRM</w:t>
      </w:r>
      <w:r w:rsidRPr="00A1103B">
        <w:t>).</w:t>
      </w:r>
      <w:r w:rsidRPr="00B16900">
        <w:rPr>
          <w:i/>
        </w:rPr>
        <w:t xml:space="preserve"> </w:t>
      </w:r>
      <w:r>
        <w:t xml:space="preserve"> </w:t>
      </w:r>
      <w:r w:rsidRPr="00A1103B">
        <w:t xml:space="preserve">The current numbers of direct FTEs are as follows:  International Bureau, </w:t>
      </w:r>
      <w:r w:rsidRPr="00B32272">
        <w:t>119</w:t>
      </w:r>
      <w:r w:rsidRPr="00A1103B">
        <w:t xml:space="preserve">; Media Bureau, </w:t>
      </w:r>
      <w:r w:rsidRPr="00B32272">
        <w:t>171</w:t>
      </w:r>
      <w:r w:rsidRPr="00A1103B">
        <w:t xml:space="preserve">; Wireline Competition Bureau, </w:t>
      </w:r>
      <w:r w:rsidRPr="00B32272">
        <w:t>160</w:t>
      </w:r>
      <w:r w:rsidRPr="00A1103B">
        <w:t xml:space="preserve">; and Wireless Telecommunications Bureau, </w:t>
      </w:r>
      <w:r w:rsidRPr="00B32272">
        <w:t>98</w:t>
      </w:r>
      <w:r w:rsidRPr="00A1103B">
        <w:t>.  FTEs involved in</w:t>
      </w:r>
      <w:r>
        <w:t xml:space="preserve"> Section 309</w:t>
      </w:r>
      <w:r w:rsidRPr="00A1103B">
        <w:t xml:space="preserve"> auctions, </w:t>
      </w:r>
      <w:r w:rsidRPr="00B32272">
        <w:t>194</w:t>
      </w:r>
      <w:r w:rsidRPr="00A1103B">
        <w:rPr>
          <w:b/>
        </w:rPr>
        <w:t xml:space="preserve"> </w:t>
      </w:r>
      <w:r w:rsidRPr="00B32272">
        <w:t>FTEs</w:t>
      </w:r>
      <w:r w:rsidRPr="00A1103B">
        <w:t>, are not included in this analysis because auctions activities are funded separately.</w:t>
      </w:r>
    </w:p>
  </w:footnote>
  <w:footnote w:id="14">
    <w:p w:rsidR="00A47022" w:rsidRPr="00A1103B" w:rsidRDefault="00A47022" w:rsidP="00214DA1">
      <w:pPr>
        <w:pStyle w:val="FootnoteText"/>
        <w:spacing w:before="120" w:after="0"/>
      </w:pPr>
      <w:r w:rsidRPr="00A1103B">
        <w:rPr>
          <w:rStyle w:val="FootnoteReference"/>
        </w:rPr>
        <w:footnoteRef/>
      </w:r>
      <w:r w:rsidRPr="00A1103B">
        <w:t xml:space="preserve"> </w:t>
      </w:r>
      <w:r w:rsidRPr="00A1103B">
        <w:rPr>
          <w:i/>
        </w:rPr>
        <w:t>See Assessment and Collection of Regulatory Fees for Fiscal Year 2008</w:t>
      </w:r>
      <w:r w:rsidRPr="00A1103B">
        <w:t>, Report and Order and Further Notice of Proposed Rulemaking, 24 FCC Rcd 6388 (2008) (</w:t>
      </w:r>
      <w:r w:rsidRPr="00A1103B">
        <w:rPr>
          <w:i/>
        </w:rPr>
        <w:t>FY 2008 FNPRM</w:t>
      </w:r>
      <w:r w:rsidRPr="00A1103B">
        <w:t>).</w:t>
      </w:r>
    </w:p>
  </w:footnote>
  <w:footnote w:id="15">
    <w:p w:rsidR="00A47022" w:rsidRDefault="00A47022" w:rsidP="007E5E70">
      <w:pPr>
        <w:pStyle w:val="FootnoteText"/>
        <w:spacing w:before="120" w:after="0"/>
      </w:pPr>
      <w:r>
        <w:rPr>
          <w:rStyle w:val="FootnoteReference"/>
        </w:rPr>
        <w:footnoteRef/>
      </w:r>
      <w:r>
        <w:t xml:space="preserve"> </w:t>
      </w:r>
      <w:r w:rsidRPr="00942291">
        <w:rPr>
          <w:i/>
        </w:rPr>
        <w:t>FY 2008 FNPRM</w:t>
      </w:r>
      <w:r>
        <w:t>, 24 FCC Rcd at 6402, para. 30.</w:t>
      </w:r>
    </w:p>
  </w:footnote>
  <w:footnote w:id="16">
    <w:p w:rsidR="00A47022" w:rsidRDefault="00A47022" w:rsidP="00447A0E">
      <w:pPr>
        <w:pStyle w:val="FootnoteText"/>
        <w:spacing w:before="120" w:after="0"/>
      </w:pPr>
      <w:r>
        <w:rPr>
          <w:rStyle w:val="FootnoteReference"/>
        </w:rPr>
        <w:footnoteRef/>
      </w:r>
      <w:r>
        <w:t xml:space="preserve"> </w:t>
      </w:r>
      <w:r w:rsidRPr="00942291">
        <w:rPr>
          <w:i/>
        </w:rPr>
        <w:t>FY 2008 FNPRM</w:t>
      </w:r>
      <w:r>
        <w:t xml:space="preserve">, 24 FCC Rcd at 6405, para. 41.  USTA proposed updating the FTE calculations.  USTA Comments (9/25/08) at 2-4.  ITTA advocated an annual update of FTE data.  ITTA Comments (9/25/08) at 7-9.  </w:t>
      </w:r>
    </w:p>
  </w:footnote>
  <w:footnote w:id="17">
    <w:p w:rsidR="00A47022" w:rsidRDefault="00A47022" w:rsidP="007E5E70">
      <w:pPr>
        <w:pStyle w:val="FootnoteText"/>
        <w:spacing w:before="120" w:after="0"/>
      </w:pPr>
      <w:r>
        <w:rPr>
          <w:rStyle w:val="FootnoteReference"/>
        </w:rPr>
        <w:footnoteRef/>
      </w:r>
      <w:r>
        <w:t xml:space="preserve"> </w:t>
      </w:r>
      <w:r w:rsidRPr="00942291">
        <w:rPr>
          <w:i/>
        </w:rPr>
        <w:t>FY 2008 FNPRM</w:t>
      </w:r>
      <w:r>
        <w:t xml:space="preserve">, 24 FCC Rcd at 6404, para. 40.  ITTA advocated combining the wireless and ITSP categories.  ITTA Comments (9/25/08) at 7-9.  </w:t>
      </w:r>
    </w:p>
  </w:footnote>
  <w:footnote w:id="18">
    <w:p w:rsidR="00A47022" w:rsidRDefault="00A47022" w:rsidP="007E5E70">
      <w:pPr>
        <w:pStyle w:val="FootnoteText"/>
        <w:spacing w:before="120" w:after="0"/>
      </w:pPr>
      <w:r>
        <w:rPr>
          <w:rStyle w:val="FootnoteReference"/>
        </w:rPr>
        <w:footnoteRef/>
      </w:r>
      <w:r>
        <w:t xml:space="preserve"> </w:t>
      </w:r>
      <w:r w:rsidRPr="00942291">
        <w:rPr>
          <w:i/>
        </w:rPr>
        <w:t>FY 2008 FNPRM</w:t>
      </w:r>
      <w:r>
        <w:t>, 24 FCC Rcd at 6406-07, paras. 48-49.</w:t>
      </w:r>
    </w:p>
  </w:footnote>
  <w:footnote w:id="19">
    <w:p w:rsidR="00A47022" w:rsidRDefault="00A47022" w:rsidP="007E5E70">
      <w:pPr>
        <w:pStyle w:val="FootnoteText"/>
        <w:spacing w:before="120" w:after="0"/>
      </w:pPr>
      <w:r>
        <w:rPr>
          <w:rStyle w:val="FootnoteReference"/>
        </w:rPr>
        <w:footnoteRef/>
      </w:r>
      <w:r>
        <w:t xml:space="preserve"> </w:t>
      </w:r>
      <w:r w:rsidRPr="00942291">
        <w:rPr>
          <w:i/>
        </w:rPr>
        <w:t>FY 2008 FNPRM</w:t>
      </w:r>
      <w:r>
        <w:t xml:space="preserve">, 24 FCC Rcd at 6407, para. 50.  NCTA recommended adopting a per-subscriber based regulatory fee for all </w:t>
      </w:r>
      <w:r w:rsidRPr="007F7B4B">
        <w:rPr>
          <w:szCs w:val="22"/>
        </w:rPr>
        <w:t>multichannel video programming distributors</w:t>
      </w:r>
      <w:r>
        <w:t xml:space="preserve"> (MVPDs).  NCTA Comments (9/25/08) at 2-4.</w:t>
      </w:r>
    </w:p>
  </w:footnote>
  <w:footnote w:id="20">
    <w:p w:rsidR="00A47022" w:rsidRPr="00A1103B" w:rsidRDefault="00A47022" w:rsidP="00264D6C">
      <w:pPr>
        <w:pStyle w:val="FootnoteText"/>
        <w:spacing w:before="120" w:after="0"/>
      </w:pPr>
      <w:r w:rsidRPr="00A1103B">
        <w:rPr>
          <w:rStyle w:val="FootnoteReference"/>
        </w:rPr>
        <w:footnoteRef/>
      </w:r>
      <w:r w:rsidRPr="00A1103B">
        <w:t xml:space="preserve"> This methodology allocates int</w:t>
      </w:r>
      <w:r>
        <w:t xml:space="preserve">ernational bearer circuit </w:t>
      </w:r>
      <w:r w:rsidRPr="00A1103B">
        <w:t>costs among service providers without distinguishing between common carriers and non-common carriers, by assessing a flat per cable landing license fee for all submarine cable systems, with higher fees for larger submarine cable systems and lower fees for smaller systems</w:t>
      </w:r>
      <w:r>
        <w:t xml:space="preserve">.  </w:t>
      </w:r>
      <w:r w:rsidRPr="00A1103B">
        <w:rPr>
          <w:i/>
        </w:rPr>
        <w:t>Assessment and Collection of Regulatory Fees for Fiscal Year 2008</w:t>
      </w:r>
      <w:r w:rsidRPr="00A1103B">
        <w:t>, Second Report and Order, 24 FCC Rcd 4208</w:t>
      </w:r>
      <w:r>
        <w:t>, 4213, para. 11</w:t>
      </w:r>
      <w:r w:rsidRPr="00A1103B">
        <w:t xml:space="preserve"> (2009) (</w:t>
      </w:r>
      <w:r w:rsidRPr="00A1103B">
        <w:rPr>
          <w:i/>
        </w:rPr>
        <w:t>Submarine Cable Order</w:t>
      </w:r>
      <w:r w:rsidRPr="00A1103B">
        <w:t>).</w:t>
      </w:r>
    </w:p>
  </w:footnote>
  <w:footnote w:id="21">
    <w:p w:rsidR="00A47022" w:rsidRPr="00A1103B" w:rsidRDefault="00A47022" w:rsidP="00214DA1">
      <w:pPr>
        <w:pStyle w:val="FootnoteText"/>
        <w:spacing w:before="120" w:after="0"/>
      </w:pPr>
      <w:r w:rsidRPr="00A1103B">
        <w:rPr>
          <w:rStyle w:val="FootnoteReference"/>
        </w:rPr>
        <w:footnoteRef/>
      </w:r>
      <w:r w:rsidRPr="00A1103B">
        <w:t xml:space="preserve"> </w:t>
      </w:r>
      <w:r w:rsidRPr="00A1103B">
        <w:rPr>
          <w:i/>
        </w:rPr>
        <w:t>See</w:t>
      </w:r>
      <w:r w:rsidRPr="00A1103B">
        <w:t xml:space="preserve"> GAO, Federal Communications Commission, “Regulatory Fee Process Needs to be Updated,” Aug. 2012, GAO-12-686</w:t>
      </w:r>
      <w:r>
        <w:t xml:space="preserve"> (GAO Report).</w:t>
      </w:r>
    </w:p>
  </w:footnote>
  <w:footnote w:id="22">
    <w:p w:rsidR="00A47022" w:rsidRDefault="00A47022" w:rsidP="00600472">
      <w:pPr>
        <w:pStyle w:val="FootnoteText"/>
        <w:spacing w:before="120" w:after="0"/>
      </w:pPr>
      <w:r>
        <w:rPr>
          <w:rStyle w:val="FootnoteReference"/>
        </w:rPr>
        <w:footnoteRef/>
      </w:r>
      <w:r>
        <w:t xml:space="preserve"> </w:t>
      </w:r>
      <w:r w:rsidRPr="00A1103B">
        <w:rPr>
          <w:i/>
        </w:rPr>
        <w:t>FY 2012 NPRM</w:t>
      </w:r>
      <w:r w:rsidRPr="00A1103B">
        <w:t>, 27 FCC Rcd 8458.</w:t>
      </w:r>
      <w:r w:rsidRPr="00A1103B">
        <w:rPr>
          <w:i/>
        </w:rPr>
        <w:t xml:space="preserve"> </w:t>
      </w:r>
      <w:r>
        <w:t xml:space="preserve"> </w:t>
      </w:r>
    </w:p>
  </w:footnote>
  <w:footnote w:id="23">
    <w:p w:rsidR="00A47022" w:rsidRPr="00A1103B" w:rsidRDefault="00A47022" w:rsidP="00214DA1">
      <w:pPr>
        <w:pStyle w:val="FootnoteText"/>
        <w:spacing w:before="120" w:after="0"/>
      </w:pPr>
      <w:r w:rsidRPr="00A1103B">
        <w:rPr>
          <w:rStyle w:val="FootnoteReference"/>
        </w:rPr>
        <w:footnoteRef/>
      </w:r>
      <w:r w:rsidRPr="00A1103B">
        <w:t xml:space="preserve"> </w:t>
      </w:r>
      <w:r>
        <w:t>For example, some commenters argued, in both proceedings, that the Commission should update its FTEs in each core bureau (AT&amp;T Comments (9/17/12) at 3-4, CTIA Reply Comments (10/23/12) at 2-4, Frontier Communications Reply Comments (10/23/12) at 2-6, NCTA Reply Comments (10/23/12) at 3-6, USTA Comments (9/17/12) at 2-7, Verizon Comments (9/17/12) at 2-4, ITTA Ex Parte (2/11/13) at 1-2); that DBS providers should pay regulatory fees to cover Media Bureau activities (ACA Reply Comments (10/23/12) at 4-12); that DBS providers should not pay regulatory fees to cover Media Bureau activities (DIRECTV Ex Parte (11/9/12) at 1-18); and that satellite and submarine cable operators should not be required to pay regulatory fees based on the total number of FTEs in the International Bureau but that the fees should instead be lower (America Movil Comments (9/17/12) at 2-6, Globalstar Reply Comments (10/17/12) at 1-2, Global VSAT Forum Reply Comments (10/23/12) at 4-7, Hughes Network Systems Ex Parte (8/1/12) at 1, Intelsat Reply Comments (10/23/12) at 2-10, (ICC Comments (9/17/12) at 5-17, NASCA Comments (9/17/12) at 4-30, SES Ex Parte (3/8/13) at 1-2, SIA Comments (9/17/12) at 12-15, Sirius XM Radio Inc. Reply Comments (10/23/12) at 2-5, Telstra Comments (9/17/12) at 3).  To the extent that the FY 2012 and FY 2013 NPRMs raised the same issues for comment, we have considered herein the comments filed in response to both NPRMs.</w:t>
      </w:r>
    </w:p>
  </w:footnote>
  <w:footnote w:id="24">
    <w:p w:rsidR="00A47022" w:rsidRDefault="00A47022" w:rsidP="00214DA1">
      <w:pPr>
        <w:pStyle w:val="FootnoteText"/>
        <w:spacing w:before="120" w:after="0"/>
      </w:pPr>
      <w:r>
        <w:rPr>
          <w:rStyle w:val="FootnoteReference"/>
        </w:rPr>
        <w:footnoteRef/>
      </w:r>
      <w:r>
        <w:t xml:space="preserve"> </w:t>
      </w:r>
      <w:r w:rsidRPr="00D40B1F">
        <w:rPr>
          <w:i/>
        </w:rPr>
        <w:t>FY 2013 NPRM</w:t>
      </w:r>
      <w:r>
        <w:t>, 28 FCC Rcd at 7797, para. 16.</w:t>
      </w:r>
    </w:p>
  </w:footnote>
  <w:footnote w:id="25">
    <w:p w:rsidR="00A47022" w:rsidRDefault="00A47022" w:rsidP="00287DC5">
      <w:pPr>
        <w:pStyle w:val="FootnoteText"/>
        <w:spacing w:before="120" w:after="0"/>
      </w:pPr>
      <w:r>
        <w:rPr>
          <w:rStyle w:val="FootnoteReference"/>
        </w:rPr>
        <w:footnoteRef/>
      </w:r>
      <w:r>
        <w:t xml:space="preserve"> </w:t>
      </w:r>
      <w:r w:rsidRPr="00D40B1F">
        <w:rPr>
          <w:i/>
        </w:rPr>
        <w:t>FY 2013 NPRM</w:t>
      </w:r>
      <w:r>
        <w:t>, 28 FCC Rcd at 7799, para. 19.</w:t>
      </w:r>
    </w:p>
  </w:footnote>
  <w:footnote w:id="26">
    <w:p w:rsidR="00A47022" w:rsidRDefault="00A47022" w:rsidP="00234340">
      <w:pPr>
        <w:pStyle w:val="FootnoteText"/>
        <w:spacing w:before="120" w:after="0"/>
      </w:pPr>
      <w:r>
        <w:rPr>
          <w:rStyle w:val="FootnoteReference"/>
        </w:rPr>
        <w:footnoteRef/>
      </w:r>
      <w:r>
        <w:t xml:space="preserve"> </w:t>
      </w:r>
      <w:r w:rsidRPr="00D40B1F">
        <w:rPr>
          <w:i/>
        </w:rPr>
        <w:t>FY 2013 NPRM</w:t>
      </w:r>
      <w:r>
        <w:t>, 28 FCC Rcd at 7798-7807, paras. 17-40.</w:t>
      </w:r>
    </w:p>
  </w:footnote>
  <w:footnote w:id="27">
    <w:p w:rsidR="00A47022" w:rsidRPr="00A1103B" w:rsidRDefault="00A47022" w:rsidP="00214DA1">
      <w:pPr>
        <w:pStyle w:val="FootnoteText"/>
        <w:spacing w:before="120" w:after="0"/>
      </w:pPr>
      <w:r w:rsidRPr="00A1103B">
        <w:rPr>
          <w:rStyle w:val="FootnoteReference"/>
        </w:rPr>
        <w:footnoteRef/>
      </w:r>
      <w:r w:rsidRPr="00A1103B">
        <w:rPr>
          <w:i/>
        </w:rPr>
        <w:t xml:space="preserve"> FY 201</w:t>
      </w:r>
      <w:r>
        <w:rPr>
          <w:i/>
        </w:rPr>
        <w:t>3</w:t>
      </w:r>
      <w:r w:rsidRPr="00A1103B">
        <w:rPr>
          <w:i/>
        </w:rPr>
        <w:t xml:space="preserve"> NPRM</w:t>
      </w:r>
      <w:r w:rsidRPr="00A1103B">
        <w:t xml:space="preserve">, </w:t>
      </w:r>
      <w:r>
        <w:t xml:space="preserve">28 </w:t>
      </w:r>
      <w:r w:rsidRPr="00A1103B">
        <w:t xml:space="preserve">FCC Rcd at </w:t>
      </w:r>
      <w:r>
        <w:t>7794-95</w:t>
      </w:r>
      <w:r w:rsidRPr="00A1103B">
        <w:t xml:space="preserve">, para. </w:t>
      </w:r>
      <w:r>
        <w:t>9</w:t>
      </w:r>
      <w:r w:rsidRPr="00A1103B">
        <w:t>.</w:t>
      </w:r>
    </w:p>
  </w:footnote>
  <w:footnote w:id="28">
    <w:p w:rsidR="00A47022" w:rsidRDefault="00A47022" w:rsidP="00AE212D">
      <w:pPr>
        <w:pStyle w:val="FootnoteText"/>
        <w:spacing w:before="120" w:after="0"/>
      </w:pPr>
      <w:r>
        <w:rPr>
          <w:rStyle w:val="FootnoteReference"/>
        </w:rPr>
        <w:footnoteRef/>
      </w:r>
      <w:r>
        <w:t xml:space="preserve"> </w:t>
      </w:r>
      <w:r w:rsidRPr="00D40B1F">
        <w:rPr>
          <w:i/>
        </w:rPr>
        <w:t>FY 2013 NPRM</w:t>
      </w:r>
      <w:r>
        <w:t>, 28 FCC Rcd at 7798, para. 17.</w:t>
      </w:r>
    </w:p>
  </w:footnote>
  <w:footnote w:id="29">
    <w:p w:rsidR="00A47022" w:rsidRDefault="00A47022" w:rsidP="00EE24B6">
      <w:pPr>
        <w:pStyle w:val="FootnoteText"/>
        <w:spacing w:before="120" w:after="0"/>
      </w:pPr>
      <w:r>
        <w:rPr>
          <w:rStyle w:val="FootnoteReference"/>
        </w:rPr>
        <w:footnoteRef/>
      </w:r>
      <w:r>
        <w:t xml:space="preserve"> </w:t>
      </w:r>
      <w:r w:rsidRPr="007C5BFA">
        <w:rPr>
          <w:i/>
        </w:rPr>
        <w:t>See, e.g</w:t>
      </w:r>
      <w:r>
        <w:t>., ITTA Comments at 3-7; CTIA Comments at 10; USTA Comments at 2-4; AT&amp;T Comments at 1-2.</w:t>
      </w:r>
    </w:p>
  </w:footnote>
  <w:footnote w:id="30">
    <w:p w:rsidR="00A47022" w:rsidRDefault="00A47022" w:rsidP="00EE24B6">
      <w:pPr>
        <w:pStyle w:val="FootnoteText"/>
        <w:spacing w:before="120" w:after="0"/>
      </w:pPr>
      <w:r>
        <w:rPr>
          <w:rStyle w:val="FootnoteReference"/>
        </w:rPr>
        <w:footnoteRef/>
      </w:r>
      <w:r>
        <w:t xml:space="preserve"> NAB Comments at 6 (requesting that “the Commission temporarily defer the implementation of the proposals set forth in the Notice to allow time for additional analysis.”).  </w:t>
      </w:r>
      <w:r w:rsidRPr="008E7D3B">
        <w:rPr>
          <w:i/>
        </w:rPr>
        <w:t>See also</w:t>
      </w:r>
      <w:r>
        <w:t xml:space="preserve"> ACA Comments at 12 (“it would be prudent and fair for the Commission to do what it can to maintain the regulatory fee status quo until decisions are made on implementing the pending reforms affecting the fees paid by cable operators.”); ABA Reply Comments at 3 (urging the Commission to maintain the current allocations for FY 2013). </w:t>
      </w:r>
    </w:p>
  </w:footnote>
  <w:footnote w:id="31">
    <w:p w:rsidR="00A47022" w:rsidRDefault="00A47022" w:rsidP="00214DA1">
      <w:pPr>
        <w:pStyle w:val="FootnoteText"/>
        <w:spacing w:before="120" w:after="0"/>
      </w:pPr>
      <w:r>
        <w:rPr>
          <w:rStyle w:val="FootnoteReference"/>
        </w:rPr>
        <w:footnoteRef/>
      </w:r>
      <w:r>
        <w:t xml:space="preserve"> </w:t>
      </w:r>
      <w:r w:rsidRPr="007764D3">
        <w:rPr>
          <w:szCs w:val="22"/>
        </w:rPr>
        <w:t>The GAO</w:t>
      </w:r>
      <w:r>
        <w:rPr>
          <w:szCs w:val="22"/>
        </w:rPr>
        <w:t xml:space="preserve"> </w:t>
      </w:r>
      <w:r w:rsidRPr="007764D3">
        <w:rPr>
          <w:szCs w:val="22"/>
        </w:rPr>
        <w:t>noted the lack of transparency of the regulatory fee process</w:t>
      </w:r>
      <w:r>
        <w:rPr>
          <w:szCs w:val="22"/>
        </w:rPr>
        <w:t xml:space="preserve"> and was</w:t>
      </w:r>
      <w:r w:rsidRPr="007764D3">
        <w:rPr>
          <w:szCs w:val="22"/>
        </w:rPr>
        <w:t xml:space="preserve"> particularly concerned with the regulatory fee allocations for the International Bureau and the Wireline Competition Bureau</w:t>
      </w:r>
      <w:r>
        <w:rPr>
          <w:szCs w:val="22"/>
        </w:rPr>
        <w:t xml:space="preserve">.  </w:t>
      </w:r>
      <w:r w:rsidRPr="009A3B34">
        <w:rPr>
          <w:i/>
          <w:szCs w:val="22"/>
        </w:rPr>
        <w:t>S</w:t>
      </w:r>
      <w:r>
        <w:rPr>
          <w:i/>
          <w:szCs w:val="22"/>
        </w:rPr>
        <w:t xml:space="preserve">ee </w:t>
      </w:r>
      <w:r>
        <w:rPr>
          <w:szCs w:val="22"/>
        </w:rPr>
        <w:t>GAO Report at p. 23.</w:t>
      </w:r>
    </w:p>
  </w:footnote>
  <w:footnote w:id="32">
    <w:p w:rsidR="00A47022" w:rsidRDefault="00A47022" w:rsidP="00D23645">
      <w:pPr>
        <w:pStyle w:val="FootnoteText"/>
        <w:spacing w:before="120" w:after="0"/>
      </w:pPr>
      <w:r>
        <w:rPr>
          <w:rStyle w:val="FootnoteReference"/>
        </w:rPr>
        <w:footnoteRef/>
      </w:r>
      <w:r>
        <w:t xml:space="preserve"> The FTEs used herein are determined as of Sept. 30, 2012.</w:t>
      </w:r>
    </w:p>
  </w:footnote>
  <w:footnote w:id="33">
    <w:p w:rsidR="00A47022" w:rsidRPr="00A1103B" w:rsidRDefault="00A47022" w:rsidP="00214DA1">
      <w:pPr>
        <w:pStyle w:val="FootnoteText"/>
        <w:spacing w:before="120" w:after="0"/>
      </w:pPr>
      <w:r w:rsidRPr="00A1103B">
        <w:rPr>
          <w:rStyle w:val="FootnoteReference"/>
        </w:rPr>
        <w:footnoteRef/>
      </w:r>
      <w:r w:rsidRPr="00A1103B">
        <w:t xml:space="preserve"> </w:t>
      </w:r>
      <w:r w:rsidRPr="00A1103B">
        <w:rPr>
          <w:i/>
        </w:rPr>
        <w:t>FY 2012 NPRM</w:t>
      </w:r>
      <w:r w:rsidRPr="00A1103B">
        <w:t>, 27 FCC Rcd at 8467, para. 25.</w:t>
      </w:r>
    </w:p>
  </w:footnote>
  <w:footnote w:id="34">
    <w:p w:rsidR="00A47022" w:rsidRPr="00A1103B" w:rsidRDefault="00A47022" w:rsidP="00214DA1">
      <w:pPr>
        <w:pStyle w:val="FootnoteText"/>
        <w:spacing w:before="120" w:after="0"/>
      </w:pPr>
      <w:r w:rsidRPr="00A1103B">
        <w:rPr>
          <w:rStyle w:val="FootnoteReference"/>
        </w:rPr>
        <w:footnoteRef/>
      </w:r>
      <w:r w:rsidRPr="00A1103B">
        <w:t xml:space="preserve"> </w:t>
      </w:r>
      <w:r w:rsidRPr="00A1103B">
        <w:rPr>
          <w:i/>
        </w:rPr>
        <w:t>Id.</w:t>
      </w:r>
    </w:p>
  </w:footnote>
  <w:footnote w:id="35">
    <w:p w:rsidR="00A47022" w:rsidRDefault="00A47022" w:rsidP="00AE212D">
      <w:pPr>
        <w:pStyle w:val="FootnoteText"/>
        <w:spacing w:before="120" w:after="0"/>
      </w:pPr>
      <w:r>
        <w:rPr>
          <w:rStyle w:val="FootnoteReference"/>
        </w:rPr>
        <w:footnoteRef/>
      </w:r>
      <w:r>
        <w:t xml:space="preserve"> </w:t>
      </w:r>
      <w:r w:rsidRPr="00A1103B">
        <w:rPr>
          <w:i/>
        </w:rPr>
        <w:t>FY 201</w:t>
      </w:r>
      <w:r>
        <w:rPr>
          <w:i/>
        </w:rPr>
        <w:t>3</w:t>
      </w:r>
      <w:r w:rsidRPr="00A1103B">
        <w:rPr>
          <w:i/>
        </w:rPr>
        <w:t xml:space="preserve"> NPRM</w:t>
      </w:r>
      <w:r w:rsidRPr="00A1103B">
        <w:t xml:space="preserve">, </w:t>
      </w:r>
      <w:r>
        <w:t xml:space="preserve">28 </w:t>
      </w:r>
      <w:r w:rsidRPr="00A1103B">
        <w:t xml:space="preserve">FCC Rcd at </w:t>
      </w:r>
      <w:r>
        <w:t>7795-98</w:t>
      </w:r>
      <w:r w:rsidRPr="00A1103B">
        <w:t>, para</w:t>
      </w:r>
      <w:r>
        <w:t>s</w:t>
      </w:r>
      <w:r w:rsidRPr="00A1103B">
        <w:t xml:space="preserve">. </w:t>
      </w:r>
      <w:r>
        <w:t>11-17.</w:t>
      </w:r>
    </w:p>
  </w:footnote>
  <w:footnote w:id="36">
    <w:p w:rsidR="00A47022" w:rsidRPr="003A2791" w:rsidRDefault="00A47022" w:rsidP="001F36BF">
      <w:pPr>
        <w:pStyle w:val="FootnoteText"/>
        <w:spacing w:before="120" w:after="0"/>
      </w:pPr>
      <w:r>
        <w:rPr>
          <w:rStyle w:val="FootnoteReference"/>
        </w:rPr>
        <w:footnoteRef/>
      </w:r>
      <w:r>
        <w:t xml:space="preserve"> </w:t>
      </w:r>
      <w:r>
        <w:rPr>
          <w:i/>
        </w:rPr>
        <w:t xml:space="preserve">FY 2012 NPRM, </w:t>
      </w:r>
      <w:r>
        <w:t>27 FCC Rcd 8458, 8467, para. 25.</w:t>
      </w:r>
    </w:p>
  </w:footnote>
  <w:footnote w:id="37">
    <w:p w:rsidR="00A47022" w:rsidRDefault="00A47022" w:rsidP="00152848">
      <w:pPr>
        <w:pStyle w:val="FootnoteText"/>
        <w:spacing w:before="120" w:after="0"/>
      </w:pPr>
      <w:r>
        <w:rPr>
          <w:rStyle w:val="FootnoteReference"/>
        </w:rPr>
        <w:footnoteRef/>
      </w:r>
      <w:r>
        <w:t xml:space="preserve"> </w:t>
      </w:r>
      <w:r>
        <w:rPr>
          <w:i/>
        </w:rPr>
        <w:t xml:space="preserve">FY 2012 NPRM, supra </w:t>
      </w:r>
      <w:r>
        <w:t xml:space="preserve">at paras. 26 – 27; </w:t>
      </w:r>
      <w:r w:rsidRPr="00A1103B">
        <w:rPr>
          <w:i/>
        </w:rPr>
        <w:t>FY 201</w:t>
      </w:r>
      <w:r>
        <w:rPr>
          <w:i/>
        </w:rPr>
        <w:t>3</w:t>
      </w:r>
      <w:r w:rsidRPr="00A1103B">
        <w:rPr>
          <w:i/>
        </w:rPr>
        <w:t xml:space="preserve"> NPRM</w:t>
      </w:r>
      <w:r w:rsidRPr="00A1103B">
        <w:t xml:space="preserve">, </w:t>
      </w:r>
      <w:r>
        <w:t xml:space="preserve">28 </w:t>
      </w:r>
      <w:r w:rsidRPr="00A1103B">
        <w:t xml:space="preserve">FCC Rcd at </w:t>
      </w:r>
      <w:r>
        <w:t>7799-7803</w:t>
      </w:r>
      <w:r w:rsidRPr="00A1103B">
        <w:t>, para</w:t>
      </w:r>
      <w:r>
        <w:t>s</w:t>
      </w:r>
      <w:r w:rsidRPr="00A1103B">
        <w:t xml:space="preserve">. </w:t>
      </w:r>
      <w:r>
        <w:t>19-28.</w:t>
      </w:r>
    </w:p>
  </w:footnote>
  <w:footnote w:id="38">
    <w:p w:rsidR="00A47022" w:rsidRDefault="00A47022" w:rsidP="00152848">
      <w:pPr>
        <w:pStyle w:val="FootnoteText"/>
        <w:spacing w:before="120" w:after="0"/>
      </w:pPr>
      <w:r>
        <w:rPr>
          <w:rStyle w:val="FootnoteReference"/>
        </w:rPr>
        <w:footnoteRef/>
      </w:r>
      <w:r>
        <w:t xml:space="preserve"> Most commenters agree with our proposal.  </w:t>
      </w:r>
      <w:r w:rsidRPr="00776547">
        <w:rPr>
          <w:i/>
        </w:rPr>
        <w:t>See, e.g</w:t>
      </w:r>
      <w:r>
        <w:t xml:space="preserve">., ICC Comments at 2-3 &amp; Reply Comments at 3-4 (supports </w:t>
      </w:r>
      <w:r w:rsidRPr="00D328E7">
        <w:rPr>
          <w:i/>
        </w:rPr>
        <w:t>FY 2013 NPRM</w:t>
      </w:r>
      <w:r>
        <w:t xml:space="preserve"> proposal for International Bureau); Intelsat Comments at 2-3 (same); AT&amp;T Comments at 2 (same); Telstra Comments at 2 (same); SES Comments at 2 (same); SIA Comments at 4-9 &amp; Reply Comments at 2-5 (same); EchoStar and DISH Comments at 6 &amp; Reply Comments at 2-4 (same); NASCA Comments at 3-8 (same).</w:t>
      </w:r>
    </w:p>
  </w:footnote>
  <w:footnote w:id="39">
    <w:p w:rsidR="00A47022" w:rsidRDefault="00A47022" w:rsidP="00152848">
      <w:pPr>
        <w:pStyle w:val="FootnoteText"/>
        <w:spacing w:before="120" w:after="0"/>
      </w:pPr>
      <w:r>
        <w:rPr>
          <w:rStyle w:val="FootnoteReference"/>
        </w:rPr>
        <w:footnoteRef/>
      </w:r>
      <w:r>
        <w:t xml:space="preserve"> </w:t>
      </w:r>
      <w:r w:rsidRPr="00616E39">
        <w:rPr>
          <w:i/>
        </w:rPr>
        <w:t xml:space="preserve">See </w:t>
      </w:r>
      <w:r>
        <w:t>CTIA Comments at 10-11.</w:t>
      </w:r>
    </w:p>
  </w:footnote>
  <w:footnote w:id="40">
    <w:p w:rsidR="00A47022" w:rsidRDefault="00A47022" w:rsidP="00152848">
      <w:pPr>
        <w:pStyle w:val="FootnoteText"/>
        <w:spacing w:before="120" w:after="0"/>
      </w:pPr>
      <w:r>
        <w:rPr>
          <w:rStyle w:val="FootnoteReference"/>
        </w:rPr>
        <w:footnoteRef/>
      </w:r>
      <w:r>
        <w:t xml:space="preserve"> For this reason, the International Bureau would remain a core bureau, in part.</w:t>
      </w:r>
    </w:p>
  </w:footnote>
  <w:footnote w:id="41">
    <w:p w:rsidR="00A47022" w:rsidRDefault="00A47022" w:rsidP="00AE212D">
      <w:pPr>
        <w:pStyle w:val="FootnoteText"/>
        <w:spacing w:before="120" w:after="0"/>
      </w:pPr>
      <w:r>
        <w:rPr>
          <w:rStyle w:val="FootnoteReference"/>
        </w:rPr>
        <w:footnoteRef/>
      </w:r>
      <w:r>
        <w:t xml:space="preserve"> USTA Comments at 6-7.</w:t>
      </w:r>
    </w:p>
  </w:footnote>
  <w:footnote w:id="42">
    <w:p w:rsidR="00A47022" w:rsidRDefault="00A47022" w:rsidP="008C5F88">
      <w:pPr>
        <w:pStyle w:val="FootnoteText"/>
        <w:spacing w:before="120" w:after="0"/>
      </w:pPr>
      <w:r>
        <w:rPr>
          <w:rStyle w:val="FootnoteReference"/>
        </w:rPr>
        <w:footnoteRef/>
      </w:r>
      <w:r>
        <w:t xml:space="preserve"> </w:t>
      </w:r>
      <w:r w:rsidRPr="00966486">
        <w:rPr>
          <w:i/>
          <w:szCs w:val="22"/>
        </w:rPr>
        <w:t>See, e.g</w:t>
      </w:r>
      <w:r w:rsidRPr="00966486">
        <w:rPr>
          <w:szCs w:val="22"/>
        </w:rPr>
        <w:t xml:space="preserve">., ITTA Comments at 5-6 (Wireline Competition Bureau’s work on Universal Service Fund issues benefits regulatees in the wireless, cable, and satellite industries); CCA Comments at 6 (the Commission “should review the functions and activities of all Bureaus rather than just the International Bureau.”); Comments of EchoStar and DISH at 7 </w:t>
      </w:r>
      <w:r>
        <w:rPr>
          <w:szCs w:val="22"/>
        </w:rPr>
        <w:t xml:space="preserve">&amp; Reply Comments at 4 </w:t>
      </w:r>
      <w:r w:rsidRPr="00966486">
        <w:rPr>
          <w:szCs w:val="22"/>
        </w:rPr>
        <w:t>(Commission should “apply the same type of enhanced scrutiny . . . to bureaus and offices currently categorized as consisting of ‘indirect’ FTEs’”)</w:t>
      </w:r>
      <w:r>
        <w:rPr>
          <w:szCs w:val="22"/>
        </w:rPr>
        <w:t>.</w:t>
      </w:r>
    </w:p>
  </w:footnote>
  <w:footnote w:id="43">
    <w:p w:rsidR="00A47022" w:rsidRDefault="00A47022" w:rsidP="00792CED">
      <w:pPr>
        <w:pStyle w:val="FootnoteText"/>
        <w:spacing w:before="120" w:after="0"/>
      </w:pPr>
      <w:r>
        <w:rPr>
          <w:rStyle w:val="FootnoteReference"/>
        </w:rPr>
        <w:footnoteRef/>
      </w:r>
      <w:r>
        <w:t xml:space="preserve"> NAB Comments at 4-5 (“The Commission should either undertake a complete accounting or the actual functions of FTEs in the core bureaus, and allocate regulatory fees accordingly, or consider retaining the existing process of allocating fees based on the percentages of FTEs in the core bureaus.”); ABA Reply Comments at 2-3.</w:t>
      </w:r>
    </w:p>
  </w:footnote>
  <w:footnote w:id="44">
    <w:p w:rsidR="00A47022" w:rsidRDefault="00A47022" w:rsidP="008C5F88">
      <w:pPr>
        <w:pStyle w:val="FootnoteText"/>
        <w:spacing w:before="120" w:after="0"/>
      </w:pPr>
      <w:r>
        <w:rPr>
          <w:rStyle w:val="FootnoteReference"/>
        </w:rPr>
        <w:footnoteRef/>
      </w:r>
      <w:r>
        <w:t xml:space="preserve"> SIA Comments at 10-11 &amp; Reply Comments at 5-6.</w:t>
      </w:r>
    </w:p>
  </w:footnote>
  <w:footnote w:id="45">
    <w:p w:rsidR="00A47022" w:rsidRDefault="00A47022" w:rsidP="008C5F88">
      <w:pPr>
        <w:pStyle w:val="FootnoteText"/>
        <w:spacing w:before="120" w:after="0"/>
      </w:pPr>
      <w:r>
        <w:rPr>
          <w:rStyle w:val="FootnoteReference"/>
        </w:rPr>
        <w:footnoteRef/>
      </w:r>
      <w:r>
        <w:t xml:space="preserve"> NAB Comments at 4 (some Media Bureau FTEs work on spectrum and wireless-related issues).</w:t>
      </w:r>
    </w:p>
  </w:footnote>
  <w:footnote w:id="46">
    <w:p w:rsidR="00A47022" w:rsidRDefault="00A47022" w:rsidP="008C5F88">
      <w:pPr>
        <w:pStyle w:val="FootnoteText"/>
        <w:spacing w:before="120" w:after="0"/>
      </w:pPr>
      <w:r>
        <w:rPr>
          <w:rStyle w:val="FootnoteReference"/>
        </w:rPr>
        <w:footnoteRef/>
      </w:r>
      <w:r>
        <w:t xml:space="preserve"> NASCA Comments at 8-9; Telstra Comments at 2-3; ICC Reply Comments at 2.</w:t>
      </w:r>
    </w:p>
  </w:footnote>
  <w:footnote w:id="47">
    <w:p w:rsidR="00A47022" w:rsidRDefault="00A47022" w:rsidP="008C5F88">
      <w:pPr>
        <w:pStyle w:val="FootnoteText"/>
        <w:spacing w:before="120" w:after="0"/>
      </w:pPr>
      <w:r>
        <w:rPr>
          <w:rStyle w:val="FootnoteReference"/>
        </w:rPr>
        <w:footnoteRef/>
      </w:r>
      <w:r>
        <w:t xml:space="preserve"> We sought comment on this issue and intend to address it in a subsequent proceeding</w:t>
      </w:r>
      <w:r>
        <w:rPr>
          <w:i/>
        </w:rPr>
        <w:t xml:space="preserve">.  See </w:t>
      </w:r>
      <w:r w:rsidRPr="00D40B1F">
        <w:rPr>
          <w:i/>
        </w:rPr>
        <w:t>FY 2013 NPRM</w:t>
      </w:r>
      <w:r>
        <w:t xml:space="preserve">, 28 FCC Rcd at 6407, para. 50.  </w:t>
      </w:r>
      <w:r w:rsidRPr="009A3B34">
        <w:rPr>
          <w:i/>
        </w:rPr>
        <w:t>See, e.g</w:t>
      </w:r>
      <w:r>
        <w:t xml:space="preserve">., AT&amp;T Comments at 4-5 (recommending a single MVPD fee category that would include all MVPDs); ACA Comments at 13-18 (same) &amp; Reply Comments at 1-6 (“this much-needed regulatory reform will ensure regulatory parity between cable operators and DBS providers”); NCTA Reply Comments at 2-5 (“All MVPDs are subject to some level of regulation administered by the Media Bureau and they all benefit from the Bureau’s regulation of other entities.”); DIRECTV Comments at 1-20 (opposing including DBS in such a category); EchoStar and DISH Comments at 18-20 &amp; Reply Comments at 4-6 (same). </w:t>
      </w:r>
    </w:p>
  </w:footnote>
  <w:footnote w:id="48">
    <w:p w:rsidR="00A47022" w:rsidRDefault="00A47022" w:rsidP="00472BDF">
      <w:pPr>
        <w:pStyle w:val="FootnoteText"/>
        <w:spacing w:before="120" w:after="0"/>
      </w:pPr>
      <w:r>
        <w:rPr>
          <w:rStyle w:val="FootnoteReference"/>
        </w:rPr>
        <w:footnoteRef/>
      </w:r>
      <w:r>
        <w:t xml:space="preserve"> CTIA Comments at 12 (“It would be arbitrary and capricious for the Commission to implement any reallocation of FTEs in the WCB without providing parties sufficient time and information to adequately consider the proposal.”)</w:t>
      </w:r>
    </w:p>
  </w:footnote>
  <w:footnote w:id="49">
    <w:p w:rsidR="00A47022" w:rsidRDefault="00A47022" w:rsidP="00472BDF">
      <w:pPr>
        <w:pStyle w:val="FootnoteText"/>
        <w:spacing w:before="120" w:after="0"/>
      </w:pPr>
      <w:r>
        <w:rPr>
          <w:rStyle w:val="FootnoteReference"/>
        </w:rPr>
        <w:footnoteRef/>
      </w:r>
      <w:r>
        <w:t xml:space="preserve"> CTIA Comments at 7.  CTIA states that “the Commission’s proposal to subject wireless regulatees to the ITSP regulatory fee category does not satisfy the necessary conditions set forth in Section 9.”  </w:t>
      </w:r>
      <w:r w:rsidRPr="00476659">
        <w:rPr>
          <w:i/>
        </w:rPr>
        <w:t>Id.</w:t>
      </w:r>
    </w:p>
  </w:footnote>
  <w:footnote w:id="50">
    <w:p w:rsidR="00A47022" w:rsidRDefault="00A47022" w:rsidP="00472BDF">
      <w:pPr>
        <w:pStyle w:val="FootnoteText"/>
        <w:spacing w:before="120" w:after="0"/>
      </w:pPr>
      <w:r>
        <w:rPr>
          <w:rStyle w:val="FootnoteReference"/>
        </w:rPr>
        <w:footnoteRef/>
      </w:r>
      <w:r>
        <w:t xml:space="preserve"> CTIA Comments at 3.  CTIA contends that the wireless industry’s overall contribution to the Commission’s budget includes spectrum auction proceeds.  </w:t>
      </w:r>
      <w:r w:rsidRPr="00E17B20">
        <w:rPr>
          <w:i/>
        </w:rPr>
        <w:t>Id.</w:t>
      </w:r>
    </w:p>
  </w:footnote>
  <w:footnote w:id="51">
    <w:p w:rsidR="00A47022" w:rsidRDefault="00A47022" w:rsidP="00472BDF">
      <w:pPr>
        <w:pStyle w:val="FootnoteText"/>
        <w:spacing w:before="120" w:after="0"/>
      </w:pPr>
      <w:r>
        <w:rPr>
          <w:rStyle w:val="FootnoteReference"/>
        </w:rPr>
        <w:footnoteRef/>
      </w:r>
      <w:r>
        <w:t xml:space="preserve"> CTIA’s concern is that the </w:t>
      </w:r>
      <w:r w:rsidRPr="00583B39">
        <w:rPr>
          <w:i/>
        </w:rPr>
        <w:t>FY 2013 NPRM</w:t>
      </w:r>
      <w:r>
        <w:t xml:space="preserve"> does not “provide a governing standard and, if applied broadly, would upend the regulatory fee structure.”  CTIA Comments at 11.  The only specific example given by CTIA to support this argument is that the </w:t>
      </w:r>
      <w:r w:rsidRPr="00583B39">
        <w:rPr>
          <w:i/>
        </w:rPr>
        <w:t>FY 2013 NPRM</w:t>
      </w:r>
      <w:r>
        <w:t xml:space="preserve"> “fails to explain why all FTEs in the IB front office would be treated to a different standard than front office personnel in other core bureaus, none of whom are considered indirect FTEs.”  </w:t>
      </w:r>
      <w:r w:rsidRPr="005A5023">
        <w:rPr>
          <w:i/>
        </w:rPr>
        <w:t>Id.</w:t>
      </w:r>
    </w:p>
  </w:footnote>
  <w:footnote w:id="52">
    <w:p w:rsidR="00A47022" w:rsidRDefault="00A47022" w:rsidP="007C4EAF">
      <w:pPr>
        <w:pStyle w:val="FootnoteText"/>
        <w:spacing w:before="120" w:after="0"/>
      </w:pPr>
      <w:r>
        <w:rPr>
          <w:rStyle w:val="FootnoteReference"/>
        </w:rPr>
        <w:footnoteRef/>
      </w:r>
      <w:r>
        <w:t xml:space="preserve"> EchoStar and DISH Reply Comments at 4.</w:t>
      </w:r>
    </w:p>
  </w:footnote>
  <w:footnote w:id="53">
    <w:p w:rsidR="00A47022" w:rsidRDefault="00A47022" w:rsidP="00AE212D">
      <w:pPr>
        <w:pStyle w:val="FootnoteText"/>
        <w:spacing w:before="120" w:after="0"/>
      </w:pPr>
      <w:r>
        <w:rPr>
          <w:rStyle w:val="FootnoteReference"/>
        </w:rPr>
        <w:footnoteRef/>
      </w:r>
      <w:r>
        <w:t xml:space="preserve"> CTIA Reply Comments at 5, </w:t>
      </w:r>
      <w:r w:rsidRPr="004351E1">
        <w:rPr>
          <w:i/>
        </w:rPr>
        <w:t>quoting</w:t>
      </w:r>
      <w:r>
        <w:t xml:space="preserve"> USTA Comments at 7.</w:t>
      </w:r>
    </w:p>
  </w:footnote>
  <w:footnote w:id="54">
    <w:p w:rsidR="00A47022" w:rsidRDefault="00A47022" w:rsidP="00AE212D">
      <w:pPr>
        <w:pStyle w:val="FootnoteText"/>
        <w:spacing w:before="120" w:after="0"/>
      </w:pPr>
      <w:r>
        <w:rPr>
          <w:rStyle w:val="FootnoteReference"/>
        </w:rPr>
        <w:footnoteRef/>
      </w:r>
      <w:r>
        <w:t xml:space="preserve"> </w:t>
      </w:r>
      <w:r w:rsidRPr="00A1103B">
        <w:rPr>
          <w:i/>
        </w:rPr>
        <w:t>FY 201</w:t>
      </w:r>
      <w:r>
        <w:rPr>
          <w:i/>
        </w:rPr>
        <w:t>3</w:t>
      </w:r>
      <w:r w:rsidRPr="00A1103B">
        <w:rPr>
          <w:i/>
        </w:rPr>
        <w:t xml:space="preserve"> NPRM</w:t>
      </w:r>
      <w:r w:rsidRPr="00A1103B">
        <w:t xml:space="preserve">, </w:t>
      </w:r>
      <w:r>
        <w:t xml:space="preserve">28 </w:t>
      </w:r>
      <w:r w:rsidRPr="00A1103B">
        <w:t xml:space="preserve">FCC Rcd at </w:t>
      </w:r>
      <w:r>
        <w:t>7803-04</w:t>
      </w:r>
      <w:r w:rsidRPr="00A1103B">
        <w:t>, para</w:t>
      </w:r>
      <w:r>
        <w:t>s</w:t>
      </w:r>
      <w:r w:rsidRPr="00A1103B">
        <w:t xml:space="preserve">. </w:t>
      </w:r>
      <w:r>
        <w:t>30-31.</w:t>
      </w:r>
    </w:p>
  </w:footnote>
  <w:footnote w:id="55">
    <w:p w:rsidR="00A47022" w:rsidRDefault="00A47022" w:rsidP="008C5F88">
      <w:pPr>
        <w:pStyle w:val="FootnoteText"/>
        <w:spacing w:before="120" w:after="0"/>
      </w:pPr>
      <w:r>
        <w:rPr>
          <w:rStyle w:val="FootnoteReference"/>
        </w:rPr>
        <w:footnoteRef/>
      </w:r>
      <w:r>
        <w:t xml:space="preserve"> USTA Comments at 4-5.  Several commenters agree that a limitation on fee increases is needed to prevent economic hardship.  </w:t>
      </w:r>
      <w:r w:rsidRPr="006D2985">
        <w:rPr>
          <w:i/>
        </w:rPr>
        <w:t>See, e.g</w:t>
      </w:r>
      <w:r>
        <w:t xml:space="preserve">., CCA Comments at 6 (“any fee increases resulting from the use of updated data should be capped to limit the severity of the impact on payors”); Echostar and DISH Comments at 13-14 (“a reasonable approach would be for the Commission to establish a guideline providing for a multi-year phase in of any fee increase where the change would exceed the rate of inflation”); NASCA Comments at 10 (a 7.5% “cap on fee increases is consistent with the requirements of Section 9”); ACA Comments at 11 (supporting the proposed 7.5% cap); SIA Reply Comments at 9-10 (a cap on fee increases is needed); ICC Reply Comments at 4 (the proposed cap should be an interim measure only); ABA Reply Comments at 2 (even with the 7.5% cap, the fee increase will cause “irreparable injury” to small broadcasters).  </w:t>
      </w:r>
      <w:r w:rsidRPr="0063110B">
        <w:rPr>
          <w:i/>
        </w:rPr>
        <w:t>See also</w:t>
      </w:r>
      <w:r>
        <w:t xml:space="preserve"> NAB Comments at 6 (“We also urge the Commission to be cognizant of the burden that regulatory fees impose on some Commission licensees, particularly the smallest broadcast stations, which may have a few as two or three permanent staff.”).</w:t>
      </w:r>
    </w:p>
  </w:footnote>
  <w:footnote w:id="56">
    <w:p w:rsidR="00A47022" w:rsidRDefault="00A47022" w:rsidP="00AB4D47">
      <w:pPr>
        <w:pStyle w:val="FootnoteText"/>
        <w:spacing w:before="120" w:after="0"/>
      </w:pPr>
      <w:r>
        <w:rPr>
          <w:rStyle w:val="FootnoteReference"/>
        </w:rPr>
        <w:footnoteRef/>
      </w:r>
      <w:r>
        <w:t xml:space="preserve"> ITTA Comments at 2.</w:t>
      </w:r>
    </w:p>
  </w:footnote>
  <w:footnote w:id="57">
    <w:p w:rsidR="00A47022" w:rsidRDefault="00A47022" w:rsidP="00AB4D47">
      <w:pPr>
        <w:pStyle w:val="FootnoteText"/>
        <w:spacing w:before="120" w:after="0"/>
      </w:pPr>
      <w:r>
        <w:rPr>
          <w:rStyle w:val="FootnoteReference"/>
        </w:rPr>
        <w:footnoteRef/>
      </w:r>
      <w:r>
        <w:t xml:space="preserve"> AT&amp;T Comments at 2.</w:t>
      </w:r>
    </w:p>
  </w:footnote>
  <w:footnote w:id="58">
    <w:p w:rsidR="00A47022" w:rsidRDefault="00A47022" w:rsidP="00AB4D47">
      <w:pPr>
        <w:pStyle w:val="FootnoteText"/>
        <w:spacing w:before="120" w:after="0"/>
      </w:pPr>
      <w:r>
        <w:rPr>
          <w:rStyle w:val="FootnoteReference"/>
        </w:rPr>
        <w:footnoteRef/>
      </w:r>
      <w:r>
        <w:t xml:space="preserve"> ICC Comments at 7.  </w:t>
      </w:r>
      <w:r w:rsidRPr="00B16900">
        <w:rPr>
          <w:i/>
        </w:rPr>
        <w:t xml:space="preserve">Also see </w:t>
      </w:r>
      <w:r>
        <w:t>note 69 below.</w:t>
      </w:r>
    </w:p>
  </w:footnote>
  <w:footnote w:id="59">
    <w:p w:rsidR="00A47022" w:rsidRDefault="00A47022" w:rsidP="00E141D1">
      <w:pPr>
        <w:pStyle w:val="FootnoteText"/>
        <w:spacing w:before="120" w:after="0"/>
      </w:pPr>
      <w:r>
        <w:rPr>
          <w:rStyle w:val="FootnoteReference"/>
        </w:rPr>
        <w:footnoteRef/>
      </w:r>
      <w:r>
        <w:t xml:space="preserve"> </w:t>
      </w:r>
      <w:r>
        <w:rPr>
          <w:i/>
        </w:rPr>
        <w:t xml:space="preserve">See Assessment and Collection of Regulatory Fees for Fiscal Year 1997, </w:t>
      </w:r>
      <w:r>
        <w:t xml:space="preserve">Report and Order, 12 FCC Rcd 17161, 17176, para. 37 (1997).  The fee shock the Commission sought to avoid was caused by the use of employee time sheet entries to calculate direct and indirect FTEs, a methodology that was ultimately abandoned as unworkable. </w:t>
      </w:r>
    </w:p>
  </w:footnote>
  <w:footnote w:id="60">
    <w:p w:rsidR="00A47022" w:rsidRPr="00B43CFA" w:rsidRDefault="00A47022" w:rsidP="001F36BF">
      <w:pPr>
        <w:pStyle w:val="FootnoteText"/>
        <w:spacing w:before="120" w:after="0"/>
      </w:pPr>
      <w:r>
        <w:rPr>
          <w:rStyle w:val="FootnoteReference"/>
        </w:rPr>
        <w:footnoteRef/>
      </w:r>
      <w:r>
        <w:t xml:space="preserve"> </w:t>
      </w:r>
      <w:r>
        <w:rPr>
          <w:i/>
        </w:rPr>
        <w:t xml:space="preserve">FY 2013 NPRM, </w:t>
      </w:r>
      <w:r>
        <w:t>28 FCC Rcd at 7803, para. 30.</w:t>
      </w:r>
    </w:p>
  </w:footnote>
  <w:footnote w:id="61">
    <w:p w:rsidR="00A47022" w:rsidRDefault="00A47022" w:rsidP="00AA44D7">
      <w:pPr>
        <w:pStyle w:val="FootnoteText"/>
        <w:spacing w:before="120" w:after="0"/>
      </w:pPr>
      <w:r>
        <w:rPr>
          <w:rStyle w:val="FootnoteReference"/>
        </w:rPr>
        <w:footnoteRef/>
      </w:r>
      <w:r>
        <w:t xml:space="preserve"> USTA Comments at 4-5.  AT&amp;T contends that a cap on increases should be unnecessary if the Commission would fairly account for FTE distribution among the core bureaus.  AT&amp;T Comments at 2.</w:t>
      </w:r>
    </w:p>
  </w:footnote>
  <w:footnote w:id="62">
    <w:p w:rsidR="00A47022" w:rsidRDefault="00A47022" w:rsidP="006A60E4">
      <w:pPr>
        <w:pStyle w:val="FootnoteText"/>
        <w:spacing w:before="120" w:after="0"/>
      </w:pPr>
      <w:r>
        <w:rPr>
          <w:rStyle w:val="FootnoteReference"/>
        </w:rPr>
        <w:footnoteRef/>
      </w:r>
      <w:r>
        <w:t xml:space="preserve"> ITTA proposes a 14% limitation, for one year.  ITTA Ex Parte Communication (July 11, 2013) at 2.  For the reasons discussed above, we disagree with ITTA’s proposal.</w:t>
      </w:r>
    </w:p>
  </w:footnote>
  <w:footnote w:id="63">
    <w:p w:rsidR="00A47022" w:rsidRDefault="00A47022">
      <w:pPr>
        <w:pStyle w:val="FootnoteText"/>
      </w:pPr>
      <w:r>
        <w:rPr>
          <w:rStyle w:val="FootnoteReference"/>
        </w:rPr>
        <w:footnoteRef/>
      </w:r>
      <w:r>
        <w:t xml:space="preserve"> 28 FCC Rcd 7790, 7823, Attachment B, “Revised FTE (as of 9/30/12) Allocations, Fee Rate Increases Capped at 7.5%, Prior to Rounding.”</w:t>
      </w:r>
    </w:p>
  </w:footnote>
  <w:footnote w:id="64">
    <w:p w:rsidR="00A47022" w:rsidRDefault="00A47022">
      <w:pPr>
        <w:pStyle w:val="FootnoteText"/>
      </w:pPr>
      <w:r>
        <w:rPr>
          <w:rStyle w:val="FootnoteReference"/>
        </w:rPr>
        <w:footnoteRef/>
      </w:r>
      <w:r>
        <w:t xml:space="preserve"> As noted at para. 22 </w:t>
      </w:r>
      <w:r>
        <w:rPr>
          <w:i/>
        </w:rPr>
        <w:t xml:space="preserve">supra, </w:t>
      </w:r>
      <w:r>
        <w:t>ICC in its comments referred to “the proposed 7.5% cap on fee increases/decreases,” but in context ICC was simply addressing the fact, discussed above, that limiting fee increases will necessarily limit fee decreases as well.  ICC did not discuss the specific issue of whether fee decreases should be capped and, if so, at what level.</w:t>
      </w:r>
    </w:p>
  </w:footnote>
  <w:footnote w:id="65">
    <w:p w:rsidR="00A47022" w:rsidRDefault="00A47022">
      <w:pPr>
        <w:pStyle w:val="FootnoteText"/>
      </w:pPr>
      <w:r>
        <w:rPr>
          <w:rStyle w:val="FootnoteReference"/>
        </w:rPr>
        <w:footnoteRef/>
      </w:r>
      <w:r>
        <w:t xml:space="preserve"> The specific reductions would have been10.91% for Earth Stations, 10.01% for Geostationary Orbit Space Stations, Non-Geostationary Orbit Satellite Systems, and Submarine Cable Systems, and 3.85% for International Bearer Circuits.</w:t>
      </w:r>
    </w:p>
  </w:footnote>
  <w:footnote w:id="66">
    <w:p w:rsidR="00A47022" w:rsidRDefault="00A47022">
      <w:pPr>
        <w:pStyle w:val="FootnoteText"/>
      </w:pPr>
      <w:r>
        <w:rPr>
          <w:rStyle w:val="FootnoteReference"/>
        </w:rPr>
        <w:footnoteRef/>
      </w:r>
      <w:r>
        <w:t xml:space="preserve"> The specific increases will be Geostationary Orbit Space Stations, 4.68%, Non-Geostationary Orbit Satellite Systems, 4.70%, International Bearer Circuits, 3.85%, and Submarine Cable Systems, 2.31%.  Fees for Earth Stations will not increase.  Applying the other adjustments we adopt today while removing the 10% cap on </w:t>
      </w:r>
      <w:r w:rsidRPr="005434E0">
        <w:t>decreases</w:t>
      </w:r>
      <w:r w:rsidRPr="002922DA">
        <w:t xml:space="preserve"> </w:t>
      </w:r>
      <w:r>
        <w:t xml:space="preserve">means that </w:t>
      </w:r>
      <w:r w:rsidRPr="002922DA">
        <w:t xml:space="preserve"> ITSPs’ FY 2013 fees</w:t>
      </w:r>
      <w:r>
        <w:t xml:space="preserve"> will be reduced by 7.47% instead of 4.27%.</w:t>
      </w:r>
    </w:p>
  </w:footnote>
  <w:footnote w:id="67">
    <w:p w:rsidR="00A47022" w:rsidRDefault="00A47022">
      <w:pPr>
        <w:pStyle w:val="FootnoteText"/>
      </w:pPr>
      <w:r>
        <w:rPr>
          <w:rStyle w:val="FootnoteReference"/>
        </w:rPr>
        <w:footnoteRef/>
      </w:r>
      <w:r>
        <w:t xml:space="preserve"> The Commission’s rules allow any individual licensee unable to pay its regulatory fees to request and obtain a waiver, reduction, or deferral of payment for good cause shown.   </w:t>
      </w:r>
      <w:r>
        <w:rPr>
          <w:i/>
        </w:rPr>
        <w:t xml:space="preserve">See </w:t>
      </w:r>
      <w:r>
        <w:t xml:space="preserve">47 C.F.R. § 1.1166. </w:t>
      </w:r>
    </w:p>
  </w:footnote>
  <w:footnote w:id="68">
    <w:p w:rsidR="00A47022" w:rsidRDefault="00A47022">
      <w:pPr>
        <w:pStyle w:val="FootnoteText"/>
      </w:pPr>
      <w:r>
        <w:rPr>
          <w:rStyle w:val="FootnoteReference"/>
        </w:rPr>
        <w:footnoteRef/>
      </w:r>
      <w:r>
        <w:t xml:space="preserve"> The allocations before imposition of  a 7.5% cap on increases are 6.13%, 37.42%, 35.01%, and 21.44% respectively.</w:t>
      </w:r>
    </w:p>
  </w:footnote>
  <w:footnote w:id="69">
    <w:p w:rsidR="00A47022" w:rsidRDefault="00A47022" w:rsidP="00026ED7">
      <w:pPr>
        <w:pStyle w:val="FootnoteText"/>
        <w:spacing w:before="120" w:after="0"/>
      </w:pPr>
      <w:r>
        <w:rPr>
          <w:rStyle w:val="FootnoteReference"/>
        </w:rPr>
        <w:footnoteRef/>
      </w:r>
      <w:r>
        <w:t xml:space="preserve"> ITTA supports this proposal.  ITTA Comments at 3-7.  Other commenters, however, do not.  </w:t>
      </w:r>
      <w:r w:rsidRPr="009A3B34">
        <w:rPr>
          <w:i/>
        </w:rPr>
        <w:t>See, e.g</w:t>
      </w:r>
      <w:r>
        <w:t>., CTIA Comments at 6-8 &amp; Reply Comments at 3; AT&amp;T Comments at 3; CCA Comments at 3-6; Verizon Reply Comments at 1-2.</w:t>
      </w:r>
    </w:p>
  </w:footnote>
  <w:footnote w:id="70">
    <w:p w:rsidR="00A47022" w:rsidRDefault="00A47022" w:rsidP="00026ED7">
      <w:pPr>
        <w:pStyle w:val="FootnoteText"/>
        <w:spacing w:before="120" w:after="0"/>
      </w:pPr>
      <w:r>
        <w:rPr>
          <w:rStyle w:val="FootnoteReference"/>
        </w:rPr>
        <w:footnoteRef/>
      </w:r>
      <w:r>
        <w:t xml:space="preserve"> ITTA supports a revenue-based assessment for wireline and wireless voice services.  </w:t>
      </w:r>
      <w:r w:rsidRPr="00BE573B">
        <w:rPr>
          <w:i/>
        </w:rPr>
        <w:t>See</w:t>
      </w:r>
      <w:r>
        <w:t xml:space="preserve"> ITTA Comments at 7-9.  Fireweed supports a revenue-based assessment, with a discount for broadcasters.  </w:t>
      </w:r>
      <w:r w:rsidRPr="009A3B34">
        <w:rPr>
          <w:i/>
        </w:rPr>
        <w:t>See</w:t>
      </w:r>
      <w:r>
        <w:t xml:space="preserve"> Fireweed Comments at 3-6.</w:t>
      </w:r>
      <w:r w:rsidRPr="00BE573B">
        <w:t xml:space="preserve"> </w:t>
      </w:r>
      <w:r>
        <w:t xml:space="preserve">Several commenters oppose this proposal.  </w:t>
      </w:r>
      <w:r w:rsidRPr="009A3B34">
        <w:rPr>
          <w:i/>
        </w:rPr>
        <w:t>See, e.g</w:t>
      </w:r>
      <w:r>
        <w:t xml:space="preserve">., ACA Comments at 8-9; CTIA Comments at 8 &amp; ex parte (7/15/13) at 1-2; DIRECTV Comments at 18-19; EchoStar and DISH Comments at 10-12; NASCA Comments at 13-14; NCTA Reply Comments at 5-6; SES Comments at 2; SIA Reply Comments at 8.  </w:t>
      </w:r>
    </w:p>
  </w:footnote>
  <w:footnote w:id="71">
    <w:p w:rsidR="00A47022" w:rsidRDefault="00A47022" w:rsidP="00E03CAE">
      <w:pPr>
        <w:pStyle w:val="FootnoteText"/>
        <w:spacing w:before="120" w:after="0"/>
      </w:pPr>
      <w:r>
        <w:rPr>
          <w:rStyle w:val="FootnoteReference"/>
        </w:rPr>
        <w:footnoteRef/>
      </w:r>
      <w:r>
        <w:t xml:space="preserve"> </w:t>
      </w:r>
      <w:r w:rsidRPr="009A3B34">
        <w:rPr>
          <w:i/>
        </w:rPr>
        <w:t>See, e.g</w:t>
      </w:r>
      <w:r>
        <w:t xml:space="preserve">., AT&amp;T Comments at 4-5; ACA Comments at 13-18 &amp; Reply Comments at 1-6; NCTA Reply Comments at 2-5.  DIRECTV and EchoStar and DISH oppose this proposal.  </w:t>
      </w:r>
      <w:r w:rsidRPr="00960FF9">
        <w:rPr>
          <w:i/>
        </w:rPr>
        <w:t xml:space="preserve">See </w:t>
      </w:r>
      <w:r>
        <w:t>DIRECTV Comments at 1-20; EchoStar and DISH Comments at 18-20 &amp; Reply Comments at 4-6.</w:t>
      </w:r>
    </w:p>
  </w:footnote>
  <w:footnote w:id="72">
    <w:p w:rsidR="00A47022" w:rsidRDefault="00A47022" w:rsidP="000023CE">
      <w:pPr>
        <w:pStyle w:val="FootnoteText"/>
        <w:spacing w:before="120" w:after="0"/>
      </w:pPr>
      <w:r>
        <w:rPr>
          <w:rStyle w:val="FootnoteReference"/>
        </w:rPr>
        <w:footnoteRef/>
      </w:r>
      <w:r>
        <w:t xml:space="preserve"> </w:t>
      </w:r>
      <w:r w:rsidRPr="000023CE">
        <w:rPr>
          <w:i/>
        </w:rPr>
        <w:t>See, e.g.</w:t>
      </w:r>
      <w:r>
        <w:t>, NAB Comments at 6 (requesting that “the Commission temporarily defer the implementation of the proposals set forth in the Notice to allow time for additional analysis.”); ACA Comments at 12 (“it would be prudent and fair for the Commission to do what it can to maintain the regulatory fee status quo until decisions are made on implementing the pending reforms affecting the fees paid by cable operators.”); ABA Reply Comments at 3 (urging the Commission to maintain the current allocations for FY 2013).</w:t>
      </w:r>
    </w:p>
  </w:footnote>
  <w:footnote w:id="73">
    <w:p w:rsidR="00A47022" w:rsidRDefault="00A47022" w:rsidP="00264D6C">
      <w:pPr>
        <w:pStyle w:val="FootnoteText"/>
        <w:spacing w:before="120" w:after="0"/>
      </w:pPr>
      <w:r>
        <w:rPr>
          <w:rStyle w:val="FootnoteReference"/>
        </w:rPr>
        <w:footnoteRef/>
      </w:r>
      <w:r>
        <w:t xml:space="preserve"> </w:t>
      </w:r>
      <w:r w:rsidRPr="00993CDC">
        <w:rPr>
          <w:i/>
        </w:rPr>
        <w:t>See</w:t>
      </w:r>
      <w:r w:rsidRPr="00993CDC">
        <w:t xml:space="preserve"> </w:t>
      </w:r>
      <w:r w:rsidRPr="00993CDC">
        <w:rPr>
          <w:i/>
        </w:rPr>
        <w:t>Assessment and Collection of Regulatory Fees for Fiscal Year 2010</w:t>
      </w:r>
      <w:r w:rsidRPr="00993CDC">
        <w:t>, Report and Order, 25 FCC Rc</w:t>
      </w:r>
      <w:r>
        <w:t>d 9278, 9285-86, at paras. 18-20 (2010) (</w:t>
      </w:r>
      <w:r w:rsidRPr="00993CDC">
        <w:rPr>
          <w:i/>
        </w:rPr>
        <w:t>FY 2010 Report and Order</w:t>
      </w:r>
      <w:r w:rsidRPr="00993CDC">
        <w:t>)</w:t>
      </w:r>
      <w:r>
        <w:t>.</w:t>
      </w:r>
    </w:p>
  </w:footnote>
  <w:footnote w:id="74">
    <w:p w:rsidR="00A47022" w:rsidRDefault="00A47022" w:rsidP="00264D6C">
      <w:pPr>
        <w:pStyle w:val="FootnoteText"/>
        <w:spacing w:before="120" w:after="0"/>
      </w:pPr>
      <w:r>
        <w:rPr>
          <w:rStyle w:val="FootnoteReference"/>
        </w:rPr>
        <w:footnoteRef/>
      </w:r>
      <w:r>
        <w:t xml:space="preserve"> </w:t>
      </w:r>
      <w:r w:rsidRPr="00235538">
        <w:rPr>
          <w:i/>
        </w:rPr>
        <w:t>See also</w:t>
      </w:r>
      <w:r>
        <w:t xml:space="preserve"> Notice of Ex Parte Presentation, filed by Sarkes Tarzian and Sky Television (Feb. 15, 2013) (arguing that VHF stations are less desirable than UHF stations and it was unfair to have higher fees for such stations; instead the fee categories should be combined).</w:t>
      </w:r>
    </w:p>
  </w:footnote>
  <w:footnote w:id="75">
    <w:p w:rsidR="00A47022" w:rsidRDefault="00A47022" w:rsidP="00226E2D">
      <w:pPr>
        <w:pStyle w:val="FootnoteText"/>
        <w:spacing w:before="120" w:after="0"/>
      </w:pPr>
      <w:r>
        <w:rPr>
          <w:rStyle w:val="FootnoteReference"/>
        </w:rPr>
        <w:footnoteRef/>
      </w:r>
      <w:r>
        <w:t xml:space="preserve"> </w:t>
      </w:r>
      <w:r w:rsidRPr="00C23A91">
        <w:rPr>
          <w:i/>
        </w:rPr>
        <w:t>See</w:t>
      </w:r>
      <w:r>
        <w:t xml:space="preserve"> Sarkes Tarzian and Sky Television Comments at 2-5.</w:t>
      </w:r>
    </w:p>
  </w:footnote>
  <w:footnote w:id="76">
    <w:p w:rsidR="00A47022" w:rsidRDefault="00A47022" w:rsidP="0084062B">
      <w:pPr>
        <w:pStyle w:val="FootnoteText"/>
        <w:spacing w:before="120" w:after="0"/>
      </w:pPr>
      <w:r>
        <w:rPr>
          <w:rStyle w:val="FootnoteReference"/>
        </w:rPr>
        <w:footnoteRef/>
      </w:r>
      <w:r>
        <w:t xml:space="preserve"> </w:t>
      </w:r>
      <w:r w:rsidRPr="00C23A91">
        <w:rPr>
          <w:i/>
        </w:rPr>
        <w:t>See</w:t>
      </w:r>
      <w:r>
        <w:t xml:space="preserve"> Sarkes Tarzian and Sky Television Comments at 2-5.</w:t>
      </w:r>
    </w:p>
  </w:footnote>
  <w:footnote w:id="77">
    <w:p w:rsidR="00A47022" w:rsidRPr="00A1103B" w:rsidRDefault="00A47022" w:rsidP="00C23A91">
      <w:pPr>
        <w:pStyle w:val="FootnoteText"/>
        <w:spacing w:before="120" w:after="0"/>
      </w:pPr>
      <w:r w:rsidRPr="00A1103B">
        <w:rPr>
          <w:rStyle w:val="FootnoteReference"/>
        </w:rPr>
        <w:footnoteRef/>
      </w:r>
      <w:r w:rsidRPr="00A1103B">
        <w:t xml:space="preserve"> 47 U.S.C. § 159(b)(3).</w:t>
      </w:r>
    </w:p>
  </w:footnote>
  <w:footnote w:id="78">
    <w:p w:rsidR="00A47022" w:rsidRDefault="00A47022" w:rsidP="00264D6C">
      <w:pPr>
        <w:pStyle w:val="FootnoteText"/>
        <w:spacing w:before="120" w:after="0"/>
      </w:pPr>
      <w:r>
        <w:rPr>
          <w:rStyle w:val="FootnoteReference"/>
        </w:rPr>
        <w:footnoteRef/>
      </w:r>
      <w:r>
        <w:t xml:space="preserve"> </w:t>
      </w:r>
      <w:r w:rsidRPr="00A1103B">
        <w:t>47 U.S.C. § 159(b)(3).</w:t>
      </w:r>
    </w:p>
  </w:footnote>
  <w:footnote w:id="79">
    <w:p w:rsidR="00A47022" w:rsidRPr="00A1103B" w:rsidRDefault="00A47022" w:rsidP="00C23A91">
      <w:pPr>
        <w:pStyle w:val="FootnoteText"/>
        <w:spacing w:before="120" w:after="0"/>
      </w:pPr>
      <w:r w:rsidRPr="00A1103B">
        <w:rPr>
          <w:rStyle w:val="FootnoteReference"/>
        </w:rPr>
        <w:footnoteRef/>
      </w:r>
      <w:r w:rsidRPr="00A1103B">
        <w:t xml:space="preserve"> 47 U.S.C. § 159(b)(4)(B).</w:t>
      </w:r>
    </w:p>
  </w:footnote>
  <w:footnote w:id="80">
    <w:p w:rsidR="00A47022" w:rsidRPr="00A1103B" w:rsidRDefault="00A47022" w:rsidP="00C23A91">
      <w:pPr>
        <w:pStyle w:val="FootnoteText"/>
        <w:spacing w:before="120" w:after="0"/>
      </w:pPr>
      <w:r w:rsidRPr="00A1103B">
        <w:rPr>
          <w:rStyle w:val="FootnoteReference"/>
        </w:rPr>
        <w:footnoteRef/>
      </w:r>
      <w:r w:rsidRPr="00A1103B">
        <w:t xml:space="preserve"> </w:t>
      </w:r>
      <w:r w:rsidRPr="00A1103B">
        <w:rPr>
          <w:i/>
        </w:rPr>
        <w:t>FY 2008 FNPRM</w:t>
      </w:r>
      <w:r w:rsidRPr="00A1103B">
        <w:t>, 24 FCC Rcd at 6406-07, paras. 48-49.</w:t>
      </w:r>
      <w:r>
        <w:t xml:space="preserve">  We observed that “[f]rom a customer’s perspective, there is likely not much difference between IPTV and other video services, such as cable service.”  </w:t>
      </w:r>
      <w:r w:rsidRPr="00873B52">
        <w:rPr>
          <w:i/>
        </w:rPr>
        <w:t>Id.</w:t>
      </w:r>
    </w:p>
  </w:footnote>
  <w:footnote w:id="81">
    <w:p w:rsidR="00A47022" w:rsidRDefault="00A47022" w:rsidP="00C23A91">
      <w:pPr>
        <w:pStyle w:val="FootnoteText"/>
        <w:spacing w:before="120" w:after="0"/>
      </w:pPr>
      <w:r>
        <w:rPr>
          <w:rStyle w:val="FootnoteReference"/>
        </w:rPr>
        <w:footnoteRef/>
      </w:r>
      <w:r>
        <w:t xml:space="preserve"> </w:t>
      </w:r>
      <w:r w:rsidRPr="00D40B1F">
        <w:rPr>
          <w:i/>
        </w:rPr>
        <w:t>FY 2013 NPRM</w:t>
      </w:r>
      <w:r>
        <w:t>, 28 FCC Rcd at 7806, para. 37.</w:t>
      </w:r>
    </w:p>
  </w:footnote>
  <w:footnote w:id="82">
    <w:p w:rsidR="00A47022" w:rsidRDefault="00A47022" w:rsidP="00C23A91">
      <w:pPr>
        <w:pStyle w:val="FootnoteText"/>
        <w:spacing w:before="120" w:after="0"/>
      </w:pPr>
      <w:r>
        <w:rPr>
          <w:rStyle w:val="FootnoteReference"/>
        </w:rPr>
        <w:footnoteRef/>
      </w:r>
      <w:r>
        <w:t xml:space="preserve"> </w:t>
      </w:r>
      <w:r w:rsidRPr="00C20119">
        <w:rPr>
          <w:i/>
        </w:rPr>
        <w:t>See, e.g.,</w:t>
      </w:r>
      <w:r>
        <w:t xml:space="preserve"> ACA Comments at 2-9 (“The Commission is correct to assume that IPTV service providers should pay regulatory fees to support video-related activities of the Commission”); </w:t>
      </w:r>
      <w:r w:rsidRPr="009A3B34">
        <w:rPr>
          <w:i/>
        </w:rPr>
        <w:t>see also</w:t>
      </w:r>
      <w:r>
        <w:t xml:space="preserve"> ACA Reply Comments at 1-6.</w:t>
      </w:r>
      <w:r w:rsidRPr="00CC6889">
        <w:rPr>
          <w:i/>
        </w:rPr>
        <w:t xml:space="preserve"> But see </w:t>
      </w:r>
      <w:r>
        <w:t>Google Reply Comments at 2-3 (IPTV regulatory fees should be less than what cable operators pay because the Media Bureau has fewer responsibilities with regard to IPTV providers than with cable operators).  While we agree that the services are not identical, and we are not categorizing IPTV as a cable television service, we are not persuaded that the relatively small difference from a regulatory perspective described by Google would justify a different regulatory fee methodology and rate.</w:t>
      </w:r>
    </w:p>
  </w:footnote>
  <w:footnote w:id="83">
    <w:p w:rsidR="00A47022" w:rsidRDefault="00A47022" w:rsidP="00C23A91">
      <w:pPr>
        <w:pStyle w:val="FootnoteText"/>
        <w:spacing w:before="120" w:after="0"/>
      </w:pPr>
      <w:r>
        <w:rPr>
          <w:rStyle w:val="FootnoteReference"/>
        </w:rPr>
        <w:footnoteRef/>
      </w:r>
      <w:r>
        <w:t xml:space="preserve"> Some IPTV providers consider the service a “cable service” and currently pay the same regulatory fees as cable providers; others do not.  ACA Comments at 7-8.</w:t>
      </w:r>
      <w:r w:rsidRPr="00F218A4">
        <w:rPr>
          <w:szCs w:val="22"/>
        </w:rPr>
        <w:t xml:space="preserve"> </w:t>
      </w:r>
      <w:r>
        <w:rPr>
          <w:szCs w:val="22"/>
        </w:rPr>
        <w:t xml:space="preserve"> </w:t>
      </w:r>
      <w:r w:rsidRPr="00B8166F">
        <w:rPr>
          <w:szCs w:val="22"/>
        </w:rPr>
        <w:t>MVPD, defined in section 76.1000(e) of our rules, is “an entity engaged in the business of making available for purchase, by subscribers or customers, multiple channels of video programming.”</w:t>
      </w:r>
      <w:r>
        <w:rPr>
          <w:szCs w:val="22"/>
        </w:rPr>
        <w:t xml:space="preserve">  </w:t>
      </w:r>
      <w:r>
        <w:t xml:space="preserve">47 C.F.R. </w:t>
      </w:r>
      <w:r w:rsidRPr="00A1103B">
        <w:t>§</w:t>
      </w:r>
      <w:r>
        <w:t xml:space="preserve"> 76.1000(e).</w:t>
      </w:r>
    </w:p>
  </w:footnote>
  <w:footnote w:id="84">
    <w:p w:rsidR="00A47022" w:rsidRDefault="00A47022" w:rsidP="009A3B34">
      <w:pPr>
        <w:pStyle w:val="FootnoteText"/>
        <w:spacing w:before="120" w:after="0"/>
      </w:pPr>
      <w:r>
        <w:rPr>
          <w:rStyle w:val="FootnoteReference"/>
        </w:rPr>
        <w:footnoteRef/>
      </w:r>
      <w:r>
        <w:t xml:space="preserve"> AT&amp;T Comments at 4-5 (recommending a single MVPD fee category that would include all MVPDs); NCTA Reply Comments at 2-5 (proposes including all MVPDs);</w:t>
      </w:r>
      <w:r w:rsidRPr="00C734FE">
        <w:t xml:space="preserve"> </w:t>
      </w:r>
      <w:r>
        <w:t>ACA Comments at 13-18 (same); DIRECTV Comments at 1-20 &amp; Reply Comments at 2-10 (opposing including DBS in a MVPD category); EchoStar and DISH Comments at 18-20 &amp; Reply Comments at 4-6 (same).  This Report and Order does not adopt a MVPD fee category.</w:t>
      </w:r>
    </w:p>
  </w:footnote>
  <w:footnote w:id="85">
    <w:p w:rsidR="00A47022" w:rsidRPr="00A1103B" w:rsidRDefault="00A47022" w:rsidP="00C23A91">
      <w:pPr>
        <w:pStyle w:val="FootnoteText"/>
        <w:spacing w:before="120" w:after="0"/>
      </w:pPr>
      <w:r w:rsidRPr="00A1103B">
        <w:rPr>
          <w:rStyle w:val="FootnoteReference"/>
        </w:rPr>
        <w:footnoteRef/>
      </w:r>
      <w:r w:rsidRPr="00A1103B">
        <w:t xml:space="preserve"> 47 U.S.C. § 159(b)(3).</w:t>
      </w:r>
    </w:p>
  </w:footnote>
  <w:footnote w:id="86">
    <w:p w:rsidR="00A47022" w:rsidRPr="00A1103B" w:rsidRDefault="00A47022" w:rsidP="00264D6C">
      <w:pPr>
        <w:pStyle w:val="FootnoteText"/>
        <w:spacing w:before="120" w:after="0"/>
      </w:pPr>
      <w:r w:rsidRPr="00A1103B">
        <w:rPr>
          <w:rStyle w:val="FootnoteReference"/>
        </w:rPr>
        <w:footnoteRef/>
      </w:r>
      <w:r w:rsidRPr="00A1103B">
        <w:t xml:space="preserve"> </w:t>
      </w:r>
      <w:r w:rsidRPr="00A1103B">
        <w:rPr>
          <w:i/>
        </w:rPr>
        <w:t>See Assessment and Collection of Regulatory Fees for Fiscal Year 1997</w:t>
      </w:r>
      <w:r w:rsidRPr="00A1103B">
        <w:t>, Report and Order, 12 FCC Rcd 17161, 17184-85, para. 60 (1997) (</w:t>
      </w:r>
      <w:r w:rsidRPr="00A1103B">
        <w:rPr>
          <w:i/>
        </w:rPr>
        <w:t>FY 1997 Report and Order</w:t>
      </w:r>
      <w:r w:rsidRPr="00A1103B">
        <w:t>).</w:t>
      </w:r>
    </w:p>
  </w:footnote>
  <w:footnote w:id="87">
    <w:p w:rsidR="00A47022" w:rsidRPr="00A1103B" w:rsidRDefault="00A47022" w:rsidP="00264D6C">
      <w:pPr>
        <w:pStyle w:val="FootnoteText"/>
        <w:spacing w:before="120" w:after="0"/>
      </w:pPr>
      <w:r w:rsidRPr="00A1103B">
        <w:rPr>
          <w:rStyle w:val="FootnoteReference"/>
        </w:rPr>
        <w:footnoteRef/>
      </w:r>
      <w:r w:rsidRPr="00A1103B">
        <w:t xml:space="preserve"> </w:t>
      </w:r>
      <w:r w:rsidRPr="00A1103B">
        <w:rPr>
          <w:i/>
        </w:rPr>
        <w:t>Assessment and Collection of Regulatory Fees for Fiscal Year 2003</w:t>
      </w:r>
      <w:r w:rsidRPr="00A1103B">
        <w:t>, Report and Order, 18 FCC Rcd 15985, 15992, para. 22 (2003) (</w:t>
      </w:r>
      <w:r w:rsidRPr="00A1103B">
        <w:rPr>
          <w:i/>
        </w:rPr>
        <w:t>FY 2003 Report and Order</w:t>
      </w:r>
      <w:r w:rsidRPr="00A1103B">
        <w:t>).</w:t>
      </w:r>
    </w:p>
  </w:footnote>
  <w:footnote w:id="88">
    <w:p w:rsidR="00A47022" w:rsidRPr="00A1103B" w:rsidRDefault="00A47022" w:rsidP="009A3B34">
      <w:pPr>
        <w:pStyle w:val="FootnoteText"/>
        <w:spacing w:before="120" w:after="0"/>
      </w:pPr>
      <w:r w:rsidRPr="00A1103B">
        <w:rPr>
          <w:rStyle w:val="FootnoteReference"/>
        </w:rPr>
        <w:footnoteRef/>
      </w:r>
      <w:r w:rsidRPr="00A1103B">
        <w:t xml:space="preserve"> </w:t>
      </w:r>
      <w:r w:rsidRPr="00A1103B">
        <w:rPr>
          <w:i/>
        </w:rPr>
        <w:t>FY 2003 Report and Order,</w:t>
      </w:r>
      <w:r w:rsidRPr="00A1103B">
        <w:t xml:space="preserve"> 18 FCC Rcd </w:t>
      </w:r>
      <w:r>
        <w:t xml:space="preserve">at </w:t>
      </w:r>
      <w:r w:rsidRPr="00A1103B">
        <w:t>15992, para. 21.</w:t>
      </w:r>
      <w:r w:rsidRPr="00476495">
        <w:t xml:space="preserve"> </w:t>
      </w:r>
      <w:r w:rsidRPr="00A1103B">
        <w:t xml:space="preserve">The subscriber base in the paging industry declined </w:t>
      </w:r>
      <w:r>
        <w:t>92</w:t>
      </w:r>
      <w:r w:rsidRPr="00A1103B">
        <w:t xml:space="preserve"> percent from 40.8 million to </w:t>
      </w:r>
      <w:r>
        <w:t>3.2</w:t>
      </w:r>
      <w:r w:rsidRPr="00A1103B">
        <w:t xml:space="preserve"> million between FY 1997 and FY 201</w:t>
      </w:r>
      <w:r>
        <w:t>2</w:t>
      </w:r>
      <w:r w:rsidRPr="00A1103B">
        <w:t>, according to FY 201</w:t>
      </w:r>
      <w:r>
        <w:t>2</w:t>
      </w:r>
      <w:r w:rsidRPr="00A1103B">
        <w:t xml:space="preserve"> collection data as of Sept. 30, 201</w:t>
      </w:r>
      <w:r>
        <w:t>2</w:t>
      </w:r>
      <w:r w:rsidRPr="00A1103B">
        <w:t xml:space="preserve">. </w:t>
      </w:r>
      <w:r>
        <w:t xml:space="preserve">  </w:t>
      </w:r>
    </w:p>
  </w:footnote>
  <w:footnote w:id="89">
    <w:p w:rsidR="00A47022" w:rsidRPr="00A1103B" w:rsidRDefault="00A47022" w:rsidP="00264D6C">
      <w:pPr>
        <w:pStyle w:val="FootnoteText"/>
        <w:spacing w:before="120" w:after="0"/>
      </w:pPr>
      <w:r w:rsidRPr="00A1103B">
        <w:rPr>
          <w:rStyle w:val="FootnoteReference"/>
        </w:rPr>
        <w:footnoteRef/>
      </w:r>
      <w:r w:rsidRPr="00A1103B">
        <w:t xml:space="preserve"> </w:t>
      </w:r>
      <w:r w:rsidRPr="00A1103B">
        <w:rPr>
          <w:i/>
        </w:rPr>
        <w:t>FY 2003 Report and Order,</w:t>
      </w:r>
      <w:r w:rsidRPr="00A1103B">
        <w:t xml:space="preserve"> 18 FCC Rcd </w:t>
      </w:r>
      <w:r>
        <w:t xml:space="preserve">at </w:t>
      </w:r>
      <w:r w:rsidRPr="00A1103B">
        <w:t>15992, para. 22.</w:t>
      </w:r>
    </w:p>
  </w:footnote>
  <w:footnote w:id="90">
    <w:p w:rsidR="00A47022" w:rsidRDefault="00A47022" w:rsidP="00264D6C">
      <w:pPr>
        <w:pStyle w:val="FootnoteText"/>
        <w:spacing w:before="120" w:after="0"/>
      </w:pPr>
      <w:r>
        <w:rPr>
          <w:rStyle w:val="FootnoteReference"/>
        </w:rPr>
        <w:footnoteRef/>
      </w:r>
      <w:r>
        <w:t xml:space="preserve"> </w:t>
      </w:r>
      <w:r w:rsidRPr="009A3B34">
        <w:rPr>
          <w:i/>
        </w:rPr>
        <w:t>See</w:t>
      </w:r>
      <w:r>
        <w:t xml:space="preserve"> CMA Comments at 1, 3, and 5.</w:t>
      </w:r>
    </w:p>
  </w:footnote>
  <w:footnote w:id="91">
    <w:p w:rsidR="00A47022" w:rsidRDefault="00A47022" w:rsidP="00264D6C">
      <w:pPr>
        <w:pStyle w:val="FootnoteText"/>
        <w:spacing w:before="120" w:after="0"/>
      </w:pPr>
      <w:r>
        <w:rPr>
          <w:rStyle w:val="FootnoteReference"/>
        </w:rPr>
        <w:footnoteRef/>
      </w:r>
      <w:r>
        <w:t xml:space="preserve"> If the fee rate were not frozen at $.08 per subscriber, the actual fee rate for the CMRS Messaging fee category would have been $.39 per subscriber, thereby raising $1,170,000 in projected revenues (.34% of all fees) compared with $240,000 in projected revenues (.07%).   </w:t>
      </w:r>
    </w:p>
  </w:footnote>
  <w:footnote w:id="92">
    <w:p w:rsidR="00A47022" w:rsidRDefault="00A47022" w:rsidP="00264D6C">
      <w:pPr>
        <w:pStyle w:val="FootnoteText"/>
        <w:spacing w:before="120" w:after="0"/>
      </w:pPr>
      <w:r>
        <w:rPr>
          <w:rStyle w:val="FootnoteReference"/>
        </w:rPr>
        <w:footnoteRef/>
      </w:r>
      <w:r>
        <w:t xml:space="preserve"> </w:t>
      </w:r>
      <w:r w:rsidRPr="005B083C">
        <w:rPr>
          <w:i/>
        </w:rPr>
        <w:t>See, e.g.</w:t>
      </w:r>
      <w:r>
        <w:t>, USTA Comments at 8-9; Verizon Reply Comments at 1-2; SIA Reply Comments at 10.</w:t>
      </w:r>
    </w:p>
  </w:footnote>
  <w:footnote w:id="93">
    <w:p w:rsidR="00A47022" w:rsidRDefault="00A47022" w:rsidP="00264D6C">
      <w:pPr>
        <w:pStyle w:val="FootnoteText"/>
        <w:spacing w:before="120" w:after="0"/>
      </w:pPr>
      <w:r>
        <w:rPr>
          <w:rStyle w:val="FootnoteReference"/>
        </w:rPr>
        <w:footnoteRef/>
      </w:r>
      <w:r>
        <w:t xml:space="preserve"> </w:t>
      </w:r>
      <w:r w:rsidRPr="005E0BD4">
        <w:rPr>
          <w:i/>
        </w:rPr>
        <w:t>See</w:t>
      </w:r>
      <w:r>
        <w:t xml:space="preserve"> GAO Report at pp. 44-45.</w:t>
      </w:r>
    </w:p>
  </w:footnote>
  <w:footnote w:id="94">
    <w:p w:rsidR="00A47022" w:rsidRDefault="00A47022" w:rsidP="00264D6C">
      <w:pPr>
        <w:pStyle w:val="FootnoteText"/>
        <w:spacing w:before="120" w:after="0"/>
      </w:pPr>
      <w:r>
        <w:rPr>
          <w:rStyle w:val="FootnoteReference"/>
        </w:rPr>
        <w:footnoteRef/>
      </w:r>
      <w:r>
        <w:t xml:space="preserve"> MMTC Comments at 1. </w:t>
      </w:r>
    </w:p>
  </w:footnote>
  <w:footnote w:id="95">
    <w:p w:rsidR="00A47022" w:rsidRDefault="00A47022" w:rsidP="00AE212D">
      <w:pPr>
        <w:pStyle w:val="FootnoteText"/>
        <w:spacing w:before="120" w:after="0"/>
      </w:pPr>
      <w:r>
        <w:rPr>
          <w:rStyle w:val="FootnoteReference"/>
        </w:rPr>
        <w:footnoteRef/>
      </w:r>
      <w:r>
        <w:t xml:space="preserve"> MMTC Comments at 4.</w:t>
      </w:r>
    </w:p>
  </w:footnote>
  <w:footnote w:id="96">
    <w:p w:rsidR="00A47022" w:rsidRDefault="00A47022" w:rsidP="00AE212D">
      <w:pPr>
        <w:pStyle w:val="FootnoteText"/>
        <w:spacing w:before="120" w:after="0"/>
      </w:pPr>
      <w:r>
        <w:rPr>
          <w:rStyle w:val="FootnoteReference"/>
        </w:rPr>
        <w:footnoteRef/>
      </w:r>
      <w:r>
        <w:t xml:space="preserve"> MMTC Comments at 4-5.</w:t>
      </w:r>
    </w:p>
  </w:footnote>
  <w:footnote w:id="97">
    <w:p w:rsidR="00A47022" w:rsidRDefault="00A47022" w:rsidP="00264D6C">
      <w:pPr>
        <w:pStyle w:val="FootnoteText"/>
        <w:spacing w:before="120" w:after="0"/>
      </w:pPr>
      <w:r>
        <w:rPr>
          <w:rStyle w:val="FootnoteReference"/>
        </w:rPr>
        <w:footnoteRef/>
      </w:r>
      <w:r>
        <w:t xml:space="preserve"> MMTC Comments at 5.</w:t>
      </w:r>
    </w:p>
  </w:footnote>
  <w:footnote w:id="98">
    <w:p w:rsidR="00A47022" w:rsidRDefault="00A47022" w:rsidP="005476FE">
      <w:pPr>
        <w:pStyle w:val="FootnoteText"/>
        <w:spacing w:before="120" w:after="0"/>
      </w:pPr>
      <w:r>
        <w:rPr>
          <w:rStyle w:val="FootnoteReference"/>
        </w:rPr>
        <w:footnoteRef/>
      </w:r>
      <w:r>
        <w:t xml:space="preserve"> Fireweed Comments at 6. </w:t>
      </w:r>
    </w:p>
  </w:footnote>
  <w:footnote w:id="99">
    <w:p w:rsidR="00A47022" w:rsidRDefault="00A47022" w:rsidP="00AE212D">
      <w:pPr>
        <w:pStyle w:val="FootnoteText"/>
        <w:spacing w:before="120" w:after="0"/>
      </w:pPr>
      <w:r>
        <w:rPr>
          <w:rStyle w:val="FootnoteReference"/>
        </w:rPr>
        <w:footnoteRef/>
      </w:r>
      <w:r>
        <w:t xml:space="preserve"> Fireweed Comments at 7.</w:t>
      </w:r>
    </w:p>
  </w:footnote>
  <w:footnote w:id="100">
    <w:p w:rsidR="00A47022" w:rsidRDefault="00A47022" w:rsidP="005476FE">
      <w:pPr>
        <w:pStyle w:val="FootnoteText"/>
        <w:spacing w:before="120" w:after="0"/>
      </w:pPr>
      <w:r>
        <w:rPr>
          <w:rStyle w:val="FootnoteReference"/>
        </w:rPr>
        <w:footnoteRef/>
      </w:r>
      <w:r>
        <w:t xml:space="preserve"> Fireweed Comments at 8.</w:t>
      </w:r>
    </w:p>
  </w:footnote>
  <w:footnote w:id="101">
    <w:p w:rsidR="00A47022" w:rsidRDefault="00A47022" w:rsidP="005476FE">
      <w:pPr>
        <w:pStyle w:val="FootnoteText"/>
        <w:spacing w:before="120" w:after="0"/>
      </w:pPr>
      <w:r>
        <w:rPr>
          <w:rStyle w:val="FootnoteReference"/>
        </w:rPr>
        <w:footnoteRef/>
      </w:r>
      <w:r>
        <w:t xml:space="preserve"> </w:t>
      </w:r>
      <w:r w:rsidRPr="00B32272">
        <w:rPr>
          <w:i/>
        </w:rPr>
        <w:t>See</w:t>
      </w:r>
      <w:r>
        <w:t xml:space="preserve"> </w:t>
      </w:r>
      <w:r w:rsidRPr="00547927">
        <w:rPr>
          <w:i/>
        </w:rPr>
        <w:t>Assessment and Collection of Regulatory Fees for Fiscal Year 2012</w:t>
      </w:r>
      <w:r>
        <w:t xml:space="preserve">, Report and Order, 27 </w:t>
      </w:r>
      <w:r w:rsidRPr="00A1103B">
        <w:t xml:space="preserve">FCC Rcd </w:t>
      </w:r>
      <w:r>
        <w:t>8390, 8395-97, paras.</w:t>
      </w:r>
      <w:r w:rsidRPr="00A1103B">
        <w:t xml:space="preserve"> </w:t>
      </w:r>
      <w:r>
        <w:t>17-20, 24-</w:t>
      </w:r>
      <w:r w:rsidRPr="00A1103B">
        <w:t>26</w:t>
      </w:r>
      <w:r>
        <w:t xml:space="preserve"> (2012) </w:t>
      </w:r>
      <w:r w:rsidRPr="00A1103B">
        <w:t>(</w:t>
      </w:r>
      <w:r w:rsidRPr="00A1103B">
        <w:rPr>
          <w:i/>
        </w:rPr>
        <w:t>FY 20</w:t>
      </w:r>
      <w:r>
        <w:rPr>
          <w:i/>
        </w:rPr>
        <w:t>12</w:t>
      </w:r>
      <w:r w:rsidRPr="00A1103B">
        <w:rPr>
          <w:i/>
        </w:rPr>
        <w:t xml:space="preserve"> Report and Order</w:t>
      </w:r>
      <w:r w:rsidRPr="00A1103B">
        <w:t>).</w:t>
      </w:r>
    </w:p>
  </w:footnote>
  <w:footnote w:id="102">
    <w:p w:rsidR="00A47022" w:rsidRDefault="00A47022" w:rsidP="00BF58D5">
      <w:pPr>
        <w:pStyle w:val="FootnoteText"/>
        <w:spacing w:before="120" w:after="0"/>
      </w:pPr>
      <w:r>
        <w:rPr>
          <w:rStyle w:val="FootnoteReference"/>
        </w:rPr>
        <w:footnoteRef/>
      </w:r>
      <w:r>
        <w:t xml:space="preserve"> Office of Management and Budget (OMB) Memorandum M-10-06, Open Government Directive, Dec. 8, 2009; </w:t>
      </w:r>
      <w:r w:rsidRPr="00AC36DB">
        <w:rPr>
          <w:i/>
          <w:iCs/>
        </w:rPr>
        <w:t>see also</w:t>
      </w:r>
      <w:r>
        <w:t xml:space="preserve"> </w:t>
      </w:r>
      <w:hyperlink r:id="rId1" w:history="1">
        <w:r w:rsidRPr="00D82125">
          <w:rPr>
            <w:rStyle w:val="Hyperlink"/>
          </w:rPr>
          <w:t>http://www.whitehouse.gov/the-press-office/2011/06/13/executive-order-13576-delivering-efficient-effective-and-accountable-gov</w:t>
        </w:r>
      </w:hyperlink>
      <w:r>
        <w:t>.</w:t>
      </w:r>
    </w:p>
  </w:footnote>
  <w:footnote w:id="103">
    <w:p w:rsidR="00A47022" w:rsidRDefault="00A47022" w:rsidP="00BF58D5">
      <w:pPr>
        <w:pStyle w:val="FootnoteText"/>
        <w:spacing w:before="120" w:after="0"/>
      </w:pPr>
      <w:r>
        <w:rPr>
          <w:rStyle w:val="FootnoteReference"/>
        </w:rPr>
        <w:footnoteRef/>
      </w:r>
      <w:r>
        <w:t xml:space="preserve"> </w:t>
      </w:r>
      <w:r w:rsidRPr="00D82125">
        <w:rPr>
          <w:i/>
        </w:rPr>
        <w:t>See</w:t>
      </w:r>
      <w:r>
        <w:t xml:space="preserve"> U.S. Department of the Treasury, Open Government Plan 2.1, Sept. 2012.</w:t>
      </w:r>
    </w:p>
  </w:footnote>
  <w:footnote w:id="104">
    <w:p w:rsidR="00A47022" w:rsidRDefault="00A47022" w:rsidP="00BF58D5">
      <w:pPr>
        <w:pStyle w:val="FootnoteText"/>
        <w:spacing w:before="120" w:after="0"/>
      </w:pPr>
      <w:r>
        <w:rPr>
          <w:rStyle w:val="FootnoteReference"/>
        </w:rPr>
        <w:footnoteRef/>
      </w:r>
      <w:r>
        <w:t xml:space="preserve"> Payors should note that this change will mean that to the extent certain entities have to date paid both regulatory fees and application fees at the same time via paper check, they will no longer be able to do so as the regulatory fees payment via paper check will no longer be accepted.</w:t>
      </w:r>
    </w:p>
  </w:footnote>
  <w:footnote w:id="105">
    <w:p w:rsidR="00A47022" w:rsidRDefault="00A47022" w:rsidP="00C23A91">
      <w:pPr>
        <w:pStyle w:val="FootnoteText"/>
        <w:spacing w:before="120" w:after="0"/>
      </w:pPr>
      <w:r>
        <w:rPr>
          <w:rStyle w:val="FootnoteReference"/>
        </w:rPr>
        <w:footnoteRef/>
      </w:r>
      <w:r>
        <w:t xml:space="preserve"> </w:t>
      </w:r>
      <w:r w:rsidRPr="00EF40C5">
        <w:rPr>
          <w:i/>
        </w:rPr>
        <w:t>See</w:t>
      </w:r>
      <w:r>
        <w:t xml:space="preserve"> 31 U.S.C. § 3711(g); 31 C.F.R. § 285.12; 47 C.F.R. § 1.1917.</w:t>
      </w:r>
    </w:p>
  </w:footnote>
  <w:footnote w:id="106">
    <w:p w:rsidR="00A47022" w:rsidRPr="00B60211" w:rsidRDefault="00A47022" w:rsidP="00C23A91">
      <w:pPr>
        <w:pStyle w:val="FootnoteText"/>
        <w:spacing w:before="120" w:after="0"/>
      </w:pPr>
      <w:r w:rsidRPr="00B60211">
        <w:rPr>
          <w:rStyle w:val="FootnoteReference"/>
        </w:rPr>
        <w:footnoteRef/>
      </w:r>
      <w:r w:rsidRPr="00B60211">
        <w:t xml:space="preserve"> </w:t>
      </w:r>
      <w:r w:rsidRPr="00B60211">
        <w:rPr>
          <w:i/>
          <w:iCs/>
        </w:rPr>
        <w:t xml:space="preserve">See Assessment and Collection of Regulatory Fees for Fiscal Year 2005 and Assessment and Collection of Regulatory Fees for Fiscal Year 2004, </w:t>
      </w:r>
      <w:r w:rsidRPr="00B60211">
        <w:rPr>
          <w:iCs/>
        </w:rPr>
        <w:t xml:space="preserve">MD Docket Nos. 05-59 and 04-73, Report and Order and Order on Reconsideration, </w:t>
      </w:r>
      <w:r w:rsidRPr="00B60211">
        <w:t xml:space="preserve">20 FCC Rcd 12259, 12264, </w:t>
      </w:r>
      <w:r>
        <w:t>paras.</w:t>
      </w:r>
      <w:r w:rsidRPr="00B60211">
        <w:t xml:space="preserve"> 38-44 (2005)</w:t>
      </w:r>
      <w:r w:rsidRPr="00B60211">
        <w:rPr>
          <w:iCs/>
        </w:rPr>
        <w:t>.</w:t>
      </w:r>
    </w:p>
  </w:footnote>
  <w:footnote w:id="107">
    <w:p w:rsidR="00A47022" w:rsidRPr="00B60211" w:rsidRDefault="00A47022" w:rsidP="00C23A91">
      <w:pPr>
        <w:pStyle w:val="FootnoteText"/>
        <w:spacing w:before="120" w:after="0"/>
      </w:pPr>
      <w:r w:rsidRPr="00B60211">
        <w:rPr>
          <w:rStyle w:val="FootnoteReference"/>
        </w:rPr>
        <w:footnoteRef/>
      </w:r>
      <w:r w:rsidRPr="00B60211">
        <w:t xml:space="preserve"> </w:t>
      </w:r>
      <w:smartTag w:uri="urn:schemas-microsoft-com:office:smarttags" w:element="State">
        <w:smartTag w:uri="urn:schemas-microsoft-com:office:smarttags" w:element="place">
          <w:r w:rsidRPr="00B60211">
            <w:rPr>
              <w:i/>
              <w:iCs/>
            </w:rPr>
            <w:t>Id.</w:t>
          </w:r>
        </w:smartTag>
      </w:smartTag>
      <w:r w:rsidRPr="00B60211">
        <w:rPr>
          <w:i/>
          <w:iCs/>
        </w:rPr>
        <w:t xml:space="preserve"> </w:t>
      </w:r>
    </w:p>
  </w:footnote>
  <w:footnote w:id="108">
    <w:p w:rsidR="00A47022" w:rsidRPr="00B60211" w:rsidRDefault="00A47022" w:rsidP="00C23A91">
      <w:pPr>
        <w:pStyle w:val="FootnoteText"/>
        <w:spacing w:before="120" w:after="0"/>
      </w:pPr>
      <w:r w:rsidRPr="00B60211">
        <w:rPr>
          <w:rStyle w:val="FootnoteReference"/>
        </w:rPr>
        <w:footnoteRef/>
      </w:r>
      <w:r w:rsidRPr="00B60211">
        <w:t xml:space="preserve"> In the supporting documentation, the provider will need to state a reason for the change, such as a purchase or sale of a subsidiary, the date of the transaction, and any other pertinent information that will help to justify a reason for the change.</w:t>
      </w:r>
    </w:p>
  </w:footnote>
  <w:footnote w:id="109">
    <w:p w:rsidR="00A47022" w:rsidRPr="00B60211" w:rsidRDefault="00A47022" w:rsidP="00965B28">
      <w:pPr>
        <w:pStyle w:val="FootnoteText"/>
        <w:spacing w:before="120" w:after="0"/>
      </w:pPr>
      <w:r w:rsidRPr="00B60211">
        <w:rPr>
          <w:rStyle w:val="FootnoteReference"/>
        </w:rPr>
        <w:footnoteRef/>
      </w:r>
      <w:r w:rsidRPr="00B60211">
        <w:t xml:space="preserve"> In accordance with U.S. Treasury Financial Manual Announcement No. A-2012-02, the U.S. Treasury will reject credit card transactions greater than $49,999.99 from a single credit card in a single day.  This includes online transactions conducted via Pay.gov, transactions conducted via other channels, and direct-over-the counter transactions made at a U.S. Government facility.  Individual credit card transactions larger than the $49,999.99 limit may not be split into multiple transactions using the same credit card, whether or not the split transactions are assigned to multiple days.  Splitting a transaction violates card network and Financial Management Service (FMS) rules.  However, credit card transactions exceeding the daily limit may be split between two or more </w:t>
      </w:r>
      <w:r w:rsidRPr="00B60211">
        <w:rPr>
          <w:u w:val="single"/>
        </w:rPr>
        <w:t xml:space="preserve">different </w:t>
      </w:r>
      <w:r w:rsidRPr="00B60211">
        <w:t>credit cards.  Other alternatives for transactions exceeding the $49,999.99 credit card limit include payment by check, electronic debit from your bank account, and wire transfer.</w:t>
      </w:r>
    </w:p>
  </w:footnote>
  <w:footnote w:id="110">
    <w:p w:rsidR="00A47022" w:rsidRPr="00B60211" w:rsidRDefault="00A47022" w:rsidP="00965B28">
      <w:pPr>
        <w:pStyle w:val="FootnoteText"/>
        <w:spacing w:before="120" w:after="0"/>
      </w:pPr>
      <w:r w:rsidRPr="00B60211">
        <w:rPr>
          <w:rStyle w:val="FootnoteReference"/>
        </w:rPr>
        <w:footnoteRef/>
      </w:r>
      <w:r w:rsidRPr="00B60211">
        <w:t xml:space="preserve"> In accordance with U.S. Treasury Financial Manual Announcement No. A-2012-02, the maximum dollar-value limit for debit card transactions will be eliminated.  It should also be noted that only Visa and MasterCard branded debit cards are accepted by Pay.gov.</w:t>
      </w:r>
    </w:p>
  </w:footnote>
  <w:footnote w:id="111">
    <w:p w:rsidR="00A47022" w:rsidRPr="00B60211" w:rsidRDefault="00A47022" w:rsidP="004739BE">
      <w:pPr>
        <w:pStyle w:val="FootnoteText"/>
        <w:spacing w:before="120" w:after="0"/>
      </w:pPr>
      <w:r w:rsidRPr="00B60211">
        <w:rPr>
          <w:rStyle w:val="FootnoteReference"/>
        </w:rPr>
        <w:footnoteRef/>
      </w:r>
      <w:r w:rsidRPr="00B60211">
        <w:t xml:space="preserve"> Geostationary orbit space station (GSO) licensees received regulatory fee pre-bills for satellites that (1) were licensed by the Commission and operational on or before October 1 of the respective fiscal year; and (2) were not co-located with and technically identical to another operational satellite on that date </w:t>
      </w:r>
      <w:r w:rsidRPr="00CA5520">
        <w:t>(i.e.,</w:t>
      </w:r>
      <w:r w:rsidRPr="00B60211">
        <w:t xml:space="preserve"> were not functioning as a spare satellite).  Non-geostationary orbit space station (NGSO) licensees received regulatory fee pre-bills for systems that were licensed by the Commission and operational on or before October 1 of the respective fiscal year.</w:t>
      </w:r>
    </w:p>
  </w:footnote>
  <w:footnote w:id="112">
    <w:p w:rsidR="00A47022" w:rsidRPr="00B60211" w:rsidRDefault="00A47022" w:rsidP="004739BE">
      <w:pPr>
        <w:pStyle w:val="FootnoteText"/>
        <w:spacing w:before="120" w:after="0"/>
      </w:pPr>
      <w:r w:rsidRPr="00B60211">
        <w:rPr>
          <w:rStyle w:val="FootnoteReference"/>
        </w:rPr>
        <w:footnoteRef/>
      </w:r>
      <w:r w:rsidRPr="00B60211">
        <w:t xml:space="preserve"> A bill is considered an account receivable in the Commission’s accounting system.  </w:t>
      </w:r>
      <w:r>
        <w:t>B</w:t>
      </w:r>
      <w:r w:rsidRPr="00B60211">
        <w:t xml:space="preserve">ills reflect the amount owed and have a payment due date of the last day of the regulatory fee payment window.  Consequently, if a bill is not paid by the due date, it becomes delinquent and is subject to our debt collection procedures.  </w:t>
      </w:r>
      <w:r w:rsidRPr="00B60211">
        <w:rPr>
          <w:i/>
        </w:rPr>
        <w:t>See</w:t>
      </w:r>
      <w:r w:rsidRPr="00B60211">
        <w:t xml:space="preserve"> </w:t>
      </w:r>
      <w:r w:rsidRPr="00B60211">
        <w:rPr>
          <w:i/>
        </w:rPr>
        <w:t>also</w:t>
      </w:r>
      <w:r w:rsidRPr="00B60211">
        <w:t xml:space="preserve"> 47 C.F.R. §§ 1.1161(c), 1.1164(f)(5), and 1.1910.</w:t>
      </w:r>
    </w:p>
  </w:footnote>
  <w:footnote w:id="113">
    <w:p w:rsidR="00A47022" w:rsidRPr="00B60211" w:rsidRDefault="00A47022" w:rsidP="00965B28">
      <w:pPr>
        <w:pStyle w:val="FootnoteText"/>
        <w:spacing w:before="120" w:after="0"/>
      </w:pPr>
      <w:r w:rsidRPr="00B60211">
        <w:rPr>
          <w:rStyle w:val="FootnoteReference"/>
        </w:rPr>
        <w:footnoteRef/>
      </w:r>
      <w:r w:rsidRPr="00B60211">
        <w:t xml:space="preserve"> Audio bridging services are </w:t>
      </w:r>
      <w:r>
        <w:t>toll teleconferencing services</w:t>
      </w:r>
      <w:r w:rsidRPr="00B60211">
        <w:t xml:space="preserve">. </w:t>
      </w:r>
    </w:p>
  </w:footnote>
  <w:footnote w:id="114">
    <w:p w:rsidR="00A47022" w:rsidRPr="00B60211" w:rsidRDefault="00A47022" w:rsidP="00965B28">
      <w:pPr>
        <w:pStyle w:val="FootnoteText"/>
        <w:spacing w:before="120" w:after="0"/>
      </w:pPr>
      <w:r w:rsidRPr="00B60211">
        <w:rPr>
          <w:rStyle w:val="FootnoteReference"/>
          <w:color w:val="000000"/>
        </w:rPr>
        <w:footnoteRef/>
      </w:r>
      <w:r w:rsidRPr="00B60211">
        <w:rPr>
          <w:color w:val="000000"/>
        </w:rPr>
        <w:t xml:space="preserve"> Cable television system operators should compute their number of basic subscribers as follows: Number of single family dwellings + number of individual households in multiple dwelling unit (apartments, condominiums, mobile home parks, </w:t>
      </w:r>
      <w:r w:rsidRPr="006F6C54">
        <w:rPr>
          <w:color w:val="000000"/>
        </w:rPr>
        <w:t>etc.</w:t>
      </w:r>
      <w:r w:rsidRPr="00B60211">
        <w:rPr>
          <w:color w:val="000000"/>
        </w:rPr>
        <w:t>) paying at the basic subscriber rate + bulk rate customers + courtesy and free service.  Note: Bulk-Rate Customers = Total annual bulk-rate charge divided by basic annual subscription rate for individual households.  Operators may base their count on “a typical day in the last full week” of December 201</w:t>
      </w:r>
      <w:r>
        <w:rPr>
          <w:color w:val="000000"/>
        </w:rPr>
        <w:t>2</w:t>
      </w:r>
      <w:r w:rsidRPr="00B60211">
        <w:rPr>
          <w:color w:val="000000"/>
        </w:rPr>
        <w:t>, rather than on a count as of December 31, 201</w:t>
      </w:r>
      <w:r>
        <w:rPr>
          <w:color w:val="000000"/>
        </w:rPr>
        <w:t>2</w:t>
      </w:r>
      <w:r w:rsidRPr="00B60211">
        <w:rPr>
          <w:color w:val="000000"/>
        </w:rPr>
        <w:t xml:space="preserve">. </w:t>
      </w:r>
    </w:p>
  </w:footnote>
  <w:footnote w:id="115">
    <w:p w:rsidR="00A47022" w:rsidRPr="00B60211" w:rsidRDefault="00A47022" w:rsidP="00264D6C">
      <w:pPr>
        <w:pStyle w:val="FootnoteText"/>
        <w:spacing w:before="120" w:after="0"/>
      </w:pPr>
      <w:r w:rsidRPr="00B60211">
        <w:rPr>
          <w:rStyle w:val="FootnoteReference"/>
        </w:rPr>
        <w:footnoteRef/>
      </w:r>
      <w:r w:rsidRPr="00B60211">
        <w:t xml:space="preserve"> 47 U.S.C. § 159(c).</w:t>
      </w:r>
    </w:p>
  </w:footnote>
  <w:footnote w:id="116">
    <w:p w:rsidR="00A47022" w:rsidRPr="00B60211" w:rsidRDefault="00A47022" w:rsidP="00C23A91">
      <w:pPr>
        <w:pStyle w:val="FootnoteText"/>
        <w:spacing w:before="120" w:after="0"/>
      </w:pPr>
      <w:r w:rsidRPr="00B60211">
        <w:rPr>
          <w:rStyle w:val="FootnoteReference"/>
        </w:rPr>
        <w:footnoteRef/>
      </w:r>
      <w:r w:rsidRPr="00B60211">
        <w:t xml:space="preserve"> </w:t>
      </w:r>
      <w:r w:rsidRPr="00B60211">
        <w:rPr>
          <w:i/>
        </w:rPr>
        <w:t>See</w:t>
      </w:r>
      <w:r w:rsidRPr="00B60211">
        <w:t xml:space="preserve"> 47 C.F.R. § 1.1910.</w:t>
      </w:r>
    </w:p>
  </w:footnote>
  <w:footnote w:id="117">
    <w:p w:rsidR="00A47022" w:rsidRPr="00B60211" w:rsidRDefault="00A47022" w:rsidP="00264D6C">
      <w:pPr>
        <w:pStyle w:val="FootnoteText"/>
        <w:spacing w:before="120" w:after="0"/>
      </w:pPr>
      <w:r w:rsidRPr="00B60211">
        <w:rPr>
          <w:rStyle w:val="FootnoteReference"/>
        </w:rPr>
        <w:footnoteRef/>
      </w:r>
      <w:r w:rsidRPr="00B60211">
        <w:t xml:space="preserve"> Delinquent debt owed to the Commission triggers application of the “red light rule” which requires offsets or holds on pending disbursements.  47 C.F.R. § 1.1910.  In 2004, the Commission adopted rules implementing the requirements of the DCIA. </w:t>
      </w:r>
      <w:r w:rsidRPr="00B60211">
        <w:rPr>
          <w:i/>
        </w:rPr>
        <w:t>See</w:t>
      </w:r>
      <w:r w:rsidRPr="00B60211">
        <w:t xml:space="preserve"> </w:t>
      </w:r>
      <w:r w:rsidRPr="00B60211">
        <w:rPr>
          <w:i/>
        </w:rPr>
        <w:t>Amendment of Parts 0 and 1 of the Commission’s Rules</w:t>
      </w:r>
      <w:r w:rsidRPr="00B60211">
        <w:t>, MD Docket No. 02-339, Report and Order, 19 FCC Rcd 6540 (2004); 47 C.F.R. Part 1, Subpart O, Collection of Claims Owed the United States.</w:t>
      </w:r>
    </w:p>
  </w:footnote>
  <w:footnote w:id="118">
    <w:p w:rsidR="00A47022" w:rsidRPr="00B60211" w:rsidRDefault="00A47022" w:rsidP="00C23A91">
      <w:pPr>
        <w:pStyle w:val="FootnoteText"/>
        <w:spacing w:before="120" w:after="0"/>
      </w:pPr>
      <w:r w:rsidRPr="00B60211">
        <w:rPr>
          <w:rStyle w:val="FootnoteReference"/>
        </w:rPr>
        <w:footnoteRef/>
      </w:r>
      <w:r w:rsidRPr="00B60211">
        <w:t xml:space="preserve"> 47 C.F.R. § 1.1940(d).</w:t>
      </w:r>
    </w:p>
  </w:footnote>
  <w:footnote w:id="119">
    <w:p w:rsidR="00A47022" w:rsidRPr="00B60211" w:rsidRDefault="00A47022" w:rsidP="00264D6C">
      <w:pPr>
        <w:pStyle w:val="FootnoteText"/>
        <w:spacing w:before="120" w:after="0"/>
      </w:pPr>
      <w:r w:rsidRPr="00B60211">
        <w:rPr>
          <w:rStyle w:val="FootnoteReference"/>
        </w:rPr>
        <w:footnoteRef/>
      </w:r>
      <w:r w:rsidRPr="00B60211">
        <w:t xml:space="preserve"> </w:t>
      </w:r>
      <w:r w:rsidRPr="00B60211">
        <w:rPr>
          <w:i/>
        </w:rPr>
        <w:t>See</w:t>
      </w:r>
      <w:r w:rsidRPr="00B60211">
        <w:t xml:space="preserve"> 47 C.F.R. §§ 1.1161(c), 1.1164(f)(5), and 1.1910.  </w:t>
      </w:r>
    </w:p>
  </w:footnote>
  <w:footnote w:id="120">
    <w:p w:rsidR="00A47022" w:rsidRPr="00B60211" w:rsidRDefault="00A47022" w:rsidP="00956A14">
      <w:pPr>
        <w:pStyle w:val="FootnoteText"/>
        <w:spacing w:before="120" w:after="0"/>
      </w:pPr>
      <w:r w:rsidRPr="00B60211">
        <w:rPr>
          <w:rStyle w:val="FootnoteReference"/>
        </w:rPr>
        <w:footnoteRef/>
      </w:r>
      <w:r w:rsidRPr="00B60211">
        <w:t xml:space="preserve"> </w:t>
      </w:r>
      <w:r w:rsidRPr="00B60211">
        <w:rPr>
          <w:i/>
        </w:rPr>
        <w:t>See</w:t>
      </w:r>
      <w:r w:rsidRPr="00B60211">
        <w:t xml:space="preserve"> 5 U.S.C. § 603.  The RFA, </w:t>
      </w:r>
      <w:r w:rsidRPr="00B60211">
        <w:rPr>
          <w:i/>
        </w:rPr>
        <w:t>see</w:t>
      </w:r>
      <w:r w:rsidRPr="00B60211">
        <w:t xml:space="preserve"> 5 U.S.C. §§ 601-612, has been amended by the Small Business Regulatory Enf</w:t>
      </w:r>
      <w:r>
        <w:t>orcement Fairness Act of 1996 (</w:t>
      </w:r>
      <w:r w:rsidRPr="00B60211">
        <w:t xml:space="preserve">SBREFA), Pub. L. No. 104-121, Title II, 110 Stat. 847 (1996).  The SBREFA was enacted as Title II of the Contract </w:t>
      </w:r>
      <w:r>
        <w:t>w</w:t>
      </w:r>
      <w:r w:rsidRPr="00B60211">
        <w:t>ith America Advancement Act of 1996 (CWAAA).</w:t>
      </w:r>
    </w:p>
  </w:footnote>
  <w:footnote w:id="121">
    <w:p w:rsidR="00A47022" w:rsidRDefault="00A47022" w:rsidP="007F7B4B">
      <w:pPr>
        <w:pStyle w:val="FootnoteText"/>
      </w:pPr>
      <w:r>
        <w:rPr>
          <w:rStyle w:val="FootnoteReference"/>
        </w:rPr>
        <w:footnoteRef/>
      </w:r>
      <w:r>
        <w:t xml:space="preserve"> </w:t>
      </w:r>
      <w:r>
        <w:rPr>
          <w:spacing w:val="-2"/>
          <w:lang w:val="fr-FR"/>
        </w:rPr>
        <w:t xml:space="preserve">5 U.S.C. § 603.  </w:t>
      </w:r>
      <w:r>
        <w:rPr>
          <w:spacing w:val="-2"/>
        </w:rPr>
        <w:t>The RFA, 5 U.S.C. §§ 601-612 has been amended by the Small Business Regulatory Enforcement Fairness Act of 1996 (SBREFA), Pub. L. No. 104-121, Title II, 110 Stat. 847 (1996).</w:t>
      </w:r>
    </w:p>
  </w:footnote>
  <w:footnote w:id="122">
    <w:p w:rsidR="00A47022" w:rsidRDefault="00A47022" w:rsidP="007F7B4B">
      <w:pPr>
        <w:pStyle w:val="FootnoteText"/>
      </w:pPr>
      <w:r>
        <w:rPr>
          <w:rStyle w:val="FootnoteReference"/>
        </w:rPr>
        <w:footnoteRef/>
      </w:r>
      <w:r>
        <w:t xml:space="preserve"> </w:t>
      </w:r>
      <w:r>
        <w:rPr>
          <w:spacing w:val="-2"/>
          <w:lang w:val="fr-FR"/>
        </w:rPr>
        <w:t>5 U.S.C. § 604.</w:t>
      </w:r>
    </w:p>
  </w:footnote>
  <w:footnote w:id="123">
    <w:p w:rsidR="00A47022" w:rsidRPr="00A1103B" w:rsidRDefault="00A47022" w:rsidP="007F7B4B">
      <w:pPr>
        <w:pStyle w:val="FootnoteText"/>
      </w:pPr>
      <w:r w:rsidRPr="00A1103B">
        <w:rPr>
          <w:rStyle w:val="FootnoteReference"/>
        </w:rPr>
        <w:footnoteRef/>
      </w:r>
      <w:r w:rsidRPr="00A1103B">
        <w:t xml:space="preserve"> </w:t>
      </w:r>
      <w:r w:rsidRPr="00A1103B">
        <w:rPr>
          <w:color w:val="000000"/>
        </w:rPr>
        <w:t>47 U.S.C. § 159(a).</w:t>
      </w:r>
    </w:p>
  </w:footnote>
  <w:footnote w:id="124">
    <w:p w:rsidR="00A47022" w:rsidRPr="00A1103B" w:rsidRDefault="00A47022" w:rsidP="007F7B4B">
      <w:pPr>
        <w:pStyle w:val="FootnoteText"/>
      </w:pPr>
      <w:r w:rsidRPr="00A1103B">
        <w:rPr>
          <w:rStyle w:val="FootnoteReference"/>
        </w:rPr>
        <w:footnoteRef/>
      </w:r>
      <w:r w:rsidRPr="00A1103B">
        <w:t xml:space="preserve"> </w:t>
      </w:r>
      <w:r>
        <w:t xml:space="preserve">In FY 2013, the Consolidated and Further Continuing Appropriations Act, Pub. L. 113-6 (2013) at Division F authorizes the Commission to collect offsetting regulatory fees at the level provided to the Commission’s FY 2012 appropriation of $339,844.00.  </w:t>
      </w:r>
      <w:r w:rsidRPr="006C47CE">
        <w:rPr>
          <w:i/>
        </w:rPr>
        <w:t xml:space="preserve">See </w:t>
      </w:r>
      <w:r>
        <w:t>Financial Services and General Government Appropriations Act, 2012, Division C of Pub. Law 112-74, 125 Stat. 108-9 (2011).</w:t>
      </w:r>
    </w:p>
  </w:footnote>
  <w:footnote w:id="125">
    <w:p w:rsidR="00A47022" w:rsidRPr="00A1103B" w:rsidRDefault="00A47022" w:rsidP="007F7B4B">
      <w:pPr>
        <w:pStyle w:val="FootnoteText"/>
      </w:pPr>
      <w:r w:rsidRPr="00A1103B">
        <w:rPr>
          <w:rStyle w:val="FootnoteReference"/>
        </w:rPr>
        <w:footnoteRef/>
      </w:r>
      <w:r w:rsidRPr="00A1103B">
        <w:t xml:space="preserve"> </w:t>
      </w:r>
      <w:r w:rsidRPr="00A1103B">
        <w:rPr>
          <w:color w:val="000000"/>
        </w:rPr>
        <w:t>47 U.S.C. § 159(a).</w:t>
      </w:r>
    </w:p>
  </w:footnote>
  <w:footnote w:id="126">
    <w:p w:rsidR="00A47022" w:rsidRDefault="00A47022" w:rsidP="007F7B4B">
      <w:pPr>
        <w:pStyle w:val="FootnoteText"/>
      </w:pPr>
      <w:r>
        <w:rPr>
          <w:rStyle w:val="FootnoteReference"/>
        </w:rPr>
        <w:footnoteRef/>
      </w:r>
      <w:r>
        <w:t xml:space="preserve"> O</w:t>
      </w:r>
      <w:r w:rsidRPr="006A303E">
        <w:t>ne FTE</w:t>
      </w:r>
      <w:r>
        <w:t>, typically called a “Full Time Equivalent,”</w:t>
      </w:r>
      <w:r w:rsidRPr="006A303E">
        <w:t xml:space="preserve"> is a unit of measure equal to the work performed annually by a full ti</w:t>
      </w:r>
      <w:r>
        <w:t>me</w:t>
      </w:r>
      <w:r w:rsidRPr="006A303E">
        <w:t xml:space="preserve"> person </w:t>
      </w:r>
      <w:r>
        <w:t xml:space="preserve">(working a 40 hour workweek for a full year) </w:t>
      </w:r>
      <w:r w:rsidRPr="006A303E">
        <w:t>assigned to the particular</w:t>
      </w:r>
      <w:r>
        <w:t xml:space="preserve"> job</w:t>
      </w:r>
      <w:r w:rsidRPr="006A303E">
        <w:t>, and subject to agency personnel staffing limitations established by the U.S. Office of Management and Budget.</w:t>
      </w:r>
      <w:r>
        <w:t xml:space="preserve">   Any reference to FTE or “Full Time Employee” used herein refers to such Full Time Equivalent.</w:t>
      </w:r>
    </w:p>
  </w:footnote>
  <w:footnote w:id="127">
    <w:p w:rsidR="00A47022" w:rsidRDefault="00A47022" w:rsidP="007F7B4B">
      <w:pPr>
        <w:pStyle w:val="FootnoteText"/>
      </w:pPr>
      <w:r>
        <w:rPr>
          <w:rStyle w:val="FootnoteReference"/>
        </w:rPr>
        <w:footnoteRef/>
      </w:r>
      <w:r>
        <w:t xml:space="preserve"> Comments of Fireweed Communications and Jeremy Landsman at 2.</w:t>
      </w:r>
    </w:p>
  </w:footnote>
  <w:footnote w:id="128">
    <w:p w:rsidR="00A47022" w:rsidRDefault="00A47022" w:rsidP="007F7B4B">
      <w:pPr>
        <w:pStyle w:val="FootnoteText"/>
      </w:pPr>
      <w:r>
        <w:rPr>
          <w:rStyle w:val="FootnoteReference"/>
        </w:rPr>
        <w:footnoteRef/>
      </w:r>
      <w:r>
        <w:t xml:space="preserve"> </w:t>
      </w:r>
      <w:r w:rsidRPr="00A5287F">
        <w:rPr>
          <w:i/>
        </w:rPr>
        <w:t>Id.</w:t>
      </w:r>
    </w:p>
  </w:footnote>
  <w:footnote w:id="129">
    <w:p w:rsidR="00A47022" w:rsidRDefault="00A47022" w:rsidP="007F7B4B">
      <w:pPr>
        <w:pStyle w:val="FootnoteText"/>
      </w:pPr>
      <w:r>
        <w:rPr>
          <w:rStyle w:val="FootnoteReference"/>
        </w:rPr>
        <w:footnoteRef/>
      </w:r>
      <w:r>
        <w:t xml:space="preserve"> </w:t>
      </w:r>
      <w:r>
        <w:rPr>
          <w:rStyle w:val="Footnote"/>
        </w:rPr>
        <w:t>5 U.S.C. § 603(b)(3).</w:t>
      </w:r>
    </w:p>
  </w:footnote>
  <w:footnote w:id="130">
    <w:p w:rsidR="00A47022" w:rsidRDefault="00A47022" w:rsidP="007F7B4B">
      <w:pPr>
        <w:pStyle w:val="FootnoteText"/>
      </w:pPr>
      <w:r>
        <w:rPr>
          <w:rStyle w:val="FootnoteReference"/>
        </w:rPr>
        <w:footnoteRef/>
      </w:r>
      <w:r>
        <w:t xml:space="preserve"> </w:t>
      </w:r>
      <w:r>
        <w:rPr>
          <w:rStyle w:val="Footnote"/>
        </w:rPr>
        <w:t>5 U.S.C. § 601(6).</w:t>
      </w:r>
    </w:p>
  </w:footnote>
  <w:footnote w:id="131">
    <w:p w:rsidR="00A47022" w:rsidRDefault="00A47022" w:rsidP="007F7B4B">
      <w:pPr>
        <w:pStyle w:val="FootnoteText"/>
      </w:pPr>
      <w:r>
        <w:rPr>
          <w:rStyle w:val="FootnoteReference"/>
        </w:rPr>
        <w:footnoteRef/>
      </w:r>
      <w:r>
        <w:t xml:space="preserve"> </w:t>
      </w:r>
      <w:r>
        <w:rPr>
          <w:rStyle w:val="Footnote"/>
        </w:rPr>
        <w:t>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w:t>
      </w:r>
      <w:r w:rsidRPr="00357400">
        <w:t xml:space="preserve"> </w:t>
      </w:r>
      <w:r>
        <w:rPr>
          <w:rStyle w:val="Footnote"/>
        </w:rPr>
        <w:t>for public comment, establishes one or more definitions of such term which are appropriate to the activities of the agency and publishes such definition(s) in the Federal Register.”</w:t>
      </w:r>
    </w:p>
  </w:footnote>
  <w:footnote w:id="132">
    <w:p w:rsidR="00A47022" w:rsidRDefault="00A47022" w:rsidP="007F7B4B">
      <w:pPr>
        <w:pStyle w:val="FootnoteText"/>
      </w:pPr>
      <w:r>
        <w:rPr>
          <w:rStyle w:val="FootnoteReference"/>
        </w:rPr>
        <w:footnoteRef/>
      </w:r>
      <w:r>
        <w:t xml:space="preserve"> </w:t>
      </w:r>
      <w:r>
        <w:rPr>
          <w:rStyle w:val="Footnote"/>
        </w:rPr>
        <w:t>15 U.S.C. § 632.</w:t>
      </w:r>
    </w:p>
  </w:footnote>
  <w:footnote w:id="133">
    <w:p w:rsidR="00A47022" w:rsidRDefault="00A47022" w:rsidP="007F7B4B">
      <w:pPr>
        <w:pStyle w:val="FootnoteText"/>
      </w:pPr>
      <w:r>
        <w:rPr>
          <w:rStyle w:val="FootnoteReference"/>
        </w:rPr>
        <w:footnoteRef/>
      </w:r>
      <w:r>
        <w:t xml:space="preserve"> </w:t>
      </w:r>
      <w:r w:rsidRPr="005A3505">
        <w:rPr>
          <w:i/>
        </w:rPr>
        <w:t>See</w:t>
      </w:r>
      <w:r w:rsidRPr="005A3505">
        <w:t xml:space="preserve"> SBA, Office of Advocacy, “Frequently Asked Questions,” </w:t>
      </w:r>
      <w:hyperlink r:id="rId2" w:history="1">
        <w:r w:rsidRPr="00C31A4B">
          <w:rPr>
            <w:rStyle w:val="Hyperlink"/>
          </w:rPr>
          <w:t>http://www.sba.gov/sites/default/files/FAQ_Sept_2012.pdf.</w:t>
        </w:r>
      </w:hyperlink>
    </w:p>
  </w:footnote>
  <w:footnote w:id="134">
    <w:p w:rsidR="00A47022" w:rsidRDefault="00A47022" w:rsidP="007F7B4B">
      <w:pPr>
        <w:pStyle w:val="FootnoteText"/>
      </w:pPr>
      <w:r>
        <w:rPr>
          <w:rStyle w:val="FootnoteReference"/>
        </w:rPr>
        <w:footnoteRef/>
      </w:r>
      <w:r>
        <w:t xml:space="preserve"> </w:t>
      </w:r>
      <w:r w:rsidRPr="00751F6C">
        <w:rPr>
          <w:i/>
        </w:rPr>
        <w:t>See id.</w:t>
      </w:r>
    </w:p>
  </w:footnote>
  <w:footnote w:id="135">
    <w:p w:rsidR="00A47022" w:rsidRDefault="00A47022" w:rsidP="007F7B4B">
      <w:pPr>
        <w:pStyle w:val="FootnoteText"/>
      </w:pPr>
      <w:r>
        <w:rPr>
          <w:rStyle w:val="FootnoteReference"/>
        </w:rPr>
        <w:footnoteRef/>
      </w:r>
      <w:r>
        <w:t xml:space="preserve"> </w:t>
      </w:r>
      <w:r w:rsidRPr="00D15B65">
        <w:rPr>
          <w:rStyle w:val="Footnote"/>
        </w:rPr>
        <w:t>13 C.F.R. § 121.201, NAICS code 517110</w:t>
      </w:r>
      <w:r>
        <w:rPr>
          <w:rStyle w:val="Footnote"/>
        </w:rPr>
        <w:t>.</w:t>
      </w:r>
    </w:p>
  </w:footnote>
  <w:footnote w:id="136">
    <w:p w:rsidR="00A47022" w:rsidRDefault="00A47022" w:rsidP="007F7B4B">
      <w:pPr>
        <w:pStyle w:val="FootnoteText"/>
      </w:pPr>
      <w:r>
        <w:rPr>
          <w:rStyle w:val="FootnoteReference"/>
        </w:rPr>
        <w:footnoteRef/>
      </w:r>
      <w:r>
        <w:t xml:space="preserve"> </w:t>
      </w:r>
      <w:r w:rsidRPr="00280043">
        <w:rPr>
          <w:i/>
        </w:rPr>
        <w:t>See id.</w:t>
      </w:r>
    </w:p>
  </w:footnote>
  <w:footnote w:id="137">
    <w:p w:rsidR="00A47022" w:rsidRDefault="00A47022" w:rsidP="007F7B4B">
      <w:pPr>
        <w:pStyle w:val="FootnoteText"/>
      </w:pPr>
      <w:r>
        <w:rPr>
          <w:rStyle w:val="FootnoteReference"/>
        </w:rPr>
        <w:footnoteRef/>
      </w:r>
      <w:r>
        <w:t xml:space="preserve"> </w:t>
      </w:r>
      <w:r w:rsidRPr="00D15B65">
        <w:rPr>
          <w:rStyle w:val="Footnote"/>
        </w:rPr>
        <w:t>13 C.F.R. § 121.201, NAICS code 517110</w:t>
      </w:r>
      <w:r>
        <w:rPr>
          <w:rStyle w:val="Footnote"/>
        </w:rPr>
        <w:t>.</w:t>
      </w:r>
    </w:p>
  </w:footnote>
  <w:footnote w:id="138">
    <w:p w:rsidR="00A47022" w:rsidRDefault="00A47022" w:rsidP="007F7B4B">
      <w:pPr>
        <w:pStyle w:val="FootnoteText"/>
      </w:pPr>
      <w:r>
        <w:rPr>
          <w:rStyle w:val="FootnoteReference"/>
        </w:rPr>
        <w:footnoteRef/>
      </w:r>
      <w:r>
        <w:t xml:space="preserve"> </w:t>
      </w:r>
      <w:r w:rsidRPr="00D15B65">
        <w:rPr>
          <w:i/>
        </w:rPr>
        <w:t>See Trends in Telephone Service</w:t>
      </w:r>
      <w:r w:rsidRPr="00D15B65">
        <w:t>, Federal Communications Commission, Wireline Competition Bureau, Industry Analysis and Technology Divis</w:t>
      </w:r>
      <w:r>
        <w:t>ion at Table 5.3 (Sept. 2010) (</w:t>
      </w:r>
      <w:r w:rsidRPr="00D15B65">
        <w:rPr>
          <w:i/>
        </w:rPr>
        <w:t>Trends in Telephone Service</w:t>
      </w:r>
      <w:r w:rsidRPr="00D15B65">
        <w:t>).</w:t>
      </w:r>
    </w:p>
  </w:footnote>
  <w:footnote w:id="139">
    <w:p w:rsidR="00A47022" w:rsidRDefault="00A47022" w:rsidP="007F7B4B">
      <w:pPr>
        <w:pStyle w:val="FootnoteText"/>
      </w:pPr>
      <w:r>
        <w:rPr>
          <w:rStyle w:val="FootnoteReference"/>
        </w:rPr>
        <w:footnoteRef/>
      </w:r>
      <w:r>
        <w:t xml:space="preserve"> </w:t>
      </w:r>
      <w:r w:rsidRPr="00007763">
        <w:rPr>
          <w:i/>
        </w:rPr>
        <w:t>Id.</w:t>
      </w:r>
    </w:p>
  </w:footnote>
  <w:footnote w:id="140">
    <w:p w:rsidR="00A47022" w:rsidRDefault="00A47022" w:rsidP="007F7B4B">
      <w:pPr>
        <w:pStyle w:val="FootnoteText"/>
      </w:pPr>
      <w:r>
        <w:rPr>
          <w:rStyle w:val="FootnoteReference"/>
        </w:rPr>
        <w:footnoteRef/>
      </w:r>
      <w:r>
        <w:t xml:space="preserve"> </w:t>
      </w:r>
      <w:r>
        <w:rPr>
          <w:rStyle w:val="FootnoteTextChar4"/>
        </w:rPr>
        <w:t>13 C.F.R. § 121.201, NAICS code 517110.</w:t>
      </w:r>
    </w:p>
  </w:footnote>
  <w:footnote w:id="141">
    <w:p w:rsidR="00A47022" w:rsidRDefault="00A47022" w:rsidP="007F7B4B">
      <w:pPr>
        <w:pStyle w:val="FootnoteText"/>
      </w:pPr>
      <w:r>
        <w:rPr>
          <w:rStyle w:val="FootnoteReference"/>
        </w:rPr>
        <w:footnoteRef/>
      </w:r>
      <w:r>
        <w:t xml:space="preserve"> </w:t>
      </w:r>
      <w:r>
        <w:rPr>
          <w:i/>
        </w:rPr>
        <w:t>See Trends in Telephone Service,</w:t>
      </w:r>
      <w:r>
        <w:t xml:space="preserve"> at tbl. 5.3.</w:t>
      </w:r>
    </w:p>
  </w:footnote>
  <w:footnote w:id="142">
    <w:p w:rsidR="00A47022" w:rsidRDefault="00A47022" w:rsidP="007F7B4B">
      <w:pPr>
        <w:pStyle w:val="FootnoteText"/>
      </w:pPr>
      <w:r>
        <w:rPr>
          <w:rStyle w:val="FootnoteReference"/>
        </w:rPr>
        <w:footnoteRef/>
      </w:r>
      <w:r>
        <w:t xml:space="preserve"> </w:t>
      </w:r>
      <w:r>
        <w:rPr>
          <w:i/>
        </w:rPr>
        <w:t>I</w:t>
      </w:r>
      <w:r w:rsidRPr="00F71FA2">
        <w:rPr>
          <w:i/>
        </w:rPr>
        <w:t>d.</w:t>
      </w:r>
    </w:p>
  </w:footnote>
  <w:footnote w:id="143">
    <w:p w:rsidR="00A47022" w:rsidRDefault="00A47022" w:rsidP="007F7B4B">
      <w:pPr>
        <w:pStyle w:val="FootnoteText"/>
      </w:pPr>
      <w:r>
        <w:rPr>
          <w:rStyle w:val="FootnoteReference"/>
        </w:rPr>
        <w:footnoteRef/>
      </w:r>
      <w:r>
        <w:t xml:space="preserve"> </w:t>
      </w:r>
      <w:r w:rsidRPr="00C71B0F">
        <w:rPr>
          <w:i/>
        </w:rPr>
        <w:t>Id.</w:t>
      </w:r>
    </w:p>
  </w:footnote>
  <w:footnote w:id="144">
    <w:p w:rsidR="00A47022" w:rsidRDefault="00A47022" w:rsidP="007F7B4B">
      <w:pPr>
        <w:pStyle w:val="FootnoteText"/>
      </w:pPr>
      <w:r>
        <w:rPr>
          <w:rStyle w:val="FootnoteReference"/>
        </w:rPr>
        <w:footnoteRef/>
      </w:r>
      <w:r>
        <w:t xml:space="preserve"> </w:t>
      </w:r>
      <w:r w:rsidRPr="00C71B0F">
        <w:rPr>
          <w:i/>
        </w:rPr>
        <w:t>Id.</w:t>
      </w:r>
    </w:p>
  </w:footnote>
  <w:footnote w:id="145">
    <w:p w:rsidR="00A47022" w:rsidRDefault="00A47022" w:rsidP="007F7B4B">
      <w:pPr>
        <w:pStyle w:val="FootnoteText"/>
      </w:pPr>
      <w:r>
        <w:rPr>
          <w:rStyle w:val="FootnoteReference"/>
        </w:rPr>
        <w:footnoteRef/>
      </w:r>
      <w:r>
        <w:t xml:space="preserve"> </w:t>
      </w:r>
      <w:r w:rsidRPr="00C71B0F">
        <w:rPr>
          <w:i/>
        </w:rPr>
        <w:t>Id.</w:t>
      </w:r>
    </w:p>
  </w:footnote>
  <w:footnote w:id="146">
    <w:p w:rsidR="00A47022" w:rsidRDefault="00A47022" w:rsidP="007F7B4B">
      <w:pPr>
        <w:pStyle w:val="FootnoteText"/>
      </w:pPr>
      <w:r>
        <w:rPr>
          <w:rStyle w:val="FootnoteReference"/>
        </w:rPr>
        <w:footnoteRef/>
      </w:r>
      <w:r>
        <w:t xml:space="preserve"> </w:t>
      </w:r>
      <w:r>
        <w:rPr>
          <w:color w:val="000000"/>
        </w:rPr>
        <w:t>13 C.F.R. § 121.201, NAICS code 517110.</w:t>
      </w:r>
    </w:p>
  </w:footnote>
  <w:footnote w:id="147">
    <w:p w:rsidR="00A47022" w:rsidRDefault="00A47022" w:rsidP="007F7B4B">
      <w:pPr>
        <w:pStyle w:val="FootnoteText"/>
      </w:pPr>
      <w:r>
        <w:rPr>
          <w:rStyle w:val="FootnoteReference"/>
        </w:rPr>
        <w:footnoteRef/>
      </w:r>
      <w:r>
        <w:t xml:space="preserve"> </w:t>
      </w:r>
      <w:r>
        <w:rPr>
          <w:i/>
        </w:rPr>
        <w:t>See Trends in Telephone Service,</w:t>
      </w:r>
      <w:r>
        <w:t xml:space="preserve"> at tbl. 5.3.</w:t>
      </w:r>
    </w:p>
  </w:footnote>
  <w:footnote w:id="148">
    <w:p w:rsidR="00A47022" w:rsidRDefault="00A47022" w:rsidP="007F7B4B">
      <w:pPr>
        <w:pStyle w:val="FootnoteText"/>
      </w:pPr>
      <w:r>
        <w:rPr>
          <w:rStyle w:val="FootnoteReference"/>
        </w:rPr>
        <w:footnoteRef/>
      </w:r>
      <w:r>
        <w:t xml:space="preserve"> </w:t>
      </w:r>
      <w:r w:rsidRPr="0026657E">
        <w:rPr>
          <w:i/>
        </w:rPr>
        <w:t>Id.</w:t>
      </w:r>
    </w:p>
  </w:footnote>
  <w:footnote w:id="149">
    <w:p w:rsidR="00A47022" w:rsidRDefault="00A47022" w:rsidP="0055291C">
      <w:pPr>
        <w:pStyle w:val="FootnoteText"/>
      </w:pPr>
      <w:r>
        <w:rPr>
          <w:rStyle w:val="FootnoteReference"/>
        </w:rPr>
        <w:footnoteRef/>
      </w:r>
      <w:r>
        <w:t xml:space="preserve"> </w:t>
      </w:r>
      <w:r>
        <w:rPr>
          <w:color w:val="000000"/>
        </w:rPr>
        <w:t>13 C.F.R. § 121.201, NAICS code 517911.</w:t>
      </w:r>
    </w:p>
  </w:footnote>
  <w:footnote w:id="150">
    <w:p w:rsidR="00A47022" w:rsidRDefault="00A47022" w:rsidP="0055291C">
      <w:pPr>
        <w:pStyle w:val="FootnoteText"/>
      </w:pPr>
      <w:r>
        <w:rPr>
          <w:rStyle w:val="FootnoteReference"/>
        </w:rPr>
        <w:footnoteRef/>
      </w:r>
      <w:hyperlink r:id="rId3" w:history="1">
        <w:r w:rsidRPr="00B07152">
          <w:rPr>
            <w:rStyle w:val="Hyperlink"/>
          </w:rPr>
          <w:t>http://factfinder2.census.gov/faces/tableservices/jsf/pages/productview.xhtml?pid=ECN_2007_US_51SSSZ2&amp;prodType=table</w:t>
        </w:r>
      </w:hyperlink>
      <w:r w:rsidRPr="00860117">
        <w:rPr>
          <w:i/>
        </w:rPr>
        <w:t>.</w:t>
      </w:r>
    </w:p>
  </w:footnote>
  <w:footnote w:id="151">
    <w:p w:rsidR="00A47022" w:rsidRDefault="00A47022" w:rsidP="0055291C">
      <w:pPr>
        <w:pStyle w:val="FootnoteText"/>
      </w:pPr>
      <w:r>
        <w:rPr>
          <w:rStyle w:val="FootnoteReference"/>
        </w:rPr>
        <w:footnoteRef/>
      </w:r>
      <w:r>
        <w:t xml:space="preserve"> </w:t>
      </w:r>
      <w:r>
        <w:rPr>
          <w:i/>
        </w:rPr>
        <w:t>See Trends in Telephone Service,</w:t>
      </w:r>
      <w:r>
        <w:t xml:space="preserve"> at tbl. 5.3.</w:t>
      </w:r>
    </w:p>
  </w:footnote>
  <w:footnote w:id="152">
    <w:p w:rsidR="00A47022" w:rsidRDefault="00A47022" w:rsidP="0055291C">
      <w:pPr>
        <w:pStyle w:val="FootnoteText"/>
      </w:pPr>
      <w:r>
        <w:rPr>
          <w:rStyle w:val="FootnoteReference"/>
        </w:rPr>
        <w:footnoteRef/>
      </w:r>
      <w:r>
        <w:t xml:space="preserve"> </w:t>
      </w:r>
      <w:r w:rsidRPr="00860117">
        <w:rPr>
          <w:i/>
        </w:rPr>
        <w:t>Id.</w:t>
      </w:r>
    </w:p>
  </w:footnote>
  <w:footnote w:id="153">
    <w:p w:rsidR="00A47022" w:rsidRDefault="00A47022" w:rsidP="007C5C26">
      <w:pPr>
        <w:pStyle w:val="FootnoteText"/>
      </w:pPr>
      <w:r>
        <w:rPr>
          <w:rStyle w:val="FootnoteReference"/>
        </w:rPr>
        <w:footnoteRef/>
      </w:r>
      <w:r>
        <w:t xml:space="preserve"> </w:t>
      </w:r>
      <w:r>
        <w:rPr>
          <w:color w:val="000000"/>
        </w:rPr>
        <w:t>13 C.F.R. § 121.201, NAICS code 517911.</w:t>
      </w:r>
    </w:p>
  </w:footnote>
  <w:footnote w:id="154">
    <w:p w:rsidR="00A47022" w:rsidRDefault="00A47022" w:rsidP="007C5C26">
      <w:pPr>
        <w:pStyle w:val="FootnoteText"/>
      </w:pPr>
      <w:r>
        <w:rPr>
          <w:rStyle w:val="FootnoteReference"/>
        </w:rPr>
        <w:footnoteRef/>
      </w:r>
      <w:hyperlink r:id="rId4" w:history="1">
        <w:r w:rsidRPr="00B07152">
          <w:rPr>
            <w:rStyle w:val="Hyperlink"/>
          </w:rPr>
          <w:t>http://factfinder2.census.gov/faces/tableservices/jsf/pages/productview.xhtml?pid=ECN_2007_US_51SSSZ2&amp;prodType=table</w:t>
        </w:r>
      </w:hyperlink>
      <w:r w:rsidRPr="00860117">
        <w:rPr>
          <w:i/>
        </w:rPr>
        <w:t>.</w:t>
      </w:r>
    </w:p>
  </w:footnote>
  <w:footnote w:id="155">
    <w:p w:rsidR="00A47022" w:rsidRDefault="00A47022" w:rsidP="007C5C26">
      <w:pPr>
        <w:pStyle w:val="FootnoteText"/>
      </w:pPr>
      <w:r>
        <w:rPr>
          <w:rStyle w:val="FootnoteReference"/>
        </w:rPr>
        <w:footnoteRef/>
      </w:r>
      <w:r>
        <w:t xml:space="preserve"> </w:t>
      </w:r>
      <w:r>
        <w:rPr>
          <w:i/>
          <w:color w:val="000000"/>
        </w:rPr>
        <w:t>See Trends in Telephone Service,</w:t>
      </w:r>
      <w:r>
        <w:rPr>
          <w:color w:val="000000"/>
        </w:rPr>
        <w:t xml:space="preserve"> at tbl. 5.3.  </w:t>
      </w:r>
    </w:p>
  </w:footnote>
  <w:footnote w:id="156">
    <w:p w:rsidR="00A47022" w:rsidRDefault="00A47022" w:rsidP="007C5C26">
      <w:pPr>
        <w:pStyle w:val="FootnoteText"/>
      </w:pPr>
      <w:r>
        <w:rPr>
          <w:rStyle w:val="FootnoteReference"/>
        </w:rPr>
        <w:footnoteRef/>
      </w:r>
      <w:r>
        <w:t xml:space="preserve"> </w:t>
      </w:r>
      <w:r w:rsidRPr="00E024DD">
        <w:rPr>
          <w:i/>
        </w:rPr>
        <w:t>Id.</w:t>
      </w:r>
    </w:p>
  </w:footnote>
  <w:footnote w:id="157">
    <w:p w:rsidR="00A47022" w:rsidRDefault="00A47022" w:rsidP="006B6789">
      <w:pPr>
        <w:pStyle w:val="FootnoteText"/>
      </w:pPr>
      <w:r>
        <w:rPr>
          <w:rStyle w:val="FootnoteReference"/>
        </w:rPr>
        <w:footnoteRef/>
      </w:r>
      <w:r>
        <w:t xml:space="preserve"> </w:t>
      </w:r>
      <w:r>
        <w:rPr>
          <w:color w:val="000000"/>
        </w:rPr>
        <w:t>13 C.F.R. § 121.201, NAICS code 517911.</w:t>
      </w:r>
    </w:p>
  </w:footnote>
  <w:footnote w:id="158">
    <w:p w:rsidR="00A47022" w:rsidRPr="00B07152" w:rsidRDefault="00A47022" w:rsidP="006B6789">
      <w:pPr>
        <w:pStyle w:val="FootnoteText"/>
      </w:pPr>
      <w:r>
        <w:rPr>
          <w:rStyle w:val="FootnoteReference"/>
        </w:rPr>
        <w:footnoteRef/>
      </w:r>
      <w:hyperlink r:id="rId5" w:history="1">
        <w:r w:rsidRPr="00B07152">
          <w:rPr>
            <w:rStyle w:val="Hyperlink"/>
          </w:rPr>
          <w:t>http://factfinder2.census.gov/faces/tableservices/jsf/pages/productview.xhtml?pid=ECN_2007_US_51SSSZ2&amp;prodType=table</w:t>
        </w:r>
      </w:hyperlink>
      <w:r w:rsidRPr="00860117">
        <w:rPr>
          <w:i/>
        </w:rPr>
        <w:t>.</w:t>
      </w:r>
    </w:p>
  </w:footnote>
  <w:footnote w:id="159">
    <w:p w:rsidR="00A47022" w:rsidRDefault="00A47022" w:rsidP="006B6789">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160">
    <w:p w:rsidR="00A47022" w:rsidRDefault="00A47022" w:rsidP="006B6789">
      <w:pPr>
        <w:pStyle w:val="FootnoteText"/>
      </w:pPr>
      <w:r>
        <w:rPr>
          <w:rStyle w:val="FootnoteReference"/>
        </w:rPr>
        <w:footnoteRef/>
      </w:r>
      <w:r>
        <w:t xml:space="preserve"> </w:t>
      </w:r>
      <w:r w:rsidRPr="00E52E8F">
        <w:rPr>
          <w:i/>
        </w:rPr>
        <w:t>Id.</w:t>
      </w:r>
    </w:p>
  </w:footnote>
  <w:footnote w:id="161">
    <w:p w:rsidR="00A47022" w:rsidRDefault="00A47022" w:rsidP="007F7B4B">
      <w:pPr>
        <w:pStyle w:val="FootnoteText"/>
      </w:pPr>
      <w:r>
        <w:rPr>
          <w:rStyle w:val="FootnoteReference"/>
        </w:rPr>
        <w:footnoteRef/>
      </w:r>
      <w:r>
        <w:t xml:space="preserve"> </w:t>
      </w:r>
      <w:r>
        <w:rPr>
          <w:color w:val="000000"/>
        </w:rPr>
        <w:t>13 C.F.R. § 121.201, NAICS code 517110.</w:t>
      </w:r>
    </w:p>
  </w:footnote>
  <w:footnote w:id="162">
    <w:p w:rsidR="00A47022" w:rsidRDefault="00A47022" w:rsidP="007F7B4B">
      <w:pPr>
        <w:pStyle w:val="FootnoteText"/>
      </w:pPr>
      <w:r>
        <w:rPr>
          <w:rStyle w:val="FootnoteReference"/>
        </w:rPr>
        <w:footnoteRef/>
      </w:r>
      <w:r>
        <w:t xml:space="preserve"> </w:t>
      </w:r>
      <w:r w:rsidRPr="00235678">
        <w:rPr>
          <w:i/>
        </w:rPr>
        <w:t>Id.</w:t>
      </w:r>
    </w:p>
  </w:footnote>
  <w:footnote w:id="163">
    <w:p w:rsidR="00A47022" w:rsidRDefault="00A47022" w:rsidP="007F7B4B">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164">
    <w:p w:rsidR="00A47022" w:rsidRDefault="00A47022" w:rsidP="007F7B4B">
      <w:pPr>
        <w:pStyle w:val="FootnoteText"/>
      </w:pPr>
      <w:r>
        <w:rPr>
          <w:rStyle w:val="FootnoteReference"/>
        </w:rPr>
        <w:footnoteRef/>
      </w:r>
      <w:r>
        <w:t xml:space="preserve"> </w:t>
      </w:r>
      <w:r w:rsidRPr="00B605CD">
        <w:rPr>
          <w:i/>
        </w:rPr>
        <w:t>Id.</w:t>
      </w:r>
    </w:p>
  </w:footnote>
  <w:footnote w:id="165">
    <w:p w:rsidR="00A47022" w:rsidRDefault="00A47022" w:rsidP="007F7B4B">
      <w:pPr>
        <w:pStyle w:val="FootnoteText"/>
      </w:pPr>
      <w:r>
        <w:rPr>
          <w:rStyle w:val="FootnoteReference"/>
        </w:rPr>
        <w:footnoteRef/>
      </w:r>
      <w:r>
        <w:t xml:space="preserve"> </w:t>
      </w:r>
      <w:r>
        <w:rPr>
          <w:color w:val="000000"/>
        </w:rPr>
        <w:t>13 C.F.R. § 121.201, NAICS code 517210.</w:t>
      </w:r>
    </w:p>
  </w:footnote>
  <w:footnote w:id="166">
    <w:p w:rsidR="00A47022" w:rsidRDefault="00A47022" w:rsidP="007F7B4B">
      <w:pPr>
        <w:pStyle w:val="FootnoteText"/>
      </w:pPr>
      <w:r>
        <w:rPr>
          <w:rStyle w:val="FootnoteReference"/>
        </w:rPr>
        <w:footnoteRef/>
      </w:r>
      <w:r>
        <w:t xml:space="preserve"> U.S. Census Bureau, 2002 NAICS Definitions, “517211 Paging,” available at </w:t>
      </w:r>
      <w:hyperlink r:id="rId6" w:history="1">
        <w:r w:rsidRPr="006B6A44">
          <w:rPr>
            <w:rStyle w:val="Hyperlink"/>
          </w:rPr>
          <w:t>http://www.census.gov/cgibin/ sssd/naics/naicsrch?code=517211&amp;search=2002%20NAICS%20Search</w:t>
        </w:r>
      </w:hyperlink>
      <w:r>
        <w:t xml:space="preserve">; U.S. Census Bureau, 2002 NAICS Definitions, “517212 Cellular and Other Wireless Telecommunications,” available at </w:t>
      </w:r>
      <w:hyperlink r:id="rId7" w:history="1">
        <w:r w:rsidRPr="006B6A44">
          <w:rPr>
            <w:rStyle w:val="Hyperlink"/>
          </w:rPr>
          <w:t>http://www.census.gov/cgi-bin/sssd/naics/naicsrch?code=517212&amp;search=2002%20NAICS%20Search</w:t>
        </w:r>
      </w:hyperlink>
      <w:r>
        <w:t>.</w:t>
      </w:r>
    </w:p>
  </w:footnote>
  <w:footnote w:id="167">
    <w:p w:rsidR="00A47022" w:rsidRDefault="00A47022" w:rsidP="007F7B4B">
      <w:pPr>
        <w:pStyle w:val="FootnoteText"/>
      </w:pPr>
      <w:r>
        <w:rPr>
          <w:rStyle w:val="FootnoteReference"/>
        </w:rPr>
        <w:footnoteRef/>
      </w:r>
      <w:r>
        <w:t xml:space="preserve"> 13 C.F.R. § 121.201, NAICS code 517210. The now-superseded, pre-2007 C.F.R. citations were 13 C.F.R. § 121.201, NAICS codes 517211 and 517212 (referring to the 2002 NAICS).</w:t>
      </w:r>
    </w:p>
  </w:footnote>
  <w:footnote w:id="168">
    <w:p w:rsidR="00A47022" w:rsidRDefault="00A47022" w:rsidP="007F7B4B">
      <w:pPr>
        <w:pStyle w:val="FootnoteText"/>
      </w:pPr>
      <w:r>
        <w:rPr>
          <w:rStyle w:val="FootnoteReference"/>
        </w:rPr>
        <w:footnoteRef/>
      </w:r>
      <w:r>
        <w:t xml:space="preserve"> U.S. Census Bureau, Subject Series: Information, Table 5, “Establishment and Firm Size: Employment Size of Firms for the United States: 2007 NAICS Code 517210” (issued Nov. 2010).</w:t>
      </w:r>
    </w:p>
  </w:footnote>
  <w:footnote w:id="169">
    <w:p w:rsidR="00A47022" w:rsidRDefault="00A47022" w:rsidP="007F7B4B">
      <w:pPr>
        <w:pStyle w:val="FootnoteText"/>
      </w:pPr>
      <w:r>
        <w:rPr>
          <w:rStyle w:val="FootnoteReference"/>
        </w:rPr>
        <w:footnoteRef/>
      </w:r>
      <w:r>
        <w:t xml:space="preserve"> </w:t>
      </w:r>
      <w:r w:rsidRPr="00005C93">
        <w:rPr>
          <w:i/>
        </w:rPr>
        <w:t>Id.</w:t>
      </w:r>
      <w:r>
        <w:t xml:space="preserve"> Available census data do not provide a more precise estimate of the number of firms that have employment of 1,500 or fewer employees; the largest category provided is for firms with “100 employees or more.”</w:t>
      </w:r>
    </w:p>
  </w:footnote>
  <w:footnote w:id="170">
    <w:p w:rsidR="00A47022" w:rsidRDefault="00A47022" w:rsidP="007F7B4B">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171">
    <w:p w:rsidR="00A47022" w:rsidRDefault="00A47022" w:rsidP="007F7B4B">
      <w:pPr>
        <w:pStyle w:val="FootnoteText"/>
      </w:pPr>
      <w:r>
        <w:rPr>
          <w:rStyle w:val="FootnoteReference"/>
        </w:rPr>
        <w:footnoteRef/>
      </w:r>
      <w:r>
        <w:t xml:space="preserve"> </w:t>
      </w:r>
      <w:r w:rsidRPr="00233E31">
        <w:rPr>
          <w:i/>
        </w:rPr>
        <w:t>Id.</w:t>
      </w:r>
    </w:p>
  </w:footnote>
  <w:footnote w:id="172">
    <w:p w:rsidR="00A47022" w:rsidRDefault="00A47022" w:rsidP="007F7B4B">
      <w:pPr>
        <w:pStyle w:val="FootnoteText"/>
      </w:pPr>
      <w:r>
        <w:rPr>
          <w:rStyle w:val="FootnoteReference"/>
        </w:rPr>
        <w:footnoteRef/>
      </w:r>
      <w:r>
        <w:t xml:space="preserve"> U.S. Census Bureau, 2007 NAICS Definitions, “517110 Wired Telecommunications Carriers” (partial definition), available at </w:t>
      </w:r>
      <w:hyperlink r:id="rId8" w:history="1">
        <w:r w:rsidRPr="003D56E0">
          <w:rPr>
            <w:rStyle w:val="Hyperlink"/>
          </w:rPr>
          <w:t>http://www.census.gov/cgi-bin/sssd/naics/naicsrch?code=517110&amp;search=2007%20NAICS%20Search</w:t>
        </w:r>
      </w:hyperlink>
      <w:r>
        <w:t>.</w:t>
      </w:r>
    </w:p>
  </w:footnote>
  <w:footnote w:id="173">
    <w:p w:rsidR="00A47022" w:rsidRDefault="00A47022" w:rsidP="007F7B4B">
      <w:pPr>
        <w:pStyle w:val="FootnoteText"/>
      </w:pPr>
      <w:r>
        <w:rPr>
          <w:rStyle w:val="FootnoteReference"/>
        </w:rPr>
        <w:footnoteRef/>
      </w:r>
      <w:r>
        <w:t xml:space="preserve"> </w:t>
      </w:r>
      <w:r>
        <w:rPr>
          <w:color w:val="000000"/>
        </w:rPr>
        <w:t>13 C.F.R. § 121.201, NAICS code 517110.</w:t>
      </w:r>
    </w:p>
  </w:footnote>
  <w:footnote w:id="174">
    <w:p w:rsidR="00A47022" w:rsidRDefault="00A47022" w:rsidP="007F7B4B">
      <w:pPr>
        <w:pStyle w:val="FootnoteText"/>
      </w:pPr>
      <w:r>
        <w:rPr>
          <w:rStyle w:val="FootnoteReference"/>
        </w:rPr>
        <w:footnoteRef/>
      </w:r>
      <w:r>
        <w:t xml:space="preserve"> </w:t>
      </w:r>
      <w:r w:rsidRPr="00FB045B">
        <w:rPr>
          <w:i/>
        </w:rPr>
        <w:t>See</w:t>
      </w:r>
      <w:r>
        <w:t xml:space="preserve"> 47 C.F.R. § 76.901(e). The Commission determined that this size standard equates approximately to a size standard of $100 million or less in annual revenues. </w:t>
      </w:r>
      <w:r w:rsidRPr="00FB045B">
        <w:rPr>
          <w:i/>
        </w:rPr>
        <w:t>See Implementation of Sections of the 1992 Cable Television Consumer Protection and Competition Act: Rate Regulation</w:t>
      </w:r>
      <w:r>
        <w:t>, MM Docket Nos. 92-266, 93-215, Sixth Report and Order and Eleventh Order on Reconsideration, 10 FCC Rcd 7393, 7408, para. 28 (1995).</w:t>
      </w:r>
    </w:p>
  </w:footnote>
  <w:footnote w:id="175">
    <w:p w:rsidR="00A47022" w:rsidRDefault="00A47022" w:rsidP="007F7B4B">
      <w:pPr>
        <w:pStyle w:val="FootnoteText"/>
      </w:pPr>
      <w:r>
        <w:rPr>
          <w:rStyle w:val="FootnoteReference"/>
        </w:rPr>
        <w:footnoteRef/>
      </w:r>
      <w:r>
        <w:t xml:space="preserve"> These data are derived from R.R. BOWKER, BROADCASTING &amp; CABLE YEARBOOK 2006, “Top 25 Cable/Satellite Operators,” pages A-8 &amp; C-2 (data current as of June 30, 2005); WARREN COMMUNICATIONS NEWS, TELEVISION &amp; CABLE FACTBOOK 2006, “Ownership of Cable Systems in the United States,” pages D-1805 to D-1857.</w:t>
      </w:r>
    </w:p>
  </w:footnote>
  <w:footnote w:id="176">
    <w:p w:rsidR="00A47022" w:rsidRDefault="00A47022" w:rsidP="007F7B4B">
      <w:pPr>
        <w:pStyle w:val="FootnoteText"/>
      </w:pPr>
      <w:r>
        <w:rPr>
          <w:rStyle w:val="FootnoteReference"/>
        </w:rPr>
        <w:footnoteRef/>
      </w:r>
      <w:r>
        <w:t xml:space="preserve"> </w:t>
      </w:r>
      <w:r w:rsidRPr="007C15AD">
        <w:rPr>
          <w:i/>
        </w:rPr>
        <w:t xml:space="preserve">See </w:t>
      </w:r>
      <w:r w:rsidRPr="007C15AD">
        <w:t>47 C.F.R. § 76.901(c).</w:t>
      </w:r>
    </w:p>
  </w:footnote>
  <w:footnote w:id="177">
    <w:p w:rsidR="00A47022" w:rsidRDefault="00A47022" w:rsidP="007F7B4B">
      <w:pPr>
        <w:pStyle w:val="FootnoteText"/>
      </w:pPr>
      <w:r>
        <w:rPr>
          <w:rStyle w:val="FootnoteReference"/>
        </w:rPr>
        <w:footnoteRef/>
      </w:r>
      <w:r>
        <w:t xml:space="preserve"> WARREN COMMUNICATIONS NEWS, TELEVISION &amp; CABLE FACTBOOK 2006, “U.S. Cable Systems by Subscriber Size,” page F-2 (data current as of Oct. 2007). The data do not include 851 systems for which classifying data were not available.</w:t>
      </w:r>
    </w:p>
  </w:footnote>
  <w:footnote w:id="178">
    <w:p w:rsidR="00A47022" w:rsidRDefault="00A47022" w:rsidP="007F7B4B">
      <w:pPr>
        <w:pStyle w:val="FootnoteText"/>
      </w:pPr>
      <w:r>
        <w:rPr>
          <w:rStyle w:val="FootnoteReference"/>
        </w:rPr>
        <w:footnoteRef/>
      </w:r>
      <w:r>
        <w:t xml:space="preserve"> U.S. Census Bureau, “2007 NAICS Definitions: 517919 All Other Telecommunications,” available at </w:t>
      </w:r>
      <w:hyperlink r:id="rId9" w:history="1">
        <w:r w:rsidRPr="00D33F9D">
          <w:rPr>
            <w:rStyle w:val="Hyperlink"/>
          </w:rPr>
          <w:t>http://www.census.gov/cgi-bin/sssd/naics/naicsrch?code=517919&amp;search=2007%20NAICS%20Search</w:t>
        </w:r>
      </w:hyperlink>
      <w:r>
        <w:t>.</w:t>
      </w:r>
    </w:p>
  </w:footnote>
  <w:footnote w:id="179">
    <w:p w:rsidR="00A47022" w:rsidRDefault="00A47022" w:rsidP="007F7B4B">
      <w:pPr>
        <w:pStyle w:val="FootnoteText"/>
      </w:pPr>
      <w:r>
        <w:rPr>
          <w:rStyle w:val="FootnoteReference"/>
        </w:rPr>
        <w:footnoteRef/>
      </w:r>
      <w:r>
        <w:t xml:space="preserve"> </w:t>
      </w:r>
      <w:r>
        <w:rPr>
          <w:color w:val="000000"/>
        </w:rPr>
        <w:t>13 C.F.R. § 121.201, NAICS code 517919.</w:t>
      </w:r>
    </w:p>
  </w:footnote>
  <w:footnote w:id="180">
    <w:p w:rsidR="00A47022" w:rsidRDefault="00A47022" w:rsidP="007F7B4B">
      <w:pPr>
        <w:pStyle w:val="FootnoteText"/>
      </w:pPr>
      <w:r>
        <w:rPr>
          <w:rStyle w:val="FootnoteReference"/>
        </w:rPr>
        <w:footnoteRef/>
      </w:r>
      <w:r>
        <w:t xml:space="preserve"> U.S. Census Bureau, 2007 Economic Census, Subject Series: Information, Table 4, “Establishment and Firm Size:  Receipts Size of Firms for the United States: 2007 NAICS Code 517919” (issued Nov. 2010).</w:t>
      </w:r>
    </w:p>
  </w:footnote>
  <w:footnote w:id="181">
    <w:p w:rsidR="00A47022" w:rsidRDefault="00A47022" w:rsidP="007F7B4B">
      <w:pPr>
        <w:pStyle w:val="FootnoteText"/>
      </w:pPr>
      <w:r>
        <w:rPr>
          <w:rStyle w:val="FootnoteReference"/>
        </w:rPr>
        <w:footnoteRef/>
      </w:r>
      <w:r>
        <w:t xml:space="preserve"> </w:t>
      </w:r>
      <w:r w:rsidRPr="001502DB">
        <w:rPr>
          <w:i/>
        </w:rPr>
        <w:t>Id.</w:t>
      </w:r>
    </w:p>
  </w:footnote>
  <w:footnote w:id="182">
    <w:p w:rsidR="00A47022" w:rsidRDefault="00A47022" w:rsidP="007F7B4B">
      <w:pPr>
        <w:pStyle w:val="FootnoteText"/>
      </w:pPr>
      <w:r>
        <w:rPr>
          <w:rStyle w:val="FootnoteReference"/>
        </w:rPr>
        <w:footnoteRef/>
      </w:r>
      <w:r>
        <w:t xml:space="preserve"> </w:t>
      </w:r>
      <w:r w:rsidRPr="00185ED3">
        <w:t>5 U.S.C. § 603(c)(1)–(c)(4).</w:t>
      </w:r>
    </w:p>
  </w:footnote>
  <w:footnote w:id="183">
    <w:p w:rsidR="00A47022" w:rsidRPr="00B60211" w:rsidRDefault="00A47022" w:rsidP="00B5459C">
      <w:pPr>
        <w:pStyle w:val="FootnoteText"/>
        <w:spacing w:after="240"/>
        <w:rPr>
          <w:spacing w:val="-2"/>
        </w:rPr>
      </w:pPr>
      <w:r w:rsidRPr="00B60211">
        <w:rPr>
          <w:rStyle w:val="FootnoteReference"/>
          <w:spacing w:val="-2"/>
        </w:rPr>
        <w:footnoteRef/>
      </w:r>
      <w:r w:rsidRPr="00B60211">
        <w:rPr>
          <w:spacing w:val="-2"/>
        </w:rPr>
        <w:t xml:space="preserve"> Note that "small fees" are collected in advance for the entire license term.  Therefore, the annual fee amount shown in this table that is a small fee (categories 1 through 5) must be multiplied by the 5-or 10-year license term, as appropriate, to arrive at the total amount of regulatory fees owed.  It should be further noted that application fees may also apply as detailed in §1.1102 of this chapter.</w:t>
      </w:r>
    </w:p>
  </w:footnote>
  <w:footnote w:id="184">
    <w:p w:rsidR="00A47022" w:rsidRPr="00B60211" w:rsidRDefault="00A47022" w:rsidP="00B5459C">
      <w:pPr>
        <w:pStyle w:val="FootnoteText"/>
      </w:pPr>
      <w:r w:rsidRPr="00B60211">
        <w:rPr>
          <w:rStyle w:val="FootnoteReference"/>
        </w:rPr>
        <w:footnoteRef/>
      </w:r>
      <w:r w:rsidRPr="00B60211">
        <w:t xml:space="preserve"> These are standard fees that are to be paid in accordance with § 1.1157(b) of this chapter.</w:t>
      </w:r>
    </w:p>
  </w:footnote>
  <w:footnote w:id="185">
    <w:p w:rsidR="00A47022" w:rsidRPr="005A3505" w:rsidRDefault="00A47022" w:rsidP="00B5459C">
      <w:pPr>
        <w:pStyle w:val="FootnoteText"/>
      </w:pPr>
      <w:r w:rsidRPr="00B60211">
        <w:rPr>
          <w:rStyle w:val="FootnoteReference"/>
        </w:rPr>
        <w:footnoteRef/>
      </w:r>
      <w:r w:rsidRPr="00B60211">
        <w:t xml:space="preserve"> Th</w:t>
      </w:r>
      <w:r w:rsidRPr="005A3505">
        <w:t>ese are standard fees that are to be paid in accordance with § 1.1157(b) of this chapter.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8E" w:rsidRDefault="00ED6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22" w:rsidRPr="0042179F" w:rsidRDefault="00A47022" w:rsidP="0042179F">
    <w:pPr>
      <w:pStyle w:val="Header"/>
    </w:pPr>
    <w:r w:rsidRPr="0042179F">
      <w:tab/>
      <w:t>Federal Communications Commission</w:t>
    </w:r>
    <w:r w:rsidRPr="0042179F">
      <w:tab/>
      <w:t xml:space="preserve"> FCC 13-110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22" w:rsidRPr="00A47022" w:rsidRDefault="00A47022" w:rsidP="0042179F">
    <w:pPr>
      <w:pStyle w:val="Header"/>
    </w:pPr>
    <w:r>
      <w:tab/>
    </w:r>
    <w:r w:rsidRPr="00A47022">
      <w:t>Federal Communications Commission</w:t>
    </w:r>
    <w:r w:rsidRPr="00A47022">
      <w:tab/>
      <w:t xml:space="preserve">FCC 13-110 </w:t>
    </w:r>
  </w:p>
  <w:p w:rsidR="00A47022" w:rsidRDefault="00A47022" w:rsidP="00421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69ECD1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rFonts w:ascii="Times New Roman Bold" w:hAnsi="Times New Roman Bold"/>
        <w:b/>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5341241F"/>
    <w:multiLevelType w:val="singleLevel"/>
    <w:tmpl w:val="4C62BFF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6">
    <w:nsid w:val="5B81240C"/>
    <w:multiLevelType w:val="hybridMultilevel"/>
    <w:tmpl w:val="292E23E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nsid w:val="61182925"/>
    <w:multiLevelType w:val="singleLevel"/>
    <w:tmpl w:val="4E6C12F8"/>
    <w:lvl w:ilvl="0">
      <w:start w:val="1"/>
      <w:numFmt w:val="decimal"/>
      <w:pStyle w:val="ParaNum"/>
      <w:lvlText w:val="%1."/>
      <w:lvlJc w:val="left"/>
      <w:pPr>
        <w:tabs>
          <w:tab w:val="num" w:pos="1080"/>
        </w:tabs>
        <w:ind w:left="0" w:firstLine="720"/>
      </w:pPr>
      <w:rPr>
        <w:b w:val="0"/>
      </w:rPr>
    </w:lvl>
  </w:abstractNum>
  <w:abstractNum w:abstractNumId="8">
    <w:nsid w:val="6496261D"/>
    <w:multiLevelType w:val="singleLevel"/>
    <w:tmpl w:val="459AAAC2"/>
    <w:lvl w:ilvl="0">
      <w:start w:val="1"/>
      <w:numFmt w:val="decimal"/>
      <w:pStyle w:val="Bullet"/>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9">
    <w:nsid w:val="6D2B48D2"/>
    <w:multiLevelType w:val="singleLevel"/>
    <w:tmpl w:val="462A4EC8"/>
    <w:lvl w:ilvl="0">
      <w:start w:val="1"/>
      <w:numFmt w:val="decimal"/>
      <w:pStyle w:val="Paranum0"/>
      <w:lvlText w:val="%1."/>
      <w:lvlJc w:val="left"/>
      <w:pPr>
        <w:tabs>
          <w:tab w:val="num" w:pos="1080"/>
        </w:tabs>
        <w:ind w:left="0" w:firstLine="720"/>
      </w:pPr>
      <w:rPr>
        <w:b w:val="0"/>
        <w:color w:val="auto"/>
      </w:rPr>
    </w:lvl>
  </w:abstractNum>
  <w:abstractNum w:abstractNumId="10">
    <w:nsid w:val="6D4829E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5"/>
  </w:num>
  <w:num w:numId="3">
    <w:abstractNumId w:val="10"/>
  </w:num>
  <w:num w:numId="4">
    <w:abstractNumId w:val="9"/>
  </w:num>
  <w:num w:numId="5">
    <w:abstractNumId w:val="7"/>
  </w:num>
  <w:num w:numId="6">
    <w:abstractNumId w:val="3"/>
  </w:num>
  <w:num w:numId="7">
    <w:abstractNumId w:val="6"/>
  </w:num>
  <w:num w:numId="8">
    <w:abstractNumId w:val="1"/>
  </w:num>
  <w:num w:numId="9">
    <w:abstractNumId w:val="4"/>
  </w:num>
  <w:num w:numId="10">
    <w:abstractNumId w:val="2"/>
  </w:num>
  <w:num w:numId="11">
    <w:abstractNumId w:val="0"/>
  </w:num>
  <w:num w:numId="12">
    <w:abstractNumId w:val="7"/>
  </w:num>
  <w:num w:numId="13">
    <w:abstractNumId w:val="7"/>
  </w:num>
  <w:num w:numId="14">
    <w:abstractNumId w:val="7"/>
  </w:num>
  <w:num w:numId="15">
    <w:abstractNumId w:val="3"/>
  </w:num>
  <w:num w:numId="16">
    <w:abstractNumId w:val="7"/>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PersonalInformation/>
  <w:removeDateAndTim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BD"/>
    <w:rsid w:val="0000013B"/>
    <w:rsid w:val="000011E0"/>
    <w:rsid w:val="000013D2"/>
    <w:rsid w:val="000013F3"/>
    <w:rsid w:val="00001B55"/>
    <w:rsid w:val="000021F2"/>
    <w:rsid w:val="000023CE"/>
    <w:rsid w:val="00002595"/>
    <w:rsid w:val="00002E0B"/>
    <w:rsid w:val="00003B30"/>
    <w:rsid w:val="00004073"/>
    <w:rsid w:val="000072C1"/>
    <w:rsid w:val="0001128D"/>
    <w:rsid w:val="00014534"/>
    <w:rsid w:val="00014A4E"/>
    <w:rsid w:val="00015410"/>
    <w:rsid w:val="00015478"/>
    <w:rsid w:val="00020403"/>
    <w:rsid w:val="00021046"/>
    <w:rsid w:val="00021D5D"/>
    <w:rsid w:val="000225CD"/>
    <w:rsid w:val="00024B58"/>
    <w:rsid w:val="00024C4A"/>
    <w:rsid w:val="000251CF"/>
    <w:rsid w:val="00025CA3"/>
    <w:rsid w:val="00026ED7"/>
    <w:rsid w:val="0003079A"/>
    <w:rsid w:val="000311FD"/>
    <w:rsid w:val="0003175B"/>
    <w:rsid w:val="00032720"/>
    <w:rsid w:val="00033BC5"/>
    <w:rsid w:val="00035821"/>
    <w:rsid w:val="000364A6"/>
    <w:rsid w:val="000406D0"/>
    <w:rsid w:val="00042811"/>
    <w:rsid w:val="00042952"/>
    <w:rsid w:val="00045486"/>
    <w:rsid w:val="00045FD5"/>
    <w:rsid w:val="00047798"/>
    <w:rsid w:val="00052D9F"/>
    <w:rsid w:val="00053193"/>
    <w:rsid w:val="000540B8"/>
    <w:rsid w:val="00054A29"/>
    <w:rsid w:val="00055F8F"/>
    <w:rsid w:val="0005796C"/>
    <w:rsid w:val="00057AFA"/>
    <w:rsid w:val="000600AA"/>
    <w:rsid w:val="00061D2F"/>
    <w:rsid w:val="00061F34"/>
    <w:rsid w:val="000633E9"/>
    <w:rsid w:val="00063EF5"/>
    <w:rsid w:val="00067117"/>
    <w:rsid w:val="000715D3"/>
    <w:rsid w:val="00071817"/>
    <w:rsid w:val="000725D1"/>
    <w:rsid w:val="00074268"/>
    <w:rsid w:val="00074E1D"/>
    <w:rsid w:val="0008039F"/>
    <w:rsid w:val="0008216F"/>
    <w:rsid w:val="00083865"/>
    <w:rsid w:val="00083F80"/>
    <w:rsid w:val="000842AE"/>
    <w:rsid w:val="000861F4"/>
    <w:rsid w:val="0008697F"/>
    <w:rsid w:val="00086A51"/>
    <w:rsid w:val="00087C88"/>
    <w:rsid w:val="00090B78"/>
    <w:rsid w:val="0009569F"/>
    <w:rsid w:val="000975E5"/>
    <w:rsid w:val="00097D63"/>
    <w:rsid w:val="000A1C31"/>
    <w:rsid w:val="000A2105"/>
    <w:rsid w:val="000A3072"/>
    <w:rsid w:val="000A3189"/>
    <w:rsid w:val="000A348F"/>
    <w:rsid w:val="000A37D2"/>
    <w:rsid w:val="000A3F97"/>
    <w:rsid w:val="000A4240"/>
    <w:rsid w:val="000A56A1"/>
    <w:rsid w:val="000A5F52"/>
    <w:rsid w:val="000A68C6"/>
    <w:rsid w:val="000A6F0B"/>
    <w:rsid w:val="000A71C7"/>
    <w:rsid w:val="000A7604"/>
    <w:rsid w:val="000A762E"/>
    <w:rsid w:val="000B15F0"/>
    <w:rsid w:val="000B1C00"/>
    <w:rsid w:val="000B412F"/>
    <w:rsid w:val="000B452E"/>
    <w:rsid w:val="000B6208"/>
    <w:rsid w:val="000B7AB2"/>
    <w:rsid w:val="000C1F78"/>
    <w:rsid w:val="000C25C4"/>
    <w:rsid w:val="000C25D7"/>
    <w:rsid w:val="000C2DA1"/>
    <w:rsid w:val="000C3CA2"/>
    <w:rsid w:val="000C3D58"/>
    <w:rsid w:val="000C413D"/>
    <w:rsid w:val="000C4618"/>
    <w:rsid w:val="000C4759"/>
    <w:rsid w:val="000C5229"/>
    <w:rsid w:val="000C52EC"/>
    <w:rsid w:val="000C6039"/>
    <w:rsid w:val="000D15F8"/>
    <w:rsid w:val="000D19F6"/>
    <w:rsid w:val="000D1AE7"/>
    <w:rsid w:val="000D580E"/>
    <w:rsid w:val="000D5C9D"/>
    <w:rsid w:val="000D65F2"/>
    <w:rsid w:val="000E1A50"/>
    <w:rsid w:val="000E1F2C"/>
    <w:rsid w:val="000E333B"/>
    <w:rsid w:val="000E36C9"/>
    <w:rsid w:val="000E395D"/>
    <w:rsid w:val="000E4F66"/>
    <w:rsid w:val="000E7158"/>
    <w:rsid w:val="000E7277"/>
    <w:rsid w:val="000E771A"/>
    <w:rsid w:val="000F1C35"/>
    <w:rsid w:val="000F1F25"/>
    <w:rsid w:val="000F262E"/>
    <w:rsid w:val="000F3D95"/>
    <w:rsid w:val="000F5BB1"/>
    <w:rsid w:val="000F6AA0"/>
    <w:rsid w:val="000F71B5"/>
    <w:rsid w:val="000F74F9"/>
    <w:rsid w:val="000F7E16"/>
    <w:rsid w:val="00100C17"/>
    <w:rsid w:val="0010195C"/>
    <w:rsid w:val="00102AB6"/>
    <w:rsid w:val="00102ECE"/>
    <w:rsid w:val="00103E14"/>
    <w:rsid w:val="001047D0"/>
    <w:rsid w:val="00104A93"/>
    <w:rsid w:val="00104E54"/>
    <w:rsid w:val="00105154"/>
    <w:rsid w:val="00105CD6"/>
    <w:rsid w:val="00106799"/>
    <w:rsid w:val="00106F7D"/>
    <w:rsid w:val="0011024C"/>
    <w:rsid w:val="00110A2C"/>
    <w:rsid w:val="00110C40"/>
    <w:rsid w:val="00110F55"/>
    <w:rsid w:val="0011242B"/>
    <w:rsid w:val="0011286D"/>
    <w:rsid w:val="00112A7F"/>
    <w:rsid w:val="001137F5"/>
    <w:rsid w:val="00113BA5"/>
    <w:rsid w:val="00113D8D"/>
    <w:rsid w:val="001144AB"/>
    <w:rsid w:val="00115BF1"/>
    <w:rsid w:val="0011609A"/>
    <w:rsid w:val="001163F6"/>
    <w:rsid w:val="001169B0"/>
    <w:rsid w:val="00116B9C"/>
    <w:rsid w:val="00117BEE"/>
    <w:rsid w:val="00120BF0"/>
    <w:rsid w:val="001217C2"/>
    <w:rsid w:val="00121B93"/>
    <w:rsid w:val="001226A8"/>
    <w:rsid w:val="001234AA"/>
    <w:rsid w:val="00123957"/>
    <w:rsid w:val="00123B4F"/>
    <w:rsid w:val="0012456D"/>
    <w:rsid w:val="00125CAF"/>
    <w:rsid w:val="0012628A"/>
    <w:rsid w:val="0012692F"/>
    <w:rsid w:val="00127B0F"/>
    <w:rsid w:val="001305DA"/>
    <w:rsid w:val="001330F7"/>
    <w:rsid w:val="001339E4"/>
    <w:rsid w:val="001350CA"/>
    <w:rsid w:val="00135F32"/>
    <w:rsid w:val="00136DCF"/>
    <w:rsid w:val="00136DD6"/>
    <w:rsid w:val="00140CBD"/>
    <w:rsid w:val="00141889"/>
    <w:rsid w:val="0014590B"/>
    <w:rsid w:val="00151651"/>
    <w:rsid w:val="001527E0"/>
    <w:rsid w:val="00152848"/>
    <w:rsid w:val="00153E41"/>
    <w:rsid w:val="00157425"/>
    <w:rsid w:val="0015764E"/>
    <w:rsid w:val="00157B67"/>
    <w:rsid w:val="00160543"/>
    <w:rsid w:val="00160C25"/>
    <w:rsid w:val="00160E5B"/>
    <w:rsid w:val="0016108A"/>
    <w:rsid w:val="0016301B"/>
    <w:rsid w:val="001630FA"/>
    <w:rsid w:val="001632AE"/>
    <w:rsid w:val="00165410"/>
    <w:rsid w:val="00165449"/>
    <w:rsid w:val="001654A4"/>
    <w:rsid w:val="001662C6"/>
    <w:rsid w:val="00167267"/>
    <w:rsid w:val="0016737B"/>
    <w:rsid w:val="00167EF6"/>
    <w:rsid w:val="0017044A"/>
    <w:rsid w:val="001734DA"/>
    <w:rsid w:val="00176953"/>
    <w:rsid w:val="00177490"/>
    <w:rsid w:val="001813B5"/>
    <w:rsid w:val="001819CE"/>
    <w:rsid w:val="0018208F"/>
    <w:rsid w:val="0018289D"/>
    <w:rsid w:val="001828DD"/>
    <w:rsid w:val="00182B7F"/>
    <w:rsid w:val="00182E23"/>
    <w:rsid w:val="00184C06"/>
    <w:rsid w:val="00184CC8"/>
    <w:rsid w:val="0018511B"/>
    <w:rsid w:val="00186AF7"/>
    <w:rsid w:val="00191920"/>
    <w:rsid w:val="00191FFA"/>
    <w:rsid w:val="0019333C"/>
    <w:rsid w:val="00194EAB"/>
    <w:rsid w:val="00196046"/>
    <w:rsid w:val="00196419"/>
    <w:rsid w:val="001A0AA0"/>
    <w:rsid w:val="001A1DC5"/>
    <w:rsid w:val="001A3029"/>
    <w:rsid w:val="001A3452"/>
    <w:rsid w:val="001A4165"/>
    <w:rsid w:val="001A5087"/>
    <w:rsid w:val="001A5787"/>
    <w:rsid w:val="001B01F7"/>
    <w:rsid w:val="001B0FC1"/>
    <w:rsid w:val="001B1B0F"/>
    <w:rsid w:val="001B308B"/>
    <w:rsid w:val="001B34AA"/>
    <w:rsid w:val="001B3706"/>
    <w:rsid w:val="001B3FEB"/>
    <w:rsid w:val="001B4CA4"/>
    <w:rsid w:val="001B61C0"/>
    <w:rsid w:val="001B629D"/>
    <w:rsid w:val="001B6501"/>
    <w:rsid w:val="001C0166"/>
    <w:rsid w:val="001C11D0"/>
    <w:rsid w:val="001C1A7C"/>
    <w:rsid w:val="001C50C8"/>
    <w:rsid w:val="001C5345"/>
    <w:rsid w:val="001C5937"/>
    <w:rsid w:val="001C6185"/>
    <w:rsid w:val="001C667C"/>
    <w:rsid w:val="001D1608"/>
    <w:rsid w:val="001D1946"/>
    <w:rsid w:val="001D3301"/>
    <w:rsid w:val="001D39FA"/>
    <w:rsid w:val="001D4118"/>
    <w:rsid w:val="001D5F72"/>
    <w:rsid w:val="001D6942"/>
    <w:rsid w:val="001D6BCB"/>
    <w:rsid w:val="001D7F9F"/>
    <w:rsid w:val="001E1FE6"/>
    <w:rsid w:val="001E36AD"/>
    <w:rsid w:val="001E3959"/>
    <w:rsid w:val="001E55EA"/>
    <w:rsid w:val="001F0E88"/>
    <w:rsid w:val="001F1EDF"/>
    <w:rsid w:val="001F25B4"/>
    <w:rsid w:val="001F2E4D"/>
    <w:rsid w:val="001F2FF6"/>
    <w:rsid w:val="001F36BF"/>
    <w:rsid w:val="001F4665"/>
    <w:rsid w:val="001F4781"/>
    <w:rsid w:val="001F54CD"/>
    <w:rsid w:val="001F602F"/>
    <w:rsid w:val="001F60FD"/>
    <w:rsid w:val="001F66C3"/>
    <w:rsid w:val="001F7036"/>
    <w:rsid w:val="001F7E8B"/>
    <w:rsid w:val="0020132C"/>
    <w:rsid w:val="0020178C"/>
    <w:rsid w:val="00204AD5"/>
    <w:rsid w:val="00204CCF"/>
    <w:rsid w:val="00205444"/>
    <w:rsid w:val="0020552A"/>
    <w:rsid w:val="002055D9"/>
    <w:rsid w:val="002063C6"/>
    <w:rsid w:val="00210F79"/>
    <w:rsid w:val="00211C1A"/>
    <w:rsid w:val="00214B36"/>
    <w:rsid w:val="00214DA1"/>
    <w:rsid w:val="002151AC"/>
    <w:rsid w:val="002172C3"/>
    <w:rsid w:val="00223017"/>
    <w:rsid w:val="00223331"/>
    <w:rsid w:val="002233EE"/>
    <w:rsid w:val="0022480A"/>
    <w:rsid w:val="00226E2D"/>
    <w:rsid w:val="002319F0"/>
    <w:rsid w:val="00232C73"/>
    <w:rsid w:val="002339E8"/>
    <w:rsid w:val="00233F8A"/>
    <w:rsid w:val="00234340"/>
    <w:rsid w:val="00235538"/>
    <w:rsid w:val="00236318"/>
    <w:rsid w:val="002409CA"/>
    <w:rsid w:val="00240A9A"/>
    <w:rsid w:val="0024110F"/>
    <w:rsid w:val="00241D84"/>
    <w:rsid w:val="00242202"/>
    <w:rsid w:val="002424B5"/>
    <w:rsid w:val="00242A4C"/>
    <w:rsid w:val="002431C0"/>
    <w:rsid w:val="002432A1"/>
    <w:rsid w:val="002442CD"/>
    <w:rsid w:val="00244892"/>
    <w:rsid w:val="00245B70"/>
    <w:rsid w:val="00245DC2"/>
    <w:rsid w:val="00251A61"/>
    <w:rsid w:val="00251DE6"/>
    <w:rsid w:val="0025539F"/>
    <w:rsid w:val="0025593E"/>
    <w:rsid w:val="00255DC8"/>
    <w:rsid w:val="00257EEE"/>
    <w:rsid w:val="002606C1"/>
    <w:rsid w:val="00261168"/>
    <w:rsid w:val="00261731"/>
    <w:rsid w:val="00262413"/>
    <w:rsid w:val="002629E0"/>
    <w:rsid w:val="00262A4D"/>
    <w:rsid w:val="00263869"/>
    <w:rsid w:val="0026425F"/>
    <w:rsid w:val="00264B34"/>
    <w:rsid w:val="00264D6C"/>
    <w:rsid w:val="00265D97"/>
    <w:rsid w:val="00266462"/>
    <w:rsid w:val="00270333"/>
    <w:rsid w:val="002715A9"/>
    <w:rsid w:val="0027269E"/>
    <w:rsid w:val="00273574"/>
    <w:rsid w:val="00282408"/>
    <w:rsid w:val="00283AAE"/>
    <w:rsid w:val="002841F1"/>
    <w:rsid w:val="0028451D"/>
    <w:rsid w:val="002856AA"/>
    <w:rsid w:val="00285A46"/>
    <w:rsid w:val="0028665A"/>
    <w:rsid w:val="00287BF6"/>
    <w:rsid w:val="00287DC5"/>
    <w:rsid w:val="00291574"/>
    <w:rsid w:val="00291FF6"/>
    <w:rsid w:val="002922DA"/>
    <w:rsid w:val="00295980"/>
    <w:rsid w:val="00295B13"/>
    <w:rsid w:val="0029605D"/>
    <w:rsid w:val="002A06E7"/>
    <w:rsid w:val="002A07E3"/>
    <w:rsid w:val="002A1C00"/>
    <w:rsid w:val="002A1EF7"/>
    <w:rsid w:val="002A255C"/>
    <w:rsid w:val="002A2B9E"/>
    <w:rsid w:val="002A5636"/>
    <w:rsid w:val="002A5F7C"/>
    <w:rsid w:val="002A67B2"/>
    <w:rsid w:val="002A7A0C"/>
    <w:rsid w:val="002B0880"/>
    <w:rsid w:val="002B0CD7"/>
    <w:rsid w:val="002B1125"/>
    <w:rsid w:val="002B25DA"/>
    <w:rsid w:val="002B280B"/>
    <w:rsid w:val="002B3CF2"/>
    <w:rsid w:val="002B492D"/>
    <w:rsid w:val="002B4B8B"/>
    <w:rsid w:val="002B4F5F"/>
    <w:rsid w:val="002B7FA1"/>
    <w:rsid w:val="002C006B"/>
    <w:rsid w:val="002C1DE0"/>
    <w:rsid w:val="002C2C9B"/>
    <w:rsid w:val="002C4422"/>
    <w:rsid w:val="002C5A91"/>
    <w:rsid w:val="002C71E0"/>
    <w:rsid w:val="002D03E7"/>
    <w:rsid w:val="002D1590"/>
    <w:rsid w:val="002D3B54"/>
    <w:rsid w:val="002D4977"/>
    <w:rsid w:val="002D645F"/>
    <w:rsid w:val="002D7567"/>
    <w:rsid w:val="002D79B5"/>
    <w:rsid w:val="002E0E9A"/>
    <w:rsid w:val="002E48A9"/>
    <w:rsid w:val="002E54C2"/>
    <w:rsid w:val="002E6389"/>
    <w:rsid w:val="002E77B9"/>
    <w:rsid w:val="002F13B6"/>
    <w:rsid w:val="002F2C14"/>
    <w:rsid w:val="002F4B12"/>
    <w:rsid w:val="002F5974"/>
    <w:rsid w:val="002F60E0"/>
    <w:rsid w:val="003007A7"/>
    <w:rsid w:val="00300AAB"/>
    <w:rsid w:val="00300BB2"/>
    <w:rsid w:val="003019DC"/>
    <w:rsid w:val="00303441"/>
    <w:rsid w:val="00303A13"/>
    <w:rsid w:val="0030496B"/>
    <w:rsid w:val="0030506A"/>
    <w:rsid w:val="003052B5"/>
    <w:rsid w:val="00305D31"/>
    <w:rsid w:val="003061EF"/>
    <w:rsid w:val="0030635C"/>
    <w:rsid w:val="00306B3E"/>
    <w:rsid w:val="003127A6"/>
    <w:rsid w:val="00312DB4"/>
    <w:rsid w:val="00314AF7"/>
    <w:rsid w:val="003163DC"/>
    <w:rsid w:val="003176C7"/>
    <w:rsid w:val="00317D09"/>
    <w:rsid w:val="00317DDB"/>
    <w:rsid w:val="00317F41"/>
    <w:rsid w:val="00320041"/>
    <w:rsid w:val="0032026D"/>
    <w:rsid w:val="00320A1D"/>
    <w:rsid w:val="003230A2"/>
    <w:rsid w:val="00327C19"/>
    <w:rsid w:val="00330FB3"/>
    <w:rsid w:val="0033132C"/>
    <w:rsid w:val="00331446"/>
    <w:rsid w:val="00331E33"/>
    <w:rsid w:val="00332429"/>
    <w:rsid w:val="00332B70"/>
    <w:rsid w:val="00333068"/>
    <w:rsid w:val="00333ED2"/>
    <w:rsid w:val="00334377"/>
    <w:rsid w:val="003343CD"/>
    <w:rsid w:val="00335F7B"/>
    <w:rsid w:val="003370F2"/>
    <w:rsid w:val="00337306"/>
    <w:rsid w:val="00342105"/>
    <w:rsid w:val="00343B23"/>
    <w:rsid w:val="00343CC3"/>
    <w:rsid w:val="00343D32"/>
    <w:rsid w:val="00344968"/>
    <w:rsid w:val="00345472"/>
    <w:rsid w:val="00345AD0"/>
    <w:rsid w:val="00346AE5"/>
    <w:rsid w:val="00347262"/>
    <w:rsid w:val="00347A73"/>
    <w:rsid w:val="003501B2"/>
    <w:rsid w:val="00350376"/>
    <w:rsid w:val="0035164D"/>
    <w:rsid w:val="0035324D"/>
    <w:rsid w:val="003545BC"/>
    <w:rsid w:val="00354FCC"/>
    <w:rsid w:val="00355270"/>
    <w:rsid w:val="00356D85"/>
    <w:rsid w:val="00361219"/>
    <w:rsid w:val="00361F7A"/>
    <w:rsid w:val="003648C4"/>
    <w:rsid w:val="003656DB"/>
    <w:rsid w:val="003662AE"/>
    <w:rsid w:val="00366BCC"/>
    <w:rsid w:val="0036742D"/>
    <w:rsid w:val="00370B00"/>
    <w:rsid w:val="00371D21"/>
    <w:rsid w:val="00372273"/>
    <w:rsid w:val="00372A5E"/>
    <w:rsid w:val="00375D39"/>
    <w:rsid w:val="003763D2"/>
    <w:rsid w:val="003764D5"/>
    <w:rsid w:val="00380879"/>
    <w:rsid w:val="00380F5A"/>
    <w:rsid w:val="00385E88"/>
    <w:rsid w:val="00385F21"/>
    <w:rsid w:val="003860A8"/>
    <w:rsid w:val="00386217"/>
    <w:rsid w:val="00387825"/>
    <w:rsid w:val="00387D5A"/>
    <w:rsid w:val="0039026B"/>
    <w:rsid w:val="00392625"/>
    <w:rsid w:val="003927E3"/>
    <w:rsid w:val="00393D60"/>
    <w:rsid w:val="00394751"/>
    <w:rsid w:val="00394B08"/>
    <w:rsid w:val="00394CA7"/>
    <w:rsid w:val="00395DC0"/>
    <w:rsid w:val="003960F4"/>
    <w:rsid w:val="00396555"/>
    <w:rsid w:val="003971E4"/>
    <w:rsid w:val="003A00E9"/>
    <w:rsid w:val="003A2791"/>
    <w:rsid w:val="003A3827"/>
    <w:rsid w:val="003A40F2"/>
    <w:rsid w:val="003A7249"/>
    <w:rsid w:val="003B0941"/>
    <w:rsid w:val="003B09F6"/>
    <w:rsid w:val="003B0FBF"/>
    <w:rsid w:val="003B187E"/>
    <w:rsid w:val="003B1DE7"/>
    <w:rsid w:val="003B2FB0"/>
    <w:rsid w:val="003B431C"/>
    <w:rsid w:val="003B4F39"/>
    <w:rsid w:val="003B6105"/>
    <w:rsid w:val="003B7538"/>
    <w:rsid w:val="003C0F0B"/>
    <w:rsid w:val="003C2B0B"/>
    <w:rsid w:val="003C312D"/>
    <w:rsid w:val="003C41A5"/>
    <w:rsid w:val="003C48F4"/>
    <w:rsid w:val="003C4D9D"/>
    <w:rsid w:val="003C6B3A"/>
    <w:rsid w:val="003C6C86"/>
    <w:rsid w:val="003C7C4E"/>
    <w:rsid w:val="003D0D5C"/>
    <w:rsid w:val="003D16C4"/>
    <w:rsid w:val="003D1784"/>
    <w:rsid w:val="003D1FEF"/>
    <w:rsid w:val="003D2779"/>
    <w:rsid w:val="003D6003"/>
    <w:rsid w:val="003D7E87"/>
    <w:rsid w:val="003E023D"/>
    <w:rsid w:val="003E175B"/>
    <w:rsid w:val="003E34F7"/>
    <w:rsid w:val="003E4462"/>
    <w:rsid w:val="003E5949"/>
    <w:rsid w:val="003E5AA1"/>
    <w:rsid w:val="003F09CE"/>
    <w:rsid w:val="003F286B"/>
    <w:rsid w:val="003F3153"/>
    <w:rsid w:val="003F3351"/>
    <w:rsid w:val="003F4FD6"/>
    <w:rsid w:val="003F6530"/>
    <w:rsid w:val="003F68EC"/>
    <w:rsid w:val="003F6CDB"/>
    <w:rsid w:val="00400B0F"/>
    <w:rsid w:val="00403E78"/>
    <w:rsid w:val="00404379"/>
    <w:rsid w:val="00404533"/>
    <w:rsid w:val="00404E54"/>
    <w:rsid w:val="0040545A"/>
    <w:rsid w:val="00406439"/>
    <w:rsid w:val="004067B0"/>
    <w:rsid w:val="00406D54"/>
    <w:rsid w:val="00407507"/>
    <w:rsid w:val="00412CF0"/>
    <w:rsid w:val="00412EDE"/>
    <w:rsid w:val="00413291"/>
    <w:rsid w:val="004176F9"/>
    <w:rsid w:val="00420A35"/>
    <w:rsid w:val="0042179F"/>
    <w:rsid w:val="004228A3"/>
    <w:rsid w:val="00424FD7"/>
    <w:rsid w:val="00426F38"/>
    <w:rsid w:val="00433E5F"/>
    <w:rsid w:val="0043480E"/>
    <w:rsid w:val="00434C1A"/>
    <w:rsid w:val="004351E1"/>
    <w:rsid w:val="004354F6"/>
    <w:rsid w:val="0043691E"/>
    <w:rsid w:val="004411BE"/>
    <w:rsid w:val="00441BD3"/>
    <w:rsid w:val="00441FE5"/>
    <w:rsid w:val="004435D9"/>
    <w:rsid w:val="00443BEC"/>
    <w:rsid w:val="00444748"/>
    <w:rsid w:val="004453BD"/>
    <w:rsid w:val="00447A0E"/>
    <w:rsid w:val="00453F64"/>
    <w:rsid w:val="004540E1"/>
    <w:rsid w:val="00454148"/>
    <w:rsid w:val="00454342"/>
    <w:rsid w:val="00454629"/>
    <w:rsid w:val="00455666"/>
    <w:rsid w:val="00455671"/>
    <w:rsid w:val="00455767"/>
    <w:rsid w:val="00457770"/>
    <w:rsid w:val="0046022B"/>
    <w:rsid w:val="00460895"/>
    <w:rsid w:val="00461256"/>
    <w:rsid w:val="00462E94"/>
    <w:rsid w:val="004653DC"/>
    <w:rsid w:val="00466358"/>
    <w:rsid w:val="00466381"/>
    <w:rsid w:val="00466C35"/>
    <w:rsid w:val="00470FCC"/>
    <w:rsid w:val="0047253D"/>
    <w:rsid w:val="00472BDF"/>
    <w:rsid w:val="00473695"/>
    <w:rsid w:val="00473955"/>
    <w:rsid w:val="004739BE"/>
    <w:rsid w:val="00473AF0"/>
    <w:rsid w:val="0047488B"/>
    <w:rsid w:val="00476495"/>
    <w:rsid w:val="00476659"/>
    <w:rsid w:val="004777BD"/>
    <w:rsid w:val="00477981"/>
    <w:rsid w:val="004779F8"/>
    <w:rsid w:val="00477D82"/>
    <w:rsid w:val="00482859"/>
    <w:rsid w:val="004829D9"/>
    <w:rsid w:val="00482C9A"/>
    <w:rsid w:val="004838E6"/>
    <w:rsid w:val="00484942"/>
    <w:rsid w:val="004849EA"/>
    <w:rsid w:val="00485214"/>
    <w:rsid w:val="0048638B"/>
    <w:rsid w:val="004869AA"/>
    <w:rsid w:val="00490767"/>
    <w:rsid w:val="0049279E"/>
    <w:rsid w:val="00492893"/>
    <w:rsid w:val="0049418E"/>
    <w:rsid w:val="0049485F"/>
    <w:rsid w:val="004962BA"/>
    <w:rsid w:val="00496C86"/>
    <w:rsid w:val="004A0E0C"/>
    <w:rsid w:val="004A15A3"/>
    <w:rsid w:val="004A176E"/>
    <w:rsid w:val="004A1E52"/>
    <w:rsid w:val="004A33E7"/>
    <w:rsid w:val="004A3757"/>
    <w:rsid w:val="004A454B"/>
    <w:rsid w:val="004A5390"/>
    <w:rsid w:val="004A65A6"/>
    <w:rsid w:val="004A6CCA"/>
    <w:rsid w:val="004A7B26"/>
    <w:rsid w:val="004B26D9"/>
    <w:rsid w:val="004B2BD6"/>
    <w:rsid w:val="004B46F3"/>
    <w:rsid w:val="004B4EAD"/>
    <w:rsid w:val="004B53B8"/>
    <w:rsid w:val="004B5B82"/>
    <w:rsid w:val="004C0CFA"/>
    <w:rsid w:val="004C2232"/>
    <w:rsid w:val="004C35A1"/>
    <w:rsid w:val="004C4882"/>
    <w:rsid w:val="004D07B6"/>
    <w:rsid w:val="004D1137"/>
    <w:rsid w:val="004D201E"/>
    <w:rsid w:val="004D31D1"/>
    <w:rsid w:val="004D3CE7"/>
    <w:rsid w:val="004D41E9"/>
    <w:rsid w:val="004D4943"/>
    <w:rsid w:val="004D4EC1"/>
    <w:rsid w:val="004D53A3"/>
    <w:rsid w:val="004D56DA"/>
    <w:rsid w:val="004D5872"/>
    <w:rsid w:val="004D7AB7"/>
    <w:rsid w:val="004E0BDC"/>
    <w:rsid w:val="004E10C0"/>
    <w:rsid w:val="004E17C6"/>
    <w:rsid w:val="004E2CB0"/>
    <w:rsid w:val="004E2FC1"/>
    <w:rsid w:val="004E300E"/>
    <w:rsid w:val="004E4E14"/>
    <w:rsid w:val="004E6394"/>
    <w:rsid w:val="004E657F"/>
    <w:rsid w:val="004E65F6"/>
    <w:rsid w:val="004E7279"/>
    <w:rsid w:val="004E73E2"/>
    <w:rsid w:val="004E7A6A"/>
    <w:rsid w:val="004F28CB"/>
    <w:rsid w:val="004F3DD6"/>
    <w:rsid w:val="004F434C"/>
    <w:rsid w:val="004F5554"/>
    <w:rsid w:val="004F5A75"/>
    <w:rsid w:val="004F6A48"/>
    <w:rsid w:val="004F7DE4"/>
    <w:rsid w:val="004F7FDA"/>
    <w:rsid w:val="00500CB9"/>
    <w:rsid w:val="00501C9A"/>
    <w:rsid w:val="00502CCD"/>
    <w:rsid w:val="005033AC"/>
    <w:rsid w:val="00503A3A"/>
    <w:rsid w:val="00503DFB"/>
    <w:rsid w:val="00504B6B"/>
    <w:rsid w:val="00504F2F"/>
    <w:rsid w:val="00504FA2"/>
    <w:rsid w:val="00505A24"/>
    <w:rsid w:val="00505AB7"/>
    <w:rsid w:val="00505C92"/>
    <w:rsid w:val="00506EB4"/>
    <w:rsid w:val="00507C30"/>
    <w:rsid w:val="00510A39"/>
    <w:rsid w:val="0051124E"/>
    <w:rsid w:val="005132A2"/>
    <w:rsid w:val="00515BD9"/>
    <w:rsid w:val="00515EB6"/>
    <w:rsid w:val="00520705"/>
    <w:rsid w:val="005208CC"/>
    <w:rsid w:val="00520A17"/>
    <w:rsid w:val="00520FA6"/>
    <w:rsid w:val="005218CC"/>
    <w:rsid w:val="00521FF4"/>
    <w:rsid w:val="0052201A"/>
    <w:rsid w:val="005222FF"/>
    <w:rsid w:val="00522FA3"/>
    <w:rsid w:val="0052325B"/>
    <w:rsid w:val="005242D3"/>
    <w:rsid w:val="00524431"/>
    <w:rsid w:val="00524AB3"/>
    <w:rsid w:val="00524B3A"/>
    <w:rsid w:val="00524D9A"/>
    <w:rsid w:val="00525674"/>
    <w:rsid w:val="00525750"/>
    <w:rsid w:val="00526E69"/>
    <w:rsid w:val="00527F53"/>
    <w:rsid w:val="00527FB9"/>
    <w:rsid w:val="00530E10"/>
    <w:rsid w:val="00531BC0"/>
    <w:rsid w:val="0053257C"/>
    <w:rsid w:val="0053263C"/>
    <w:rsid w:val="005328E3"/>
    <w:rsid w:val="00535A9C"/>
    <w:rsid w:val="0053737B"/>
    <w:rsid w:val="00540822"/>
    <w:rsid w:val="00540D73"/>
    <w:rsid w:val="00541F56"/>
    <w:rsid w:val="00542264"/>
    <w:rsid w:val="005429A2"/>
    <w:rsid w:val="00543250"/>
    <w:rsid w:val="005434E0"/>
    <w:rsid w:val="00544F00"/>
    <w:rsid w:val="005476FE"/>
    <w:rsid w:val="00551416"/>
    <w:rsid w:val="0055291C"/>
    <w:rsid w:val="005545E2"/>
    <w:rsid w:val="00555C8E"/>
    <w:rsid w:val="00560B11"/>
    <w:rsid w:val="00561FCA"/>
    <w:rsid w:val="00561FF3"/>
    <w:rsid w:val="0056266B"/>
    <w:rsid w:val="005628BE"/>
    <w:rsid w:val="0056416C"/>
    <w:rsid w:val="0056453C"/>
    <w:rsid w:val="00565191"/>
    <w:rsid w:val="0056530B"/>
    <w:rsid w:val="00565456"/>
    <w:rsid w:val="00566023"/>
    <w:rsid w:val="0056681B"/>
    <w:rsid w:val="0056690B"/>
    <w:rsid w:val="00567183"/>
    <w:rsid w:val="005703B5"/>
    <w:rsid w:val="00571026"/>
    <w:rsid w:val="0057216B"/>
    <w:rsid w:val="005721F8"/>
    <w:rsid w:val="005723A5"/>
    <w:rsid w:val="0057255B"/>
    <w:rsid w:val="00572A9A"/>
    <w:rsid w:val="005732CA"/>
    <w:rsid w:val="005737A1"/>
    <w:rsid w:val="005740B7"/>
    <w:rsid w:val="00574337"/>
    <w:rsid w:val="00576C52"/>
    <w:rsid w:val="00576D37"/>
    <w:rsid w:val="00581908"/>
    <w:rsid w:val="005824CA"/>
    <w:rsid w:val="00582B05"/>
    <w:rsid w:val="00582C4C"/>
    <w:rsid w:val="005832F6"/>
    <w:rsid w:val="005835D5"/>
    <w:rsid w:val="00583B39"/>
    <w:rsid w:val="00583D50"/>
    <w:rsid w:val="0058667D"/>
    <w:rsid w:val="00586CDF"/>
    <w:rsid w:val="005872AC"/>
    <w:rsid w:val="005912E5"/>
    <w:rsid w:val="005916BB"/>
    <w:rsid w:val="00591870"/>
    <w:rsid w:val="00594802"/>
    <w:rsid w:val="00595857"/>
    <w:rsid w:val="00595C84"/>
    <w:rsid w:val="00596298"/>
    <w:rsid w:val="00596353"/>
    <w:rsid w:val="005964CB"/>
    <w:rsid w:val="005A040B"/>
    <w:rsid w:val="005A1341"/>
    <w:rsid w:val="005A1F23"/>
    <w:rsid w:val="005A33DA"/>
    <w:rsid w:val="005A3DCA"/>
    <w:rsid w:val="005A3FF9"/>
    <w:rsid w:val="005A5023"/>
    <w:rsid w:val="005A564F"/>
    <w:rsid w:val="005A7239"/>
    <w:rsid w:val="005A7B1F"/>
    <w:rsid w:val="005B083C"/>
    <w:rsid w:val="005B2CDD"/>
    <w:rsid w:val="005B2E61"/>
    <w:rsid w:val="005B3F5F"/>
    <w:rsid w:val="005B404D"/>
    <w:rsid w:val="005B5146"/>
    <w:rsid w:val="005B53DC"/>
    <w:rsid w:val="005B65F0"/>
    <w:rsid w:val="005B6E63"/>
    <w:rsid w:val="005B7F17"/>
    <w:rsid w:val="005B7FD8"/>
    <w:rsid w:val="005C01E8"/>
    <w:rsid w:val="005C35C7"/>
    <w:rsid w:val="005C3850"/>
    <w:rsid w:val="005C3E47"/>
    <w:rsid w:val="005C3E80"/>
    <w:rsid w:val="005C3F19"/>
    <w:rsid w:val="005C4DA1"/>
    <w:rsid w:val="005C58B7"/>
    <w:rsid w:val="005D1331"/>
    <w:rsid w:val="005D138D"/>
    <w:rsid w:val="005D1C65"/>
    <w:rsid w:val="005D25FB"/>
    <w:rsid w:val="005D3071"/>
    <w:rsid w:val="005D3A44"/>
    <w:rsid w:val="005D3FE8"/>
    <w:rsid w:val="005D729E"/>
    <w:rsid w:val="005D7588"/>
    <w:rsid w:val="005D79F2"/>
    <w:rsid w:val="005E0BD4"/>
    <w:rsid w:val="005E0EEA"/>
    <w:rsid w:val="005E1110"/>
    <w:rsid w:val="005E16BC"/>
    <w:rsid w:val="005E2152"/>
    <w:rsid w:val="005E3BCF"/>
    <w:rsid w:val="005E3EA9"/>
    <w:rsid w:val="005E574D"/>
    <w:rsid w:val="005E5EFB"/>
    <w:rsid w:val="005E5FF8"/>
    <w:rsid w:val="005F0141"/>
    <w:rsid w:val="005F0CAD"/>
    <w:rsid w:val="005F15FE"/>
    <w:rsid w:val="005F1B48"/>
    <w:rsid w:val="005F25E7"/>
    <w:rsid w:val="005F39DE"/>
    <w:rsid w:val="005F3FB2"/>
    <w:rsid w:val="005F50EE"/>
    <w:rsid w:val="005F585D"/>
    <w:rsid w:val="005F5C89"/>
    <w:rsid w:val="005F7F5F"/>
    <w:rsid w:val="00600472"/>
    <w:rsid w:val="00600C9F"/>
    <w:rsid w:val="006011D6"/>
    <w:rsid w:val="00601314"/>
    <w:rsid w:val="006014E0"/>
    <w:rsid w:val="006029A6"/>
    <w:rsid w:val="00602B12"/>
    <w:rsid w:val="00602B18"/>
    <w:rsid w:val="00602EBF"/>
    <w:rsid w:val="006049D1"/>
    <w:rsid w:val="0060596B"/>
    <w:rsid w:val="00606928"/>
    <w:rsid w:val="0060700B"/>
    <w:rsid w:val="0060717E"/>
    <w:rsid w:val="00610335"/>
    <w:rsid w:val="00610667"/>
    <w:rsid w:val="006114AE"/>
    <w:rsid w:val="00616468"/>
    <w:rsid w:val="00616C27"/>
    <w:rsid w:val="00616E39"/>
    <w:rsid w:val="00617CC9"/>
    <w:rsid w:val="00622238"/>
    <w:rsid w:val="00623D7C"/>
    <w:rsid w:val="006249DF"/>
    <w:rsid w:val="006250ED"/>
    <w:rsid w:val="0062593E"/>
    <w:rsid w:val="0062708D"/>
    <w:rsid w:val="00627780"/>
    <w:rsid w:val="00630131"/>
    <w:rsid w:val="00630B2B"/>
    <w:rsid w:val="0063110B"/>
    <w:rsid w:val="00631AEF"/>
    <w:rsid w:val="00632FDF"/>
    <w:rsid w:val="00633265"/>
    <w:rsid w:val="0063387F"/>
    <w:rsid w:val="006411F4"/>
    <w:rsid w:val="00642D1B"/>
    <w:rsid w:val="006432BC"/>
    <w:rsid w:val="00643BC0"/>
    <w:rsid w:val="00644276"/>
    <w:rsid w:val="00645B25"/>
    <w:rsid w:val="00645D15"/>
    <w:rsid w:val="00646724"/>
    <w:rsid w:val="00646C1C"/>
    <w:rsid w:val="00647BD9"/>
    <w:rsid w:val="006503FC"/>
    <w:rsid w:val="00650A7F"/>
    <w:rsid w:val="00651242"/>
    <w:rsid w:val="0065253D"/>
    <w:rsid w:val="00655DE0"/>
    <w:rsid w:val="006577B3"/>
    <w:rsid w:val="00657E2C"/>
    <w:rsid w:val="00660AC5"/>
    <w:rsid w:val="00660D70"/>
    <w:rsid w:val="00660F53"/>
    <w:rsid w:val="0066216A"/>
    <w:rsid w:val="00663F60"/>
    <w:rsid w:val="00664C11"/>
    <w:rsid w:val="00665010"/>
    <w:rsid w:val="006665AC"/>
    <w:rsid w:val="00666A94"/>
    <w:rsid w:val="00670048"/>
    <w:rsid w:val="006702A8"/>
    <w:rsid w:val="00670D63"/>
    <w:rsid w:val="00671462"/>
    <w:rsid w:val="0067302B"/>
    <w:rsid w:val="0067357D"/>
    <w:rsid w:val="00673B06"/>
    <w:rsid w:val="006746C5"/>
    <w:rsid w:val="00675A11"/>
    <w:rsid w:val="00675A5E"/>
    <w:rsid w:val="00677559"/>
    <w:rsid w:val="0068028D"/>
    <w:rsid w:val="0068063F"/>
    <w:rsid w:val="00680A51"/>
    <w:rsid w:val="00683583"/>
    <w:rsid w:val="00684699"/>
    <w:rsid w:val="00685128"/>
    <w:rsid w:val="006855ED"/>
    <w:rsid w:val="00685C15"/>
    <w:rsid w:val="00686904"/>
    <w:rsid w:val="00686BCA"/>
    <w:rsid w:val="00686BE2"/>
    <w:rsid w:val="006909C7"/>
    <w:rsid w:val="00691A55"/>
    <w:rsid w:val="00692D7E"/>
    <w:rsid w:val="00694522"/>
    <w:rsid w:val="00694844"/>
    <w:rsid w:val="00694FA6"/>
    <w:rsid w:val="00695162"/>
    <w:rsid w:val="006953E7"/>
    <w:rsid w:val="00695651"/>
    <w:rsid w:val="0069598D"/>
    <w:rsid w:val="0069719F"/>
    <w:rsid w:val="006973D9"/>
    <w:rsid w:val="00697574"/>
    <w:rsid w:val="006A000A"/>
    <w:rsid w:val="006A08B5"/>
    <w:rsid w:val="006A0F1C"/>
    <w:rsid w:val="006A1ED7"/>
    <w:rsid w:val="006A303E"/>
    <w:rsid w:val="006A3395"/>
    <w:rsid w:val="006A462C"/>
    <w:rsid w:val="006A50B6"/>
    <w:rsid w:val="006A60E4"/>
    <w:rsid w:val="006B02D9"/>
    <w:rsid w:val="006B1ED1"/>
    <w:rsid w:val="006B1FDA"/>
    <w:rsid w:val="006B5018"/>
    <w:rsid w:val="006B5AE6"/>
    <w:rsid w:val="006B5BE3"/>
    <w:rsid w:val="006B5D7A"/>
    <w:rsid w:val="006B6789"/>
    <w:rsid w:val="006C04C0"/>
    <w:rsid w:val="006C148C"/>
    <w:rsid w:val="006C1498"/>
    <w:rsid w:val="006C158D"/>
    <w:rsid w:val="006C1D51"/>
    <w:rsid w:val="006C24B0"/>
    <w:rsid w:val="006C30D7"/>
    <w:rsid w:val="006C39AD"/>
    <w:rsid w:val="006C40D8"/>
    <w:rsid w:val="006C4828"/>
    <w:rsid w:val="006C4C57"/>
    <w:rsid w:val="006C7057"/>
    <w:rsid w:val="006D01DC"/>
    <w:rsid w:val="006D0856"/>
    <w:rsid w:val="006D1315"/>
    <w:rsid w:val="006D1967"/>
    <w:rsid w:val="006D2985"/>
    <w:rsid w:val="006D2CC9"/>
    <w:rsid w:val="006D2EC8"/>
    <w:rsid w:val="006D37F0"/>
    <w:rsid w:val="006D51B7"/>
    <w:rsid w:val="006D5D0C"/>
    <w:rsid w:val="006D5FB5"/>
    <w:rsid w:val="006D6267"/>
    <w:rsid w:val="006D6AE8"/>
    <w:rsid w:val="006D6C14"/>
    <w:rsid w:val="006D76DE"/>
    <w:rsid w:val="006D7A81"/>
    <w:rsid w:val="006D7BDA"/>
    <w:rsid w:val="006D7CC2"/>
    <w:rsid w:val="006E00D2"/>
    <w:rsid w:val="006E14DF"/>
    <w:rsid w:val="006E1EFA"/>
    <w:rsid w:val="006E27A5"/>
    <w:rsid w:val="006E38E4"/>
    <w:rsid w:val="006E4DEC"/>
    <w:rsid w:val="006E5530"/>
    <w:rsid w:val="006E5D92"/>
    <w:rsid w:val="006E7047"/>
    <w:rsid w:val="006E7666"/>
    <w:rsid w:val="006E7A99"/>
    <w:rsid w:val="006E7F91"/>
    <w:rsid w:val="006F0D93"/>
    <w:rsid w:val="006F1091"/>
    <w:rsid w:val="006F129D"/>
    <w:rsid w:val="006F4517"/>
    <w:rsid w:val="006F6AB6"/>
    <w:rsid w:val="006F6C54"/>
    <w:rsid w:val="006F6C55"/>
    <w:rsid w:val="00700F36"/>
    <w:rsid w:val="00701642"/>
    <w:rsid w:val="0070194E"/>
    <w:rsid w:val="007038D2"/>
    <w:rsid w:val="007040A7"/>
    <w:rsid w:val="00705095"/>
    <w:rsid w:val="007074BF"/>
    <w:rsid w:val="007113B2"/>
    <w:rsid w:val="00712589"/>
    <w:rsid w:val="007153A1"/>
    <w:rsid w:val="007155ED"/>
    <w:rsid w:val="00715772"/>
    <w:rsid w:val="00715A77"/>
    <w:rsid w:val="00715D8B"/>
    <w:rsid w:val="00716B46"/>
    <w:rsid w:val="0071760B"/>
    <w:rsid w:val="0071781E"/>
    <w:rsid w:val="00717AD8"/>
    <w:rsid w:val="00723102"/>
    <w:rsid w:val="00723B8A"/>
    <w:rsid w:val="00724556"/>
    <w:rsid w:val="0072488A"/>
    <w:rsid w:val="00724E1D"/>
    <w:rsid w:val="00725B9A"/>
    <w:rsid w:val="007261F5"/>
    <w:rsid w:val="00726A6E"/>
    <w:rsid w:val="00727669"/>
    <w:rsid w:val="00730DBF"/>
    <w:rsid w:val="007313FD"/>
    <w:rsid w:val="007322B6"/>
    <w:rsid w:val="00732EBC"/>
    <w:rsid w:val="00735A78"/>
    <w:rsid w:val="00735CE0"/>
    <w:rsid w:val="00735D34"/>
    <w:rsid w:val="007368B0"/>
    <w:rsid w:val="0074007B"/>
    <w:rsid w:val="00741011"/>
    <w:rsid w:val="007426B2"/>
    <w:rsid w:val="007427DB"/>
    <w:rsid w:val="00743626"/>
    <w:rsid w:val="00744BA3"/>
    <w:rsid w:val="00744D85"/>
    <w:rsid w:val="007454B2"/>
    <w:rsid w:val="00745D9D"/>
    <w:rsid w:val="00747D86"/>
    <w:rsid w:val="007508D6"/>
    <w:rsid w:val="00751D31"/>
    <w:rsid w:val="007526AE"/>
    <w:rsid w:val="007526F4"/>
    <w:rsid w:val="007529F7"/>
    <w:rsid w:val="007548E3"/>
    <w:rsid w:val="00754D4D"/>
    <w:rsid w:val="00755B84"/>
    <w:rsid w:val="00756BD2"/>
    <w:rsid w:val="00756EF6"/>
    <w:rsid w:val="007570C8"/>
    <w:rsid w:val="00757432"/>
    <w:rsid w:val="00757AE3"/>
    <w:rsid w:val="00761735"/>
    <w:rsid w:val="00762844"/>
    <w:rsid w:val="007646B1"/>
    <w:rsid w:val="00764E41"/>
    <w:rsid w:val="00765153"/>
    <w:rsid w:val="007660B0"/>
    <w:rsid w:val="00766487"/>
    <w:rsid w:val="00766D31"/>
    <w:rsid w:val="0076715B"/>
    <w:rsid w:val="00767D3B"/>
    <w:rsid w:val="0077084B"/>
    <w:rsid w:val="00771180"/>
    <w:rsid w:val="007724AD"/>
    <w:rsid w:val="00773362"/>
    <w:rsid w:val="00775646"/>
    <w:rsid w:val="007764D3"/>
    <w:rsid w:val="00776547"/>
    <w:rsid w:val="00776C17"/>
    <w:rsid w:val="00777E19"/>
    <w:rsid w:val="00782FC7"/>
    <w:rsid w:val="007859B9"/>
    <w:rsid w:val="00786294"/>
    <w:rsid w:val="00791ED4"/>
    <w:rsid w:val="00792CED"/>
    <w:rsid w:val="00793108"/>
    <w:rsid w:val="007932CB"/>
    <w:rsid w:val="007954C7"/>
    <w:rsid w:val="007970A3"/>
    <w:rsid w:val="007A010D"/>
    <w:rsid w:val="007A0294"/>
    <w:rsid w:val="007A0D85"/>
    <w:rsid w:val="007A307D"/>
    <w:rsid w:val="007A476C"/>
    <w:rsid w:val="007A5703"/>
    <w:rsid w:val="007A59DC"/>
    <w:rsid w:val="007B1052"/>
    <w:rsid w:val="007B24B0"/>
    <w:rsid w:val="007B2FBD"/>
    <w:rsid w:val="007B3A81"/>
    <w:rsid w:val="007B3D6F"/>
    <w:rsid w:val="007B3DAB"/>
    <w:rsid w:val="007B4D77"/>
    <w:rsid w:val="007B63DA"/>
    <w:rsid w:val="007B6435"/>
    <w:rsid w:val="007C0518"/>
    <w:rsid w:val="007C113E"/>
    <w:rsid w:val="007C1C06"/>
    <w:rsid w:val="007C2FB7"/>
    <w:rsid w:val="007C423F"/>
    <w:rsid w:val="007C4760"/>
    <w:rsid w:val="007C4EAF"/>
    <w:rsid w:val="007C50E7"/>
    <w:rsid w:val="007C5224"/>
    <w:rsid w:val="007C5BFA"/>
    <w:rsid w:val="007C5C26"/>
    <w:rsid w:val="007C6AD7"/>
    <w:rsid w:val="007C6CBE"/>
    <w:rsid w:val="007C7421"/>
    <w:rsid w:val="007D08B8"/>
    <w:rsid w:val="007D23C3"/>
    <w:rsid w:val="007D2EC2"/>
    <w:rsid w:val="007D4461"/>
    <w:rsid w:val="007D5118"/>
    <w:rsid w:val="007E08D3"/>
    <w:rsid w:val="007E0BDD"/>
    <w:rsid w:val="007E15AB"/>
    <w:rsid w:val="007E19FF"/>
    <w:rsid w:val="007E1CEB"/>
    <w:rsid w:val="007E2F7E"/>
    <w:rsid w:val="007E3524"/>
    <w:rsid w:val="007E5BF1"/>
    <w:rsid w:val="007E5E70"/>
    <w:rsid w:val="007E6CEC"/>
    <w:rsid w:val="007F106E"/>
    <w:rsid w:val="007F12DF"/>
    <w:rsid w:val="007F188B"/>
    <w:rsid w:val="007F20A6"/>
    <w:rsid w:val="007F2524"/>
    <w:rsid w:val="007F2747"/>
    <w:rsid w:val="007F3A46"/>
    <w:rsid w:val="007F42FA"/>
    <w:rsid w:val="007F4F6E"/>
    <w:rsid w:val="007F529F"/>
    <w:rsid w:val="007F5592"/>
    <w:rsid w:val="007F7679"/>
    <w:rsid w:val="007F7A6E"/>
    <w:rsid w:val="007F7B4B"/>
    <w:rsid w:val="007F7F80"/>
    <w:rsid w:val="008003DD"/>
    <w:rsid w:val="008018A0"/>
    <w:rsid w:val="00801A5C"/>
    <w:rsid w:val="0080391C"/>
    <w:rsid w:val="0080394C"/>
    <w:rsid w:val="00804591"/>
    <w:rsid w:val="00804BD9"/>
    <w:rsid w:val="008050EB"/>
    <w:rsid w:val="00807219"/>
    <w:rsid w:val="008110DA"/>
    <w:rsid w:val="00811989"/>
    <w:rsid w:val="008120B3"/>
    <w:rsid w:val="0081289B"/>
    <w:rsid w:val="00812A73"/>
    <w:rsid w:val="0081410C"/>
    <w:rsid w:val="00814C9C"/>
    <w:rsid w:val="00816893"/>
    <w:rsid w:val="00816DD8"/>
    <w:rsid w:val="00817464"/>
    <w:rsid w:val="008206A7"/>
    <w:rsid w:val="00820F0C"/>
    <w:rsid w:val="00821EA3"/>
    <w:rsid w:val="00822616"/>
    <w:rsid w:val="00823C30"/>
    <w:rsid w:val="00823E18"/>
    <w:rsid w:val="00824BDF"/>
    <w:rsid w:val="00825D4C"/>
    <w:rsid w:val="0082791F"/>
    <w:rsid w:val="00827AAA"/>
    <w:rsid w:val="00830024"/>
    <w:rsid w:val="008309CE"/>
    <w:rsid w:val="00830EFB"/>
    <w:rsid w:val="0083246C"/>
    <w:rsid w:val="00832C31"/>
    <w:rsid w:val="0083304C"/>
    <w:rsid w:val="00833101"/>
    <w:rsid w:val="008353AE"/>
    <w:rsid w:val="00835624"/>
    <w:rsid w:val="0083660F"/>
    <w:rsid w:val="00836CEA"/>
    <w:rsid w:val="00836FF4"/>
    <w:rsid w:val="0084062B"/>
    <w:rsid w:val="00844F93"/>
    <w:rsid w:val="0084618F"/>
    <w:rsid w:val="00850091"/>
    <w:rsid w:val="0085140E"/>
    <w:rsid w:val="00852248"/>
    <w:rsid w:val="008524B2"/>
    <w:rsid w:val="00854397"/>
    <w:rsid w:val="00854822"/>
    <w:rsid w:val="0086014F"/>
    <w:rsid w:val="0086025F"/>
    <w:rsid w:val="008606CB"/>
    <w:rsid w:val="0086111B"/>
    <w:rsid w:val="00861F9C"/>
    <w:rsid w:val="008625AD"/>
    <w:rsid w:val="00863A53"/>
    <w:rsid w:val="00865120"/>
    <w:rsid w:val="0086563B"/>
    <w:rsid w:val="00865F9E"/>
    <w:rsid w:val="00866463"/>
    <w:rsid w:val="008667BA"/>
    <w:rsid w:val="00870B70"/>
    <w:rsid w:val="00871E4F"/>
    <w:rsid w:val="0087369D"/>
    <w:rsid w:val="00873B52"/>
    <w:rsid w:val="00873E2B"/>
    <w:rsid w:val="008749F5"/>
    <w:rsid w:val="0087745B"/>
    <w:rsid w:val="0088043A"/>
    <w:rsid w:val="00880682"/>
    <w:rsid w:val="008814F4"/>
    <w:rsid w:val="0088186B"/>
    <w:rsid w:val="00881F70"/>
    <w:rsid w:val="00882151"/>
    <w:rsid w:val="008826AB"/>
    <w:rsid w:val="008839D5"/>
    <w:rsid w:val="0088462E"/>
    <w:rsid w:val="00885A30"/>
    <w:rsid w:val="00885EF3"/>
    <w:rsid w:val="00885F6A"/>
    <w:rsid w:val="00886036"/>
    <w:rsid w:val="0088704F"/>
    <w:rsid w:val="008875BB"/>
    <w:rsid w:val="00890609"/>
    <w:rsid w:val="00890768"/>
    <w:rsid w:val="00891179"/>
    <w:rsid w:val="008913E8"/>
    <w:rsid w:val="00892661"/>
    <w:rsid w:val="0089337E"/>
    <w:rsid w:val="008933BE"/>
    <w:rsid w:val="00893AC6"/>
    <w:rsid w:val="00894FC1"/>
    <w:rsid w:val="00895142"/>
    <w:rsid w:val="00895DED"/>
    <w:rsid w:val="008978E4"/>
    <w:rsid w:val="00897FF6"/>
    <w:rsid w:val="008A2270"/>
    <w:rsid w:val="008A23C3"/>
    <w:rsid w:val="008A2DD3"/>
    <w:rsid w:val="008A36FA"/>
    <w:rsid w:val="008A6483"/>
    <w:rsid w:val="008A658D"/>
    <w:rsid w:val="008A6B42"/>
    <w:rsid w:val="008B4237"/>
    <w:rsid w:val="008B494C"/>
    <w:rsid w:val="008B6D33"/>
    <w:rsid w:val="008B7633"/>
    <w:rsid w:val="008B7AEE"/>
    <w:rsid w:val="008C0EA8"/>
    <w:rsid w:val="008C21E8"/>
    <w:rsid w:val="008C3ED2"/>
    <w:rsid w:val="008C5936"/>
    <w:rsid w:val="008C5F88"/>
    <w:rsid w:val="008C742A"/>
    <w:rsid w:val="008D06D4"/>
    <w:rsid w:val="008D3542"/>
    <w:rsid w:val="008D3806"/>
    <w:rsid w:val="008D52E3"/>
    <w:rsid w:val="008D7B18"/>
    <w:rsid w:val="008E09AC"/>
    <w:rsid w:val="008E0F5B"/>
    <w:rsid w:val="008E1026"/>
    <w:rsid w:val="008E3756"/>
    <w:rsid w:val="008E4F8A"/>
    <w:rsid w:val="008E6600"/>
    <w:rsid w:val="008E7210"/>
    <w:rsid w:val="008E723F"/>
    <w:rsid w:val="008E72EF"/>
    <w:rsid w:val="008E7D3B"/>
    <w:rsid w:val="008E7E2D"/>
    <w:rsid w:val="008F0058"/>
    <w:rsid w:val="008F1257"/>
    <w:rsid w:val="008F2077"/>
    <w:rsid w:val="008F2147"/>
    <w:rsid w:val="008F567A"/>
    <w:rsid w:val="008F5F57"/>
    <w:rsid w:val="008F6131"/>
    <w:rsid w:val="008F62E3"/>
    <w:rsid w:val="008F6426"/>
    <w:rsid w:val="008F6BD3"/>
    <w:rsid w:val="008F6D14"/>
    <w:rsid w:val="008F7445"/>
    <w:rsid w:val="008F7615"/>
    <w:rsid w:val="008F7991"/>
    <w:rsid w:val="008F7A2E"/>
    <w:rsid w:val="00902F52"/>
    <w:rsid w:val="00904897"/>
    <w:rsid w:val="0090532C"/>
    <w:rsid w:val="00905784"/>
    <w:rsid w:val="0090623C"/>
    <w:rsid w:val="00906B73"/>
    <w:rsid w:val="0090750F"/>
    <w:rsid w:val="00910E26"/>
    <w:rsid w:val="00911F9C"/>
    <w:rsid w:val="00914085"/>
    <w:rsid w:val="00914CE3"/>
    <w:rsid w:val="00915FA4"/>
    <w:rsid w:val="009165C7"/>
    <w:rsid w:val="009168A8"/>
    <w:rsid w:val="009227C3"/>
    <w:rsid w:val="009251B4"/>
    <w:rsid w:val="00925268"/>
    <w:rsid w:val="00925F51"/>
    <w:rsid w:val="00926B3F"/>
    <w:rsid w:val="00926BF5"/>
    <w:rsid w:val="00926D37"/>
    <w:rsid w:val="0093218A"/>
    <w:rsid w:val="0093398E"/>
    <w:rsid w:val="009343DE"/>
    <w:rsid w:val="0093762B"/>
    <w:rsid w:val="00940428"/>
    <w:rsid w:val="00940556"/>
    <w:rsid w:val="00940647"/>
    <w:rsid w:val="00942291"/>
    <w:rsid w:val="00943695"/>
    <w:rsid w:val="009463A0"/>
    <w:rsid w:val="00946496"/>
    <w:rsid w:val="00946AC0"/>
    <w:rsid w:val="009502AF"/>
    <w:rsid w:val="00952B28"/>
    <w:rsid w:val="0095427F"/>
    <w:rsid w:val="00954759"/>
    <w:rsid w:val="009549AB"/>
    <w:rsid w:val="00954FC7"/>
    <w:rsid w:val="00955A8F"/>
    <w:rsid w:val="009566E5"/>
    <w:rsid w:val="00956A14"/>
    <w:rsid w:val="00956CFD"/>
    <w:rsid w:val="009579A2"/>
    <w:rsid w:val="009602EC"/>
    <w:rsid w:val="00960FF9"/>
    <w:rsid w:val="0096145B"/>
    <w:rsid w:val="00961514"/>
    <w:rsid w:val="00963102"/>
    <w:rsid w:val="00965B28"/>
    <w:rsid w:val="00965DCD"/>
    <w:rsid w:val="00966486"/>
    <w:rsid w:val="00967D5E"/>
    <w:rsid w:val="00970FDA"/>
    <w:rsid w:val="00971593"/>
    <w:rsid w:val="009719FA"/>
    <w:rsid w:val="00972315"/>
    <w:rsid w:val="00973F1F"/>
    <w:rsid w:val="00974C94"/>
    <w:rsid w:val="00976A7D"/>
    <w:rsid w:val="0098021B"/>
    <w:rsid w:val="00980818"/>
    <w:rsid w:val="00983FE2"/>
    <w:rsid w:val="009853D9"/>
    <w:rsid w:val="0098646F"/>
    <w:rsid w:val="0099092F"/>
    <w:rsid w:val="0099197F"/>
    <w:rsid w:val="00992BFE"/>
    <w:rsid w:val="009931E2"/>
    <w:rsid w:val="009956EF"/>
    <w:rsid w:val="0099631A"/>
    <w:rsid w:val="00996415"/>
    <w:rsid w:val="009975E1"/>
    <w:rsid w:val="00997E0F"/>
    <w:rsid w:val="00997F00"/>
    <w:rsid w:val="009A0883"/>
    <w:rsid w:val="009A1CC3"/>
    <w:rsid w:val="009A1F08"/>
    <w:rsid w:val="009A3B34"/>
    <w:rsid w:val="009A4FE6"/>
    <w:rsid w:val="009A504F"/>
    <w:rsid w:val="009A5CF0"/>
    <w:rsid w:val="009B3CEC"/>
    <w:rsid w:val="009B3FC3"/>
    <w:rsid w:val="009B52A5"/>
    <w:rsid w:val="009B564E"/>
    <w:rsid w:val="009B71C2"/>
    <w:rsid w:val="009B793B"/>
    <w:rsid w:val="009B7EE6"/>
    <w:rsid w:val="009C0CB7"/>
    <w:rsid w:val="009C0D81"/>
    <w:rsid w:val="009C2332"/>
    <w:rsid w:val="009C348B"/>
    <w:rsid w:val="009C3A6B"/>
    <w:rsid w:val="009C47BD"/>
    <w:rsid w:val="009C5061"/>
    <w:rsid w:val="009C5579"/>
    <w:rsid w:val="009D0104"/>
    <w:rsid w:val="009D1650"/>
    <w:rsid w:val="009D1E04"/>
    <w:rsid w:val="009D2AD3"/>
    <w:rsid w:val="009D2E31"/>
    <w:rsid w:val="009D2EE8"/>
    <w:rsid w:val="009D3C09"/>
    <w:rsid w:val="009D56DA"/>
    <w:rsid w:val="009D6043"/>
    <w:rsid w:val="009D68BF"/>
    <w:rsid w:val="009D700B"/>
    <w:rsid w:val="009D7FB3"/>
    <w:rsid w:val="009E04DD"/>
    <w:rsid w:val="009E079D"/>
    <w:rsid w:val="009E24AC"/>
    <w:rsid w:val="009E3BC1"/>
    <w:rsid w:val="009E3D5B"/>
    <w:rsid w:val="009E5B6F"/>
    <w:rsid w:val="009E5F04"/>
    <w:rsid w:val="009F1268"/>
    <w:rsid w:val="009F15E3"/>
    <w:rsid w:val="009F190A"/>
    <w:rsid w:val="009F20C6"/>
    <w:rsid w:val="009F3579"/>
    <w:rsid w:val="009F4E73"/>
    <w:rsid w:val="009F7275"/>
    <w:rsid w:val="00A00E1B"/>
    <w:rsid w:val="00A02100"/>
    <w:rsid w:val="00A0250D"/>
    <w:rsid w:val="00A03882"/>
    <w:rsid w:val="00A051C5"/>
    <w:rsid w:val="00A05388"/>
    <w:rsid w:val="00A06FF8"/>
    <w:rsid w:val="00A07C25"/>
    <w:rsid w:val="00A07E50"/>
    <w:rsid w:val="00A10169"/>
    <w:rsid w:val="00A107E8"/>
    <w:rsid w:val="00A10E87"/>
    <w:rsid w:val="00A1103B"/>
    <w:rsid w:val="00A113EB"/>
    <w:rsid w:val="00A11977"/>
    <w:rsid w:val="00A12837"/>
    <w:rsid w:val="00A12DDE"/>
    <w:rsid w:val="00A1396E"/>
    <w:rsid w:val="00A13CB3"/>
    <w:rsid w:val="00A14C6E"/>
    <w:rsid w:val="00A15982"/>
    <w:rsid w:val="00A16414"/>
    <w:rsid w:val="00A16C1E"/>
    <w:rsid w:val="00A21333"/>
    <w:rsid w:val="00A2185D"/>
    <w:rsid w:val="00A21C76"/>
    <w:rsid w:val="00A25315"/>
    <w:rsid w:val="00A2590C"/>
    <w:rsid w:val="00A25AEA"/>
    <w:rsid w:val="00A30689"/>
    <w:rsid w:val="00A3233A"/>
    <w:rsid w:val="00A33250"/>
    <w:rsid w:val="00A33EF2"/>
    <w:rsid w:val="00A35F40"/>
    <w:rsid w:val="00A37AB1"/>
    <w:rsid w:val="00A41622"/>
    <w:rsid w:val="00A41ABA"/>
    <w:rsid w:val="00A42258"/>
    <w:rsid w:val="00A43489"/>
    <w:rsid w:val="00A43F07"/>
    <w:rsid w:val="00A44CC8"/>
    <w:rsid w:val="00A47022"/>
    <w:rsid w:val="00A50F29"/>
    <w:rsid w:val="00A513AB"/>
    <w:rsid w:val="00A513B0"/>
    <w:rsid w:val="00A5287F"/>
    <w:rsid w:val="00A52CA4"/>
    <w:rsid w:val="00A53336"/>
    <w:rsid w:val="00A54E52"/>
    <w:rsid w:val="00A55137"/>
    <w:rsid w:val="00A56581"/>
    <w:rsid w:val="00A56585"/>
    <w:rsid w:val="00A57FB7"/>
    <w:rsid w:val="00A57FD0"/>
    <w:rsid w:val="00A6147A"/>
    <w:rsid w:val="00A618A2"/>
    <w:rsid w:val="00A634A7"/>
    <w:rsid w:val="00A644FF"/>
    <w:rsid w:val="00A66139"/>
    <w:rsid w:val="00A664FC"/>
    <w:rsid w:val="00A70141"/>
    <w:rsid w:val="00A728F2"/>
    <w:rsid w:val="00A73513"/>
    <w:rsid w:val="00A736D3"/>
    <w:rsid w:val="00A739C2"/>
    <w:rsid w:val="00A74989"/>
    <w:rsid w:val="00A74EC5"/>
    <w:rsid w:val="00A7535E"/>
    <w:rsid w:val="00A760E0"/>
    <w:rsid w:val="00A77371"/>
    <w:rsid w:val="00A8022D"/>
    <w:rsid w:val="00A812CE"/>
    <w:rsid w:val="00A81713"/>
    <w:rsid w:val="00A81C2D"/>
    <w:rsid w:val="00A84AA2"/>
    <w:rsid w:val="00A851C7"/>
    <w:rsid w:val="00A85327"/>
    <w:rsid w:val="00A8790E"/>
    <w:rsid w:val="00A9074D"/>
    <w:rsid w:val="00A9084C"/>
    <w:rsid w:val="00A90B6A"/>
    <w:rsid w:val="00A92A74"/>
    <w:rsid w:val="00A958B5"/>
    <w:rsid w:val="00A9600B"/>
    <w:rsid w:val="00A96306"/>
    <w:rsid w:val="00A96500"/>
    <w:rsid w:val="00A97221"/>
    <w:rsid w:val="00A97716"/>
    <w:rsid w:val="00A97C01"/>
    <w:rsid w:val="00AA44D7"/>
    <w:rsid w:val="00AA5610"/>
    <w:rsid w:val="00AA5A72"/>
    <w:rsid w:val="00AB10E5"/>
    <w:rsid w:val="00AB196F"/>
    <w:rsid w:val="00AB1BF0"/>
    <w:rsid w:val="00AB21C6"/>
    <w:rsid w:val="00AB28FA"/>
    <w:rsid w:val="00AB2A67"/>
    <w:rsid w:val="00AB4D47"/>
    <w:rsid w:val="00AB57E8"/>
    <w:rsid w:val="00AB5F72"/>
    <w:rsid w:val="00AB68B2"/>
    <w:rsid w:val="00AB6B93"/>
    <w:rsid w:val="00AB7063"/>
    <w:rsid w:val="00AB7614"/>
    <w:rsid w:val="00AB77A3"/>
    <w:rsid w:val="00AC02C7"/>
    <w:rsid w:val="00AC05EE"/>
    <w:rsid w:val="00AC138A"/>
    <w:rsid w:val="00AC24C9"/>
    <w:rsid w:val="00AC31E5"/>
    <w:rsid w:val="00AC364C"/>
    <w:rsid w:val="00AC395B"/>
    <w:rsid w:val="00AC39D1"/>
    <w:rsid w:val="00AC7640"/>
    <w:rsid w:val="00AC771A"/>
    <w:rsid w:val="00AC7B9E"/>
    <w:rsid w:val="00AD1772"/>
    <w:rsid w:val="00AD2EBC"/>
    <w:rsid w:val="00AD49DF"/>
    <w:rsid w:val="00AD7310"/>
    <w:rsid w:val="00AD79CC"/>
    <w:rsid w:val="00AE212D"/>
    <w:rsid w:val="00AE28F5"/>
    <w:rsid w:val="00AE2AFD"/>
    <w:rsid w:val="00AE2DBB"/>
    <w:rsid w:val="00AE30BD"/>
    <w:rsid w:val="00AE4063"/>
    <w:rsid w:val="00AE4E8B"/>
    <w:rsid w:val="00AE5D28"/>
    <w:rsid w:val="00AE7E28"/>
    <w:rsid w:val="00AF20CA"/>
    <w:rsid w:val="00AF262C"/>
    <w:rsid w:val="00AF40D2"/>
    <w:rsid w:val="00AF5460"/>
    <w:rsid w:val="00AF566B"/>
    <w:rsid w:val="00AF7A46"/>
    <w:rsid w:val="00AF7FCC"/>
    <w:rsid w:val="00B00247"/>
    <w:rsid w:val="00B008E0"/>
    <w:rsid w:val="00B00C2E"/>
    <w:rsid w:val="00B01B69"/>
    <w:rsid w:val="00B022ED"/>
    <w:rsid w:val="00B024DA"/>
    <w:rsid w:val="00B028C5"/>
    <w:rsid w:val="00B03601"/>
    <w:rsid w:val="00B03B81"/>
    <w:rsid w:val="00B0560E"/>
    <w:rsid w:val="00B07152"/>
    <w:rsid w:val="00B074F6"/>
    <w:rsid w:val="00B10E51"/>
    <w:rsid w:val="00B13597"/>
    <w:rsid w:val="00B13DC9"/>
    <w:rsid w:val="00B14BC5"/>
    <w:rsid w:val="00B161F6"/>
    <w:rsid w:val="00B16900"/>
    <w:rsid w:val="00B174BF"/>
    <w:rsid w:val="00B17FE2"/>
    <w:rsid w:val="00B2033C"/>
    <w:rsid w:val="00B20F00"/>
    <w:rsid w:val="00B23147"/>
    <w:rsid w:val="00B246AB"/>
    <w:rsid w:val="00B250B9"/>
    <w:rsid w:val="00B25C66"/>
    <w:rsid w:val="00B25CF1"/>
    <w:rsid w:val="00B25FA8"/>
    <w:rsid w:val="00B26431"/>
    <w:rsid w:val="00B279B3"/>
    <w:rsid w:val="00B31A7A"/>
    <w:rsid w:val="00B32272"/>
    <w:rsid w:val="00B32779"/>
    <w:rsid w:val="00B32D1F"/>
    <w:rsid w:val="00B32F49"/>
    <w:rsid w:val="00B33593"/>
    <w:rsid w:val="00B33B05"/>
    <w:rsid w:val="00B347A1"/>
    <w:rsid w:val="00B358A1"/>
    <w:rsid w:val="00B35BDC"/>
    <w:rsid w:val="00B36F5F"/>
    <w:rsid w:val="00B376D4"/>
    <w:rsid w:val="00B416AA"/>
    <w:rsid w:val="00B42172"/>
    <w:rsid w:val="00B42476"/>
    <w:rsid w:val="00B42C54"/>
    <w:rsid w:val="00B42DC3"/>
    <w:rsid w:val="00B43CFA"/>
    <w:rsid w:val="00B4599E"/>
    <w:rsid w:val="00B45C70"/>
    <w:rsid w:val="00B47278"/>
    <w:rsid w:val="00B504C5"/>
    <w:rsid w:val="00B50AAB"/>
    <w:rsid w:val="00B52F19"/>
    <w:rsid w:val="00B53096"/>
    <w:rsid w:val="00B53718"/>
    <w:rsid w:val="00B54290"/>
    <w:rsid w:val="00B5459C"/>
    <w:rsid w:val="00B545A3"/>
    <w:rsid w:val="00B5582E"/>
    <w:rsid w:val="00B56892"/>
    <w:rsid w:val="00B5693D"/>
    <w:rsid w:val="00B575BB"/>
    <w:rsid w:val="00B57BA0"/>
    <w:rsid w:val="00B60937"/>
    <w:rsid w:val="00B6272F"/>
    <w:rsid w:val="00B62D86"/>
    <w:rsid w:val="00B64EB2"/>
    <w:rsid w:val="00B653CB"/>
    <w:rsid w:val="00B659D8"/>
    <w:rsid w:val="00B65E74"/>
    <w:rsid w:val="00B66746"/>
    <w:rsid w:val="00B66C0B"/>
    <w:rsid w:val="00B670A5"/>
    <w:rsid w:val="00B67408"/>
    <w:rsid w:val="00B702D4"/>
    <w:rsid w:val="00B729C2"/>
    <w:rsid w:val="00B72C4B"/>
    <w:rsid w:val="00B72F67"/>
    <w:rsid w:val="00B74339"/>
    <w:rsid w:val="00B745BC"/>
    <w:rsid w:val="00B74901"/>
    <w:rsid w:val="00B76A0E"/>
    <w:rsid w:val="00B77C98"/>
    <w:rsid w:val="00B80535"/>
    <w:rsid w:val="00B80D85"/>
    <w:rsid w:val="00B8166F"/>
    <w:rsid w:val="00B84420"/>
    <w:rsid w:val="00B85183"/>
    <w:rsid w:val="00B86BF8"/>
    <w:rsid w:val="00B871AD"/>
    <w:rsid w:val="00B8792B"/>
    <w:rsid w:val="00B87F40"/>
    <w:rsid w:val="00B9014A"/>
    <w:rsid w:val="00B91089"/>
    <w:rsid w:val="00B92941"/>
    <w:rsid w:val="00B9483E"/>
    <w:rsid w:val="00B9484B"/>
    <w:rsid w:val="00B9626D"/>
    <w:rsid w:val="00B9670A"/>
    <w:rsid w:val="00B97160"/>
    <w:rsid w:val="00BA229C"/>
    <w:rsid w:val="00BA34EE"/>
    <w:rsid w:val="00BA35A4"/>
    <w:rsid w:val="00BA5DF8"/>
    <w:rsid w:val="00BA5F85"/>
    <w:rsid w:val="00BA7146"/>
    <w:rsid w:val="00BA7498"/>
    <w:rsid w:val="00BA7B35"/>
    <w:rsid w:val="00BB0957"/>
    <w:rsid w:val="00BB0EDB"/>
    <w:rsid w:val="00BB382B"/>
    <w:rsid w:val="00BB45D4"/>
    <w:rsid w:val="00BB5661"/>
    <w:rsid w:val="00BB5890"/>
    <w:rsid w:val="00BB5AF2"/>
    <w:rsid w:val="00BB5B4D"/>
    <w:rsid w:val="00BB7C12"/>
    <w:rsid w:val="00BB7F59"/>
    <w:rsid w:val="00BB7FDE"/>
    <w:rsid w:val="00BC08B1"/>
    <w:rsid w:val="00BC1812"/>
    <w:rsid w:val="00BC1DAB"/>
    <w:rsid w:val="00BC1E9A"/>
    <w:rsid w:val="00BC3EAD"/>
    <w:rsid w:val="00BC672E"/>
    <w:rsid w:val="00BC677F"/>
    <w:rsid w:val="00BC7561"/>
    <w:rsid w:val="00BD06FB"/>
    <w:rsid w:val="00BD1327"/>
    <w:rsid w:val="00BD19F8"/>
    <w:rsid w:val="00BD1B83"/>
    <w:rsid w:val="00BD2CA1"/>
    <w:rsid w:val="00BD4CAB"/>
    <w:rsid w:val="00BD4E10"/>
    <w:rsid w:val="00BD5F33"/>
    <w:rsid w:val="00BD7E45"/>
    <w:rsid w:val="00BE0885"/>
    <w:rsid w:val="00BE09E3"/>
    <w:rsid w:val="00BE09F5"/>
    <w:rsid w:val="00BE0DF7"/>
    <w:rsid w:val="00BE24BF"/>
    <w:rsid w:val="00BE2C7D"/>
    <w:rsid w:val="00BE2F11"/>
    <w:rsid w:val="00BE3347"/>
    <w:rsid w:val="00BE573B"/>
    <w:rsid w:val="00BE6929"/>
    <w:rsid w:val="00BE7CAA"/>
    <w:rsid w:val="00BF0778"/>
    <w:rsid w:val="00BF0788"/>
    <w:rsid w:val="00BF07A1"/>
    <w:rsid w:val="00BF0F71"/>
    <w:rsid w:val="00BF293A"/>
    <w:rsid w:val="00BF3656"/>
    <w:rsid w:val="00BF49D3"/>
    <w:rsid w:val="00BF58D5"/>
    <w:rsid w:val="00BF5F41"/>
    <w:rsid w:val="00BF67D1"/>
    <w:rsid w:val="00BF6D71"/>
    <w:rsid w:val="00BF76AF"/>
    <w:rsid w:val="00BF76E4"/>
    <w:rsid w:val="00C004CF"/>
    <w:rsid w:val="00C00797"/>
    <w:rsid w:val="00C0085E"/>
    <w:rsid w:val="00C01527"/>
    <w:rsid w:val="00C01861"/>
    <w:rsid w:val="00C03290"/>
    <w:rsid w:val="00C04AD6"/>
    <w:rsid w:val="00C04D20"/>
    <w:rsid w:val="00C04F25"/>
    <w:rsid w:val="00C058D8"/>
    <w:rsid w:val="00C073AB"/>
    <w:rsid w:val="00C07E91"/>
    <w:rsid w:val="00C07E9F"/>
    <w:rsid w:val="00C1046B"/>
    <w:rsid w:val="00C114D1"/>
    <w:rsid w:val="00C13535"/>
    <w:rsid w:val="00C13907"/>
    <w:rsid w:val="00C1416B"/>
    <w:rsid w:val="00C14815"/>
    <w:rsid w:val="00C200C4"/>
    <w:rsid w:val="00C20119"/>
    <w:rsid w:val="00C20769"/>
    <w:rsid w:val="00C20F31"/>
    <w:rsid w:val="00C21178"/>
    <w:rsid w:val="00C23A91"/>
    <w:rsid w:val="00C240A9"/>
    <w:rsid w:val="00C25606"/>
    <w:rsid w:val="00C26340"/>
    <w:rsid w:val="00C30C13"/>
    <w:rsid w:val="00C34234"/>
    <w:rsid w:val="00C35305"/>
    <w:rsid w:val="00C3626E"/>
    <w:rsid w:val="00C37F05"/>
    <w:rsid w:val="00C400A4"/>
    <w:rsid w:val="00C41856"/>
    <w:rsid w:val="00C44A84"/>
    <w:rsid w:val="00C45768"/>
    <w:rsid w:val="00C501E1"/>
    <w:rsid w:val="00C5052D"/>
    <w:rsid w:val="00C505A8"/>
    <w:rsid w:val="00C517DD"/>
    <w:rsid w:val="00C5288F"/>
    <w:rsid w:val="00C53451"/>
    <w:rsid w:val="00C544CB"/>
    <w:rsid w:val="00C545DE"/>
    <w:rsid w:val="00C556B7"/>
    <w:rsid w:val="00C55DB5"/>
    <w:rsid w:val="00C56119"/>
    <w:rsid w:val="00C57EDB"/>
    <w:rsid w:val="00C61634"/>
    <w:rsid w:val="00C61C1F"/>
    <w:rsid w:val="00C6228A"/>
    <w:rsid w:val="00C624B6"/>
    <w:rsid w:val="00C630A7"/>
    <w:rsid w:val="00C63CF9"/>
    <w:rsid w:val="00C662F9"/>
    <w:rsid w:val="00C6661F"/>
    <w:rsid w:val="00C673B0"/>
    <w:rsid w:val="00C6741C"/>
    <w:rsid w:val="00C67E02"/>
    <w:rsid w:val="00C703FF"/>
    <w:rsid w:val="00C70AC2"/>
    <w:rsid w:val="00C7161A"/>
    <w:rsid w:val="00C71887"/>
    <w:rsid w:val="00C7307E"/>
    <w:rsid w:val="00C734FE"/>
    <w:rsid w:val="00C7523F"/>
    <w:rsid w:val="00C761A3"/>
    <w:rsid w:val="00C77CE0"/>
    <w:rsid w:val="00C77F79"/>
    <w:rsid w:val="00C813DE"/>
    <w:rsid w:val="00C81414"/>
    <w:rsid w:val="00C8197D"/>
    <w:rsid w:val="00C86BD6"/>
    <w:rsid w:val="00C87AEC"/>
    <w:rsid w:val="00C90FC3"/>
    <w:rsid w:val="00C92764"/>
    <w:rsid w:val="00C927C5"/>
    <w:rsid w:val="00C929D8"/>
    <w:rsid w:val="00C92FB3"/>
    <w:rsid w:val="00C9352C"/>
    <w:rsid w:val="00C94103"/>
    <w:rsid w:val="00C9456B"/>
    <w:rsid w:val="00C95165"/>
    <w:rsid w:val="00C95A5B"/>
    <w:rsid w:val="00C9680C"/>
    <w:rsid w:val="00C97497"/>
    <w:rsid w:val="00C97F25"/>
    <w:rsid w:val="00C97FF4"/>
    <w:rsid w:val="00CA0DF2"/>
    <w:rsid w:val="00CA11E1"/>
    <w:rsid w:val="00CA269E"/>
    <w:rsid w:val="00CA3075"/>
    <w:rsid w:val="00CA3559"/>
    <w:rsid w:val="00CA35D2"/>
    <w:rsid w:val="00CA4370"/>
    <w:rsid w:val="00CA4AFF"/>
    <w:rsid w:val="00CA4C23"/>
    <w:rsid w:val="00CA5520"/>
    <w:rsid w:val="00CA5BEE"/>
    <w:rsid w:val="00CA755F"/>
    <w:rsid w:val="00CA7EEC"/>
    <w:rsid w:val="00CB0C49"/>
    <w:rsid w:val="00CB0E63"/>
    <w:rsid w:val="00CB2112"/>
    <w:rsid w:val="00CB24D7"/>
    <w:rsid w:val="00CB458E"/>
    <w:rsid w:val="00CB478D"/>
    <w:rsid w:val="00CB4D7B"/>
    <w:rsid w:val="00CB5025"/>
    <w:rsid w:val="00CB51F6"/>
    <w:rsid w:val="00CB5951"/>
    <w:rsid w:val="00CB5A99"/>
    <w:rsid w:val="00CB5CA9"/>
    <w:rsid w:val="00CB6D12"/>
    <w:rsid w:val="00CB7520"/>
    <w:rsid w:val="00CC0DB3"/>
    <w:rsid w:val="00CC2EBD"/>
    <w:rsid w:val="00CC3CF9"/>
    <w:rsid w:val="00CC5011"/>
    <w:rsid w:val="00CC52FC"/>
    <w:rsid w:val="00CC56FF"/>
    <w:rsid w:val="00CC6708"/>
    <w:rsid w:val="00CC6889"/>
    <w:rsid w:val="00CC6DF6"/>
    <w:rsid w:val="00CC7E65"/>
    <w:rsid w:val="00CD0072"/>
    <w:rsid w:val="00CD0BAA"/>
    <w:rsid w:val="00CD1707"/>
    <w:rsid w:val="00CE11DB"/>
    <w:rsid w:val="00CE31F2"/>
    <w:rsid w:val="00CE352C"/>
    <w:rsid w:val="00CE39AF"/>
    <w:rsid w:val="00CE4787"/>
    <w:rsid w:val="00CE587F"/>
    <w:rsid w:val="00CE5C11"/>
    <w:rsid w:val="00CE6DCD"/>
    <w:rsid w:val="00CE6E8B"/>
    <w:rsid w:val="00CE702C"/>
    <w:rsid w:val="00CE7331"/>
    <w:rsid w:val="00CF0A1B"/>
    <w:rsid w:val="00CF1212"/>
    <w:rsid w:val="00CF47A7"/>
    <w:rsid w:val="00CF7EED"/>
    <w:rsid w:val="00D02023"/>
    <w:rsid w:val="00D020E5"/>
    <w:rsid w:val="00D03A76"/>
    <w:rsid w:val="00D05FA2"/>
    <w:rsid w:val="00D05FB0"/>
    <w:rsid w:val="00D066AB"/>
    <w:rsid w:val="00D07050"/>
    <w:rsid w:val="00D107C8"/>
    <w:rsid w:val="00D10C36"/>
    <w:rsid w:val="00D11531"/>
    <w:rsid w:val="00D1166B"/>
    <w:rsid w:val="00D12F0F"/>
    <w:rsid w:val="00D13C63"/>
    <w:rsid w:val="00D145D0"/>
    <w:rsid w:val="00D15040"/>
    <w:rsid w:val="00D16152"/>
    <w:rsid w:val="00D1686A"/>
    <w:rsid w:val="00D20151"/>
    <w:rsid w:val="00D20DB3"/>
    <w:rsid w:val="00D21482"/>
    <w:rsid w:val="00D227C0"/>
    <w:rsid w:val="00D22F24"/>
    <w:rsid w:val="00D23645"/>
    <w:rsid w:val="00D2439D"/>
    <w:rsid w:val="00D253D8"/>
    <w:rsid w:val="00D258D4"/>
    <w:rsid w:val="00D30C25"/>
    <w:rsid w:val="00D328E7"/>
    <w:rsid w:val="00D32C88"/>
    <w:rsid w:val="00D3540C"/>
    <w:rsid w:val="00D35D1F"/>
    <w:rsid w:val="00D376D2"/>
    <w:rsid w:val="00D377C6"/>
    <w:rsid w:val="00D37E47"/>
    <w:rsid w:val="00D40B1F"/>
    <w:rsid w:val="00D40FAD"/>
    <w:rsid w:val="00D41036"/>
    <w:rsid w:val="00D41FA7"/>
    <w:rsid w:val="00D423E9"/>
    <w:rsid w:val="00D42772"/>
    <w:rsid w:val="00D4400B"/>
    <w:rsid w:val="00D44760"/>
    <w:rsid w:val="00D44E18"/>
    <w:rsid w:val="00D4618C"/>
    <w:rsid w:val="00D50F49"/>
    <w:rsid w:val="00D5148D"/>
    <w:rsid w:val="00D52416"/>
    <w:rsid w:val="00D538E9"/>
    <w:rsid w:val="00D542BE"/>
    <w:rsid w:val="00D55B86"/>
    <w:rsid w:val="00D5679C"/>
    <w:rsid w:val="00D578D6"/>
    <w:rsid w:val="00D60183"/>
    <w:rsid w:val="00D61486"/>
    <w:rsid w:val="00D615DE"/>
    <w:rsid w:val="00D635AD"/>
    <w:rsid w:val="00D64969"/>
    <w:rsid w:val="00D664B4"/>
    <w:rsid w:val="00D70C6F"/>
    <w:rsid w:val="00D718BC"/>
    <w:rsid w:val="00D73B94"/>
    <w:rsid w:val="00D74241"/>
    <w:rsid w:val="00D753A2"/>
    <w:rsid w:val="00D753FA"/>
    <w:rsid w:val="00D76223"/>
    <w:rsid w:val="00D76B77"/>
    <w:rsid w:val="00D7702E"/>
    <w:rsid w:val="00D80526"/>
    <w:rsid w:val="00D80CCC"/>
    <w:rsid w:val="00D8131B"/>
    <w:rsid w:val="00D82125"/>
    <w:rsid w:val="00D83C3F"/>
    <w:rsid w:val="00D847C2"/>
    <w:rsid w:val="00D853D7"/>
    <w:rsid w:val="00D87F90"/>
    <w:rsid w:val="00D91166"/>
    <w:rsid w:val="00D930FB"/>
    <w:rsid w:val="00D9326C"/>
    <w:rsid w:val="00D93BA1"/>
    <w:rsid w:val="00D93C71"/>
    <w:rsid w:val="00D94EB8"/>
    <w:rsid w:val="00D95082"/>
    <w:rsid w:val="00D9583B"/>
    <w:rsid w:val="00D96BE1"/>
    <w:rsid w:val="00DA153A"/>
    <w:rsid w:val="00DA2664"/>
    <w:rsid w:val="00DA34BC"/>
    <w:rsid w:val="00DA3E03"/>
    <w:rsid w:val="00DA3E35"/>
    <w:rsid w:val="00DA4824"/>
    <w:rsid w:val="00DA548F"/>
    <w:rsid w:val="00DA776D"/>
    <w:rsid w:val="00DB08A9"/>
    <w:rsid w:val="00DB0F38"/>
    <w:rsid w:val="00DB1271"/>
    <w:rsid w:val="00DB160D"/>
    <w:rsid w:val="00DB2C4A"/>
    <w:rsid w:val="00DB3458"/>
    <w:rsid w:val="00DB3C2A"/>
    <w:rsid w:val="00DB6065"/>
    <w:rsid w:val="00DB620D"/>
    <w:rsid w:val="00DB6EA3"/>
    <w:rsid w:val="00DB78A4"/>
    <w:rsid w:val="00DB7C2C"/>
    <w:rsid w:val="00DC01D9"/>
    <w:rsid w:val="00DC05A8"/>
    <w:rsid w:val="00DC19B0"/>
    <w:rsid w:val="00DC4453"/>
    <w:rsid w:val="00DC614B"/>
    <w:rsid w:val="00DC798F"/>
    <w:rsid w:val="00DD0200"/>
    <w:rsid w:val="00DD0447"/>
    <w:rsid w:val="00DD17BE"/>
    <w:rsid w:val="00DD1E99"/>
    <w:rsid w:val="00DD298A"/>
    <w:rsid w:val="00DD3128"/>
    <w:rsid w:val="00DD3A8C"/>
    <w:rsid w:val="00DD4F89"/>
    <w:rsid w:val="00DD5911"/>
    <w:rsid w:val="00DD5E00"/>
    <w:rsid w:val="00DD5F5F"/>
    <w:rsid w:val="00DD7741"/>
    <w:rsid w:val="00DE33AB"/>
    <w:rsid w:val="00DE365B"/>
    <w:rsid w:val="00DE3AA4"/>
    <w:rsid w:val="00DE41E0"/>
    <w:rsid w:val="00DE4456"/>
    <w:rsid w:val="00DE552D"/>
    <w:rsid w:val="00DE56FB"/>
    <w:rsid w:val="00DE59AF"/>
    <w:rsid w:val="00DE5A61"/>
    <w:rsid w:val="00DE7500"/>
    <w:rsid w:val="00DF057A"/>
    <w:rsid w:val="00DF0800"/>
    <w:rsid w:val="00DF1400"/>
    <w:rsid w:val="00DF2295"/>
    <w:rsid w:val="00DF2DF5"/>
    <w:rsid w:val="00DF3109"/>
    <w:rsid w:val="00DF392D"/>
    <w:rsid w:val="00DF47B8"/>
    <w:rsid w:val="00DF63A9"/>
    <w:rsid w:val="00DF6A1E"/>
    <w:rsid w:val="00E0258B"/>
    <w:rsid w:val="00E028F7"/>
    <w:rsid w:val="00E03250"/>
    <w:rsid w:val="00E03CAE"/>
    <w:rsid w:val="00E03DA7"/>
    <w:rsid w:val="00E03E8B"/>
    <w:rsid w:val="00E04C3B"/>
    <w:rsid w:val="00E05285"/>
    <w:rsid w:val="00E05D75"/>
    <w:rsid w:val="00E07D09"/>
    <w:rsid w:val="00E11B60"/>
    <w:rsid w:val="00E122FA"/>
    <w:rsid w:val="00E12B7C"/>
    <w:rsid w:val="00E133F3"/>
    <w:rsid w:val="00E13D9D"/>
    <w:rsid w:val="00E141D1"/>
    <w:rsid w:val="00E1518C"/>
    <w:rsid w:val="00E15C7F"/>
    <w:rsid w:val="00E17B20"/>
    <w:rsid w:val="00E21DE9"/>
    <w:rsid w:val="00E2518C"/>
    <w:rsid w:val="00E25505"/>
    <w:rsid w:val="00E25876"/>
    <w:rsid w:val="00E25DFE"/>
    <w:rsid w:val="00E26960"/>
    <w:rsid w:val="00E30938"/>
    <w:rsid w:val="00E3150D"/>
    <w:rsid w:val="00E3272C"/>
    <w:rsid w:val="00E32BEC"/>
    <w:rsid w:val="00E32E38"/>
    <w:rsid w:val="00E33F68"/>
    <w:rsid w:val="00E343F7"/>
    <w:rsid w:val="00E36728"/>
    <w:rsid w:val="00E36D3C"/>
    <w:rsid w:val="00E36D92"/>
    <w:rsid w:val="00E406E0"/>
    <w:rsid w:val="00E41726"/>
    <w:rsid w:val="00E428AC"/>
    <w:rsid w:val="00E428C8"/>
    <w:rsid w:val="00E42A48"/>
    <w:rsid w:val="00E440E6"/>
    <w:rsid w:val="00E44439"/>
    <w:rsid w:val="00E4469C"/>
    <w:rsid w:val="00E447DC"/>
    <w:rsid w:val="00E45070"/>
    <w:rsid w:val="00E453B1"/>
    <w:rsid w:val="00E4560F"/>
    <w:rsid w:val="00E45BF9"/>
    <w:rsid w:val="00E45CCE"/>
    <w:rsid w:val="00E45E1B"/>
    <w:rsid w:val="00E4657F"/>
    <w:rsid w:val="00E4689E"/>
    <w:rsid w:val="00E4695F"/>
    <w:rsid w:val="00E46D86"/>
    <w:rsid w:val="00E51420"/>
    <w:rsid w:val="00E529EE"/>
    <w:rsid w:val="00E53302"/>
    <w:rsid w:val="00E5443D"/>
    <w:rsid w:val="00E559C8"/>
    <w:rsid w:val="00E561EE"/>
    <w:rsid w:val="00E564A8"/>
    <w:rsid w:val="00E56974"/>
    <w:rsid w:val="00E60780"/>
    <w:rsid w:val="00E61CAB"/>
    <w:rsid w:val="00E61F31"/>
    <w:rsid w:val="00E62340"/>
    <w:rsid w:val="00E63BAC"/>
    <w:rsid w:val="00E655C4"/>
    <w:rsid w:val="00E6721A"/>
    <w:rsid w:val="00E67EEF"/>
    <w:rsid w:val="00E67FEE"/>
    <w:rsid w:val="00E72559"/>
    <w:rsid w:val="00E72602"/>
    <w:rsid w:val="00E740A3"/>
    <w:rsid w:val="00E7577A"/>
    <w:rsid w:val="00E75CC1"/>
    <w:rsid w:val="00E76BF3"/>
    <w:rsid w:val="00E7729F"/>
    <w:rsid w:val="00E77FDE"/>
    <w:rsid w:val="00E801FC"/>
    <w:rsid w:val="00E8031A"/>
    <w:rsid w:val="00E83793"/>
    <w:rsid w:val="00E856A5"/>
    <w:rsid w:val="00E8609D"/>
    <w:rsid w:val="00E861B8"/>
    <w:rsid w:val="00E8660F"/>
    <w:rsid w:val="00E8679E"/>
    <w:rsid w:val="00E86D88"/>
    <w:rsid w:val="00E86E00"/>
    <w:rsid w:val="00E87F30"/>
    <w:rsid w:val="00E90FB2"/>
    <w:rsid w:val="00E91212"/>
    <w:rsid w:val="00E9178C"/>
    <w:rsid w:val="00E92021"/>
    <w:rsid w:val="00E94532"/>
    <w:rsid w:val="00E95537"/>
    <w:rsid w:val="00E95759"/>
    <w:rsid w:val="00E95CBB"/>
    <w:rsid w:val="00E962EA"/>
    <w:rsid w:val="00E96860"/>
    <w:rsid w:val="00EA0392"/>
    <w:rsid w:val="00EA06E9"/>
    <w:rsid w:val="00EA0E8B"/>
    <w:rsid w:val="00EA12F8"/>
    <w:rsid w:val="00EA178E"/>
    <w:rsid w:val="00EA49E0"/>
    <w:rsid w:val="00EA5E40"/>
    <w:rsid w:val="00EB0549"/>
    <w:rsid w:val="00EB0AA7"/>
    <w:rsid w:val="00EB137A"/>
    <w:rsid w:val="00EB2662"/>
    <w:rsid w:val="00EB3E70"/>
    <w:rsid w:val="00EC03F6"/>
    <w:rsid w:val="00EC089F"/>
    <w:rsid w:val="00EC0947"/>
    <w:rsid w:val="00EC0EC5"/>
    <w:rsid w:val="00EC13EC"/>
    <w:rsid w:val="00EC1F4C"/>
    <w:rsid w:val="00EC2B2C"/>
    <w:rsid w:val="00EC4B4F"/>
    <w:rsid w:val="00EC7A3A"/>
    <w:rsid w:val="00ED00FB"/>
    <w:rsid w:val="00ED0381"/>
    <w:rsid w:val="00ED071D"/>
    <w:rsid w:val="00ED2721"/>
    <w:rsid w:val="00ED3762"/>
    <w:rsid w:val="00ED4B7D"/>
    <w:rsid w:val="00ED4D6F"/>
    <w:rsid w:val="00ED5146"/>
    <w:rsid w:val="00ED618E"/>
    <w:rsid w:val="00ED6799"/>
    <w:rsid w:val="00ED7636"/>
    <w:rsid w:val="00EE0AED"/>
    <w:rsid w:val="00EE1125"/>
    <w:rsid w:val="00EE1DE7"/>
    <w:rsid w:val="00EE2193"/>
    <w:rsid w:val="00EE24B6"/>
    <w:rsid w:val="00EE3137"/>
    <w:rsid w:val="00EE32A8"/>
    <w:rsid w:val="00EE35FC"/>
    <w:rsid w:val="00EE36DB"/>
    <w:rsid w:val="00EE4CE1"/>
    <w:rsid w:val="00EE6CEB"/>
    <w:rsid w:val="00EE6E0D"/>
    <w:rsid w:val="00EE6E83"/>
    <w:rsid w:val="00EE75AE"/>
    <w:rsid w:val="00EF00DE"/>
    <w:rsid w:val="00EF1F36"/>
    <w:rsid w:val="00EF288A"/>
    <w:rsid w:val="00EF30E2"/>
    <w:rsid w:val="00EF3261"/>
    <w:rsid w:val="00EF3E35"/>
    <w:rsid w:val="00EF40C5"/>
    <w:rsid w:val="00EF6EC1"/>
    <w:rsid w:val="00EF7D07"/>
    <w:rsid w:val="00F017F0"/>
    <w:rsid w:val="00F01A04"/>
    <w:rsid w:val="00F04157"/>
    <w:rsid w:val="00F04270"/>
    <w:rsid w:val="00F04378"/>
    <w:rsid w:val="00F04778"/>
    <w:rsid w:val="00F05B41"/>
    <w:rsid w:val="00F06118"/>
    <w:rsid w:val="00F06289"/>
    <w:rsid w:val="00F077D5"/>
    <w:rsid w:val="00F10591"/>
    <w:rsid w:val="00F110BC"/>
    <w:rsid w:val="00F1111B"/>
    <w:rsid w:val="00F12C08"/>
    <w:rsid w:val="00F12C68"/>
    <w:rsid w:val="00F12E41"/>
    <w:rsid w:val="00F13F62"/>
    <w:rsid w:val="00F1684A"/>
    <w:rsid w:val="00F16A1A"/>
    <w:rsid w:val="00F2014E"/>
    <w:rsid w:val="00F20622"/>
    <w:rsid w:val="00F20904"/>
    <w:rsid w:val="00F218A4"/>
    <w:rsid w:val="00F232F7"/>
    <w:rsid w:val="00F236E1"/>
    <w:rsid w:val="00F24557"/>
    <w:rsid w:val="00F246B2"/>
    <w:rsid w:val="00F268C9"/>
    <w:rsid w:val="00F2797A"/>
    <w:rsid w:val="00F306EF"/>
    <w:rsid w:val="00F30734"/>
    <w:rsid w:val="00F3353F"/>
    <w:rsid w:val="00F3467D"/>
    <w:rsid w:val="00F3625E"/>
    <w:rsid w:val="00F36754"/>
    <w:rsid w:val="00F40142"/>
    <w:rsid w:val="00F40773"/>
    <w:rsid w:val="00F416BE"/>
    <w:rsid w:val="00F421EA"/>
    <w:rsid w:val="00F42903"/>
    <w:rsid w:val="00F43B73"/>
    <w:rsid w:val="00F4530A"/>
    <w:rsid w:val="00F4541B"/>
    <w:rsid w:val="00F502C5"/>
    <w:rsid w:val="00F5080A"/>
    <w:rsid w:val="00F511A8"/>
    <w:rsid w:val="00F515AD"/>
    <w:rsid w:val="00F51FE5"/>
    <w:rsid w:val="00F52C28"/>
    <w:rsid w:val="00F53345"/>
    <w:rsid w:val="00F54A3B"/>
    <w:rsid w:val="00F54EFD"/>
    <w:rsid w:val="00F55AB2"/>
    <w:rsid w:val="00F568E1"/>
    <w:rsid w:val="00F56FDE"/>
    <w:rsid w:val="00F606D5"/>
    <w:rsid w:val="00F615F7"/>
    <w:rsid w:val="00F6184B"/>
    <w:rsid w:val="00F6185D"/>
    <w:rsid w:val="00F630B9"/>
    <w:rsid w:val="00F63C2A"/>
    <w:rsid w:val="00F65139"/>
    <w:rsid w:val="00F6556F"/>
    <w:rsid w:val="00F67FD7"/>
    <w:rsid w:val="00F70880"/>
    <w:rsid w:val="00F7118E"/>
    <w:rsid w:val="00F71275"/>
    <w:rsid w:val="00F714B5"/>
    <w:rsid w:val="00F73A42"/>
    <w:rsid w:val="00F74BA2"/>
    <w:rsid w:val="00F829A8"/>
    <w:rsid w:val="00F82CB9"/>
    <w:rsid w:val="00F83BDF"/>
    <w:rsid w:val="00F85CBF"/>
    <w:rsid w:val="00F860EE"/>
    <w:rsid w:val="00F868FF"/>
    <w:rsid w:val="00F900B8"/>
    <w:rsid w:val="00F906EF"/>
    <w:rsid w:val="00F9116C"/>
    <w:rsid w:val="00F912AF"/>
    <w:rsid w:val="00F91882"/>
    <w:rsid w:val="00F91C62"/>
    <w:rsid w:val="00F9211E"/>
    <w:rsid w:val="00F922EB"/>
    <w:rsid w:val="00F9281A"/>
    <w:rsid w:val="00F9290B"/>
    <w:rsid w:val="00F93961"/>
    <w:rsid w:val="00F943AA"/>
    <w:rsid w:val="00F94C23"/>
    <w:rsid w:val="00F94EF2"/>
    <w:rsid w:val="00F954B2"/>
    <w:rsid w:val="00F957CF"/>
    <w:rsid w:val="00F96BAC"/>
    <w:rsid w:val="00FA04DD"/>
    <w:rsid w:val="00FA3A39"/>
    <w:rsid w:val="00FA3CF4"/>
    <w:rsid w:val="00FA6513"/>
    <w:rsid w:val="00FA6B8C"/>
    <w:rsid w:val="00FB0137"/>
    <w:rsid w:val="00FB0CD4"/>
    <w:rsid w:val="00FB3584"/>
    <w:rsid w:val="00FC03D3"/>
    <w:rsid w:val="00FC1D5B"/>
    <w:rsid w:val="00FC341D"/>
    <w:rsid w:val="00FC6AE9"/>
    <w:rsid w:val="00FD0375"/>
    <w:rsid w:val="00FD0B12"/>
    <w:rsid w:val="00FD0E97"/>
    <w:rsid w:val="00FD360B"/>
    <w:rsid w:val="00FD3A84"/>
    <w:rsid w:val="00FD44B3"/>
    <w:rsid w:val="00FD5FEE"/>
    <w:rsid w:val="00FD670D"/>
    <w:rsid w:val="00FE0CDE"/>
    <w:rsid w:val="00FE4424"/>
    <w:rsid w:val="00FE4834"/>
    <w:rsid w:val="00FE59A8"/>
    <w:rsid w:val="00FE66C7"/>
    <w:rsid w:val="00FE6773"/>
    <w:rsid w:val="00FE72F0"/>
    <w:rsid w:val="00FE7CFD"/>
    <w:rsid w:val="00FF0CCF"/>
    <w:rsid w:val="00FF147D"/>
    <w:rsid w:val="00FF1F82"/>
    <w:rsid w:val="00FF254A"/>
    <w:rsid w:val="00FF2977"/>
    <w:rsid w:val="00FF33FE"/>
    <w:rsid w:val="00FF4A1E"/>
    <w:rsid w:val="00FF673E"/>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qFormat="1"/>
    <w:lsdException w:name="Title" w:qFormat="1"/>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97A"/>
    <w:pPr>
      <w:widowControl w:val="0"/>
    </w:pPr>
    <w:rPr>
      <w:snapToGrid w:val="0"/>
      <w:kern w:val="28"/>
      <w:sz w:val="22"/>
    </w:rPr>
  </w:style>
  <w:style w:type="paragraph" w:styleId="Heading1">
    <w:name w:val="heading 1"/>
    <w:basedOn w:val="Normal"/>
    <w:next w:val="ParaNum"/>
    <w:link w:val="Heading1Char"/>
    <w:qFormat/>
    <w:rsid w:val="00F2797A"/>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eading 2 Char1 Char Char,Heading 2 Char Char Char Char,Heading 2 Char1,Heading 2 Char1 Char Char1,Heading 2 Char1 Char Char Char Char1 Char,Heading 2 Char Char Char Char Char Char1 Char,Heading 2 Char1 Char Char1 Char Char"/>
    <w:basedOn w:val="Normal"/>
    <w:next w:val="ParaNum"/>
    <w:link w:val="Heading2Char2"/>
    <w:autoRedefine/>
    <w:qFormat/>
    <w:rsid w:val="00F2797A"/>
    <w:pPr>
      <w:keepNext/>
      <w:numPr>
        <w:ilvl w:val="1"/>
        <w:numId w:val="6"/>
      </w:numPr>
      <w:spacing w:after="120"/>
      <w:outlineLvl w:val="1"/>
    </w:pPr>
    <w:rPr>
      <w:b/>
    </w:rPr>
  </w:style>
  <w:style w:type="paragraph" w:styleId="Heading3">
    <w:name w:val="heading 3"/>
    <w:basedOn w:val="Normal"/>
    <w:next w:val="ParaNum"/>
    <w:link w:val="Heading3Char"/>
    <w:qFormat/>
    <w:rsid w:val="00F2797A"/>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F2797A"/>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F2797A"/>
    <w:pPr>
      <w:keepNext/>
      <w:numPr>
        <w:ilvl w:val="4"/>
        <w:numId w:val="6"/>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F2797A"/>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F2797A"/>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F2797A"/>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2797A"/>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1FF3"/>
    <w:pPr>
      <w:spacing w:before="120" w:after="120"/>
    </w:pPr>
    <w:rPr>
      <w:b/>
    </w:rPr>
  </w:style>
  <w:style w:type="paragraph" w:customStyle="1" w:styleId="ParaNum">
    <w:name w:val="ParaNum"/>
    <w:basedOn w:val="Normal"/>
    <w:link w:val="ParaNumChar1"/>
    <w:rsid w:val="00F2797A"/>
    <w:pPr>
      <w:numPr>
        <w:numId w:val="5"/>
      </w:numPr>
      <w:tabs>
        <w:tab w:val="clear" w:pos="1080"/>
        <w:tab w:val="num" w:pos="1440"/>
      </w:tabs>
      <w:spacing w:after="120"/>
    </w:pPr>
  </w:style>
  <w:style w:type="paragraph" w:styleId="FootnoteText">
    <w:name w:val="footnote text"/>
    <w:aliases w:val="Footnote Text Char2,Footnote Text Char Char,Footnote Text Char1 Char Char1,Footnote Text Char Char1 Char Char,Footnote Text Char3 Char Char Char Char,Footnote Text Char Char Char1 Char Char Char,rrfootnote,ALTS FOOTNOTE,fn,Footnote Text Ch"/>
    <w:link w:val="FootnoteTextChar"/>
    <w:rsid w:val="00F2797A"/>
    <w:pPr>
      <w:spacing w:after="120"/>
    </w:pPr>
  </w:style>
  <w:style w:type="paragraph" w:customStyle="1" w:styleId="Bullet">
    <w:name w:val="Bullet"/>
    <w:basedOn w:val="Normal"/>
    <w:rsid w:val="00F2797A"/>
    <w:pPr>
      <w:numPr>
        <w:numId w:val="1"/>
      </w:numPr>
      <w:tabs>
        <w:tab w:val="left" w:pos="2160"/>
      </w:tabs>
      <w:spacing w:after="220"/>
      <w:ind w:left="2160" w:hanging="720"/>
    </w:pPr>
  </w:style>
  <w:style w:type="paragraph" w:styleId="BlockText">
    <w:name w:val="Block Text"/>
    <w:basedOn w:val="Normal"/>
    <w:rsid w:val="00F2797A"/>
    <w:pPr>
      <w:spacing w:after="240"/>
      <w:ind w:left="1440" w:right="1440"/>
    </w:pPr>
  </w:style>
  <w:style w:type="paragraph" w:customStyle="1" w:styleId="TableFormat">
    <w:name w:val="TableFormat"/>
    <w:basedOn w:val="Bullet"/>
    <w:rsid w:val="00F2797A"/>
    <w:pPr>
      <w:numPr>
        <w:numId w:val="0"/>
      </w:numPr>
      <w:tabs>
        <w:tab w:val="clear" w:pos="2160"/>
        <w:tab w:val="left" w:pos="5040"/>
      </w:tabs>
      <w:ind w:left="5040" w:hanging="3600"/>
    </w:pPr>
  </w:style>
  <w:style w:type="character" w:styleId="FootnoteReference">
    <w:name w:val="footnote reference"/>
    <w:aliases w:val="Style 12,(NECG) Footnote Reference,Appel note de bas de p,Style 124,Style 4,Style 13,o,fr,Style 3,FR,Style 17,Footnote Reference/,Style 6"/>
    <w:basedOn w:val="DefaultParagraphFont"/>
    <w:semiHidden/>
    <w:rsid w:val="00F2797A"/>
    <w:rPr>
      <w:rFonts w:ascii="Times New Roman" w:hAnsi="Times New Roman"/>
      <w:dstrike w:val="0"/>
      <w:color w:val="auto"/>
      <w:sz w:val="22"/>
      <w:vertAlign w:val="superscript"/>
    </w:rPr>
  </w:style>
  <w:style w:type="paragraph" w:styleId="Header">
    <w:name w:val="header"/>
    <w:basedOn w:val="Normal"/>
    <w:link w:val="HeaderChar"/>
    <w:autoRedefine/>
    <w:rsid w:val="0042179F"/>
    <w:pPr>
      <w:tabs>
        <w:tab w:val="center" w:pos="4680"/>
        <w:tab w:val="right" w:pos="9360"/>
      </w:tabs>
    </w:pPr>
    <w:rPr>
      <w:b/>
      <w:u w:val="single"/>
    </w:rPr>
  </w:style>
  <w:style w:type="paragraph" w:styleId="Footer">
    <w:name w:val="footer"/>
    <w:basedOn w:val="Normal"/>
    <w:link w:val="FooterChar"/>
    <w:rsid w:val="00F2797A"/>
    <w:pPr>
      <w:tabs>
        <w:tab w:val="center" w:pos="4320"/>
        <w:tab w:val="right" w:pos="8640"/>
      </w:tabs>
    </w:pPr>
  </w:style>
  <w:style w:type="paragraph" w:styleId="TOC2">
    <w:name w:val="toc 2"/>
    <w:basedOn w:val="Normal"/>
    <w:next w:val="Normal"/>
    <w:rsid w:val="00F2797A"/>
    <w:pPr>
      <w:tabs>
        <w:tab w:val="left" w:pos="720"/>
        <w:tab w:val="right" w:leader="dot" w:pos="9360"/>
      </w:tabs>
      <w:suppressAutoHyphens/>
      <w:ind w:left="720" w:right="720" w:hanging="360"/>
    </w:pPr>
    <w:rPr>
      <w:noProof/>
    </w:rPr>
  </w:style>
  <w:style w:type="paragraph" w:customStyle="1" w:styleId="NumberedList">
    <w:name w:val="Numbered List"/>
    <w:basedOn w:val="Normal"/>
    <w:rsid w:val="00561FF3"/>
    <w:pPr>
      <w:numPr>
        <w:numId w:val="2"/>
      </w:numPr>
      <w:tabs>
        <w:tab w:val="clear" w:pos="1080"/>
      </w:tabs>
      <w:spacing w:after="220"/>
      <w:ind w:firstLine="0"/>
    </w:pPr>
  </w:style>
  <w:style w:type="paragraph" w:styleId="TOC1">
    <w:name w:val="toc 1"/>
    <w:basedOn w:val="Normal"/>
    <w:next w:val="Normal"/>
    <w:rsid w:val="00F2797A"/>
    <w:pPr>
      <w:tabs>
        <w:tab w:val="left" w:pos="360"/>
        <w:tab w:val="right" w:leader="dot" w:pos="9360"/>
      </w:tabs>
      <w:suppressAutoHyphens/>
      <w:ind w:left="360" w:right="720" w:hanging="360"/>
    </w:pPr>
    <w:rPr>
      <w:caps/>
      <w:noProof/>
    </w:rPr>
  </w:style>
  <w:style w:type="paragraph" w:styleId="TOC3">
    <w:name w:val="toc 3"/>
    <w:basedOn w:val="Normal"/>
    <w:next w:val="Normal"/>
    <w:rsid w:val="00F2797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2797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2797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2797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2797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2797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2797A"/>
    <w:pPr>
      <w:tabs>
        <w:tab w:val="left" w:pos="3240"/>
        <w:tab w:val="right" w:leader="dot" w:pos="9360"/>
      </w:tabs>
      <w:suppressAutoHyphens/>
      <w:ind w:left="3240" w:hanging="360"/>
    </w:pPr>
    <w:rPr>
      <w:noProof/>
    </w:rPr>
  </w:style>
  <w:style w:type="character" w:styleId="PageNumber">
    <w:name w:val="page number"/>
    <w:basedOn w:val="DefaultParagraphFont"/>
    <w:rsid w:val="00F2797A"/>
  </w:style>
  <w:style w:type="paragraph" w:styleId="Title">
    <w:name w:val="Title"/>
    <w:basedOn w:val="Normal"/>
    <w:link w:val="TitleChar"/>
    <w:qFormat/>
    <w:rsid w:val="00561FF3"/>
    <w:pPr>
      <w:jc w:val="center"/>
    </w:pPr>
    <w:rPr>
      <w:b/>
    </w:rPr>
  </w:style>
  <w:style w:type="paragraph" w:customStyle="1" w:styleId="StyleBoldCentered">
    <w:name w:val="Style Bold Centered"/>
    <w:basedOn w:val="Normal"/>
    <w:rsid w:val="00F2797A"/>
    <w:pPr>
      <w:jc w:val="center"/>
    </w:pPr>
    <w:rPr>
      <w:rFonts w:ascii="Times New Roman Bold" w:hAnsi="Times New Roman Bold"/>
      <w:b/>
      <w:bCs/>
      <w:caps/>
      <w:szCs w:val="22"/>
    </w:rPr>
  </w:style>
  <w:style w:type="paragraph" w:styleId="EndnoteText">
    <w:name w:val="endnote text"/>
    <w:basedOn w:val="Normal"/>
    <w:link w:val="EndnoteTextChar"/>
    <w:semiHidden/>
    <w:rsid w:val="00F2797A"/>
    <w:rPr>
      <w:sz w:val="20"/>
    </w:rPr>
  </w:style>
  <w:style w:type="character" w:customStyle="1" w:styleId="FootnoteTextChar">
    <w:name w:val="Footnote Text Char"/>
    <w:aliases w:val="Footnote Text Char2 Char,Footnote Text Char Char Char,Footnote Text Char1 Char Char1 Char,Footnote Text Char Char1 Char Char Char,Footnote Text Char3 Char Char Char Char Char,Footnote Text Char Char Char1 Char Char Char Char,fn Char"/>
    <w:link w:val="FootnoteText"/>
    <w:rsid w:val="004777BD"/>
  </w:style>
  <w:style w:type="character" w:customStyle="1" w:styleId="ParaNumChar1">
    <w:name w:val="ParaNum Char1"/>
    <w:link w:val="ParaNum"/>
    <w:locked/>
    <w:rsid w:val="004777BD"/>
    <w:rPr>
      <w:snapToGrid w:val="0"/>
      <w:kern w:val="28"/>
      <w:sz w:val="22"/>
    </w:rPr>
  </w:style>
  <w:style w:type="numbering" w:customStyle="1" w:styleId="Style1">
    <w:name w:val="Style1"/>
    <w:uiPriority w:val="99"/>
    <w:rsid w:val="004777BD"/>
    <w:pPr>
      <w:numPr>
        <w:numId w:val="3"/>
      </w:numPr>
    </w:pPr>
  </w:style>
  <w:style w:type="character" w:styleId="Hyperlink">
    <w:name w:val="Hyperlink"/>
    <w:basedOn w:val="DefaultParagraphFont"/>
    <w:rsid w:val="00F2797A"/>
    <w:rPr>
      <w:color w:val="0000FF"/>
      <w:u w:val="single"/>
    </w:rPr>
  </w:style>
  <w:style w:type="paragraph" w:customStyle="1" w:styleId="Paranum0">
    <w:name w:val="Paranum"/>
    <w:rsid w:val="00863A53"/>
    <w:pPr>
      <w:numPr>
        <w:numId w:val="4"/>
      </w:numPr>
      <w:tabs>
        <w:tab w:val="left" w:pos="1440"/>
      </w:tabs>
      <w:spacing w:after="240"/>
      <w:jc w:val="both"/>
    </w:pPr>
    <w:rPr>
      <w:sz w:val="22"/>
    </w:rPr>
  </w:style>
  <w:style w:type="character" w:customStyle="1" w:styleId="ParaNumChar">
    <w:name w:val="ParaNum Char"/>
    <w:locked/>
    <w:rsid w:val="00344968"/>
    <w:rPr>
      <w:kern w:val="28"/>
      <w:sz w:val="22"/>
    </w:rPr>
  </w:style>
  <w:style w:type="paragraph" w:styleId="NormalWeb">
    <w:name w:val="Normal (Web)"/>
    <w:basedOn w:val="Normal"/>
    <w:uiPriority w:val="99"/>
    <w:rsid w:val="007764D3"/>
    <w:rPr>
      <w:sz w:val="24"/>
      <w:szCs w:val="24"/>
    </w:rPr>
  </w:style>
  <w:style w:type="character" w:styleId="Emphasis">
    <w:name w:val="Emphasis"/>
    <w:qFormat/>
    <w:rsid w:val="007764D3"/>
    <w:rPr>
      <w:i/>
      <w:iCs/>
    </w:rPr>
  </w:style>
  <w:style w:type="paragraph" w:styleId="BalloonText">
    <w:name w:val="Balloon Text"/>
    <w:basedOn w:val="Normal"/>
    <w:link w:val="BalloonTextChar"/>
    <w:uiPriority w:val="99"/>
    <w:rsid w:val="00816893"/>
    <w:rPr>
      <w:rFonts w:ascii="Tahoma" w:hAnsi="Tahoma"/>
      <w:sz w:val="16"/>
      <w:szCs w:val="16"/>
    </w:rPr>
  </w:style>
  <w:style w:type="character" w:customStyle="1" w:styleId="BalloonTextChar">
    <w:name w:val="Balloon Text Char"/>
    <w:link w:val="BalloonText"/>
    <w:uiPriority w:val="99"/>
    <w:rsid w:val="00816893"/>
    <w:rPr>
      <w:rFonts w:ascii="Tahoma" w:hAnsi="Tahoma" w:cs="Tahoma"/>
      <w:sz w:val="16"/>
      <w:szCs w:val="16"/>
    </w:rPr>
  </w:style>
  <w:style w:type="character" w:styleId="CommentReference">
    <w:name w:val="annotation reference"/>
    <w:rsid w:val="004849EA"/>
    <w:rPr>
      <w:sz w:val="16"/>
      <w:szCs w:val="16"/>
    </w:rPr>
  </w:style>
  <w:style w:type="paragraph" w:styleId="CommentText">
    <w:name w:val="annotation text"/>
    <w:basedOn w:val="Normal"/>
    <w:link w:val="CommentTextChar"/>
    <w:rsid w:val="004849EA"/>
    <w:rPr>
      <w:sz w:val="20"/>
    </w:rPr>
  </w:style>
  <w:style w:type="character" w:customStyle="1" w:styleId="CommentTextChar">
    <w:name w:val="Comment Text Char"/>
    <w:basedOn w:val="DefaultParagraphFont"/>
    <w:link w:val="CommentText"/>
    <w:rsid w:val="004849EA"/>
  </w:style>
  <w:style w:type="paragraph" w:styleId="CommentSubject">
    <w:name w:val="annotation subject"/>
    <w:basedOn w:val="CommentText"/>
    <w:next w:val="CommentText"/>
    <w:link w:val="CommentSubjectChar"/>
    <w:rsid w:val="004849EA"/>
    <w:rPr>
      <w:b/>
      <w:bCs/>
    </w:rPr>
  </w:style>
  <w:style w:type="character" w:customStyle="1" w:styleId="CommentSubjectChar">
    <w:name w:val="Comment Subject Char"/>
    <w:link w:val="CommentSubject"/>
    <w:rsid w:val="004849EA"/>
    <w:rPr>
      <w:b/>
      <w:bCs/>
    </w:rPr>
  </w:style>
  <w:style w:type="paragraph" w:customStyle="1" w:styleId="ColorfulShading-Accent11">
    <w:name w:val="Colorful Shading - Accent 11"/>
    <w:hidden/>
    <w:uiPriority w:val="99"/>
    <w:semiHidden/>
    <w:rsid w:val="004849EA"/>
    <w:rPr>
      <w:sz w:val="22"/>
    </w:rPr>
  </w:style>
  <w:style w:type="paragraph" w:customStyle="1" w:styleId="1">
    <w:name w:val="1"/>
    <w:basedOn w:val="Heading1"/>
    <w:next w:val="Normal"/>
    <w:uiPriority w:val="39"/>
    <w:unhideWhenUsed/>
    <w:qFormat/>
    <w:rsid w:val="00CC56FF"/>
    <w:pPr>
      <w:keepLines/>
      <w:widowControl/>
      <w:numPr>
        <w:numId w:val="0"/>
      </w:numPr>
      <w:tabs>
        <w:tab w:val="left" w:pos="720"/>
      </w:tabs>
      <w:suppressAutoHyphens w:val="0"/>
      <w:spacing w:before="480" w:after="0" w:line="276" w:lineRule="auto"/>
      <w:outlineLvl w:val="9"/>
    </w:pPr>
    <w:rPr>
      <w:rFonts w:ascii="Cambria" w:hAnsi="Cambria"/>
      <w:bCs/>
      <w:caps w:val="0"/>
      <w:color w:val="365F91"/>
      <w:sz w:val="28"/>
      <w:szCs w:val="28"/>
    </w:rPr>
  </w:style>
  <w:style w:type="character" w:customStyle="1" w:styleId="documentbody1">
    <w:name w:val="documentbody1"/>
    <w:rsid w:val="00FA04DD"/>
    <w:rPr>
      <w:rFonts w:ascii="Verdana" w:hAnsi="Verdana" w:cs="Times New Roman"/>
      <w:sz w:val="19"/>
      <w:szCs w:val="19"/>
    </w:rPr>
  </w:style>
  <w:style w:type="character" w:customStyle="1" w:styleId="Footnote">
    <w:name w:val="Footnote"/>
    <w:rsid w:val="00AF7FCC"/>
  </w:style>
  <w:style w:type="character" w:customStyle="1" w:styleId="FootnoteTextChar4">
    <w:name w:val="Footnote Text Char4"/>
    <w:aliases w:val="Footnote Text Char2 Char3,Footnote Text Char Char4 Char3,Footnote Text Char2 Char Char Char3,Footnote Text Char1 Char1 Char Char Char4,Footnote Text Char Char Char Char Char Char4,Footnote Text Char1 Char Char Char Char Char Char1"/>
    <w:rsid w:val="00AF7FCC"/>
    <w:rPr>
      <w:rFonts w:cs="Times New Roman"/>
      <w:lang w:val="en-US" w:eastAsia="en-US" w:bidi="ar-SA"/>
    </w:rPr>
  </w:style>
  <w:style w:type="character" w:customStyle="1" w:styleId="Unnamed1">
    <w:name w:val="Unnamed 1"/>
    <w:rsid w:val="00CB7520"/>
    <w:rPr>
      <w:rFonts w:ascii="Courier New" w:hAnsi="Courier New" w:cs="Courier New"/>
      <w:sz w:val="24"/>
      <w:lang w:val="en-US"/>
    </w:rPr>
  </w:style>
  <w:style w:type="character" w:customStyle="1" w:styleId="footnote0">
    <w:name w:val="footnote"/>
    <w:rsid w:val="00CB7520"/>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CB7520"/>
    <w:rPr>
      <w:rFonts w:cs="Times New Roman"/>
      <w:lang w:val="en-US" w:eastAsia="en-US" w:bidi="ar-SA"/>
    </w:rPr>
  </w:style>
  <w:style w:type="character" w:customStyle="1" w:styleId="Heading2CharChar2">
    <w:name w:val="Heading 2 Char Char2"/>
    <w:rsid w:val="00CB7520"/>
    <w:rPr>
      <w:rFonts w:cs="Times New Roman"/>
      <w:b/>
      <w:snapToGrid w:val="0"/>
      <w:kern w:val="28"/>
      <w:sz w:val="24"/>
      <w:lang w:val="en-US" w:eastAsia="en-US" w:bidi="ar-SA"/>
    </w:rPr>
  </w:style>
  <w:style w:type="character" w:customStyle="1" w:styleId="StyleFootnoteReferenceStyle13Style12NECGFootnoteReferenc">
    <w:name w:val="Style Footnote ReferenceStyle 13Style 12(NECG) Footnote Referenc..."/>
    <w:rsid w:val="00CB7520"/>
    <w:rPr>
      <w:rFonts w:ascii="Times New Roman" w:hAnsi="Times New Roman"/>
      <w:dstrike w:val="0"/>
      <w:color w:val="auto"/>
      <w:sz w:val="20"/>
      <w:vertAlign w:val="superscript"/>
    </w:rPr>
  </w:style>
  <w:style w:type="character" w:customStyle="1" w:styleId="StyleFootnoteReferenceStyle13Style12NECGFootnoteReferenc1">
    <w:name w:val="Style Footnote ReferenceStyle 13Style 12(NECG) Footnote Referenc...1"/>
    <w:rsid w:val="00CB7520"/>
    <w:rPr>
      <w:rFonts w:ascii="Times New Roman" w:hAnsi="Times New Roman"/>
      <w:dstrike w:val="0"/>
      <w:color w:val="auto"/>
      <w:sz w:val="20"/>
      <w:vertAlign w:val="superscript"/>
    </w:rPr>
  </w:style>
  <w:style w:type="character" w:customStyle="1" w:styleId="FooterChar">
    <w:name w:val="Footer Char"/>
    <w:link w:val="Footer"/>
    <w:rsid w:val="002C1DE0"/>
    <w:rPr>
      <w:snapToGrid w:val="0"/>
      <w:kern w:val="28"/>
      <w:sz w:val="22"/>
    </w:rPr>
  </w:style>
  <w:style w:type="paragraph" w:customStyle="1" w:styleId="TOCHeading1">
    <w:name w:val="TOC Heading1"/>
    <w:basedOn w:val="Heading1"/>
    <w:next w:val="Normal"/>
    <w:uiPriority w:val="39"/>
    <w:qFormat/>
    <w:rsid w:val="00CC56FF"/>
    <w:pPr>
      <w:keepLines/>
      <w:widowControl/>
      <w:numPr>
        <w:numId w:val="0"/>
      </w:numPr>
      <w:tabs>
        <w:tab w:val="left" w:pos="720"/>
      </w:tabs>
      <w:suppressAutoHyphens w:val="0"/>
      <w:spacing w:before="480" w:after="0" w:line="276" w:lineRule="auto"/>
      <w:outlineLvl w:val="9"/>
    </w:pPr>
    <w:rPr>
      <w:rFonts w:ascii="Cambria" w:eastAsia="MS Gothic" w:hAnsi="Cambria"/>
      <w:bCs/>
      <w:caps w:val="0"/>
      <w:color w:val="365F91"/>
      <w:sz w:val="28"/>
      <w:szCs w:val="28"/>
      <w:lang w:eastAsia="ja-JP"/>
    </w:rPr>
  </w:style>
  <w:style w:type="paragraph" w:styleId="Revision">
    <w:name w:val="Revision"/>
    <w:hidden/>
    <w:uiPriority w:val="99"/>
    <w:semiHidden/>
    <w:rsid w:val="00524431"/>
    <w:rPr>
      <w:sz w:val="22"/>
    </w:rPr>
  </w:style>
  <w:style w:type="character" w:customStyle="1" w:styleId="SC465550">
    <w:name w:val="SC.4.65550"/>
    <w:uiPriority w:val="99"/>
    <w:rsid w:val="00B358A1"/>
    <w:rPr>
      <w:rFonts w:ascii="OMDAA K+ Century" w:hAnsi="OMDAA K+ Century" w:cs="OMDAA K+ Century" w:hint="default"/>
      <w:color w:val="000000"/>
      <w:sz w:val="20"/>
      <w:szCs w:val="20"/>
    </w:rPr>
  </w:style>
  <w:style w:type="character" w:customStyle="1" w:styleId="HeaderChar">
    <w:name w:val="Header Char"/>
    <w:basedOn w:val="DefaultParagraphFont"/>
    <w:link w:val="Header"/>
    <w:rsid w:val="0042179F"/>
    <w:rPr>
      <w:b/>
      <w:snapToGrid w:val="0"/>
      <w:kern w:val="28"/>
      <w:sz w:val="22"/>
      <w:u w:val="single"/>
    </w:rPr>
  </w:style>
  <w:style w:type="character" w:styleId="FollowedHyperlink">
    <w:name w:val="FollowedHyperlink"/>
    <w:basedOn w:val="DefaultParagraphFont"/>
    <w:rsid w:val="0036742D"/>
    <w:rPr>
      <w:color w:val="800080" w:themeColor="followedHyperlink"/>
      <w:u w:val="single"/>
    </w:rPr>
  </w:style>
  <w:style w:type="character" w:customStyle="1" w:styleId="Heading1Char">
    <w:name w:val="Heading 1 Char"/>
    <w:basedOn w:val="DefaultParagraphFont"/>
    <w:link w:val="Heading1"/>
    <w:rsid w:val="009549AB"/>
    <w:rPr>
      <w:rFonts w:ascii="Times New Roman Bold" w:hAnsi="Times New Roman Bold"/>
      <w:b/>
      <w:caps/>
      <w:snapToGrid w:val="0"/>
      <w:kern w:val="28"/>
      <w:sz w:val="22"/>
    </w:rPr>
  </w:style>
  <w:style w:type="character" w:customStyle="1" w:styleId="Heading2Char2">
    <w:name w:val="Heading 2 Char2"/>
    <w:aliases w:val="Heading 2 Char Char,Heading 2 Char1 Char Char Char,Heading 2 Char Char Char Char Char,Heading 2 Char1 Char,Heading 2 Char1 Char Char1 Char,Heading 2 Char1 Char Char Char Char1 Char Char,Heading 2 Char Char Char Char Char Char1 Char Char"/>
    <w:basedOn w:val="DefaultParagraphFont"/>
    <w:link w:val="Heading2"/>
    <w:rsid w:val="00021D5D"/>
    <w:rPr>
      <w:b/>
      <w:snapToGrid w:val="0"/>
      <w:kern w:val="28"/>
      <w:sz w:val="22"/>
    </w:rPr>
  </w:style>
  <w:style w:type="character" w:customStyle="1" w:styleId="Heading3Char">
    <w:name w:val="Heading 3 Char"/>
    <w:basedOn w:val="DefaultParagraphFont"/>
    <w:link w:val="Heading3"/>
    <w:rsid w:val="009549AB"/>
    <w:rPr>
      <w:b/>
      <w:snapToGrid w:val="0"/>
      <w:kern w:val="28"/>
      <w:sz w:val="22"/>
    </w:rPr>
  </w:style>
  <w:style w:type="character" w:customStyle="1" w:styleId="Heading4Char">
    <w:name w:val="Heading 4 Char"/>
    <w:basedOn w:val="DefaultParagraphFont"/>
    <w:link w:val="Heading4"/>
    <w:rsid w:val="009549AB"/>
    <w:rPr>
      <w:b/>
      <w:snapToGrid w:val="0"/>
      <w:kern w:val="28"/>
      <w:sz w:val="22"/>
    </w:rPr>
  </w:style>
  <w:style w:type="character" w:customStyle="1" w:styleId="Heading5Char">
    <w:name w:val="Heading 5 Char"/>
    <w:basedOn w:val="DefaultParagraphFont"/>
    <w:link w:val="Heading5"/>
    <w:rsid w:val="009549AB"/>
    <w:rPr>
      <w:b/>
      <w:snapToGrid w:val="0"/>
      <w:kern w:val="28"/>
      <w:sz w:val="22"/>
    </w:rPr>
  </w:style>
  <w:style w:type="character" w:customStyle="1" w:styleId="Heading6Char">
    <w:name w:val="Heading 6 Char"/>
    <w:aliases w:val="h6 Char"/>
    <w:basedOn w:val="DefaultParagraphFont"/>
    <w:link w:val="Heading6"/>
    <w:rsid w:val="009549AB"/>
    <w:rPr>
      <w:b/>
      <w:snapToGrid w:val="0"/>
      <w:kern w:val="28"/>
      <w:sz w:val="22"/>
    </w:rPr>
  </w:style>
  <w:style w:type="character" w:customStyle="1" w:styleId="Heading7Char">
    <w:name w:val="Heading 7 Char"/>
    <w:basedOn w:val="DefaultParagraphFont"/>
    <w:link w:val="Heading7"/>
    <w:rsid w:val="009549AB"/>
    <w:rPr>
      <w:b/>
      <w:snapToGrid w:val="0"/>
      <w:kern w:val="28"/>
      <w:sz w:val="22"/>
    </w:rPr>
  </w:style>
  <w:style w:type="character" w:customStyle="1" w:styleId="Heading8Char">
    <w:name w:val="Heading 8 Char"/>
    <w:basedOn w:val="DefaultParagraphFont"/>
    <w:link w:val="Heading8"/>
    <w:rsid w:val="009549AB"/>
    <w:rPr>
      <w:b/>
      <w:snapToGrid w:val="0"/>
      <w:kern w:val="28"/>
      <w:sz w:val="22"/>
    </w:rPr>
  </w:style>
  <w:style w:type="character" w:customStyle="1" w:styleId="Heading9Char">
    <w:name w:val="Heading 9 Char"/>
    <w:basedOn w:val="DefaultParagraphFont"/>
    <w:link w:val="Heading9"/>
    <w:rsid w:val="009549AB"/>
    <w:rPr>
      <w:b/>
      <w:snapToGrid w:val="0"/>
      <w:kern w:val="28"/>
      <w:sz w:val="22"/>
    </w:rPr>
  </w:style>
  <w:style w:type="character" w:customStyle="1" w:styleId="TitleChar">
    <w:name w:val="Title Char"/>
    <w:basedOn w:val="DefaultParagraphFont"/>
    <w:link w:val="Title"/>
    <w:rsid w:val="009549AB"/>
    <w:rPr>
      <w:b/>
      <w:sz w:val="22"/>
    </w:rPr>
  </w:style>
  <w:style w:type="character" w:customStyle="1" w:styleId="EndnoteTextChar">
    <w:name w:val="Endnote Text Char"/>
    <w:basedOn w:val="DefaultParagraphFont"/>
    <w:link w:val="EndnoteText"/>
    <w:semiHidden/>
    <w:rsid w:val="009549AB"/>
    <w:rPr>
      <w:snapToGrid w:val="0"/>
      <w:kern w:val="28"/>
    </w:rPr>
  </w:style>
  <w:style w:type="paragraph" w:styleId="TOCHeading">
    <w:name w:val="TOC Heading"/>
    <w:basedOn w:val="Heading1"/>
    <w:next w:val="Normal"/>
    <w:uiPriority w:val="39"/>
    <w:unhideWhenUsed/>
    <w:qFormat/>
    <w:rsid w:val="00B17FE2"/>
    <w:pPr>
      <w:keepLines/>
      <w:widowControl/>
      <w:numPr>
        <w:numId w:val="0"/>
      </w:numPr>
      <w:tabs>
        <w:tab w:val="left" w:pos="720"/>
      </w:tabs>
      <w:suppressAutoHyphens w:val="0"/>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character" w:styleId="EndnoteReference">
    <w:name w:val="endnote reference"/>
    <w:basedOn w:val="DefaultParagraphFont"/>
    <w:rsid w:val="00F2797A"/>
    <w:rPr>
      <w:vertAlign w:val="superscript"/>
    </w:rPr>
  </w:style>
  <w:style w:type="paragraph" w:styleId="TOAHeading">
    <w:name w:val="toa heading"/>
    <w:basedOn w:val="Normal"/>
    <w:next w:val="Normal"/>
    <w:rsid w:val="00F2797A"/>
    <w:pPr>
      <w:tabs>
        <w:tab w:val="right" w:pos="9360"/>
      </w:tabs>
      <w:suppressAutoHyphens/>
    </w:pPr>
  </w:style>
  <w:style w:type="character" w:customStyle="1" w:styleId="EquationCaption">
    <w:name w:val="_Equation Caption"/>
    <w:rsid w:val="00F2797A"/>
  </w:style>
  <w:style w:type="paragraph" w:customStyle="1" w:styleId="Paratitle">
    <w:name w:val="Para title"/>
    <w:basedOn w:val="Normal"/>
    <w:rsid w:val="00F2797A"/>
    <w:pPr>
      <w:tabs>
        <w:tab w:val="center" w:pos="9270"/>
      </w:tabs>
      <w:spacing w:after="240"/>
    </w:pPr>
    <w:rPr>
      <w:spacing w:val="-2"/>
    </w:rPr>
  </w:style>
  <w:style w:type="paragraph" w:customStyle="1" w:styleId="TOCTitle">
    <w:name w:val="TOC Title"/>
    <w:basedOn w:val="Normal"/>
    <w:rsid w:val="00F2797A"/>
    <w:pPr>
      <w:spacing w:before="240" w:after="240"/>
      <w:jc w:val="center"/>
    </w:pPr>
    <w:rPr>
      <w:rFonts w:ascii="Times New Roman Bold" w:hAnsi="Times New Roman Bold"/>
      <w:b/>
      <w:caps/>
      <w:spacing w:val="-2"/>
    </w:rPr>
  </w:style>
  <w:style w:type="paragraph" w:styleId="ListParagraph">
    <w:name w:val="List Paragraph"/>
    <w:basedOn w:val="Normal"/>
    <w:uiPriority w:val="34"/>
    <w:qFormat/>
    <w:rsid w:val="001B1B0F"/>
    <w:pPr>
      <w:ind w:left="720"/>
      <w:contextualSpacing/>
    </w:pPr>
  </w:style>
  <w:style w:type="table" w:styleId="TableGrid">
    <w:name w:val="Table Grid"/>
    <w:basedOn w:val="TableNormal"/>
    <w:uiPriority w:val="59"/>
    <w:rsid w:val="002A2B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E7210"/>
    <w:pPr>
      <w:snapToGrid w:val="0"/>
      <w:spacing w:after="120"/>
    </w:pPr>
    <w:rPr>
      <w:snapToGrid/>
      <w:sz w:val="24"/>
    </w:rPr>
  </w:style>
  <w:style w:type="character" w:customStyle="1" w:styleId="BodyTextChar">
    <w:name w:val="Body Text Char"/>
    <w:basedOn w:val="DefaultParagraphFont"/>
    <w:link w:val="BodyText"/>
    <w:rsid w:val="008E7210"/>
    <w:rPr>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qFormat="1"/>
    <w:lsdException w:name="Title" w:qFormat="1"/>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97A"/>
    <w:pPr>
      <w:widowControl w:val="0"/>
    </w:pPr>
    <w:rPr>
      <w:snapToGrid w:val="0"/>
      <w:kern w:val="28"/>
      <w:sz w:val="22"/>
    </w:rPr>
  </w:style>
  <w:style w:type="paragraph" w:styleId="Heading1">
    <w:name w:val="heading 1"/>
    <w:basedOn w:val="Normal"/>
    <w:next w:val="ParaNum"/>
    <w:link w:val="Heading1Char"/>
    <w:qFormat/>
    <w:rsid w:val="00F2797A"/>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eading 2 Char1 Char Char,Heading 2 Char Char Char Char,Heading 2 Char1,Heading 2 Char1 Char Char1,Heading 2 Char1 Char Char Char Char1 Char,Heading 2 Char Char Char Char Char Char1 Char,Heading 2 Char1 Char Char1 Char Char"/>
    <w:basedOn w:val="Normal"/>
    <w:next w:val="ParaNum"/>
    <w:link w:val="Heading2Char2"/>
    <w:autoRedefine/>
    <w:qFormat/>
    <w:rsid w:val="00F2797A"/>
    <w:pPr>
      <w:keepNext/>
      <w:numPr>
        <w:ilvl w:val="1"/>
        <w:numId w:val="6"/>
      </w:numPr>
      <w:spacing w:after="120"/>
      <w:outlineLvl w:val="1"/>
    </w:pPr>
    <w:rPr>
      <w:b/>
    </w:rPr>
  </w:style>
  <w:style w:type="paragraph" w:styleId="Heading3">
    <w:name w:val="heading 3"/>
    <w:basedOn w:val="Normal"/>
    <w:next w:val="ParaNum"/>
    <w:link w:val="Heading3Char"/>
    <w:qFormat/>
    <w:rsid w:val="00F2797A"/>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F2797A"/>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F2797A"/>
    <w:pPr>
      <w:keepNext/>
      <w:numPr>
        <w:ilvl w:val="4"/>
        <w:numId w:val="6"/>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F2797A"/>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F2797A"/>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F2797A"/>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2797A"/>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1FF3"/>
    <w:pPr>
      <w:spacing w:before="120" w:after="120"/>
    </w:pPr>
    <w:rPr>
      <w:b/>
    </w:rPr>
  </w:style>
  <w:style w:type="paragraph" w:customStyle="1" w:styleId="ParaNum">
    <w:name w:val="ParaNum"/>
    <w:basedOn w:val="Normal"/>
    <w:link w:val="ParaNumChar1"/>
    <w:rsid w:val="00F2797A"/>
    <w:pPr>
      <w:numPr>
        <w:numId w:val="5"/>
      </w:numPr>
      <w:tabs>
        <w:tab w:val="clear" w:pos="1080"/>
        <w:tab w:val="num" w:pos="1440"/>
      </w:tabs>
      <w:spacing w:after="120"/>
    </w:pPr>
  </w:style>
  <w:style w:type="paragraph" w:styleId="FootnoteText">
    <w:name w:val="footnote text"/>
    <w:aliases w:val="Footnote Text Char2,Footnote Text Char Char,Footnote Text Char1 Char Char1,Footnote Text Char Char1 Char Char,Footnote Text Char3 Char Char Char Char,Footnote Text Char Char Char1 Char Char Char,rrfootnote,ALTS FOOTNOTE,fn,Footnote Text Ch"/>
    <w:link w:val="FootnoteTextChar"/>
    <w:rsid w:val="00F2797A"/>
    <w:pPr>
      <w:spacing w:after="120"/>
    </w:pPr>
  </w:style>
  <w:style w:type="paragraph" w:customStyle="1" w:styleId="Bullet">
    <w:name w:val="Bullet"/>
    <w:basedOn w:val="Normal"/>
    <w:rsid w:val="00F2797A"/>
    <w:pPr>
      <w:numPr>
        <w:numId w:val="1"/>
      </w:numPr>
      <w:tabs>
        <w:tab w:val="left" w:pos="2160"/>
      </w:tabs>
      <w:spacing w:after="220"/>
      <w:ind w:left="2160" w:hanging="720"/>
    </w:pPr>
  </w:style>
  <w:style w:type="paragraph" w:styleId="BlockText">
    <w:name w:val="Block Text"/>
    <w:basedOn w:val="Normal"/>
    <w:rsid w:val="00F2797A"/>
    <w:pPr>
      <w:spacing w:after="240"/>
      <w:ind w:left="1440" w:right="1440"/>
    </w:pPr>
  </w:style>
  <w:style w:type="paragraph" w:customStyle="1" w:styleId="TableFormat">
    <w:name w:val="TableFormat"/>
    <w:basedOn w:val="Bullet"/>
    <w:rsid w:val="00F2797A"/>
    <w:pPr>
      <w:numPr>
        <w:numId w:val="0"/>
      </w:numPr>
      <w:tabs>
        <w:tab w:val="clear" w:pos="2160"/>
        <w:tab w:val="left" w:pos="5040"/>
      </w:tabs>
      <w:ind w:left="5040" w:hanging="3600"/>
    </w:pPr>
  </w:style>
  <w:style w:type="character" w:styleId="FootnoteReference">
    <w:name w:val="footnote reference"/>
    <w:aliases w:val="Style 12,(NECG) Footnote Reference,Appel note de bas de p,Style 124,Style 4,Style 13,o,fr,Style 3,FR,Style 17,Footnote Reference/,Style 6"/>
    <w:basedOn w:val="DefaultParagraphFont"/>
    <w:semiHidden/>
    <w:rsid w:val="00F2797A"/>
    <w:rPr>
      <w:rFonts w:ascii="Times New Roman" w:hAnsi="Times New Roman"/>
      <w:dstrike w:val="0"/>
      <w:color w:val="auto"/>
      <w:sz w:val="22"/>
      <w:vertAlign w:val="superscript"/>
    </w:rPr>
  </w:style>
  <w:style w:type="paragraph" w:styleId="Header">
    <w:name w:val="header"/>
    <w:basedOn w:val="Normal"/>
    <w:link w:val="HeaderChar"/>
    <w:autoRedefine/>
    <w:rsid w:val="0042179F"/>
    <w:pPr>
      <w:tabs>
        <w:tab w:val="center" w:pos="4680"/>
        <w:tab w:val="right" w:pos="9360"/>
      </w:tabs>
    </w:pPr>
    <w:rPr>
      <w:b/>
      <w:u w:val="single"/>
    </w:rPr>
  </w:style>
  <w:style w:type="paragraph" w:styleId="Footer">
    <w:name w:val="footer"/>
    <w:basedOn w:val="Normal"/>
    <w:link w:val="FooterChar"/>
    <w:rsid w:val="00F2797A"/>
    <w:pPr>
      <w:tabs>
        <w:tab w:val="center" w:pos="4320"/>
        <w:tab w:val="right" w:pos="8640"/>
      </w:tabs>
    </w:pPr>
  </w:style>
  <w:style w:type="paragraph" w:styleId="TOC2">
    <w:name w:val="toc 2"/>
    <w:basedOn w:val="Normal"/>
    <w:next w:val="Normal"/>
    <w:rsid w:val="00F2797A"/>
    <w:pPr>
      <w:tabs>
        <w:tab w:val="left" w:pos="720"/>
        <w:tab w:val="right" w:leader="dot" w:pos="9360"/>
      </w:tabs>
      <w:suppressAutoHyphens/>
      <w:ind w:left="720" w:right="720" w:hanging="360"/>
    </w:pPr>
    <w:rPr>
      <w:noProof/>
    </w:rPr>
  </w:style>
  <w:style w:type="paragraph" w:customStyle="1" w:styleId="NumberedList">
    <w:name w:val="Numbered List"/>
    <w:basedOn w:val="Normal"/>
    <w:rsid w:val="00561FF3"/>
    <w:pPr>
      <w:numPr>
        <w:numId w:val="2"/>
      </w:numPr>
      <w:tabs>
        <w:tab w:val="clear" w:pos="1080"/>
      </w:tabs>
      <w:spacing w:after="220"/>
      <w:ind w:firstLine="0"/>
    </w:pPr>
  </w:style>
  <w:style w:type="paragraph" w:styleId="TOC1">
    <w:name w:val="toc 1"/>
    <w:basedOn w:val="Normal"/>
    <w:next w:val="Normal"/>
    <w:rsid w:val="00F2797A"/>
    <w:pPr>
      <w:tabs>
        <w:tab w:val="left" w:pos="360"/>
        <w:tab w:val="right" w:leader="dot" w:pos="9360"/>
      </w:tabs>
      <w:suppressAutoHyphens/>
      <w:ind w:left="360" w:right="720" w:hanging="360"/>
    </w:pPr>
    <w:rPr>
      <w:caps/>
      <w:noProof/>
    </w:rPr>
  </w:style>
  <w:style w:type="paragraph" w:styleId="TOC3">
    <w:name w:val="toc 3"/>
    <w:basedOn w:val="Normal"/>
    <w:next w:val="Normal"/>
    <w:rsid w:val="00F2797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2797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2797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2797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2797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2797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2797A"/>
    <w:pPr>
      <w:tabs>
        <w:tab w:val="left" w:pos="3240"/>
        <w:tab w:val="right" w:leader="dot" w:pos="9360"/>
      </w:tabs>
      <w:suppressAutoHyphens/>
      <w:ind w:left="3240" w:hanging="360"/>
    </w:pPr>
    <w:rPr>
      <w:noProof/>
    </w:rPr>
  </w:style>
  <w:style w:type="character" w:styleId="PageNumber">
    <w:name w:val="page number"/>
    <w:basedOn w:val="DefaultParagraphFont"/>
    <w:rsid w:val="00F2797A"/>
  </w:style>
  <w:style w:type="paragraph" w:styleId="Title">
    <w:name w:val="Title"/>
    <w:basedOn w:val="Normal"/>
    <w:link w:val="TitleChar"/>
    <w:qFormat/>
    <w:rsid w:val="00561FF3"/>
    <w:pPr>
      <w:jc w:val="center"/>
    </w:pPr>
    <w:rPr>
      <w:b/>
    </w:rPr>
  </w:style>
  <w:style w:type="paragraph" w:customStyle="1" w:styleId="StyleBoldCentered">
    <w:name w:val="Style Bold Centered"/>
    <w:basedOn w:val="Normal"/>
    <w:rsid w:val="00F2797A"/>
    <w:pPr>
      <w:jc w:val="center"/>
    </w:pPr>
    <w:rPr>
      <w:rFonts w:ascii="Times New Roman Bold" w:hAnsi="Times New Roman Bold"/>
      <w:b/>
      <w:bCs/>
      <w:caps/>
      <w:szCs w:val="22"/>
    </w:rPr>
  </w:style>
  <w:style w:type="paragraph" w:styleId="EndnoteText">
    <w:name w:val="endnote text"/>
    <w:basedOn w:val="Normal"/>
    <w:link w:val="EndnoteTextChar"/>
    <w:semiHidden/>
    <w:rsid w:val="00F2797A"/>
    <w:rPr>
      <w:sz w:val="20"/>
    </w:rPr>
  </w:style>
  <w:style w:type="character" w:customStyle="1" w:styleId="FootnoteTextChar">
    <w:name w:val="Footnote Text Char"/>
    <w:aliases w:val="Footnote Text Char2 Char,Footnote Text Char Char Char,Footnote Text Char1 Char Char1 Char,Footnote Text Char Char1 Char Char Char,Footnote Text Char3 Char Char Char Char Char,Footnote Text Char Char Char1 Char Char Char Char,fn Char"/>
    <w:link w:val="FootnoteText"/>
    <w:rsid w:val="004777BD"/>
  </w:style>
  <w:style w:type="character" w:customStyle="1" w:styleId="ParaNumChar1">
    <w:name w:val="ParaNum Char1"/>
    <w:link w:val="ParaNum"/>
    <w:locked/>
    <w:rsid w:val="004777BD"/>
    <w:rPr>
      <w:snapToGrid w:val="0"/>
      <w:kern w:val="28"/>
      <w:sz w:val="22"/>
    </w:rPr>
  </w:style>
  <w:style w:type="numbering" w:customStyle="1" w:styleId="Style1">
    <w:name w:val="Style1"/>
    <w:uiPriority w:val="99"/>
    <w:rsid w:val="004777BD"/>
    <w:pPr>
      <w:numPr>
        <w:numId w:val="3"/>
      </w:numPr>
    </w:pPr>
  </w:style>
  <w:style w:type="character" w:styleId="Hyperlink">
    <w:name w:val="Hyperlink"/>
    <w:basedOn w:val="DefaultParagraphFont"/>
    <w:rsid w:val="00F2797A"/>
    <w:rPr>
      <w:color w:val="0000FF"/>
      <w:u w:val="single"/>
    </w:rPr>
  </w:style>
  <w:style w:type="paragraph" w:customStyle="1" w:styleId="Paranum0">
    <w:name w:val="Paranum"/>
    <w:rsid w:val="00863A53"/>
    <w:pPr>
      <w:numPr>
        <w:numId w:val="4"/>
      </w:numPr>
      <w:tabs>
        <w:tab w:val="left" w:pos="1440"/>
      </w:tabs>
      <w:spacing w:after="240"/>
      <w:jc w:val="both"/>
    </w:pPr>
    <w:rPr>
      <w:sz w:val="22"/>
    </w:rPr>
  </w:style>
  <w:style w:type="character" w:customStyle="1" w:styleId="ParaNumChar">
    <w:name w:val="ParaNum Char"/>
    <w:locked/>
    <w:rsid w:val="00344968"/>
    <w:rPr>
      <w:kern w:val="28"/>
      <w:sz w:val="22"/>
    </w:rPr>
  </w:style>
  <w:style w:type="paragraph" w:styleId="NormalWeb">
    <w:name w:val="Normal (Web)"/>
    <w:basedOn w:val="Normal"/>
    <w:uiPriority w:val="99"/>
    <w:rsid w:val="007764D3"/>
    <w:rPr>
      <w:sz w:val="24"/>
      <w:szCs w:val="24"/>
    </w:rPr>
  </w:style>
  <w:style w:type="character" w:styleId="Emphasis">
    <w:name w:val="Emphasis"/>
    <w:qFormat/>
    <w:rsid w:val="007764D3"/>
    <w:rPr>
      <w:i/>
      <w:iCs/>
    </w:rPr>
  </w:style>
  <w:style w:type="paragraph" w:styleId="BalloonText">
    <w:name w:val="Balloon Text"/>
    <w:basedOn w:val="Normal"/>
    <w:link w:val="BalloonTextChar"/>
    <w:uiPriority w:val="99"/>
    <w:rsid w:val="00816893"/>
    <w:rPr>
      <w:rFonts w:ascii="Tahoma" w:hAnsi="Tahoma"/>
      <w:sz w:val="16"/>
      <w:szCs w:val="16"/>
    </w:rPr>
  </w:style>
  <w:style w:type="character" w:customStyle="1" w:styleId="BalloonTextChar">
    <w:name w:val="Balloon Text Char"/>
    <w:link w:val="BalloonText"/>
    <w:uiPriority w:val="99"/>
    <w:rsid w:val="00816893"/>
    <w:rPr>
      <w:rFonts w:ascii="Tahoma" w:hAnsi="Tahoma" w:cs="Tahoma"/>
      <w:sz w:val="16"/>
      <w:szCs w:val="16"/>
    </w:rPr>
  </w:style>
  <w:style w:type="character" w:styleId="CommentReference">
    <w:name w:val="annotation reference"/>
    <w:rsid w:val="004849EA"/>
    <w:rPr>
      <w:sz w:val="16"/>
      <w:szCs w:val="16"/>
    </w:rPr>
  </w:style>
  <w:style w:type="paragraph" w:styleId="CommentText">
    <w:name w:val="annotation text"/>
    <w:basedOn w:val="Normal"/>
    <w:link w:val="CommentTextChar"/>
    <w:rsid w:val="004849EA"/>
    <w:rPr>
      <w:sz w:val="20"/>
    </w:rPr>
  </w:style>
  <w:style w:type="character" w:customStyle="1" w:styleId="CommentTextChar">
    <w:name w:val="Comment Text Char"/>
    <w:basedOn w:val="DefaultParagraphFont"/>
    <w:link w:val="CommentText"/>
    <w:rsid w:val="004849EA"/>
  </w:style>
  <w:style w:type="paragraph" w:styleId="CommentSubject">
    <w:name w:val="annotation subject"/>
    <w:basedOn w:val="CommentText"/>
    <w:next w:val="CommentText"/>
    <w:link w:val="CommentSubjectChar"/>
    <w:rsid w:val="004849EA"/>
    <w:rPr>
      <w:b/>
      <w:bCs/>
    </w:rPr>
  </w:style>
  <w:style w:type="character" w:customStyle="1" w:styleId="CommentSubjectChar">
    <w:name w:val="Comment Subject Char"/>
    <w:link w:val="CommentSubject"/>
    <w:rsid w:val="004849EA"/>
    <w:rPr>
      <w:b/>
      <w:bCs/>
    </w:rPr>
  </w:style>
  <w:style w:type="paragraph" w:customStyle="1" w:styleId="ColorfulShading-Accent11">
    <w:name w:val="Colorful Shading - Accent 11"/>
    <w:hidden/>
    <w:uiPriority w:val="99"/>
    <w:semiHidden/>
    <w:rsid w:val="004849EA"/>
    <w:rPr>
      <w:sz w:val="22"/>
    </w:rPr>
  </w:style>
  <w:style w:type="paragraph" w:customStyle="1" w:styleId="1">
    <w:name w:val="1"/>
    <w:basedOn w:val="Heading1"/>
    <w:next w:val="Normal"/>
    <w:uiPriority w:val="39"/>
    <w:unhideWhenUsed/>
    <w:qFormat/>
    <w:rsid w:val="00CC56FF"/>
    <w:pPr>
      <w:keepLines/>
      <w:widowControl/>
      <w:numPr>
        <w:numId w:val="0"/>
      </w:numPr>
      <w:tabs>
        <w:tab w:val="left" w:pos="720"/>
      </w:tabs>
      <w:suppressAutoHyphens w:val="0"/>
      <w:spacing w:before="480" w:after="0" w:line="276" w:lineRule="auto"/>
      <w:outlineLvl w:val="9"/>
    </w:pPr>
    <w:rPr>
      <w:rFonts w:ascii="Cambria" w:hAnsi="Cambria"/>
      <w:bCs/>
      <w:caps w:val="0"/>
      <w:color w:val="365F91"/>
      <w:sz w:val="28"/>
      <w:szCs w:val="28"/>
    </w:rPr>
  </w:style>
  <w:style w:type="character" w:customStyle="1" w:styleId="documentbody1">
    <w:name w:val="documentbody1"/>
    <w:rsid w:val="00FA04DD"/>
    <w:rPr>
      <w:rFonts w:ascii="Verdana" w:hAnsi="Verdana" w:cs="Times New Roman"/>
      <w:sz w:val="19"/>
      <w:szCs w:val="19"/>
    </w:rPr>
  </w:style>
  <w:style w:type="character" w:customStyle="1" w:styleId="Footnote">
    <w:name w:val="Footnote"/>
    <w:rsid w:val="00AF7FCC"/>
  </w:style>
  <w:style w:type="character" w:customStyle="1" w:styleId="FootnoteTextChar4">
    <w:name w:val="Footnote Text Char4"/>
    <w:aliases w:val="Footnote Text Char2 Char3,Footnote Text Char Char4 Char3,Footnote Text Char2 Char Char Char3,Footnote Text Char1 Char1 Char Char Char4,Footnote Text Char Char Char Char Char Char4,Footnote Text Char1 Char Char Char Char Char Char1"/>
    <w:rsid w:val="00AF7FCC"/>
    <w:rPr>
      <w:rFonts w:cs="Times New Roman"/>
      <w:lang w:val="en-US" w:eastAsia="en-US" w:bidi="ar-SA"/>
    </w:rPr>
  </w:style>
  <w:style w:type="character" w:customStyle="1" w:styleId="Unnamed1">
    <w:name w:val="Unnamed 1"/>
    <w:rsid w:val="00CB7520"/>
    <w:rPr>
      <w:rFonts w:ascii="Courier New" w:hAnsi="Courier New" w:cs="Courier New"/>
      <w:sz w:val="24"/>
      <w:lang w:val="en-US"/>
    </w:rPr>
  </w:style>
  <w:style w:type="character" w:customStyle="1" w:styleId="footnote0">
    <w:name w:val="footnote"/>
    <w:rsid w:val="00CB7520"/>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CB7520"/>
    <w:rPr>
      <w:rFonts w:cs="Times New Roman"/>
      <w:lang w:val="en-US" w:eastAsia="en-US" w:bidi="ar-SA"/>
    </w:rPr>
  </w:style>
  <w:style w:type="character" w:customStyle="1" w:styleId="Heading2CharChar2">
    <w:name w:val="Heading 2 Char Char2"/>
    <w:rsid w:val="00CB7520"/>
    <w:rPr>
      <w:rFonts w:cs="Times New Roman"/>
      <w:b/>
      <w:snapToGrid w:val="0"/>
      <w:kern w:val="28"/>
      <w:sz w:val="24"/>
      <w:lang w:val="en-US" w:eastAsia="en-US" w:bidi="ar-SA"/>
    </w:rPr>
  </w:style>
  <w:style w:type="character" w:customStyle="1" w:styleId="StyleFootnoteReferenceStyle13Style12NECGFootnoteReferenc">
    <w:name w:val="Style Footnote ReferenceStyle 13Style 12(NECG) Footnote Referenc..."/>
    <w:rsid w:val="00CB7520"/>
    <w:rPr>
      <w:rFonts w:ascii="Times New Roman" w:hAnsi="Times New Roman"/>
      <w:dstrike w:val="0"/>
      <w:color w:val="auto"/>
      <w:sz w:val="20"/>
      <w:vertAlign w:val="superscript"/>
    </w:rPr>
  </w:style>
  <w:style w:type="character" w:customStyle="1" w:styleId="StyleFootnoteReferenceStyle13Style12NECGFootnoteReferenc1">
    <w:name w:val="Style Footnote ReferenceStyle 13Style 12(NECG) Footnote Referenc...1"/>
    <w:rsid w:val="00CB7520"/>
    <w:rPr>
      <w:rFonts w:ascii="Times New Roman" w:hAnsi="Times New Roman"/>
      <w:dstrike w:val="0"/>
      <w:color w:val="auto"/>
      <w:sz w:val="20"/>
      <w:vertAlign w:val="superscript"/>
    </w:rPr>
  </w:style>
  <w:style w:type="character" w:customStyle="1" w:styleId="FooterChar">
    <w:name w:val="Footer Char"/>
    <w:link w:val="Footer"/>
    <w:rsid w:val="002C1DE0"/>
    <w:rPr>
      <w:snapToGrid w:val="0"/>
      <w:kern w:val="28"/>
      <w:sz w:val="22"/>
    </w:rPr>
  </w:style>
  <w:style w:type="paragraph" w:customStyle="1" w:styleId="TOCHeading1">
    <w:name w:val="TOC Heading1"/>
    <w:basedOn w:val="Heading1"/>
    <w:next w:val="Normal"/>
    <w:uiPriority w:val="39"/>
    <w:qFormat/>
    <w:rsid w:val="00CC56FF"/>
    <w:pPr>
      <w:keepLines/>
      <w:widowControl/>
      <w:numPr>
        <w:numId w:val="0"/>
      </w:numPr>
      <w:tabs>
        <w:tab w:val="left" w:pos="720"/>
      </w:tabs>
      <w:suppressAutoHyphens w:val="0"/>
      <w:spacing w:before="480" w:after="0" w:line="276" w:lineRule="auto"/>
      <w:outlineLvl w:val="9"/>
    </w:pPr>
    <w:rPr>
      <w:rFonts w:ascii="Cambria" w:eastAsia="MS Gothic" w:hAnsi="Cambria"/>
      <w:bCs/>
      <w:caps w:val="0"/>
      <w:color w:val="365F91"/>
      <w:sz w:val="28"/>
      <w:szCs w:val="28"/>
      <w:lang w:eastAsia="ja-JP"/>
    </w:rPr>
  </w:style>
  <w:style w:type="paragraph" w:styleId="Revision">
    <w:name w:val="Revision"/>
    <w:hidden/>
    <w:uiPriority w:val="99"/>
    <w:semiHidden/>
    <w:rsid w:val="00524431"/>
    <w:rPr>
      <w:sz w:val="22"/>
    </w:rPr>
  </w:style>
  <w:style w:type="character" w:customStyle="1" w:styleId="SC465550">
    <w:name w:val="SC.4.65550"/>
    <w:uiPriority w:val="99"/>
    <w:rsid w:val="00B358A1"/>
    <w:rPr>
      <w:rFonts w:ascii="OMDAA K+ Century" w:hAnsi="OMDAA K+ Century" w:cs="OMDAA K+ Century" w:hint="default"/>
      <w:color w:val="000000"/>
      <w:sz w:val="20"/>
      <w:szCs w:val="20"/>
    </w:rPr>
  </w:style>
  <w:style w:type="character" w:customStyle="1" w:styleId="HeaderChar">
    <w:name w:val="Header Char"/>
    <w:basedOn w:val="DefaultParagraphFont"/>
    <w:link w:val="Header"/>
    <w:rsid w:val="0042179F"/>
    <w:rPr>
      <w:b/>
      <w:snapToGrid w:val="0"/>
      <w:kern w:val="28"/>
      <w:sz w:val="22"/>
      <w:u w:val="single"/>
    </w:rPr>
  </w:style>
  <w:style w:type="character" w:styleId="FollowedHyperlink">
    <w:name w:val="FollowedHyperlink"/>
    <w:basedOn w:val="DefaultParagraphFont"/>
    <w:rsid w:val="0036742D"/>
    <w:rPr>
      <w:color w:val="800080" w:themeColor="followedHyperlink"/>
      <w:u w:val="single"/>
    </w:rPr>
  </w:style>
  <w:style w:type="character" w:customStyle="1" w:styleId="Heading1Char">
    <w:name w:val="Heading 1 Char"/>
    <w:basedOn w:val="DefaultParagraphFont"/>
    <w:link w:val="Heading1"/>
    <w:rsid w:val="009549AB"/>
    <w:rPr>
      <w:rFonts w:ascii="Times New Roman Bold" w:hAnsi="Times New Roman Bold"/>
      <w:b/>
      <w:caps/>
      <w:snapToGrid w:val="0"/>
      <w:kern w:val="28"/>
      <w:sz w:val="22"/>
    </w:rPr>
  </w:style>
  <w:style w:type="character" w:customStyle="1" w:styleId="Heading2Char2">
    <w:name w:val="Heading 2 Char2"/>
    <w:aliases w:val="Heading 2 Char Char,Heading 2 Char1 Char Char Char,Heading 2 Char Char Char Char Char,Heading 2 Char1 Char,Heading 2 Char1 Char Char1 Char,Heading 2 Char1 Char Char Char Char1 Char Char,Heading 2 Char Char Char Char Char Char1 Char Char"/>
    <w:basedOn w:val="DefaultParagraphFont"/>
    <w:link w:val="Heading2"/>
    <w:rsid w:val="00021D5D"/>
    <w:rPr>
      <w:b/>
      <w:snapToGrid w:val="0"/>
      <w:kern w:val="28"/>
      <w:sz w:val="22"/>
    </w:rPr>
  </w:style>
  <w:style w:type="character" w:customStyle="1" w:styleId="Heading3Char">
    <w:name w:val="Heading 3 Char"/>
    <w:basedOn w:val="DefaultParagraphFont"/>
    <w:link w:val="Heading3"/>
    <w:rsid w:val="009549AB"/>
    <w:rPr>
      <w:b/>
      <w:snapToGrid w:val="0"/>
      <w:kern w:val="28"/>
      <w:sz w:val="22"/>
    </w:rPr>
  </w:style>
  <w:style w:type="character" w:customStyle="1" w:styleId="Heading4Char">
    <w:name w:val="Heading 4 Char"/>
    <w:basedOn w:val="DefaultParagraphFont"/>
    <w:link w:val="Heading4"/>
    <w:rsid w:val="009549AB"/>
    <w:rPr>
      <w:b/>
      <w:snapToGrid w:val="0"/>
      <w:kern w:val="28"/>
      <w:sz w:val="22"/>
    </w:rPr>
  </w:style>
  <w:style w:type="character" w:customStyle="1" w:styleId="Heading5Char">
    <w:name w:val="Heading 5 Char"/>
    <w:basedOn w:val="DefaultParagraphFont"/>
    <w:link w:val="Heading5"/>
    <w:rsid w:val="009549AB"/>
    <w:rPr>
      <w:b/>
      <w:snapToGrid w:val="0"/>
      <w:kern w:val="28"/>
      <w:sz w:val="22"/>
    </w:rPr>
  </w:style>
  <w:style w:type="character" w:customStyle="1" w:styleId="Heading6Char">
    <w:name w:val="Heading 6 Char"/>
    <w:aliases w:val="h6 Char"/>
    <w:basedOn w:val="DefaultParagraphFont"/>
    <w:link w:val="Heading6"/>
    <w:rsid w:val="009549AB"/>
    <w:rPr>
      <w:b/>
      <w:snapToGrid w:val="0"/>
      <w:kern w:val="28"/>
      <w:sz w:val="22"/>
    </w:rPr>
  </w:style>
  <w:style w:type="character" w:customStyle="1" w:styleId="Heading7Char">
    <w:name w:val="Heading 7 Char"/>
    <w:basedOn w:val="DefaultParagraphFont"/>
    <w:link w:val="Heading7"/>
    <w:rsid w:val="009549AB"/>
    <w:rPr>
      <w:b/>
      <w:snapToGrid w:val="0"/>
      <w:kern w:val="28"/>
      <w:sz w:val="22"/>
    </w:rPr>
  </w:style>
  <w:style w:type="character" w:customStyle="1" w:styleId="Heading8Char">
    <w:name w:val="Heading 8 Char"/>
    <w:basedOn w:val="DefaultParagraphFont"/>
    <w:link w:val="Heading8"/>
    <w:rsid w:val="009549AB"/>
    <w:rPr>
      <w:b/>
      <w:snapToGrid w:val="0"/>
      <w:kern w:val="28"/>
      <w:sz w:val="22"/>
    </w:rPr>
  </w:style>
  <w:style w:type="character" w:customStyle="1" w:styleId="Heading9Char">
    <w:name w:val="Heading 9 Char"/>
    <w:basedOn w:val="DefaultParagraphFont"/>
    <w:link w:val="Heading9"/>
    <w:rsid w:val="009549AB"/>
    <w:rPr>
      <w:b/>
      <w:snapToGrid w:val="0"/>
      <w:kern w:val="28"/>
      <w:sz w:val="22"/>
    </w:rPr>
  </w:style>
  <w:style w:type="character" w:customStyle="1" w:styleId="TitleChar">
    <w:name w:val="Title Char"/>
    <w:basedOn w:val="DefaultParagraphFont"/>
    <w:link w:val="Title"/>
    <w:rsid w:val="009549AB"/>
    <w:rPr>
      <w:b/>
      <w:sz w:val="22"/>
    </w:rPr>
  </w:style>
  <w:style w:type="character" w:customStyle="1" w:styleId="EndnoteTextChar">
    <w:name w:val="Endnote Text Char"/>
    <w:basedOn w:val="DefaultParagraphFont"/>
    <w:link w:val="EndnoteText"/>
    <w:semiHidden/>
    <w:rsid w:val="009549AB"/>
    <w:rPr>
      <w:snapToGrid w:val="0"/>
      <w:kern w:val="28"/>
    </w:rPr>
  </w:style>
  <w:style w:type="paragraph" w:styleId="TOCHeading">
    <w:name w:val="TOC Heading"/>
    <w:basedOn w:val="Heading1"/>
    <w:next w:val="Normal"/>
    <w:uiPriority w:val="39"/>
    <w:unhideWhenUsed/>
    <w:qFormat/>
    <w:rsid w:val="00B17FE2"/>
    <w:pPr>
      <w:keepLines/>
      <w:widowControl/>
      <w:numPr>
        <w:numId w:val="0"/>
      </w:numPr>
      <w:tabs>
        <w:tab w:val="left" w:pos="720"/>
      </w:tabs>
      <w:suppressAutoHyphens w:val="0"/>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character" w:styleId="EndnoteReference">
    <w:name w:val="endnote reference"/>
    <w:basedOn w:val="DefaultParagraphFont"/>
    <w:rsid w:val="00F2797A"/>
    <w:rPr>
      <w:vertAlign w:val="superscript"/>
    </w:rPr>
  </w:style>
  <w:style w:type="paragraph" w:styleId="TOAHeading">
    <w:name w:val="toa heading"/>
    <w:basedOn w:val="Normal"/>
    <w:next w:val="Normal"/>
    <w:rsid w:val="00F2797A"/>
    <w:pPr>
      <w:tabs>
        <w:tab w:val="right" w:pos="9360"/>
      </w:tabs>
      <w:suppressAutoHyphens/>
    </w:pPr>
  </w:style>
  <w:style w:type="character" w:customStyle="1" w:styleId="EquationCaption">
    <w:name w:val="_Equation Caption"/>
    <w:rsid w:val="00F2797A"/>
  </w:style>
  <w:style w:type="paragraph" w:customStyle="1" w:styleId="Paratitle">
    <w:name w:val="Para title"/>
    <w:basedOn w:val="Normal"/>
    <w:rsid w:val="00F2797A"/>
    <w:pPr>
      <w:tabs>
        <w:tab w:val="center" w:pos="9270"/>
      </w:tabs>
      <w:spacing w:after="240"/>
    </w:pPr>
    <w:rPr>
      <w:spacing w:val="-2"/>
    </w:rPr>
  </w:style>
  <w:style w:type="paragraph" w:customStyle="1" w:styleId="TOCTitle">
    <w:name w:val="TOC Title"/>
    <w:basedOn w:val="Normal"/>
    <w:rsid w:val="00F2797A"/>
    <w:pPr>
      <w:spacing w:before="240" w:after="240"/>
      <w:jc w:val="center"/>
    </w:pPr>
    <w:rPr>
      <w:rFonts w:ascii="Times New Roman Bold" w:hAnsi="Times New Roman Bold"/>
      <w:b/>
      <w:caps/>
      <w:spacing w:val="-2"/>
    </w:rPr>
  </w:style>
  <w:style w:type="paragraph" w:styleId="ListParagraph">
    <w:name w:val="List Paragraph"/>
    <w:basedOn w:val="Normal"/>
    <w:uiPriority w:val="34"/>
    <w:qFormat/>
    <w:rsid w:val="001B1B0F"/>
    <w:pPr>
      <w:ind w:left="720"/>
      <w:contextualSpacing/>
    </w:pPr>
  </w:style>
  <w:style w:type="table" w:styleId="TableGrid">
    <w:name w:val="Table Grid"/>
    <w:basedOn w:val="TableNormal"/>
    <w:uiPriority w:val="59"/>
    <w:rsid w:val="002A2B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E7210"/>
    <w:pPr>
      <w:snapToGrid w:val="0"/>
      <w:spacing w:after="120"/>
    </w:pPr>
    <w:rPr>
      <w:snapToGrid/>
      <w:sz w:val="24"/>
    </w:rPr>
  </w:style>
  <w:style w:type="character" w:customStyle="1" w:styleId="BodyTextChar">
    <w:name w:val="Body Text Char"/>
    <w:basedOn w:val="DefaultParagraphFont"/>
    <w:link w:val="BodyText"/>
    <w:rsid w:val="008E7210"/>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4902">
      <w:bodyDiv w:val="1"/>
      <w:marLeft w:val="0"/>
      <w:marRight w:val="0"/>
      <w:marTop w:val="0"/>
      <w:marBottom w:val="0"/>
      <w:divBdr>
        <w:top w:val="none" w:sz="0" w:space="0" w:color="auto"/>
        <w:left w:val="none" w:sz="0" w:space="0" w:color="auto"/>
        <w:bottom w:val="none" w:sz="0" w:space="0" w:color="auto"/>
        <w:right w:val="none" w:sz="0" w:space="0" w:color="auto"/>
      </w:divBdr>
    </w:div>
    <w:div w:id="233055040">
      <w:bodyDiv w:val="1"/>
      <w:marLeft w:val="0"/>
      <w:marRight w:val="0"/>
      <w:marTop w:val="0"/>
      <w:marBottom w:val="0"/>
      <w:divBdr>
        <w:top w:val="none" w:sz="0" w:space="0" w:color="auto"/>
        <w:left w:val="none" w:sz="0" w:space="0" w:color="auto"/>
        <w:bottom w:val="none" w:sz="0" w:space="0" w:color="auto"/>
        <w:right w:val="none" w:sz="0" w:space="0" w:color="auto"/>
      </w:divBdr>
    </w:div>
    <w:div w:id="1972052374">
      <w:bodyDiv w:val="1"/>
      <w:marLeft w:val="0"/>
      <w:marRight w:val="0"/>
      <w:marTop w:val="0"/>
      <w:marBottom w:val="0"/>
      <w:divBdr>
        <w:top w:val="none" w:sz="0" w:space="0" w:color="auto"/>
        <w:left w:val="none" w:sz="0" w:space="0" w:color="auto"/>
        <w:bottom w:val="none" w:sz="0" w:space="0" w:color="auto"/>
        <w:right w:val="none" w:sz="0" w:space="0" w:color="auto"/>
      </w:divBdr>
      <w:divsChild>
        <w:div w:id="8423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ition.fcc.gov/fees/regfees.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nsition.fcc.gov/fees/wiretran.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census.gov/cgi-bin/sssd/naics/naicsrch?code=517110&amp;search=2007%20NAICS%20Search" TargetMode="External"/><Relationship Id="rId3" Type="http://schemas.openxmlformats.org/officeDocument/2006/relationships/hyperlink" Target="http://factfinder2.census.gov/faces/tableservices/jsf/pages/productview.xhtml?pid=ECN_2007_US_51SSSZ2&amp;prodType=table" TargetMode="External"/><Relationship Id="rId7" Type="http://schemas.openxmlformats.org/officeDocument/2006/relationships/hyperlink" Target="http://www.census.gov/cgi-bin/sssd/naics/naicsrch?code=517212&amp;search=2002%20NAICS%20Search" TargetMode="External"/><Relationship Id="rId2" Type="http://schemas.openxmlformats.org/officeDocument/2006/relationships/hyperlink" Target="http://www.sba.gov/sites/default/files/FAQ_Sept_2012.pdf." TargetMode="External"/><Relationship Id="rId1" Type="http://schemas.openxmlformats.org/officeDocument/2006/relationships/hyperlink" Target="http://www.whitehouse.gov/the-press-office/2011/06/13/executive-order-13576-delivering-efficient-effective-and-accountable-gov" TargetMode="External"/><Relationship Id="rId6" Type="http://schemas.openxmlformats.org/officeDocument/2006/relationships/hyperlink" Target="http://www.census.gov/cgibin/" TargetMode="External"/><Relationship Id="rId5" Type="http://schemas.openxmlformats.org/officeDocument/2006/relationships/hyperlink" Target="http://factfinder2.census.gov/faces/tableservices/jsf/pages/productview.xhtml?pid=ECN_2007_US_51SSSZ2&amp;prodType=table" TargetMode="External"/><Relationship Id="rId4" Type="http://schemas.openxmlformats.org/officeDocument/2006/relationships/hyperlink" Target="http://factfinder2.census.gov/faces/tableservices/jsf/pages/productview.xhtml?pid=ECN_2007_US_51SSSZ2&amp;prodType=table" TargetMode="External"/><Relationship Id="rId9" Type="http://schemas.openxmlformats.org/officeDocument/2006/relationships/hyperlink" Target="http://www.census.gov/cgi-bin/sssd/naics/naicsrch?code=517919&amp;search=2007%20NAICS%20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d.Helvajian\AppData\Local\Microsoft\Windows\Temporary%20Internet%20Files\Content.MSO\D6224F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D6224FBC.dot</Template>
  <TotalTime>0</TotalTime>
  <Pages>52</Pages>
  <Words>17094</Words>
  <Characters>97436</Characters>
  <Application>Microsoft Office Word</Application>
  <DocSecurity>4</DocSecurity>
  <Lines>811</Lines>
  <Paragraphs>228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114302</CharactersWithSpaces>
  <SharedDoc>false</SharedDoc>
  <HyperlinkBase> </HyperlinkBase>
  <HLinks>
    <vt:vector size="426" baseType="variant">
      <vt:variant>
        <vt:i4>6488123</vt:i4>
      </vt:variant>
      <vt:variant>
        <vt:i4>268</vt:i4>
      </vt:variant>
      <vt:variant>
        <vt:i4>0</vt:i4>
      </vt:variant>
      <vt:variant>
        <vt:i4>5</vt:i4>
      </vt:variant>
      <vt:variant>
        <vt:lpwstr>../AppData/Local/Microsoft/Windows/Temporary Internet Files/Content.IE5/AppData/Local/Microsoft/Windows/Temporary Internet Files/Content.IE5/Users/Mika.Savir/AppData/Local/Microsoft/Windows/Temporary Internet Files/AppData/Local/Microsoft/Windows/Temporary Internet Files/Content.IE5/Users/Roland.Helvajian/AppData/Local/Microsoft/Windows/Temporary Internet Files/Content.Outlook/Users/Mika.Savir/AppData/Local/Microsoft/Windows/Temporary Internet Files/Content.Outlook/Local Settings/Temporary Internet Files/Users/Mika.Savir/AppData/Local/Microsoft/Windows/Temporary Internet Files/AppData/Local/Microsoft/Windows/Temporary Internet Files/Content.IE5/Local Settings/Temporary Internet Files/AppData/Local/Microsoft/Windows/Temporary Internet Files/Content.IE5/Users/Mika.Savir/AppData/Local/Microsoft/Windows/Temporary Internet Files/Content.Outlook/204T2IWP/fcc504@fcc.gov</vt:lpwstr>
      </vt:variant>
      <vt:variant>
        <vt:lpwstr/>
      </vt:variant>
      <vt:variant>
        <vt:i4>7929897</vt:i4>
      </vt:variant>
      <vt:variant>
        <vt:i4>265</vt:i4>
      </vt:variant>
      <vt:variant>
        <vt:i4>0</vt:i4>
      </vt:variant>
      <vt:variant>
        <vt:i4>5</vt:i4>
      </vt:variant>
      <vt:variant>
        <vt:lpwstr>http://fjallfoss.fcc.gov/ecfs2/</vt:lpwstr>
      </vt:variant>
      <vt:variant>
        <vt:lpwstr/>
      </vt:variant>
      <vt:variant>
        <vt:i4>4522070</vt:i4>
      </vt:variant>
      <vt:variant>
        <vt:i4>262</vt:i4>
      </vt:variant>
      <vt:variant>
        <vt:i4>0</vt:i4>
      </vt:variant>
      <vt:variant>
        <vt:i4>5</vt:i4>
      </vt:variant>
      <vt:variant>
        <vt:lpwstr>http://transition.fcc.gov/fees/wiretran.html</vt:lpwstr>
      </vt:variant>
      <vt:variant>
        <vt:lpwstr/>
      </vt:variant>
      <vt:variant>
        <vt:i4>6619263</vt:i4>
      </vt:variant>
      <vt:variant>
        <vt:i4>259</vt:i4>
      </vt:variant>
      <vt:variant>
        <vt:i4>0</vt:i4>
      </vt:variant>
      <vt:variant>
        <vt:i4>5</vt:i4>
      </vt:variant>
      <vt:variant>
        <vt:lpwstr>http://transition.fcc.gov/fees/regfees.html</vt:lpwstr>
      </vt:variant>
      <vt:variant>
        <vt:lpwstr/>
      </vt:variant>
      <vt:variant>
        <vt:i4>1507379</vt:i4>
      </vt:variant>
      <vt:variant>
        <vt:i4>252</vt:i4>
      </vt:variant>
      <vt:variant>
        <vt:i4>0</vt:i4>
      </vt:variant>
      <vt:variant>
        <vt:i4>5</vt:i4>
      </vt:variant>
      <vt:variant>
        <vt:lpwstr/>
      </vt:variant>
      <vt:variant>
        <vt:lpwstr>_Toc353032079</vt:lpwstr>
      </vt:variant>
      <vt:variant>
        <vt:i4>1507379</vt:i4>
      </vt:variant>
      <vt:variant>
        <vt:i4>246</vt:i4>
      </vt:variant>
      <vt:variant>
        <vt:i4>0</vt:i4>
      </vt:variant>
      <vt:variant>
        <vt:i4>5</vt:i4>
      </vt:variant>
      <vt:variant>
        <vt:lpwstr/>
      </vt:variant>
      <vt:variant>
        <vt:lpwstr>_Toc353032078</vt:lpwstr>
      </vt:variant>
      <vt:variant>
        <vt:i4>1507379</vt:i4>
      </vt:variant>
      <vt:variant>
        <vt:i4>240</vt:i4>
      </vt:variant>
      <vt:variant>
        <vt:i4>0</vt:i4>
      </vt:variant>
      <vt:variant>
        <vt:i4>5</vt:i4>
      </vt:variant>
      <vt:variant>
        <vt:lpwstr/>
      </vt:variant>
      <vt:variant>
        <vt:lpwstr>_Toc353032077</vt:lpwstr>
      </vt:variant>
      <vt:variant>
        <vt:i4>1507379</vt:i4>
      </vt:variant>
      <vt:variant>
        <vt:i4>234</vt:i4>
      </vt:variant>
      <vt:variant>
        <vt:i4>0</vt:i4>
      </vt:variant>
      <vt:variant>
        <vt:i4>5</vt:i4>
      </vt:variant>
      <vt:variant>
        <vt:lpwstr/>
      </vt:variant>
      <vt:variant>
        <vt:lpwstr>_Toc353032076</vt:lpwstr>
      </vt:variant>
      <vt:variant>
        <vt:i4>1507379</vt:i4>
      </vt:variant>
      <vt:variant>
        <vt:i4>228</vt:i4>
      </vt:variant>
      <vt:variant>
        <vt:i4>0</vt:i4>
      </vt:variant>
      <vt:variant>
        <vt:i4>5</vt:i4>
      </vt:variant>
      <vt:variant>
        <vt:lpwstr/>
      </vt:variant>
      <vt:variant>
        <vt:lpwstr>_Toc353032075</vt:lpwstr>
      </vt:variant>
      <vt:variant>
        <vt:i4>1507379</vt:i4>
      </vt:variant>
      <vt:variant>
        <vt:i4>222</vt:i4>
      </vt:variant>
      <vt:variant>
        <vt:i4>0</vt:i4>
      </vt:variant>
      <vt:variant>
        <vt:i4>5</vt:i4>
      </vt:variant>
      <vt:variant>
        <vt:lpwstr/>
      </vt:variant>
      <vt:variant>
        <vt:lpwstr>_Toc353032074</vt:lpwstr>
      </vt:variant>
      <vt:variant>
        <vt:i4>1507379</vt:i4>
      </vt:variant>
      <vt:variant>
        <vt:i4>216</vt:i4>
      </vt:variant>
      <vt:variant>
        <vt:i4>0</vt:i4>
      </vt:variant>
      <vt:variant>
        <vt:i4>5</vt:i4>
      </vt:variant>
      <vt:variant>
        <vt:lpwstr/>
      </vt:variant>
      <vt:variant>
        <vt:lpwstr>_Toc353032073</vt:lpwstr>
      </vt:variant>
      <vt:variant>
        <vt:i4>1507379</vt:i4>
      </vt:variant>
      <vt:variant>
        <vt:i4>210</vt:i4>
      </vt:variant>
      <vt:variant>
        <vt:i4>0</vt:i4>
      </vt:variant>
      <vt:variant>
        <vt:i4>5</vt:i4>
      </vt:variant>
      <vt:variant>
        <vt:lpwstr/>
      </vt:variant>
      <vt:variant>
        <vt:lpwstr>_Toc353032072</vt:lpwstr>
      </vt:variant>
      <vt:variant>
        <vt:i4>1507379</vt:i4>
      </vt:variant>
      <vt:variant>
        <vt:i4>204</vt:i4>
      </vt:variant>
      <vt:variant>
        <vt:i4>0</vt:i4>
      </vt:variant>
      <vt:variant>
        <vt:i4>5</vt:i4>
      </vt:variant>
      <vt:variant>
        <vt:lpwstr/>
      </vt:variant>
      <vt:variant>
        <vt:lpwstr>_Toc353032071</vt:lpwstr>
      </vt:variant>
      <vt:variant>
        <vt:i4>1507379</vt:i4>
      </vt:variant>
      <vt:variant>
        <vt:i4>198</vt:i4>
      </vt:variant>
      <vt:variant>
        <vt:i4>0</vt:i4>
      </vt:variant>
      <vt:variant>
        <vt:i4>5</vt:i4>
      </vt:variant>
      <vt:variant>
        <vt:lpwstr/>
      </vt:variant>
      <vt:variant>
        <vt:lpwstr>_Toc353032070</vt:lpwstr>
      </vt:variant>
      <vt:variant>
        <vt:i4>1441843</vt:i4>
      </vt:variant>
      <vt:variant>
        <vt:i4>192</vt:i4>
      </vt:variant>
      <vt:variant>
        <vt:i4>0</vt:i4>
      </vt:variant>
      <vt:variant>
        <vt:i4>5</vt:i4>
      </vt:variant>
      <vt:variant>
        <vt:lpwstr/>
      </vt:variant>
      <vt:variant>
        <vt:lpwstr>_Toc353032069</vt:lpwstr>
      </vt:variant>
      <vt:variant>
        <vt:i4>1441843</vt:i4>
      </vt:variant>
      <vt:variant>
        <vt:i4>186</vt:i4>
      </vt:variant>
      <vt:variant>
        <vt:i4>0</vt:i4>
      </vt:variant>
      <vt:variant>
        <vt:i4>5</vt:i4>
      </vt:variant>
      <vt:variant>
        <vt:lpwstr/>
      </vt:variant>
      <vt:variant>
        <vt:lpwstr>_Toc353032068</vt:lpwstr>
      </vt:variant>
      <vt:variant>
        <vt:i4>1441843</vt:i4>
      </vt:variant>
      <vt:variant>
        <vt:i4>180</vt:i4>
      </vt:variant>
      <vt:variant>
        <vt:i4>0</vt:i4>
      </vt:variant>
      <vt:variant>
        <vt:i4>5</vt:i4>
      </vt:variant>
      <vt:variant>
        <vt:lpwstr/>
      </vt:variant>
      <vt:variant>
        <vt:lpwstr>_Toc353032067</vt:lpwstr>
      </vt:variant>
      <vt:variant>
        <vt:i4>1441843</vt:i4>
      </vt:variant>
      <vt:variant>
        <vt:i4>174</vt:i4>
      </vt:variant>
      <vt:variant>
        <vt:i4>0</vt:i4>
      </vt:variant>
      <vt:variant>
        <vt:i4>5</vt:i4>
      </vt:variant>
      <vt:variant>
        <vt:lpwstr/>
      </vt:variant>
      <vt:variant>
        <vt:lpwstr>_Toc353032066</vt:lpwstr>
      </vt:variant>
      <vt:variant>
        <vt:i4>1441843</vt:i4>
      </vt:variant>
      <vt:variant>
        <vt:i4>168</vt:i4>
      </vt:variant>
      <vt:variant>
        <vt:i4>0</vt:i4>
      </vt:variant>
      <vt:variant>
        <vt:i4>5</vt:i4>
      </vt:variant>
      <vt:variant>
        <vt:lpwstr/>
      </vt:variant>
      <vt:variant>
        <vt:lpwstr>_Toc353032065</vt:lpwstr>
      </vt:variant>
      <vt:variant>
        <vt:i4>1441843</vt:i4>
      </vt:variant>
      <vt:variant>
        <vt:i4>162</vt:i4>
      </vt:variant>
      <vt:variant>
        <vt:i4>0</vt:i4>
      </vt:variant>
      <vt:variant>
        <vt:i4>5</vt:i4>
      </vt:variant>
      <vt:variant>
        <vt:lpwstr/>
      </vt:variant>
      <vt:variant>
        <vt:lpwstr>_Toc353032064</vt:lpwstr>
      </vt:variant>
      <vt:variant>
        <vt:i4>1441843</vt:i4>
      </vt:variant>
      <vt:variant>
        <vt:i4>156</vt:i4>
      </vt:variant>
      <vt:variant>
        <vt:i4>0</vt:i4>
      </vt:variant>
      <vt:variant>
        <vt:i4>5</vt:i4>
      </vt:variant>
      <vt:variant>
        <vt:lpwstr/>
      </vt:variant>
      <vt:variant>
        <vt:lpwstr>_Toc353032063</vt:lpwstr>
      </vt:variant>
      <vt:variant>
        <vt:i4>1441843</vt:i4>
      </vt:variant>
      <vt:variant>
        <vt:i4>150</vt:i4>
      </vt:variant>
      <vt:variant>
        <vt:i4>0</vt:i4>
      </vt:variant>
      <vt:variant>
        <vt:i4>5</vt:i4>
      </vt:variant>
      <vt:variant>
        <vt:lpwstr/>
      </vt:variant>
      <vt:variant>
        <vt:lpwstr>_Toc353032062</vt:lpwstr>
      </vt:variant>
      <vt:variant>
        <vt:i4>1441843</vt:i4>
      </vt:variant>
      <vt:variant>
        <vt:i4>144</vt:i4>
      </vt:variant>
      <vt:variant>
        <vt:i4>0</vt:i4>
      </vt:variant>
      <vt:variant>
        <vt:i4>5</vt:i4>
      </vt:variant>
      <vt:variant>
        <vt:lpwstr/>
      </vt:variant>
      <vt:variant>
        <vt:lpwstr>_Toc353032061</vt:lpwstr>
      </vt:variant>
      <vt:variant>
        <vt:i4>1441843</vt:i4>
      </vt:variant>
      <vt:variant>
        <vt:i4>138</vt:i4>
      </vt:variant>
      <vt:variant>
        <vt:i4>0</vt:i4>
      </vt:variant>
      <vt:variant>
        <vt:i4>5</vt:i4>
      </vt:variant>
      <vt:variant>
        <vt:lpwstr/>
      </vt:variant>
      <vt:variant>
        <vt:lpwstr>_Toc353032060</vt:lpwstr>
      </vt:variant>
      <vt:variant>
        <vt:i4>1376307</vt:i4>
      </vt:variant>
      <vt:variant>
        <vt:i4>132</vt:i4>
      </vt:variant>
      <vt:variant>
        <vt:i4>0</vt:i4>
      </vt:variant>
      <vt:variant>
        <vt:i4>5</vt:i4>
      </vt:variant>
      <vt:variant>
        <vt:lpwstr/>
      </vt:variant>
      <vt:variant>
        <vt:lpwstr>_Toc353032059</vt:lpwstr>
      </vt:variant>
      <vt:variant>
        <vt:i4>1376307</vt:i4>
      </vt:variant>
      <vt:variant>
        <vt:i4>126</vt:i4>
      </vt:variant>
      <vt:variant>
        <vt:i4>0</vt:i4>
      </vt:variant>
      <vt:variant>
        <vt:i4>5</vt:i4>
      </vt:variant>
      <vt:variant>
        <vt:lpwstr/>
      </vt:variant>
      <vt:variant>
        <vt:lpwstr>_Toc353032058</vt:lpwstr>
      </vt:variant>
      <vt:variant>
        <vt:i4>1376307</vt:i4>
      </vt:variant>
      <vt:variant>
        <vt:i4>120</vt:i4>
      </vt:variant>
      <vt:variant>
        <vt:i4>0</vt:i4>
      </vt:variant>
      <vt:variant>
        <vt:i4>5</vt:i4>
      </vt:variant>
      <vt:variant>
        <vt:lpwstr/>
      </vt:variant>
      <vt:variant>
        <vt:lpwstr>_Toc353032057</vt:lpwstr>
      </vt:variant>
      <vt:variant>
        <vt:i4>1376307</vt:i4>
      </vt:variant>
      <vt:variant>
        <vt:i4>114</vt:i4>
      </vt:variant>
      <vt:variant>
        <vt:i4>0</vt:i4>
      </vt:variant>
      <vt:variant>
        <vt:i4>5</vt:i4>
      </vt:variant>
      <vt:variant>
        <vt:lpwstr/>
      </vt:variant>
      <vt:variant>
        <vt:lpwstr>_Toc353032056</vt:lpwstr>
      </vt:variant>
      <vt:variant>
        <vt:i4>1376307</vt:i4>
      </vt:variant>
      <vt:variant>
        <vt:i4>108</vt:i4>
      </vt:variant>
      <vt:variant>
        <vt:i4>0</vt:i4>
      </vt:variant>
      <vt:variant>
        <vt:i4>5</vt:i4>
      </vt:variant>
      <vt:variant>
        <vt:lpwstr/>
      </vt:variant>
      <vt:variant>
        <vt:lpwstr>_Toc353032055</vt:lpwstr>
      </vt:variant>
      <vt:variant>
        <vt:i4>1376307</vt:i4>
      </vt:variant>
      <vt:variant>
        <vt:i4>102</vt:i4>
      </vt:variant>
      <vt:variant>
        <vt:i4>0</vt:i4>
      </vt:variant>
      <vt:variant>
        <vt:i4>5</vt:i4>
      </vt:variant>
      <vt:variant>
        <vt:lpwstr/>
      </vt:variant>
      <vt:variant>
        <vt:lpwstr>_Toc353032054</vt:lpwstr>
      </vt:variant>
      <vt:variant>
        <vt:i4>1376307</vt:i4>
      </vt:variant>
      <vt:variant>
        <vt:i4>96</vt:i4>
      </vt:variant>
      <vt:variant>
        <vt:i4>0</vt:i4>
      </vt:variant>
      <vt:variant>
        <vt:i4>5</vt:i4>
      </vt:variant>
      <vt:variant>
        <vt:lpwstr/>
      </vt:variant>
      <vt:variant>
        <vt:lpwstr>_Toc353032053</vt:lpwstr>
      </vt:variant>
      <vt:variant>
        <vt:i4>1376307</vt:i4>
      </vt:variant>
      <vt:variant>
        <vt:i4>90</vt:i4>
      </vt:variant>
      <vt:variant>
        <vt:i4>0</vt:i4>
      </vt:variant>
      <vt:variant>
        <vt:i4>5</vt:i4>
      </vt:variant>
      <vt:variant>
        <vt:lpwstr/>
      </vt:variant>
      <vt:variant>
        <vt:lpwstr>_Toc353032052</vt:lpwstr>
      </vt:variant>
      <vt:variant>
        <vt:i4>1376307</vt:i4>
      </vt:variant>
      <vt:variant>
        <vt:i4>84</vt:i4>
      </vt:variant>
      <vt:variant>
        <vt:i4>0</vt:i4>
      </vt:variant>
      <vt:variant>
        <vt:i4>5</vt:i4>
      </vt:variant>
      <vt:variant>
        <vt:lpwstr/>
      </vt:variant>
      <vt:variant>
        <vt:lpwstr>_Toc353032051</vt:lpwstr>
      </vt:variant>
      <vt:variant>
        <vt:i4>1376307</vt:i4>
      </vt:variant>
      <vt:variant>
        <vt:i4>78</vt:i4>
      </vt:variant>
      <vt:variant>
        <vt:i4>0</vt:i4>
      </vt:variant>
      <vt:variant>
        <vt:i4>5</vt:i4>
      </vt:variant>
      <vt:variant>
        <vt:lpwstr/>
      </vt:variant>
      <vt:variant>
        <vt:lpwstr>_Toc353032050</vt:lpwstr>
      </vt:variant>
      <vt:variant>
        <vt:i4>1310771</vt:i4>
      </vt:variant>
      <vt:variant>
        <vt:i4>72</vt:i4>
      </vt:variant>
      <vt:variant>
        <vt:i4>0</vt:i4>
      </vt:variant>
      <vt:variant>
        <vt:i4>5</vt:i4>
      </vt:variant>
      <vt:variant>
        <vt:lpwstr/>
      </vt:variant>
      <vt:variant>
        <vt:lpwstr>_Toc353032049</vt:lpwstr>
      </vt:variant>
      <vt:variant>
        <vt:i4>1310771</vt:i4>
      </vt:variant>
      <vt:variant>
        <vt:i4>66</vt:i4>
      </vt:variant>
      <vt:variant>
        <vt:i4>0</vt:i4>
      </vt:variant>
      <vt:variant>
        <vt:i4>5</vt:i4>
      </vt:variant>
      <vt:variant>
        <vt:lpwstr/>
      </vt:variant>
      <vt:variant>
        <vt:lpwstr>_Toc353032048</vt:lpwstr>
      </vt:variant>
      <vt:variant>
        <vt:i4>1310771</vt:i4>
      </vt:variant>
      <vt:variant>
        <vt:i4>60</vt:i4>
      </vt:variant>
      <vt:variant>
        <vt:i4>0</vt:i4>
      </vt:variant>
      <vt:variant>
        <vt:i4>5</vt:i4>
      </vt:variant>
      <vt:variant>
        <vt:lpwstr/>
      </vt:variant>
      <vt:variant>
        <vt:lpwstr>_Toc353032047</vt:lpwstr>
      </vt:variant>
      <vt:variant>
        <vt:i4>1310771</vt:i4>
      </vt:variant>
      <vt:variant>
        <vt:i4>54</vt:i4>
      </vt:variant>
      <vt:variant>
        <vt:i4>0</vt:i4>
      </vt:variant>
      <vt:variant>
        <vt:i4>5</vt:i4>
      </vt:variant>
      <vt:variant>
        <vt:lpwstr/>
      </vt:variant>
      <vt:variant>
        <vt:lpwstr>_Toc353032046</vt:lpwstr>
      </vt:variant>
      <vt:variant>
        <vt:i4>1310771</vt:i4>
      </vt:variant>
      <vt:variant>
        <vt:i4>48</vt:i4>
      </vt:variant>
      <vt:variant>
        <vt:i4>0</vt:i4>
      </vt:variant>
      <vt:variant>
        <vt:i4>5</vt:i4>
      </vt:variant>
      <vt:variant>
        <vt:lpwstr/>
      </vt:variant>
      <vt:variant>
        <vt:lpwstr>_Toc353032045</vt:lpwstr>
      </vt:variant>
      <vt:variant>
        <vt:i4>1310771</vt:i4>
      </vt:variant>
      <vt:variant>
        <vt:i4>42</vt:i4>
      </vt:variant>
      <vt:variant>
        <vt:i4>0</vt:i4>
      </vt:variant>
      <vt:variant>
        <vt:i4>5</vt:i4>
      </vt:variant>
      <vt:variant>
        <vt:lpwstr/>
      </vt:variant>
      <vt:variant>
        <vt:lpwstr>_Toc353032044</vt:lpwstr>
      </vt:variant>
      <vt:variant>
        <vt:i4>1310771</vt:i4>
      </vt:variant>
      <vt:variant>
        <vt:i4>36</vt:i4>
      </vt:variant>
      <vt:variant>
        <vt:i4>0</vt:i4>
      </vt:variant>
      <vt:variant>
        <vt:i4>5</vt:i4>
      </vt:variant>
      <vt:variant>
        <vt:lpwstr/>
      </vt:variant>
      <vt:variant>
        <vt:lpwstr>_Toc353032043</vt:lpwstr>
      </vt:variant>
      <vt:variant>
        <vt:i4>1310771</vt:i4>
      </vt:variant>
      <vt:variant>
        <vt:i4>30</vt:i4>
      </vt:variant>
      <vt:variant>
        <vt:i4>0</vt:i4>
      </vt:variant>
      <vt:variant>
        <vt:i4>5</vt:i4>
      </vt:variant>
      <vt:variant>
        <vt:lpwstr/>
      </vt:variant>
      <vt:variant>
        <vt:lpwstr>_Toc353032042</vt:lpwstr>
      </vt:variant>
      <vt:variant>
        <vt:i4>1310771</vt:i4>
      </vt:variant>
      <vt:variant>
        <vt:i4>24</vt:i4>
      </vt:variant>
      <vt:variant>
        <vt:i4>0</vt:i4>
      </vt:variant>
      <vt:variant>
        <vt:i4>5</vt:i4>
      </vt:variant>
      <vt:variant>
        <vt:lpwstr/>
      </vt:variant>
      <vt:variant>
        <vt:lpwstr>_Toc353032041</vt:lpwstr>
      </vt:variant>
      <vt:variant>
        <vt:i4>1310771</vt:i4>
      </vt:variant>
      <vt:variant>
        <vt:i4>18</vt:i4>
      </vt:variant>
      <vt:variant>
        <vt:i4>0</vt:i4>
      </vt:variant>
      <vt:variant>
        <vt:i4>5</vt:i4>
      </vt:variant>
      <vt:variant>
        <vt:lpwstr/>
      </vt:variant>
      <vt:variant>
        <vt:lpwstr>_Toc353032040</vt:lpwstr>
      </vt:variant>
      <vt:variant>
        <vt:i4>1245235</vt:i4>
      </vt:variant>
      <vt:variant>
        <vt:i4>12</vt:i4>
      </vt:variant>
      <vt:variant>
        <vt:i4>0</vt:i4>
      </vt:variant>
      <vt:variant>
        <vt:i4>5</vt:i4>
      </vt:variant>
      <vt:variant>
        <vt:lpwstr/>
      </vt:variant>
      <vt:variant>
        <vt:lpwstr>_Toc353032039</vt:lpwstr>
      </vt:variant>
      <vt:variant>
        <vt:i4>1245235</vt:i4>
      </vt:variant>
      <vt:variant>
        <vt:i4>6</vt:i4>
      </vt:variant>
      <vt:variant>
        <vt:i4>0</vt:i4>
      </vt:variant>
      <vt:variant>
        <vt:i4>5</vt:i4>
      </vt:variant>
      <vt:variant>
        <vt:lpwstr/>
      </vt:variant>
      <vt:variant>
        <vt:lpwstr>_Toc353032038</vt:lpwstr>
      </vt:variant>
      <vt:variant>
        <vt:i4>6291563</vt:i4>
      </vt:variant>
      <vt:variant>
        <vt:i4>72</vt:i4>
      </vt:variant>
      <vt:variant>
        <vt:i4>0</vt:i4>
      </vt:variant>
      <vt:variant>
        <vt:i4>5</vt:i4>
      </vt:variant>
      <vt:variant>
        <vt:lpwstr>http://www.westlaw.com/Find/Default.wl?rs=++++1.0&amp;vr=2.0&amp;DB=1000547&amp;DocName=47CFRS90.33&amp;FindType=L</vt:lpwstr>
      </vt:variant>
      <vt:variant>
        <vt:lpwstr/>
      </vt:variant>
      <vt:variant>
        <vt:i4>6422637</vt:i4>
      </vt:variant>
      <vt:variant>
        <vt:i4>69</vt:i4>
      </vt:variant>
      <vt:variant>
        <vt:i4>0</vt:i4>
      </vt:variant>
      <vt:variant>
        <vt:i4>5</vt:i4>
      </vt:variant>
      <vt:variant>
        <vt:lpwstr>http://www.westlaw.com/Find/Default.wl?rs=++++1.0&amp;vr=2.0&amp;DB=1000547&amp;DocName=47CFRS90.15&amp;FindType=L</vt:lpwstr>
      </vt:variant>
      <vt:variant>
        <vt:lpwstr/>
      </vt:variant>
      <vt:variant>
        <vt:i4>8061012</vt:i4>
      </vt:variant>
      <vt:variant>
        <vt:i4>66</vt:i4>
      </vt:variant>
      <vt:variant>
        <vt:i4>0</vt:i4>
      </vt:variant>
      <vt:variant>
        <vt:i4>5</vt:i4>
      </vt:variant>
      <vt:variant>
        <vt:lpwstr>http://web2.westlaw.com/Find/Default.wl?DB=1000547&amp;DocName=47CFRS95%2E401&amp;FindType=L&amp;AP=&amp;RS=WLW2.86&amp;VR=2.0&amp;SV=Split&amp;MT=Westlaw&amp;FN=_top</vt:lpwstr>
      </vt:variant>
      <vt:variant>
        <vt:lpwstr/>
      </vt:variant>
      <vt:variant>
        <vt:i4>2162789</vt:i4>
      </vt:variant>
      <vt:variant>
        <vt:i4>63</vt:i4>
      </vt:variant>
      <vt:variant>
        <vt:i4>0</vt:i4>
      </vt:variant>
      <vt:variant>
        <vt:i4>5</vt:i4>
      </vt:variant>
      <vt:variant>
        <vt:lpwstr>http://www.census.gov/naics/2007/def/ND517110.HTM</vt:lpwstr>
      </vt:variant>
      <vt:variant>
        <vt:lpwstr>N517110</vt:lpwstr>
      </vt:variant>
      <vt:variant>
        <vt:i4>6422562</vt:i4>
      </vt:variant>
      <vt:variant>
        <vt:i4>60</vt:i4>
      </vt:variant>
      <vt:variant>
        <vt:i4>0</vt:i4>
      </vt:variant>
      <vt:variant>
        <vt:i4>5</vt:i4>
      </vt:variant>
      <vt:variant>
        <vt:lpwstr>http://transition.fcc.gov/Daily_Releases/Daily_Business/2012/db0106/DOC-311837A1.pdf</vt:lpwstr>
      </vt:variant>
      <vt:variant>
        <vt:lpwstr/>
      </vt:variant>
      <vt:variant>
        <vt:i4>2162791</vt:i4>
      </vt:variant>
      <vt:variant>
        <vt:i4>57</vt:i4>
      </vt:variant>
      <vt:variant>
        <vt:i4>0</vt:i4>
      </vt:variant>
      <vt:variant>
        <vt:i4>5</vt:i4>
      </vt:variant>
      <vt:variant>
        <vt:lpwstr>http://www.census.gov/naics/2007/def/ND515112.HTM</vt:lpwstr>
      </vt:variant>
      <vt:variant>
        <vt:lpwstr>N515112</vt:lpwstr>
      </vt:variant>
      <vt:variant>
        <vt:i4>6422562</vt:i4>
      </vt:variant>
      <vt:variant>
        <vt:i4>54</vt:i4>
      </vt:variant>
      <vt:variant>
        <vt:i4>0</vt:i4>
      </vt:variant>
      <vt:variant>
        <vt:i4>5</vt:i4>
      </vt:variant>
      <vt:variant>
        <vt:lpwstr>http://transition.fcc.gov/Daily_Releases/Daily_Business/2012/db0106/DOC-311837A1.pdf</vt:lpwstr>
      </vt:variant>
      <vt:variant>
        <vt:lpwstr/>
      </vt:variant>
      <vt:variant>
        <vt:i4>6422562</vt:i4>
      </vt:variant>
      <vt:variant>
        <vt:i4>51</vt:i4>
      </vt:variant>
      <vt:variant>
        <vt:i4>0</vt:i4>
      </vt:variant>
      <vt:variant>
        <vt:i4>5</vt:i4>
      </vt:variant>
      <vt:variant>
        <vt:lpwstr>http://transition.fcc.gov/Daily_Releases/Daily_Business/2012/db0106/DOC-311837A1.pdf</vt:lpwstr>
      </vt:variant>
      <vt:variant>
        <vt:lpwstr/>
      </vt:variant>
      <vt:variant>
        <vt:i4>6422562</vt:i4>
      </vt:variant>
      <vt:variant>
        <vt:i4>48</vt:i4>
      </vt:variant>
      <vt:variant>
        <vt:i4>0</vt:i4>
      </vt:variant>
      <vt:variant>
        <vt:i4>5</vt:i4>
      </vt:variant>
      <vt:variant>
        <vt:lpwstr>http://transition.fcc.gov/Daily_Releases/Daily_Business/2012/db0106/DOC-311837A1.pdf</vt:lpwstr>
      </vt:variant>
      <vt:variant>
        <vt:lpwstr/>
      </vt:variant>
      <vt:variant>
        <vt:i4>2162789</vt:i4>
      </vt:variant>
      <vt:variant>
        <vt:i4>45</vt:i4>
      </vt:variant>
      <vt:variant>
        <vt:i4>0</vt:i4>
      </vt:variant>
      <vt:variant>
        <vt:i4>5</vt:i4>
      </vt:variant>
      <vt:variant>
        <vt:lpwstr>http://www.census.gov/naics/2007/def/ND515120.HTM</vt:lpwstr>
      </vt:variant>
      <vt:variant>
        <vt:lpwstr>N515120</vt:lpwstr>
      </vt:variant>
      <vt:variant>
        <vt:i4>7471129</vt:i4>
      </vt:variant>
      <vt:variant>
        <vt:i4>42</vt:i4>
      </vt:variant>
      <vt:variant>
        <vt:i4>0</vt:i4>
      </vt:variant>
      <vt:variant>
        <vt:i4>5</vt:i4>
      </vt:variant>
      <vt:variant>
        <vt:lpwstr>https://web2.westlaw.com/find/default.wl?mt=122&amp;db=4493&amp;tc=-1&amp;rp=%2ffind%2fdefault.wl&amp;findtype=Y&amp;ordoc=2027888090&amp;serialnum=1997260934&amp;vr=2.0&amp;fn=_top&amp;sv=Split&amp;tf=-1&amp;referencepositiontype=S&amp;pbc=F7F00C7D&amp;referenceposition=12689&amp;rs=WLW12.04</vt:lpwstr>
      </vt:variant>
      <vt:variant>
        <vt:lpwstr/>
      </vt:variant>
      <vt:variant>
        <vt:i4>6029363</vt:i4>
      </vt:variant>
      <vt:variant>
        <vt:i4>39</vt:i4>
      </vt:variant>
      <vt:variant>
        <vt:i4>0</vt:i4>
      </vt:variant>
      <vt:variant>
        <vt:i4>5</vt:i4>
      </vt:variant>
      <vt:variant>
        <vt:lpwstr>https://web2.westlaw.com/find/default.wl?mt=122&amp;db=0004493&amp;tc=-1&amp;rp=%2ffind%2fdefault.wl&amp;findtype=Y&amp;ordoc=2027888090&amp;serialnum=1997260934&amp;vr=2.0&amp;fn=_top&amp;sv=Split&amp;tf=-1&amp;referencepositiontype=S&amp;pbc=F7F00C7D&amp;referenceposition=12689&amp;rs=WLW12.04</vt:lpwstr>
      </vt:variant>
      <vt:variant>
        <vt:lpwstr/>
      </vt:variant>
      <vt:variant>
        <vt:i4>2883710</vt:i4>
      </vt:variant>
      <vt:variant>
        <vt:i4>36</vt:i4>
      </vt:variant>
      <vt:variant>
        <vt:i4>0</vt:i4>
      </vt:variant>
      <vt:variant>
        <vt:i4>5</vt:i4>
      </vt:variant>
      <vt:variant>
        <vt:lpwstr>http://factfinder.census.gov/servlet/IBQTable?_bm=y&amp;-fds_name=EC0700A1&amp;-geo_id=&amp;-_skip=600&amp;-ds_name=EC0751SSSZ5&amp;-_lang=en</vt:lpwstr>
      </vt:variant>
      <vt:variant>
        <vt:lpwstr/>
      </vt:variant>
      <vt:variant>
        <vt:i4>2162789</vt:i4>
      </vt:variant>
      <vt:variant>
        <vt:i4>33</vt:i4>
      </vt:variant>
      <vt:variant>
        <vt:i4>0</vt:i4>
      </vt:variant>
      <vt:variant>
        <vt:i4>5</vt:i4>
      </vt:variant>
      <vt:variant>
        <vt:lpwstr>http://www.census.gov/naics/2007/def/ND517210.HTM</vt:lpwstr>
      </vt:variant>
      <vt:variant>
        <vt:lpwstr>N517210</vt:lpwstr>
      </vt:variant>
      <vt:variant>
        <vt:i4>2883710</vt:i4>
      </vt:variant>
      <vt:variant>
        <vt:i4>30</vt:i4>
      </vt:variant>
      <vt:variant>
        <vt:i4>0</vt:i4>
      </vt:variant>
      <vt:variant>
        <vt:i4>5</vt:i4>
      </vt:variant>
      <vt:variant>
        <vt:lpwstr>http://factfinder.census.gov/servlet/IBQTable?_bm=y&amp;-fds_name=EC0700A1&amp;-geo_id=&amp;-_skip=600&amp;-ds_name=EC0751SSSZ5&amp;-_lang=en</vt:lpwstr>
      </vt:variant>
      <vt:variant>
        <vt:lpwstr/>
      </vt:variant>
      <vt:variant>
        <vt:i4>6619263</vt:i4>
      </vt:variant>
      <vt:variant>
        <vt:i4>27</vt:i4>
      </vt:variant>
      <vt:variant>
        <vt:i4>0</vt:i4>
      </vt:variant>
      <vt:variant>
        <vt:i4>5</vt:i4>
      </vt:variant>
      <vt:variant>
        <vt:lpwstr>http://www.census.gov/cgi-bin/sssd/naics/naicsrch?code=517210&amp;search=2007%20NAICS%20Search</vt:lpwstr>
      </vt:variant>
      <vt:variant>
        <vt:lpwstr/>
      </vt:variant>
      <vt:variant>
        <vt:i4>2883710</vt:i4>
      </vt:variant>
      <vt:variant>
        <vt:i4>24</vt:i4>
      </vt:variant>
      <vt:variant>
        <vt:i4>0</vt:i4>
      </vt:variant>
      <vt:variant>
        <vt:i4>5</vt:i4>
      </vt:variant>
      <vt:variant>
        <vt:lpwstr>http://factfinder.census.gov/servlet/IBQTable?_bm=y&amp;-fds_name=EC0700A1&amp;-geo_id=&amp;-_skip=600&amp;-ds_name=EC0751SSSZ5&amp;-_lang=en</vt:lpwstr>
      </vt:variant>
      <vt:variant>
        <vt:lpwstr/>
      </vt:variant>
      <vt:variant>
        <vt:i4>2752559</vt:i4>
      </vt:variant>
      <vt:variant>
        <vt:i4>21</vt:i4>
      </vt:variant>
      <vt:variant>
        <vt:i4>0</vt:i4>
      </vt:variant>
      <vt:variant>
        <vt:i4>5</vt:i4>
      </vt:variant>
      <vt:variant>
        <vt:lpwstr>http://web.sba.gov/faqs</vt:lpwstr>
      </vt:variant>
      <vt:variant>
        <vt:lpwstr/>
      </vt:variant>
      <vt:variant>
        <vt:i4>6815776</vt:i4>
      </vt:variant>
      <vt:variant>
        <vt:i4>18</vt:i4>
      </vt:variant>
      <vt:variant>
        <vt:i4>0</vt:i4>
      </vt:variant>
      <vt:variant>
        <vt:i4>5</vt:i4>
      </vt:variant>
      <vt:variant>
        <vt:lpwstr>http://www.whitehouse.gov/the-press-office/2011/06/13/executive-order-13576-delivering-efficient-effective-and-accountable-gov</vt:lpwstr>
      </vt:variant>
      <vt:variant>
        <vt:lpwstr/>
      </vt:variant>
      <vt:variant>
        <vt:i4>1441874</vt:i4>
      </vt:variant>
      <vt:variant>
        <vt:i4>15</vt:i4>
      </vt:variant>
      <vt:variant>
        <vt:i4>0</vt:i4>
      </vt:variant>
      <vt:variant>
        <vt:i4>5</vt:i4>
      </vt:variant>
      <vt:variant>
        <vt:lpwstr>http://pewinternet.org/Reports/2012/Smartphone-Update-2012/Findings.aspx</vt:lpwstr>
      </vt:variant>
      <vt:variant>
        <vt:lpwstr/>
      </vt:variant>
      <vt:variant>
        <vt:i4>2752560</vt:i4>
      </vt:variant>
      <vt:variant>
        <vt:i4>12</vt:i4>
      </vt:variant>
      <vt:variant>
        <vt:i4>0</vt:i4>
      </vt:variant>
      <vt:variant>
        <vt:i4>5</vt:i4>
      </vt:variant>
      <vt:variant>
        <vt:lpwstr>http://www.ntia.doc.gov/report/2011/exploring-digital-nation-computer-and-internet-use-home</vt:lpwstr>
      </vt:variant>
      <vt:variant>
        <vt:lpwstr/>
      </vt:variant>
      <vt:variant>
        <vt:i4>6029312</vt:i4>
      </vt:variant>
      <vt:variant>
        <vt:i4>9</vt:i4>
      </vt:variant>
      <vt:variant>
        <vt:i4>0</vt:i4>
      </vt:variant>
      <vt:variant>
        <vt:i4>5</vt:i4>
      </vt:variant>
      <vt:variant>
        <vt:lpwstr>http://www22.verizon.com/?lid=//global//residential.</vt:lpwstr>
      </vt:variant>
      <vt:variant>
        <vt:lpwstr/>
      </vt:variant>
      <vt:variant>
        <vt:i4>786518</vt:i4>
      </vt:variant>
      <vt:variant>
        <vt:i4>6</vt:i4>
      </vt:variant>
      <vt:variant>
        <vt:i4>0</vt:i4>
      </vt:variant>
      <vt:variant>
        <vt:i4>5</vt:i4>
      </vt:variant>
      <vt:variant>
        <vt:lpwstr>http://www.comcast.com/Corporate/Learn/Bundles/bundles.html.</vt:lpwstr>
      </vt:variant>
      <vt:variant>
        <vt:lpwstr/>
      </vt:variant>
      <vt:variant>
        <vt:i4>1441874</vt:i4>
      </vt:variant>
      <vt:variant>
        <vt:i4>3</vt:i4>
      </vt:variant>
      <vt:variant>
        <vt:i4>0</vt:i4>
      </vt:variant>
      <vt:variant>
        <vt:i4>5</vt:i4>
      </vt:variant>
      <vt:variant>
        <vt:lpwstr>http://pewinternet.org/Reports/2012/Smartphone-Update-2012/Findings.aspx</vt:lpwstr>
      </vt:variant>
      <vt:variant>
        <vt:lpwstr/>
      </vt:variant>
      <vt:variant>
        <vt:i4>2752560</vt:i4>
      </vt:variant>
      <vt:variant>
        <vt:i4>0</vt:i4>
      </vt:variant>
      <vt:variant>
        <vt:i4>0</vt:i4>
      </vt:variant>
      <vt:variant>
        <vt:i4>5</vt:i4>
      </vt:variant>
      <vt:variant>
        <vt:lpwstr>http://www.ntia.doc.gov/report/2011/exploring-digital-nation-computer-and-internet-use-home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2013-08-07T22:26:00Z</cp:lastPrinted>
  <dcterms:created xsi:type="dcterms:W3CDTF">2014-04-15T17:53:00Z</dcterms:created>
  <dcterms:modified xsi:type="dcterms:W3CDTF">2014-04-15T17:53:00Z</dcterms:modified>
</cp:coreProperties>
</file>