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F7A" w:rsidRPr="00C3472A" w:rsidRDefault="002A6F7A">
      <w:pPr>
        <w:pStyle w:val="Heading2"/>
        <w:rPr>
          <w:sz w:val="22"/>
          <w:szCs w:val="22"/>
        </w:rPr>
      </w:pPr>
      <w:bookmarkStart w:id="0" w:name="_GoBack"/>
      <w:bookmarkEnd w:id="0"/>
      <w:r w:rsidRPr="00C3472A">
        <w:rPr>
          <w:sz w:val="22"/>
          <w:szCs w:val="22"/>
        </w:rPr>
        <w:t>SUPPORTING STATEMENT</w:t>
      </w:r>
    </w:p>
    <w:p w:rsidR="002A6F7A" w:rsidRPr="00C3472A" w:rsidRDefault="002A6F7A">
      <w:pPr>
        <w:jc w:val="center"/>
        <w:rPr>
          <w:b/>
          <w:sz w:val="22"/>
          <w:szCs w:val="22"/>
        </w:rPr>
      </w:pPr>
    </w:p>
    <w:p w:rsidR="002A6F7A" w:rsidRPr="00C3472A" w:rsidRDefault="002A6F7A">
      <w:pPr>
        <w:pStyle w:val="Heading1"/>
        <w:rPr>
          <w:sz w:val="22"/>
          <w:szCs w:val="22"/>
        </w:rPr>
      </w:pPr>
      <w:r w:rsidRPr="00C3472A">
        <w:rPr>
          <w:sz w:val="22"/>
          <w:szCs w:val="22"/>
        </w:rPr>
        <w:t>A.  Justification</w:t>
      </w:r>
    </w:p>
    <w:p w:rsidR="002A6F7A" w:rsidRPr="00C3472A" w:rsidRDefault="002A6F7A">
      <w:pPr>
        <w:suppressAutoHyphens/>
        <w:rPr>
          <w:sz w:val="22"/>
          <w:szCs w:val="22"/>
        </w:rPr>
      </w:pPr>
    </w:p>
    <w:p w:rsidR="00D10E81" w:rsidRPr="00C3472A" w:rsidRDefault="00D10E81" w:rsidP="00D10E81">
      <w:pPr>
        <w:rPr>
          <w:sz w:val="22"/>
          <w:szCs w:val="22"/>
        </w:rPr>
      </w:pPr>
      <w:r w:rsidRPr="00C3472A">
        <w:rPr>
          <w:b/>
          <w:sz w:val="22"/>
          <w:szCs w:val="22"/>
        </w:rPr>
        <w:t>Background</w:t>
      </w:r>
    </w:p>
    <w:p w:rsidR="00D10E81" w:rsidRPr="00C3472A" w:rsidRDefault="00D10E81" w:rsidP="00D10E81">
      <w:pPr>
        <w:rPr>
          <w:sz w:val="22"/>
          <w:szCs w:val="22"/>
        </w:rPr>
      </w:pPr>
    </w:p>
    <w:p w:rsidR="00C3472A" w:rsidRPr="00C3472A" w:rsidRDefault="00D10E81" w:rsidP="00D10E81">
      <w:pPr>
        <w:suppressAutoHyphens/>
        <w:rPr>
          <w:sz w:val="22"/>
          <w:szCs w:val="22"/>
        </w:rPr>
      </w:pPr>
      <w:r w:rsidRPr="00C3472A">
        <w:rPr>
          <w:sz w:val="22"/>
          <w:szCs w:val="22"/>
        </w:rPr>
        <w:t xml:space="preserve">1.  </w:t>
      </w:r>
      <w:r w:rsidR="0018413A" w:rsidRPr="00F661BE">
        <w:rPr>
          <w:sz w:val="22"/>
          <w:szCs w:val="22"/>
        </w:rPr>
        <w:t>In 2009, the Federal Communications Commission (“Commission”) released a Notice of Proposed Rulemaking (</w:t>
      </w:r>
      <w:r w:rsidR="0018413A">
        <w:rPr>
          <w:sz w:val="22"/>
          <w:szCs w:val="22"/>
        </w:rPr>
        <w:t>“</w:t>
      </w:r>
      <w:r w:rsidR="0018413A" w:rsidRPr="00F661BE">
        <w:rPr>
          <w:sz w:val="22"/>
          <w:szCs w:val="22"/>
        </w:rPr>
        <w:t>NPRM</w:t>
      </w:r>
      <w:r w:rsidR="0018413A">
        <w:rPr>
          <w:sz w:val="22"/>
          <w:szCs w:val="22"/>
        </w:rPr>
        <w:t>”</w:t>
      </w:r>
      <w:r w:rsidR="0018413A" w:rsidRPr="00F661BE">
        <w:rPr>
          <w:sz w:val="22"/>
          <w:szCs w:val="22"/>
        </w:rPr>
        <w:t>) to determine whether and what actions might be necessary to preserve the characteristi</w:t>
      </w:r>
      <w:r w:rsidR="0018413A">
        <w:rPr>
          <w:sz w:val="22"/>
          <w:szCs w:val="22"/>
        </w:rPr>
        <w:t>c</w:t>
      </w:r>
      <w:r w:rsidR="0018413A" w:rsidRPr="00F661BE">
        <w:rPr>
          <w:sz w:val="22"/>
          <w:szCs w:val="22"/>
        </w:rPr>
        <w:t xml:space="preserve">s that have allowed the Internet to grow into an indispensable platform supporting our nation’s economy and civic life, and to foster continued investment in the physical networks that enable the Internet.  </w:t>
      </w:r>
      <w:r w:rsidR="0018413A">
        <w:rPr>
          <w:sz w:val="22"/>
          <w:szCs w:val="22"/>
        </w:rPr>
        <w:t>The NPRM specifically noted the proposed information collections and sought public comment thereon.</w:t>
      </w:r>
      <w:r w:rsidR="0018413A">
        <w:rPr>
          <w:rStyle w:val="FootnoteReference"/>
          <w:sz w:val="22"/>
          <w:szCs w:val="22"/>
        </w:rPr>
        <w:footnoteReference w:id="1"/>
      </w:r>
      <w:r w:rsidR="0018413A">
        <w:rPr>
          <w:sz w:val="22"/>
          <w:szCs w:val="22"/>
        </w:rPr>
        <w:t xml:space="preserve">  </w:t>
      </w:r>
      <w:r w:rsidR="0018413A" w:rsidRPr="00F661BE">
        <w:rPr>
          <w:sz w:val="22"/>
          <w:szCs w:val="22"/>
        </w:rPr>
        <w:t>The comments filed in response to the NPRM included input from more than 100,000 individuals and organizations and several public workshops.  On December 21, 2010</w:t>
      </w:r>
      <w:r w:rsidR="0018413A">
        <w:rPr>
          <w:sz w:val="22"/>
          <w:szCs w:val="22"/>
        </w:rPr>
        <w:t>,</w:t>
      </w:r>
      <w:r w:rsidR="0018413A" w:rsidRPr="00F661BE">
        <w:rPr>
          <w:sz w:val="22"/>
          <w:szCs w:val="22"/>
        </w:rPr>
        <w:t xml:space="preserve"> the Commission adopted the </w:t>
      </w:r>
      <w:r w:rsidR="0018413A" w:rsidRPr="00256FAA">
        <w:rPr>
          <w:i/>
          <w:sz w:val="22"/>
          <w:szCs w:val="22"/>
        </w:rPr>
        <w:t>Preserving the Open Internet and Broadband Industry Practices Report and Order</w:t>
      </w:r>
      <w:r w:rsidR="0018413A" w:rsidRPr="00F661BE">
        <w:rPr>
          <w:sz w:val="22"/>
          <w:szCs w:val="22"/>
        </w:rPr>
        <w:t xml:space="preserve"> (</w:t>
      </w:r>
      <w:r w:rsidR="0018413A">
        <w:rPr>
          <w:sz w:val="22"/>
          <w:szCs w:val="22"/>
        </w:rPr>
        <w:t>“</w:t>
      </w:r>
      <w:r w:rsidR="0018413A" w:rsidRPr="00F661BE">
        <w:rPr>
          <w:i/>
          <w:sz w:val="22"/>
          <w:szCs w:val="22"/>
        </w:rPr>
        <w:t>O</w:t>
      </w:r>
      <w:r w:rsidR="0018413A">
        <w:rPr>
          <w:i/>
          <w:sz w:val="22"/>
          <w:szCs w:val="22"/>
        </w:rPr>
        <w:t>pen Internet Order</w:t>
      </w:r>
      <w:r w:rsidR="0018413A">
        <w:rPr>
          <w:sz w:val="22"/>
          <w:szCs w:val="22"/>
        </w:rPr>
        <w:t>”)</w:t>
      </w:r>
      <w:r w:rsidR="0018413A" w:rsidRPr="00F661BE">
        <w:rPr>
          <w:sz w:val="22"/>
          <w:szCs w:val="22"/>
        </w:rPr>
        <w:t>.</w:t>
      </w:r>
      <w:r w:rsidR="0018413A">
        <w:rPr>
          <w:rStyle w:val="FootnoteReference"/>
          <w:sz w:val="22"/>
          <w:szCs w:val="22"/>
        </w:rPr>
        <w:footnoteReference w:id="2"/>
      </w:r>
      <w:r w:rsidR="0018413A" w:rsidRPr="00F661BE">
        <w:rPr>
          <w:sz w:val="22"/>
          <w:szCs w:val="22"/>
        </w:rPr>
        <w:t xml:space="preserve">  </w:t>
      </w:r>
    </w:p>
    <w:p w:rsidR="005F30D9" w:rsidRDefault="005F30D9" w:rsidP="00C3472A">
      <w:pPr>
        <w:suppressAutoHyphens/>
        <w:rPr>
          <w:sz w:val="22"/>
          <w:szCs w:val="22"/>
        </w:rPr>
      </w:pPr>
    </w:p>
    <w:p w:rsidR="00C3472A" w:rsidRPr="00FE0F48" w:rsidRDefault="0018413A" w:rsidP="00C3472A">
      <w:pPr>
        <w:suppressAutoHyphens/>
        <w:rPr>
          <w:sz w:val="22"/>
          <w:szCs w:val="22"/>
        </w:rPr>
      </w:pPr>
      <w:r w:rsidRPr="00593EA7">
        <w:rPr>
          <w:sz w:val="22"/>
          <w:szCs w:val="22"/>
        </w:rPr>
        <w:t xml:space="preserve">The statutory authority for the information collection requirements </w:t>
      </w:r>
      <w:r w:rsidR="00107E1D">
        <w:rPr>
          <w:sz w:val="22"/>
          <w:szCs w:val="22"/>
        </w:rPr>
        <w:t>is</w:t>
      </w:r>
      <w:r w:rsidRPr="00593EA7">
        <w:rPr>
          <w:sz w:val="22"/>
          <w:szCs w:val="22"/>
        </w:rPr>
        <w:t xml:space="preserve"> contained in 47 U.S.C. 151, </w:t>
      </w:r>
      <w:r>
        <w:rPr>
          <w:color w:val="151414"/>
          <w:sz w:val="22"/>
          <w:szCs w:val="22"/>
        </w:rPr>
        <w:t xml:space="preserve">152, 153, 154, 201, 218, 230, 251, 254, 256, 257, 301, 303, 304, 307, 309, 316, 332, 403, 503, 522, 536, 548, </w:t>
      </w:r>
      <w:r w:rsidRPr="00FE0F48">
        <w:rPr>
          <w:color w:val="151414"/>
          <w:sz w:val="22"/>
          <w:szCs w:val="22"/>
        </w:rPr>
        <w:t>and 1302</w:t>
      </w:r>
      <w:r w:rsidRPr="00FE0F48">
        <w:rPr>
          <w:sz w:val="22"/>
          <w:szCs w:val="22"/>
        </w:rPr>
        <w:t xml:space="preserve">.  </w:t>
      </w:r>
    </w:p>
    <w:p w:rsidR="00C3472A" w:rsidRPr="00FE0F48" w:rsidRDefault="00C3472A" w:rsidP="00C3472A">
      <w:pPr>
        <w:numPr>
          <w:ilvl w:val="1"/>
          <w:numId w:val="0"/>
        </w:numPr>
        <w:tabs>
          <w:tab w:val="left" w:pos="-720"/>
        </w:tabs>
        <w:suppressAutoHyphens/>
        <w:spacing w:line="240" w:lineRule="atLeast"/>
        <w:rPr>
          <w:sz w:val="22"/>
          <w:szCs w:val="22"/>
        </w:rPr>
      </w:pPr>
    </w:p>
    <w:p w:rsidR="00C3472A" w:rsidRDefault="00B909FA" w:rsidP="000A3D48">
      <w:pPr>
        <w:suppressAutoHyphens/>
        <w:rPr>
          <w:spacing w:val="-3"/>
          <w:sz w:val="22"/>
          <w:szCs w:val="22"/>
        </w:rPr>
      </w:pPr>
      <w:r w:rsidRPr="00FE0F48">
        <w:rPr>
          <w:spacing w:val="-3"/>
          <w:sz w:val="22"/>
          <w:szCs w:val="22"/>
        </w:rPr>
        <w:t xml:space="preserve">This information collection </w:t>
      </w:r>
      <w:r w:rsidR="00571C11">
        <w:rPr>
          <w:spacing w:val="-3"/>
          <w:sz w:val="22"/>
          <w:szCs w:val="22"/>
        </w:rPr>
        <w:t xml:space="preserve">may affect </w:t>
      </w:r>
      <w:r w:rsidRPr="00FE0F48">
        <w:rPr>
          <w:spacing w:val="-3"/>
          <w:sz w:val="22"/>
          <w:szCs w:val="22"/>
        </w:rPr>
        <w:t xml:space="preserve">individuals or households, and thus, there </w:t>
      </w:r>
      <w:r w:rsidR="000B616C">
        <w:rPr>
          <w:spacing w:val="-3"/>
          <w:sz w:val="22"/>
          <w:szCs w:val="22"/>
        </w:rPr>
        <w:t xml:space="preserve">may be </w:t>
      </w:r>
      <w:r w:rsidRPr="00FE0F48">
        <w:rPr>
          <w:spacing w:val="-3"/>
          <w:sz w:val="22"/>
          <w:szCs w:val="22"/>
        </w:rPr>
        <w:t>i</w:t>
      </w:r>
      <w:r w:rsidR="008A4EAD" w:rsidRPr="00FE0F48">
        <w:rPr>
          <w:spacing w:val="-3"/>
          <w:sz w:val="22"/>
          <w:szCs w:val="22"/>
        </w:rPr>
        <w:t>mpacts under the Privacy Act.</w:t>
      </w:r>
      <w:r w:rsidR="000A3D48" w:rsidRPr="00FE0F48">
        <w:rPr>
          <w:spacing w:val="-3"/>
          <w:sz w:val="22"/>
          <w:szCs w:val="22"/>
        </w:rPr>
        <w:t xml:space="preserve">  The </w:t>
      </w:r>
      <w:r w:rsidR="00A83866" w:rsidRPr="00FE0F48">
        <w:rPr>
          <w:spacing w:val="-3"/>
          <w:sz w:val="22"/>
          <w:szCs w:val="22"/>
        </w:rPr>
        <w:t xml:space="preserve">Privacy Act </w:t>
      </w:r>
      <w:r w:rsidR="000A3D48" w:rsidRPr="00FE0F48">
        <w:rPr>
          <w:spacing w:val="-3"/>
          <w:sz w:val="22"/>
          <w:szCs w:val="22"/>
        </w:rPr>
        <w:t xml:space="preserve">requires </w:t>
      </w:r>
      <w:r w:rsidR="00FE0F48" w:rsidRPr="00FE0F48">
        <w:rPr>
          <w:spacing w:val="-3"/>
          <w:sz w:val="22"/>
          <w:szCs w:val="22"/>
        </w:rPr>
        <w:t>f</w:t>
      </w:r>
      <w:r w:rsidR="000A3D48" w:rsidRPr="00FE0F48">
        <w:rPr>
          <w:spacing w:val="-3"/>
          <w:sz w:val="22"/>
          <w:szCs w:val="22"/>
        </w:rPr>
        <w:t xml:space="preserve">ederal agencies to take special measures to protect personal information about individuals when the agencies collect, maintain, and use such personal information.  </w:t>
      </w:r>
      <w:r w:rsidR="000A3D48" w:rsidRPr="00FE0F48">
        <w:rPr>
          <w:sz w:val="22"/>
          <w:szCs w:val="22"/>
        </w:rPr>
        <w:t>Federal agencies are required to make the public aware of what “systems of records” they maintain.</w:t>
      </w:r>
      <w:r w:rsidR="00F8139B" w:rsidRPr="00FE0F48">
        <w:rPr>
          <w:sz w:val="22"/>
          <w:szCs w:val="22"/>
        </w:rPr>
        <w:t xml:space="preserve">  </w:t>
      </w:r>
      <w:r w:rsidR="00F8139B" w:rsidRPr="00FE0F48">
        <w:rPr>
          <w:spacing w:val="-3"/>
          <w:sz w:val="22"/>
          <w:szCs w:val="22"/>
        </w:rPr>
        <w:t>The Privacy Act defines a</w:t>
      </w:r>
      <w:r w:rsidR="00F8139B" w:rsidRPr="00FE0F48">
        <w:rPr>
          <w:sz w:val="22"/>
          <w:szCs w:val="22"/>
        </w:rPr>
        <w:t xml:space="preserve"> system of records as a group of any records under the control of any agency from which information is retrieved by the name of the individual or by some identifying number, symbol, or other identifying particular assigned to the individual.</w:t>
      </w:r>
      <w:r w:rsidR="00A83866" w:rsidRPr="00FE0F48">
        <w:rPr>
          <w:sz w:val="22"/>
          <w:szCs w:val="22"/>
        </w:rPr>
        <w:t xml:space="preserve">  </w:t>
      </w:r>
      <w:r w:rsidR="00A83866" w:rsidRPr="00FE0F48">
        <w:rPr>
          <w:spacing w:val="-3"/>
          <w:sz w:val="22"/>
          <w:szCs w:val="22"/>
        </w:rPr>
        <w:t>T</w:t>
      </w:r>
      <w:r w:rsidRPr="00FE0F48">
        <w:rPr>
          <w:spacing w:val="-3"/>
          <w:sz w:val="22"/>
          <w:szCs w:val="22"/>
        </w:rPr>
        <w:t xml:space="preserve">he Commission has a system of records, FCC/EB-5, “Enforcement Bureau Activity Tracking System (EBATS),” </w:t>
      </w:r>
      <w:r w:rsidR="00A83866" w:rsidRPr="00FE0F48">
        <w:rPr>
          <w:spacing w:val="-3"/>
          <w:sz w:val="22"/>
          <w:szCs w:val="22"/>
        </w:rPr>
        <w:t>that will</w:t>
      </w:r>
      <w:r w:rsidRPr="00FE0F48">
        <w:rPr>
          <w:spacing w:val="-3"/>
          <w:sz w:val="22"/>
          <w:szCs w:val="22"/>
        </w:rPr>
        <w:t xml:space="preserve"> cover the personally identifiable information (PII) that </w:t>
      </w:r>
      <w:r w:rsidR="00FE0F48" w:rsidRPr="00FE0F48">
        <w:rPr>
          <w:spacing w:val="-3"/>
          <w:sz w:val="22"/>
          <w:szCs w:val="22"/>
        </w:rPr>
        <w:t xml:space="preserve">may be submitted to the Commission in </w:t>
      </w:r>
      <w:r w:rsidR="00A83866" w:rsidRPr="00FE0F48">
        <w:rPr>
          <w:spacing w:val="-3"/>
          <w:sz w:val="22"/>
          <w:szCs w:val="22"/>
        </w:rPr>
        <w:t xml:space="preserve">open Internet </w:t>
      </w:r>
      <w:r w:rsidR="0018413A" w:rsidRPr="00FE0F48">
        <w:rPr>
          <w:spacing w:val="-3"/>
          <w:sz w:val="22"/>
          <w:szCs w:val="22"/>
        </w:rPr>
        <w:t xml:space="preserve">formal </w:t>
      </w:r>
      <w:r w:rsidRPr="00FE0F48">
        <w:rPr>
          <w:spacing w:val="-3"/>
          <w:sz w:val="22"/>
          <w:szCs w:val="22"/>
        </w:rPr>
        <w:t>complaint</w:t>
      </w:r>
      <w:r w:rsidR="00FE0F48" w:rsidRPr="00FE0F48">
        <w:rPr>
          <w:spacing w:val="-3"/>
          <w:sz w:val="22"/>
          <w:szCs w:val="22"/>
        </w:rPr>
        <w:t xml:space="preserve"> proceedings</w:t>
      </w:r>
      <w:r w:rsidRPr="00FE0F48">
        <w:rPr>
          <w:spacing w:val="-3"/>
          <w:sz w:val="22"/>
          <w:szCs w:val="22"/>
        </w:rPr>
        <w:t xml:space="preserve">.  FCC/EB-5 became effective on January 24, 2011.  </w:t>
      </w:r>
      <w:r w:rsidRPr="00FE0F48">
        <w:rPr>
          <w:i/>
          <w:spacing w:val="-3"/>
          <w:sz w:val="22"/>
          <w:szCs w:val="22"/>
        </w:rPr>
        <w:t>See</w:t>
      </w:r>
      <w:r w:rsidRPr="00FE0F48">
        <w:rPr>
          <w:spacing w:val="-3"/>
          <w:sz w:val="22"/>
          <w:szCs w:val="22"/>
        </w:rPr>
        <w:t xml:space="preserve"> 75 FR 77872 (</w:t>
      </w:r>
      <w:r w:rsidR="00FE0F48" w:rsidRPr="00FE0F48">
        <w:rPr>
          <w:spacing w:val="-3"/>
          <w:sz w:val="22"/>
          <w:szCs w:val="22"/>
        </w:rPr>
        <w:t xml:space="preserve">Dec. </w:t>
      </w:r>
      <w:r w:rsidRPr="00FE0F48">
        <w:rPr>
          <w:spacing w:val="-3"/>
          <w:sz w:val="22"/>
          <w:szCs w:val="22"/>
        </w:rPr>
        <w:t xml:space="preserve">14, 2010).  The Commission </w:t>
      </w:r>
      <w:r w:rsidR="00A625C8">
        <w:rPr>
          <w:spacing w:val="-3"/>
          <w:sz w:val="22"/>
          <w:szCs w:val="22"/>
        </w:rPr>
        <w:t xml:space="preserve">prepared </w:t>
      </w:r>
      <w:r w:rsidRPr="00FE0F48">
        <w:rPr>
          <w:spacing w:val="-3"/>
          <w:sz w:val="22"/>
          <w:szCs w:val="22"/>
        </w:rPr>
        <w:t xml:space="preserve">a </w:t>
      </w:r>
      <w:r w:rsidR="00571C11" w:rsidRPr="00FE0F48">
        <w:rPr>
          <w:sz w:val="22"/>
          <w:szCs w:val="22"/>
        </w:rPr>
        <w:t xml:space="preserve">Privacy Threshold Analysis (PTA) </w:t>
      </w:r>
      <w:r w:rsidRPr="00FE0F48">
        <w:rPr>
          <w:spacing w:val="-3"/>
          <w:sz w:val="22"/>
          <w:szCs w:val="22"/>
        </w:rPr>
        <w:t xml:space="preserve">for the information systems, including the </w:t>
      </w:r>
      <w:r w:rsidR="0056190F" w:rsidRPr="00FE0F48">
        <w:rPr>
          <w:spacing w:val="-3"/>
          <w:sz w:val="22"/>
          <w:szCs w:val="22"/>
        </w:rPr>
        <w:t xml:space="preserve">information system that will track open Internet </w:t>
      </w:r>
      <w:r w:rsidR="00F2577C" w:rsidRPr="00FE0F48">
        <w:rPr>
          <w:spacing w:val="-3"/>
          <w:sz w:val="22"/>
          <w:szCs w:val="22"/>
        </w:rPr>
        <w:t xml:space="preserve">formal </w:t>
      </w:r>
      <w:r w:rsidR="0056190F" w:rsidRPr="00FE0F48">
        <w:rPr>
          <w:spacing w:val="-3"/>
          <w:sz w:val="22"/>
          <w:szCs w:val="22"/>
        </w:rPr>
        <w:t>complaints</w:t>
      </w:r>
      <w:r w:rsidRPr="00FE0F48">
        <w:rPr>
          <w:spacing w:val="-3"/>
          <w:sz w:val="22"/>
          <w:szCs w:val="22"/>
        </w:rPr>
        <w:t>, which are covered by EBATS.</w:t>
      </w:r>
      <w:r>
        <w:rPr>
          <w:spacing w:val="-3"/>
          <w:sz w:val="22"/>
          <w:szCs w:val="22"/>
        </w:rPr>
        <w:t xml:space="preserve">  </w:t>
      </w:r>
    </w:p>
    <w:p w:rsidR="000A3D48" w:rsidRPr="00C3472A" w:rsidRDefault="000A3D48" w:rsidP="000A3D48">
      <w:pPr>
        <w:suppressAutoHyphens/>
        <w:rPr>
          <w:sz w:val="22"/>
          <w:szCs w:val="22"/>
        </w:rPr>
      </w:pPr>
    </w:p>
    <w:p w:rsidR="002A6F7A" w:rsidRPr="00C3472A" w:rsidRDefault="002A6F7A" w:rsidP="002A6F7A">
      <w:pPr>
        <w:suppressAutoHyphens/>
        <w:rPr>
          <w:sz w:val="22"/>
          <w:szCs w:val="22"/>
        </w:rPr>
      </w:pPr>
    </w:p>
    <w:p w:rsidR="002A6F7A" w:rsidRPr="00C3472A" w:rsidRDefault="00D10E81" w:rsidP="002A6F7A">
      <w:pPr>
        <w:suppressAutoHyphens/>
        <w:rPr>
          <w:b/>
          <w:sz w:val="22"/>
          <w:szCs w:val="22"/>
        </w:rPr>
      </w:pPr>
      <w:r w:rsidRPr="00C3472A">
        <w:rPr>
          <w:b/>
          <w:i/>
          <w:sz w:val="22"/>
          <w:szCs w:val="22"/>
        </w:rPr>
        <w:t>New Information Collection Requirements</w:t>
      </w:r>
      <w:r w:rsidR="002A6F7A" w:rsidRPr="00C3472A">
        <w:rPr>
          <w:b/>
          <w:sz w:val="22"/>
          <w:szCs w:val="22"/>
        </w:rPr>
        <w:t>:</w:t>
      </w:r>
    </w:p>
    <w:p w:rsidR="002A6F7A" w:rsidRPr="00C3472A" w:rsidRDefault="002A6F7A" w:rsidP="002A6F7A">
      <w:pPr>
        <w:suppressAutoHyphens/>
        <w:rPr>
          <w:b/>
          <w:sz w:val="22"/>
          <w:szCs w:val="22"/>
        </w:rPr>
      </w:pPr>
    </w:p>
    <w:p w:rsidR="00E06FEB" w:rsidRPr="00C3472A" w:rsidRDefault="00E06FEB" w:rsidP="00E06FEB">
      <w:pPr>
        <w:tabs>
          <w:tab w:val="left" w:pos="720"/>
        </w:tabs>
        <w:rPr>
          <w:b/>
          <w:sz w:val="22"/>
          <w:szCs w:val="22"/>
        </w:rPr>
      </w:pPr>
      <w:bookmarkStart w:id="1" w:name="OLE_LINK4"/>
      <w:r w:rsidRPr="00C3472A">
        <w:rPr>
          <w:b/>
          <w:sz w:val="22"/>
          <w:szCs w:val="22"/>
        </w:rPr>
        <w:t>47 C.F.R. Section 8.12</w:t>
      </w:r>
      <w:r w:rsidR="00B934C0" w:rsidRPr="00C3472A">
        <w:rPr>
          <w:b/>
          <w:sz w:val="22"/>
          <w:szCs w:val="22"/>
        </w:rPr>
        <w:t xml:space="preserve"> </w:t>
      </w:r>
      <w:r w:rsidRPr="00C3472A">
        <w:rPr>
          <w:sz w:val="22"/>
          <w:szCs w:val="22"/>
        </w:rPr>
        <w:t xml:space="preserve">permits any person to file a formal complaint alleging a violation of the rules adopted in the </w:t>
      </w:r>
      <w:r w:rsidRPr="00C3472A">
        <w:rPr>
          <w:i/>
          <w:sz w:val="22"/>
          <w:szCs w:val="22"/>
        </w:rPr>
        <w:t>Open Internet</w:t>
      </w:r>
      <w:r w:rsidRPr="00C3472A">
        <w:rPr>
          <w:sz w:val="22"/>
          <w:szCs w:val="22"/>
        </w:rPr>
        <w:t xml:space="preserve"> </w:t>
      </w:r>
      <w:r w:rsidRPr="00C3472A">
        <w:rPr>
          <w:i/>
          <w:sz w:val="22"/>
          <w:szCs w:val="22"/>
        </w:rPr>
        <w:t>Order</w:t>
      </w:r>
      <w:r w:rsidRPr="00C3472A">
        <w:rPr>
          <w:sz w:val="22"/>
          <w:szCs w:val="22"/>
        </w:rPr>
        <w:t>.</w:t>
      </w:r>
    </w:p>
    <w:p w:rsidR="00E06FEB" w:rsidRPr="00C3472A" w:rsidRDefault="00E06FEB" w:rsidP="00E06FEB">
      <w:pPr>
        <w:autoSpaceDE w:val="0"/>
        <w:autoSpaceDN w:val="0"/>
        <w:adjustRightInd w:val="0"/>
        <w:rPr>
          <w:color w:val="000000"/>
          <w:sz w:val="22"/>
          <w:szCs w:val="22"/>
        </w:rPr>
      </w:pPr>
    </w:p>
    <w:p w:rsidR="00E06FEB" w:rsidRPr="00C3472A" w:rsidRDefault="00E06FEB" w:rsidP="00E06FEB">
      <w:pPr>
        <w:autoSpaceDE w:val="0"/>
        <w:autoSpaceDN w:val="0"/>
        <w:adjustRightInd w:val="0"/>
        <w:rPr>
          <w:color w:val="000000"/>
          <w:sz w:val="22"/>
          <w:szCs w:val="22"/>
        </w:rPr>
      </w:pPr>
      <w:r w:rsidRPr="00C3472A">
        <w:rPr>
          <w:b/>
          <w:sz w:val="22"/>
          <w:szCs w:val="22"/>
        </w:rPr>
        <w:lastRenderedPageBreak/>
        <w:t xml:space="preserve">47 C.F.R. Section </w:t>
      </w:r>
      <w:r w:rsidRPr="00C3472A">
        <w:rPr>
          <w:b/>
          <w:bCs/>
          <w:color w:val="000000"/>
          <w:sz w:val="22"/>
          <w:szCs w:val="22"/>
        </w:rPr>
        <w:t xml:space="preserve">8.13 </w:t>
      </w:r>
      <w:r w:rsidRPr="00C3472A">
        <w:rPr>
          <w:bCs/>
          <w:color w:val="000000"/>
          <w:sz w:val="22"/>
          <w:szCs w:val="22"/>
        </w:rPr>
        <w:t xml:space="preserve">establishes requirements for all pleadings filed in formal complaint proceedings, including that </w:t>
      </w:r>
      <w:r w:rsidRPr="00C3472A">
        <w:rPr>
          <w:color w:val="000000"/>
          <w:sz w:val="22"/>
          <w:szCs w:val="22"/>
        </w:rPr>
        <w:t>pleadings must be clear, concise, and explicit; that all matters concerning a claim, defense, or requested remedy should be pleaded fully and with specificity; that pleadings must contain facts that, if true, are sufficient to warrant a grant of the relief requested; and that facts must be supported by relevant documentation or affidavit</w:t>
      </w:r>
      <w:r w:rsidRPr="00C3472A">
        <w:rPr>
          <w:bCs/>
          <w:color w:val="000000"/>
          <w:sz w:val="22"/>
          <w:szCs w:val="22"/>
        </w:rPr>
        <w:t>.</w:t>
      </w:r>
      <w:r w:rsidRPr="00C3472A">
        <w:rPr>
          <w:rStyle w:val="FootnoteReference"/>
          <w:sz w:val="22"/>
          <w:szCs w:val="22"/>
        </w:rPr>
        <w:footnoteReference w:id="3"/>
      </w:r>
      <w:r w:rsidRPr="00C3472A">
        <w:rPr>
          <w:sz w:val="22"/>
          <w:szCs w:val="22"/>
        </w:rPr>
        <w:t xml:space="preserve">  Complainants must </w:t>
      </w:r>
      <w:r w:rsidRPr="00C3472A">
        <w:rPr>
          <w:color w:val="000000"/>
          <w:sz w:val="22"/>
          <w:szCs w:val="22"/>
        </w:rPr>
        <w:t>file an original copy of the complaint, accompanied by the correct fee, in accordance with part 1, subpart G (</w:t>
      </w:r>
      <w:r w:rsidRPr="00C3472A">
        <w:rPr>
          <w:i/>
          <w:color w:val="000000"/>
          <w:sz w:val="22"/>
          <w:szCs w:val="22"/>
        </w:rPr>
        <w:t xml:space="preserve">see </w:t>
      </w:r>
      <w:r w:rsidRPr="00C3472A">
        <w:rPr>
          <w:color w:val="000000"/>
          <w:sz w:val="22"/>
          <w:szCs w:val="22"/>
        </w:rPr>
        <w:t>47 C.F.R. Section 1.1106) and, on the same day:  (1) file three copies of the complaint with the Office of the Commission Secretary; (2) serve two copies on the Market Disputes Resolution Division, Enforcement Bureau; and (3) serve the complaint by hand delivery on either the named defendant or one of the named defendant’s registered agents for service of process, if available, on the same date that the complaint is filed with the Commission.</w:t>
      </w:r>
    </w:p>
    <w:p w:rsidR="00E06FEB" w:rsidRPr="00C3472A" w:rsidRDefault="00E06FEB" w:rsidP="00E06FEB">
      <w:pPr>
        <w:autoSpaceDE w:val="0"/>
        <w:autoSpaceDN w:val="0"/>
        <w:adjustRightInd w:val="0"/>
        <w:rPr>
          <w:color w:val="000000"/>
          <w:sz w:val="22"/>
          <w:szCs w:val="22"/>
        </w:rPr>
      </w:pPr>
    </w:p>
    <w:p w:rsidR="00E06FEB" w:rsidRPr="00C3472A" w:rsidRDefault="00E06FEB" w:rsidP="00E06FEB">
      <w:pPr>
        <w:autoSpaceDE w:val="0"/>
        <w:autoSpaceDN w:val="0"/>
        <w:adjustRightInd w:val="0"/>
        <w:rPr>
          <w:color w:val="000000"/>
          <w:sz w:val="22"/>
          <w:szCs w:val="22"/>
        </w:rPr>
      </w:pPr>
      <w:r w:rsidRPr="00C3472A">
        <w:rPr>
          <w:color w:val="000000"/>
          <w:sz w:val="22"/>
          <w:szCs w:val="22"/>
        </w:rPr>
        <w:t>Any person intending to file a complaint must first notify the potential defendant in writing that it intends to file a complaint with the Commission based on actions alleged to violate one or more of the provisions contained in part</w:t>
      </w:r>
      <w:r w:rsidR="004805CD">
        <w:rPr>
          <w:color w:val="000000"/>
          <w:sz w:val="22"/>
          <w:szCs w:val="22"/>
        </w:rPr>
        <w:t xml:space="preserve"> 8 of the Commission’s rules</w:t>
      </w:r>
      <w:r w:rsidRPr="00C3472A">
        <w:rPr>
          <w:color w:val="000000"/>
          <w:sz w:val="22"/>
          <w:szCs w:val="22"/>
        </w:rPr>
        <w:t>.  The notice must be sufficiently detailed so that its recipient(s) can determine the specific nature of the potential complaint.  The potential complainant must allow a minimum of ten (10) days for the potential defendant(s) to respond before filing a complaint with the Commission.</w:t>
      </w:r>
    </w:p>
    <w:p w:rsidR="00E06FEB" w:rsidRPr="00C3472A" w:rsidRDefault="00E06FEB" w:rsidP="00E06FEB">
      <w:pPr>
        <w:autoSpaceDE w:val="0"/>
        <w:autoSpaceDN w:val="0"/>
        <w:adjustRightInd w:val="0"/>
        <w:rPr>
          <w:color w:val="000000"/>
          <w:sz w:val="22"/>
          <w:szCs w:val="22"/>
        </w:rPr>
      </w:pPr>
    </w:p>
    <w:p w:rsidR="00E06FEB" w:rsidRPr="00C3472A" w:rsidRDefault="00E06FEB" w:rsidP="00E06FEB">
      <w:pPr>
        <w:autoSpaceDE w:val="0"/>
        <w:autoSpaceDN w:val="0"/>
        <w:adjustRightInd w:val="0"/>
        <w:rPr>
          <w:bCs/>
          <w:color w:val="000000"/>
          <w:sz w:val="22"/>
          <w:szCs w:val="22"/>
        </w:rPr>
      </w:pPr>
      <w:r w:rsidRPr="00C3472A">
        <w:rPr>
          <w:b/>
          <w:sz w:val="22"/>
          <w:szCs w:val="22"/>
        </w:rPr>
        <w:t xml:space="preserve">47 C.F.R. Section </w:t>
      </w:r>
      <w:r w:rsidRPr="00C3472A">
        <w:rPr>
          <w:b/>
          <w:bCs/>
          <w:color w:val="000000"/>
          <w:sz w:val="22"/>
          <w:szCs w:val="22"/>
        </w:rPr>
        <w:t xml:space="preserve">8.14 </w:t>
      </w:r>
      <w:r w:rsidRPr="00C3472A">
        <w:rPr>
          <w:bCs/>
          <w:color w:val="000000"/>
          <w:sz w:val="22"/>
          <w:szCs w:val="22"/>
        </w:rPr>
        <w:t>establishes requirements for the filing of formal complaints, answers to formal complaints, replies, and additional procedures and filings.</w:t>
      </w:r>
      <w:r w:rsidRPr="00C3472A">
        <w:rPr>
          <w:rStyle w:val="FootnoteReference"/>
          <w:sz w:val="22"/>
          <w:szCs w:val="22"/>
        </w:rPr>
        <w:footnoteReference w:id="4"/>
      </w:r>
      <w:r w:rsidRPr="00C3472A">
        <w:rPr>
          <w:bCs/>
          <w:color w:val="000000"/>
          <w:sz w:val="22"/>
          <w:szCs w:val="22"/>
        </w:rPr>
        <w:t xml:space="preserve">  </w:t>
      </w:r>
    </w:p>
    <w:p w:rsidR="00E06FEB" w:rsidRPr="00C3472A" w:rsidRDefault="00E06FEB" w:rsidP="00E06FEB">
      <w:pPr>
        <w:autoSpaceDE w:val="0"/>
        <w:autoSpaceDN w:val="0"/>
        <w:adjustRightInd w:val="0"/>
        <w:rPr>
          <w:bCs/>
          <w:color w:val="000000"/>
          <w:sz w:val="22"/>
          <w:szCs w:val="22"/>
        </w:rPr>
      </w:pPr>
    </w:p>
    <w:p w:rsidR="00E06FEB" w:rsidRPr="00C3472A" w:rsidRDefault="00E06FEB" w:rsidP="00E06FEB">
      <w:pPr>
        <w:autoSpaceDE w:val="0"/>
        <w:autoSpaceDN w:val="0"/>
        <w:adjustRightInd w:val="0"/>
        <w:rPr>
          <w:color w:val="000000"/>
          <w:sz w:val="22"/>
          <w:szCs w:val="22"/>
        </w:rPr>
      </w:pPr>
      <w:proofErr w:type="gramStart"/>
      <w:r w:rsidRPr="00C3472A">
        <w:rPr>
          <w:bCs/>
          <w:i/>
          <w:color w:val="000000"/>
          <w:sz w:val="22"/>
          <w:szCs w:val="22"/>
        </w:rPr>
        <w:t>Complaints.</w:t>
      </w:r>
      <w:proofErr w:type="gramEnd"/>
      <w:r w:rsidRPr="00C3472A">
        <w:rPr>
          <w:bCs/>
          <w:i/>
          <w:color w:val="000000"/>
          <w:sz w:val="22"/>
          <w:szCs w:val="22"/>
        </w:rPr>
        <w:t xml:space="preserve">  </w:t>
      </w:r>
      <w:r w:rsidRPr="00C3472A">
        <w:rPr>
          <w:color w:val="000000"/>
          <w:sz w:val="22"/>
          <w:szCs w:val="22"/>
        </w:rPr>
        <w:t xml:space="preserve">Complaints shall be accompanied by a certificate of service on any defendant.  The complaint shall state the relief requested. </w:t>
      </w:r>
      <w:r w:rsidR="008A4EAD">
        <w:rPr>
          <w:color w:val="000000"/>
          <w:sz w:val="22"/>
          <w:szCs w:val="22"/>
        </w:rPr>
        <w:t xml:space="preserve"> </w:t>
      </w:r>
      <w:r w:rsidRPr="00C3472A">
        <w:rPr>
          <w:color w:val="000000"/>
          <w:sz w:val="22"/>
          <w:szCs w:val="22"/>
        </w:rPr>
        <w:t xml:space="preserve">It shall state fully and precisely all pertinent facts and considerations relied on to demonstrate the need for the relief requested and to support a determination that a grant of such relief would serve the public interest.  The complaint shall set forth all steps taken by the parties to resolve the problem.  </w:t>
      </w:r>
    </w:p>
    <w:p w:rsidR="00E06FEB" w:rsidRPr="00C3472A" w:rsidRDefault="00E06FEB" w:rsidP="00E06FEB">
      <w:pPr>
        <w:autoSpaceDE w:val="0"/>
        <w:autoSpaceDN w:val="0"/>
        <w:adjustRightInd w:val="0"/>
        <w:rPr>
          <w:color w:val="000000"/>
          <w:sz w:val="22"/>
          <w:szCs w:val="22"/>
        </w:rPr>
      </w:pPr>
    </w:p>
    <w:p w:rsidR="00E06FEB" w:rsidRPr="00C3472A" w:rsidRDefault="00E06FEB" w:rsidP="00E06FEB">
      <w:pPr>
        <w:autoSpaceDE w:val="0"/>
        <w:autoSpaceDN w:val="0"/>
        <w:adjustRightInd w:val="0"/>
        <w:rPr>
          <w:color w:val="000000"/>
          <w:sz w:val="22"/>
          <w:szCs w:val="22"/>
        </w:rPr>
      </w:pPr>
      <w:proofErr w:type="gramStart"/>
      <w:r w:rsidRPr="00C3472A">
        <w:rPr>
          <w:i/>
          <w:color w:val="000000"/>
          <w:sz w:val="22"/>
          <w:szCs w:val="22"/>
        </w:rPr>
        <w:t>Answers.</w:t>
      </w:r>
      <w:proofErr w:type="gramEnd"/>
      <w:r w:rsidRPr="00C3472A">
        <w:rPr>
          <w:i/>
          <w:color w:val="000000"/>
          <w:sz w:val="22"/>
          <w:szCs w:val="22"/>
        </w:rPr>
        <w:t xml:space="preserve">  </w:t>
      </w:r>
      <w:r w:rsidRPr="00C3472A">
        <w:rPr>
          <w:color w:val="000000"/>
          <w:sz w:val="22"/>
          <w:szCs w:val="22"/>
        </w:rPr>
        <w:t xml:space="preserve">This rule requires that unless otherwise directed by the Commission, any party who is served with a complaint shall file an answer within 20 days of service of the complaint.  The answer shall advise the parties and the Commission fully and completely of the nature of any and all defenses, and shall respond specifically to all material allegations of the complaint.  Collateral or immaterial issues shall be avoided in answers and every effort should be made to narrow the issues.  Any party against whom a complaint is filed failing to file and serve an answer within the time and in the manner prescribed by these rules may be deemed in default and an order may be entered against defendant in accordance with the allegations contained in the complaint.  Facts must be supported by relevant documentation or affidavit.  The answer shall admit or deny the averments on which the adverse party relies. </w:t>
      </w:r>
      <w:r w:rsidR="008A4EAD">
        <w:rPr>
          <w:color w:val="000000"/>
          <w:sz w:val="22"/>
          <w:szCs w:val="22"/>
        </w:rPr>
        <w:t xml:space="preserve"> </w:t>
      </w:r>
      <w:r w:rsidRPr="00C3472A">
        <w:rPr>
          <w:color w:val="000000"/>
          <w:sz w:val="22"/>
          <w:szCs w:val="22"/>
        </w:rPr>
        <w:t xml:space="preserve">If the defendant is without knowledge or information sufficient to form a belief as to the truth of an averment, the defendant shall so state and this has the effect of a denial. </w:t>
      </w:r>
      <w:r w:rsidR="008A4EAD">
        <w:rPr>
          <w:color w:val="000000"/>
          <w:sz w:val="22"/>
          <w:szCs w:val="22"/>
        </w:rPr>
        <w:t xml:space="preserve"> </w:t>
      </w:r>
      <w:r w:rsidRPr="00C3472A">
        <w:rPr>
          <w:color w:val="000000"/>
          <w:sz w:val="22"/>
          <w:szCs w:val="22"/>
        </w:rPr>
        <w:t xml:space="preserve">When a defendant intends in good faith to deny only part of an averment, the answer shall specify so much of it as is true and shall deny only the remainder, and </w:t>
      </w:r>
      <w:r w:rsidRPr="00C3472A">
        <w:rPr>
          <w:color w:val="000000"/>
          <w:sz w:val="22"/>
          <w:szCs w:val="22"/>
        </w:rPr>
        <w:lastRenderedPageBreak/>
        <w:t>state in detail the basis of that denial.  Averments in a complaint are deemed to be admitted when not denied in the answer.</w:t>
      </w:r>
    </w:p>
    <w:p w:rsidR="00E06FEB" w:rsidRPr="00C3472A" w:rsidRDefault="00E06FEB" w:rsidP="00E06FEB">
      <w:pPr>
        <w:autoSpaceDE w:val="0"/>
        <w:autoSpaceDN w:val="0"/>
        <w:adjustRightInd w:val="0"/>
        <w:rPr>
          <w:color w:val="000000"/>
          <w:sz w:val="22"/>
          <w:szCs w:val="22"/>
        </w:rPr>
      </w:pPr>
    </w:p>
    <w:p w:rsidR="00E06FEB" w:rsidRPr="00C3472A" w:rsidRDefault="00E06FEB" w:rsidP="00E06FEB">
      <w:pPr>
        <w:autoSpaceDE w:val="0"/>
        <w:autoSpaceDN w:val="0"/>
        <w:adjustRightInd w:val="0"/>
        <w:rPr>
          <w:color w:val="000000"/>
          <w:sz w:val="22"/>
          <w:szCs w:val="22"/>
        </w:rPr>
      </w:pPr>
      <w:proofErr w:type="gramStart"/>
      <w:r w:rsidRPr="00C3472A">
        <w:rPr>
          <w:i/>
          <w:color w:val="000000"/>
          <w:sz w:val="22"/>
          <w:szCs w:val="22"/>
        </w:rPr>
        <w:t>Replies.</w:t>
      </w:r>
      <w:proofErr w:type="gramEnd"/>
      <w:r w:rsidRPr="00C3472A">
        <w:rPr>
          <w:i/>
          <w:color w:val="000000"/>
          <w:sz w:val="22"/>
          <w:szCs w:val="22"/>
        </w:rPr>
        <w:t xml:space="preserve">  </w:t>
      </w:r>
      <w:r w:rsidRPr="00C3472A">
        <w:rPr>
          <w:color w:val="000000"/>
          <w:sz w:val="22"/>
          <w:szCs w:val="22"/>
        </w:rPr>
        <w:t>This rule permits a complainant to file a reply to a responsive pleading that shall be served on the defendant and shall also contain a detailed full showing, supported by affidavit, of any additional facts or considerations relied on.  Unless expressly permitted by the Commission, replies shall not contain new matters.  Failure to reply will not be deemed an admission of any allegations contained in the responsive pleading, except with respect to any affirmative defense set forth therein.  Unless otherwise directed by the Commission, replies must be filed within ten (10) days after submission of the responsive pleading.</w:t>
      </w:r>
    </w:p>
    <w:p w:rsidR="00E06FEB" w:rsidRPr="00C3472A" w:rsidRDefault="00E06FEB" w:rsidP="00E06FEB">
      <w:pPr>
        <w:autoSpaceDE w:val="0"/>
        <w:autoSpaceDN w:val="0"/>
        <w:adjustRightInd w:val="0"/>
        <w:rPr>
          <w:color w:val="000000"/>
          <w:sz w:val="22"/>
          <w:szCs w:val="22"/>
        </w:rPr>
      </w:pPr>
    </w:p>
    <w:p w:rsidR="00E06FEB" w:rsidRPr="00C3472A" w:rsidRDefault="00E06FEB" w:rsidP="00E06FEB">
      <w:pPr>
        <w:autoSpaceDE w:val="0"/>
        <w:autoSpaceDN w:val="0"/>
        <w:adjustRightInd w:val="0"/>
        <w:rPr>
          <w:color w:val="000000"/>
          <w:sz w:val="22"/>
          <w:szCs w:val="22"/>
        </w:rPr>
      </w:pPr>
      <w:proofErr w:type="gramStart"/>
      <w:r w:rsidRPr="00C3472A">
        <w:rPr>
          <w:i/>
          <w:color w:val="000000"/>
          <w:sz w:val="22"/>
          <w:szCs w:val="22"/>
        </w:rPr>
        <w:t>Additional procedures and written submissions.</w:t>
      </w:r>
      <w:proofErr w:type="gramEnd"/>
      <w:r w:rsidRPr="00C3472A">
        <w:rPr>
          <w:color w:val="000000"/>
          <w:sz w:val="22"/>
          <w:szCs w:val="22"/>
        </w:rPr>
        <w:t xml:space="preserve">  The Commission may specify other procedures, such as oral argument or evidentiary hearing directed to particular aspects, as it deems appropriate.  The Commission may require the parties to submit any additional information it deems appropriate for a full, fair, and expeditious resolution of the proceeding, including copies of all contracts and documents reflecting arrangements and understandings alleged to violate the requirements set forth in the Communications Act and in this part, as well as affidavits and exhibits. </w:t>
      </w:r>
      <w:r w:rsidR="008A4EAD">
        <w:rPr>
          <w:color w:val="000000"/>
          <w:sz w:val="22"/>
          <w:szCs w:val="22"/>
        </w:rPr>
        <w:t xml:space="preserve"> </w:t>
      </w:r>
      <w:r w:rsidRPr="00C3472A">
        <w:rPr>
          <w:color w:val="000000"/>
          <w:sz w:val="22"/>
          <w:szCs w:val="22"/>
        </w:rPr>
        <w:t>The Commission may, in its discretion, require the parties to file briefs summarizing the facts and issues presented in the pleadings and other record evidence.  Reply briefs may be submitted at the discretion of the Commission.  The Commission may</w:t>
      </w:r>
      <w:r w:rsidR="004805CD">
        <w:rPr>
          <w:color w:val="000000"/>
          <w:sz w:val="22"/>
          <w:szCs w:val="22"/>
        </w:rPr>
        <w:t>,</w:t>
      </w:r>
      <w:r w:rsidRPr="00C3472A">
        <w:rPr>
          <w:color w:val="000000"/>
          <w:sz w:val="22"/>
          <w:szCs w:val="22"/>
        </w:rPr>
        <w:t xml:space="preserve"> in its discretion</w:t>
      </w:r>
      <w:r w:rsidR="004805CD">
        <w:rPr>
          <w:color w:val="000000"/>
          <w:sz w:val="22"/>
          <w:szCs w:val="22"/>
        </w:rPr>
        <w:t>,</w:t>
      </w:r>
      <w:r w:rsidRPr="00C3472A">
        <w:rPr>
          <w:color w:val="000000"/>
          <w:sz w:val="22"/>
          <w:szCs w:val="22"/>
        </w:rPr>
        <w:t xml:space="preserve"> order discovery limited to the issues specified by the Commission.  Such discovery may include answers to written interrogatories, depositions, document production, or requests for admissions.  The Commission may</w:t>
      </w:r>
      <w:r w:rsidR="004805CD">
        <w:rPr>
          <w:color w:val="000000"/>
          <w:sz w:val="22"/>
          <w:szCs w:val="22"/>
        </w:rPr>
        <w:t>,</w:t>
      </w:r>
      <w:r w:rsidRPr="00C3472A">
        <w:rPr>
          <w:color w:val="000000"/>
          <w:sz w:val="22"/>
          <w:szCs w:val="22"/>
        </w:rPr>
        <w:t xml:space="preserve"> in its discretion</w:t>
      </w:r>
      <w:r w:rsidR="004805CD">
        <w:rPr>
          <w:color w:val="000000"/>
          <w:sz w:val="22"/>
          <w:szCs w:val="22"/>
        </w:rPr>
        <w:t>,</w:t>
      </w:r>
      <w:r w:rsidRPr="00C3472A">
        <w:rPr>
          <w:color w:val="000000"/>
          <w:sz w:val="22"/>
          <w:szCs w:val="22"/>
        </w:rPr>
        <w:t xml:space="preserve"> direct the parties to submit discovery proposals, together with a memorandum in support of the discovery requested.  </w:t>
      </w:r>
    </w:p>
    <w:p w:rsidR="00E06FEB" w:rsidRPr="00C3472A" w:rsidRDefault="00E06FEB" w:rsidP="00E06FEB">
      <w:pPr>
        <w:autoSpaceDE w:val="0"/>
        <w:autoSpaceDN w:val="0"/>
        <w:adjustRightInd w:val="0"/>
        <w:rPr>
          <w:color w:val="000000"/>
          <w:sz w:val="22"/>
          <w:szCs w:val="22"/>
        </w:rPr>
      </w:pPr>
    </w:p>
    <w:p w:rsidR="00E06FEB" w:rsidRPr="00C3472A" w:rsidRDefault="00E06FEB" w:rsidP="00E06FEB">
      <w:pPr>
        <w:autoSpaceDE w:val="0"/>
        <w:autoSpaceDN w:val="0"/>
        <w:adjustRightInd w:val="0"/>
        <w:rPr>
          <w:color w:val="000000"/>
          <w:sz w:val="22"/>
          <w:szCs w:val="22"/>
        </w:rPr>
      </w:pPr>
      <w:r w:rsidRPr="00C3472A">
        <w:rPr>
          <w:b/>
          <w:sz w:val="22"/>
          <w:szCs w:val="22"/>
        </w:rPr>
        <w:t xml:space="preserve">47 C.F.R. Section </w:t>
      </w:r>
      <w:r w:rsidRPr="00C3472A">
        <w:rPr>
          <w:b/>
          <w:bCs/>
          <w:color w:val="000000"/>
          <w:sz w:val="22"/>
          <w:szCs w:val="22"/>
        </w:rPr>
        <w:t xml:space="preserve">8.15 </w:t>
      </w:r>
      <w:r w:rsidRPr="00C3472A">
        <w:rPr>
          <w:bCs/>
          <w:color w:val="000000"/>
          <w:sz w:val="22"/>
          <w:szCs w:val="22"/>
        </w:rPr>
        <w:t>provides that, i</w:t>
      </w:r>
      <w:r w:rsidRPr="00C3472A">
        <w:rPr>
          <w:color w:val="000000"/>
          <w:sz w:val="22"/>
          <w:szCs w:val="22"/>
        </w:rPr>
        <w:t>n any proceeding subject to the part 8 rules, the Commission may</w:t>
      </w:r>
      <w:r w:rsidR="004805CD">
        <w:rPr>
          <w:color w:val="000000"/>
          <w:sz w:val="22"/>
          <w:szCs w:val="22"/>
        </w:rPr>
        <w:t>,</w:t>
      </w:r>
      <w:r w:rsidRPr="00C3472A">
        <w:rPr>
          <w:color w:val="000000"/>
          <w:sz w:val="22"/>
          <w:szCs w:val="22"/>
        </w:rPr>
        <w:t xml:space="preserve"> in its discretion</w:t>
      </w:r>
      <w:r w:rsidR="004805CD">
        <w:rPr>
          <w:color w:val="000000"/>
          <w:sz w:val="22"/>
          <w:szCs w:val="22"/>
        </w:rPr>
        <w:t>,</w:t>
      </w:r>
      <w:r w:rsidRPr="00C3472A">
        <w:rPr>
          <w:color w:val="000000"/>
          <w:sz w:val="22"/>
          <w:szCs w:val="22"/>
        </w:rPr>
        <w:t xml:space="preserve"> direct the attorneys and/or the parties to</w:t>
      </w:r>
      <w:r w:rsidR="00B20783" w:rsidRPr="00C3472A">
        <w:rPr>
          <w:color w:val="000000"/>
          <w:sz w:val="22"/>
          <w:szCs w:val="22"/>
        </w:rPr>
        <w:t xml:space="preserve"> appear for a status conference.</w:t>
      </w:r>
    </w:p>
    <w:p w:rsidR="00E06FEB" w:rsidRPr="00C3472A" w:rsidRDefault="00E06FEB" w:rsidP="00E06FEB">
      <w:pPr>
        <w:autoSpaceDE w:val="0"/>
        <w:autoSpaceDN w:val="0"/>
        <w:adjustRightInd w:val="0"/>
        <w:rPr>
          <w:color w:val="000000"/>
          <w:sz w:val="22"/>
          <w:szCs w:val="22"/>
        </w:rPr>
      </w:pPr>
    </w:p>
    <w:p w:rsidR="00E06FEB" w:rsidRPr="00C3472A" w:rsidRDefault="00E06FEB" w:rsidP="00E06FEB">
      <w:pPr>
        <w:autoSpaceDE w:val="0"/>
        <w:autoSpaceDN w:val="0"/>
        <w:adjustRightInd w:val="0"/>
        <w:rPr>
          <w:color w:val="000000"/>
          <w:sz w:val="22"/>
          <w:szCs w:val="22"/>
        </w:rPr>
      </w:pPr>
      <w:r w:rsidRPr="00C3472A">
        <w:rPr>
          <w:b/>
          <w:sz w:val="22"/>
          <w:szCs w:val="22"/>
        </w:rPr>
        <w:t xml:space="preserve">47 C.F.R. Section </w:t>
      </w:r>
      <w:r w:rsidRPr="00C3472A">
        <w:rPr>
          <w:b/>
          <w:bCs/>
          <w:color w:val="000000"/>
          <w:sz w:val="22"/>
          <w:szCs w:val="22"/>
        </w:rPr>
        <w:t xml:space="preserve">8.16 </w:t>
      </w:r>
      <w:r w:rsidRPr="00C3472A">
        <w:rPr>
          <w:bCs/>
          <w:color w:val="000000"/>
          <w:sz w:val="22"/>
          <w:szCs w:val="22"/>
        </w:rPr>
        <w:t xml:space="preserve">provides that </w:t>
      </w:r>
      <w:r w:rsidRPr="00C3472A">
        <w:rPr>
          <w:color w:val="000000"/>
          <w:sz w:val="22"/>
          <w:szCs w:val="22"/>
        </w:rPr>
        <w:t xml:space="preserve">any materials filed in the course of a proceeding under this part may be designated as proprietary by that party if the party believes in good faith that the materials fall within an exemption to disclosure contained in the Freedom of Information Act (FOIA), </w:t>
      </w:r>
      <w:r w:rsidRPr="00C3472A">
        <w:rPr>
          <w:sz w:val="22"/>
          <w:szCs w:val="22"/>
        </w:rPr>
        <w:t>5 U.S.C. 552(b).</w:t>
      </w:r>
      <w:r w:rsidRPr="00C3472A">
        <w:rPr>
          <w:color w:val="000000"/>
          <w:sz w:val="22"/>
          <w:szCs w:val="22"/>
        </w:rPr>
        <w:t xml:space="preserve"> </w:t>
      </w:r>
    </w:p>
    <w:p w:rsidR="00E06FEB" w:rsidRPr="00C3472A" w:rsidRDefault="00E06FEB" w:rsidP="00E06FEB">
      <w:pPr>
        <w:autoSpaceDE w:val="0"/>
        <w:autoSpaceDN w:val="0"/>
        <w:adjustRightInd w:val="0"/>
        <w:rPr>
          <w:color w:val="000000"/>
          <w:sz w:val="22"/>
          <w:szCs w:val="22"/>
        </w:rPr>
      </w:pPr>
    </w:p>
    <w:p w:rsidR="00E06FEB" w:rsidRPr="00C3472A" w:rsidRDefault="00E06FEB" w:rsidP="00E06FEB">
      <w:pPr>
        <w:autoSpaceDE w:val="0"/>
        <w:autoSpaceDN w:val="0"/>
        <w:adjustRightInd w:val="0"/>
        <w:rPr>
          <w:color w:val="000000"/>
          <w:sz w:val="22"/>
          <w:szCs w:val="22"/>
        </w:rPr>
      </w:pPr>
      <w:r w:rsidRPr="00C3472A">
        <w:rPr>
          <w:b/>
          <w:sz w:val="22"/>
          <w:szCs w:val="22"/>
        </w:rPr>
        <w:t xml:space="preserve">47 C.F.R. Section </w:t>
      </w:r>
      <w:r w:rsidRPr="00C3472A">
        <w:rPr>
          <w:b/>
          <w:bCs/>
          <w:color w:val="000000"/>
          <w:sz w:val="22"/>
          <w:szCs w:val="22"/>
        </w:rPr>
        <w:t>8.17</w:t>
      </w:r>
      <w:r w:rsidRPr="00C3472A">
        <w:rPr>
          <w:bCs/>
          <w:color w:val="000000"/>
          <w:sz w:val="22"/>
          <w:szCs w:val="22"/>
        </w:rPr>
        <w:t xml:space="preserve"> describes the circumstances under which parties to a part 8 proceeding may seek review of rulings.</w:t>
      </w:r>
    </w:p>
    <w:p w:rsidR="002A6F7A" w:rsidRPr="00C3472A" w:rsidRDefault="002A6F7A" w:rsidP="002A6F7A">
      <w:pPr>
        <w:suppressAutoHyphens/>
        <w:rPr>
          <w:sz w:val="22"/>
          <w:szCs w:val="22"/>
        </w:rPr>
      </w:pPr>
      <w:bookmarkStart w:id="2" w:name="I597143A0EC8A11DDB8ACB84BCC6CE36B"/>
      <w:bookmarkStart w:id="3" w:name="I5953F7A0EC8A11DDB8ACB84BCC6CE36B"/>
      <w:bookmarkStart w:id="4" w:name="SP;4d690000c9482"/>
      <w:bookmarkEnd w:id="1"/>
      <w:bookmarkEnd w:id="2"/>
      <w:bookmarkEnd w:id="3"/>
      <w:bookmarkEnd w:id="4"/>
    </w:p>
    <w:p w:rsidR="002A6F7A" w:rsidRPr="00C3472A" w:rsidRDefault="002A6F7A" w:rsidP="00D10E81">
      <w:pPr>
        <w:suppressAutoHyphens/>
        <w:rPr>
          <w:sz w:val="22"/>
          <w:szCs w:val="22"/>
        </w:rPr>
      </w:pPr>
      <w:r w:rsidRPr="00C3472A">
        <w:rPr>
          <w:sz w:val="22"/>
          <w:szCs w:val="22"/>
        </w:rPr>
        <w:t xml:space="preserve">2. </w:t>
      </w:r>
      <w:r w:rsidRPr="00C3472A">
        <w:rPr>
          <w:b/>
          <w:sz w:val="22"/>
          <w:szCs w:val="22"/>
        </w:rPr>
        <w:t xml:space="preserve"> </w:t>
      </w:r>
      <w:r w:rsidRPr="00C3472A">
        <w:rPr>
          <w:sz w:val="22"/>
          <w:szCs w:val="22"/>
        </w:rPr>
        <w:t xml:space="preserve">Information filed is used to make determinations on complaints filed with the Commission.   </w:t>
      </w:r>
    </w:p>
    <w:p w:rsidR="002A6F7A" w:rsidRPr="00C3472A" w:rsidRDefault="002A6F7A">
      <w:pPr>
        <w:rPr>
          <w:sz w:val="22"/>
          <w:szCs w:val="22"/>
        </w:rPr>
      </w:pPr>
    </w:p>
    <w:p w:rsidR="002A6F7A" w:rsidRPr="00C3472A" w:rsidRDefault="002A6F7A">
      <w:pPr>
        <w:pStyle w:val="BodyText2"/>
        <w:rPr>
          <w:sz w:val="22"/>
          <w:szCs w:val="22"/>
        </w:rPr>
      </w:pPr>
      <w:r w:rsidRPr="00C3472A">
        <w:rPr>
          <w:sz w:val="22"/>
          <w:szCs w:val="22"/>
        </w:rPr>
        <w:t xml:space="preserve">3.  This collection of information does not involve the use of forms or surveys that can be completed electronically.  The collection of information comprises various pleadings </w:t>
      </w:r>
      <w:r w:rsidR="000B6C95" w:rsidRPr="00C3472A">
        <w:rPr>
          <w:sz w:val="22"/>
          <w:szCs w:val="22"/>
        </w:rPr>
        <w:t xml:space="preserve">that may </w:t>
      </w:r>
      <w:r w:rsidRPr="00C3472A">
        <w:rPr>
          <w:sz w:val="22"/>
          <w:szCs w:val="22"/>
        </w:rPr>
        <w:t>be filed before the Commission.  Due to the unique nature of the</w:t>
      </w:r>
      <w:r w:rsidR="000B6C95" w:rsidRPr="00C3472A">
        <w:rPr>
          <w:sz w:val="22"/>
          <w:szCs w:val="22"/>
        </w:rPr>
        <w:t>se</w:t>
      </w:r>
      <w:r w:rsidRPr="00C3472A">
        <w:rPr>
          <w:sz w:val="22"/>
          <w:szCs w:val="22"/>
        </w:rPr>
        <w:t xml:space="preserve"> pleadings, it is not feasible to file them in standardized electronic form format.  </w:t>
      </w:r>
      <w:r w:rsidR="000B6C95" w:rsidRPr="00C3472A">
        <w:rPr>
          <w:sz w:val="22"/>
          <w:szCs w:val="22"/>
        </w:rPr>
        <w:t>P</w:t>
      </w:r>
      <w:r w:rsidRPr="00C3472A">
        <w:rPr>
          <w:sz w:val="22"/>
          <w:szCs w:val="22"/>
        </w:rPr>
        <w:t>arties may</w:t>
      </w:r>
      <w:r w:rsidR="000B6C95" w:rsidRPr="00C3472A">
        <w:rPr>
          <w:sz w:val="22"/>
          <w:szCs w:val="22"/>
        </w:rPr>
        <w:t>, however,</w:t>
      </w:r>
      <w:r w:rsidRPr="00C3472A">
        <w:rPr>
          <w:sz w:val="22"/>
          <w:szCs w:val="22"/>
        </w:rPr>
        <w:t xml:space="preserve"> voluntarily submit electronic copies of their pleadings to staff via e-mail in order to expedite review.    </w:t>
      </w:r>
    </w:p>
    <w:p w:rsidR="002A6F7A" w:rsidRPr="00C3472A" w:rsidRDefault="002A6F7A">
      <w:pPr>
        <w:suppressAutoHyphens/>
        <w:rPr>
          <w:sz w:val="22"/>
          <w:szCs w:val="22"/>
        </w:rPr>
      </w:pPr>
    </w:p>
    <w:p w:rsidR="002A6F7A" w:rsidRPr="00B46AAF" w:rsidRDefault="002A6F7A">
      <w:pPr>
        <w:pStyle w:val="BodyText"/>
        <w:rPr>
          <w:b w:val="0"/>
          <w:sz w:val="22"/>
          <w:szCs w:val="22"/>
        </w:rPr>
      </w:pPr>
      <w:r w:rsidRPr="00C3472A">
        <w:rPr>
          <w:b w:val="0"/>
          <w:sz w:val="22"/>
          <w:szCs w:val="22"/>
        </w:rPr>
        <w:t xml:space="preserve">4.  </w:t>
      </w:r>
      <w:r w:rsidR="00F607B5" w:rsidRPr="00C3472A">
        <w:rPr>
          <w:b w:val="0"/>
          <w:sz w:val="22"/>
          <w:szCs w:val="22"/>
        </w:rPr>
        <w:t xml:space="preserve">None of the information collected as a result of the </w:t>
      </w:r>
      <w:r w:rsidR="00215232" w:rsidRPr="00C3472A">
        <w:rPr>
          <w:b w:val="0"/>
          <w:i/>
          <w:sz w:val="22"/>
          <w:szCs w:val="22"/>
        </w:rPr>
        <w:t xml:space="preserve">Open Internet </w:t>
      </w:r>
      <w:r w:rsidR="00F607B5" w:rsidRPr="00C3472A">
        <w:rPr>
          <w:b w:val="0"/>
          <w:i/>
          <w:sz w:val="22"/>
          <w:szCs w:val="22"/>
        </w:rPr>
        <w:t>Order</w:t>
      </w:r>
      <w:r w:rsidR="00F607B5" w:rsidRPr="00C3472A">
        <w:rPr>
          <w:b w:val="0"/>
          <w:sz w:val="22"/>
          <w:szCs w:val="22"/>
        </w:rPr>
        <w:t xml:space="preserve"> </w:t>
      </w:r>
      <w:r w:rsidR="00B46AAF">
        <w:rPr>
          <w:b w:val="0"/>
          <w:sz w:val="22"/>
          <w:szCs w:val="22"/>
        </w:rPr>
        <w:t xml:space="preserve">is unnecessarily </w:t>
      </w:r>
      <w:r w:rsidR="00F607B5" w:rsidRPr="00C3472A">
        <w:rPr>
          <w:b w:val="0"/>
          <w:sz w:val="22"/>
          <w:szCs w:val="22"/>
        </w:rPr>
        <w:t>duplicative of other information.</w:t>
      </w:r>
      <w:r w:rsidR="00215232" w:rsidRPr="00C3472A">
        <w:rPr>
          <w:b w:val="0"/>
          <w:sz w:val="22"/>
          <w:szCs w:val="22"/>
        </w:rPr>
        <w:t xml:space="preserve">  </w:t>
      </w:r>
      <w:r w:rsidR="00B46AAF">
        <w:rPr>
          <w:b w:val="0"/>
          <w:sz w:val="22"/>
          <w:szCs w:val="22"/>
        </w:rPr>
        <w:t xml:space="preserve">The formal complaint procedural rules that are the subject of this supporting statement are based on the cable access rules in Part 76 of the Commission’s </w:t>
      </w:r>
      <w:r w:rsidR="00B46AAF" w:rsidRPr="00B46AAF">
        <w:rPr>
          <w:b w:val="0"/>
          <w:sz w:val="22"/>
          <w:szCs w:val="22"/>
        </w:rPr>
        <w:t>rules.</w:t>
      </w:r>
      <w:r w:rsidR="00B46AAF" w:rsidRPr="00B46AAF">
        <w:rPr>
          <w:rStyle w:val="FootnoteReference"/>
          <w:b w:val="0"/>
          <w:sz w:val="22"/>
          <w:szCs w:val="22"/>
        </w:rPr>
        <w:footnoteReference w:id="5"/>
      </w:r>
    </w:p>
    <w:p w:rsidR="00BC734C" w:rsidRPr="00C3472A" w:rsidRDefault="00BC734C">
      <w:pPr>
        <w:pStyle w:val="BodyText"/>
        <w:rPr>
          <w:b w:val="0"/>
          <w:sz w:val="22"/>
          <w:szCs w:val="22"/>
        </w:rPr>
      </w:pPr>
    </w:p>
    <w:p w:rsidR="002A6F7A" w:rsidRPr="00C3472A" w:rsidRDefault="002A6F7A">
      <w:pPr>
        <w:suppressAutoHyphens/>
        <w:rPr>
          <w:sz w:val="22"/>
          <w:szCs w:val="22"/>
        </w:rPr>
      </w:pPr>
      <w:r w:rsidRPr="00C3472A">
        <w:rPr>
          <w:sz w:val="22"/>
          <w:szCs w:val="22"/>
        </w:rPr>
        <w:t xml:space="preserve">5.  This information collection </w:t>
      </w:r>
      <w:r w:rsidR="001069C6" w:rsidRPr="00C3472A">
        <w:rPr>
          <w:sz w:val="22"/>
          <w:szCs w:val="22"/>
        </w:rPr>
        <w:t xml:space="preserve">makes possible a formal complaint process to address </w:t>
      </w:r>
      <w:r w:rsidR="0006575F">
        <w:rPr>
          <w:color w:val="010101"/>
          <w:sz w:val="22"/>
          <w:szCs w:val="22"/>
        </w:rPr>
        <w:t>o</w:t>
      </w:r>
      <w:r w:rsidR="001069C6" w:rsidRPr="00C3472A">
        <w:rPr>
          <w:color w:val="010101"/>
          <w:sz w:val="22"/>
          <w:szCs w:val="22"/>
        </w:rPr>
        <w:t xml:space="preserve">pen Internet disputes that cannot be resolved through other means, including the Commission’s informal complaint system.  This process will permit anyone—including individual end users and edge providers—to file a claim alleging that another party has violated a rule, and asking the Commission to rule on the dispute.  The formal complaint rules will facilitate prompt and effective enforcement of the rules adopted in the </w:t>
      </w:r>
      <w:r w:rsidR="001069C6" w:rsidRPr="00C3472A">
        <w:rPr>
          <w:i/>
          <w:color w:val="010101"/>
          <w:sz w:val="22"/>
          <w:szCs w:val="22"/>
        </w:rPr>
        <w:t>Open Internet Order</w:t>
      </w:r>
      <w:r w:rsidR="001069C6" w:rsidRPr="00C3472A">
        <w:rPr>
          <w:color w:val="010101"/>
          <w:sz w:val="22"/>
          <w:szCs w:val="22"/>
        </w:rPr>
        <w:t xml:space="preserve">, which is crucial to preserving an open Internet and providing clear guidance to stakeholders. </w:t>
      </w:r>
      <w:r w:rsidR="00A14880" w:rsidRPr="00C3472A">
        <w:rPr>
          <w:color w:val="010101"/>
          <w:sz w:val="22"/>
          <w:szCs w:val="22"/>
        </w:rPr>
        <w:t xml:space="preserve"> The Commission’s </w:t>
      </w:r>
      <w:r w:rsidR="0006575F">
        <w:rPr>
          <w:color w:val="010101"/>
          <w:sz w:val="22"/>
          <w:szCs w:val="22"/>
        </w:rPr>
        <w:t>o</w:t>
      </w:r>
      <w:r w:rsidR="00A14880" w:rsidRPr="00C3472A">
        <w:rPr>
          <w:color w:val="010101"/>
          <w:sz w:val="22"/>
          <w:szCs w:val="22"/>
        </w:rPr>
        <w:t xml:space="preserve">pen Internet rules give broadband Internet access service providers substantial flexibility in determining the most cost-effective methods of compliance.  By adopting flexible rules, combined with the formal complaint process that is the subject of this information collection, the Commission </w:t>
      </w:r>
      <w:r w:rsidR="00107E1D">
        <w:rPr>
          <w:color w:val="010101"/>
          <w:sz w:val="22"/>
          <w:szCs w:val="22"/>
        </w:rPr>
        <w:t xml:space="preserve">has </w:t>
      </w:r>
      <w:r w:rsidR="00A14880" w:rsidRPr="00C3472A">
        <w:rPr>
          <w:color w:val="010101"/>
          <w:sz w:val="22"/>
          <w:szCs w:val="22"/>
        </w:rPr>
        <w:t>balance</w:t>
      </w:r>
      <w:r w:rsidR="00107E1D">
        <w:rPr>
          <w:color w:val="010101"/>
          <w:sz w:val="22"/>
          <w:szCs w:val="22"/>
        </w:rPr>
        <w:t>d</w:t>
      </w:r>
      <w:r w:rsidR="00A14880" w:rsidRPr="00C3472A">
        <w:rPr>
          <w:color w:val="010101"/>
          <w:sz w:val="22"/>
          <w:szCs w:val="22"/>
        </w:rPr>
        <w:t xml:space="preserve"> the economic interests of small businesses with the public’s interest in a free and open Internet. </w:t>
      </w:r>
    </w:p>
    <w:p w:rsidR="002A6F7A" w:rsidRPr="00C3472A" w:rsidRDefault="002A6F7A">
      <w:pPr>
        <w:suppressAutoHyphens/>
        <w:rPr>
          <w:sz w:val="22"/>
          <w:szCs w:val="22"/>
        </w:rPr>
      </w:pPr>
    </w:p>
    <w:p w:rsidR="002A6F7A" w:rsidRPr="00C3472A" w:rsidRDefault="002A6F7A">
      <w:pPr>
        <w:suppressAutoHyphens/>
        <w:rPr>
          <w:sz w:val="22"/>
          <w:szCs w:val="22"/>
        </w:rPr>
      </w:pPr>
      <w:r w:rsidRPr="00C3472A">
        <w:rPr>
          <w:sz w:val="22"/>
          <w:szCs w:val="22"/>
        </w:rPr>
        <w:t xml:space="preserve">6.  If this information were not to be collected, the Commission </w:t>
      </w:r>
      <w:r w:rsidR="007E6D12">
        <w:rPr>
          <w:sz w:val="22"/>
          <w:szCs w:val="22"/>
        </w:rPr>
        <w:t xml:space="preserve">would </w:t>
      </w:r>
      <w:r w:rsidR="008A4EAD">
        <w:rPr>
          <w:sz w:val="22"/>
          <w:szCs w:val="22"/>
        </w:rPr>
        <w:t>lack a key method of monitoring</w:t>
      </w:r>
      <w:r w:rsidR="007E6D12">
        <w:rPr>
          <w:sz w:val="22"/>
          <w:szCs w:val="22"/>
        </w:rPr>
        <w:t xml:space="preserve"> </w:t>
      </w:r>
      <w:r w:rsidR="001069C6" w:rsidRPr="00C3472A">
        <w:rPr>
          <w:sz w:val="22"/>
          <w:szCs w:val="22"/>
        </w:rPr>
        <w:t xml:space="preserve">compliance with its </w:t>
      </w:r>
      <w:r w:rsidR="0006575F">
        <w:rPr>
          <w:sz w:val="22"/>
          <w:szCs w:val="22"/>
        </w:rPr>
        <w:t>o</w:t>
      </w:r>
      <w:r w:rsidR="001069C6" w:rsidRPr="00C3472A">
        <w:rPr>
          <w:sz w:val="22"/>
          <w:szCs w:val="22"/>
        </w:rPr>
        <w:t>pen Internet rules</w:t>
      </w:r>
      <w:r w:rsidRPr="00C3472A">
        <w:rPr>
          <w:sz w:val="22"/>
          <w:szCs w:val="22"/>
        </w:rPr>
        <w:t>.</w:t>
      </w:r>
      <w:r w:rsidR="001069C6" w:rsidRPr="00C3472A">
        <w:rPr>
          <w:sz w:val="22"/>
          <w:szCs w:val="22"/>
        </w:rPr>
        <w:t xml:space="preserve">  The absence of this information collection would also eliminate an important means by which </w:t>
      </w:r>
      <w:r w:rsidR="0006575F">
        <w:rPr>
          <w:sz w:val="22"/>
          <w:szCs w:val="22"/>
        </w:rPr>
        <w:t>consumers</w:t>
      </w:r>
      <w:r w:rsidR="001069C6" w:rsidRPr="00C3472A">
        <w:rPr>
          <w:sz w:val="22"/>
          <w:szCs w:val="22"/>
        </w:rPr>
        <w:t xml:space="preserve"> and others may seek the Commission’s help with alleged violations of the </w:t>
      </w:r>
      <w:r w:rsidR="0006575F">
        <w:rPr>
          <w:sz w:val="22"/>
          <w:szCs w:val="22"/>
        </w:rPr>
        <w:t>o</w:t>
      </w:r>
      <w:r w:rsidR="001069C6" w:rsidRPr="00C3472A">
        <w:rPr>
          <w:sz w:val="22"/>
          <w:szCs w:val="22"/>
        </w:rPr>
        <w:t>pen Internet rules.</w:t>
      </w:r>
    </w:p>
    <w:p w:rsidR="002A6F7A" w:rsidRPr="00C3472A" w:rsidRDefault="002A6F7A">
      <w:pPr>
        <w:suppressAutoHyphens/>
        <w:rPr>
          <w:sz w:val="22"/>
          <w:szCs w:val="22"/>
        </w:rPr>
      </w:pPr>
    </w:p>
    <w:p w:rsidR="002A6F7A" w:rsidRPr="00C3472A" w:rsidRDefault="002A6F7A">
      <w:pPr>
        <w:suppressAutoHyphens/>
        <w:rPr>
          <w:sz w:val="22"/>
          <w:szCs w:val="22"/>
        </w:rPr>
      </w:pPr>
      <w:r w:rsidRPr="00C3472A">
        <w:rPr>
          <w:sz w:val="22"/>
          <w:szCs w:val="22"/>
        </w:rPr>
        <w:t xml:space="preserve">7.  </w:t>
      </w:r>
      <w:r w:rsidR="00F607B5" w:rsidRPr="00C3472A">
        <w:rPr>
          <w:sz w:val="22"/>
          <w:szCs w:val="22"/>
        </w:rPr>
        <w:t>No other special circumstances apply to these information collection requirements.</w:t>
      </w:r>
    </w:p>
    <w:p w:rsidR="002A6F7A" w:rsidRPr="00C3472A" w:rsidRDefault="002A6F7A">
      <w:pPr>
        <w:suppressAutoHyphens/>
        <w:rPr>
          <w:sz w:val="22"/>
          <w:szCs w:val="22"/>
        </w:rPr>
      </w:pPr>
    </w:p>
    <w:p w:rsidR="00FD5829" w:rsidRPr="00C3472A" w:rsidRDefault="002A6F7A" w:rsidP="00FD582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C3472A">
        <w:rPr>
          <w:sz w:val="22"/>
          <w:szCs w:val="22"/>
        </w:rPr>
        <w:t xml:space="preserve">8.  </w:t>
      </w:r>
      <w:r w:rsidRPr="00C3472A">
        <w:rPr>
          <w:spacing w:val="-3"/>
          <w:sz w:val="22"/>
          <w:szCs w:val="22"/>
        </w:rPr>
        <w:t xml:space="preserve"> </w:t>
      </w:r>
      <w:r w:rsidR="00071700" w:rsidRPr="00071700">
        <w:rPr>
          <w:sz w:val="22"/>
          <w:szCs w:val="22"/>
        </w:rPr>
        <w:t xml:space="preserve">Pursuant to 5 C.F.R. § 1320.8(d), the Commission published a notice in the </w:t>
      </w:r>
      <w:r w:rsidR="00071700" w:rsidRPr="00071700">
        <w:rPr>
          <w:i/>
          <w:sz w:val="22"/>
          <w:szCs w:val="22"/>
        </w:rPr>
        <w:t xml:space="preserve">Federal Register </w:t>
      </w:r>
      <w:r w:rsidR="00071700" w:rsidRPr="00071700">
        <w:rPr>
          <w:sz w:val="22"/>
          <w:szCs w:val="22"/>
        </w:rPr>
        <w:t xml:space="preserve">to solicit public comment on this reporting requirement on April </w:t>
      </w:r>
      <w:r w:rsidR="00673C24">
        <w:rPr>
          <w:sz w:val="22"/>
          <w:szCs w:val="22"/>
        </w:rPr>
        <w:t>29</w:t>
      </w:r>
      <w:r w:rsidR="00071700" w:rsidRPr="00071700">
        <w:rPr>
          <w:sz w:val="22"/>
          <w:szCs w:val="22"/>
        </w:rPr>
        <w:t>, 2014</w:t>
      </w:r>
      <w:r w:rsidR="00071700" w:rsidRPr="00071700">
        <w:rPr>
          <w:i/>
          <w:sz w:val="22"/>
          <w:szCs w:val="22"/>
        </w:rPr>
        <w:t xml:space="preserve"> (</w:t>
      </w:r>
      <w:r w:rsidR="00673C24" w:rsidRPr="00673C24">
        <w:rPr>
          <w:i/>
          <w:sz w:val="22"/>
          <w:szCs w:val="22"/>
        </w:rPr>
        <w:t>79 FR 23976</w:t>
      </w:r>
      <w:r w:rsidR="00071700" w:rsidRPr="00071700">
        <w:rPr>
          <w:i/>
          <w:sz w:val="22"/>
          <w:szCs w:val="22"/>
        </w:rPr>
        <w:t>)</w:t>
      </w:r>
      <w:r w:rsidR="00071700" w:rsidRPr="00071700">
        <w:rPr>
          <w:sz w:val="22"/>
          <w:szCs w:val="22"/>
        </w:rPr>
        <w:t>.  No comments were received.</w:t>
      </w:r>
      <w:r w:rsidR="00FD5829" w:rsidRPr="00071700">
        <w:rPr>
          <w:color w:val="FF0000"/>
          <w:spacing w:val="-3"/>
          <w:sz w:val="22"/>
          <w:szCs w:val="22"/>
        </w:rPr>
        <w:t xml:space="preserve">   </w:t>
      </w:r>
    </w:p>
    <w:p w:rsidR="00FD5829" w:rsidRPr="00C3472A" w:rsidRDefault="00FD5829" w:rsidP="00FD5829">
      <w:pPr>
        <w:autoSpaceDE w:val="0"/>
        <w:autoSpaceDN w:val="0"/>
        <w:adjustRightInd w:val="0"/>
        <w:rPr>
          <w:sz w:val="22"/>
          <w:szCs w:val="22"/>
        </w:rPr>
      </w:pPr>
    </w:p>
    <w:p w:rsidR="002A6F7A" w:rsidRPr="00C3472A" w:rsidRDefault="002A6F7A" w:rsidP="002A6F7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C3472A">
        <w:rPr>
          <w:spacing w:val="-3"/>
          <w:sz w:val="22"/>
          <w:szCs w:val="22"/>
        </w:rPr>
        <w:t xml:space="preserve">  </w:t>
      </w:r>
    </w:p>
    <w:p w:rsidR="002A6F7A" w:rsidRPr="00C3472A" w:rsidRDefault="002A6F7A" w:rsidP="002A6F7A">
      <w:pPr>
        <w:suppressAutoHyphens/>
        <w:rPr>
          <w:sz w:val="22"/>
          <w:szCs w:val="22"/>
        </w:rPr>
      </w:pPr>
      <w:r w:rsidRPr="00C3472A">
        <w:rPr>
          <w:sz w:val="22"/>
          <w:szCs w:val="22"/>
        </w:rPr>
        <w:t xml:space="preserve">9.  </w:t>
      </w:r>
      <w:r w:rsidR="00195DAF" w:rsidRPr="00955A70">
        <w:rPr>
          <w:sz w:val="22"/>
          <w:szCs w:val="22"/>
        </w:rPr>
        <w:t xml:space="preserve">The Commission does not anticipate providing any payment or gift to respondents.  </w:t>
      </w:r>
    </w:p>
    <w:p w:rsidR="002A6F7A" w:rsidRPr="00C3472A" w:rsidRDefault="002A6F7A">
      <w:pPr>
        <w:pStyle w:val="BodyText2"/>
        <w:rPr>
          <w:sz w:val="22"/>
          <w:szCs w:val="22"/>
        </w:rPr>
      </w:pPr>
    </w:p>
    <w:p w:rsidR="002A6F7A" w:rsidRPr="00FE0F48" w:rsidRDefault="002A6F7A">
      <w:pPr>
        <w:pStyle w:val="BodyText2"/>
        <w:rPr>
          <w:sz w:val="22"/>
          <w:szCs w:val="22"/>
        </w:rPr>
      </w:pPr>
      <w:r w:rsidRPr="00C3472A">
        <w:rPr>
          <w:sz w:val="22"/>
          <w:szCs w:val="22"/>
        </w:rPr>
        <w:t>10.  Any information submitted by parties as part of their petition, complaint, answer</w:t>
      </w:r>
      <w:r w:rsidR="00FA2B21">
        <w:rPr>
          <w:sz w:val="22"/>
          <w:szCs w:val="22"/>
        </w:rPr>
        <w:t>,</w:t>
      </w:r>
      <w:r w:rsidRPr="00C3472A">
        <w:rPr>
          <w:sz w:val="22"/>
          <w:szCs w:val="22"/>
        </w:rPr>
        <w:t xml:space="preserve"> or reply may be submitted pursuant to a request for confidentiality under </w:t>
      </w:r>
      <w:r w:rsidR="00224F4C" w:rsidRPr="00C3472A">
        <w:rPr>
          <w:sz w:val="22"/>
          <w:szCs w:val="22"/>
        </w:rPr>
        <w:t>s</w:t>
      </w:r>
      <w:r w:rsidRPr="00C3472A">
        <w:rPr>
          <w:sz w:val="22"/>
          <w:szCs w:val="22"/>
        </w:rPr>
        <w:t xml:space="preserve">ection 0.459 of the Commission’s rules.  </w:t>
      </w:r>
      <w:r w:rsidRPr="00C3472A">
        <w:rPr>
          <w:i/>
          <w:sz w:val="22"/>
          <w:szCs w:val="22"/>
        </w:rPr>
        <w:t>See</w:t>
      </w:r>
      <w:r w:rsidR="00195DAF">
        <w:rPr>
          <w:sz w:val="22"/>
          <w:szCs w:val="22"/>
        </w:rPr>
        <w:t xml:space="preserve"> </w:t>
      </w:r>
      <w:r w:rsidR="00195DAF" w:rsidRPr="00FE0F48">
        <w:rPr>
          <w:sz w:val="22"/>
          <w:szCs w:val="22"/>
        </w:rPr>
        <w:t>47 </w:t>
      </w:r>
      <w:r w:rsidRPr="00FE0F48">
        <w:rPr>
          <w:sz w:val="22"/>
          <w:szCs w:val="22"/>
        </w:rPr>
        <w:t>C.F.R. § 0.459.</w:t>
      </w:r>
    </w:p>
    <w:p w:rsidR="00B909FA" w:rsidRPr="00FE0F48" w:rsidRDefault="00B909FA">
      <w:pPr>
        <w:pStyle w:val="BodyText2"/>
        <w:rPr>
          <w:sz w:val="22"/>
          <w:szCs w:val="22"/>
        </w:rPr>
      </w:pPr>
    </w:p>
    <w:p w:rsidR="00B909FA" w:rsidRPr="00FE0F48" w:rsidRDefault="00B909FA">
      <w:pPr>
        <w:pStyle w:val="BodyText2"/>
        <w:rPr>
          <w:sz w:val="22"/>
          <w:szCs w:val="22"/>
        </w:rPr>
      </w:pPr>
      <w:r w:rsidRPr="00FE0F48">
        <w:rPr>
          <w:spacing w:val="-3"/>
          <w:sz w:val="22"/>
          <w:szCs w:val="22"/>
        </w:rPr>
        <w:t xml:space="preserve">As noted in Question 1 above, this information collection </w:t>
      </w:r>
      <w:r w:rsidR="00571C11">
        <w:rPr>
          <w:spacing w:val="-3"/>
          <w:sz w:val="22"/>
          <w:szCs w:val="22"/>
        </w:rPr>
        <w:t xml:space="preserve">may affect </w:t>
      </w:r>
      <w:r w:rsidRPr="00FE0F48">
        <w:rPr>
          <w:spacing w:val="-3"/>
          <w:sz w:val="22"/>
          <w:szCs w:val="22"/>
        </w:rPr>
        <w:t xml:space="preserve">individuals or households, and thus there </w:t>
      </w:r>
      <w:r w:rsidR="000B616C">
        <w:rPr>
          <w:spacing w:val="-3"/>
          <w:sz w:val="22"/>
          <w:szCs w:val="22"/>
        </w:rPr>
        <w:t xml:space="preserve">may be </w:t>
      </w:r>
      <w:r w:rsidRPr="00FE0F48">
        <w:rPr>
          <w:spacing w:val="-3"/>
          <w:sz w:val="22"/>
          <w:szCs w:val="22"/>
        </w:rPr>
        <w:t xml:space="preserve">impacts under the Privacy Act.  The PII that individuals and others may include in their </w:t>
      </w:r>
      <w:r w:rsidR="00F2577C" w:rsidRPr="00FE0F48">
        <w:rPr>
          <w:spacing w:val="-3"/>
          <w:sz w:val="22"/>
          <w:szCs w:val="22"/>
        </w:rPr>
        <w:t xml:space="preserve">open Internet </w:t>
      </w:r>
      <w:r w:rsidR="0018413A" w:rsidRPr="00FE0F48">
        <w:rPr>
          <w:spacing w:val="-3"/>
          <w:sz w:val="22"/>
          <w:szCs w:val="22"/>
        </w:rPr>
        <w:t xml:space="preserve">formal </w:t>
      </w:r>
      <w:r w:rsidRPr="00FE0F48">
        <w:rPr>
          <w:spacing w:val="-3"/>
          <w:sz w:val="22"/>
          <w:szCs w:val="22"/>
        </w:rPr>
        <w:t xml:space="preserve">complaint submissions is covered by a system of records, FCC/EB-5, “Enforcement Bureau Activity Tracking System (EBATS),” which became effective on January 24, 2011.  </w:t>
      </w:r>
      <w:r w:rsidRPr="00FE0F48">
        <w:rPr>
          <w:i/>
          <w:spacing w:val="-3"/>
          <w:sz w:val="22"/>
          <w:szCs w:val="22"/>
        </w:rPr>
        <w:t>See</w:t>
      </w:r>
      <w:r w:rsidRPr="00FE0F48">
        <w:rPr>
          <w:spacing w:val="-3"/>
          <w:sz w:val="22"/>
          <w:szCs w:val="22"/>
        </w:rPr>
        <w:t xml:space="preserve"> 75 FR 77872 (</w:t>
      </w:r>
      <w:r w:rsidR="00FE0F48" w:rsidRPr="00FE0F48">
        <w:rPr>
          <w:spacing w:val="-3"/>
          <w:sz w:val="22"/>
          <w:szCs w:val="22"/>
        </w:rPr>
        <w:t>Dec.</w:t>
      </w:r>
      <w:r w:rsidRPr="00FE0F48">
        <w:rPr>
          <w:spacing w:val="-3"/>
          <w:sz w:val="22"/>
          <w:szCs w:val="22"/>
        </w:rPr>
        <w:t xml:space="preserve"> 14, 2010).  The Commission </w:t>
      </w:r>
      <w:r w:rsidR="00A625C8">
        <w:rPr>
          <w:spacing w:val="-3"/>
          <w:sz w:val="22"/>
          <w:szCs w:val="22"/>
        </w:rPr>
        <w:t xml:space="preserve">prepared </w:t>
      </w:r>
      <w:r w:rsidRPr="00FE0F48">
        <w:rPr>
          <w:spacing w:val="-3"/>
          <w:sz w:val="22"/>
          <w:szCs w:val="22"/>
        </w:rPr>
        <w:t xml:space="preserve">a </w:t>
      </w:r>
      <w:r w:rsidR="00571C11" w:rsidRPr="00FE0F48">
        <w:rPr>
          <w:sz w:val="22"/>
          <w:szCs w:val="22"/>
        </w:rPr>
        <w:t xml:space="preserve">Privacy Threshold Analysis (PTA) </w:t>
      </w:r>
      <w:r w:rsidRPr="00FE0F48">
        <w:rPr>
          <w:spacing w:val="-3"/>
          <w:sz w:val="22"/>
          <w:szCs w:val="22"/>
        </w:rPr>
        <w:t xml:space="preserve">for the information systems, including </w:t>
      </w:r>
      <w:r w:rsidR="00F2577C" w:rsidRPr="00FE0F48">
        <w:rPr>
          <w:spacing w:val="-3"/>
          <w:sz w:val="22"/>
          <w:szCs w:val="22"/>
        </w:rPr>
        <w:t>the information system that will track open Internet formal complaints</w:t>
      </w:r>
      <w:r w:rsidRPr="00FE0F48">
        <w:rPr>
          <w:spacing w:val="-3"/>
          <w:sz w:val="22"/>
          <w:szCs w:val="22"/>
        </w:rPr>
        <w:t xml:space="preserve">, which are covered by the EBATS system of records notice (SORN).  </w:t>
      </w:r>
    </w:p>
    <w:p w:rsidR="002A6F7A" w:rsidRPr="00FE0F48" w:rsidRDefault="002A6F7A">
      <w:pPr>
        <w:suppressAutoHyphens/>
        <w:rPr>
          <w:sz w:val="22"/>
          <w:szCs w:val="22"/>
        </w:rPr>
      </w:pPr>
    </w:p>
    <w:p w:rsidR="002A6F7A" w:rsidRPr="00C3472A" w:rsidRDefault="002A6F7A">
      <w:pPr>
        <w:pStyle w:val="BodyText2"/>
        <w:rPr>
          <w:sz w:val="22"/>
          <w:szCs w:val="22"/>
        </w:rPr>
      </w:pPr>
      <w:r w:rsidRPr="00FE0F48">
        <w:rPr>
          <w:sz w:val="22"/>
          <w:szCs w:val="22"/>
        </w:rPr>
        <w:t xml:space="preserve">11.  </w:t>
      </w:r>
      <w:r w:rsidR="00B909FA" w:rsidRPr="00FE0F48">
        <w:rPr>
          <w:sz w:val="22"/>
          <w:szCs w:val="22"/>
        </w:rPr>
        <w:t xml:space="preserve">As noted in Questions 1 and 10 above, a system of records, FCC/EB-5, “EBATS,” covers all PII that may be submitted in </w:t>
      </w:r>
      <w:r w:rsidR="0018413A" w:rsidRPr="00FE0F48">
        <w:rPr>
          <w:sz w:val="22"/>
          <w:szCs w:val="22"/>
        </w:rPr>
        <w:t xml:space="preserve">a formal </w:t>
      </w:r>
      <w:r w:rsidR="00F2577C" w:rsidRPr="00FE0F48">
        <w:rPr>
          <w:sz w:val="22"/>
          <w:szCs w:val="22"/>
        </w:rPr>
        <w:t>complaint</w:t>
      </w:r>
      <w:r w:rsidR="00FE0F48" w:rsidRPr="00FE0F48">
        <w:rPr>
          <w:sz w:val="22"/>
          <w:szCs w:val="22"/>
        </w:rPr>
        <w:t>,</w:t>
      </w:r>
      <w:r w:rsidR="00F2577C" w:rsidRPr="00FE0F48">
        <w:rPr>
          <w:sz w:val="22"/>
          <w:szCs w:val="22"/>
        </w:rPr>
        <w:t xml:space="preserve"> and</w:t>
      </w:r>
      <w:r w:rsidR="009A1E2C" w:rsidRPr="00FE0F48">
        <w:rPr>
          <w:sz w:val="22"/>
          <w:szCs w:val="22"/>
        </w:rPr>
        <w:t xml:space="preserve"> </w:t>
      </w:r>
      <w:r w:rsidR="00B909FA" w:rsidRPr="00FE0F48">
        <w:rPr>
          <w:sz w:val="22"/>
          <w:szCs w:val="22"/>
        </w:rPr>
        <w:t xml:space="preserve">the Commission </w:t>
      </w:r>
      <w:r w:rsidR="00A625C8">
        <w:rPr>
          <w:sz w:val="22"/>
          <w:szCs w:val="22"/>
        </w:rPr>
        <w:t xml:space="preserve">prepared </w:t>
      </w:r>
      <w:r w:rsidR="00B909FA" w:rsidRPr="00FE0F48">
        <w:rPr>
          <w:sz w:val="22"/>
          <w:szCs w:val="22"/>
        </w:rPr>
        <w:t xml:space="preserve">a </w:t>
      </w:r>
      <w:r w:rsidR="001631E5">
        <w:rPr>
          <w:sz w:val="22"/>
          <w:szCs w:val="22"/>
        </w:rPr>
        <w:t xml:space="preserve">PTA </w:t>
      </w:r>
      <w:r w:rsidR="00B909FA" w:rsidRPr="00FE0F48">
        <w:rPr>
          <w:sz w:val="22"/>
          <w:szCs w:val="22"/>
        </w:rPr>
        <w:t>for the information systems covered by the EBATS SORN.</w:t>
      </w:r>
      <w:r w:rsidR="00F2577C" w:rsidRPr="00FE0F48">
        <w:rPr>
          <w:sz w:val="22"/>
          <w:szCs w:val="22"/>
        </w:rPr>
        <w:t xml:space="preserve">  </w:t>
      </w:r>
    </w:p>
    <w:p w:rsidR="00330A59" w:rsidRPr="00C3472A" w:rsidRDefault="00330A59">
      <w:pPr>
        <w:pStyle w:val="BodyText2"/>
        <w:rPr>
          <w:sz w:val="22"/>
          <w:szCs w:val="22"/>
        </w:rPr>
      </w:pPr>
    </w:p>
    <w:p w:rsidR="00224F4C" w:rsidRPr="00C3472A" w:rsidRDefault="00224F4C" w:rsidP="00224F4C">
      <w:pPr>
        <w:suppressAutoHyphens/>
        <w:rPr>
          <w:sz w:val="22"/>
          <w:szCs w:val="22"/>
        </w:rPr>
      </w:pPr>
      <w:r w:rsidRPr="00C3472A">
        <w:rPr>
          <w:sz w:val="22"/>
          <w:szCs w:val="22"/>
        </w:rPr>
        <w:t xml:space="preserve">12.  This collection accounts for </w:t>
      </w:r>
      <w:r w:rsidR="00BB20C2">
        <w:rPr>
          <w:sz w:val="22"/>
          <w:szCs w:val="22"/>
        </w:rPr>
        <w:t xml:space="preserve">formal complaints </w:t>
      </w:r>
      <w:r w:rsidRPr="00C3472A">
        <w:rPr>
          <w:sz w:val="22"/>
          <w:szCs w:val="22"/>
        </w:rPr>
        <w:t xml:space="preserve">filed pursuant to Sections 8.12 </w:t>
      </w:r>
      <w:r w:rsidRPr="00C3472A">
        <w:rPr>
          <w:i/>
          <w:sz w:val="22"/>
          <w:szCs w:val="22"/>
        </w:rPr>
        <w:t>et seq</w:t>
      </w:r>
      <w:r w:rsidRPr="00C3472A">
        <w:rPr>
          <w:sz w:val="22"/>
          <w:szCs w:val="22"/>
        </w:rPr>
        <w:t xml:space="preserve">.  </w:t>
      </w:r>
      <w:r w:rsidR="00CF7225">
        <w:rPr>
          <w:sz w:val="22"/>
          <w:szCs w:val="22"/>
        </w:rPr>
        <w:t xml:space="preserve">We </w:t>
      </w:r>
      <w:r w:rsidR="00E07713" w:rsidRPr="00C3472A">
        <w:rPr>
          <w:sz w:val="22"/>
          <w:szCs w:val="22"/>
        </w:rPr>
        <w:t xml:space="preserve">anticipate that </w:t>
      </w:r>
      <w:r w:rsidRPr="00C3472A">
        <w:rPr>
          <w:sz w:val="22"/>
          <w:szCs w:val="22"/>
        </w:rPr>
        <w:t xml:space="preserve">two filing parties </w:t>
      </w:r>
      <w:r w:rsidR="00E07713" w:rsidRPr="00C3472A">
        <w:rPr>
          <w:sz w:val="22"/>
          <w:szCs w:val="22"/>
        </w:rPr>
        <w:t xml:space="preserve">will </w:t>
      </w:r>
      <w:r w:rsidRPr="00C3472A">
        <w:rPr>
          <w:sz w:val="22"/>
          <w:szCs w:val="22"/>
        </w:rPr>
        <w:t xml:space="preserve">generally </w:t>
      </w:r>
      <w:r w:rsidR="00E07713" w:rsidRPr="00C3472A">
        <w:rPr>
          <w:sz w:val="22"/>
          <w:szCs w:val="22"/>
        </w:rPr>
        <w:t xml:space="preserve">be </w:t>
      </w:r>
      <w:r w:rsidRPr="00C3472A">
        <w:rPr>
          <w:sz w:val="22"/>
          <w:szCs w:val="22"/>
        </w:rPr>
        <w:t xml:space="preserve">involved (the complainant and the defendant/responding party).  </w:t>
      </w:r>
    </w:p>
    <w:p w:rsidR="00224F4C" w:rsidRPr="00C3472A" w:rsidRDefault="00224F4C" w:rsidP="00224F4C">
      <w:pPr>
        <w:suppressAutoHyphens/>
        <w:rPr>
          <w:sz w:val="22"/>
          <w:szCs w:val="22"/>
        </w:rPr>
      </w:pPr>
    </w:p>
    <w:p w:rsidR="00224F4C" w:rsidRPr="00C3472A" w:rsidRDefault="00224F4C" w:rsidP="00224F4C">
      <w:pPr>
        <w:suppressAutoHyphens/>
        <w:rPr>
          <w:sz w:val="22"/>
          <w:szCs w:val="22"/>
        </w:rPr>
      </w:pPr>
      <w:r w:rsidRPr="00C3472A">
        <w:rPr>
          <w:sz w:val="22"/>
          <w:szCs w:val="22"/>
        </w:rPr>
        <w:t xml:space="preserve">We estimate that parties initiating their own formal filings will have an average burden of 40 hours and parties using outside counsel will have an average burden of 4.5 hours to assist their counsel, with some filings requiring considerably less time, and some requiring more time. </w:t>
      </w:r>
      <w:r w:rsidRPr="00DB3CCA">
        <w:rPr>
          <w:sz w:val="22"/>
          <w:szCs w:val="22"/>
        </w:rPr>
        <w:t>We</w:t>
      </w:r>
      <w:r w:rsidRPr="00C3472A">
        <w:rPr>
          <w:sz w:val="22"/>
          <w:szCs w:val="22"/>
        </w:rPr>
        <w:t xml:space="preserve"> estimate that approximately </w:t>
      </w:r>
      <w:r w:rsidRPr="00A625C8">
        <w:rPr>
          <w:sz w:val="22"/>
          <w:szCs w:val="22"/>
        </w:rPr>
        <w:t>15 filings</w:t>
      </w:r>
      <w:r w:rsidRPr="00C3472A">
        <w:rPr>
          <w:sz w:val="22"/>
          <w:szCs w:val="22"/>
        </w:rPr>
        <w:t xml:space="preserve"> will be made annually in accordance with procedures in Sections 8.12 </w:t>
      </w:r>
      <w:r w:rsidRPr="00C3472A">
        <w:rPr>
          <w:i/>
          <w:sz w:val="22"/>
          <w:szCs w:val="22"/>
        </w:rPr>
        <w:t>et seq</w:t>
      </w:r>
      <w:r w:rsidRPr="00C3472A">
        <w:rPr>
          <w:sz w:val="22"/>
          <w:szCs w:val="22"/>
        </w:rPr>
        <w:t>.</w:t>
      </w:r>
    </w:p>
    <w:p w:rsidR="00224F4C" w:rsidRPr="00C3472A" w:rsidRDefault="00224F4C" w:rsidP="00224F4C">
      <w:pPr>
        <w:suppressAutoHyphens/>
        <w:rPr>
          <w:b/>
          <w:sz w:val="22"/>
          <w:szCs w:val="22"/>
        </w:rPr>
      </w:pPr>
    </w:p>
    <w:p w:rsidR="00224F4C" w:rsidRDefault="00224F4C" w:rsidP="00224F4C">
      <w:pPr>
        <w:ind w:left="4050" w:hanging="4050"/>
        <w:rPr>
          <w:b/>
          <w:sz w:val="22"/>
          <w:szCs w:val="22"/>
        </w:rPr>
      </w:pPr>
      <w:r w:rsidRPr="00C3472A">
        <w:rPr>
          <w:b/>
          <w:sz w:val="22"/>
          <w:szCs w:val="22"/>
        </w:rPr>
        <w:t xml:space="preserve">Total Number of Annual Respondents: 10 </w:t>
      </w:r>
    </w:p>
    <w:p w:rsidR="00D94286" w:rsidRDefault="00D94286" w:rsidP="00224F4C">
      <w:pPr>
        <w:ind w:left="4050" w:hanging="4050"/>
        <w:rPr>
          <w:b/>
          <w:sz w:val="22"/>
          <w:szCs w:val="22"/>
        </w:rPr>
      </w:pPr>
    </w:p>
    <w:p w:rsidR="00CE0087" w:rsidRDefault="00CE0087" w:rsidP="00224F4C">
      <w:pPr>
        <w:ind w:left="4050" w:hanging="4050"/>
        <w:rPr>
          <w:b/>
          <w:sz w:val="22"/>
          <w:szCs w:val="22"/>
        </w:rPr>
      </w:pPr>
      <w:r>
        <w:rPr>
          <w:b/>
          <w:sz w:val="22"/>
          <w:szCs w:val="22"/>
        </w:rPr>
        <w:t xml:space="preserve">We estimate that the percentage of each group of respondents should be allocated as follows:  </w:t>
      </w:r>
    </w:p>
    <w:p w:rsidR="00CE0087" w:rsidRDefault="00CE0087" w:rsidP="00224F4C">
      <w:pPr>
        <w:ind w:left="4050" w:hanging="4050"/>
        <w:rPr>
          <w:b/>
          <w:sz w:val="22"/>
          <w:szCs w:val="22"/>
        </w:rPr>
      </w:pPr>
    </w:p>
    <w:p w:rsidR="00D94286" w:rsidRDefault="00D94286" w:rsidP="00224F4C">
      <w:pPr>
        <w:ind w:left="4050" w:hanging="4050"/>
        <w:rPr>
          <w:b/>
          <w:sz w:val="22"/>
          <w:szCs w:val="22"/>
        </w:rPr>
      </w:pPr>
      <w:r>
        <w:rPr>
          <w:b/>
          <w:sz w:val="22"/>
          <w:szCs w:val="22"/>
        </w:rPr>
        <w:t>Private Sector</w:t>
      </w:r>
      <w:r w:rsidR="00CE0087">
        <w:rPr>
          <w:b/>
          <w:sz w:val="22"/>
          <w:szCs w:val="22"/>
        </w:rPr>
        <w:t xml:space="preserve"> (businesses and not-for-profit/institutions)</w:t>
      </w:r>
      <w:r>
        <w:rPr>
          <w:b/>
          <w:sz w:val="22"/>
          <w:szCs w:val="22"/>
        </w:rPr>
        <w:t>: 80% or 8 respondents</w:t>
      </w:r>
    </w:p>
    <w:p w:rsidR="00D94286" w:rsidRDefault="00D94286" w:rsidP="00224F4C">
      <w:pPr>
        <w:ind w:left="4050" w:hanging="4050"/>
        <w:rPr>
          <w:b/>
          <w:sz w:val="22"/>
          <w:szCs w:val="22"/>
        </w:rPr>
      </w:pPr>
    </w:p>
    <w:p w:rsidR="00D94286" w:rsidRDefault="00D94286" w:rsidP="00224F4C">
      <w:pPr>
        <w:ind w:left="4050" w:hanging="4050"/>
        <w:rPr>
          <w:b/>
          <w:sz w:val="22"/>
          <w:szCs w:val="22"/>
        </w:rPr>
      </w:pPr>
      <w:r>
        <w:rPr>
          <w:b/>
          <w:sz w:val="22"/>
          <w:szCs w:val="22"/>
        </w:rPr>
        <w:t>Individuals or house hold: 10% or 1 respondent</w:t>
      </w:r>
    </w:p>
    <w:p w:rsidR="00D94286" w:rsidRDefault="00D94286" w:rsidP="00224F4C">
      <w:pPr>
        <w:ind w:left="4050" w:hanging="4050"/>
        <w:rPr>
          <w:b/>
          <w:sz w:val="22"/>
          <w:szCs w:val="22"/>
        </w:rPr>
      </w:pPr>
    </w:p>
    <w:p w:rsidR="00D94286" w:rsidRDefault="00D94286" w:rsidP="00224F4C">
      <w:pPr>
        <w:ind w:left="4050" w:hanging="4050"/>
        <w:rPr>
          <w:b/>
          <w:sz w:val="22"/>
          <w:szCs w:val="22"/>
        </w:rPr>
      </w:pPr>
      <w:r>
        <w:rPr>
          <w:b/>
          <w:sz w:val="22"/>
          <w:szCs w:val="22"/>
        </w:rPr>
        <w:t>Governments (state, local, or tribal): 10% or 1 respondent</w:t>
      </w:r>
    </w:p>
    <w:p w:rsidR="00D94286" w:rsidRPr="00C3472A" w:rsidRDefault="00D94286" w:rsidP="00224F4C">
      <w:pPr>
        <w:ind w:left="4050" w:hanging="4050"/>
        <w:rPr>
          <w:b/>
          <w:sz w:val="22"/>
          <w:szCs w:val="22"/>
        </w:rPr>
      </w:pPr>
    </w:p>
    <w:p w:rsidR="00224F4C" w:rsidRPr="00C3472A" w:rsidRDefault="00224F4C" w:rsidP="00224F4C">
      <w:pPr>
        <w:tabs>
          <w:tab w:val="left" w:pos="4140"/>
        </w:tabs>
        <w:ind w:left="4320" w:hanging="4320"/>
        <w:rPr>
          <w:sz w:val="22"/>
          <w:szCs w:val="22"/>
        </w:rPr>
      </w:pPr>
      <w:r w:rsidRPr="00C3472A">
        <w:rPr>
          <w:sz w:val="22"/>
          <w:szCs w:val="22"/>
        </w:rPr>
        <w:tab/>
      </w:r>
    </w:p>
    <w:p w:rsidR="00224F4C" w:rsidRPr="00C3472A" w:rsidRDefault="00224F4C" w:rsidP="00224F4C">
      <w:pPr>
        <w:rPr>
          <w:sz w:val="22"/>
          <w:szCs w:val="22"/>
        </w:rPr>
      </w:pPr>
      <w:r w:rsidRPr="00C3472A">
        <w:rPr>
          <w:b/>
          <w:sz w:val="22"/>
          <w:szCs w:val="22"/>
        </w:rPr>
        <w:t>Total Number of Annual Responses</w:t>
      </w:r>
      <w:r w:rsidRPr="00C3472A">
        <w:rPr>
          <w:sz w:val="22"/>
          <w:szCs w:val="22"/>
        </w:rPr>
        <w:t xml:space="preserve"> = </w:t>
      </w:r>
      <w:r w:rsidR="00172BAC" w:rsidRPr="00C3472A">
        <w:rPr>
          <w:sz w:val="22"/>
          <w:szCs w:val="22"/>
        </w:rPr>
        <w:tab/>
      </w:r>
      <w:r w:rsidR="00147ED4" w:rsidRPr="00C3472A">
        <w:rPr>
          <w:sz w:val="22"/>
          <w:szCs w:val="22"/>
        </w:rPr>
        <w:tab/>
      </w:r>
      <w:r w:rsidRPr="00C3472A">
        <w:rPr>
          <w:sz w:val="22"/>
          <w:szCs w:val="22"/>
        </w:rPr>
        <w:t xml:space="preserve">5 </w:t>
      </w:r>
      <w:r w:rsidR="00172BAC" w:rsidRPr="00C3472A">
        <w:rPr>
          <w:sz w:val="22"/>
          <w:szCs w:val="22"/>
        </w:rPr>
        <w:t xml:space="preserve">filings x 2 parties/filing </w:t>
      </w:r>
      <w:r w:rsidRPr="00C3472A">
        <w:rPr>
          <w:sz w:val="22"/>
          <w:szCs w:val="22"/>
        </w:rPr>
        <w:t xml:space="preserve">= </w:t>
      </w:r>
      <w:r w:rsidR="00172BAC" w:rsidRPr="00C3472A">
        <w:rPr>
          <w:sz w:val="22"/>
          <w:szCs w:val="22"/>
        </w:rPr>
        <w:tab/>
      </w:r>
      <w:r w:rsidRPr="00C3472A">
        <w:rPr>
          <w:sz w:val="22"/>
          <w:szCs w:val="22"/>
        </w:rPr>
        <w:t>10 responses/filings</w:t>
      </w:r>
    </w:p>
    <w:p w:rsidR="00224F4C" w:rsidRPr="00C3472A" w:rsidRDefault="00224F4C" w:rsidP="00224F4C">
      <w:pPr>
        <w:rPr>
          <w:sz w:val="22"/>
          <w:szCs w:val="22"/>
          <w:u w:val="single"/>
        </w:rPr>
      </w:pP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t xml:space="preserve">      </w:t>
      </w:r>
      <w:r w:rsidR="00172BAC" w:rsidRPr="00C3472A">
        <w:rPr>
          <w:sz w:val="22"/>
          <w:szCs w:val="22"/>
        </w:rPr>
        <w:tab/>
      </w:r>
      <w:r w:rsidRPr="00C3472A">
        <w:rPr>
          <w:sz w:val="22"/>
          <w:szCs w:val="22"/>
        </w:rPr>
        <w:t xml:space="preserve">5 pre-complaint notices =    </w:t>
      </w:r>
      <w:r w:rsidR="00172BAC" w:rsidRPr="00C3472A">
        <w:rPr>
          <w:sz w:val="22"/>
          <w:szCs w:val="22"/>
        </w:rPr>
        <w:tab/>
      </w:r>
      <w:r w:rsidRPr="00C3472A">
        <w:rPr>
          <w:sz w:val="22"/>
          <w:szCs w:val="22"/>
          <w:u w:val="single"/>
        </w:rPr>
        <w:t>5 notices</w:t>
      </w:r>
    </w:p>
    <w:p w:rsidR="00224F4C" w:rsidRPr="00C3472A" w:rsidRDefault="00224F4C" w:rsidP="00224F4C">
      <w:pPr>
        <w:rPr>
          <w:b/>
          <w:sz w:val="22"/>
          <w:szCs w:val="22"/>
        </w:rPr>
      </w:pPr>
      <w:r w:rsidRPr="00C3472A">
        <w:rPr>
          <w:b/>
          <w:sz w:val="22"/>
          <w:szCs w:val="22"/>
        </w:rPr>
        <w:t xml:space="preserve"> </w:t>
      </w:r>
      <w:r w:rsidRPr="00C3472A">
        <w:rPr>
          <w:b/>
          <w:sz w:val="22"/>
          <w:szCs w:val="22"/>
        </w:rPr>
        <w:tab/>
      </w:r>
      <w:r w:rsidRPr="00C3472A">
        <w:rPr>
          <w:b/>
          <w:sz w:val="22"/>
          <w:szCs w:val="22"/>
        </w:rPr>
        <w:tab/>
      </w:r>
      <w:r w:rsidRPr="00C3472A">
        <w:rPr>
          <w:b/>
          <w:sz w:val="22"/>
          <w:szCs w:val="22"/>
        </w:rPr>
        <w:tab/>
      </w:r>
      <w:r w:rsidRPr="00C3472A">
        <w:rPr>
          <w:b/>
          <w:sz w:val="22"/>
          <w:szCs w:val="22"/>
        </w:rPr>
        <w:tab/>
      </w:r>
      <w:r w:rsidRPr="00C3472A">
        <w:rPr>
          <w:b/>
          <w:sz w:val="22"/>
          <w:szCs w:val="22"/>
        </w:rPr>
        <w:tab/>
      </w:r>
      <w:r w:rsidRPr="00C3472A">
        <w:rPr>
          <w:b/>
          <w:sz w:val="22"/>
          <w:szCs w:val="22"/>
        </w:rPr>
        <w:tab/>
      </w:r>
      <w:r w:rsidRPr="00C3472A">
        <w:rPr>
          <w:b/>
          <w:sz w:val="22"/>
          <w:szCs w:val="22"/>
        </w:rPr>
        <w:tab/>
      </w:r>
      <w:r w:rsidRPr="00C3472A">
        <w:rPr>
          <w:b/>
          <w:sz w:val="22"/>
          <w:szCs w:val="22"/>
        </w:rPr>
        <w:tab/>
      </w:r>
      <w:r w:rsidRPr="00C3472A">
        <w:rPr>
          <w:b/>
          <w:sz w:val="22"/>
          <w:szCs w:val="22"/>
        </w:rPr>
        <w:tab/>
        <w:t xml:space="preserve">   </w:t>
      </w:r>
      <w:r w:rsidR="00172BAC" w:rsidRPr="00C3472A">
        <w:rPr>
          <w:b/>
          <w:sz w:val="22"/>
          <w:szCs w:val="22"/>
        </w:rPr>
        <w:tab/>
      </w:r>
      <w:r w:rsidRPr="00C3472A">
        <w:rPr>
          <w:b/>
          <w:sz w:val="22"/>
          <w:szCs w:val="22"/>
        </w:rPr>
        <w:t>15 responses</w:t>
      </w:r>
    </w:p>
    <w:p w:rsidR="00124352" w:rsidRDefault="00124352" w:rsidP="00124352">
      <w:pPr>
        <w:ind w:left="4050" w:hanging="4050"/>
        <w:rPr>
          <w:b/>
          <w:sz w:val="22"/>
          <w:szCs w:val="22"/>
        </w:rPr>
      </w:pPr>
    </w:p>
    <w:p w:rsidR="00124352" w:rsidRDefault="00124352" w:rsidP="00124352">
      <w:pPr>
        <w:ind w:left="4050" w:hanging="4050"/>
        <w:rPr>
          <w:b/>
          <w:sz w:val="22"/>
          <w:szCs w:val="22"/>
        </w:rPr>
      </w:pPr>
      <w:r>
        <w:rPr>
          <w:b/>
          <w:sz w:val="22"/>
          <w:szCs w:val="22"/>
        </w:rPr>
        <w:t xml:space="preserve">Private Sector: 80% or 13 responses (rounded) </w:t>
      </w:r>
    </w:p>
    <w:p w:rsidR="00124352" w:rsidRDefault="00124352" w:rsidP="00124352">
      <w:pPr>
        <w:ind w:left="4050" w:hanging="4050"/>
        <w:rPr>
          <w:b/>
          <w:sz w:val="22"/>
          <w:szCs w:val="22"/>
        </w:rPr>
      </w:pPr>
    </w:p>
    <w:p w:rsidR="00124352" w:rsidRDefault="00124352" w:rsidP="00124352">
      <w:pPr>
        <w:ind w:left="4050" w:hanging="4050"/>
        <w:rPr>
          <w:b/>
          <w:sz w:val="22"/>
          <w:szCs w:val="22"/>
        </w:rPr>
      </w:pPr>
      <w:r>
        <w:rPr>
          <w:b/>
          <w:sz w:val="22"/>
          <w:szCs w:val="22"/>
        </w:rPr>
        <w:t>Individuals or house hold: 10% or 2 responses (rounded)</w:t>
      </w:r>
    </w:p>
    <w:p w:rsidR="00124352" w:rsidRDefault="00124352" w:rsidP="00124352">
      <w:pPr>
        <w:ind w:left="4050" w:hanging="4050"/>
        <w:rPr>
          <w:b/>
          <w:sz w:val="22"/>
          <w:szCs w:val="22"/>
        </w:rPr>
      </w:pPr>
    </w:p>
    <w:p w:rsidR="00124352" w:rsidRDefault="00124352" w:rsidP="00124352">
      <w:pPr>
        <w:ind w:left="4050" w:hanging="4050"/>
        <w:rPr>
          <w:b/>
          <w:sz w:val="22"/>
          <w:szCs w:val="22"/>
        </w:rPr>
      </w:pPr>
      <w:r>
        <w:rPr>
          <w:b/>
          <w:sz w:val="22"/>
          <w:szCs w:val="22"/>
        </w:rPr>
        <w:t>Governments (state, local, or tribal): 10% or 2 responses (rounded)</w:t>
      </w:r>
    </w:p>
    <w:p w:rsidR="00224F4C" w:rsidRDefault="00224F4C" w:rsidP="00224F4C">
      <w:pPr>
        <w:rPr>
          <w:b/>
          <w:sz w:val="22"/>
          <w:szCs w:val="22"/>
        </w:rPr>
      </w:pPr>
    </w:p>
    <w:p w:rsidR="00124352" w:rsidRDefault="00124352" w:rsidP="00224F4C">
      <w:pPr>
        <w:rPr>
          <w:b/>
          <w:sz w:val="22"/>
          <w:szCs w:val="22"/>
        </w:rPr>
      </w:pPr>
    </w:p>
    <w:p w:rsidR="00124352" w:rsidRPr="00C3472A" w:rsidRDefault="00124352" w:rsidP="00224F4C">
      <w:pPr>
        <w:rPr>
          <w:b/>
          <w:sz w:val="22"/>
          <w:szCs w:val="22"/>
        </w:rPr>
      </w:pPr>
    </w:p>
    <w:p w:rsidR="00224F4C" w:rsidRPr="00C3472A" w:rsidRDefault="00224F4C" w:rsidP="00224F4C">
      <w:pPr>
        <w:rPr>
          <w:b/>
          <w:bCs/>
          <w:caps/>
          <w:sz w:val="22"/>
          <w:szCs w:val="22"/>
        </w:rPr>
      </w:pPr>
      <w:r w:rsidRPr="00C3472A">
        <w:rPr>
          <w:b/>
          <w:bCs/>
          <w:caps/>
          <w:sz w:val="22"/>
          <w:szCs w:val="22"/>
        </w:rPr>
        <w:t>Annual Burden Hours</w:t>
      </w:r>
    </w:p>
    <w:p w:rsidR="00224F4C" w:rsidRPr="00C3472A" w:rsidRDefault="00224F4C" w:rsidP="00224F4C">
      <w:pPr>
        <w:rPr>
          <w:b/>
          <w:sz w:val="22"/>
          <w:szCs w:val="22"/>
        </w:rPr>
      </w:pPr>
    </w:p>
    <w:p w:rsidR="00224F4C" w:rsidRPr="00C3472A" w:rsidRDefault="00224F4C" w:rsidP="00224F4C">
      <w:pPr>
        <w:rPr>
          <w:sz w:val="22"/>
          <w:szCs w:val="22"/>
        </w:rPr>
      </w:pPr>
      <w:r w:rsidRPr="00C3472A">
        <w:rPr>
          <w:b/>
          <w:sz w:val="22"/>
          <w:szCs w:val="22"/>
        </w:rPr>
        <w:t xml:space="preserve">Parties Initiating Their Own Filings:  </w:t>
      </w:r>
      <w:r w:rsidRPr="00C3472A">
        <w:rPr>
          <w:sz w:val="22"/>
          <w:szCs w:val="22"/>
        </w:rPr>
        <w:t xml:space="preserve">We estimate that 50% of parties initiating or responding to formal filings will do so on their own at an average of 40 hours per complaint filing.  We assume that all parties that prepare their own complaints will also prepare their own pre-complaint notices, and will expend 4 hours per pre-complaint notice filing.  </w:t>
      </w:r>
    </w:p>
    <w:p w:rsidR="00224F4C" w:rsidRPr="00C3472A" w:rsidRDefault="00224F4C" w:rsidP="00224F4C">
      <w:pPr>
        <w:rPr>
          <w:sz w:val="22"/>
          <w:szCs w:val="22"/>
        </w:rPr>
      </w:pPr>
    </w:p>
    <w:p w:rsidR="00224F4C" w:rsidRPr="00C3472A" w:rsidRDefault="00224F4C" w:rsidP="00224F4C">
      <w:pPr>
        <w:rPr>
          <w:sz w:val="22"/>
          <w:szCs w:val="22"/>
        </w:rPr>
      </w:pPr>
      <w:r w:rsidRPr="00C3472A">
        <w:rPr>
          <w:sz w:val="22"/>
          <w:szCs w:val="22"/>
        </w:rPr>
        <w:t xml:space="preserve"> </w:t>
      </w:r>
      <w:r w:rsidRPr="00C3472A">
        <w:rPr>
          <w:sz w:val="22"/>
          <w:szCs w:val="22"/>
        </w:rPr>
        <w:tab/>
      </w:r>
      <w:r w:rsidRPr="00C3472A">
        <w:rPr>
          <w:sz w:val="22"/>
          <w:szCs w:val="22"/>
        </w:rPr>
        <w:tab/>
        <w:t>(3 complaints + 2 responses) x 40 hours/filing = 200 hours</w:t>
      </w:r>
    </w:p>
    <w:p w:rsidR="00224F4C" w:rsidRPr="00C3472A" w:rsidRDefault="00224F4C" w:rsidP="00224F4C">
      <w:pPr>
        <w:rPr>
          <w:sz w:val="22"/>
          <w:szCs w:val="22"/>
        </w:rPr>
      </w:pPr>
      <w:r w:rsidRPr="00C3472A">
        <w:rPr>
          <w:sz w:val="22"/>
          <w:szCs w:val="22"/>
        </w:rPr>
        <w:tab/>
      </w:r>
    </w:p>
    <w:p w:rsidR="00224F4C" w:rsidRPr="00C3472A" w:rsidRDefault="00224F4C" w:rsidP="00224F4C">
      <w:pPr>
        <w:rPr>
          <w:sz w:val="22"/>
          <w:szCs w:val="22"/>
        </w:rPr>
      </w:pPr>
      <w:r w:rsidRPr="00C3472A">
        <w:rPr>
          <w:sz w:val="22"/>
          <w:szCs w:val="22"/>
        </w:rPr>
        <w:tab/>
      </w:r>
      <w:r w:rsidRPr="00C3472A">
        <w:rPr>
          <w:sz w:val="22"/>
          <w:szCs w:val="22"/>
        </w:rPr>
        <w:tab/>
        <w:t>3 pre-complaint notices</w:t>
      </w:r>
      <w:r w:rsidRPr="00C3472A">
        <w:rPr>
          <w:rStyle w:val="FootnoteReference"/>
          <w:sz w:val="22"/>
          <w:szCs w:val="22"/>
        </w:rPr>
        <w:footnoteReference w:id="6"/>
      </w:r>
      <w:r w:rsidRPr="00C3472A">
        <w:rPr>
          <w:sz w:val="22"/>
          <w:szCs w:val="22"/>
        </w:rPr>
        <w:t xml:space="preserve"> x 4 hours/filings = 12 hours</w:t>
      </w:r>
      <w:r w:rsidRPr="00C3472A">
        <w:rPr>
          <w:sz w:val="22"/>
          <w:szCs w:val="22"/>
        </w:rPr>
        <w:tab/>
      </w:r>
      <w:r w:rsidRPr="00C3472A">
        <w:rPr>
          <w:sz w:val="22"/>
          <w:szCs w:val="22"/>
        </w:rPr>
        <w:tab/>
      </w:r>
    </w:p>
    <w:p w:rsidR="00224F4C" w:rsidRPr="00C3472A" w:rsidRDefault="00224F4C" w:rsidP="00224F4C">
      <w:pPr>
        <w:rPr>
          <w:sz w:val="22"/>
          <w:szCs w:val="22"/>
        </w:rPr>
      </w:pPr>
    </w:p>
    <w:p w:rsidR="00224F4C" w:rsidRPr="00C3472A" w:rsidRDefault="00224F4C" w:rsidP="00224F4C">
      <w:pPr>
        <w:rPr>
          <w:sz w:val="22"/>
          <w:szCs w:val="22"/>
        </w:rPr>
      </w:pPr>
      <w:r w:rsidRPr="00C3472A">
        <w:rPr>
          <w:b/>
          <w:sz w:val="22"/>
          <w:szCs w:val="22"/>
        </w:rPr>
        <w:t xml:space="preserve">Parties Using Outside Counsel:  </w:t>
      </w:r>
      <w:r w:rsidRPr="00C3472A">
        <w:rPr>
          <w:sz w:val="22"/>
          <w:szCs w:val="22"/>
        </w:rPr>
        <w:t>We estimate that 50% of parties initiating or responding to formal filings will use outside legal counsel.  These parties will commit an average of 4.5 hours per complaint</w:t>
      </w:r>
      <w:r w:rsidR="004E5F3A">
        <w:rPr>
          <w:sz w:val="22"/>
          <w:szCs w:val="22"/>
        </w:rPr>
        <w:t>/response</w:t>
      </w:r>
      <w:r w:rsidRPr="00C3472A">
        <w:rPr>
          <w:sz w:val="22"/>
          <w:szCs w:val="22"/>
        </w:rPr>
        <w:t xml:space="preserve"> filing.  We assume that parties that use outside counsel to prepare complaints will also use outside counsel to prepare pre-complaint notices, and will expend 2 hours per pre-complaint notice filing to coordinate with outside legal counsel.  </w:t>
      </w:r>
    </w:p>
    <w:p w:rsidR="00224F4C" w:rsidRPr="00C3472A" w:rsidRDefault="00224F4C" w:rsidP="00224F4C">
      <w:pPr>
        <w:rPr>
          <w:sz w:val="22"/>
          <w:szCs w:val="22"/>
        </w:rPr>
      </w:pPr>
    </w:p>
    <w:p w:rsidR="00224F4C" w:rsidRPr="00C3472A" w:rsidRDefault="00224F4C" w:rsidP="00224F4C">
      <w:pPr>
        <w:rPr>
          <w:sz w:val="22"/>
          <w:szCs w:val="22"/>
        </w:rPr>
      </w:pPr>
      <w:r w:rsidRPr="00C3472A">
        <w:rPr>
          <w:sz w:val="22"/>
          <w:szCs w:val="22"/>
        </w:rPr>
        <w:t xml:space="preserve"> </w:t>
      </w:r>
      <w:r w:rsidRPr="00C3472A">
        <w:rPr>
          <w:sz w:val="22"/>
          <w:szCs w:val="22"/>
        </w:rPr>
        <w:tab/>
      </w:r>
      <w:r w:rsidRPr="00C3472A">
        <w:rPr>
          <w:sz w:val="22"/>
          <w:szCs w:val="22"/>
        </w:rPr>
        <w:tab/>
        <w:t xml:space="preserve">(2 complaints + 3 responses) x 4.5 hours/filing = 22.5 hours  </w:t>
      </w:r>
    </w:p>
    <w:p w:rsidR="00224F4C" w:rsidRPr="00C3472A" w:rsidRDefault="00224F4C" w:rsidP="00224F4C">
      <w:pPr>
        <w:rPr>
          <w:sz w:val="22"/>
          <w:szCs w:val="22"/>
        </w:rPr>
      </w:pPr>
    </w:p>
    <w:p w:rsidR="00224F4C" w:rsidRPr="00C3472A" w:rsidRDefault="00224F4C" w:rsidP="00224F4C">
      <w:pPr>
        <w:rPr>
          <w:sz w:val="22"/>
          <w:szCs w:val="22"/>
        </w:rPr>
      </w:pPr>
      <w:r w:rsidRPr="00C3472A">
        <w:rPr>
          <w:sz w:val="22"/>
          <w:szCs w:val="22"/>
        </w:rPr>
        <w:tab/>
      </w:r>
      <w:r w:rsidRPr="00C3472A">
        <w:rPr>
          <w:sz w:val="22"/>
          <w:szCs w:val="22"/>
        </w:rPr>
        <w:tab/>
        <w:t>2 pre-complaint notices</w:t>
      </w:r>
      <w:r w:rsidRPr="00C3472A">
        <w:rPr>
          <w:rStyle w:val="FootnoteReference"/>
          <w:sz w:val="22"/>
          <w:szCs w:val="22"/>
        </w:rPr>
        <w:footnoteReference w:id="7"/>
      </w:r>
      <w:r w:rsidRPr="00C3472A">
        <w:rPr>
          <w:sz w:val="22"/>
          <w:szCs w:val="22"/>
        </w:rPr>
        <w:t xml:space="preserve"> x 2 hours/filing = 4 hours</w:t>
      </w:r>
    </w:p>
    <w:p w:rsidR="00224F4C" w:rsidRPr="00C3472A" w:rsidRDefault="00224F4C" w:rsidP="00224F4C">
      <w:pPr>
        <w:rPr>
          <w:sz w:val="22"/>
          <w:szCs w:val="22"/>
        </w:rPr>
      </w:pPr>
    </w:p>
    <w:p w:rsidR="00224F4C" w:rsidRPr="00C3472A" w:rsidRDefault="00224F4C" w:rsidP="00224F4C">
      <w:pPr>
        <w:rPr>
          <w:sz w:val="22"/>
          <w:szCs w:val="22"/>
        </w:rPr>
      </w:pPr>
      <w:r w:rsidRPr="00C3472A">
        <w:rPr>
          <w:b/>
          <w:sz w:val="22"/>
          <w:szCs w:val="22"/>
        </w:rPr>
        <w:t>Total Annual Burden Hours</w:t>
      </w:r>
      <w:r w:rsidRPr="003063FB">
        <w:rPr>
          <w:sz w:val="22"/>
          <w:szCs w:val="22"/>
        </w:rPr>
        <w:t xml:space="preserve"> = </w:t>
      </w:r>
      <w:r w:rsidRPr="00C3472A">
        <w:rPr>
          <w:sz w:val="22"/>
          <w:szCs w:val="22"/>
        </w:rPr>
        <w:t xml:space="preserve">200 hours + 12 hours + 22.5 hours + 4 hours = </w:t>
      </w:r>
      <w:r w:rsidRPr="00C3472A">
        <w:rPr>
          <w:b/>
          <w:sz w:val="22"/>
          <w:szCs w:val="22"/>
        </w:rPr>
        <w:t>238.5 hours (239 hours rounded)</w:t>
      </w:r>
    </w:p>
    <w:p w:rsidR="00224F4C" w:rsidRDefault="00224F4C" w:rsidP="00224F4C">
      <w:pPr>
        <w:rPr>
          <w:sz w:val="22"/>
          <w:szCs w:val="22"/>
        </w:rPr>
      </w:pPr>
    </w:p>
    <w:p w:rsidR="00CE0087" w:rsidRDefault="00CE0087" w:rsidP="00CE0087">
      <w:pPr>
        <w:ind w:left="4050" w:hanging="4050"/>
        <w:rPr>
          <w:b/>
          <w:sz w:val="22"/>
          <w:szCs w:val="22"/>
        </w:rPr>
      </w:pPr>
      <w:r>
        <w:rPr>
          <w:b/>
          <w:sz w:val="22"/>
          <w:szCs w:val="22"/>
        </w:rPr>
        <w:t xml:space="preserve">Private Sector: 80% or 191 hours (rounded) </w:t>
      </w:r>
    </w:p>
    <w:p w:rsidR="00B47409" w:rsidRDefault="00B47409" w:rsidP="00CE0087">
      <w:pPr>
        <w:ind w:left="4050" w:hanging="4050"/>
        <w:rPr>
          <w:b/>
          <w:sz w:val="22"/>
          <w:szCs w:val="22"/>
        </w:rPr>
      </w:pPr>
    </w:p>
    <w:p w:rsidR="00B47409" w:rsidRDefault="00B47409" w:rsidP="00B47409">
      <w:pPr>
        <w:pStyle w:val="ListParagraph"/>
        <w:numPr>
          <w:ilvl w:val="0"/>
          <w:numId w:val="12"/>
        </w:numPr>
        <w:tabs>
          <w:tab w:val="left" w:pos="360"/>
        </w:tabs>
        <w:ind w:left="360"/>
        <w:rPr>
          <w:b/>
          <w:sz w:val="22"/>
          <w:szCs w:val="22"/>
        </w:rPr>
      </w:pPr>
      <w:r>
        <w:rPr>
          <w:b/>
          <w:sz w:val="22"/>
          <w:szCs w:val="22"/>
        </w:rPr>
        <w:t>Reporting will require approximately 95% of this hourly burden =</w:t>
      </w:r>
      <w:r w:rsidR="00C72016">
        <w:rPr>
          <w:b/>
          <w:sz w:val="22"/>
          <w:szCs w:val="22"/>
        </w:rPr>
        <w:t xml:space="preserve"> 181 hours</w:t>
      </w:r>
    </w:p>
    <w:p w:rsidR="00B47409" w:rsidRDefault="00B47409" w:rsidP="00B47409">
      <w:pPr>
        <w:tabs>
          <w:tab w:val="left" w:pos="360"/>
        </w:tabs>
        <w:rPr>
          <w:b/>
          <w:sz w:val="22"/>
          <w:szCs w:val="22"/>
        </w:rPr>
      </w:pPr>
    </w:p>
    <w:p w:rsidR="00B47409" w:rsidRPr="00B47409" w:rsidRDefault="00B47409" w:rsidP="00B47409">
      <w:pPr>
        <w:pStyle w:val="ListParagraph"/>
        <w:numPr>
          <w:ilvl w:val="0"/>
          <w:numId w:val="12"/>
        </w:numPr>
        <w:tabs>
          <w:tab w:val="left" w:pos="360"/>
        </w:tabs>
        <w:ind w:left="360"/>
        <w:rPr>
          <w:b/>
          <w:sz w:val="22"/>
          <w:szCs w:val="22"/>
        </w:rPr>
      </w:pPr>
      <w:r>
        <w:rPr>
          <w:b/>
          <w:sz w:val="22"/>
          <w:szCs w:val="22"/>
        </w:rPr>
        <w:t>Third Party Disclosure will require approximately 5% of this hourly burden =</w:t>
      </w:r>
      <w:r w:rsidR="00C72016">
        <w:rPr>
          <w:b/>
          <w:sz w:val="22"/>
          <w:szCs w:val="22"/>
        </w:rPr>
        <w:t xml:space="preserve"> 10 hours</w:t>
      </w:r>
    </w:p>
    <w:p w:rsidR="00CE0087" w:rsidRDefault="00CE0087" w:rsidP="00CE0087">
      <w:pPr>
        <w:ind w:left="4050" w:hanging="4050"/>
        <w:rPr>
          <w:b/>
          <w:sz w:val="22"/>
          <w:szCs w:val="22"/>
        </w:rPr>
      </w:pPr>
    </w:p>
    <w:p w:rsidR="00B47409" w:rsidRDefault="00B47409" w:rsidP="00CE0087">
      <w:pPr>
        <w:ind w:left="4050" w:hanging="4050"/>
        <w:rPr>
          <w:b/>
          <w:sz w:val="22"/>
          <w:szCs w:val="22"/>
        </w:rPr>
      </w:pPr>
    </w:p>
    <w:p w:rsidR="00CE0087" w:rsidRDefault="00CE0087" w:rsidP="00CE0087">
      <w:pPr>
        <w:ind w:left="4050" w:hanging="4050"/>
        <w:rPr>
          <w:b/>
          <w:sz w:val="22"/>
          <w:szCs w:val="22"/>
        </w:rPr>
      </w:pPr>
      <w:r>
        <w:rPr>
          <w:b/>
          <w:sz w:val="22"/>
          <w:szCs w:val="22"/>
        </w:rPr>
        <w:t>Individuals or house hold: 10% or 24 hours (rounded)</w:t>
      </w:r>
    </w:p>
    <w:p w:rsidR="00CE0087" w:rsidRDefault="00CE0087" w:rsidP="00CE0087">
      <w:pPr>
        <w:ind w:left="4050" w:hanging="4050"/>
        <w:rPr>
          <w:b/>
          <w:sz w:val="22"/>
          <w:szCs w:val="22"/>
        </w:rPr>
      </w:pPr>
    </w:p>
    <w:p w:rsidR="00B47409" w:rsidRDefault="00B47409" w:rsidP="00B47409">
      <w:pPr>
        <w:pStyle w:val="ListParagraph"/>
        <w:numPr>
          <w:ilvl w:val="0"/>
          <w:numId w:val="13"/>
        </w:numPr>
        <w:tabs>
          <w:tab w:val="left" w:pos="360"/>
        </w:tabs>
        <w:ind w:left="360"/>
        <w:rPr>
          <w:b/>
          <w:sz w:val="22"/>
          <w:szCs w:val="22"/>
        </w:rPr>
      </w:pPr>
      <w:r>
        <w:rPr>
          <w:b/>
          <w:sz w:val="22"/>
          <w:szCs w:val="22"/>
        </w:rPr>
        <w:t>Reporting will require approximately 95% of this hourly burden =</w:t>
      </w:r>
      <w:r w:rsidR="00C72016">
        <w:rPr>
          <w:b/>
          <w:sz w:val="22"/>
          <w:szCs w:val="22"/>
        </w:rPr>
        <w:t xml:space="preserve"> 23 hours</w:t>
      </w:r>
    </w:p>
    <w:p w:rsidR="00B47409" w:rsidRDefault="00B47409" w:rsidP="00B47409">
      <w:pPr>
        <w:tabs>
          <w:tab w:val="left" w:pos="360"/>
        </w:tabs>
        <w:rPr>
          <w:b/>
          <w:sz w:val="22"/>
          <w:szCs w:val="22"/>
        </w:rPr>
      </w:pPr>
    </w:p>
    <w:p w:rsidR="00B47409" w:rsidRPr="00655C19" w:rsidRDefault="00B47409" w:rsidP="00B47409">
      <w:pPr>
        <w:pStyle w:val="ListParagraph"/>
        <w:numPr>
          <w:ilvl w:val="0"/>
          <w:numId w:val="13"/>
        </w:numPr>
        <w:tabs>
          <w:tab w:val="left" w:pos="360"/>
        </w:tabs>
        <w:ind w:left="360"/>
        <w:rPr>
          <w:b/>
          <w:sz w:val="22"/>
          <w:szCs w:val="22"/>
        </w:rPr>
      </w:pPr>
      <w:r>
        <w:rPr>
          <w:b/>
          <w:sz w:val="22"/>
          <w:szCs w:val="22"/>
        </w:rPr>
        <w:t>Third Party Disclosure will require approximately 5% of this hourly burden =</w:t>
      </w:r>
      <w:r w:rsidR="00C72016">
        <w:rPr>
          <w:b/>
          <w:sz w:val="22"/>
          <w:szCs w:val="22"/>
        </w:rPr>
        <w:t xml:space="preserve"> 1 hour</w:t>
      </w:r>
    </w:p>
    <w:p w:rsidR="00B47409" w:rsidRDefault="00B47409" w:rsidP="00CE0087">
      <w:pPr>
        <w:ind w:left="4050" w:hanging="4050"/>
        <w:rPr>
          <w:b/>
          <w:sz w:val="22"/>
          <w:szCs w:val="22"/>
        </w:rPr>
      </w:pPr>
    </w:p>
    <w:p w:rsidR="00B47409" w:rsidRDefault="00B47409" w:rsidP="00CE0087">
      <w:pPr>
        <w:ind w:left="4050" w:hanging="4050"/>
        <w:rPr>
          <w:b/>
          <w:sz w:val="22"/>
          <w:szCs w:val="22"/>
        </w:rPr>
      </w:pPr>
    </w:p>
    <w:p w:rsidR="00CE0087" w:rsidRDefault="00CE0087" w:rsidP="00CE0087">
      <w:pPr>
        <w:ind w:left="4050" w:hanging="4050"/>
        <w:rPr>
          <w:b/>
          <w:sz w:val="22"/>
          <w:szCs w:val="22"/>
        </w:rPr>
      </w:pPr>
      <w:r>
        <w:rPr>
          <w:b/>
          <w:sz w:val="22"/>
          <w:szCs w:val="22"/>
        </w:rPr>
        <w:t>Governments (state, local, or tribal): 10% or 24 hours (rounded)</w:t>
      </w:r>
    </w:p>
    <w:p w:rsidR="00CE0087" w:rsidRDefault="00CE0087" w:rsidP="00CE0087">
      <w:pPr>
        <w:rPr>
          <w:b/>
          <w:sz w:val="22"/>
          <w:szCs w:val="22"/>
        </w:rPr>
      </w:pPr>
    </w:p>
    <w:p w:rsidR="00B47409" w:rsidRDefault="00B47409" w:rsidP="00B47409">
      <w:pPr>
        <w:pStyle w:val="ListParagraph"/>
        <w:numPr>
          <w:ilvl w:val="0"/>
          <w:numId w:val="14"/>
        </w:numPr>
        <w:tabs>
          <w:tab w:val="left" w:pos="360"/>
        </w:tabs>
        <w:ind w:left="360"/>
        <w:rPr>
          <w:b/>
          <w:sz w:val="22"/>
          <w:szCs w:val="22"/>
        </w:rPr>
      </w:pPr>
      <w:r>
        <w:rPr>
          <w:b/>
          <w:sz w:val="22"/>
          <w:szCs w:val="22"/>
        </w:rPr>
        <w:t>Reporting will require approximately 95% of this hourly burden =</w:t>
      </w:r>
      <w:r w:rsidR="00C72016">
        <w:rPr>
          <w:b/>
          <w:sz w:val="22"/>
          <w:szCs w:val="22"/>
        </w:rPr>
        <w:t xml:space="preserve"> 23 hours </w:t>
      </w:r>
    </w:p>
    <w:p w:rsidR="00B47409" w:rsidRDefault="00B47409" w:rsidP="00B47409">
      <w:pPr>
        <w:tabs>
          <w:tab w:val="left" w:pos="360"/>
        </w:tabs>
        <w:ind w:hanging="360"/>
        <w:rPr>
          <w:b/>
          <w:sz w:val="22"/>
          <w:szCs w:val="22"/>
        </w:rPr>
      </w:pPr>
    </w:p>
    <w:p w:rsidR="00B47409" w:rsidRPr="00655C19" w:rsidRDefault="00B47409" w:rsidP="00B47409">
      <w:pPr>
        <w:pStyle w:val="ListParagraph"/>
        <w:numPr>
          <w:ilvl w:val="0"/>
          <w:numId w:val="14"/>
        </w:numPr>
        <w:tabs>
          <w:tab w:val="left" w:pos="360"/>
        </w:tabs>
        <w:ind w:left="360"/>
        <w:rPr>
          <w:b/>
          <w:sz w:val="22"/>
          <w:szCs w:val="22"/>
        </w:rPr>
      </w:pPr>
      <w:r>
        <w:rPr>
          <w:b/>
          <w:sz w:val="22"/>
          <w:szCs w:val="22"/>
        </w:rPr>
        <w:t>Third Party Disclosure will require approximately 5% of this hourly burden =</w:t>
      </w:r>
      <w:r w:rsidR="00C72016">
        <w:rPr>
          <w:b/>
          <w:sz w:val="22"/>
          <w:szCs w:val="22"/>
        </w:rPr>
        <w:t xml:space="preserve"> 1 hour</w:t>
      </w:r>
    </w:p>
    <w:p w:rsidR="00B47409" w:rsidRDefault="00B47409" w:rsidP="00B47409">
      <w:pPr>
        <w:ind w:left="4050" w:hanging="4050"/>
        <w:rPr>
          <w:b/>
          <w:sz w:val="22"/>
          <w:szCs w:val="22"/>
        </w:rPr>
      </w:pPr>
    </w:p>
    <w:p w:rsidR="00CE0087" w:rsidRDefault="00CE0087" w:rsidP="00224F4C">
      <w:pPr>
        <w:rPr>
          <w:sz w:val="22"/>
          <w:szCs w:val="22"/>
        </w:rPr>
      </w:pPr>
    </w:p>
    <w:p w:rsidR="00224F4C" w:rsidRPr="00C3472A" w:rsidRDefault="00224F4C" w:rsidP="00224F4C">
      <w:pPr>
        <w:rPr>
          <w:bCs/>
          <w:caps/>
          <w:sz w:val="22"/>
          <w:szCs w:val="22"/>
        </w:rPr>
      </w:pPr>
      <w:r w:rsidRPr="00C3472A">
        <w:rPr>
          <w:b/>
          <w:bCs/>
          <w:caps/>
          <w:sz w:val="22"/>
          <w:szCs w:val="22"/>
        </w:rPr>
        <w:t>Annual “In-house” Cost</w:t>
      </w:r>
    </w:p>
    <w:p w:rsidR="00224F4C" w:rsidRPr="00C3472A" w:rsidRDefault="00224F4C" w:rsidP="00224F4C">
      <w:pPr>
        <w:rPr>
          <w:sz w:val="22"/>
          <w:szCs w:val="22"/>
        </w:rPr>
      </w:pPr>
    </w:p>
    <w:p w:rsidR="00224F4C" w:rsidRPr="00C3472A" w:rsidRDefault="00224F4C" w:rsidP="00224F4C">
      <w:pPr>
        <w:rPr>
          <w:sz w:val="22"/>
          <w:szCs w:val="22"/>
        </w:rPr>
      </w:pPr>
      <w:r w:rsidRPr="00C3472A">
        <w:rPr>
          <w:sz w:val="22"/>
          <w:szCs w:val="22"/>
        </w:rPr>
        <w:t xml:space="preserve">We estimate that an in-house attorney and paralegal will initiate 50% of the formal filings without outside assistance and the remaining filings will be coordinated with outside legal counsel.  </w:t>
      </w:r>
    </w:p>
    <w:p w:rsidR="00224F4C" w:rsidRPr="00C3472A" w:rsidRDefault="00224F4C" w:rsidP="00224F4C">
      <w:pPr>
        <w:rPr>
          <w:sz w:val="22"/>
          <w:szCs w:val="22"/>
        </w:rPr>
      </w:pPr>
    </w:p>
    <w:p w:rsidR="00224F4C" w:rsidRPr="00C3472A" w:rsidRDefault="00224F4C" w:rsidP="00224F4C">
      <w:pPr>
        <w:rPr>
          <w:i/>
          <w:sz w:val="22"/>
          <w:szCs w:val="22"/>
        </w:rPr>
      </w:pPr>
      <w:r w:rsidRPr="00C3472A">
        <w:rPr>
          <w:i/>
          <w:sz w:val="22"/>
          <w:szCs w:val="22"/>
        </w:rPr>
        <w:t>Filings Done In</w:t>
      </w:r>
      <w:r w:rsidR="003063FB">
        <w:rPr>
          <w:i/>
          <w:sz w:val="22"/>
          <w:szCs w:val="22"/>
        </w:rPr>
        <w:t>-</w:t>
      </w:r>
      <w:r w:rsidRPr="00C3472A">
        <w:rPr>
          <w:i/>
          <w:sz w:val="22"/>
          <w:szCs w:val="22"/>
        </w:rPr>
        <w:t>House</w:t>
      </w:r>
    </w:p>
    <w:p w:rsidR="00224F4C" w:rsidRPr="00C3472A" w:rsidRDefault="00224F4C" w:rsidP="00224F4C">
      <w:pPr>
        <w:rPr>
          <w:sz w:val="22"/>
          <w:szCs w:val="22"/>
        </w:rPr>
      </w:pPr>
      <w:r w:rsidRPr="00C3472A">
        <w:rPr>
          <w:sz w:val="22"/>
          <w:szCs w:val="22"/>
        </w:rPr>
        <w:t>For formal filings done without outside assistance, we estimate that parties will use paralegal staff whose pay is comparable to mid- to senior-level federal employees (GS 12/5, plus 30% overhead), about $</w:t>
      </w:r>
      <w:r w:rsidR="00DC10EC">
        <w:rPr>
          <w:sz w:val="22"/>
          <w:szCs w:val="22"/>
        </w:rPr>
        <w:t>53.39</w:t>
      </w:r>
      <w:r w:rsidRPr="00C3472A">
        <w:rPr>
          <w:sz w:val="22"/>
          <w:szCs w:val="22"/>
        </w:rPr>
        <w:t xml:space="preserve"> per hour.  We estimate that parties will use an average of 5 hours of in-house paralegal time per complaint filing or response and 1 hour per pre-complaint notice filing.  We estimate that parties will use legal staff whose pay is comparable to senior level federal employees (GS 15/5, plus 30% overhead), about $</w:t>
      </w:r>
      <w:r w:rsidR="00DC10EC">
        <w:rPr>
          <w:sz w:val="22"/>
          <w:szCs w:val="22"/>
        </w:rPr>
        <w:t>88.24</w:t>
      </w:r>
      <w:r w:rsidRPr="00C3472A">
        <w:rPr>
          <w:sz w:val="22"/>
          <w:szCs w:val="22"/>
        </w:rPr>
        <w:t xml:space="preserve"> per hour.  We estimate that respondents will use an average of 35 hours of in house legal staff time per complaint or response filing and 3 hours per pre-complaint notice filing.</w:t>
      </w:r>
    </w:p>
    <w:p w:rsidR="00CF7225" w:rsidRDefault="00CF7225" w:rsidP="00CF7225">
      <w:pPr>
        <w:rPr>
          <w:sz w:val="22"/>
          <w:szCs w:val="22"/>
        </w:rPr>
      </w:pPr>
    </w:p>
    <w:p w:rsidR="00CF7225" w:rsidRPr="00CF7225" w:rsidRDefault="00CF7225" w:rsidP="00CF7225">
      <w:pPr>
        <w:ind w:left="720" w:firstLine="720"/>
        <w:rPr>
          <w:sz w:val="22"/>
          <w:szCs w:val="22"/>
        </w:rPr>
      </w:pPr>
      <w:r w:rsidRPr="00CF7225">
        <w:rPr>
          <w:sz w:val="22"/>
          <w:szCs w:val="22"/>
        </w:rPr>
        <w:t>Paralegal:  5 hours x (3 complaints + 2 responses) x $</w:t>
      </w:r>
      <w:r w:rsidR="00DC10EC">
        <w:rPr>
          <w:sz w:val="22"/>
          <w:szCs w:val="22"/>
        </w:rPr>
        <w:t>53.39</w:t>
      </w:r>
      <w:r w:rsidRPr="00CF7225">
        <w:rPr>
          <w:sz w:val="22"/>
          <w:szCs w:val="22"/>
        </w:rPr>
        <w:t xml:space="preserve">/hour =    </w:t>
      </w:r>
      <w:proofErr w:type="gramStart"/>
      <w:r w:rsidRPr="00CF7225">
        <w:rPr>
          <w:sz w:val="22"/>
          <w:szCs w:val="22"/>
        </w:rPr>
        <w:t xml:space="preserve">$  </w:t>
      </w:r>
      <w:r w:rsidR="00DC10EC">
        <w:rPr>
          <w:sz w:val="22"/>
          <w:szCs w:val="22"/>
        </w:rPr>
        <w:t>1,334.75</w:t>
      </w:r>
      <w:proofErr w:type="gramEnd"/>
      <w:r w:rsidRPr="00CF7225">
        <w:rPr>
          <w:sz w:val="22"/>
          <w:szCs w:val="22"/>
        </w:rPr>
        <w:t xml:space="preserve">  </w:t>
      </w:r>
    </w:p>
    <w:p w:rsidR="00CF7225" w:rsidRPr="00CF7225" w:rsidRDefault="00CF7225" w:rsidP="00CF7225">
      <w:pPr>
        <w:rPr>
          <w:sz w:val="22"/>
          <w:szCs w:val="22"/>
          <w:u w:val="single"/>
        </w:rPr>
      </w:pPr>
      <w:r w:rsidRPr="00CF7225">
        <w:rPr>
          <w:sz w:val="22"/>
          <w:szCs w:val="22"/>
        </w:rPr>
        <w:tab/>
      </w:r>
      <w:r w:rsidRPr="00CF7225">
        <w:rPr>
          <w:sz w:val="22"/>
          <w:szCs w:val="22"/>
        </w:rPr>
        <w:tab/>
        <w:t>Attorney:   35 hours x (3 complaints + 2 responses) x $</w:t>
      </w:r>
      <w:r w:rsidR="00DC10EC">
        <w:rPr>
          <w:sz w:val="22"/>
          <w:szCs w:val="22"/>
        </w:rPr>
        <w:t>88.24</w:t>
      </w:r>
      <w:r w:rsidRPr="00CF7225">
        <w:rPr>
          <w:sz w:val="22"/>
          <w:szCs w:val="22"/>
        </w:rPr>
        <w:t xml:space="preserve">/hour </w:t>
      </w:r>
      <w:proofErr w:type="gramStart"/>
      <w:r w:rsidRPr="00CF7225">
        <w:rPr>
          <w:sz w:val="22"/>
          <w:szCs w:val="22"/>
        </w:rPr>
        <w:t xml:space="preserve">=  </w:t>
      </w:r>
      <w:r w:rsidRPr="00CF7225">
        <w:rPr>
          <w:sz w:val="22"/>
          <w:szCs w:val="22"/>
          <w:u w:val="single"/>
        </w:rPr>
        <w:t>$</w:t>
      </w:r>
      <w:proofErr w:type="gramEnd"/>
      <w:r w:rsidR="00DC10EC">
        <w:rPr>
          <w:sz w:val="22"/>
          <w:szCs w:val="22"/>
          <w:u w:val="single"/>
        </w:rPr>
        <w:t>15,442.00</w:t>
      </w:r>
      <w:r w:rsidRPr="00CF7225">
        <w:rPr>
          <w:sz w:val="22"/>
          <w:szCs w:val="22"/>
          <w:u w:val="single"/>
        </w:rPr>
        <w:t xml:space="preserve">   </w:t>
      </w:r>
    </w:p>
    <w:p w:rsidR="00CF7225" w:rsidRPr="00CF7225" w:rsidRDefault="00CF7225" w:rsidP="00CF7225">
      <w:pPr>
        <w:rPr>
          <w:sz w:val="22"/>
          <w:szCs w:val="22"/>
        </w:rPr>
      </w:pPr>
      <w:r w:rsidRPr="00CF7225">
        <w:rPr>
          <w:sz w:val="22"/>
          <w:szCs w:val="22"/>
        </w:rPr>
        <w:tab/>
      </w:r>
      <w:r w:rsidRPr="00CF7225">
        <w:rPr>
          <w:sz w:val="22"/>
          <w:szCs w:val="22"/>
        </w:rPr>
        <w:tab/>
        <w:t xml:space="preserve">           Total Annual “In-House” Cost for in-house complaint filings: $</w:t>
      </w:r>
      <w:r w:rsidR="00DC10EC">
        <w:rPr>
          <w:sz w:val="22"/>
          <w:szCs w:val="22"/>
        </w:rPr>
        <w:t>16,776.75</w:t>
      </w:r>
      <w:r w:rsidRPr="00CF7225">
        <w:rPr>
          <w:sz w:val="22"/>
          <w:szCs w:val="22"/>
        </w:rPr>
        <w:t xml:space="preserve">  </w:t>
      </w:r>
    </w:p>
    <w:p w:rsidR="00CF7225" w:rsidRPr="00CF7225" w:rsidRDefault="00CF7225" w:rsidP="00CF7225">
      <w:pPr>
        <w:rPr>
          <w:sz w:val="22"/>
          <w:szCs w:val="22"/>
        </w:rPr>
      </w:pPr>
    </w:p>
    <w:p w:rsidR="00CF7225" w:rsidRPr="00CF7225" w:rsidRDefault="00CF7225" w:rsidP="00CF7225">
      <w:pPr>
        <w:rPr>
          <w:sz w:val="22"/>
          <w:szCs w:val="22"/>
        </w:rPr>
      </w:pPr>
      <w:r w:rsidRPr="00CF7225">
        <w:rPr>
          <w:sz w:val="22"/>
          <w:szCs w:val="22"/>
        </w:rPr>
        <w:tab/>
      </w:r>
      <w:r w:rsidRPr="00CF7225">
        <w:rPr>
          <w:sz w:val="22"/>
          <w:szCs w:val="22"/>
        </w:rPr>
        <w:tab/>
        <w:t>Paralegal:  1 hour x 3 pre-complaint filings x $</w:t>
      </w:r>
      <w:r w:rsidR="00DC10EC">
        <w:rPr>
          <w:sz w:val="22"/>
          <w:szCs w:val="22"/>
        </w:rPr>
        <w:t>53.39</w:t>
      </w:r>
      <w:r w:rsidRPr="00CF7225">
        <w:rPr>
          <w:sz w:val="22"/>
          <w:szCs w:val="22"/>
        </w:rPr>
        <w:t xml:space="preserve">/hour =    </w:t>
      </w:r>
      <w:r w:rsidRPr="00CF7225">
        <w:rPr>
          <w:sz w:val="22"/>
          <w:szCs w:val="22"/>
        </w:rPr>
        <w:tab/>
        <w:t xml:space="preserve"> $</w:t>
      </w:r>
      <w:r w:rsidR="00DC10EC">
        <w:rPr>
          <w:sz w:val="22"/>
          <w:szCs w:val="22"/>
        </w:rPr>
        <w:t>160.17</w:t>
      </w:r>
      <w:r w:rsidRPr="00CF7225">
        <w:rPr>
          <w:sz w:val="22"/>
          <w:szCs w:val="22"/>
        </w:rPr>
        <w:t xml:space="preserve">  </w:t>
      </w:r>
    </w:p>
    <w:p w:rsidR="00CF7225" w:rsidRPr="00CF7225" w:rsidRDefault="00CF7225" w:rsidP="00CF7225">
      <w:pPr>
        <w:rPr>
          <w:sz w:val="22"/>
          <w:szCs w:val="22"/>
          <w:u w:val="single"/>
        </w:rPr>
      </w:pPr>
      <w:r w:rsidRPr="00CF7225">
        <w:rPr>
          <w:sz w:val="22"/>
          <w:szCs w:val="22"/>
        </w:rPr>
        <w:tab/>
      </w:r>
      <w:r w:rsidRPr="00CF7225">
        <w:rPr>
          <w:sz w:val="22"/>
          <w:szCs w:val="22"/>
        </w:rPr>
        <w:tab/>
        <w:t>Attorney:   3 hours x 3 pre-complaint filings x $</w:t>
      </w:r>
      <w:r w:rsidR="00DC10EC">
        <w:rPr>
          <w:sz w:val="22"/>
          <w:szCs w:val="22"/>
        </w:rPr>
        <w:t>88.24</w:t>
      </w:r>
      <w:r w:rsidRPr="00CF7225">
        <w:rPr>
          <w:sz w:val="22"/>
          <w:szCs w:val="22"/>
        </w:rPr>
        <w:t xml:space="preserve">/hour = </w:t>
      </w:r>
      <w:r w:rsidRPr="00CF7225">
        <w:rPr>
          <w:sz w:val="22"/>
          <w:szCs w:val="22"/>
        </w:rPr>
        <w:tab/>
        <w:t xml:space="preserve"> </w:t>
      </w:r>
      <w:r w:rsidRPr="00CF7225">
        <w:rPr>
          <w:sz w:val="22"/>
          <w:szCs w:val="22"/>
          <w:u w:val="single"/>
        </w:rPr>
        <w:t>$</w:t>
      </w:r>
      <w:r w:rsidR="00DC10EC">
        <w:rPr>
          <w:sz w:val="22"/>
          <w:szCs w:val="22"/>
          <w:u w:val="single"/>
        </w:rPr>
        <w:t>794.16</w:t>
      </w:r>
    </w:p>
    <w:p w:rsidR="00CF7225" w:rsidRPr="00CF7225" w:rsidRDefault="00CF7225" w:rsidP="00CF7225">
      <w:pPr>
        <w:rPr>
          <w:sz w:val="22"/>
          <w:szCs w:val="22"/>
        </w:rPr>
      </w:pPr>
      <w:r w:rsidRPr="00CF7225">
        <w:rPr>
          <w:sz w:val="22"/>
          <w:szCs w:val="22"/>
        </w:rPr>
        <w:tab/>
      </w:r>
      <w:r w:rsidRPr="00CF7225">
        <w:rPr>
          <w:sz w:val="22"/>
          <w:szCs w:val="22"/>
        </w:rPr>
        <w:tab/>
        <w:t>Total Annual “In-House” Cost for in-house pre-complaint filings: $</w:t>
      </w:r>
      <w:r w:rsidR="00DC10EC">
        <w:rPr>
          <w:sz w:val="22"/>
          <w:szCs w:val="22"/>
        </w:rPr>
        <w:t>954.33</w:t>
      </w:r>
      <w:r w:rsidRPr="00CF7225">
        <w:rPr>
          <w:sz w:val="22"/>
          <w:szCs w:val="22"/>
        </w:rPr>
        <w:t xml:space="preserve">  </w:t>
      </w:r>
    </w:p>
    <w:p w:rsidR="00CF7225" w:rsidRPr="00CF7225" w:rsidRDefault="00CF7225" w:rsidP="00CF7225">
      <w:pPr>
        <w:rPr>
          <w:sz w:val="22"/>
          <w:szCs w:val="22"/>
        </w:rPr>
      </w:pPr>
    </w:p>
    <w:p w:rsidR="00CF7225" w:rsidRPr="00CF7225" w:rsidRDefault="00CF7225" w:rsidP="00CF7225">
      <w:pPr>
        <w:rPr>
          <w:i/>
          <w:sz w:val="22"/>
          <w:szCs w:val="22"/>
        </w:rPr>
      </w:pPr>
      <w:r w:rsidRPr="00CF7225">
        <w:rPr>
          <w:i/>
          <w:sz w:val="22"/>
          <w:szCs w:val="22"/>
        </w:rPr>
        <w:t xml:space="preserve">Filings Done by Outside Counsel </w:t>
      </w:r>
      <w:r>
        <w:rPr>
          <w:i/>
          <w:sz w:val="22"/>
          <w:szCs w:val="22"/>
        </w:rPr>
        <w:t>(B</w:t>
      </w:r>
      <w:r w:rsidRPr="00CF7225">
        <w:rPr>
          <w:i/>
          <w:sz w:val="22"/>
          <w:szCs w:val="22"/>
        </w:rPr>
        <w:t xml:space="preserve">ut </w:t>
      </w:r>
      <w:r>
        <w:rPr>
          <w:i/>
          <w:sz w:val="22"/>
          <w:szCs w:val="22"/>
        </w:rPr>
        <w:t xml:space="preserve">Requiring </w:t>
      </w:r>
      <w:r w:rsidRPr="00CF7225">
        <w:rPr>
          <w:i/>
          <w:sz w:val="22"/>
          <w:szCs w:val="22"/>
        </w:rPr>
        <w:t xml:space="preserve">In-House Staff </w:t>
      </w:r>
      <w:proofErr w:type="gramStart"/>
      <w:r w:rsidR="003063FB">
        <w:rPr>
          <w:i/>
          <w:sz w:val="22"/>
          <w:szCs w:val="22"/>
        </w:rPr>
        <w:t>T</w:t>
      </w:r>
      <w:r w:rsidRPr="00CF7225">
        <w:rPr>
          <w:i/>
          <w:sz w:val="22"/>
          <w:szCs w:val="22"/>
        </w:rPr>
        <w:t>o</w:t>
      </w:r>
      <w:proofErr w:type="gramEnd"/>
      <w:r w:rsidRPr="00CF7225">
        <w:rPr>
          <w:i/>
          <w:sz w:val="22"/>
          <w:szCs w:val="22"/>
        </w:rPr>
        <w:t xml:space="preserve"> Spend Time Coordinating Information with Outside Counsel</w:t>
      </w:r>
      <w:r w:rsidR="004E5F3A">
        <w:rPr>
          <w:i/>
          <w:sz w:val="22"/>
          <w:szCs w:val="22"/>
        </w:rPr>
        <w:t>)</w:t>
      </w:r>
      <w:r w:rsidRPr="00CF7225">
        <w:rPr>
          <w:i/>
          <w:sz w:val="22"/>
          <w:szCs w:val="22"/>
        </w:rPr>
        <w:t xml:space="preserve"> </w:t>
      </w:r>
    </w:p>
    <w:p w:rsidR="00CF7225" w:rsidRDefault="00CF7225" w:rsidP="00CF7225">
      <w:pPr>
        <w:rPr>
          <w:sz w:val="22"/>
          <w:szCs w:val="22"/>
        </w:rPr>
      </w:pPr>
    </w:p>
    <w:p w:rsidR="00224F4C" w:rsidRPr="00CF7225" w:rsidRDefault="00CF7225" w:rsidP="00CF7225">
      <w:pPr>
        <w:rPr>
          <w:sz w:val="22"/>
          <w:szCs w:val="22"/>
        </w:rPr>
      </w:pPr>
      <w:r w:rsidRPr="00CF7225">
        <w:rPr>
          <w:sz w:val="22"/>
          <w:szCs w:val="22"/>
        </w:rPr>
        <w:t>For the half of filings done by outside counsel, we estimate that parties will use 4.5 hours of in-house lawyer time for complaints and responses and 2 hours per pre-complaint notice filing to coordinate information with outside legal counsel.</w:t>
      </w:r>
    </w:p>
    <w:p w:rsidR="00224F4C" w:rsidRPr="00C3472A" w:rsidRDefault="00224F4C" w:rsidP="00224F4C">
      <w:pPr>
        <w:rPr>
          <w:sz w:val="22"/>
          <w:szCs w:val="22"/>
        </w:rPr>
      </w:pPr>
    </w:p>
    <w:p w:rsidR="00224F4C" w:rsidRPr="00C3472A" w:rsidRDefault="00224F4C" w:rsidP="00224F4C">
      <w:pPr>
        <w:rPr>
          <w:sz w:val="22"/>
          <w:szCs w:val="22"/>
          <w:u w:val="single"/>
        </w:rPr>
      </w:pPr>
      <w:r w:rsidRPr="00C3472A">
        <w:rPr>
          <w:sz w:val="22"/>
          <w:szCs w:val="22"/>
        </w:rPr>
        <w:tab/>
      </w:r>
      <w:r w:rsidRPr="00C3472A">
        <w:rPr>
          <w:sz w:val="22"/>
          <w:szCs w:val="22"/>
        </w:rPr>
        <w:tab/>
        <w:t xml:space="preserve">Attorney:   4.5 hours x </w:t>
      </w:r>
      <w:r w:rsidR="00230A35">
        <w:rPr>
          <w:sz w:val="22"/>
          <w:szCs w:val="22"/>
        </w:rPr>
        <w:t>2</w:t>
      </w:r>
      <w:r w:rsidRPr="00C3472A">
        <w:rPr>
          <w:sz w:val="22"/>
          <w:szCs w:val="22"/>
        </w:rPr>
        <w:t xml:space="preserve"> complaints</w:t>
      </w:r>
      <w:r w:rsidR="004E5F3A">
        <w:rPr>
          <w:sz w:val="22"/>
          <w:szCs w:val="22"/>
        </w:rPr>
        <w:t xml:space="preserve"> and </w:t>
      </w:r>
      <w:r w:rsidR="00230A35">
        <w:rPr>
          <w:sz w:val="22"/>
          <w:szCs w:val="22"/>
        </w:rPr>
        <w:t xml:space="preserve">3 </w:t>
      </w:r>
      <w:r w:rsidRPr="00C3472A">
        <w:rPr>
          <w:sz w:val="22"/>
          <w:szCs w:val="22"/>
        </w:rPr>
        <w:t>responses x $</w:t>
      </w:r>
      <w:r w:rsidR="00DC10EC">
        <w:rPr>
          <w:sz w:val="22"/>
          <w:szCs w:val="22"/>
        </w:rPr>
        <w:t>88.24</w:t>
      </w:r>
      <w:r w:rsidRPr="00C3472A">
        <w:rPr>
          <w:sz w:val="22"/>
          <w:szCs w:val="22"/>
        </w:rPr>
        <w:t xml:space="preserve">/hour </w:t>
      </w:r>
      <w:proofErr w:type="gramStart"/>
      <w:r w:rsidRPr="00C3472A">
        <w:rPr>
          <w:sz w:val="22"/>
          <w:szCs w:val="22"/>
        </w:rPr>
        <w:t xml:space="preserve">=  </w:t>
      </w:r>
      <w:r w:rsidRPr="00C3472A">
        <w:rPr>
          <w:sz w:val="22"/>
          <w:szCs w:val="22"/>
          <w:u w:val="single"/>
        </w:rPr>
        <w:t>$</w:t>
      </w:r>
      <w:proofErr w:type="gramEnd"/>
      <w:r w:rsidR="00DC10EC">
        <w:rPr>
          <w:sz w:val="22"/>
          <w:szCs w:val="22"/>
          <w:u w:val="single"/>
        </w:rPr>
        <w:t>1,985.40</w:t>
      </w:r>
      <w:r w:rsidRPr="00C3472A">
        <w:rPr>
          <w:sz w:val="22"/>
          <w:szCs w:val="22"/>
          <w:u w:val="single"/>
        </w:rPr>
        <w:t xml:space="preserve">   </w:t>
      </w:r>
    </w:p>
    <w:p w:rsidR="00224F4C" w:rsidRPr="00C3472A" w:rsidRDefault="00224F4C" w:rsidP="00224F4C">
      <w:pPr>
        <w:rPr>
          <w:sz w:val="22"/>
          <w:szCs w:val="22"/>
          <w:u w:val="single"/>
        </w:rPr>
      </w:pPr>
      <w:r w:rsidRPr="00C3472A">
        <w:rPr>
          <w:sz w:val="22"/>
          <w:szCs w:val="22"/>
        </w:rPr>
        <w:tab/>
      </w:r>
      <w:r w:rsidRPr="00C3472A">
        <w:rPr>
          <w:sz w:val="22"/>
          <w:szCs w:val="22"/>
        </w:rPr>
        <w:tab/>
        <w:t>Attorney:   2 hours x 2 pre-complaint filings x $</w:t>
      </w:r>
      <w:r w:rsidR="00DC10EC">
        <w:rPr>
          <w:sz w:val="22"/>
          <w:szCs w:val="22"/>
        </w:rPr>
        <w:t>88.24</w:t>
      </w:r>
      <w:r w:rsidRPr="00C3472A">
        <w:rPr>
          <w:sz w:val="22"/>
          <w:szCs w:val="22"/>
        </w:rPr>
        <w:t xml:space="preserve">/hour =  </w:t>
      </w:r>
      <w:r w:rsidR="00172BAC" w:rsidRPr="00C3472A">
        <w:rPr>
          <w:sz w:val="22"/>
          <w:szCs w:val="22"/>
        </w:rPr>
        <w:t xml:space="preserve">    </w:t>
      </w:r>
      <w:r w:rsidR="004E5F3A">
        <w:rPr>
          <w:sz w:val="22"/>
          <w:szCs w:val="22"/>
        </w:rPr>
        <w:t xml:space="preserve">     </w:t>
      </w:r>
      <w:r w:rsidR="00230A35">
        <w:rPr>
          <w:sz w:val="22"/>
          <w:szCs w:val="22"/>
        </w:rPr>
        <w:t xml:space="preserve">   </w:t>
      </w:r>
      <w:r w:rsidR="004E5F3A">
        <w:rPr>
          <w:sz w:val="22"/>
          <w:szCs w:val="22"/>
        </w:rPr>
        <w:t xml:space="preserve"> </w:t>
      </w:r>
      <w:r w:rsidRPr="00C3472A">
        <w:rPr>
          <w:sz w:val="22"/>
          <w:szCs w:val="22"/>
          <w:u w:val="single"/>
        </w:rPr>
        <w:t>$</w:t>
      </w:r>
      <w:r w:rsidR="004E5F3A">
        <w:rPr>
          <w:sz w:val="22"/>
          <w:szCs w:val="22"/>
          <w:u w:val="single"/>
        </w:rPr>
        <w:t xml:space="preserve">  </w:t>
      </w:r>
      <w:r w:rsidR="00DC10EC">
        <w:rPr>
          <w:sz w:val="22"/>
          <w:szCs w:val="22"/>
          <w:u w:val="single"/>
        </w:rPr>
        <w:t xml:space="preserve"> 352.96</w:t>
      </w:r>
    </w:p>
    <w:p w:rsidR="00224F4C" w:rsidRPr="00C3472A" w:rsidRDefault="00147ED4" w:rsidP="00224F4C">
      <w:pPr>
        <w:rPr>
          <w:sz w:val="22"/>
          <w:szCs w:val="22"/>
        </w:rPr>
      </w:pP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r>
      <w:r w:rsidRPr="00C3472A">
        <w:rPr>
          <w:sz w:val="22"/>
          <w:szCs w:val="22"/>
        </w:rPr>
        <w:tab/>
      </w:r>
      <w:r w:rsidR="004E5F3A">
        <w:rPr>
          <w:sz w:val="22"/>
          <w:szCs w:val="22"/>
        </w:rPr>
        <w:t xml:space="preserve">                 </w:t>
      </w:r>
      <w:r w:rsidR="00230A35">
        <w:rPr>
          <w:sz w:val="22"/>
          <w:szCs w:val="22"/>
        </w:rPr>
        <w:t xml:space="preserve">   </w:t>
      </w:r>
      <w:r w:rsidR="00CB564E">
        <w:rPr>
          <w:sz w:val="22"/>
          <w:szCs w:val="22"/>
        </w:rPr>
        <w:t xml:space="preserve"> </w:t>
      </w:r>
      <w:r w:rsidR="00224F4C" w:rsidRPr="00C3472A">
        <w:rPr>
          <w:sz w:val="22"/>
          <w:szCs w:val="22"/>
        </w:rPr>
        <w:t>$</w:t>
      </w:r>
      <w:r w:rsidR="00DC10EC">
        <w:rPr>
          <w:sz w:val="22"/>
          <w:szCs w:val="22"/>
        </w:rPr>
        <w:t>2,338.36</w:t>
      </w:r>
    </w:p>
    <w:p w:rsidR="004E5F3A" w:rsidRDefault="004E5F3A" w:rsidP="00224F4C">
      <w:pPr>
        <w:rPr>
          <w:b/>
          <w:sz w:val="22"/>
          <w:szCs w:val="22"/>
        </w:rPr>
      </w:pPr>
    </w:p>
    <w:p w:rsidR="00224F4C" w:rsidRPr="00C3472A" w:rsidRDefault="00224F4C" w:rsidP="00224F4C">
      <w:pPr>
        <w:rPr>
          <w:b/>
          <w:sz w:val="22"/>
          <w:szCs w:val="22"/>
        </w:rPr>
      </w:pPr>
      <w:r w:rsidRPr="00C3472A">
        <w:rPr>
          <w:b/>
          <w:sz w:val="22"/>
          <w:szCs w:val="22"/>
        </w:rPr>
        <w:t xml:space="preserve">Total In-House Cost for all Filings: </w:t>
      </w:r>
      <w:r w:rsidR="004E5F3A">
        <w:rPr>
          <w:b/>
          <w:sz w:val="22"/>
          <w:szCs w:val="22"/>
        </w:rPr>
        <w:t xml:space="preserve">       </w:t>
      </w:r>
      <w:r w:rsidR="004E5F3A" w:rsidRPr="004E5F3A">
        <w:rPr>
          <w:sz w:val="22"/>
          <w:szCs w:val="22"/>
        </w:rPr>
        <w:t>$</w:t>
      </w:r>
      <w:r w:rsidR="00DC10EC">
        <w:rPr>
          <w:sz w:val="22"/>
          <w:szCs w:val="22"/>
        </w:rPr>
        <w:t>16,776.75</w:t>
      </w:r>
      <w:r w:rsidR="004E5F3A" w:rsidRPr="004E5F3A">
        <w:rPr>
          <w:sz w:val="22"/>
          <w:szCs w:val="22"/>
        </w:rPr>
        <w:t xml:space="preserve"> + $</w:t>
      </w:r>
      <w:r w:rsidR="00DC10EC">
        <w:rPr>
          <w:sz w:val="22"/>
          <w:szCs w:val="22"/>
        </w:rPr>
        <w:t>954.33</w:t>
      </w:r>
      <w:r w:rsidR="004E5F3A" w:rsidRPr="004E5F3A">
        <w:rPr>
          <w:sz w:val="22"/>
          <w:szCs w:val="22"/>
        </w:rPr>
        <w:t xml:space="preserve"> + $</w:t>
      </w:r>
      <w:r w:rsidR="00DC10EC">
        <w:rPr>
          <w:sz w:val="22"/>
          <w:szCs w:val="22"/>
        </w:rPr>
        <w:t>2,338.36</w:t>
      </w:r>
      <w:r w:rsidR="004E5F3A">
        <w:rPr>
          <w:b/>
          <w:sz w:val="22"/>
          <w:szCs w:val="22"/>
        </w:rPr>
        <w:t xml:space="preserve"> = </w:t>
      </w:r>
      <w:r w:rsidR="003063FB">
        <w:rPr>
          <w:b/>
          <w:sz w:val="22"/>
          <w:szCs w:val="22"/>
        </w:rPr>
        <w:t>$</w:t>
      </w:r>
      <w:r w:rsidR="00DC10EC">
        <w:rPr>
          <w:b/>
          <w:sz w:val="22"/>
          <w:szCs w:val="22"/>
        </w:rPr>
        <w:t>20,069.44</w:t>
      </w:r>
    </w:p>
    <w:p w:rsidR="00224F4C" w:rsidRPr="00C3472A" w:rsidRDefault="00224F4C" w:rsidP="00224F4C">
      <w:pPr>
        <w:rPr>
          <w:sz w:val="22"/>
          <w:szCs w:val="22"/>
        </w:rPr>
      </w:pPr>
    </w:p>
    <w:p w:rsidR="00224F4C" w:rsidRPr="00C3472A" w:rsidRDefault="00224F4C" w:rsidP="00224F4C">
      <w:pPr>
        <w:rPr>
          <w:sz w:val="22"/>
          <w:szCs w:val="22"/>
        </w:rPr>
      </w:pPr>
      <w:r w:rsidRPr="00C3472A">
        <w:rPr>
          <w:sz w:val="22"/>
          <w:szCs w:val="22"/>
        </w:rPr>
        <w:t xml:space="preserve">These estimates are based on Commission’s staff knowledge and familiarity with the availability of the data required. </w:t>
      </w:r>
    </w:p>
    <w:p w:rsidR="00224F4C" w:rsidRPr="00C3472A" w:rsidRDefault="00224F4C" w:rsidP="00224F4C">
      <w:pPr>
        <w:rPr>
          <w:sz w:val="22"/>
          <w:szCs w:val="22"/>
        </w:rPr>
      </w:pPr>
    </w:p>
    <w:p w:rsidR="00224F4C" w:rsidRPr="00C3472A" w:rsidRDefault="00224F4C" w:rsidP="00224F4C">
      <w:pPr>
        <w:rPr>
          <w:sz w:val="22"/>
          <w:szCs w:val="22"/>
        </w:rPr>
      </w:pPr>
      <w:r w:rsidRPr="00C3472A">
        <w:rPr>
          <w:sz w:val="22"/>
          <w:szCs w:val="22"/>
        </w:rPr>
        <w:t>13.  Annual Cost Burden:</w:t>
      </w:r>
    </w:p>
    <w:p w:rsidR="00224F4C" w:rsidRPr="00C3472A" w:rsidRDefault="00224F4C" w:rsidP="00224F4C">
      <w:pPr>
        <w:rPr>
          <w:sz w:val="22"/>
          <w:szCs w:val="22"/>
        </w:rPr>
      </w:pPr>
    </w:p>
    <w:p w:rsidR="00224F4C" w:rsidRPr="00C3472A" w:rsidRDefault="00224F4C" w:rsidP="00224F4C">
      <w:pPr>
        <w:ind w:left="720"/>
        <w:rPr>
          <w:sz w:val="22"/>
          <w:szCs w:val="22"/>
        </w:rPr>
      </w:pPr>
      <w:r w:rsidRPr="00C3472A" w:rsidDel="00BE17DD">
        <w:rPr>
          <w:sz w:val="22"/>
          <w:szCs w:val="22"/>
        </w:rPr>
        <w:t xml:space="preserve"> </w:t>
      </w:r>
      <w:r w:rsidRPr="00C3472A">
        <w:rPr>
          <w:sz w:val="22"/>
          <w:szCs w:val="22"/>
        </w:rPr>
        <w:t xml:space="preserve">a. Total capital and start-up costs:  $0 </w:t>
      </w:r>
    </w:p>
    <w:p w:rsidR="00224F4C" w:rsidRPr="00C3472A" w:rsidRDefault="00224F4C" w:rsidP="00224F4C">
      <w:pPr>
        <w:ind w:left="720"/>
        <w:rPr>
          <w:sz w:val="22"/>
          <w:szCs w:val="22"/>
        </w:rPr>
      </w:pPr>
    </w:p>
    <w:p w:rsidR="00224F4C" w:rsidRPr="00C3472A" w:rsidRDefault="00224F4C" w:rsidP="00224F4C">
      <w:pPr>
        <w:ind w:left="810" w:hanging="30"/>
        <w:rPr>
          <w:sz w:val="22"/>
          <w:szCs w:val="22"/>
        </w:rPr>
      </w:pPr>
      <w:r w:rsidRPr="00C3472A">
        <w:rPr>
          <w:sz w:val="22"/>
          <w:szCs w:val="22"/>
        </w:rPr>
        <w:t>b</w:t>
      </w:r>
      <w:r w:rsidRPr="00C3472A">
        <w:rPr>
          <w:color w:val="993300"/>
          <w:sz w:val="22"/>
          <w:szCs w:val="22"/>
        </w:rPr>
        <w:t>.</w:t>
      </w:r>
      <w:r w:rsidRPr="00C3472A">
        <w:rPr>
          <w:sz w:val="22"/>
          <w:szCs w:val="22"/>
        </w:rPr>
        <w:t xml:space="preserve"> Half of the respondents are expected to receive assistance from consulting attorneys at              costs of $300/hour when initiating their filings (50% of 10 filings = 5 filings), and outside paralegals at the cost of $52.86 per hour.  We estimate that, on average, outside attorneys will spend 25 hours per complaint, and outside paralegals will spend 5 hours per complaint.  We estimate that 2 of the 5 respondents will require outside counsel to prepare the pre-complaint notices.  We estimate that, on average, outside attorneys will spend 2 hours per pre-complaint notice, and outside paralegals will spend 1 hour per complaint.</w:t>
      </w:r>
    </w:p>
    <w:p w:rsidR="00224F4C" w:rsidRPr="00C3472A" w:rsidRDefault="00224F4C" w:rsidP="00224F4C">
      <w:pPr>
        <w:ind w:left="810" w:hanging="30"/>
        <w:rPr>
          <w:sz w:val="22"/>
          <w:szCs w:val="22"/>
        </w:rPr>
      </w:pPr>
    </w:p>
    <w:p w:rsidR="00224F4C" w:rsidRPr="00C3472A" w:rsidRDefault="00224F4C" w:rsidP="00224F4C">
      <w:pPr>
        <w:ind w:left="810" w:hanging="30"/>
        <w:rPr>
          <w:sz w:val="22"/>
          <w:szCs w:val="22"/>
        </w:rPr>
      </w:pPr>
      <w:r w:rsidRPr="00C3472A">
        <w:rPr>
          <w:sz w:val="22"/>
          <w:szCs w:val="22"/>
        </w:rPr>
        <w:t xml:space="preserve">Therefore, the total operation and maintenance costs are </w:t>
      </w:r>
    </w:p>
    <w:p w:rsidR="00224F4C" w:rsidRPr="00C3472A" w:rsidRDefault="00224F4C" w:rsidP="00224F4C">
      <w:pPr>
        <w:ind w:left="810" w:hanging="30"/>
        <w:rPr>
          <w:sz w:val="22"/>
          <w:szCs w:val="22"/>
        </w:rPr>
      </w:pPr>
    </w:p>
    <w:p w:rsidR="00224F4C" w:rsidRPr="00C3472A" w:rsidRDefault="00CF7225" w:rsidP="00224F4C">
      <w:pPr>
        <w:ind w:left="810" w:hanging="30"/>
        <w:rPr>
          <w:sz w:val="22"/>
          <w:szCs w:val="22"/>
        </w:rPr>
      </w:pPr>
      <w:r w:rsidRPr="00CF7225">
        <w:rPr>
          <w:sz w:val="22"/>
          <w:szCs w:val="22"/>
        </w:rPr>
        <w:t>(2 complaints + 3 responses) x 25 hours x $300/</w:t>
      </w:r>
      <w:proofErr w:type="spellStart"/>
      <w:r w:rsidRPr="00CF7225">
        <w:rPr>
          <w:sz w:val="22"/>
          <w:szCs w:val="22"/>
        </w:rPr>
        <w:t>hr</w:t>
      </w:r>
      <w:proofErr w:type="spellEnd"/>
      <w:r w:rsidRPr="00CF7225">
        <w:rPr>
          <w:sz w:val="22"/>
          <w:szCs w:val="22"/>
        </w:rPr>
        <w:t xml:space="preserve"> + (2 complaints + 3 responses) x 5 hours x $52.86/hour = 37,500 + 1321.50 = $38,821.50</w:t>
      </w:r>
    </w:p>
    <w:p w:rsidR="00224F4C" w:rsidRPr="00C3472A" w:rsidRDefault="00224F4C" w:rsidP="00224F4C">
      <w:pPr>
        <w:ind w:left="810" w:hanging="30"/>
        <w:rPr>
          <w:sz w:val="22"/>
          <w:szCs w:val="22"/>
        </w:rPr>
      </w:pPr>
    </w:p>
    <w:p w:rsidR="00224F4C" w:rsidRPr="00C3472A" w:rsidRDefault="00224F4C" w:rsidP="00224F4C">
      <w:pPr>
        <w:ind w:left="810" w:hanging="30"/>
        <w:rPr>
          <w:sz w:val="22"/>
          <w:szCs w:val="22"/>
        </w:rPr>
      </w:pPr>
      <w:r w:rsidRPr="00C3472A">
        <w:rPr>
          <w:sz w:val="22"/>
          <w:szCs w:val="22"/>
        </w:rPr>
        <w:t>2 pre-complaint filings x 2 hours x $300 + 2 pre-complaint filings x 1 hour x $52.86/hour = 1,200 + 105.72 = $1,305.72</w:t>
      </w:r>
    </w:p>
    <w:p w:rsidR="00224F4C" w:rsidRPr="00C3472A" w:rsidRDefault="00224F4C" w:rsidP="00224F4C">
      <w:pPr>
        <w:ind w:left="720"/>
        <w:rPr>
          <w:sz w:val="22"/>
          <w:szCs w:val="22"/>
        </w:rPr>
      </w:pPr>
    </w:p>
    <w:p w:rsidR="00224F4C" w:rsidRPr="00C3472A" w:rsidRDefault="00224F4C" w:rsidP="00224F4C">
      <w:pPr>
        <w:rPr>
          <w:b/>
          <w:sz w:val="22"/>
          <w:szCs w:val="22"/>
        </w:rPr>
      </w:pPr>
      <w:r w:rsidRPr="00C3472A">
        <w:rPr>
          <w:sz w:val="22"/>
          <w:szCs w:val="22"/>
        </w:rPr>
        <w:tab/>
        <w:t xml:space="preserve">c. Total Annualized Cost:  </w:t>
      </w:r>
      <w:r w:rsidRPr="00C3472A">
        <w:rPr>
          <w:b/>
          <w:sz w:val="22"/>
          <w:szCs w:val="22"/>
        </w:rPr>
        <w:t>$40,127.22 ($40,127 rounded)</w:t>
      </w:r>
    </w:p>
    <w:p w:rsidR="00224F4C" w:rsidRPr="00C3472A" w:rsidRDefault="00224F4C" w:rsidP="00224F4C">
      <w:pPr>
        <w:rPr>
          <w:b/>
          <w:sz w:val="22"/>
          <w:szCs w:val="22"/>
        </w:rPr>
      </w:pPr>
    </w:p>
    <w:p w:rsidR="002A683D" w:rsidRDefault="002A683D" w:rsidP="002A683D">
      <w:pPr>
        <w:ind w:left="4050" w:hanging="4050"/>
        <w:rPr>
          <w:b/>
          <w:sz w:val="22"/>
          <w:szCs w:val="22"/>
        </w:rPr>
      </w:pPr>
      <w:r>
        <w:rPr>
          <w:b/>
          <w:sz w:val="22"/>
          <w:szCs w:val="22"/>
        </w:rPr>
        <w:t>Private Sector: 80% of the total cost = $32,101.60</w:t>
      </w:r>
    </w:p>
    <w:p w:rsidR="002A683D" w:rsidRDefault="002A683D" w:rsidP="002A683D">
      <w:pPr>
        <w:ind w:left="4050" w:hanging="4050"/>
        <w:rPr>
          <w:b/>
          <w:sz w:val="22"/>
          <w:szCs w:val="22"/>
        </w:rPr>
      </w:pPr>
    </w:p>
    <w:p w:rsidR="00B47409" w:rsidRPr="00AF5803" w:rsidRDefault="00B47409" w:rsidP="00AF5803">
      <w:pPr>
        <w:pStyle w:val="ListParagraph"/>
        <w:numPr>
          <w:ilvl w:val="0"/>
          <w:numId w:val="15"/>
        </w:numPr>
        <w:tabs>
          <w:tab w:val="left" w:pos="360"/>
        </w:tabs>
        <w:ind w:left="360"/>
        <w:rPr>
          <w:b/>
          <w:sz w:val="22"/>
          <w:szCs w:val="22"/>
        </w:rPr>
      </w:pPr>
      <w:r w:rsidRPr="00AF5803">
        <w:rPr>
          <w:b/>
          <w:sz w:val="22"/>
          <w:szCs w:val="22"/>
        </w:rPr>
        <w:t>Reporting will require approximately 95% of this hourly burden =</w:t>
      </w:r>
      <w:r w:rsidR="002A55C9">
        <w:rPr>
          <w:b/>
          <w:sz w:val="22"/>
          <w:szCs w:val="22"/>
        </w:rPr>
        <w:t xml:space="preserve"> $30,496.52</w:t>
      </w:r>
    </w:p>
    <w:p w:rsidR="00B47409" w:rsidRDefault="00B47409" w:rsidP="00B47409">
      <w:pPr>
        <w:tabs>
          <w:tab w:val="left" w:pos="360"/>
        </w:tabs>
        <w:ind w:left="360" w:hanging="360"/>
        <w:rPr>
          <w:b/>
          <w:sz w:val="22"/>
          <w:szCs w:val="22"/>
        </w:rPr>
      </w:pPr>
    </w:p>
    <w:p w:rsidR="00B47409" w:rsidRPr="00B47409" w:rsidRDefault="00B47409" w:rsidP="00AF5803">
      <w:pPr>
        <w:pStyle w:val="ListParagraph"/>
        <w:numPr>
          <w:ilvl w:val="0"/>
          <w:numId w:val="15"/>
        </w:numPr>
        <w:tabs>
          <w:tab w:val="left" w:pos="360"/>
        </w:tabs>
        <w:ind w:left="360"/>
        <w:rPr>
          <w:b/>
          <w:sz w:val="22"/>
          <w:szCs w:val="22"/>
        </w:rPr>
      </w:pPr>
      <w:r>
        <w:rPr>
          <w:b/>
          <w:sz w:val="22"/>
          <w:szCs w:val="22"/>
        </w:rPr>
        <w:t>Third Party Disclosure will require approximately 5% of this hourly burden =</w:t>
      </w:r>
      <w:r w:rsidR="002A55C9">
        <w:rPr>
          <w:b/>
          <w:sz w:val="22"/>
          <w:szCs w:val="22"/>
        </w:rPr>
        <w:t xml:space="preserve"> $1,605.08</w:t>
      </w:r>
    </w:p>
    <w:p w:rsidR="00B47409" w:rsidRDefault="00B47409" w:rsidP="002A683D">
      <w:pPr>
        <w:ind w:left="4050" w:hanging="4050"/>
        <w:rPr>
          <w:b/>
          <w:sz w:val="22"/>
          <w:szCs w:val="22"/>
        </w:rPr>
      </w:pPr>
    </w:p>
    <w:p w:rsidR="00B47409" w:rsidRDefault="00B47409" w:rsidP="002A683D">
      <w:pPr>
        <w:ind w:left="4050" w:hanging="4050"/>
        <w:rPr>
          <w:b/>
          <w:sz w:val="22"/>
          <w:szCs w:val="22"/>
        </w:rPr>
      </w:pPr>
    </w:p>
    <w:p w:rsidR="002A683D" w:rsidRDefault="002A683D" w:rsidP="002A683D">
      <w:pPr>
        <w:ind w:left="4050" w:hanging="4050"/>
        <w:rPr>
          <w:b/>
          <w:sz w:val="22"/>
          <w:szCs w:val="22"/>
        </w:rPr>
      </w:pPr>
      <w:r>
        <w:rPr>
          <w:b/>
          <w:sz w:val="22"/>
          <w:szCs w:val="22"/>
        </w:rPr>
        <w:t xml:space="preserve">Individuals or house hold: 10% of the total cost = </w:t>
      </w:r>
      <w:r w:rsidR="006319AD">
        <w:rPr>
          <w:b/>
          <w:sz w:val="22"/>
          <w:szCs w:val="22"/>
        </w:rPr>
        <w:t xml:space="preserve">$4,012.70 </w:t>
      </w:r>
    </w:p>
    <w:p w:rsidR="002A683D" w:rsidRDefault="002A683D" w:rsidP="002A683D">
      <w:pPr>
        <w:ind w:left="4050" w:hanging="4050"/>
        <w:rPr>
          <w:b/>
          <w:sz w:val="22"/>
          <w:szCs w:val="22"/>
        </w:rPr>
      </w:pPr>
    </w:p>
    <w:p w:rsidR="00B47409" w:rsidRPr="00AF5803" w:rsidRDefault="00B47409" w:rsidP="00AF5803">
      <w:pPr>
        <w:pStyle w:val="ListParagraph"/>
        <w:numPr>
          <w:ilvl w:val="0"/>
          <w:numId w:val="16"/>
        </w:numPr>
        <w:tabs>
          <w:tab w:val="left" w:pos="360"/>
        </w:tabs>
        <w:ind w:left="360"/>
        <w:rPr>
          <w:b/>
          <w:sz w:val="22"/>
          <w:szCs w:val="22"/>
        </w:rPr>
      </w:pPr>
      <w:r w:rsidRPr="00AF5803">
        <w:rPr>
          <w:b/>
          <w:sz w:val="22"/>
          <w:szCs w:val="22"/>
        </w:rPr>
        <w:t>Reporting will require approximately 95% of this hourly burden =</w:t>
      </w:r>
      <w:r w:rsidR="002A55C9">
        <w:rPr>
          <w:b/>
          <w:sz w:val="22"/>
          <w:szCs w:val="22"/>
        </w:rPr>
        <w:t xml:space="preserve"> $3,812.07</w:t>
      </w:r>
    </w:p>
    <w:p w:rsidR="00B47409" w:rsidRDefault="00B47409" w:rsidP="00B47409">
      <w:pPr>
        <w:tabs>
          <w:tab w:val="left" w:pos="360"/>
        </w:tabs>
        <w:ind w:left="360" w:hanging="360"/>
        <w:rPr>
          <w:b/>
          <w:sz w:val="22"/>
          <w:szCs w:val="22"/>
        </w:rPr>
      </w:pPr>
    </w:p>
    <w:p w:rsidR="00B47409" w:rsidRPr="00B47409" w:rsidRDefault="00B47409" w:rsidP="00AF5803">
      <w:pPr>
        <w:pStyle w:val="ListParagraph"/>
        <w:numPr>
          <w:ilvl w:val="0"/>
          <w:numId w:val="16"/>
        </w:numPr>
        <w:tabs>
          <w:tab w:val="left" w:pos="360"/>
        </w:tabs>
        <w:ind w:left="360"/>
        <w:rPr>
          <w:b/>
          <w:sz w:val="22"/>
          <w:szCs w:val="22"/>
        </w:rPr>
      </w:pPr>
      <w:r>
        <w:rPr>
          <w:b/>
          <w:sz w:val="22"/>
          <w:szCs w:val="22"/>
        </w:rPr>
        <w:t>Third Party Disclosure will require approximately 5% of this hourly burden =</w:t>
      </w:r>
      <w:r w:rsidR="002A55C9">
        <w:rPr>
          <w:b/>
          <w:sz w:val="22"/>
          <w:szCs w:val="22"/>
        </w:rPr>
        <w:t xml:space="preserve"> $200.64</w:t>
      </w:r>
    </w:p>
    <w:p w:rsidR="00B47409" w:rsidRDefault="00B47409" w:rsidP="00B47409">
      <w:pPr>
        <w:ind w:left="360" w:hanging="360"/>
        <w:rPr>
          <w:b/>
          <w:sz w:val="22"/>
          <w:szCs w:val="22"/>
        </w:rPr>
      </w:pPr>
    </w:p>
    <w:p w:rsidR="00B47409" w:rsidRDefault="00B47409" w:rsidP="002A683D">
      <w:pPr>
        <w:ind w:left="4050" w:hanging="4050"/>
        <w:rPr>
          <w:b/>
          <w:sz w:val="22"/>
          <w:szCs w:val="22"/>
        </w:rPr>
      </w:pPr>
    </w:p>
    <w:p w:rsidR="002A683D" w:rsidRDefault="002A683D" w:rsidP="002A683D">
      <w:pPr>
        <w:ind w:left="4050" w:hanging="4050"/>
        <w:rPr>
          <w:b/>
          <w:sz w:val="22"/>
          <w:szCs w:val="22"/>
        </w:rPr>
      </w:pPr>
      <w:r>
        <w:rPr>
          <w:b/>
          <w:sz w:val="22"/>
          <w:szCs w:val="22"/>
        </w:rPr>
        <w:t>Governments (state, local, or tribal): 10% o</w:t>
      </w:r>
      <w:r w:rsidR="006319AD">
        <w:rPr>
          <w:b/>
          <w:sz w:val="22"/>
          <w:szCs w:val="22"/>
        </w:rPr>
        <w:t>f the total cost = $4,012.70</w:t>
      </w:r>
    </w:p>
    <w:p w:rsidR="009E4B0D" w:rsidRDefault="009E4B0D" w:rsidP="002A683D">
      <w:pPr>
        <w:ind w:left="4050" w:hanging="4050"/>
        <w:rPr>
          <w:b/>
          <w:sz w:val="22"/>
          <w:szCs w:val="22"/>
        </w:rPr>
      </w:pPr>
    </w:p>
    <w:p w:rsidR="002A55C9" w:rsidRDefault="00B47409" w:rsidP="004C1E81">
      <w:pPr>
        <w:pStyle w:val="ListParagraph"/>
        <w:numPr>
          <w:ilvl w:val="0"/>
          <w:numId w:val="17"/>
        </w:numPr>
        <w:tabs>
          <w:tab w:val="left" w:pos="360"/>
        </w:tabs>
        <w:ind w:left="360"/>
        <w:rPr>
          <w:b/>
          <w:sz w:val="22"/>
          <w:szCs w:val="22"/>
        </w:rPr>
      </w:pPr>
      <w:r w:rsidRPr="004C1E81">
        <w:rPr>
          <w:b/>
          <w:sz w:val="22"/>
          <w:szCs w:val="22"/>
        </w:rPr>
        <w:t>Reporting will require approximately 95% of this hourly burden =</w:t>
      </w:r>
      <w:r w:rsidR="002A55C9" w:rsidRPr="004C1E81">
        <w:rPr>
          <w:b/>
          <w:sz w:val="22"/>
          <w:szCs w:val="22"/>
        </w:rPr>
        <w:t>$3,812.07</w:t>
      </w:r>
    </w:p>
    <w:p w:rsidR="004C1E81" w:rsidRPr="004C1E81" w:rsidRDefault="004C1E81" w:rsidP="004C1E81">
      <w:pPr>
        <w:pStyle w:val="ListParagraph"/>
        <w:tabs>
          <w:tab w:val="left" w:pos="360"/>
        </w:tabs>
        <w:ind w:left="360"/>
        <w:rPr>
          <w:b/>
          <w:sz w:val="22"/>
          <w:szCs w:val="22"/>
        </w:rPr>
      </w:pPr>
    </w:p>
    <w:p w:rsidR="002A55C9" w:rsidRPr="00B47409" w:rsidRDefault="00B47409" w:rsidP="004C1E81">
      <w:pPr>
        <w:pStyle w:val="ListParagraph"/>
        <w:numPr>
          <w:ilvl w:val="0"/>
          <w:numId w:val="17"/>
        </w:numPr>
        <w:tabs>
          <w:tab w:val="left" w:pos="360"/>
        </w:tabs>
        <w:ind w:left="360"/>
        <w:rPr>
          <w:b/>
          <w:sz w:val="22"/>
          <w:szCs w:val="22"/>
        </w:rPr>
      </w:pPr>
      <w:r>
        <w:rPr>
          <w:b/>
          <w:sz w:val="22"/>
          <w:szCs w:val="22"/>
        </w:rPr>
        <w:t>Third Party Disclosure will require approximately 5% of this hourly burden =</w:t>
      </w:r>
      <w:r w:rsidR="002A55C9">
        <w:rPr>
          <w:b/>
          <w:sz w:val="22"/>
          <w:szCs w:val="22"/>
        </w:rPr>
        <w:t xml:space="preserve"> $200.64</w:t>
      </w:r>
    </w:p>
    <w:p w:rsidR="00B47409" w:rsidRDefault="00B47409" w:rsidP="004C1E81">
      <w:pPr>
        <w:pStyle w:val="ListParagraph"/>
        <w:tabs>
          <w:tab w:val="left" w:pos="360"/>
        </w:tabs>
        <w:ind w:left="360"/>
        <w:rPr>
          <w:b/>
          <w:sz w:val="22"/>
          <w:szCs w:val="22"/>
        </w:rPr>
      </w:pPr>
    </w:p>
    <w:p w:rsidR="00224F4C" w:rsidRPr="00C3472A" w:rsidRDefault="00224F4C" w:rsidP="00B47409">
      <w:pPr>
        <w:ind w:hanging="720"/>
        <w:rPr>
          <w:b/>
          <w:sz w:val="22"/>
          <w:szCs w:val="22"/>
        </w:rPr>
      </w:pPr>
    </w:p>
    <w:p w:rsidR="00224F4C" w:rsidRPr="00C3472A" w:rsidRDefault="00224F4C" w:rsidP="00224F4C">
      <w:pPr>
        <w:suppressAutoHyphens/>
        <w:rPr>
          <w:sz w:val="22"/>
          <w:szCs w:val="22"/>
        </w:rPr>
      </w:pPr>
      <w:r w:rsidRPr="00C3472A">
        <w:rPr>
          <w:sz w:val="22"/>
          <w:szCs w:val="22"/>
        </w:rPr>
        <w:t xml:space="preserve">14.  </w:t>
      </w:r>
      <w:r w:rsidRPr="00C3472A">
        <w:rPr>
          <w:b/>
          <w:sz w:val="22"/>
          <w:szCs w:val="22"/>
        </w:rPr>
        <w:t>Cost to the Government</w:t>
      </w:r>
      <w:r w:rsidRPr="00C3472A">
        <w:rPr>
          <w:sz w:val="22"/>
          <w:szCs w:val="22"/>
        </w:rPr>
        <w:t>: The Commission staff performing work that reviews these filings consists of attorneys at the GS-15, step 5 level ($</w:t>
      </w:r>
      <w:r w:rsidR="00DC10EC">
        <w:rPr>
          <w:sz w:val="22"/>
          <w:szCs w:val="22"/>
        </w:rPr>
        <w:t>67.88</w:t>
      </w:r>
      <w:r w:rsidRPr="00C3472A">
        <w:rPr>
          <w:sz w:val="22"/>
          <w:szCs w:val="22"/>
        </w:rPr>
        <w:t>/hour), paralegals at the GS-12, step 5 level ($</w:t>
      </w:r>
      <w:r w:rsidR="00DC10EC">
        <w:rPr>
          <w:sz w:val="22"/>
          <w:szCs w:val="22"/>
        </w:rPr>
        <w:t>41.07</w:t>
      </w:r>
      <w:r w:rsidRPr="00C3472A">
        <w:rPr>
          <w:sz w:val="22"/>
          <w:szCs w:val="22"/>
        </w:rPr>
        <w:t>/hour) and administrative personnel at the GS-5, step 5 level ($</w:t>
      </w:r>
      <w:r w:rsidR="00DC10EC">
        <w:rPr>
          <w:sz w:val="22"/>
          <w:szCs w:val="22"/>
        </w:rPr>
        <w:t>18.69</w:t>
      </w:r>
      <w:r w:rsidRPr="00C3472A">
        <w:rPr>
          <w:sz w:val="22"/>
          <w:szCs w:val="22"/>
        </w:rPr>
        <w:t xml:space="preserve">/hour).  </w:t>
      </w:r>
    </w:p>
    <w:p w:rsidR="00224F4C" w:rsidRPr="00C3472A" w:rsidRDefault="00224F4C" w:rsidP="00224F4C">
      <w:pPr>
        <w:suppressAutoHyphens/>
        <w:ind w:left="720"/>
        <w:rPr>
          <w:sz w:val="22"/>
          <w:szCs w:val="22"/>
        </w:rPr>
      </w:pPr>
    </w:p>
    <w:p w:rsidR="00224F4C" w:rsidRPr="00C3472A" w:rsidRDefault="00224F4C" w:rsidP="00224F4C">
      <w:pPr>
        <w:suppressAutoHyphens/>
        <w:ind w:left="720"/>
        <w:rPr>
          <w:sz w:val="22"/>
          <w:szCs w:val="22"/>
        </w:rPr>
      </w:pPr>
      <w:r w:rsidRPr="00C3472A">
        <w:rPr>
          <w:sz w:val="22"/>
          <w:szCs w:val="22"/>
        </w:rPr>
        <w:t>Legal review:  10 filings x 11.3 hours/filing x $</w:t>
      </w:r>
      <w:r w:rsidR="00DC10EC">
        <w:rPr>
          <w:sz w:val="22"/>
          <w:szCs w:val="22"/>
        </w:rPr>
        <w:t>67.88</w:t>
      </w:r>
      <w:r w:rsidRPr="00C3472A">
        <w:rPr>
          <w:sz w:val="22"/>
          <w:szCs w:val="22"/>
        </w:rPr>
        <w:t xml:space="preserve">/hour     =     </w:t>
      </w:r>
      <w:r w:rsidR="00CB564E">
        <w:rPr>
          <w:sz w:val="22"/>
          <w:szCs w:val="22"/>
        </w:rPr>
        <w:t xml:space="preserve"> </w:t>
      </w:r>
      <w:r w:rsidRPr="00C3472A">
        <w:rPr>
          <w:sz w:val="22"/>
          <w:szCs w:val="22"/>
        </w:rPr>
        <w:t>$</w:t>
      </w:r>
      <w:r w:rsidR="00DC10EC">
        <w:rPr>
          <w:sz w:val="22"/>
          <w:szCs w:val="22"/>
        </w:rPr>
        <w:t>7,670.44</w:t>
      </w:r>
    </w:p>
    <w:p w:rsidR="00224F4C" w:rsidRPr="00C3472A" w:rsidRDefault="00224F4C" w:rsidP="00224F4C">
      <w:pPr>
        <w:ind w:firstLine="720"/>
        <w:rPr>
          <w:sz w:val="22"/>
          <w:szCs w:val="22"/>
        </w:rPr>
      </w:pPr>
      <w:r w:rsidRPr="00C3472A">
        <w:rPr>
          <w:sz w:val="22"/>
          <w:szCs w:val="22"/>
        </w:rPr>
        <w:t>Paralegal review:  10 filings x 3.4 hours/filing x $</w:t>
      </w:r>
      <w:r w:rsidR="00DC10EC">
        <w:rPr>
          <w:sz w:val="22"/>
          <w:szCs w:val="22"/>
        </w:rPr>
        <w:t>41.07</w:t>
      </w:r>
      <w:r w:rsidRPr="00C3472A">
        <w:rPr>
          <w:sz w:val="22"/>
          <w:szCs w:val="22"/>
        </w:rPr>
        <w:t>/hour =      $</w:t>
      </w:r>
      <w:r w:rsidR="00DC10EC">
        <w:rPr>
          <w:sz w:val="22"/>
          <w:szCs w:val="22"/>
        </w:rPr>
        <w:t>1,396.38</w:t>
      </w:r>
    </w:p>
    <w:p w:rsidR="00224F4C" w:rsidRPr="00C3472A" w:rsidRDefault="00224F4C" w:rsidP="00224F4C">
      <w:pPr>
        <w:suppressAutoHyphens/>
        <w:ind w:left="720"/>
        <w:rPr>
          <w:sz w:val="22"/>
          <w:szCs w:val="22"/>
          <w:u w:val="single"/>
        </w:rPr>
      </w:pPr>
      <w:proofErr w:type="gramStart"/>
      <w:r w:rsidRPr="00C3472A">
        <w:rPr>
          <w:sz w:val="22"/>
          <w:szCs w:val="22"/>
        </w:rPr>
        <w:t>Admin.</w:t>
      </w:r>
      <w:proofErr w:type="gramEnd"/>
      <w:r w:rsidRPr="00C3472A">
        <w:rPr>
          <w:sz w:val="22"/>
          <w:szCs w:val="22"/>
        </w:rPr>
        <w:t xml:space="preserve"> </w:t>
      </w:r>
      <w:proofErr w:type="gramStart"/>
      <w:r w:rsidRPr="00C3472A">
        <w:rPr>
          <w:sz w:val="22"/>
          <w:szCs w:val="22"/>
        </w:rPr>
        <w:t>review</w:t>
      </w:r>
      <w:proofErr w:type="gramEnd"/>
      <w:r w:rsidRPr="00C3472A">
        <w:rPr>
          <w:sz w:val="22"/>
          <w:szCs w:val="22"/>
        </w:rPr>
        <w:t>:  10 filings x 2 hours/filing x $</w:t>
      </w:r>
      <w:r w:rsidR="00DC10EC">
        <w:rPr>
          <w:sz w:val="22"/>
          <w:szCs w:val="22"/>
        </w:rPr>
        <w:t>18.69</w:t>
      </w:r>
      <w:r w:rsidRPr="00C3472A">
        <w:rPr>
          <w:sz w:val="22"/>
          <w:szCs w:val="22"/>
        </w:rPr>
        <w:t xml:space="preserve">/hour    =    </w:t>
      </w:r>
      <w:r w:rsidR="00CF7225">
        <w:rPr>
          <w:sz w:val="22"/>
          <w:szCs w:val="22"/>
          <w:u w:val="single"/>
        </w:rPr>
        <w:t xml:space="preserve">     </w:t>
      </w:r>
      <w:r w:rsidRPr="00C3472A">
        <w:rPr>
          <w:sz w:val="22"/>
          <w:szCs w:val="22"/>
          <w:u w:val="single"/>
        </w:rPr>
        <w:t>$</w:t>
      </w:r>
      <w:r w:rsidR="00CB564E">
        <w:rPr>
          <w:sz w:val="22"/>
          <w:szCs w:val="22"/>
          <w:u w:val="single"/>
        </w:rPr>
        <w:t xml:space="preserve">   </w:t>
      </w:r>
      <w:r w:rsidR="00DC10EC">
        <w:rPr>
          <w:sz w:val="22"/>
          <w:szCs w:val="22"/>
          <w:u w:val="single"/>
        </w:rPr>
        <w:t>373.80</w:t>
      </w:r>
    </w:p>
    <w:p w:rsidR="00224F4C" w:rsidRPr="00C3472A" w:rsidRDefault="00224F4C" w:rsidP="00224F4C">
      <w:pPr>
        <w:suppressAutoHyphens/>
        <w:ind w:left="720"/>
        <w:rPr>
          <w:sz w:val="22"/>
          <w:szCs w:val="22"/>
        </w:rPr>
      </w:pPr>
      <w:r w:rsidRPr="00C3472A">
        <w:rPr>
          <w:sz w:val="22"/>
          <w:szCs w:val="22"/>
        </w:rPr>
        <w:t xml:space="preserve">                           </w:t>
      </w:r>
      <w:r w:rsidRPr="00C3472A">
        <w:rPr>
          <w:b/>
          <w:sz w:val="22"/>
          <w:szCs w:val="22"/>
        </w:rPr>
        <w:t>Total Cost to the</w:t>
      </w:r>
      <w:r w:rsidR="00CF7225">
        <w:rPr>
          <w:b/>
          <w:sz w:val="22"/>
          <w:szCs w:val="22"/>
        </w:rPr>
        <w:t xml:space="preserve"> Federal Government:           </w:t>
      </w:r>
      <w:r w:rsidRPr="00C3472A">
        <w:rPr>
          <w:b/>
          <w:sz w:val="22"/>
          <w:szCs w:val="22"/>
        </w:rPr>
        <w:t xml:space="preserve">  $</w:t>
      </w:r>
      <w:r w:rsidR="00DC10EC">
        <w:rPr>
          <w:b/>
          <w:sz w:val="22"/>
          <w:szCs w:val="22"/>
        </w:rPr>
        <w:t>9,440.62</w:t>
      </w:r>
    </w:p>
    <w:p w:rsidR="002A6F7A" w:rsidRPr="00C3472A" w:rsidRDefault="002A6F7A" w:rsidP="002A6F7A">
      <w:pPr>
        <w:autoSpaceDE w:val="0"/>
        <w:autoSpaceDN w:val="0"/>
        <w:adjustRightInd w:val="0"/>
        <w:rPr>
          <w:b/>
          <w:sz w:val="22"/>
          <w:szCs w:val="22"/>
        </w:rPr>
      </w:pPr>
      <w:r w:rsidRPr="00C3472A">
        <w:rPr>
          <w:b/>
          <w:sz w:val="22"/>
          <w:szCs w:val="22"/>
        </w:rPr>
        <w:t xml:space="preserve">                       </w:t>
      </w:r>
    </w:p>
    <w:p w:rsidR="002A6F7A" w:rsidRPr="00C3472A" w:rsidRDefault="002A6F7A" w:rsidP="002A6F7A">
      <w:pPr>
        <w:autoSpaceDE w:val="0"/>
        <w:autoSpaceDN w:val="0"/>
        <w:adjustRightInd w:val="0"/>
        <w:rPr>
          <w:sz w:val="22"/>
          <w:szCs w:val="22"/>
        </w:rPr>
      </w:pPr>
      <w:r w:rsidRPr="00C3472A">
        <w:rPr>
          <w:sz w:val="22"/>
          <w:szCs w:val="22"/>
        </w:rPr>
        <w:t xml:space="preserve">15.  </w:t>
      </w:r>
      <w:r w:rsidR="00A14880" w:rsidRPr="00C3472A">
        <w:rPr>
          <w:sz w:val="22"/>
          <w:szCs w:val="22"/>
        </w:rPr>
        <w:t>Th</w:t>
      </w:r>
      <w:r w:rsidR="00071700">
        <w:rPr>
          <w:sz w:val="22"/>
          <w:szCs w:val="22"/>
        </w:rPr>
        <w:t>ere is no change to the burden estimates.</w:t>
      </w:r>
    </w:p>
    <w:p w:rsidR="002A6F7A" w:rsidRPr="00C3472A" w:rsidRDefault="002A6F7A" w:rsidP="002A6F7A">
      <w:pPr>
        <w:suppressAutoHyphens/>
        <w:rPr>
          <w:sz w:val="22"/>
          <w:szCs w:val="22"/>
        </w:rPr>
      </w:pPr>
    </w:p>
    <w:p w:rsidR="002A6F7A" w:rsidRPr="00C3472A" w:rsidRDefault="002A6F7A">
      <w:pPr>
        <w:pStyle w:val="BodyText2"/>
        <w:rPr>
          <w:sz w:val="22"/>
          <w:szCs w:val="22"/>
        </w:rPr>
      </w:pPr>
      <w:r w:rsidRPr="00C3472A">
        <w:rPr>
          <w:sz w:val="22"/>
          <w:szCs w:val="22"/>
        </w:rPr>
        <w:t>16.  The data will not be published for statistical use.</w:t>
      </w:r>
    </w:p>
    <w:p w:rsidR="002A6F7A" w:rsidRPr="00C3472A" w:rsidRDefault="002A6F7A">
      <w:pPr>
        <w:pStyle w:val="BodyText2"/>
        <w:rPr>
          <w:sz w:val="22"/>
          <w:szCs w:val="22"/>
        </w:rPr>
      </w:pPr>
    </w:p>
    <w:p w:rsidR="002A6F7A" w:rsidRPr="00C3472A" w:rsidRDefault="002A6F7A">
      <w:pPr>
        <w:pStyle w:val="BodyText2"/>
        <w:rPr>
          <w:sz w:val="22"/>
          <w:szCs w:val="22"/>
        </w:rPr>
      </w:pPr>
      <w:r w:rsidRPr="00C3472A">
        <w:rPr>
          <w:sz w:val="22"/>
          <w:szCs w:val="22"/>
        </w:rPr>
        <w:t>17.  The Commission does not seek approval to not display the expiration date for this collection of information.</w:t>
      </w:r>
    </w:p>
    <w:p w:rsidR="002A6F7A" w:rsidRPr="00C3472A" w:rsidRDefault="002A6F7A">
      <w:pPr>
        <w:suppressAutoHyphens/>
        <w:rPr>
          <w:sz w:val="22"/>
          <w:szCs w:val="22"/>
        </w:rPr>
      </w:pPr>
    </w:p>
    <w:p w:rsidR="002A6F7A" w:rsidRPr="00C3472A" w:rsidRDefault="002A6F7A">
      <w:pPr>
        <w:suppressAutoHyphens/>
        <w:rPr>
          <w:sz w:val="22"/>
          <w:szCs w:val="22"/>
        </w:rPr>
      </w:pPr>
      <w:r w:rsidRPr="00C3472A">
        <w:rPr>
          <w:sz w:val="22"/>
          <w:szCs w:val="22"/>
        </w:rPr>
        <w:t xml:space="preserve">18.  </w:t>
      </w:r>
      <w:r w:rsidRPr="00C3472A">
        <w:rPr>
          <w:snapToGrid w:val="0"/>
          <w:spacing w:val="-3"/>
          <w:sz w:val="22"/>
          <w:szCs w:val="22"/>
        </w:rPr>
        <w:t xml:space="preserve"> </w:t>
      </w:r>
      <w:r w:rsidR="00A14880" w:rsidRPr="00C3472A">
        <w:rPr>
          <w:sz w:val="22"/>
          <w:szCs w:val="22"/>
        </w:rPr>
        <w:t>There are no exceptions to the Certification Statement</w:t>
      </w:r>
      <w:r w:rsidR="004E5F3A">
        <w:rPr>
          <w:sz w:val="22"/>
          <w:szCs w:val="22"/>
        </w:rPr>
        <w:t>.</w:t>
      </w:r>
    </w:p>
    <w:p w:rsidR="002A6F7A" w:rsidRPr="00C3472A" w:rsidRDefault="002A6F7A">
      <w:pPr>
        <w:suppressAutoHyphens/>
        <w:rPr>
          <w:sz w:val="22"/>
          <w:szCs w:val="22"/>
        </w:rPr>
      </w:pPr>
    </w:p>
    <w:p w:rsidR="002A6F7A" w:rsidRPr="001F7E32" w:rsidRDefault="002A6F7A">
      <w:pPr>
        <w:suppressAutoHyphens/>
        <w:rPr>
          <w:b/>
          <w:sz w:val="22"/>
          <w:szCs w:val="22"/>
          <w:u w:val="single"/>
        </w:rPr>
      </w:pPr>
      <w:r w:rsidRPr="001F7E32">
        <w:rPr>
          <w:b/>
          <w:sz w:val="22"/>
          <w:szCs w:val="22"/>
          <w:u w:val="single"/>
        </w:rPr>
        <w:t>B.  Collections of Information Employing Statistical Methods:</w:t>
      </w:r>
    </w:p>
    <w:p w:rsidR="002A6F7A" w:rsidRPr="00C3472A" w:rsidRDefault="002A6F7A">
      <w:pPr>
        <w:suppressAutoHyphens/>
        <w:rPr>
          <w:b/>
          <w:sz w:val="22"/>
          <w:szCs w:val="22"/>
        </w:rPr>
      </w:pPr>
    </w:p>
    <w:p w:rsidR="002A6F7A" w:rsidRPr="00C3472A" w:rsidRDefault="002A6F7A">
      <w:pPr>
        <w:pStyle w:val="BodyText2"/>
        <w:rPr>
          <w:sz w:val="22"/>
          <w:szCs w:val="22"/>
        </w:rPr>
      </w:pPr>
      <w:r w:rsidRPr="00C3472A">
        <w:rPr>
          <w:sz w:val="22"/>
          <w:szCs w:val="22"/>
        </w:rPr>
        <w:t>No statistical methods are employed.</w:t>
      </w:r>
    </w:p>
    <w:sectPr w:rsidR="002A6F7A" w:rsidRPr="00C3472A" w:rsidSect="002A6F7A">
      <w:headerReference w:type="default" r:id="rId8"/>
      <w:footerReference w:type="even" r:id="rId9"/>
      <w:footerReference w:type="default" r:id="rId10"/>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033" w:rsidRDefault="00270033">
      <w:r>
        <w:separator/>
      </w:r>
    </w:p>
  </w:endnote>
  <w:endnote w:type="continuationSeparator" w:id="0">
    <w:p w:rsidR="00270033" w:rsidRDefault="0027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CA" w:rsidRDefault="00DB3CCA" w:rsidP="002A6F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CCA" w:rsidRDefault="00DB3C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CA" w:rsidRDefault="00DB3CCA" w:rsidP="002A6F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E6A">
      <w:rPr>
        <w:rStyle w:val="PageNumber"/>
        <w:noProof/>
      </w:rPr>
      <w:t>8</w:t>
    </w:r>
    <w:r>
      <w:rPr>
        <w:rStyle w:val="PageNumber"/>
      </w:rPr>
      <w:fldChar w:fldCharType="end"/>
    </w:r>
  </w:p>
  <w:p w:rsidR="00DB3CCA" w:rsidRDefault="00DB3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033" w:rsidRDefault="00270033">
      <w:r>
        <w:separator/>
      </w:r>
    </w:p>
  </w:footnote>
  <w:footnote w:type="continuationSeparator" w:id="0">
    <w:p w:rsidR="00270033" w:rsidRDefault="00270033">
      <w:r>
        <w:continuationSeparator/>
      </w:r>
    </w:p>
  </w:footnote>
  <w:footnote w:id="1">
    <w:p w:rsidR="00DB3CCA" w:rsidRDefault="00DB3CCA" w:rsidP="0018413A">
      <w:pPr>
        <w:pStyle w:val="FootnoteText"/>
      </w:pPr>
      <w:r>
        <w:rPr>
          <w:rStyle w:val="FootnoteReference"/>
        </w:rPr>
        <w:footnoteRef/>
      </w:r>
      <w:r>
        <w:t xml:space="preserve"> </w:t>
      </w:r>
      <w:proofErr w:type="gramStart"/>
      <w:r>
        <w:t>74 Fed.</w:t>
      </w:r>
      <w:proofErr w:type="gramEnd"/>
      <w:r>
        <w:t xml:space="preserve"> Reg. 62638 (Nov. 30, 2009).</w:t>
      </w:r>
    </w:p>
  </w:footnote>
  <w:footnote w:id="2">
    <w:p w:rsidR="00DB3CCA" w:rsidRDefault="00DB3CCA" w:rsidP="0018413A">
      <w:pPr>
        <w:pStyle w:val="FootnoteText"/>
      </w:pPr>
      <w:r>
        <w:rPr>
          <w:rStyle w:val="FootnoteReference"/>
        </w:rPr>
        <w:footnoteRef/>
      </w:r>
      <w:r>
        <w:t xml:space="preserve"> </w:t>
      </w:r>
      <w:r w:rsidRPr="00D2267F">
        <w:rPr>
          <w:i/>
        </w:rPr>
        <w:t>Preserving the Open Internet</w:t>
      </w:r>
      <w:r>
        <w:rPr>
          <w:i/>
        </w:rPr>
        <w:t>,</w:t>
      </w:r>
      <w:r w:rsidRPr="00D2267F">
        <w:rPr>
          <w:i/>
        </w:rPr>
        <w:t xml:space="preserve"> Broadband Industry Practices</w:t>
      </w:r>
      <w:r>
        <w:t>,</w:t>
      </w:r>
      <w:r w:rsidRPr="00D2267F">
        <w:rPr>
          <w:i/>
        </w:rPr>
        <w:t xml:space="preserve"> </w:t>
      </w:r>
      <w:r w:rsidRPr="00D33367">
        <w:t>Report and Order</w:t>
      </w:r>
      <w:r w:rsidRPr="00D2267F">
        <w:t>,</w:t>
      </w:r>
      <w:r>
        <w:t xml:space="preserve"> 25 FCC Rcd 17905 (2010)</w:t>
      </w:r>
      <w:r w:rsidR="00A625C8">
        <w:t>,</w:t>
      </w:r>
      <w:r>
        <w:t xml:space="preserve"> (</w:t>
      </w:r>
      <w:r w:rsidRPr="00D2267F">
        <w:rPr>
          <w:i/>
        </w:rPr>
        <w:t>O</w:t>
      </w:r>
      <w:r>
        <w:rPr>
          <w:i/>
        </w:rPr>
        <w:t>pen Internet Order</w:t>
      </w:r>
      <w:r>
        <w:t>)</w:t>
      </w:r>
      <w:r w:rsidR="00A625C8">
        <w:t xml:space="preserve">, </w:t>
      </w:r>
      <w:proofErr w:type="spellStart"/>
      <w:r w:rsidR="00A625C8" w:rsidRPr="00896284">
        <w:rPr>
          <w:i/>
          <w:iCs/>
        </w:rPr>
        <w:t>aff’d</w:t>
      </w:r>
      <w:proofErr w:type="spellEnd"/>
      <w:r w:rsidR="00A625C8" w:rsidRPr="00896284">
        <w:rPr>
          <w:i/>
          <w:iCs/>
        </w:rPr>
        <w:t xml:space="preserve"> in part, vacated and remanded in part sub nom.</w:t>
      </w:r>
      <w:r w:rsidR="00A625C8">
        <w:rPr>
          <w:i/>
          <w:iCs/>
        </w:rPr>
        <w:t xml:space="preserve"> </w:t>
      </w:r>
      <w:r w:rsidR="00A625C8" w:rsidRPr="009104D9">
        <w:rPr>
          <w:i/>
        </w:rPr>
        <w:t>Verizon v. FCC</w:t>
      </w:r>
      <w:r w:rsidR="00A625C8">
        <w:t>, 740 F.3d 623 (D.C. Cir. 2014)</w:t>
      </w:r>
      <w:r>
        <w:t>.</w:t>
      </w:r>
    </w:p>
    <w:p w:rsidR="00DB3CCA" w:rsidRPr="00D2267F" w:rsidRDefault="00DB3CCA" w:rsidP="0018413A">
      <w:pPr>
        <w:pStyle w:val="FootnoteText"/>
      </w:pPr>
    </w:p>
  </w:footnote>
  <w:footnote w:id="3">
    <w:p w:rsidR="00DB3CCA" w:rsidRDefault="00DB3CCA" w:rsidP="00E06FEB">
      <w:pPr>
        <w:pStyle w:val="FootnoteText"/>
      </w:pPr>
      <w:r>
        <w:rPr>
          <w:rStyle w:val="FootnoteReference"/>
        </w:rPr>
        <w:footnoteRef/>
      </w:r>
      <w:r>
        <w:t xml:space="preserve"> </w:t>
      </w:r>
      <w:r w:rsidRPr="007E086A">
        <w:rPr>
          <w:i/>
        </w:rPr>
        <w:t>See</w:t>
      </w:r>
      <w:r>
        <w:t xml:space="preserve"> 47 C.F.R. Section 8.13 for specific requirements pertaining to pleadings filed in a formal complaint proceeding.</w:t>
      </w:r>
    </w:p>
  </w:footnote>
  <w:footnote w:id="4">
    <w:p w:rsidR="00DB3CCA" w:rsidRDefault="00DB3CCA" w:rsidP="00E06FEB">
      <w:pPr>
        <w:pStyle w:val="FootnoteText"/>
      </w:pPr>
      <w:r>
        <w:rPr>
          <w:rStyle w:val="FootnoteReference"/>
        </w:rPr>
        <w:footnoteRef/>
      </w:r>
      <w:r>
        <w:t xml:space="preserve"> </w:t>
      </w:r>
      <w:r w:rsidRPr="007E086A">
        <w:rPr>
          <w:i/>
        </w:rPr>
        <w:t>See</w:t>
      </w:r>
      <w:r>
        <w:t xml:space="preserve"> 47 C.F.R. Section 8.14 for specific requirements pertaining to the filing of formal complaints, answers, and replies.</w:t>
      </w:r>
    </w:p>
  </w:footnote>
  <w:footnote w:id="5">
    <w:p w:rsidR="00DB3CCA" w:rsidRPr="00B46AAF" w:rsidRDefault="00DB3CCA" w:rsidP="00B46AAF">
      <w:pPr>
        <w:pStyle w:val="FootnoteText"/>
      </w:pPr>
      <w:r w:rsidRPr="00407E14">
        <w:rPr>
          <w:rStyle w:val="FootnoteReference"/>
        </w:rPr>
        <w:footnoteRef/>
      </w:r>
      <w:r w:rsidRPr="00407E14">
        <w:t xml:space="preserve"> </w:t>
      </w:r>
      <w:proofErr w:type="gramStart"/>
      <w:r>
        <w:rPr>
          <w:i/>
        </w:rPr>
        <w:t>Open Internet Order</w:t>
      </w:r>
      <w:r>
        <w:t>, 25 FCC Rcd at 17987, para.</w:t>
      </w:r>
      <w:proofErr w:type="gramEnd"/>
      <w:r>
        <w:t xml:space="preserve"> 155.</w:t>
      </w:r>
    </w:p>
  </w:footnote>
  <w:footnote w:id="6">
    <w:p w:rsidR="00DB3CCA" w:rsidRDefault="00DB3CCA" w:rsidP="00224F4C">
      <w:pPr>
        <w:pStyle w:val="FootnoteText"/>
      </w:pPr>
      <w:r>
        <w:rPr>
          <w:rStyle w:val="FootnoteReference"/>
        </w:rPr>
        <w:footnoteRef/>
      </w:r>
      <w:r>
        <w:t xml:space="preserve"> The Commission estimates that 3 parties will prepare and issue their complaints and pre-complaint notices to potential defendants without outside assistance.</w:t>
      </w:r>
    </w:p>
  </w:footnote>
  <w:footnote w:id="7">
    <w:p w:rsidR="00DB3CCA" w:rsidRDefault="00DB3CCA" w:rsidP="00224F4C">
      <w:pPr>
        <w:pStyle w:val="FootnoteText"/>
      </w:pPr>
      <w:r>
        <w:rPr>
          <w:rStyle w:val="FootnoteReference"/>
        </w:rPr>
        <w:footnoteRef/>
      </w:r>
      <w:r>
        <w:t xml:space="preserve"> The Commission estimates that 2 parties will rely on outside counsel to prepare and issue complaints and pre-complaint notices.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CA" w:rsidRDefault="00DB3CCA" w:rsidP="002A6F7A">
    <w:pPr>
      <w:pStyle w:val="Heading1"/>
    </w:pPr>
    <w:r w:rsidRPr="007C0FE5">
      <w:t xml:space="preserve">OMB </w:t>
    </w:r>
    <w:r>
      <w:t>3060-</w:t>
    </w:r>
    <w:r w:rsidR="004252C4">
      <w:t>1157</w:t>
    </w:r>
    <w:r>
      <w:tab/>
    </w:r>
    <w:r>
      <w:tab/>
    </w:r>
    <w:r>
      <w:tab/>
    </w:r>
    <w:r>
      <w:tab/>
    </w:r>
    <w:r>
      <w:tab/>
    </w:r>
    <w:r>
      <w:tab/>
    </w:r>
    <w:r>
      <w:tab/>
    </w:r>
    <w:r>
      <w:tab/>
    </w:r>
    <w:r w:rsidR="00222CCA">
      <w:t xml:space="preserve">September </w:t>
    </w:r>
    <w:r w:rsidR="00071700">
      <w:t>2014</w:t>
    </w:r>
  </w:p>
  <w:p w:rsidR="00DB3CCA" w:rsidRPr="00A94278" w:rsidRDefault="00DB3CCA" w:rsidP="00E93691">
    <w:pPr>
      <w:spacing w:after="120"/>
      <w:rPr>
        <w:b/>
        <w:bCs/>
        <w:sz w:val="24"/>
      </w:rPr>
    </w:pPr>
    <w:r>
      <w:rPr>
        <w:b/>
        <w:bCs/>
        <w:sz w:val="24"/>
      </w:rPr>
      <w:t>Title:  Formal Complaint Procedures</w:t>
    </w:r>
    <w:r w:rsidRPr="00A94278">
      <w:rPr>
        <w:b/>
        <w:bCs/>
        <w:sz w:val="24"/>
      </w:rPr>
      <w:t>, Preserving the Open Internet and Broadband Industry Practices, Report and Order, GN Docket No. 09–191 and WC Docket No. 07–52</w:t>
    </w:r>
  </w:p>
  <w:p w:rsidR="00DB3CCA" w:rsidRDefault="00DB3CCA" w:rsidP="002A6F7A">
    <w:pPr>
      <w:pStyle w:val="Heading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FE07B8"/>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1CF81890"/>
    <w:multiLevelType w:val="hybridMultilevel"/>
    <w:tmpl w:val="1060A8D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D5F70C5"/>
    <w:multiLevelType w:val="hybridMultilevel"/>
    <w:tmpl w:val="B4C6BCA6"/>
    <w:lvl w:ilvl="0" w:tplc="5A609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854F9"/>
    <w:multiLevelType w:val="hybridMultilevel"/>
    <w:tmpl w:val="61CC309A"/>
    <w:lvl w:ilvl="0" w:tplc="5A609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F72E1"/>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2E3E49F2"/>
    <w:multiLevelType w:val="singleLevel"/>
    <w:tmpl w:val="13CE34C0"/>
    <w:lvl w:ilvl="0">
      <w:start w:val="1"/>
      <w:numFmt w:val="lowerLetter"/>
      <w:lvlText w:val="%1)"/>
      <w:lvlJc w:val="left"/>
      <w:pPr>
        <w:tabs>
          <w:tab w:val="num" w:pos="360"/>
        </w:tabs>
        <w:ind w:left="360" w:hanging="360"/>
      </w:pPr>
      <w:rPr>
        <w:rFonts w:hint="default"/>
        <w:b/>
      </w:rPr>
    </w:lvl>
  </w:abstractNum>
  <w:abstractNum w:abstractNumId="7">
    <w:nsid w:val="3C361D98"/>
    <w:multiLevelType w:val="hybridMultilevel"/>
    <w:tmpl w:val="A71ED468"/>
    <w:lvl w:ilvl="0" w:tplc="5A609B2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0642B"/>
    <w:multiLevelType w:val="hybridMultilevel"/>
    <w:tmpl w:val="A46A0EE6"/>
    <w:lvl w:ilvl="0" w:tplc="42DE917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32B598C"/>
    <w:multiLevelType w:val="hybridMultilevel"/>
    <w:tmpl w:val="180847F2"/>
    <w:lvl w:ilvl="0" w:tplc="5A609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C7486"/>
    <w:multiLevelType w:val="singleLevel"/>
    <w:tmpl w:val="0409000F"/>
    <w:lvl w:ilvl="0">
      <w:start w:val="3"/>
      <w:numFmt w:val="decimal"/>
      <w:lvlText w:val="%1."/>
      <w:lvlJc w:val="left"/>
      <w:pPr>
        <w:tabs>
          <w:tab w:val="num" w:pos="360"/>
        </w:tabs>
        <w:ind w:left="360" w:hanging="360"/>
      </w:pPr>
      <w:rPr>
        <w:rFonts w:hint="default"/>
      </w:rPr>
    </w:lvl>
  </w:abstractNum>
  <w:abstractNum w:abstractNumId="11">
    <w:nsid w:val="54383D5D"/>
    <w:multiLevelType w:val="singleLevel"/>
    <w:tmpl w:val="0409000F"/>
    <w:lvl w:ilvl="0">
      <w:start w:val="4"/>
      <w:numFmt w:val="decimal"/>
      <w:lvlText w:val="%1."/>
      <w:lvlJc w:val="left"/>
      <w:pPr>
        <w:tabs>
          <w:tab w:val="num" w:pos="360"/>
        </w:tabs>
        <w:ind w:left="360" w:hanging="360"/>
      </w:pPr>
      <w:rPr>
        <w:rFonts w:hint="default"/>
      </w:rPr>
    </w:lvl>
  </w:abstractNum>
  <w:abstractNum w:abstractNumId="12">
    <w:nsid w:val="57662FB0"/>
    <w:multiLevelType w:val="hybridMultilevel"/>
    <w:tmpl w:val="84A41B96"/>
    <w:lvl w:ilvl="0" w:tplc="5A609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3C1ED9"/>
    <w:multiLevelType w:val="hybridMultilevel"/>
    <w:tmpl w:val="C35AD080"/>
    <w:lvl w:ilvl="0" w:tplc="5A609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544271"/>
    <w:multiLevelType w:val="singleLevel"/>
    <w:tmpl w:val="0409000F"/>
    <w:lvl w:ilvl="0">
      <w:start w:val="5"/>
      <w:numFmt w:val="decimal"/>
      <w:lvlText w:val="%1."/>
      <w:lvlJc w:val="left"/>
      <w:pPr>
        <w:tabs>
          <w:tab w:val="num" w:pos="360"/>
        </w:tabs>
        <w:ind w:left="360" w:hanging="360"/>
      </w:pPr>
      <w:rPr>
        <w:rFonts w:hint="default"/>
      </w:rPr>
    </w:lvl>
  </w:abstractNum>
  <w:abstractNum w:abstractNumId="15">
    <w:nsid w:val="77BA62F1"/>
    <w:multiLevelType w:val="hybridMultilevel"/>
    <w:tmpl w:val="EC0E6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9DC3F8B"/>
    <w:multiLevelType w:val="hybridMultilevel"/>
    <w:tmpl w:val="CEDC4A2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1"/>
  </w:num>
  <w:num w:numId="4">
    <w:abstractNumId w:val="5"/>
  </w:num>
  <w:num w:numId="5">
    <w:abstractNumId w:val="14"/>
  </w:num>
  <w:num w:numId="6">
    <w:abstractNumId w:val="6"/>
  </w:num>
  <w:num w:numId="7">
    <w:abstractNumId w:val="0"/>
  </w:num>
  <w:num w:numId="8">
    <w:abstractNumId w:val="8"/>
  </w:num>
  <w:num w:numId="9">
    <w:abstractNumId w:val="2"/>
  </w:num>
  <w:num w:numId="10">
    <w:abstractNumId w:val="16"/>
  </w:num>
  <w:num w:numId="11">
    <w:abstractNumId w:val="15"/>
  </w:num>
  <w:num w:numId="12">
    <w:abstractNumId w:val="3"/>
  </w:num>
  <w:num w:numId="13">
    <w:abstractNumId w:val="4"/>
  </w:num>
  <w:num w:numId="14">
    <w:abstractNumId w:val="13"/>
  </w:num>
  <w:num w:numId="15">
    <w:abstractNumId w:val="9"/>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1B"/>
    <w:rsid w:val="00010710"/>
    <w:rsid w:val="000174E5"/>
    <w:rsid w:val="00022D82"/>
    <w:rsid w:val="00026236"/>
    <w:rsid w:val="00040B3B"/>
    <w:rsid w:val="000425CA"/>
    <w:rsid w:val="00042D94"/>
    <w:rsid w:val="0004644C"/>
    <w:rsid w:val="00047916"/>
    <w:rsid w:val="00056BFA"/>
    <w:rsid w:val="000576B1"/>
    <w:rsid w:val="00060D89"/>
    <w:rsid w:val="0006575F"/>
    <w:rsid w:val="00067A51"/>
    <w:rsid w:val="00071700"/>
    <w:rsid w:val="00074111"/>
    <w:rsid w:val="00085E8B"/>
    <w:rsid w:val="000A3D48"/>
    <w:rsid w:val="000B0B9E"/>
    <w:rsid w:val="000B11AA"/>
    <w:rsid w:val="000B616C"/>
    <w:rsid w:val="000B6C95"/>
    <w:rsid w:val="000C094F"/>
    <w:rsid w:val="000F092F"/>
    <w:rsid w:val="00103194"/>
    <w:rsid w:val="00106379"/>
    <w:rsid w:val="001069C6"/>
    <w:rsid w:val="00107890"/>
    <w:rsid w:val="00107E1D"/>
    <w:rsid w:val="00124352"/>
    <w:rsid w:val="0012538D"/>
    <w:rsid w:val="00132E2A"/>
    <w:rsid w:val="001359FD"/>
    <w:rsid w:val="00147493"/>
    <w:rsid w:val="00147ED4"/>
    <w:rsid w:val="0015157C"/>
    <w:rsid w:val="00154D19"/>
    <w:rsid w:val="00156989"/>
    <w:rsid w:val="001631E5"/>
    <w:rsid w:val="0017192A"/>
    <w:rsid w:val="00172BAC"/>
    <w:rsid w:val="0017347B"/>
    <w:rsid w:val="001753CD"/>
    <w:rsid w:val="0018413A"/>
    <w:rsid w:val="001848DD"/>
    <w:rsid w:val="00185033"/>
    <w:rsid w:val="00195DAF"/>
    <w:rsid w:val="001A0FE8"/>
    <w:rsid w:val="001B2DDD"/>
    <w:rsid w:val="001B5656"/>
    <w:rsid w:val="001C588B"/>
    <w:rsid w:val="001D022D"/>
    <w:rsid w:val="001D1402"/>
    <w:rsid w:val="001D4385"/>
    <w:rsid w:val="001D6FE2"/>
    <w:rsid w:val="001F7E32"/>
    <w:rsid w:val="002041B3"/>
    <w:rsid w:val="00215232"/>
    <w:rsid w:val="00215C1E"/>
    <w:rsid w:val="0021798B"/>
    <w:rsid w:val="00222CCA"/>
    <w:rsid w:val="00224F4C"/>
    <w:rsid w:val="002270BB"/>
    <w:rsid w:val="00230A35"/>
    <w:rsid w:val="002353C0"/>
    <w:rsid w:val="00256975"/>
    <w:rsid w:val="0026173E"/>
    <w:rsid w:val="00263CE9"/>
    <w:rsid w:val="00270022"/>
    <w:rsid w:val="00270033"/>
    <w:rsid w:val="00275639"/>
    <w:rsid w:val="00281325"/>
    <w:rsid w:val="0028797A"/>
    <w:rsid w:val="002A55C9"/>
    <w:rsid w:val="002A683D"/>
    <w:rsid w:val="002A6F7A"/>
    <w:rsid w:val="002B70E7"/>
    <w:rsid w:val="002C13F8"/>
    <w:rsid w:val="003063FB"/>
    <w:rsid w:val="003208AA"/>
    <w:rsid w:val="00330A59"/>
    <w:rsid w:val="00330CC7"/>
    <w:rsid w:val="00345280"/>
    <w:rsid w:val="00350398"/>
    <w:rsid w:val="00352974"/>
    <w:rsid w:val="0036262E"/>
    <w:rsid w:val="00373653"/>
    <w:rsid w:val="00383116"/>
    <w:rsid w:val="003A1787"/>
    <w:rsid w:val="003A78B3"/>
    <w:rsid w:val="003B4475"/>
    <w:rsid w:val="003B6B62"/>
    <w:rsid w:val="003C1737"/>
    <w:rsid w:val="003C786A"/>
    <w:rsid w:val="003D39AD"/>
    <w:rsid w:val="003D6F15"/>
    <w:rsid w:val="003E1105"/>
    <w:rsid w:val="00401234"/>
    <w:rsid w:val="00402939"/>
    <w:rsid w:val="00402FF3"/>
    <w:rsid w:val="004110D5"/>
    <w:rsid w:val="004252C4"/>
    <w:rsid w:val="00432BF9"/>
    <w:rsid w:val="0045028F"/>
    <w:rsid w:val="00455DF6"/>
    <w:rsid w:val="004601B5"/>
    <w:rsid w:val="004661A1"/>
    <w:rsid w:val="00472FDD"/>
    <w:rsid w:val="004805CD"/>
    <w:rsid w:val="00490227"/>
    <w:rsid w:val="004A0AC8"/>
    <w:rsid w:val="004A2E49"/>
    <w:rsid w:val="004A58BE"/>
    <w:rsid w:val="004A5E6A"/>
    <w:rsid w:val="004B47F7"/>
    <w:rsid w:val="004C1E81"/>
    <w:rsid w:val="004C6642"/>
    <w:rsid w:val="004E3521"/>
    <w:rsid w:val="004E5F3A"/>
    <w:rsid w:val="004F41FA"/>
    <w:rsid w:val="00503958"/>
    <w:rsid w:val="0051026B"/>
    <w:rsid w:val="005125E3"/>
    <w:rsid w:val="005155C1"/>
    <w:rsid w:val="005173B6"/>
    <w:rsid w:val="00526704"/>
    <w:rsid w:val="00527583"/>
    <w:rsid w:val="00536A65"/>
    <w:rsid w:val="0056190F"/>
    <w:rsid w:val="005678C9"/>
    <w:rsid w:val="00571C11"/>
    <w:rsid w:val="00577A7D"/>
    <w:rsid w:val="00580624"/>
    <w:rsid w:val="00582C99"/>
    <w:rsid w:val="00582F85"/>
    <w:rsid w:val="005915CC"/>
    <w:rsid w:val="005C3EA1"/>
    <w:rsid w:val="005C6BBF"/>
    <w:rsid w:val="005D3867"/>
    <w:rsid w:val="005F3090"/>
    <w:rsid w:val="005F30D9"/>
    <w:rsid w:val="005F551A"/>
    <w:rsid w:val="006028FC"/>
    <w:rsid w:val="00616212"/>
    <w:rsid w:val="00623522"/>
    <w:rsid w:val="006319AD"/>
    <w:rsid w:val="00647E4F"/>
    <w:rsid w:val="00650BCE"/>
    <w:rsid w:val="00652B9A"/>
    <w:rsid w:val="006566CF"/>
    <w:rsid w:val="00670BD6"/>
    <w:rsid w:val="00673C24"/>
    <w:rsid w:val="00680CD5"/>
    <w:rsid w:val="00681D6D"/>
    <w:rsid w:val="006935A4"/>
    <w:rsid w:val="00694D08"/>
    <w:rsid w:val="006A28A8"/>
    <w:rsid w:val="006A4244"/>
    <w:rsid w:val="006A4314"/>
    <w:rsid w:val="006B21A6"/>
    <w:rsid w:val="006B21F7"/>
    <w:rsid w:val="006B5C00"/>
    <w:rsid w:val="006C3CED"/>
    <w:rsid w:val="006C4F8C"/>
    <w:rsid w:val="006E11CA"/>
    <w:rsid w:val="006E4C53"/>
    <w:rsid w:val="006F4746"/>
    <w:rsid w:val="007019BF"/>
    <w:rsid w:val="007051BF"/>
    <w:rsid w:val="007079A7"/>
    <w:rsid w:val="00724D3D"/>
    <w:rsid w:val="00725262"/>
    <w:rsid w:val="0073221C"/>
    <w:rsid w:val="00743457"/>
    <w:rsid w:val="00744938"/>
    <w:rsid w:val="00745819"/>
    <w:rsid w:val="00751924"/>
    <w:rsid w:val="00762BB0"/>
    <w:rsid w:val="00763BDA"/>
    <w:rsid w:val="00783DA7"/>
    <w:rsid w:val="00790CB2"/>
    <w:rsid w:val="00794DC6"/>
    <w:rsid w:val="007B17F8"/>
    <w:rsid w:val="007C19CA"/>
    <w:rsid w:val="007C3F2B"/>
    <w:rsid w:val="007C4281"/>
    <w:rsid w:val="007D187B"/>
    <w:rsid w:val="007D42EB"/>
    <w:rsid w:val="007E086A"/>
    <w:rsid w:val="007E6D12"/>
    <w:rsid w:val="007F6787"/>
    <w:rsid w:val="007F7878"/>
    <w:rsid w:val="008058BF"/>
    <w:rsid w:val="00806B58"/>
    <w:rsid w:val="0081170F"/>
    <w:rsid w:val="00817487"/>
    <w:rsid w:val="00827005"/>
    <w:rsid w:val="0083108B"/>
    <w:rsid w:val="008418F9"/>
    <w:rsid w:val="0085015B"/>
    <w:rsid w:val="00867194"/>
    <w:rsid w:val="0088027C"/>
    <w:rsid w:val="00883091"/>
    <w:rsid w:val="00883766"/>
    <w:rsid w:val="0088667D"/>
    <w:rsid w:val="008971B8"/>
    <w:rsid w:val="008A4EAD"/>
    <w:rsid w:val="008C56A5"/>
    <w:rsid w:val="00902DD7"/>
    <w:rsid w:val="00907985"/>
    <w:rsid w:val="0093077C"/>
    <w:rsid w:val="00946A72"/>
    <w:rsid w:val="009643E0"/>
    <w:rsid w:val="009757E2"/>
    <w:rsid w:val="0099260C"/>
    <w:rsid w:val="009A029D"/>
    <w:rsid w:val="009A1E2C"/>
    <w:rsid w:val="009A1F49"/>
    <w:rsid w:val="009A23B5"/>
    <w:rsid w:val="009A6D3B"/>
    <w:rsid w:val="009B2613"/>
    <w:rsid w:val="009B39E0"/>
    <w:rsid w:val="009B6899"/>
    <w:rsid w:val="009D06FD"/>
    <w:rsid w:val="009D297E"/>
    <w:rsid w:val="009E0C44"/>
    <w:rsid w:val="009E4B0D"/>
    <w:rsid w:val="009F135E"/>
    <w:rsid w:val="009F4B02"/>
    <w:rsid w:val="00A1361E"/>
    <w:rsid w:val="00A14880"/>
    <w:rsid w:val="00A1621E"/>
    <w:rsid w:val="00A2657E"/>
    <w:rsid w:val="00A31E12"/>
    <w:rsid w:val="00A46DD5"/>
    <w:rsid w:val="00A53006"/>
    <w:rsid w:val="00A625C8"/>
    <w:rsid w:val="00A6369C"/>
    <w:rsid w:val="00A72C0A"/>
    <w:rsid w:val="00A83866"/>
    <w:rsid w:val="00A90D77"/>
    <w:rsid w:val="00A91821"/>
    <w:rsid w:val="00A91DF1"/>
    <w:rsid w:val="00A978C0"/>
    <w:rsid w:val="00AB2B86"/>
    <w:rsid w:val="00AB2CD4"/>
    <w:rsid w:val="00AB3710"/>
    <w:rsid w:val="00AB433C"/>
    <w:rsid w:val="00AB5827"/>
    <w:rsid w:val="00AC0E91"/>
    <w:rsid w:val="00AD30E4"/>
    <w:rsid w:val="00AE109D"/>
    <w:rsid w:val="00AE24C1"/>
    <w:rsid w:val="00AE28BA"/>
    <w:rsid w:val="00AE6ABD"/>
    <w:rsid w:val="00AF5803"/>
    <w:rsid w:val="00AF6243"/>
    <w:rsid w:val="00B00415"/>
    <w:rsid w:val="00B1797B"/>
    <w:rsid w:val="00B20783"/>
    <w:rsid w:val="00B224C1"/>
    <w:rsid w:val="00B22C8D"/>
    <w:rsid w:val="00B261F7"/>
    <w:rsid w:val="00B331AD"/>
    <w:rsid w:val="00B40019"/>
    <w:rsid w:val="00B40662"/>
    <w:rsid w:val="00B433B9"/>
    <w:rsid w:val="00B469FF"/>
    <w:rsid w:val="00B46AAF"/>
    <w:rsid w:val="00B47409"/>
    <w:rsid w:val="00B64ABA"/>
    <w:rsid w:val="00B66304"/>
    <w:rsid w:val="00B76120"/>
    <w:rsid w:val="00B82DB5"/>
    <w:rsid w:val="00B87F1A"/>
    <w:rsid w:val="00B909FA"/>
    <w:rsid w:val="00B934C0"/>
    <w:rsid w:val="00B93F88"/>
    <w:rsid w:val="00BB20C2"/>
    <w:rsid w:val="00BB51D1"/>
    <w:rsid w:val="00BC3B6B"/>
    <w:rsid w:val="00BC734C"/>
    <w:rsid w:val="00BD4838"/>
    <w:rsid w:val="00BD7669"/>
    <w:rsid w:val="00BE1132"/>
    <w:rsid w:val="00BE6232"/>
    <w:rsid w:val="00C06568"/>
    <w:rsid w:val="00C21990"/>
    <w:rsid w:val="00C224E2"/>
    <w:rsid w:val="00C3472A"/>
    <w:rsid w:val="00C366E9"/>
    <w:rsid w:val="00C445DE"/>
    <w:rsid w:val="00C72016"/>
    <w:rsid w:val="00C86349"/>
    <w:rsid w:val="00CA4CA6"/>
    <w:rsid w:val="00CA706D"/>
    <w:rsid w:val="00CB360E"/>
    <w:rsid w:val="00CB564E"/>
    <w:rsid w:val="00CC7593"/>
    <w:rsid w:val="00CD0F45"/>
    <w:rsid w:val="00CE0087"/>
    <w:rsid w:val="00CF7225"/>
    <w:rsid w:val="00D0203B"/>
    <w:rsid w:val="00D03089"/>
    <w:rsid w:val="00D10E81"/>
    <w:rsid w:val="00D3293B"/>
    <w:rsid w:val="00D3413F"/>
    <w:rsid w:val="00D43156"/>
    <w:rsid w:val="00D552EB"/>
    <w:rsid w:val="00D6477A"/>
    <w:rsid w:val="00D64D3E"/>
    <w:rsid w:val="00D771CA"/>
    <w:rsid w:val="00D82F3F"/>
    <w:rsid w:val="00D8498B"/>
    <w:rsid w:val="00D94286"/>
    <w:rsid w:val="00DA152E"/>
    <w:rsid w:val="00DA28E1"/>
    <w:rsid w:val="00DB3CCA"/>
    <w:rsid w:val="00DB4021"/>
    <w:rsid w:val="00DB4E8C"/>
    <w:rsid w:val="00DC10EC"/>
    <w:rsid w:val="00DC1C55"/>
    <w:rsid w:val="00DD1B54"/>
    <w:rsid w:val="00DD3A60"/>
    <w:rsid w:val="00DE6568"/>
    <w:rsid w:val="00DF22D9"/>
    <w:rsid w:val="00DF738B"/>
    <w:rsid w:val="00DF7C4F"/>
    <w:rsid w:val="00E01944"/>
    <w:rsid w:val="00E06FEB"/>
    <w:rsid w:val="00E07713"/>
    <w:rsid w:val="00E118F3"/>
    <w:rsid w:val="00E158E1"/>
    <w:rsid w:val="00E31AD9"/>
    <w:rsid w:val="00E35D71"/>
    <w:rsid w:val="00E55FD9"/>
    <w:rsid w:val="00E56514"/>
    <w:rsid w:val="00E60780"/>
    <w:rsid w:val="00E713F0"/>
    <w:rsid w:val="00E83EB3"/>
    <w:rsid w:val="00E840B7"/>
    <w:rsid w:val="00E90D5A"/>
    <w:rsid w:val="00E93691"/>
    <w:rsid w:val="00EC4AA1"/>
    <w:rsid w:val="00EC5402"/>
    <w:rsid w:val="00ED06DB"/>
    <w:rsid w:val="00ED5B38"/>
    <w:rsid w:val="00EE372B"/>
    <w:rsid w:val="00EE6AE5"/>
    <w:rsid w:val="00EF2C91"/>
    <w:rsid w:val="00F1042F"/>
    <w:rsid w:val="00F135DD"/>
    <w:rsid w:val="00F14B98"/>
    <w:rsid w:val="00F20108"/>
    <w:rsid w:val="00F201AB"/>
    <w:rsid w:val="00F23553"/>
    <w:rsid w:val="00F2577C"/>
    <w:rsid w:val="00F31220"/>
    <w:rsid w:val="00F318FC"/>
    <w:rsid w:val="00F33023"/>
    <w:rsid w:val="00F41AD0"/>
    <w:rsid w:val="00F4357C"/>
    <w:rsid w:val="00F45EC9"/>
    <w:rsid w:val="00F51CD9"/>
    <w:rsid w:val="00F6051B"/>
    <w:rsid w:val="00F607B5"/>
    <w:rsid w:val="00F655DF"/>
    <w:rsid w:val="00F749E7"/>
    <w:rsid w:val="00F8139B"/>
    <w:rsid w:val="00F94237"/>
    <w:rsid w:val="00F96106"/>
    <w:rsid w:val="00FA1CF7"/>
    <w:rsid w:val="00FA2B21"/>
    <w:rsid w:val="00FA5672"/>
    <w:rsid w:val="00FC7876"/>
    <w:rsid w:val="00FD2C6C"/>
    <w:rsid w:val="00FD5829"/>
    <w:rsid w:val="00FE0255"/>
    <w:rsid w:val="00FE0B30"/>
    <w:rsid w:val="00FE0F48"/>
    <w:rsid w:val="00FE6A90"/>
    <w:rsid w:val="00FF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uppressAutoHyphen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b/>
      <w:sz w:val="24"/>
    </w:rPr>
  </w:style>
  <w:style w:type="paragraph" w:styleId="BodyText2">
    <w:name w:val="Body Text 2"/>
    <w:basedOn w:val="Normal"/>
    <w:pPr>
      <w:suppressAutoHyphens/>
    </w:pPr>
    <w:rPr>
      <w:sz w:val="24"/>
    </w:rPr>
  </w:style>
  <w:style w:type="paragraph" w:styleId="Footer">
    <w:name w:val="footer"/>
    <w:basedOn w:val="Normal"/>
    <w:rsid w:val="0087223F"/>
    <w:pPr>
      <w:tabs>
        <w:tab w:val="center" w:pos="4320"/>
        <w:tab w:val="right" w:pos="8640"/>
      </w:tabs>
    </w:pPr>
  </w:style>
  <w:style w:type="character" w:styleId="PageNumber">
    <w:name w:val="page number"/>
    <w:basedOn w:val="DefaultParagraphFont"/>
    <w:rsid w:val="0087223F"/>
  </w:style>
  <w:style w:type="paragraph" w:styleId="Header">
    <w:name w:val="header"/>
    <w:basedOn w:val="Normal"/>
    <w:rsid w:val="00405972"/>
    <w:pPr>
      <w:tabs>
        <w:tab w:val="center" w:pos="4320"/>
        <w:tab w:val="right" w:pos="8640"/>
      </w:tabs>
    </w:pPr>
  </w:style>
  <w:style w:type="paragraph" w:styleId="FootnoteText">
    <w:name w:val="footnote text"/>
    <w:aliases w:val="ALTS FOOTNOTE,fn,Footnote Text Char1,Footnote Text Char Char,ALTS FOOTNOTE Char Char,fn Char Char,Footnote Text Char1 Char Char,Footnote Text Char Char Char Char,ALTS FOOTNOTE Char Char Char Char,fn Char Char Char Char,fn Char1,fn Char,f"/>
    <w:basedOn w:val="Normal"/>
    <w:link w:val="FootnoteTextChar"/>
    <w:semiHidden/>
    <w:rsid w:val="005728A3"/>
  </w:style>
  <w:style w:type="character" w:styleId="FootnoteReference">
    <w:name w:val="footnote reference"/>
    <w:aliases w:val="Style 12,(NECG) Footnote Reference,Style 13,Appel note de bas de p,Style 124,fr,o,Style 3,FR,Style 6,Style 17,Footnote Reference/"/>
    <w:semiHidden/>
    <w:rsid w:val="005728A3"/>
    <w:rPr>
      <w:vertAlign w:val="superscript"/>
    </w:rPr>
  </w:style>
  <w:style w:type="paragraph" w:styleId="BalloonText">
    <w:name w:val="Balloon Text"/>
    <w:basedOn w:val="Normal"/>
    <w:semiHidden/>
    <w:rsid w:val="00602D9A"/>
    <w:rPr>
      <w:rFonts w:ascii="Tahoma" w:hAnsi="Tahoma" w:cs="Tahoma"/>
      <w:sz w:val="16"/>
      <w:szCs w:val="16"/>
    </w:rPr>
  </w:style>
  <w:style w:type="table" w:styleId="TableGrid">
    <w:name w:val="Table Grid"/>
    <w:basedOn w:val="TableNormal"/>
    <w:rsid w:val="00EE4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69691D"/>
    <w:rPr>
      <w:rFonts w:ascii="Courier New" w:hAnsi="Courier New" w:cs="Courier New"/>
    </w:rPr>
  </w:style>
  <w:style w:type="character" w:customStyle="1" w:styleId="ptext-3">
    <w:name w:val="ptext-3"/>
    <w:rsid w:val="009070F0"/>
    <w:rPr>
      <w:rFonts w:cs="Times New Roman"/>
    </w:rPr>
  </w:style>
  <w:style w:type="character" w:styleId="CommentReference">
    <w:name w:val="annotation reference"/>
    <w:rsid w:val="00224F4C"/>
    <w:rPr>
      <w:sz w:val="16"/>
      <w:szCs w:val="16"/>
    </w:rPr>
  </w:style>
  <w:style w:type="paragraph" w:styleId="CommentText">
    <w:name w:val="annotation text"/>
    <w:basedOn w:val="Normal"/>
    <w:link w:val="CommentTextChar"/>
    <w:rsid w:val="00224F4C"/>
  </w:style>
  <w:style w:type="character" w:customStyle="1" w:styleId="CommentTextChar">
    <w:name w:val="Comment Text Char"/>
    <w:basedOn w:val="DefaultParagraphFont"/>
    <w:link w:val="CommentText"/>
    <w:rsid w:val="00224F4C"/>
  </w:style>
  <w:style w:type="character" w:customStyle="1" w:styleId="FootnoteTextChar">
    <w:name w:val="Footnote Text Char"/>
    <w:aliases w:val="ALTS FOOTNOTE Char1,fn Char3,Footnote Text Char1 Char1,Footnote Text Char Char Char1,ALTS FOOTNOTE Char Char Char1,fn Char Char Char1,Footnote Text Char1 Char Char Char1,Footnote Text Char Char Char Char Char1,fn Char1 Char,f Char"/>
    <w:basedOn w:val="DefaultParagraphFont"/>
    <w:link w:val="FootnoteText"/>
    <w:semiHidden/>
    <w:rsid w:val="00E06FEB"/>
  </w:style>
  <w:style w:type="character" w:customStyle="1" w:styleId="ALTSFOOTNOTEChar">
    <w:name w:val="ALTS FOOTNOTE Char"/>
    <w:aliases w:val="fn Char2,Footnote Text Char1 Char,Footnote Text Char Char Char,ALTS FOOTNOTE Char Char Char,fn Char Char Char,Footnote Text Char1 Char Char Char,Footnote Text Char Char Char Char Char,ALTS FOOTNOTE Char Char Char Char Char,f Char Char"/>
    <w:rsid w:val="00D10E81"/>
    <w:rPr>
      <w:lang w:val="en-US" w:eastAsia="en-US" w:bidi="ar-SA"/>
    </w:rPr>
  </w:style>
  <w:style w:type="character" w:styleId="Hyperlink">
    <w:name w:val="Hyperlink"/>
    <w:rsid w:val="007D42EB"/>
    <w:rPr>
      <w:color w:val="0000FF"/>
      <w:u w:val="single"/>
    </w:rPr>
  </w:style>
  <w:style w:type="paragraph" w:styleId="CommentSubject">
    <w:name w:val="annotation subject"/>
    <w:basedOn w:val="CommentText"/>
    <w:next w:val="CommentText"/>
    <w:semiHidden/>
    <w:rsid w:val="00827005"/>
    <w:rPr>
      <w:b/>
      <w:bCs/>
    </w:rPr>
  </w:style>
  <w:style w:type="paragraph" w:styleId="ListParagraph">
    <w:name w:val="List Paragraph"/>
    <w:basedOn w:val="Normal"/>
    <w:uiPriority w:val="34"/>
    <w:qFormat/>
    <w:rsid w:val="00B474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uppressAutoHyphen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b/>
      <w:sz w:val="24"/>
    </w:rPr>
  </w:style>
  <w:style w:type="paragraph" w:styleId="BodyText2">
    <w:name w:val="Body Text 2"/>
    <w:basedOn w:val="Normal"/>
    <w:pPr>
      <w:suppressAutoHyphens/>
    </w:pPr>
    <w:rPr>
      <w:sz w:val="24"/>
    </w:rPr>
  </w:style>
  <w:style w:type="paragraph" w:styleId="Footer">
    <w:name w:val="footer"/>
    <w:basedOn w:val="Normal"/>
    <w:rsid w:val="0087223F"/>
    <w:pPr>
      <w:tabs>
        <w:tab w:val="center" w:pos="4320"/>
        <w:tab w:val="right" w:pos="8640"/>
      </w:tabs>
    </w:pPr>
  </w:style>
  <w:style w:type="character" w:styleId="PageNumber">
    <w:name w:val="page number"/>
    <w:basedOn w:val="DefaultParagraphFont"/>
    <w:rsid w:val="0087223F"/>
  </w:style>
  <w:style w:type="paragraph" w:styleId="Header">
    <w:name w:val="header"/>
    <w:basedOn w:val="Normal"/>
    <w:rsid w:val="00405972"/>
    <w:pPr>
      <w:tabs>
        <w:tab w:val="center" w:pos="4320"/>
        <w:tab w:val="right" w:pos="8640"/>
      </w:tabs>
    </w:pPr>
  </w:style>
  <w:style w:type="paragraph" w:styleId="FootnoteText">
    <w:name w:val="footnote text"/>
    <w:aliases w:val="ALTS FOOTNOTE,fn,Footnote Text Char1,Footnote Text Char Char,ALTS FOOTNOTE Char Char,fn Char Char,Footnote Text Char1 Char Char,Footnote Text Char Char Char Char,ALTS FOOTNOTE Char Char Char Char,fn Char Char Char Char,fn Char1,fn Char,f"/>
    <w:basedOn w:val="Normal"/>
    <w:link w:val="FootnoteTextChar"/>
    <w:semiHidden/>
    <w:rsid w:val="005728A3"/>
  </w:style>
  <w:style w:type="character" w:styleId="FootnoteReference">
    <w:name w:val="footnote reference"/>
    <w:aliases w:val="Style 12,(NECG) Footnote Reference,Style 13,Appel note de bas de p,Style 124,fr,o,Style 3,FR,Style 6,Style 17,Footnote Reference/"/>
    <w:semiHidden/>
    <w:rsid w:val="005728A3"/>
    <w:rPr>
      <w:vertAlign w:val="superscript"/>
    </w:rPr>
  </w:style>
  <w:style w:type="paragraph" w:styleId="BalloonText">
    <w:name w:val="Balloon Text"/>
    <w:basedOn w:val="Normal"/>
    <w:semiHidden/>
    <w:rsid w:val="00602D9A"/>
    <w:rPr>
      <w:rFonts w:ascii="Tahoma" w:hAnsi="Tahoma" w:cs="Tahoma"/>
      <w:sz w:val="16"/>
      <w:szCs w:val="16"/>
    </w:rPr>
  </w:style>
  <w:style w:type="table" w:styleId="TableGrid">
    <w:name w:val="Table Grid"/>
    <w:basedOn w:val="TableNormal"/>
    <w:rsid w:val="00EE4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69691D"/>
    <w:rPr>
      <w:rFonts w:ascii="Courier New" w:hAnsi="Courier New" w:cs="Courier New"/>
    </w:rPr>
  </w:style>
  <w:style w:type="character" w:customStyle="1" w:styleId="ptext-3">
    <w:name w:val="ptext-3"/>
    <w:rsid w:val="009070F0"/>
    <w:rPr>
      <w:rFonts w:cs="Times New Roman"/>
    </w:rPr>
  </w:style>
  <w:style w:type="character" w:styleId="CommentReference">
    <w:name w:val="annotation reference"/>
    <w:rsid w:val="00224F4C"/>
    <w:rPr>
      <w:sz w:val="16"/>
      <w:szCs w:val="16"/>
    </w:rPr>
  </w:style>
  <w:style w:type="paragraph" w:styleId="CommentText">
    <w:name w:val="annotation text"/>
    <w:basedOn w:val="Normal"/>
    <w:link w:val="CommentTextChar"/>
    <w:rsid w:val="00224F4C"/>
  </w:style>
  <w:style w:type="character" w:customStyle="1" w:styleId="CommentTextChar">
    <w:name w:val="Comment Text Char"/>
    <w:basedOn w:val="DefaultParagraphFont"/>
    <w:link w:val="CommentText"/>
    <w:rsid w:val="00224F4C"/>
  </w:style>
  <w:style w:type="character" w:customStyle="1" w:styleId="FootnoteTextChar">
    <w:name w:val="Footnote Text Char"/>
    <w:aliases w:val="ALTS FOOTNOTE Char1,fn Char3,Footnote Text Char1 Char1,Footnote Text Char Char Char1,ALTS FOOTNOTE Char Char Char1,fn Char Char Char1,Footnote Text Char1 Char Char Char1,Footnote Text Char Char Char Char Char1,fn Char1 Char,f Char"/>
    <w:basedOn w:val="DefaultParagraphFont"/>
    <w:link w:val="FootnoteText"/>
    <w:semiHidden/>
    <w:rsid w:val="00E06FEB"/>
  </w:style>
  <w:style w:type="character" w:customStyle="1" w:styleId="ALTSFOOTNOTEChar">
    <w:name w:val="ALTS FOOTNOTE Char"/>
    <w:aliases w:val="fn Char2,Footnote Text Char1 Char,Footnote Text Char Char Char,ALTS FOOTNOTE Char Char Char,fn Char Char Char,Footnote Text Char1 Char Char Char,Footnote Text Char Char Char Char Char,ALTS FOOTNOTE Char Char Char Char Char,f Char Char"/>
    <w:rsid w:val="00D10E81"/>
    <w:rPr>
      <w:lang w:val="en-US" w:eastAsia="en-US" w:bidi="ar-SA"/>
    </w:rPr>
  </w:style>
  <w:style w:type="character" w:styleId="Hyperlink">
    <w:name w:val="Hyperlink"/>
    <w:rsid w:val="007D42EB"/>
    <w:rPr>
      <w:color w:val="0000FF"/>
      <w:u w:val="single"/>
    </w:rPr>
  </w:style>
  <w:style w:type="paragraph" w:styleId="CommentSubject">
    <w:name w:val="annotation subject"/>
    <w:basedOn w:val="CommentText"/>
    <w:next w:val="CommentText"/>
    <w:semiHidden/>
    <w:rsid w:val="00827005"/>
    <w:rPr>
      <w:b/>
      <w:bCs/>
    </w:rPr>
  </w:style>
  <w:style w:type="paragraph" w:styleId="ListParagraph">
    <w:name w:val="List Paragraph"/>
    <w:basedOn w:val="Normal"/>
    <w:uiPriority w:val="34"/>
    <w:qFormat/>
    <w:rsid w:val="00B47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640">
      <w:bodyDiv w:val="1"/>
      <w:marLeft w:val="0"/>
      <w:marRight w:val="0"/>
      <w:marTop w:val="0"/>
      <w:marBottom w:val="0"/>
      <w:divBdr>
        <w:top w:val="none" w:sz="0" w:space="0" w:color="auto"/>
        <w:left w:val="none" w:sz="0" w:space="0" w:color="auto"/>
        <w:bottom w:val="none" w:sz="0" w:space="0" w:color="auto"/>
        <w:right w:val="none" w:sz="0" w:space="0" w:color="auto"/>
      </w:divBdr>
    </w:div>
    <w:div w:id="50464731">
      <w:bodyDiv w:val="1"/>
      <w:marLeft w:val="26"/>
      <w:marRight w:val="26"/>
      <w:marTop w:val="26"/>
      <w:marBottom w:val="26"/>
      <w:divBdr>
        <w:top w:val="none" w:sz="0" w:space="0" w:color="auto"/>
        <w:left w:val="none" w:sz="0" w:space="0" w:color="auto"/>
        <w:bottom w:val="none" w:sz="0" w:space="0" w:color="auto"/>
        <w:right w:val="none" w:sz="0" w:space="0" w:color="auto"/>
      </w:divBdr>
      <w:divsChild>
        <w:div w:id="774714462">
          <w:marLeft w:val="0"/>
          <w:marRight w:val="0"/>
          <w:marTop w:val="0"/>
          <w:marBottom w:val="0"/>
          <w:divBdr>
            <w:top w:val="none" w:sz="0" w:space="0" w:color="auto"/>
            <w:left w:val="none" w:sz="0" w:space="0" w:color="auto"/>
            <w:bottom w:val="none" w:sz="0" w:space="0" w:color="auto"/>
            <w:right w:val="none" w:sz="0" w:space="0" w:color="auto"/>
          </w:divBdr>
          <w:divsChild>
            <w:div w:id="304553640">
              <w:marLeft w:val="40"/>
              <w:marRight w:val="40"/>
              <w:marTop w:val="40"/>
              <w:marBottom w:val="40"/>
              <w:divBdr>
                <w:top w:val="none" w:sz="0" w:space="0" w:color="auto"/>
                <w:left w:val="none" w:sz="0" w:space="0" w:color="auto"/>
                <w:bottom w:val="none" w:sz="0" w:space="0" w:color="auto"/>
                <w:right w:val="none" w:sz="0" w:space="0" w:color="auto"/>
              </w:divBdr>
              <w:divsChild>
                <w:div w:id="1404060997">
                  <w:marLeft w:val="0"/>
                  <w:marRight w:val="0"/>
                  <w:marTop w:val="0"/>
                  <w:marBottom w:val="0"/>
                  <w:divBdr>
                    <w:top w:val="none" w:sz="0" w:space="0" w:color="auto"/>
                    <w:left w:val="none" w:sz="0" w:space="0" w:color="auto"/>
                    <w:bottom w:val="none" w:sz="0" w:space="0" w:color="auto"/>
                    <w:right w:val="none" w:sz="0" w:space="0" w:color="auto"/>
                  </w:divBdr>
                  <w:divsChild>
                    <w:div w:id="153618219">
                      <w:marLeft w:val="0"/>
                      <w:marRight w:val="0"/>
                      <w:marTop w:val="0"/>
                      <w:marBottom w:val="0"/>
                      <w:divBdr>
                        <w:top w:val="none" w:sz="0" w:space="0" w:color="auto"/>
                        <w:left w:val="none" w:sz="0" w:space="0" w:color="auto"/>
                        <w:bottom w:val="none" w:sz="0" w:space="0" w:color="auto"/>
                        <w:right w:val="none" w:sz="0" w:space="0" w:color="auto"/>
                      </w:divBdr>
                    </w:div>
                    <w:div w:id="208029185">
                      <w:marLeft w:val="317"/>
                      <w:marRight w:val="0"/>
                      <w:marTop w:val="0"/>
                      <w:marBottom w:val="0"/>
                      <w:divBdr>
                        <w:top w:val="none" w:sz="0" w:space="0" w:color="auto"/>
                        <w:left w:val="none" w:sz="0" w:space="0" w:color="auto"/>
                        <w:bottom w:val="none" w:sz="0" w:space="0" w:color="auto"/>
                        <w:right w:val="none" w:sz="0" w:space="0" w:color="auto"/>
                      </w:divBdr>
                    </w:div>
                    <w:div w:id="302664000">
                      <w:marLeft w:val="317"/>
                      <w:marRight w:val="0"/>
                      <w:marTop w:val="0"/>
                      <w:marBottom w:val="0"/>
                      <w:divBdr>
                        <w:top w:val="none" w:sz="0" w:space="0" w:color="auto"/>
                        <w:left w:val="none" w:sz="0" w:space="0" w:color="auto"/>
                        <w:bottom w:val="none" w:sz="0" w:space="0" w:color="auto"/>
                        <w:right w:val="none" w:sz="0" w:space="0" w:color="auto"/>
                      </w:divBdr>
                    </w:div>
                    <w:div w:id="472453283">
                      <w:marLeft w:val="317"/>
                      <w:marRight w:val="0"/>
                      <w:marTop w:val="0"/>
                      <w:marBottom w:val="0"/>
                      <w:divBdr>
                        <w:top w:val="none" w:sz="0" w:space="0" w:color="auto"/>
                        <w:left w:val="none" w:sz="0" w:space="0" w:color="auto"/>
                        <w:bottom w:val="none" w:sz="0" w:space="0" w:color="auto"/>
                        <w:right w:val="none" w:sz="0" w:space="0" w:color="auto"/>
                      </w:divBdr>
                    </w:div>
                    <w:div w:id="679621429">
                      <w:marLeft w:val="317"/>
                      <w:marRight w:val="0"/>
                      <w:marTop w:val="0"/>
                      <w:marBottom w:val="0"/>
                      <w:divBdr>
                        <w:top w:val="none" w:sz="0" w:space="0" w:color="auto"/>
                        <w:left w:val="none" w:sz="0" w:space="0" w:color="auto"/>
                        <w:bottom w:val="none" w:sz="0" w:space="0" w:color="auto"/>
                        <w:right w:val="none" w:sz="0" w:space="0" w:color="auto"/>
                      </w:divBdr>
                    </w:div>
                    <w:div w:id="1016806340">
                      <w:marLeft w:val="0"/>
                      <w:marRight w:val="0"/>
                      <w:marTop w:val="0"/>
                      <w:marBottom w:val="0"/>
                      <w:divBdr>
                        <w:top w:val="none" w:sz="0" w:space="0" w:color="auto"/>
                        <w:left w:val="none" w:sz="0" w:space="0" w:color="auto"/>
                        <w:bottom w:val="none" w:sz="0" w:space="0" w:color="auto"/>
                        <w:right w:val="none" w:sz="0" w:space="0" w:color="auto"/>
                      </w:divBdr>
                    </w:div>
                    <w:div w:id="1130784581">
                      <w:marLeft w:val="317"/>
                      <w:marRight w:val="0"/>
                      <w:marTop w:val="0"/>
                      <w:marBottom w:val="0"/>
                      <w:divBdr>
                        <w:top w:val="none" w:sz="0" w:space="0" w:color="auto"/>
                        <w:left w:val="none" w:sz="0" w:space="0" w:color="auto"/>
                        <w:bottom w:val="none" w:sz="0" w:space="0" w:color="auto"/>
                        <w:right w:val="none" w:sz="0" w:space="0" w:color="auto"/>
                      </w:divBdr>
                    </w:div>
                    <w:div w:id="1293444092">
                      <w:marLeft w:val="317"/>
                      <w:marRight w:val="0"/>
                      <w:marTop w:val="0"/>
                      <w:marBottom w:val="0"/>
                      <w:divBdr>
                        <w:top w:val="none" w:sz="0" w:space="0" w:color="auto"/>
                        <w:left w:val="none" w:sz="0" w:space="0" w:color="auto"/>
                        <w:bottom w:val="none" w:sz="0" w:space="0" w:color="auto"/>
                        <w:right w:val="none" w:sz="0" w:space="0" w:color="auto"/>
                      </w:divBdr>
                    </w:div>
                    <w:div w:id="1403523421">
                      <w:marLeft w:val="0"/>
                      <w:marRight w:val="0"/>
                      <w:marTop w:val="0"/>
                      <w:marBottom w:val="0"/>
                      <w:divBdr>
                        <w:top w:val="none" w:sz="0" w:space="0" w:color="auto"/>
                        <w:left w:val="none" w:sz="0" w:space="0" w:color="auto"/>
                        <w:bottom w:val="none" w:sz="0" w:space="0" w:color="auto"/>
                        <w:right w:val="none" w:sz="0" w:space="0" w:color="auto"/>
                      </w:divBdr>
                    </w:div>
                    <w:div w:id="1584991171">
                      <w:marLeft w:val="317"/>
                      <w:marRight w:val="0"/>
                      <w:marTop w:val="0"/>
                      <w:marBottom w:val="0"/>
                      <w:divBdr>
                        <w:top w:val="none" w:sz="0" w:space="0" w:color="auto"/>
                        <w:left w:val="none" w:sz="0" w:space="0" w:color="auto"/>
                        <w:bottom w:val="none" w:sz="0" w:space="0" w:color="auto"/>
                        <w:right w:val="none" w:sz="0" w:space="0" w:color="auto"/>
                      </w:divBdr>
                    </w:div>
                    <w:div w:id="1594977310">
                      <w:marLeft w:val="317"/>
                      <w:marRight w:val="0"/>
                      <w:marTop w:val="0"/>
                      <w:marBottom w:val="0"/>
                      <w:divBdr>
                        <w:top w:val="none" w:sz="0" w:space="0" w:color="auto"/>
                        <w:left w:val="none" w:sz="0" w:space="0" w:color="auto"/>
                        <w:bottom w:val="none" w:sz="0" w:space="0" w:color="auto"/>
                        <w:right w:val="none" w:sz="0" w:space="0" w:color="auto"/>
                      </w:divBdr>
                    </w:div>
                    <w:div w:id="1761487322">
                      <w:marLeft w:val="0"/>
                      <w:marRight w:val="0"/>
                      <w:marTop w:val="0"/>
                      <w:marBottom w:val="0"/>
                      <w:divBdr>
                        <w:top w:val="none" w:sz="0" w:space="0" w:color="auto"/>
                        <w:left w:val="none" w:sz="0" w:space="0" w:color="auto"/>
                        <w:bottom w:val="none" w:sz="0" w:space="0" w:color="auto"/>
                        <w:right w:val="none" w:sz="0" w:space="0" w:color="auto"/>
                      </w:divBdr>
                    </w:div>
                    <w:div w:id="1792094354">
                      <w:marLeft w:val="317"/>
                      <w:marRight w:val="0"/>
                      <w:marTop w:val="0"/>
                      <w:marBottom w:val="0"/>
                      <w:divBdr>
                        <w:top w:val="none" w:sz="0" w:space="0" w:color="auto"/>
                        <w:left w:val="none" w:sz="0" w:space="0" w:color="auto"/>
                        <w:bottom w:val="none" w:sz="0" w:space="0" w:color="auto"/>
                        <w:right w:val="none" w:sz="0" w:space="0" w:color="auto"/>
                      </w:divBdr>
                    </w:div>
                    <w:div w:id="1849902861">
                      <w:marLeft w:val="0"/>
                      <w:marRight w:val="0"/>
                      <w:marTop w:val="0"/>
                      <w:marBottom w:val="0"/>
                      <w:divBdr>
                        <w:top w:val="none" w:sz="0" w:space="0" w:color="auto"/>
                        <w:left w:val="none" w:sz="0" w:space="0" w:color="auto"/>
                        <w:bottom w:val="none" w:sz="0" w:space="0" w:color="auto"/>
                        <w:right w:val="none" w:sz="0" w:space="0" w:color="auto"/>
                      </w:divBdr>
                    </w:div>
                    <w:div w:id="18635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7492">
      <w:bodyDiv w:val="1"/>
      <w:marLeft w:val="26"/>
      <w:marRight w:val="26"/>
      <w:marTop w:val="26"/>
      <w:marBottom w:val="26"/>
      <w:divBdr>
        <w:top w:val="none" w:sz="0" w:space="0" w:color="auto"/>
        <w:left w:val="none" w:sz="0" w:space="0" w:color="auto"/>
        <w:bottom w:val="none" w:sz="0" w:space="0" w:color="auto"/>
        <w:right w:val="none" w:sz="0" w:space="0" w:color="auto"/>
      </w:divBdr>
      <w:divsChild>
        <w:div w:id="1408765049">
          <w:marLeft w:val="0"/>
          <w:marRight w:val="0"/>
          <w:marTop w:val="0"/>
          <w:marBottom w:val="0"/>
          <w:divBdr>
            <w:top w:val="none" w:sz="0" w:space="0" w:color="auto"/>
            <w:left w:val="none" w:sz="0" w:space="0" w:color="auto"/>
            <w:bottom w:val="none" w:sz="0" w:space="0" w:color="auto"/>
            <w:right w:val="none" w:sz="0" w:space="0" w:color="auto"/>
          </w:divBdr>
          <w:divsChild>
            <w:div w:id="1482499417">
              <w:marLeft w:val="40"/>
              <w:marRight w:val="40"/>
              <w:marTop w:val="40"/>
              <w:marBottom w:val="40"/>
              <w:divBdr>
                <w:top w:val="none" w:sz="0" w:space="0" w:color="auto"/>
                <w:left w:val="none" w:sz="0" w:space="0" w:color="auto"/>
                <w:bottom w:val="none" w:sz="0" w:space="0" w:color="auto"/>
                <w:right w:val="none" w:sz="0" w:space="0" w:color="auto"/>
              </w:divBdr>
              <w:divsChild>
                <w:div w:id="333606014">
                  <w:marLeft w:val="0"/>
                  <w:marRight w:val="0"/>
                  <w:marTop w:val="0"/>
                  <w:marBottom w:val="0"/>
                  <w:divBdr>
                    <w:top w:val="none" w:sz="0" w:space="0" w:color="auto"/>
                    <w:left w:val="none" w:sz="0" w:space="0" w:color="auto"/>
                    <w:bottom w:val="none" w:sz="0" w:space="0" w:color="auto"/>
                    <w:right w:val="none" w:sz="0" w:space="0" w:color="auto"/>
                  </w:divBdr>
                  <w:divsChild>
                    <w:div w:id="21710830">
                      <w:marLeft w:val="0"/>
                      <w:marRight w:val="0"/>
                      <w:marTop w:val="0"/>
                      <w:marBottom w:val="0"/>
                      <w:divBdr>
                        <w:top w:val="none" w:sz="0" w:space="0" w:color="auto"/>
                        <w:left w:val="none" w:sz="0" w:space="0" w:color="auto"/>
                        <w:bottom w:val="none" w:sz="0" w:space="0" w:color="auto"/>
                        <w:right w:val="none" w:sz="0" w:space="0" w:color="auto"/>
                      </w:divBdr>
                    </w:div>
                    <w:div w:id="35669086">
                      <w:marLeft w:val="0"/>
                      <w:marRight w:val="0"/>
                      <w:marTop w:val="0"/>
                      <w:marBottom w:val="0"/>
                      <w:divBdr>
                        <w:top w:val="none" w:sz="0" w:space="0" w:color="auto"/>
                        <w:left w:val="none" w:sz="0" w:space="0" w:color="auto"/>
                        <w:bottom w:val="none" w:sz="0" w:space="0" w:color="auto"/>
                        <w:right w:val="none" w:sz="0" w:space="0" w:color="auto"/>
                      </w:divBdr>
                    </w:div>
                    <w:div w:id="36979161">
                      <w:marLeft w:val="317"/>
                      <w:marRight w:val="0"/>
                      <w:marTop w:val="0"/>
                      <w:marBottom w:val="0"/>
                      <w:divBdr>
                        <w:top w:val="none" w:sz="0" w:space="0" w:color="auto"/>
                        <w:left w:val="none" w:sz="0" w:space="0" w:color="auto"/>
                        <w:bottom w:val="none" w:sz="0" w:space="0" w:color="auto"/>
                        <w:right w:val="none" w:sz="0" w:space="0" w:color="auto"/>
                      </w:divBdr>
                    </w:div>
                    <w:div w:id="61954501">
                      <w:marLeft w:val="0"/>
                      <w:marRight w:val="0"/>
                      <w:marTop w:val="0"/>
                      <w:marBottom w:val="0"/>
                      <w:divBdr>
                        <w:top w:val="none" w:sz="0" w:space="0" w:color="auto"/>
                        <w:left w:val="none" w:sz="0" w:space="0" w:color="auto"/>
                        <w:bottom w:val="none" w:sz="0" w:space="0" w:color="auto"/>
                        <w:right w:val="none" w:sz="0" w:space="0" w:color="auto"/>
                      </w:divBdr>
                    </w:div>
                    <w:div w:id="80104550">
                      <w:marLeft w:val="317"/>
                      <w:marRight w:val="0"/>
                      <w:marTop w:val="0"/>
                      <w:marBottom w:val="0"/>
                      <w:divBdr>
                        <w:top w:val="none" w:sz="0" w:space="0" w:color="auto"/>
                        <w:left w:val="none" w:sz="0" w:space="0" w:color="auto"/>
                        <w:bottom w:val="none" w:sz="0" w:space="0" w:color="auto"/>
                        <w:right w:val="none" w:sz="0" w:space="0" w:color="auto"/>
                      </w:divBdr>
                    </w:div>
                    <w:div w:id="234097451">
                      <w:marLeft w:val="0"/>
                      <w:marRight w:val="0"/>
                      <w:marTop w:val="0"/>
                      <w:marBottom w:val="0"/>
                      <w:divBdr>
                        <w:top w:val="none" w:sz="0" w:space="0" w:color="auto"/>
                        <w:left w:val="none" w:sz="0" w:space="0" w:color="auto"/>
                        <w:bottom w:val="none" w:sz="0" w:space="0" w:color="auto"/>
                        <w:right w:val="none" w:sz="0" w:space="0" w:color="auto"/>
                      </w:divBdr>
                    </w:div>
                    <w:div w:id="247156388">
                      <w:marLeft w:val="0"/>
                      <w:marRight w:val="0"/>
                      <w:marTop w:val="0"/>
                      <w:marBottom w:val="0"/>
                      <w:divBdr>
                        <w:top w:val="none" w:sz="0" w:space="0" w:color="auto"/>
                        <w:left w:val="none" w:sz="0" w:space="0" w:color="auto"/>
                        <w:bottom w:val="none" w:sz="0" w:space="0" w:color="auto"/>
                        <w:right w:val="none" w:sz="0" w:space="0" w:color="auto"/>
                      </w:divBdr>
                    </w:div>
                    <w:div w:id="291713805">
                      <w:marLeft w:val="0"/>
                      <w:marRight w:val="0"/>
                      <w:marTop w:val="0"/>
                      <w:marBottom w:val="0"/>
                      <w:divBdr>
                        <w:top w:val="none" w:sz="0" w:space="0" w:color="auto"/>
                        <w:left w:val="none" w:sz="0" w:space="0" w:color="auto"/>
                        <w:bottom w:val="none" w:sz="0" w:space="0" w:color="auto"/>
                        <w:right w:val="none" w:sz="0" w:space="0" w:color="auto"/>
                      </w:divBdr>
                    </w:div>
                    <w:div w:id="298534156">
                      <w:marLeft w:val="0"/>
                      <w:marRight w:val="0"/>
                      <w:marTop w:val="0"/>
                      <w:marBottom w:val="0"/>
                      <w:divBdr>
                        <w:top w:val="none" w:sz="0" w:space="0" w:color="auto"/>
                        <w:left w:val="none" w:sz="0" w:space="0" w:color="auto"/>
                        <w:bottom w:val="none" w:sz="0" w:space="0" w:color="auto"/>
                        <w:right w:val="none" w:sz="0" w:space="0" w:color="auto"/>
                      </w:divBdr>
                    </w:div>
                    <w:div w:id="349262542">
                      <w:marLeft w:val="317"/>
                      <w:marRight w:val="0"/>
                      <w:marTop w:val="0"/>
                      <w:marBottom w:val="0"/>
                      <w:divBdr>
                        <w:top w:val="none" w:sz="0" w:space="0" w:color="auto"/>
                        <w:left w:val="none" w:sz="0" w:space="0" w:color="auto"/>
                        <w:bottom w:val="none" w:sz="0" w:space="0" w:color="auto"/>
                        <w:right w:val="none" w:sz="0" w:space="0" w:color="auto"/>
                      </w:divBdr>
                    </w:div>
                    <w:div w:id="578831748">
                      <w:marLeft w:val="317"/>
                      <w:marRight w:val="0"/>
                      <w:marTop w:val="0"/>
                      <w:marBottom w:val="0"/>
                      <w:divBdr>
                        <w:top w:val="none" w:sz="0" w:space="0" w:color="auto"/>
                        <w:left w:val="none" w:sz="0" w:space="0" w:color="auto"/>
                        <w:bottom w:val="none" w:sz="0" w:space="0" w:color="auto"/>
                        <w:right w:val="none" w:sz="0" w:space="0" w:color="auto"/>
                      </w:divBdr>
                    </w:div>
                    <w:div w:id="1146821954">
                      <w:marLeft w:val="317"/>
                      <w:marRight w:val="0"/>
                      <w:marTop w:val="0"/>
                      <w:marBottom w:val="0"/>
                      <w:divBdr>
                        <w:top w:val="none" w:sz="0" w:space="0" w:color="auto"/>
                        <w:left w:val="none" w:sz="0" w:space="0" w:color="auto"/>
                        <w:bottom w:val="none" w:sz="0" w:space="0" w:color="auto"/>
                        <w:right w:val="none" w:sz="0" w:space="0" w:color="auto"/>
                      </w:divBdr>
                    </w:div>
                    <w:div w:id="1152061612">
                      <w:marLeft w:val="317"/>
                      <w:marRight w:val="0"/>
                      <w:marTop w:val="0"/>
                      <w:marBottom w:val="0"/>
                      <w:divBdr>
                        <w:top w:val="none" w:sz="0" w:space="0" w:color="auto"/>
                        <w:left w:val="none" w:sz="0" w:space="0" w:color="auto"/>
                        <w:bottom w:val="none" w:sz="0" w:space="0" w:color="auto"/>
                        <w:right w:val="none" w:sz="0" w:space="0" w:color="auto"/>
                      </w:divBdr>
                    </w:div>
                    <w:div w:id="1342469949">
                      <w:marLeft w:val="317"/>
                      <w:marRight w:val="0"/>
                      <w:marTop w:val="0"/>
                      <w:marBottom w:val="0"/>
                      <w:divBdr>
                        <w:top w:val="none" w:sz="0" w:space="0" w:color="auto"/>
                        <w:left w:val="none" w:sz="0" w:space="0" w:color="auto"/>
                        <w:bottom w:val="none" w:sz="0" w:space="0" w:color="auto"/>
                        <w:right w:val="none" w:sz="0" w:space="0" w:color="auto"/>
                      </w:divBdr>
                    </w:div>
                    <w:div w:id="1589534675">
                      <w:marLeft w:val="317"/>
                      <w:marRight w:val="0"/>
                      <w:marTop w:val="0"/>
                      <w:marBottom w:val="0"/>
                      <w:divBdr>
                        <w:top w:val="none" w:sz="0" w:space="0" w:color="auto"/>
                        <w:left w:val="none" w:sz="0" w:space="0" w:color="auto"/>
                        <w:bottom w:val="none" w:sz="0" w:space="0" w:color="auto"/>
                        <w:right w:val="none" w:sz="0" w:space="0" w:color="auto"/>
                      </w:divBdr>
                    </w:div>
                    <w:div w:id="1926038639">
                      <w:marLeft w:val="317"/>
                      <w:marRight w:val="0"/>
                      <w:marTop w:val="0"/>
                      <w:marBottom w:val="0"/>
                      <w:divBdr>
                        <w:top w:val="none" w:sz="0" w:space="0" w:color="auto"/>
                        <w:left w:val="none" w:sz="0" w:space="0" w:color="auto"/>
                        <w:bottom w:val="none" w:sz="0" w:space="0" w:color="auto"/>
                        <w:right w:val="none" w:sz="0" w:space="0" w:color="auto"/>
                      </w:divBdr>
                    </w:div>
                    <w:div w:id="1977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41851">
      <w:bodyDiv w:val="1"/>
      <w:marLeft w:val="26"/>
      <w:marRight w:val="26"/>
      <w:marTop w:val="26"/>
      <w:marBottom w:val="26"/>
      <w:divBdr>
        <w:top w:val="none" w:sz="0" w:space="0" w:color="auto"/>
        <w:left w:val="none" w:sz="0" w:space="0" w:color="auto"/>
        <w:bottom w:val="none" w:sz="0" w:space="0" w:color="auto"/>
        <w:right w:val="none" w:sz="0" w:space="0" w:color="auto"/>
      </w:divBdr>
      <w:divsChild>
        <w:div w:id="1265771037">
          <w:marLeft w:val="0"/>
          <w:marRight w:val="0"/>
          <w:marTop w:val="0"/>
          <w:marBottom w:val="0"/>
          <w:divBdr>
            <w:top w:val="none" w:sz="0" w:space="0" w:color="auto"/>
            <w:left w:val="none" w:sz="0" w:space="0" w:color="auto"/>
            <w:bottom w:val="none" w:sz="0" w:space="0" w:color="auto"/>
            <w:right w:val="none" w:sz="0" w:space="0" w:color="auto"/>
          </w:divBdr>
          <w:divsChild>
            <w:div w:id="1908153548">
              <w:marLeft w:val="40"/>
              <w:marRight w:val="40"/>
              <w:marTop w:val="40"/>
              <w:marBottom w:val="40"/>
              <w:divBdr>
                <w:top w:val="none" w:sz="0" w:space="0" w:color="auto"/>
                <w:left w:val="none" w:sz="0" w:space="0" w:color="auto"/>
                <w:bottom w:val="none" w:sz="0" w:space="0" w:color="auto"/>
                <w:right w:val="none" w:sz="0" w:space="0" w:color="auto"/>
              </w:divBdr>
              <w:divsChild>
                <w:div w:id="89857269">
                  <w:marLeft w:val="0"/>
                  <w:marRight w:val="0"/>
                  <w:marTop w:val="0"/>
                  <w:marBottom w:val="0"/>
                  <w:divBdr>
                    <w:top w:val="none" w:sz="0" w:space="0" w:color="auto"/>
                    <w:left w:val="none" w:sz="0" w:space="0" w:color="auto"/>
                    <w:bottom w:val="none" w:sz="0" w:space="0" w:color="auto"/>
                    <w:right w:val="none" w:sz="0" w:space="0" w:color="auto"/>
                  </w:divBdr>
                  <w:divsChild>
                    <w:div w:id="1678264448">
                      <w:marLeft w:val="317"/>
                      <w:marRight w:val="0"/>
                      <w:marTop w:val="0"/>
                      <w:marBottom w:val="0"/>
                      <w:divBdr>
                        <w:top w:val="none" w:sz="0" w:space="0" w:color="auto"/>
                        <w:left w:val="none" w:sz="0" w:space="0" w:color="auto"/>
                        <w:bottom w:val="none" w:sz="0" w:space="0" w:color="auto"/>
                        <w:right w:val="none" w:sz="0" w:space="0" w:color="auto"/>
                      </w:divBdr>
                    </w:div>
                    <w:div w:id="1968854029">
                      <w:marLeft w:val="3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48177">
      <w:bodyDiv w:val="1"/>
      <w:marLeft w:val="0"/>
      <w:marRight w:val="0"/>
      <w:marTop w:val="0"/>
      <w:marBottom w:val="0"/>
      <w:divBdr>
        <w:top w:val="none" w:sz="0" w:space="0" w:color="auto"/>
        <w:left w:val="none" w:sz="0" w:space="0" w:color="auto"/>
        <w:bottom w:val="none" w:sz="0" w:space="0" w:color="auto"/>
        <w:right w:val="none" w:sz="0" w:space="0" w:color="auto"/>
      </w:divBdr>
    </w:div>
    <w:div w:id="1460689746">
      <w:bodyDiv w:val="1"/>
      <w:marLeft w:val="0"/>
      <w:marRight w:val="0"/>
      <w:marTop w:val="0"/>
      <w:marBottom w:val="0"/>
      <w:divBdr>
        <w:top w:val="none" w:sz="0" w:space="0" w:color="auto"/>
        <w:left w:val="none" w:sz="0" w:space="0" w:color="auto"/>
        <w:bottom w:val="none" w:sz="0" w:space="0" w:color="auto"/>
        <w:right w:val="none" w:sz="0" w:space="0" w:color="auto"/>
      </w:divBdr>
    </w:div>
    <w:div w:id="1609460092">
      <w:bodyDiv w:val="1"/>
      <w:marLeft w:val="0"/>
      <w:marRight w:val="0"/>
      <w:marTop w:val="0"/>
      <w:marBottom w:val="0"/>
      <w:divBdr>
        <w:top w:val="none" w:sz="0" w:space="0" w:color="auto"/>
        <w:left w:val="none" w:sz="0" w:space="0" w:color="auto"/>
        <w:bottom w:val="none" w:sz="0" w:space="0" w:color="auto"/>
        <w:right w:val="none" w:sz="0" w:space="0" w:color="auto"/>
      </w:divBdr>
      <w:divsChild>
        <w:div w:id="1079718891">
          <w:marLeft w:val="0"/>
          <w:marRight w:val="0"/>
          <w:marTop w:val="0"/>
          <w:marBottom w:val="0"/>
          <w:divBdr>
            <w:top w:val="none" w:sz="0" w:space="0" w:color="auto"/>
            <w:left w:val="none" w:sz="0" w:space="0" w:color="auto"/>
            <w:bottom w:val="none" w:sz="0" w:space="0" w:color="auto"/>
            <w:right w:val="none" w:sz="0" w:space="0" w:color="auto"/>
          </w:divBdr>
          <w:divsChild>
            <w:div w:id="1976636322">
              <w:marLeft w:val="0"/>
              <w:marRight w:val="0"/>
              <w:marTop w:val="0"/>
              <w:marBottom w:val="0"/>
              <w:divBdr>
                <w:top w:val="none" w:sz="0" w:space="0" w:color="auto"/>
                <w:left w:val="none" w:sz="0" w:space="0" w:color="auto"/>
                <w:bottom w:val="none" w:sz="0" w:space="0" w:color="auto"/>
                <w:right w:val="none" w:sz="0" w:space="0" w:color="auto"/>
              </w:divBdr>
              <w:divsChild>
                <w:div w:id="1987473235">
                  <w:marLeft w:val="0"/>
                  <w:marRight w:val="0"/>
                  <w:marTop w:val="0"/>
                  <w:marBottom w:val="0"/>
                  <w:divBdr>
                    <w:top w:val="none" w:sz="0" w:space="0" w:color="auto"/>
                    <w:left w:val="none" w:sz="0" w:space="0" w:color="auto"/>
                    <w:bottom w:val="none" w:sz="0" w:space="0" w:color="auto"/>
                    <w:right w:val="none" w:sz="0" w:space="0" w:color="auto"/>
                  </w:divBdr>
                  <w:divsChild>
                    <w:div w:id="18050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9162">
      <w:bodyDiv w:val="1"/>
      <w:marLeft w:val="0"/>
      <w:marRight w:val="0"/>
      <w:marTop w:val="0"/>
      <w:marBottom w:val="0"/>
      <w:divBdr>
        <w:top w:val="none" w:sz="0" w:space="0" w:color="auto"/>
        <w:left w:val="none" w:sz="0" w:space="0" w:color="auto"/>
        <w:bottom w:val="none" w:sz="0" w:space="0" w:color="auto"/>
        <w:right w:val="none" w:sz="0" w:space="0" w:color="auto"/>
      </w:divBdr>
      <w:divsChild>
        <w:div w:id="1413431887">
          <w:marLeft w:val="0"/>
          <w:marRight w:val="0"/>
          <w:marTop w:val="0"/>
          <w:marBottom w:val="0"/>
          <w:divBdr>
            <w:top w:val="none" w:sz="0" w:space="0" w:color="auto"/>
            <w:left w:val="none" w:sz="0" w:space="0" w:color="auto"/>
            <w:bottom w:val="none" w:sz="0" w:space="0" w:color="auto"/>
            <w:right w:val="none" w:sz="0" w:space="0" w:color="auto"/>
          </w:divBdr>
          <w:divsChild>
            <w:div w:id="105775670">
              <w:marLeft w:val="0"/>
              <w:marRight w:val="0"/>
              <w:marTop w:val="0"/>
              <w:marBottom w:val="0"/>
              <w:divBdr>
                <w:top w:val="none" w:sz="0" w:space="0" w:color="auto"/>
                <w:left w:val="none" w:sz="0" w:space="0" w:color="auto"/>
                <w:bottom w:val="none" w:sz="0" w:space="0" w:color="auto"/>
                <w:right w:val="none" w:sz="0" w:space="0" w:color="auto"/>
              </w:divBdr>
              <w:divsChild>
                <w:div w:id="660428242">
                  <w:marLeft w:val="0"/>
                  <w:marRight w:val="0"/>
                  <w:marTop w:val="0"/>
                  <w:marBottom w:val="0"/>
                  <w:divBdr>
                    <w:top w:val="none" w:sz="0" w:space="0" w:color="auto"/>
                    <w:left w:val="none" w:sz="0" w:space="0" w:color="auto"/>
                    <w:bottom w:val="none" w:sz="0" w:space="0" w:color="auto"/>
                    <w:right w:val="none" w:sz="0" w:space="0" w:color="auto"/>
                  </w:divBdr>
                  <w:divsChild>
                    <w:div w:id="530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3156</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20452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SGERMAN</dc:creator>
  <cp:lastModifiedBy>Leslie F Smith</cp:lastModifiedBy>
  <cp:revision>5</cp:revision>
  <cp:lastPrinted>2011-07-07T12:20:00Z</cp:lastPrinted>
  <dcterms:created xsi:type="dcterms:W3CDTF">2014-09-22T22:26:00Z</dcterms:created>
  <dcterms:modified xsi:type="dcterms:W3CDTF">2014-09-22T22:27:00Z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sAAA4E8dREqJqIpfF/YB6AIrwahxjoBM4Lp4N46hORLETXU=</vt:lpwstr>
  </property>
  <property fmtid="{D5CDD505-2E9C-101B-9397-08002B2CF9AE}" pid="3" name="MAIL_MSG_ID1">
    <vt:lpwstr>oFAAspTNh41gn7DRHS+T1NJsT9fF/qT1A1IfLKzB3QtUQIdgA0T0TkkENHnWiEPLVNaWrHcRD09Zv2ym_x000d_
iur9k7DFMTAQsC1jpufBH8ozfk4yBORcDsr3bnnto4WoRMs/L18M7LDeLpZ8WrNM754F4xB7eQeh_x000d_
46uOkSrtNSwQfQYRB2a1m8+RVEMgwg+x8djTdXAJTOOSOGFiddS9cASmhEqSRssycpi3CAW9QKyi_x000d_
N0DH0QbsaxYftym0c</vt:lpwstr>
  </property>
  <property fmtid="{D5CDD505-2E9C-101B-9397-08002B2CF9AE}" pid="4" name="MAIL_MSG_ID2">
    <vt:lpwstr>4qFqZIGINkfQhDgqE3WEgeQI1+fTf6wX01iI7Ao1mfy+QVncutXqA2LNQ6r_x000d_
dQ8vPvdNz9ubU3SqwHNI0+yMQ7qlcoqsNgFbY906pHx/1TR3</vt:lpwstr>
  </property>
  <property fmtid="{D5CDD505-2E9C-101B-9397-08002B2CF9AE}" pid="5" name="EMAIL_OWNER_ADDRESS">
    <vt:lpwstr>4AAAyjQjm0EOGgLIgtTlPVPbLIhZprywdS6l4yUXjDHd8nP1po0sBEWV/g==</vt:lpwstr>
  </property>
</Properties>
</file>