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F6" w:rsidRPr="0055103B" w:rsidRDefault="00F04BF6" w:rsidP="00F04BF6">
      <w:pPr>
        <w:jc w:val="center"/>
        <w:rPr>
          <w:b/>
        </w:rPr>
      </w:pPr>
      <w:r w:rsidRPr="0055103B">
        <w:rPr>
          <w:b/>
        </w:rPr>
        <w:t>Justification for Non-Substantive Change</w:t>
      </w:r>
    </w:p>
    <w:p w:rsidR="00F04BF6" w:rsidRPr="0055103B" w:rsidRDefault="00F04BF6" w:rsidP="00F04BF6">
      <w:pPr>
        <w:jc w:val="center"/>
        <w:rPr>
          <w:b/>
        </w:rPr>
      </w:pPr>
      <w:r w:rsidRPr="0055103B">
        <w:rPr>
          <w:b/>
        </w:rPr>
        <w:t xml:space="preserve">EPA ICR </w:t>
      </w:r>
      <w:r>
        <w:rPr>
          <w:b/>
        </w:rPr>
        <w:t>2456.</w:t>
      </w:r>
      <w:r w:rsidR="008808E9">
        <w:rPr>
          <w:b/>
        </w:rPr>
        <w:t>02</w:t>
      </w:r>
      <w:r w:rsidRPr="0055103B">
        <w:rPr>
          <w:b/>
        </w:rPr>
        <w:t>, OMB 20</w:t>
      </w:r>
      <w:r>
        <w:rPr>
          <w:b/>
        </w:rPr>
        <w:t>1</w:t>
      </w:r>
      <w:r w:rsidRPr="0055103B">
        <w:rPr>
          <w:b/>
        </w:rPr>
        <w:t>0-</w:t>
      </w:r>
      <w:r w:rsidR="008808E9">
        <w:rPr>
          <w:b/>
        </w:rPr>
        <w:t>00</w:t>
      </w:r>
      <w:r>
        <w:rPr>
          <w:b/>
        </w:rPr>
        <w:t>43</w:t>
      </w:r>
    </w:p>
    <w:p w:rsidR="00F04BF6" w:rsidRPr="00F04BF6" w:rsidRDefault="00F04BF6" w:rsidP="00F04BF6"/>
    <w:p w:rsidR="00F04BF6" w:rsidRPr="00F04BF6" w:rsidRDefault="00F04BF6" w:rsidP="00F04BF6">
      <w:pPr>
        <w:jc w:val="center"/>
        <w:rPr>
          <w:b/>
        </w:rPr>
      </w:pPr>
      <w:r w:rsidRPr="00F04BF6">
        <w:rPr>
          <w:b/>
        </w:rPr>
        <w:t xml:space="preserve">Willingness to Pay Survey for </w:t>
      </w:r>
      <w:r w:rsidR="008808E9">
        <w:rPr>
          <w:b/>
        </w:rPr>
        <w:t>Improved Water Quality in the Chesapeake Bay</w:t>
      </w:r>
    </w:p>
    <w:p w:rsidR="00F04BF6" w:rsidRDefault="00F04BF6" w:rsidP="00F04BF6"/>
    <w:p w:rsidR="00D617F4" w:rsidRDefault="00D617F4"/>
    <w:p w:rsidR="00026C25" w:rsidRDefault="00026C25">
      <w:r w:rsidRPr="00EB2DAA">
        <w:t>EPA submitted an</w:t>
      </w:r>
      <w:r w:rsidR="004D3B5E">
        <w:t xml:space="preserve"> Information Collection Request</w:t>
      </w:r>
      <w:r w:rsidRPr="00EB2DAA">
        <w:t xml:space="preserve"> </w:t>
      </w:r>
      <w:r w:rsidR="004D3B5E">
        <w:t>(</w:t>
      </w:r>
      <w:r w:rsidRPr="00EB2DAA">
        <w:t>ICR</w:t>
      </w:r>
      <w:r w:rsidR="004D3B5E">
        <w:t>)</w:t>
      </w:r>
      <w:r w:rsidRPr="00EB2DAA">
        <w:t>, titled “</w:t>
      </w:r>
      <w:r>
        <w:t xml:space="preserve">Willingness to Pay for Water Quality Improvements in the Chesapeake Bay” for review and approval </w:t>
      </w:r>
      <w:r w:rsidR="008949C7">
        <w:t xml:space="preserve">to OMB according to the procedures prescribed in 5 CFR 1320.12.  OMB approved a </w:t>
      </w:r>
      <w:r w:rsidR="00191E21">
        <w:t>pretest</w:t>
      </w:r>
      <w:r w:rsidR="008949C7">
        <w:t xml:space="preserve"> </w:t>
      </w:r>
      <w:r w:rsidR="00B767A8">
        <w:t xml:space="preserve">of the </w:t>
      </w:r>
      <w:r w:rsidR="008949C7">
        <w:t xml:space="preserve">survey with a limited sample size and </w:t>
      </w:r>
      <w:r w:rsidR="008808E9">
        <w:t xml:space="preserve">requested that </w:t>
      </w:r>
      <w:r w:rsidR="008949C7">
        <w:t xml:space="preserve">EPA </w:t>
      </w:r>
      <w:r w:rsidR="008808E9">
        <w:t xml:space="preserve">report </w:t>
      </w:r>
      <w:r w:rsidR="008949C7">
        <w:t xml:space="preserve">the results of the </w:t>
      </w:r>
      <w:r w:rsidR="00191E21">
        <w:t>pretest</w:t>
      </w:r>
      <w:r w:rsidR="008949C7">
        <w:t xml:space="preserve"> </w:t>
      </w:r>
      <w:r w:rsidR="00191E21">
        <w:t>to OMB</w:t>
      </w:r>
      <w:r w:rsidR="004D3B5E">
        <w:t xml:space="preserve"> prior to </w:t>
      </w:r>
      <w:r w:rsidR="00B767A8">
        <w:t xml:space="preserve">receiving approval for the </w:t>
      </w:r>
      <w:r w:rsidR="004D3B5E">
        <w:t>implementation of the main survey</w:t>
      </w:r>
      <w:r w:rsidR="00191E21">
        <w:t xml:space="preserve">.  EPA </w:t>
      </w:r>
      <w:r w:rsidR="00B767A8">
        <w:t>concluded</w:t>
      </w:r>
      <w:r w:rsidR="00191E21">
        <w:t xml:space="preserve"> the pretest </w:t>
      </w:r>
      <w:r w:rsidR="00B767A8">
        <w:t xml:space="preserve">on February 14, 2014 </w:t>
      </w:r>
      <w:r w:rsidR="00191E21">
        <w:t xml:space="preserve">and </w:t>
      </w:r>
      <w:r w:rsidR="00B767A8">
        <w:t xml:space="preserve">subsequently </w:t>
      </w:r>
      <w:r w:rsidR="008808E9">
        <w:t xml:space="preserve">conveyed </w:t>
      </w:r>
      <w:r w:rsidR="00191E21">
        <w:t xml:space="preserve">the results to OMB demonstrating the </w:t>
      </w:r>
      <w:r w:rsidR="004D3B5E">
        <w:t>validity</w:t>
      </w:r>
      <w:r w:rsidR="00191E21">
        <w:t xml:space="preserve"> of the survey.</w:t>
      </w:r>
      <w:r w:rsidR="008949C7">
        <w:t xml:space="preserve"> </w:t>
      </w:r>
      <w:r w:rsidR="00B87D2A">
        <w:t xml:space="preserve"> EPA request</w:t>
      </w:r>
      <w:r w:rsidR="004D3B5E">
        <w:t>s</w:t>
      </w:r>
      <w:r w:rsidR="00B87D2A">
        <w:t xml:space="preserve"> </w:t>
      </w:r>
      <w:r w:rsidR="004D3B5E">
        <w:t>approval</w:t>
      </w:r>
      <w:r w:rsidR="008808E9">
        <w:t xml:space="preserve"> from OMB</w:t>
      </w:r>
      <w:r w:rsidR="004D3B5E">
        <w:t xml:space="preserve"> to implement the main survey with </w:t>
      </w:r>
      <w:r w:rsidR="00B87D2A">
        <w:t>the following non-substantive changes to the survey</w:t>
      </w:r>
      <w:r w:rsidR="004D3B5E">
        <w:t xml:space="preserve"> instrument and experimental design</w:t>
      </w:r>
      <w:r w:rsidR="00B87D2A">
        <w:t>.</w:t>
      </w:r>
    </w:p>
    <w:p w:rsidR="00313414" w:rsidRDefault="00313414"/>
    <w:p w:rsidR="00313414" w:rsidRDefault="004D3B5E" w:rsidP="00313414">
      <w:pPr>
        <w:pStyle w:val="ListParagraph"/>
        <w:numPr>
          <w:ilvl w:val="0"/>
          <w:numId w:val="1"/>
        </w:numPr>
      </w:pPr>
      <w:r>
        <w:t>Omit</w:t>
      </w:r>
      <w:r w:rsidR="00546351">
        <w:t xml:space="preserve"> the </w:t>
      </w:r>
      <w:r w:rsidR="00313414">
        <w:t xml:space="preserve">2040 </w:t>
      </w:r>
      <w:r w:rsidR="00546351">
        <w:t>time horizon</w:t>
      </w:r>
    </w:p>
    <w:p w:rsidR="00313414" w:rsidRDefault="00313414"/>
    <w:p w:rsidR="00137989" w:rsidRDefault="0046303A" w:rsidP="00137989">
      <w:pPr>
        <w:rPr>
          <w:rFonts w:cs="Times New Roman"/>
        </w:rPr>
      </w:pPr>
      <w:r>
        <w:rPr>
          <w:rFonts w:cs="Times New Roman"/>
        </w:rPr>
        <w:t xml:space="preserve">Before conducting the pretest EPA </w:t>
      </w:r>
      <w:r w:rsidR="000B710B">
        <w:rPr>
          <w:rFonts w:cs="Times New Roman"/>
        </w:rPr>
        <w:t>conducted extensive outreach, publishing a Federal Register notice announcing the information collection request and soliciting</w:t>
      </w:r>
      <w:r>
        <w:rPr>
          <w:rFonts w:cs="Times New Roman"/>
        </w:rPr>
        <w:t xml:space="preserve"> public comments on the</w:t>
      </w:r>
      <w:r w:rsidR="000B710B">
        <w:rPr>
          <w:rFonts w:cs="Times New Roman"/>
        </w:rPr>
        <w:t xml:space="preserve"> stated preference study</w:t>
      </w:r>
      <w:r>
        <w:rPr>
          <w:rFonts w:cs="Times New Roman"/>
        </w:rPr>
        <w:t xml:space="preserve">.  </w:t>
      </w:r>
      <w:r w:rsidR="003A0D8B">
        <w:rPr>
          <w:rFonts w:cs="Times New Roman"/>
        </w:rPr>
        <w:t>One of the comments received pointed out that some of the improvements described on the survey would occur farther in the future than the year 2025.  While the EPA concurs that is the case i</w:t>
      </w:r>
      <w:r w:rsidR="00137989" w:rsidRPr="00546351">
        <w:rPr>
          <w:rFonts w:cs="Times New Roman"/>
        </w:rPr>
        <w:t xml:space="preserve">t is widely accepted practice in the economics literature </w:t>
      </w:r>
      <w:r w:rsidR="00137989">
        <w:rPr>
          <w:rFonts w:cs="Times New Roman"/>
        </w:rPr>
        <w:t xml:space="preserve">on stated preference </w:t>
      </w:r>
      <w:r w:rsidR="00137989" w:rsidRPr="00546351">
        <w:rPr>
          <w:rFonts w:cs="Times New Roman"/>
        </w:rPr>
        <w:t xml:space="preserve">to describe improvements happening at a specific time in the relatively near future, and to discount willingness to pay estimates to reflect time lags (e.g., Alberini, et al. 2004; Banzhaf et al. 2006; Cameron and DeShazo 2013). As a survey design issue this approach has been shown to minimize respondent scenario rejection (i.e. </w:t>
      </w:r>
      <w:r w:rsidR="00137989">
        <w:rPr>
          <w:rFonts w:cs="Times New Roman"/>
        </w:rPr>
        <w:t>disbelief of</w:t>
      </w:r>
      <w:r w:rsidR="00137989" w:rsidRPr="00546351">
        <w:rPr>
          <w:rFonts w:cs="Times New Roman"/>
        </w:rPr>
        <w:t xml:space="preserve"> the conditions described in the choice question) that is associated with long time horizon</w:t>
      </w:r>
      <w:r w:rsidR="00137989">
        <w:rPr>
          <w:rFonts w:cs="Times New Roman"/>
        </w:rPr>
        <w:t xml:space="preserve">s (Banzhaf, et al. 2006).  Further, because the researcher does not know how long time horizons affect each respondent’s willingness to pay responses (via discounting, scenario rejection, or scenario adjustment), estimates generated from near-future scenarios are more generalizable and useful for benefits transfer.  EPA would like to ensure that this survey has utility beyond the immediate analysis and can be applied to other water quality benefits assessments within the Chesapeake Bay watershed.  At the same time, EPA recognizes that benefits estimated </w:t>
      </w:r>
      <w:r w:rsidR="00AB447A">
        <w:rPr>
          <w:rFonts w:cs="Times New Roman"/>
        </w:rPr>
        <w:t>from</w:t>
      </w:r>
      <w:r w:rsidR="00137989">
        <w:rPr>
          <w:rFonts w:cs="Times New Roman"/>
        </w:rPr>
        <w:t xml:space="preserve"> this study should not be transferred to sites outside the Chesapeake Bay watershed.  </w:t>
      </w:r>
    </w:p>
    <w:p w:rsidR="00137989" w:rsidRPr="00546351" w:rsidRDefault="00137989" w:rsidP="00137989">
      <w:pPr>
        <w:rPr>
          <w:rFonts w:cs="Times New Roman"/>
        </w:rPr>
      </w:pPr>
      <w:r w:rsidRPr="00546351">
        <w:rPr>
          <w:rFonts w:cs="Times New Roman"/>
        </w:rPr>
        <w:t xml:space="preserve">  </w:t>
      </w:r>
    </w:p>
    <w:p w:rsidR="00137989" w:rsidRPr="00546351" w:rsidRDefault="003A0D8B" w:rsidP="00137989">
      <w:pPr>
        <w:pStyle w:val="ListParagraph"/>
        <w:ind w:left="0"/>
        <w:rPr>
          <w:rFonts w:cs="Times New Roman"/>
        </w:rPr>
      </w:pPr>
      <w:r>
        <w:rPr>
          <w:rFonts w:cs="Times New Roman"/>
        </w:rPr>
        <w:t xml:space="preserve">However, in order to be responsive to public comments and </w:t>
      </w:r>
      <w:r w:rsidR="00137989">
        <w:rPr>
          <w:rFonts w:cs="Times New Roman"/>
        </w:rPr>
        <w:t xml:space="preserve"> explore this issue completely, t</w:t>
      </w:r>
      <w:r w:rsidR="00137989" w:rsidRPr="00546351">
        <w:rPr>
          <w:rFonts w:cs="Times New Roman"/>
        </w:rPr>
        <w:t xml:space="preserve">he pretest employed a split sample design to examine how respondents reacted to different time </w:t>
      </w:r>
      <w:r w:rsidR="00137989">
        <w:rPr>
          <w:rFonts w:cs="Times New Roman"/>
        </w:rPr>
        <w:t>horizons</w:t>
      </w:r>
      <w:r w:rsidR="00137989" w:rsidRPr="00546351">
        <w:rPr>
          <w:rFonts w:cs="Times New Roman"/>
        </w:rPr>
        <w:t xml:space="preserve"> when making tradeoffs between income and environmental improvements. Half of the pretest sample received surveys that described water quality conditions in the year 2025 and the other received surveys that described conditions in the year 2040.    </w:t>
      </w:r>
    </w:p>
    <w:p w:rsidR="00137989" w:rsidRPr="00546351" w:rsidRDefault="00137989" w:rsidP="00137989">
      <w:pPr>
        <w:pStyle w:val="ListParagraph"/>
        <w:ind w:left="0"/>
        <w:rPr>
          <w:rFonts w:cs="Times New Roman"/>
        </w:rPr>
      </w:pPr>
    </w:p>
    <w:p w:rsidR="003A0D8B" w:rsidRDefault="000B710B" w:rsidP="003A0D8B">
      <w:pPr>
        <w:pStyle w:val="ListParagraph"/>
        <w:ind w:left="0"/>
        <w:rPr>
          <w:rFonts w:cs="Times New Roman"/>
        </w:rPr>
      </w:pPr>
      <w:r>
        <w:rPr>
          <w:rFonts w:cs="Times New Roman"/>
        </w:rPr>
        <w:t>EPA included a</w:t>
      </w:r>
      <w:r w:rsidR="003A0D8B">
        <w:rPr>
          <w:rFonts w:cs="Times New Roman"/>
        </w:rPr>
        <w:t xml:space="preserve"> debriefing question designed to explore the impact of the time horizon on validity of the survey instrument.  In the pre-test respondents were asked how much they agreed with the statement: </w:t>
      </w:r>
      <w:r w:rsidR="003A0D8B">
        <w:rPr>
          <w:rFonts w:cs="Times New Roman"/>
          <w:i/>
        </w:rPr>
        <w:t>I voted as if the programs would actually achieve the results shown by 2025/2040</w:t>
      </w:r>
      <w:r w:rsidR="003A0D8B">
        <w:rPr>
          <w:rFonts w:cs="Times New Roman"/>
        </w:rPr>
        <w:t xml:space="preserve">.  Disagreeing with such a statement is problematic for stated preference benefits analysis because the validity of WTP responses depends on respondents making the tradeoffs put before them in the choice questions rather than adjusting the tradeoffs based on their own subjective information or rejecting the tradeoffs outright (Cameron, </w:t>
      </w:r>
      <w:proofErr w:type="spellStart"/>
      <w:r w:rsidR="003A0D8B">
        <w:rPr>
          <w:rFonts w:cs="Times New Roman"/>
        </w:rPr>
        <w:t>DeShazo</w:t>
      </w:r>
      <w:proofErr w:type="spellEnd"/>
      <w:r w:rsidR="003A0D8B">
        <w:rPr>
          <w:rFonts w:cs="Times New Roman"/>
        </w:rPr>
        <w:t>, and Johnson 2011).  Researchers use questions like these to identify respondents that are adjusting or rejecting the tradeoffs presented and control for them econometrically or remove such respondents from the analysis.  Without additional information available to determine the basis from which the votes were cast by these respondents, their responses become difficult to use.</w:t>
      </w:r>
    </w:p>
    <w:p w:rsidR="003A0D8B" w:rsidRDefault="003A0D8B" w:rsidP="003A0D8B">
      <w:pPr>
        <w:pStyle w:val="ListParagraph"/>
        <w:ind w:left="0"/>
        <w:rPr>
          <w:rFonts w:cs="Times New Roman"/>
        </w:rPr>
      </w:pPr>
    </w:p>
    <w:p w:rsidR="003A0D8B" w:rsidRDefault="003A0D8B" w:rsidP="003A0D8B">
      <w:pPr>
        <w:pStyle w:val="ListParagraph"/>
        <w:ind w:left="0"/>
        <w:rPr>
          <w:rFonts w:cs="Times New Roman"/>
        </w:rPr>
      </w:pPr>
      <w:r w:rsidRPr="00546351">
        <w:rPr>
          <w:rFonts w:cs="Times New Roman"/>
        </w:rPr>
        <w:lastRenderedPageBreak/>
        <w:t xml:space="preserve">On a 5-point </w:t>
      </w:r>
      <w:proofErr w:type="spellStart"/>
      <w:r w:rsidRPr="00546351">
        <w:rPr>
          <w:rFonts w:cs="Times New Roman"/>
        </w:rPr>
        <w:t>Likert</w:t>
      </w:r>
      <w:proofErr w:type="spellEnd"/>
      <w:r w:rsidRPr="00546351">
        <w:rPr>
          <w:rFonts w:cs="Times New Roman"/>
        </w:rPr>
        <w:t xml:space="preserve"> scale </w:t>
      </w:r>
      <w:r w:rsidRPr="00546351">
        <w:rPr>
          <w:rFonts w:cs="Times New Roman"/>
          <w:b/>
          <w:bCs/>
        </w:rPr>
        <w:t xml:space="preserve">7.5% </w:t>
      </w:r>
      <w:r w:rsidRPr="00546351">
        <w:rPr>
          <w:rFonts w:cs="Times New Roman"/>
        </w:rPr>
        <w:t xml:space="preserve">of respondents to the 2040 version of the survey </w:t>
      </w:r>
      <w:r>
        <w:rPr>
          <w:rFonts w:cs="Times New Roman"/>
        </w:rPr>
        <w:t xml:space="preserve">said they </w:t>
      </w:r>
      <w:r>
        <w:rPr>
          <w:rFonts w:cs="Times New Roman"/>
          <w:u w:val="single"/>
        </w:rPr>
        <w:t xml:space="preserve">did </w:t>
      </w:r>
      <w:r w:rsidRPr="00157282">
        <w:rPr>
          <w:rFonts w:cs="Times New Roman"/>
          <w:u w:val="single"/>
        </w:rPr>
        <w:t>not</w:t>
      </w:r>
      <w:r>
        <w:rPr>
          <w:rFonts w:cs="Times New Roman"/>
        </w:rPr>
        <w:t xml:space="preserve"> vote as if the programs would achieve the results shown in the choice questions</w:t>
      </w:r>
      <w:r w:rsidRPr="00546351">
        <w:rPr>
          <w:rFonts w:cs="Times New Roman"/>
        </w:rPr>
        <w:t xml:space="preserve">.  </w:t>
      </w:r>
      <w:r>
        <w:rPr>
          <w:rFonts w:cs="Times New Roman"/>
        </w:rPr>
        <w:t xml:space="preserve">Among the respondents to the 2025 version, </w:t>
      </w:r>
      <w:r w:rsidRPr="00546351">
        <w:rPr>
          <w:rFonts w:cs="Times New Roman"/>
          <w:b/>
          <w:bCs/>
        </w:rPr>
        <w:t>4.7%</w:t>
      </w:r>
      <w:r>
        <w:rPr>
          <w:rFonts w:cs="Times New Roman"/>
        </w:rPr>
        <w:t xml:space="preserve"> </w:t>
      </w:r>
      <w:r w:rsidRPr="00C11C76">
        <w:rPr>
          <w:rFonts w:cs="Times New Roman"/>
          <w:u w:val="single"/>
        </w:rPr>
        <w:t>did not</w:t>
      </w:r>
      <w:r>
        <w:rPr>
          <w:rFonts w:cs="Times New Roman"/>
        </w:rPr>
        <w:t xml:space="preserve"> vote as if the programs would actually achieve the results shown</w:t>
      </w:r>
      <w:r w:rsidRPr="00546351">
        <w:rPr>
          <w:rFonts w:cs="Times New Roman"/>
        </w:rPr>
        <w:t xml:space="preserve">.  </w:t>
      </w:r>
      <w:r>
        <w:rPr>
          <w:rFonts w:cs="Times New Roman"/>
        </w:rPr>
        <w:t xml:space="preserve">While the difference between these results is not quite statistically significant </w:t>
      </w:r>
      <w:r w:rsidRPr="00546351">
        <w:rPr>
          <w:rFonts w:cs="Times New Roman"/>
        </w:rPr>
        <w:t>(two-sample t-test p-value = 0.108)</w:t>
      </w:r>
      <w:r>
        <w:rPr>
          <w:rFonts w:cs="Times New Roman"/>
        </w:rPr>
        <w:t>,</w:t>
      </w:r>
      <w:r w:rsidRPr="00BB0348">
        <w:rPr>
          <w:rFonts w:cs="Times New Roman"/>
        </w:rPr>
        <w:t xml:space="preserve"> </w:t>
      </w:r>
      <w:r>
        <w:rPr>
          <w:rFonts w:cs="Times New Roman"/>
        </w:rPr>
        <w:t xml:space="preserve">it is consistent with general findings in the literature that participants are less likely to believe predictions for longer time horizons.    </w:t>
      </w:r>
    </w:p>
    <w:p w:rsidR="003A0D8B" w:rsidRDefault="003A0D8B" w:rsidP="003A0D8B">
      <w:pPr>
        <w:pStyle w:val="ListParagraph"/>
        <w:ind w:left="0"/>
        <w:rPr>
          <w:rFonts w:cs="Times New Roman"/>
        </w:rPr>
      </w:pPr>
    </w:p>
    <w:p w:rsidR="00137989" w:rsidRPr="00546351" w:rsidRDefault="00137989" w:rsidP="00137989">
      <w:pPr>
        <w:pStyle w:val="ListParagraph"/>
        <w:ind w:left="0"/>
        <w:rPr>
          <w:rFonts w:cs="Times New Roman"/>
          <w:color w:val="222222"/>
          <w:shd w:val="clear" w:color="auto" w:fill="FFFFFF"/>
        </w:rPr>
      </w:pPr>
      <w:r w:rsidRPr="00546351">
        <w:rPr>
          <w:rFonts w:cs="Times New Roman"/>
          <w:color w:val="222222"/>
          <w:shd w:val="clear" w:color="auto" w:fill="FFFFFF"/>
        </w:rPr>
        <w:t>Analysis of pretest data show that willingness to pay</w:t>
      </w:r>
      <w:r>
        <w:rPr>
          <w:rFonts w:cs="Times New Roman"/>
          <w:color w:val="222222"/>
          <w:shd w:val="clear" w:color="auto" w:fill="FFFFFF"/>
        </w:rPr>
        <w:t xml:space="preserve"> (WTP)</w:t>
      </w:r>
      <w:r w:rsidRPr="00546351">
        <w:rPr>
          <w:rFonts w:cs="Times New Roman"/>
          <w:color w:val="222222"/>
          <w:shd w:val="clear" w:color="auto" w:fill="FFFFFF"/>
        </w:rPr>
        <w:t xml:space="preserve"> </w:t>
      </w:r>
      <w:r>
        <w:rPr>
          <w:rFonts w:cs="Times New Roman"/>
          <w:color w:val="222222"/>
          <w:shd w:val="clear" w:color="auto" w:fill="FFFFFF"/>
        </w:rPr>
        <w:t xml:space="preserve">for water clarity </w:t>
      </w:r>
      <w:r w:rsidRPr="00546351">
        <w:rPr>
          <w:rFonts w:cs="Times New Roman"/>
          <w:color w:val="222222"/>
          <w:shd w:val="clear" w:color="auto" w:fill="FFFFFF"/>
        </w:rPr>
        <w:t>is generally lower in the 2040 sample than in the 2025 sample, which is consistent with a positive rate of time preference and subjective discounting of benefits.</w:t>
      </w:r>
      <w:r>
        <w:rPr>
          <w:rFonts w:cs="Times New Roman"/>
          <w:color w:val="222222"/>
          <w:shd w:val="clear" w:color="auto" w:fill="FFFFFF"/>
        </w:rPr>
        <w:t xml:space="preserve">  We find</w:t>
      </w:r>
      <w:r w:rsidRPr="00546351">
        <w:rPr>
          <w:rFonts w:cs="Times New Roman"/>
          <w:color w:val="222222"/>
          <w:shd w:val="clear" w:color="auto" w:fill="FFFFFF"/>
        </w:rPr>
        <w:t xml:space="preserve"> that the present value of the 2040 </w:t>
      </w:r>
      <w:r>
        <w:rPr>
          <w:rFonts w:cs="Times New Roman"/>
          <w:color w:val="222222"/>
          <w:shd w:val="clear" w:color="auto" w:fill="FFFFFF"/>
        </w:rPr>
        <w:t>WTP</w:t>
      </w:r>
      <w:r w:rsidRPr="00546351">
        <w:rPr>
          <w:rFonts w:cs="Times New Roman"/>
          <w:color w:val="222222"/>
          <w:shd w:val="clear" w:color="auto" w:fill="FFFFFF"/>
        </w:rPr>
        <w:t xml:space="preserve"> estimates are approximately equal to </w:t>
      </w:r>
      <w:r w:rsidR="00AB447A">
        <w:rPr>
          <w:rFonts w:cs="Times New Roman"/>
          <w:color w:val="222222"/>
          <w:shd w:val="clear" w:color="auto" w:fill="FFFFFF"/>
        </w:rPr>
        <w:t xml:space="preserve">the </w:t>
      </w:r>
      <w:r w:rsidRPr="00546351">
        <w:rPr>
          <w:rFonts w:cs="Times New Roman"/>
          <w:color w:val="222222"/>
          <w:shd w:val="clear" w:color="auto" w:fill="FFFFFF"/>
        </w:rPr>
        <w:t xml:space="preserve">present value of 2025 </w:t>
      </w:r>
      <w:r>
        <w:rPr>
          <w:rFonts w:cs="Times New Roman"/>
          <w:color w:val="222222"/>
          <w:shd w:val="clear" w:color="auto" w:fill="FFFFFF"/>
        </w:rPr>
        <w:t>WTP</w:t>
      </w:r>
      <w:r w:rsidRPr="00546351">
        <w:rPr>
          <w:rFonts w:cs="Times New Roman"/>
          <w:color w:val="222222"/>
          <w:shd w:val="clear" w:color="auto" w:fill="FFFFFF"/>
        </w:rPr>
        <w:t xml:space="preserve"> estimates at </w:t>
      </w:r>
      <w:r>
        <w:rPr>
          <w:rFonts w:cs="Times New Roman"/>
          <w:color w:val="222222"/>
          <w:shd w:val="clear" w:color="auto" w:fill="FFFFFF"/>
        </w:rPr>
        <w:t xml:space="preserve">a </w:t>
      </w:r>
      <w:r w:rsidRPr="00546351">
        <w:rPr>
          <w:rFonts w:cs="Times New Roman"/>
          <w:color w:val="222222"/>
          <w:shd w:val="clear" w:color="auto" w:fill="FFFFFF"/>
        </w:rPr>
        <w:t xml:space="preserve">discount rate of </w:t>
      </w:r>
      <w:r>
        <w:rPr>
          <w:rFonts w:cs="Times New Roman"/>
          <w:color w:val="222222"/>
          <w:shd w:val="clear" w:color="auto" w:fill="FFFFFF"/>
        </w:rPr>
        <w:t>2.8</w:t>
      </w:r>
      <w:r w:rsidRPr="00546351">
        <w:rPr>
          <w:rFonts w:cs="Times New Roman"/>
          <w:color w:val="222222"/>
          <w:shd w:val="clear" w:color="auto" w:fill="FFFFFF"/>
        </w:rPr>
        <w:t>%</w:t>
      </w:r>
      <w:r>
        <w:rPr>
          <w:rFonts w:cs="Times New Roman"/>
          <w:color w:val="222222"/>
          <w:shd w:val="clear" w:color="auto" w:fill="FFFFFF"/>
        </w:rPr>
        <w:t xml:space="preserve">, very close to the lower estimate of 3% in the range recommended in </w:t>
      </w:r>
      <w:r w:rsidRPr="00546351">
        <w:rPr>
          <w:rFonts w:cs="Times New Roman"/>
          <w:color w:val="222222"/>
          <w:shd w:val="clear" w:color="auto" w:fill="FFFFFF"/>
        </w:rPr>
        <w:t>OMB</w:t>
      </w:r>
      <w:r>
        <w:rPr>
          <w:rFonts w:cs="Times New Roman"/>
          <w:color w:val="222222"/>
          <w:shd w:val="clear" w:color="auto" w:fill="FFFFFF"/>
        </w:rPr>
        <w:t>’s</w:t>
      </w:r>
      <w:r w:rsidRPr="00546351">
        <w:rPr>
          <w:rFonts w:cs="Times New Roman"/>
          <w:color w:val="222222"/>
          <w:shd w:val="clear" w:color="auto" w:fill="FFFFFF"/>
        </w:rPr>
        <w:t xml:space="preserve"> </w:t>
      </w:r>
      <w:r>
        <w:rPr>
          <w:rFonts w:cs="Times New Roman"/>
          <w:color w:val="222222"/>
          <w:shd w:val="clear" w:color="auto" w:fill="FFFFFF"/>
        </w:rPr>
        <w:t xml:space="preserve">Circular A-4 </w:t>
      </w:r>
      <w:r w:rsidRPr="00546351">
        <w:rPr>
          <w:rFonts w:cs="Times New Roman"/>
          <w:color w:val="222222"/>
          <w:shd w:val="clear" w:color="auto" w:fill="FFFFFF"/>
        </w:rPr>
        <w:t>and EPA</w:t>
      </w:r>
      <w:r>
        <w:rPr>
          <w:rFonts w:cs="Times New Roman"/>
          <w:color w:val="222222"/>
          <w:shd w:val="clear" w:color="auto" w:fill="FFFFFF"/>
        </w:rPr>
        <w:t xml:space="preserve">’s </w:t>
      </w:r>
      <w:r>
        <w:rPr>
          <w:rFonts w:cs="Times New Roman"/>
          <w:i/>
          <w:color w:val="222222"/>
          <w:shd w:val="clear" w:color="auto" w:fill="FFFFFF"/>
        </w:rPr>
        <w:t>Guidelines for Preparing Economic Analyses</w:t>
      </w:r>
      <w:r>
        <w:rPr>
          <w:rFonts w:cs="Times New Roman"/>
          <w:color w:val="222222"/>
          <w:shd w:val="clear" w:color="auto" w:fill="FFFFFF"/>
        </w:rPr>
        <w:t xml:space="preserve"> (U.S. EPA 2010)</w:t>
      </w:r>
      <w:r w:rsidRPr="00546351">
        <w:rPr>
          <w:rFonts w:cs="Times New Roman"/>
          <w:color w:val="222222"/>
          <w:shd w:val="clear" w:color="auto" w:fill="FFFFFF"/>
        </w:rPr>
        <w:t xml:space="preserve">. </w:t>
      </w:r>
      <w:r>
        <w:rPr>
          <w:rFonts w:cs="Times New Roman"/>
          <w:color w:val="222222"/>
          <w:shd w:val="clear" w:color="auto" w:fill="FFFFFF"/>
        </w:rPr>
        <w:t xml:space="preserve"> Further, if we apply a rate of 7% to compare these WTP estimates we find that</w:t>
      </w:r>
      <w:r w:rsidR="00AB447A">
        <w:rPr>
          <w:rFonts w:cs="Times New Roman"/>
          <w:color w:val="222222"/>
          <w:shd w:val="clear" w:color="auto" w:fill="FFFFFF"/>
        </w:rPr>
        <w:t>,</w:t>
      </w:r>
      <w:r>
        <w:rPr>
          <w:rFonts w:cs="Times New Roman"/>
          <w:color w:val="222222"/>
          <w:shd w:val="clear" w:color="auto" w:fill="FFFFFF"/>
        </w:rPr>
        <w:t xml:space="preserve"> though the means differ, we cannot reject a conventional discounting model given the confidence intervals of the estimates.  </w:t>
      </w:r>
    </w:p>
    <w:p w:rsidR="00137989" w:rsidRPr="00546351" w:rsidRDefault="00137989" w:rsidP="00137989">
      <w:pPr>
        <w:pStyle w:val="ListParagraph"/>
        <w:ind w:left="0"/>
        <w:rPr>
          <w:rFonts w:cs="Times New Roman"/>
          <w:color w:val="222222"/>
          <w:shd w:val="clear" w:color="auto" w:fill="FFFFFF"/>
        </w:rPr>
      </w:pPr>
    </w:p>
    <w:p w:rsidR="00137989" w:rsidRPr="00546351" w:rsidRDefault="00137989" w:rsidP="00137989">
      <w:pPr>
        <w:pStyle w:val="ListParagraph"/>
        <w:ind w:left="0"/>
        <w:rPr>
          <w:rFonts w:cs="Times New Roman"/>
          <w:color w:val="222222"/>
          <w:shd w:val="clear" w:color="auto" w:fill="FFFFFF"/>
        </w:rPr>
      </w:pPr>
      <w:r w:rsidRPr="00546351">
        <w:rPr>
          <w:rFonts w:cs="Times New Roman"/>
          <w:color w:val="222222"/>
          <w:shd w:val="clear" w:color="auto" w:fill="FFFFFF"/>
        </w:rPr>
        <w:t>These results suggest that differences in WTP between 2025 and 2040 are consistent with conventional discounting methods</w:t>
      </w:r>
      <w:r>
        <w:rPr>
          <w:rFonts w:cs="Times New Roman"/>
          <w:color w:val="222222"/>
          <w:shd w:val="clear" w:color="auto" w:fill="FFFFFF"/>
        </w:rPr>
        <w:t xml:space="preserve"> and that only one time horizon is necessary for the main survey.  </w:t>
      </w:r>
      <w:r w:rsidR="00CA4B94">
        <w:rPr>
          <w:rFonts w:cs="Times New Roman"/>
          <w:color w:val="222222"/>
          <w:shd w:val="clear" w:color="auto" w:fill="FFFFFF"/>
        </w:rPr>
        <w:t xml:space="preserve">Given the larger incidence of scenario rejection in the subsample that received the 2040 time horizon, EPA prefers to implement the 2025 time horizon in the full scale </w:t>
      </w:r>
      <w:r w:rsidR="00931E1B">
        <w:rPr>
          <w:rFonts w:cs="Times New Roman"/>
          <w:color w:val="222222"/>
          <w:shd w:val="clear" w:color="auto" w:fill="FFFFFF"/>
        </w:rPr>
        <w:t>administration</w:t>
      </w:r>
      <w:r w:rsidR="00CA4B94">
        <w:rPr>
          <w:rFonts w:cs="Times New Roman"/>
          <w:color w:val="222222"/>
          <w:shd w:val="clear" w:color="auto" w:fill="FFFFFF"/>
        </w:rPr>
        <w:t xml:space="preserve"> of the survey.</w:t>
      </w:r>
    </w:p>
    <w:p w:rsidR="00137989" w:rsidRDefault="00137989" w:rsidP="00137989">
      <w:pPr>
        <w:pStyle w:val="ListParagraph"/>
        <w:ind w:left="0"/>
        <w:rPr>
          <w:rFonts w:cs="Times New Roman"/>
        </w:rPr>
      </w:pPr>
    </w:p>
    <w:p w:rsidR="007A2A45" w:rsidRDefault="00137989" w:rsidP="00137989">
      <w:pPr>
        <w:pStyle w:val="ListParagraph"/>
        <w:ind w:left="0"/>
        <w:rPr>
          <w:rFonts w:cs="Times New Roman"/>
        </w:rPr>
      </w:pPr>
      <w:r>
        <w:rPr>
          <w:rFonts w:cs="Times New Roman"/>
        </w:rPr>
        <w:t>In summary</w:t>
      </w:r>
      <w:r w:rsidRPr="00546351">
        <w:rPr>
          <w:rFonts w:cs="Times New Roman"/>
        </w:rPr>
        <w:t xml:space="preserve">, the pretest results on the alternative time </w:t>
      </w:r>
      <w:r>
        <w:rPr>
          <w:rFonts w:cs="Times New Roman"/>
        </w:rPr>
        <w:t>horizons</w:t>
      </w:r>
      <w:r w:rsidRPr="00546351">
        <w:rPr>
          <w:rFonts w:cs="Times New Roman"/>
        </w:rPr>
        <w:t xml:space="preserve"> suggest (a) </w:t>
      </w:r>
      <w:r w:rsidR="000B710B">
        <w:rPr>
          <w:rFonts w:cs="Times New Roman"/>
        </w:rPr>
        <w:t>a larger proportion of respondents accept the tradeoffs in the choice questions in the 2025 version of the survey</w:t>
      </w:r>
      <w:r w:rsidRPr="00546351">
        <w:rPr>
          <w:rFonts w:cs="Times New Roman"/>
        </w:rPr>
        <w:t xml:space="preserve">; </w:t>
      </w:r>
      <w:r>
        <w:rPr>
          <w:rFonts w:cs="Times New Roman"/>
        </w:rPr>
        <w:t xml:space="preserve">and </w:t>
      </w:r>
      <w:r w:rsidRPr="00546351">
        <w:rPr>
          <w:rFonts w:cs="Times New Roman"/>
        </w:rPr>
        <w:t>(b)</w:t>
      </w:r>
      <w:r w:rsidR="00CA4B94">
        <w:rPr>
          <w:rFonts w:cs="Times New Roman"/>
        </w:rPr>
        <w:t xml:space="preserve"> respondents discount future benefits at rates consistent with standard practice in benefit-cost analysis and WTP for benefits occurring in other time periods can be inferred using conventional discounting procedures</w:t>
      </w:r>
      <w:r w:rsidR="000B710B">
        <w:rPr>
          <w:rFonts w:cs="Times New Roman"/>
        </w:rPr>
        <w:t xml:space="preserve">.  </w:t>
      </w:r>
      <w:r>
        <w:rPr>
          <w:rFonts w:cs="Times New Roman"/>
        </w:rPr>
        <w:t xml:space="preserve">Based on these results, the body of existing literature, and EPA’s interest </w:t>
      </w:r>
      <w:r w:rsidR="00BF6781">
        <w:rPr>
          <w:rFonts w:cs="Times New Roman"/>
        </w:rPr>
        <w:t>in ensuring</w:t>
      </w:r>
      <w:r>
        <w:rPr>
          <w:rFonts w:cs="Times New Roman"/>
        </w:rPr>
        <w:t xml:space="preserve"> the utility of this survey for other applications in the Chesapeake Bay watershed, </w:t>
      </w:r>
      <w:r w:rsidRPr="00546351">
        <w:rPr>
          <w:rFonts w:cs="Times New Roman"/>
        </w:rPr>
        <w:t>EPA request</w:t>
      </w:r>
      <w:r>
        <w:rPr>
          <w:rFonts w:cs="Times New Roman"/>
        </w:rPr>
        <w:t xml:space="preserve">s </w:t>
      </w:r>
      <w:r w:rsidR="00BF6781">
        <w:rPr>
          <w:rFonts w:cs="Times New Roman"/>
        </w:rPr>
        <w:t xml:space="preserve">that OMB approve </w:t>
      </w:r>
      <w:r w:rsidRPr="00546351">
        <w:rPr>
          <w:rFonts w:cs="Times New Roman"/>
        </w:rPr>
        <w:t xml:space="preserve">use </w:t>
      </w:r>
      <w:r>
        <w:rPr>
          <w:rFonts w:cs="Times New Roman"/>
        </w:rPr>
        <w:t xml:space="preserve">of </w:t>
      </w:r>
      <w:r w:rsidRPr="00546351">
        <w:rPr>
          <w:rFonts w:cs="Times New Roman"/>
        </w:rPr>
        <w:t xml:space="preserve">the 2025 time horizon only in the </w:t>
      </w:r>
      <w:r>
        <w:rPr>
          <w:rFonts w:cs="Times New Roman"/>
        </w:rPr>
        <w:t>main</w:t>
      </w:r>
      <w:r w:rsidRPr="00546351">
        <w:rPr>
          <w:rFonts w:cs="Times New Roman"/>
        </w:rPr>
        <w:t xml:space="preserve"> survey.  EPA will follow precedent established in peer reviewed literature and discount benefits that occur </w:t>
      </w:r>
      <w:r>
        <w:rPr>
          <w:rFonts w:cs="Times New Roman"/>
        </w:rPr>
        <w:t>in alternative time horizons</w:t>
      </w:r>
      <w:r w:rsidR="00CA4B94">
        <w:rPr>
          <w:rFonts w:cs="Times New Roman"/>
        </w:rPr>
        <w:t>.</w:t>
      </w:r>
      <w:r>
        <w:rPr>
          <w:rFonts w:cs="Times New Roman"/>
        </w:rPr>
        <w:t xml:space="preserve">  </w:t>
      </w:r>
    </w:p>
    <w:p w:rsidR="00BF6781" w:rsidRDefault="00BF6781" w:rsidP="00137989">
      <w:pPr>
        <w:pStyle w:val="ListParagraph"/>
        <w:ind w:left="0"/>
      </w:pPr>
    </w:p>
    <w:p w:rsidR="00313414" w:rsidRPr="00024F4A" w:rsidRDefault="00BB0348" w:rsidP="00FA3F36">
      <w:pPr>
        <w:pStyle w:val="ListParagraph"/>
        <w:numPr>
          <w:ilvl w:val="0"/>
          <w:numId w:val="1"/>
        </w:numPr>
      </w:pPr>
      <w:r>
        <w:t xml:space="preserve">Omit Improving Baseline in </w:t>
      </w:r>
      <w:r w:rsidR="00177ED8">
        <w:t>Watershed and Other East Coast</w:t>
      </w:r>
      <w:r>
        <w:t xml:space="preserve"> States</w:t>
      </w:r>
    </w:p>
    <w:p w:rsidR="00313414" w:rsidRPr="00024F4A" w:rsidRDefault="00313414"/>
    <w:p w:rsidR="00E6679E" w:rsidRDefault="006D6C0B" w:rsidP="00E6679E">
      <w:pPr>
        <w:pStyle w:val="ListParagraph"/>
        <w:ind w:left="0"/>
      </w:pPr>
      <w:r>
        <w:rPr>
          <w:rFonts w:cs="Times New Roman"/>
        </w:rPr>
        <w:t>In addition to splitting the sample according to different time horizons as discussed above, t</w:t>
      </w:r>
      <w:r w:rsidRPr="00546351">
        <w:rPr>
          <w:rFonts w:cs="Times New Roman"/>
        </w:rPr>
        <w:t xml:space="preserve">he pretest </w:t>
      </w:r>
      <w:r>
        <w:rPr>
          <w:rFonts w:cs="Times New Roman"/>
        </w:rPr>
        <w:t xml:space="preserve">divided the sample according to different assumptions about future baseline conditions due to </w:t>
      </w:r>
      <w:r w:rsidR="00EB38D0" w:rsidRPr="00024F4A">
        <w:t xml:space="preserve">uncertainty surrounding water quality conditions in the Chesapeake Bay </w:t>
      </w:r>
      <w:r w:rsidR="004A0C60" w:rsidRPr="00024F4A">
        <w:t xml:space="preserve">and Watershed lakes </w:t>
      </w:r>
      <w:r w:rsidR="00EB38D0" w:rsidRPr="00024F4A">
        <w:t xml:space="preserve">in the absence of </w:t>
      </w:r>
      <w:r w:rsidR="00C90C80">
        <w:t>the TMDL</w:t>
      </w:r>
      <w:r w:rsidR="00EB38D0" w:rsidRPr="00024F4A">
        <w:t>.  To guard against this uncertainty</w:t>
      </w:r>
      <w:r w:rsidR="00104113">
        <w:t xml:space="preserve"> in the pretest</w:t>
      </w:r>
      <w:r w:rsidR="00EB38D0" w:rsidRPr="00024F4A">
        <w:t xml:space="preserve"> EPA fielded three versions of the survey (each split between 2025 and 2040 time horizons): one in which respondents are told conditions would </w:t>
      </w:r>
      <w:r w:rsidR="00E6679E" w:rsidRPr="00E6679E">
        <w:rPr>
          <w:u w:val="single"/>
        </w:rPr>
        <w:t>improve</w:t>
      </w:r>
      <w:r w:rsidR="00EB38D0" w:rsidRPr="00024F4A">
        <w:t xml:space="preserve"> in the absence of further action, one in which they are told conditions would stay </w:t>
      </w:r>
      <w:r w:rsidR="00E6679E" w:rsidRPr="00E6679E">
        <w:rPr>
          <w:u w:val="single"/>
        </w:rPr>
        <w:t>constant</w:t>
      </w:r>
      <w:r w:rsidR="00EB38D0" w:rsidRPr="00024F4A">
        <w:t xml:space="preserve">, and </w:t>
      </w:r>
      <w:r>
        <w:t xml:space="preserve">one in which respondents are told conditions would </w:t>
      </w:r>
      <w:r w:rsidR="00E6679E" w:rsidRPr="00E6679E">
        <w:rPr>
          <w:u w:val="single"/>
        </w:rPr>
        <w:t>decline</w:t>
      </w:r>
      <w:r w:rsidR="00EB38D0" w:rsidRPr="00024F4A">
        <w:t xml:space="preserve"> in the absence of further action.  </w:t>
      </w:r>
    </w:p>
    <w:p w:rsidR="00C65808" w:rsidRDefault="00C65808" w:rsidP="006D0ABB">
      <w:pPr>
        <w:pStyle w:val="Default"/>
        <w:rPr>
          <w:rFonts w:ascii="Times New Roman" w:hAnsi="Times New Roman" w:cs="Times New Roman"/>
          <w:sz w:val="22"/>
          <w:szCs w:val="22"/>
        </w:rPr>
      </w:pPr>
    </w:p>
    <w:p w:rsidR="00BF0BCD" w:rsidRDefault="00EB38D0" w:rsidP="006D0ABB">
      <w:pPr>
        <w:pStyle w:val="Default"/>
        <w:rPr>
          <w:rFonts w:ascii="Times New Roman" w:hAnsi="Times New Roman" w:cs="Times New Roman"/>
          <w:sz w:val="22"/>
          <w:szCs w:val="22"/>
        </w:rPr>
      </w:pPr>
      <w:r w:rsidRPr="006D0ABB">
        <w:rPr>
          <w:rFonts w:ascii="Times New Roman" w:hAnsi="Times New Roman" w:cs="Times New Roman"/>
          <w:sz w:val="22"/>
          <w:szCs w:val="22"/>
        </w:rPr>
        <w:t xml:space="preserve">Some of the </w:t>
      </w:r>
      <w:r w:rsidR="00231BF1">
        <w:rPr>
          <w:rFonts w:ascii="Times New Roman" w:hAnsi="Times New Roman" w:cs="Times New Roman"/>
          <w:sz w:val="22"/>
          <w:szCs w:val="22"/>
        </w:rPr>
        <w:t xml:space="preserve">original </w:t>
      </w:r>
      <w:r w:rsidRPr="006D0ABB">
        <w:rPr>
          <w:rFonts w:ascii="Times New Roman" w:hAnsi="Times New Roman" w:cs="Times New Roman"/>
          <w:sz w:val="22"/>
          <w:szCs w:val="22"/>
        </w:rPr>
        <w:t xml:space="preserve">uncertainty surrounding baseline conditions has been resolved and EPA has been able to rule out the improving baseline scenario.  </w:t>
      </w:r>
      <w:r w:rsidR="00BF0BCD">
        <w:rPr>
          <w:rFonts w:ascii="Times New Roman" w:hAnsi="Times New Roman" w:cs="Times New Roman"/>
          <w:sz w:val="22"/>
          <w:szCs w:val="22"/>
        </w:rPr>
        <w:t>While it is true that water quality conditions in the Chesapeake Bay showed a generally improving trend in the 25 years preceding the implementation of the Chesapeake Bay TMDL in 2010, the question relevant to the correct baseline is whether or not those improvements would continue in the future.</w:t>
      </w:r>
    </w:p>
    <w:p w:rsidR="00BF0BCD" w:rsidRDefault="00BF0BCD" w:rsidP="006D0ABB">
      <w:pPr>
        <w:pStyle w:val="Default"/>
        <w:rPr>
          <w:rFonts w:ascii="Times New Roman" w:hAnsi="Times New Roman" w:cs="Times New Roman"/>
          <w:sz w:val="22"/>
          <w:szCs w:val="22"/>
        </w:rPr>
      </w:pPr>
    </w:p>
    <w:p w:rsidR="00A94447" w:rsidRPr="006D0ABB" w:rsidRDefault="00A94447" w:rsidP="006D0ABB">
      <w:pPr>
        <w:pStyle w:val="Default"/>
        <w:rPr>
          <w:rFonts w:ascii="Times New Roman" w:hAnsi="Times New Roman" w:cs="Times New Roman"/>
          <w:sz w:val="22"/>
          <w:szCs w:val="22"/>
        </w:rPr>
      </w:pPr>
      <w:r w:rsidRPr="006D0ABB">
        <w:rPr>
          <w:rFonts w:ascii="Times New Roman" w:hAnsi="Times New Roman" w:cs="Times New Roman"/>
          <w:sz w:val="22"/>
          <w:szCs w:val="22"/>
        </w:rPr>
        <w:t xml:space="preserve">One of the most compelling </w:t>
      </w:r>
      <w:r w:rsidR="00BF0BCD">
        <w:rPr>
          <w:rFonts w:ascii="Times New Roman" w:hAnsi="Times New Roman" w:cs="Times New Roman"/>
          <w:sz w:val="22"/>
          <w:szCs w:val="22"/>
        </w:rPr>
        <w:t xml:space="preserve">answers to that question is provided by a study </w:t>
      </w:r>
      <w:r w:rsidRPr="006D0ABB">
        <w:rPr>
          <w:rFonts w:ascii="Times New Roman" w:hAnsi="Times New Roman" w:cs="Times New Roman"/>
          <w:sz w:val="22"/>
          <w:szCs w:val="22"/>
        </w:rPr>
        <w:t>conducted by U.S. Geological Survey (Hirsch et</w:t>
      </w:r>
      <w:r w:rsidR="006D0ABB" w:rsidRPr="006D0ABB">
        <w:rPr>
          <w:rFonts w:ascii="Times New Roman" w:hAnsi="Times New Roman" w:cs="Times New Roman"/>
          <w:sz w:val="22"/>
          <w:szCs w:val="22"/>
        </w:rPr>
        <w:t>.</w:t>
      </w:r>
      <w:r w:rsidRPr="006D0ABB">
        <w:rPr>
          <w:rFonts w:ascii="Times New Roman" w:hAnsi="Times New Roman" w:cs="Times New Roman"/>
          <w:sz w:val="22"/>
          <w:szCs w:val="22"/>
        </w:rPr>
        <w:t xml:space="preserve"> al 2013</w:t>
      </w:r>
      <w:r w:rsidR="006D0ABB" w:rsidRPr="006D0ABB">
        <w:rPr>
          <w:rFonts w:ascii="Times New Roman" w:hAnsi="Times New Roman" w:cs="Times New Roman"/>
          <w:sz w:val="22"/>
          <w:szCs w:val="22"/>
        </w:rPr>
        <w:t>, attached).</w:t>
      </w:r>
      <w:r w:rsidR="006D0ABB">
        <w:rPr>
          <w:rFonts w:ascii="Times New Roman" w:hAnsi="Times New Roman" w:cs="Times New Roman"/>
          <w:sz w:val="22"/>
          <w:szCs w:val="22"/>
        </w:rPr>
        <w:t xml:space="preserve">  </w:t>
      </w:r>
      <w:r w:rsidR="006D0ABB" w:rsidRPr="006D0ABB">
        <w:rPr>
          <w:rFonts w:ascii="Times New Roman" w:hAnsi="Times New Roman" w:cs="Times New Roman"/>
          <w:sz w:val="22"/>
          <w:szCs w:val="22"/>
        </w:rPr>
        <w:t>The study examines, in part, changes in yields of total nitrogen, total phosphorus and suspended sediment among the nine U</w:t>
      </w:r>
      <w:r w:rsidR="00906403">
        <w:rPr>
          <w:rFonts w:ascii="Times New Roman" w:hAnsi="Times New Roman" w:cs="Times New Roman"/>
          <w:sz w:val="22"/>
          <w:szCs w:val="22"/>
        </w:rPr>
        <w:t>SGS River Input Monitoring</w:t>
      </w:r>
      <w:r w:rsidR="006D0ABB" w:rsidRPr="006D0ABB">
        <w:rPr>
          <w:rFonts w:ascii="Times New Roman" w:hAnsi="Times New Roman" w:cs="Times New Roman"/>
          <w:sz w:val="22"/>
          <w:szCs w:val="22"/>
        </w:rPr>
        <w:t xml:space="preserve"> stations</w:t>
      </w:r>
      <w:r w:rsidR="00BA7D8F">
        <w:rPr>
          <w:rFonts w:ascii="Times New Roman" w:hAnsi="Times New Roman" w:cs="Times New Roman"/>
          <w:sz w:val="22"/>
          <w:szCs w:val="22"/>
        </w:rPr>
        <w:t xml:space="preserve"> (RIMs)</w:t>
      </w:r>
      <w:r w:rsidR="003C3E40">
        <w:rPr>
          <w:rFonts w:ascii="Times New Roman" w:hAnsi="Times New Roman" w:cs="Times New Roman"/>
          <w:sz w:val="22"/>
          <w:szCs w:val="22"/>
        </w:rPr>
        <w:t xml:space="preserve"> </w:t>
      </w:r>
      <w:r w:rsidR="00231BF1">
        <w:rPr>
          <w:rFonts w:ascii="Times New Roman" w:hAnsi="Times New Roman" w:cs="Times New Roman"/>
          <w:sz w:val="22"/>
          <w:szCs w:val="22"/>
        </w:rPr>
        <w:t>for</w:t>
      </w:r>
      <w:r w:rsidR="006D0ABB" w:rsidRPr="006D0ABB">
        <w:rPr>
          <w:rFonts w:ascii="Times New Roman" w:hAnsi="Times New Roman" w:cs="Times New Roman"/>
          <w:sz w:val="22"/>
          <w:szCs w:val="22"/>
        </w:rPr>
        <w:t xml:space="preserve"> two time periods, long-term (1985–2010) and shor</w:t>
      </w:r>
      <w:r w:rsidR="006D0ABB">
        <w:rPr>
          <w:rFonts w:ascii="Times New Roman" w:hAnsi="Times New Roman" w:cs="Times New Roman"/>
          <w:sz w:val="22"/>
          <w:szCs w:val="22"/>
        </w:rPr>
        <w:t>t-term (2001–2010)</w:t>
      </w:r>
      <w:r w:rsidR="00C65808">
        <w:rPr>
          <w:rFonts w:ascii="Times New Roman" w:hAnsi="Times New Roman" w:cs="Times New Roman"/>
          <w:sz w:val="22"/>
          <w:szCs w:val="22"/>
        </w:rPr>
        <w:t>, both of</w:t>
      </w:r>
      <w:r w:rsidR="006D0ABB">
        <w:rPr>
          <w:rFonts w:ascii="Times New Roman" w:hAnsi="Times New Roman" w:cs="Times New Roman"/>
          <w:sz w:val="22"/>
          <w:szCs w:val="22"/>
        </w:rPr>
        <w:t xml:space="preserve"> which are </w:t>
      </w:r>
      <w:r w:rsidR="006D0ABB" w:rsidRPr="006D0ABB">
        <w:rPr>
          <w:rFonts w:ascii="Times New Roman" w:hAnsi="Times New Roman" w:cs="Times New Roman"/>
          <w:sz w:val="22"/>
          <w:szCs w:val="22"/>
        </w:rPr>
        <w:t>prior to the establishment of the Chesapeake Bay TMDL.</w:t>
      </w:r>
      <w:r w:rsidR="00E557AC" w:rsidRPr="00E557AC">
        <w:rPr>
          <w:rFonts w:ascii="Times New Roman" w:hAnsi="Times New Roman" w:cstheme="minorBidi"/>
          <w:color w:val="auto"/>
          <w:sz w:val="22"/>
          <w:szCs w:val="22"/>
        </w:rPr>
        <w:t xml:space="preserve"> </w:t>
      </w:r>
      <w:r w:rsidR="00E557AC" w:rsidRPr="00E557AC">
        <w:rPr>
          <w:rFonts w:ascii="Times New Roman" w:hAnsi="Times New Roman" w:cs="Times New Roman"/>
          <w:sz w:val="22"/>
          <w:szCs w:val="22"/>
        </w:rPr>
        <w:t xml:space="preserve">The results of the study show that the improving trend </w:t>
      </w:r>
      <w:r w:rsidR="00E557AC" w:rsidRPr="00E557AC">
        <w:rPr>
          <w:rFonts w:ascii="Times New Roman" w:hAnsi="Times New Roman" w:cs="Times New Roman"/>
          <w:sz w:val="22"/>
          <w:szCs w:val="22"/>
        </w:rPr>
        <w:lastRenderedPageBreak/>
        <w:t>observed over the long term (1985-2010) levels out</w:t>
      </w:r>
      <w:r w:rsidR="00E557AC">
        <w:rPr>
          <w:rFonts w:ascii="Times New Roman" w:hAnsi="Times New Roman" w:cs="Times New Roman"/>
          <w:sz w:val="22"/>
          <w:szCs w:val="22"/>
        </w:rPr>
        <w:t>,</w:t>
      </w:r>
      <w:r w:rsidR="00E557AC" w:rsidRPr="00E557AC">
        <w:rPr>
          <w:rFonts w:ascii="Times New Roman" w:hAnsi="Times New Roman" w:cs="Times New Roman"/>
          <w:sz w:val="22"/>
          <w:szCs w:val="22"/>
        </w:rPr>
        <w:t xml:space="preserve"> and by some measures begins to decline</w:t>
      </w:r>
      <w:r w:rsidR="00E557AC">
        <w:rPr>
          <w:rFonts w:ascii="Times New Roman" w:hAnsi="Times New Roman" w:cs="Times New Roman"/>
          <w:sz w:val="22"/>
          <w:szCs w:val="22"/>
        </w:rPr>
        <w:t>,</w:t>
      </w:r>
      <w:r w:rsidR="00E557AC" w:rsidRPr="00E557AC">
        <w:rPr>
          <w:rFonts w:ascii="Times New Roman" w:hAnsi="Times New Roman" w:cs="Times New Roman"/>
          <w:sz w:val="22"/>
          <w:szCs w:val="22"/>
        </w:rPr>
        <w:t xml:space="preserve"> in the more recent time period (2001-2010)</w:t>
      </w:r>
      <w:r w:rsidR="00E557AC">
        <w:rPr>
          <w:rFonts w:ascii="Times New Roman" w:hAnsi="Times New Roman" w:cs="Times New Roman"/>
          <w:sz w:val="22"/>
          <w:szCs w:val="22"/>
        </w:rPr>
        <w:t xml:space="preserve">.  Based on these results we can conclude </w:t>
      </w:r>
      <w:r w:rsidR="00E557AC" w:rsidRPr="00E557AC">
        <w:rPr>
          <w:rFonts w:ascii="Times New Roman" w:hAnsi="Times New Roman" w:cs="Times New Roman"/>
          <w:sz w:val="22"/>
          <w:szCs w:val="22"/>
        </w:rPr>
        <w:t xml:space="preserve">that water quality </w:t>
      </w:r>
      <w:r w:rsidR="00E557AC">
        <w:rPr>
          <w:rFonts w:ascii="Times New Roman" w:hAnsi="Times New Roman" w:cs="Times New Roman"/>
          <w:sz w:val="22"/>
          <w:szCs w:val="22"/>
        </w:rPr>
        <w:t xml:space="preserve">in the Chesapeake Bay </w:t>
      </w:r>
      <w:r w:rsidR="00E557AC" w:rsidRPr="00E557AC">
        <w:rPr>
          <w:rFonts w:ascii="Times New Roman" w:hAnsi="Times New Roman" w:cs="Times New Roman"/>
          <w:sz w:val="22"/>
          <w:szCs w:val="22"/>
        </w:rPr>
        <w:t xml:space="preserve">would not improve in the future </w:t>
      </w:r>
      <w:r w:rsidR="00E557AC">
        <w:rPr>
          <w:rFonts w:ascii="Times New Roman" w:hAnsi="Times New Roman" w:cs="Times New Roman"/>
          <w:sz w:val="22"/>
          <w:szCs w:val="22"/>
        </w:rPr>
        <w:t>without</w:t>
      </w:r>
      <w:r w:rsidR="00E557AC" w:rsidRPr="00E557AC">
        <w:rPr>
          <w:rFonts w:ascii="Times New Roman" w:hAnsi="Times New Roman" w:cs="Times New Roman"/>
          <w:sz w:val="22"/>
          <w:szCs w:val="22"/>
        </w:rPr>
        <w:t xml:space="preserve"> additional measures</w:t>
      </w:r>
      <w:r w:rsidR="00E557AC">
        <w:rPr>
          <w:rFonts w:ascii="Times New Roman" w:hAnsi="Times New Roman" w:cs="Times New Roman"/>
          <w:sz w:val="22"/>
          <w:szCs w:val="22"/>
        </w:rPr>
        <w:t xml:space="preserve"> such as those required under the TMDL</w:t>
      </w:r>
      <w:r w:rsidR="00E557AC" w:rsidRPr="00E557AC">
        <w:rPr>
          <w:rFonts w:ascii="Times New Roman" w:hAnsi="Times New Roman" w:cs="Times New Roman"/>
          <w:sz w:val="22"/>
          <w:szCs w:val="22"/>
        </w:rPr>
        <w:t xml:space="preserve">.  </w:t>
      </w:r>
    </w:p>
    <w:p w:rsidR="00A94447" w:rsidRPr="006D0ABB" w:rsidRDefault="00A94447">
      <w:pPr>
        <w:rPr>
          <w:rFonts w:cs="Times New Roman"/>
        </w:rPr>
      </w:pPr>
    </w:p>
    <w:p w:rsidR="00A94447" w:rsidRDefault="00E557AC">
      <w:r>
        <w:t xml:space="preserve">The table below summarizes the results of Hirsch et al.  </w:t>
      </w:r>
      <w:r w:rsidR="00906403">
        <w:t xml:space="preserve">Comparing the long-term to the short-term periods among the constituents (total nitrogen, total phosphorus and suspended sediment) and among all monitored sites, there are no instances of better loading trends in the </w:t>
      </w:r>
      <w:r w:rsidR="00AC1708">
        <w:t>short-term</w:t>
      </w:r>
      <w:r w:rsidR="00906403">
        <w:t xml:space="preserve">. Trends either remain the same or are worse from long-term to short-term.  </w:t>
      </w:r>
      <w:r w:rsidR="005856CD">
        <w:t xml:space="preserve">During the short term period only one of the nine RIMs showed an improving trend for total nitrogen.  Likewise, only one RIM showed an improving trend in the short term for suspended sediment.  </w:t>
      </w:r>
      <w:r w:rsidR="00AC1708">
        <w:t xml:space="preserve">The </w:t>
      </w:r>
      <w:r w:rsidR="005856CD">
        <w:t xml:space="preserve">short term </w:t>
      </w:r>
      <w:r w:rsidR="00AC1708">
        <w:t>trend for total phosphorus is either flat or getting worse in all nine RIMs.</w:t>
      </w:r>
      <w:r w:rsidR="00BA7D8F">
        <w:t xml:space="preserve">  </w:t>
      </w:r>
      <w:r w:rsidR="00906403">
        <w:t xml:space="preserve">These results strongly suggest that the practices that were in place before the TMDL will not continue to provide loading reductions </w:t>
      </w:r>
      <w:r w:rsidR="005856CD">
        <w:t xml:space="preserve">to the Chesapeake Bay </w:t>
      </w:r>
      <w:r w:rsidR="00906403">
        <w:t xml:space="preserve">in the future.  </w:t>
      </w:r>
    </w:p>
    <w:p w:rsidR="00C65808" w:rsidRDefault="00C65808"/>
    <w:p w:rsidR="005856CD" w:rsidRPr="005856CD" w:rsidRDefault="005856CD" w:rsidP="00137989">
      <w:pPr>
        <w:keepLines/>
      </w:pPr>
      <w:r w:rsidRPr="005856CD">
        <w:rPr>
          <w:b/>
        </w:rPr>
        <w:t xml:space="preserve">Comparison </w:t>
      </w:r>
      <w:r>
        <w:rPr>
          <w:b/>
        </w:rPr>
        <w:t xml:space="preserve">of long-term and short-term trends across nine River Input Monitoring Stations for three constituent pollutants </w:t>
      </w:r>
      <w:r>
        <w:t>(r</w:t>
      </w:r>
      <w:r w:rsidRPr="005856CD">
        <w:t>eproduced from Hirsch et. al 2013)</w:t>
      </w:r>
    </w:p>
    <w:tbl>
      <w:tblPr>
        <w:tblStyle w:val="TableGrid"/>
        <w:tblW w:w="0" w:type="auto"/>
        <w:tblLook w:val="04A0"/>
      </w:tblPr>
      <w:tblGrid>
        <w:gridCol w:w="1524"/>
        <w:gridCol w:w="1342"/>
        <w:gridCol w:w="1338"/>
        <w:gridCol w:w="1347"/>
        <w:gridCol w:w="1340"/>
        <w:gridCol w:w="1345"/>
        <w:gridCol w:w="1340"/>
      </w:tblGrid>
      <w:tr w:rsidR="007D6214" w:rsidTr="00137989">
        <w:trPr>
          <w:cantSplit/>
          <w:trHeight w:val="432"/>
        </w:trPr>
        <w:tc>
          <w:tcPr>
            <w:tcW w:w="1524" w:type="dxa"/>
            <w:vMerge w:val="restart"/>
            <w:tcBorders>
              <w:top w:val="single" w:sz="18" w:space="0" w:color="auto"/>
              <w:left w:val="single" w:sz="18" w:space="0" w:color="auto"/>
              <w:bottom w:val="single" w:sz="6" w:space="0" w:color="auto"/>
              <w:right w:val="single" w:sz="18" w:space="0" w:color="auto"/>
            </w:tcBorders>
          </w:tcPr>
          <w:p w:rsidR="007D6214" w:rsidRDefault="007D6214" w:rsidP="00137989">
            <w:pPr>
              <w:keepLines/>
            </w:pPr>
          </w:p>
        </w:tc>
        <w:tc>
          <w:tcPr>
            <w:tcW w:w="2680" w:type="dxa"/>
            <w:gridSpan w:val="2"/>
            <w:tcBorders>
              <w:top w:val="single" w:sz="18" w:space="0" w:color="auto"/>
              <w:left w:val="single" w:sz="18" w:space="0" w:color="auto"/>
              <w:bottom w:val="single" w:sz="6" w:space="0" w:color="auto"/>
              <w:right w:val="single" w:sz="18" w:space="0" w:color="auto"/>
            </w:tcBorders>
            <w:vAlign w:val="center"/>
          </w:tcPr>
          <w:p w:rsidR="007D6214" w:rsidRPr="007D6214" w:rsidRDefault="007D6214" w:rsidP="00137989">
            <w:pPr>
              <w:keepLines/>
              <w:jc w:val="center"/>
              <w:rPr>
                <w:b/>
              </w:rPr>
            </w:pPr>
            <w:r w:rsidRPr="007D6214">
              <w:rPr>
                <w:b/>
              </w:rPr>
              <w:t>Total Nitrogen</w:t>
            </w:r>
          </w:p>
        </w:tc>
        <w:tc>
          <w:tcPr>
            <w:tcW w:w="2687" w:type="dxa"/>
            <w:gridSpan w:val="2"/>
            <w:tcBorders>
              <w:top w:val="single" w:sz="18" w:space="0" w:color="auto"/>
              <w:left w:val="single" w:sz="18" w:space="0" w:color="auto"/>
              <w:bottom w:val="single" w:sz="6" w:space="0" w:color="auto"/>
              <w:right w:val="single" w:sz="18" w:space="0" w:color="auto"/>
            </w:tcBorders>
            <w:vAlign w:val="center"/>
          </w:tcPr>
          <w:p w:rsidR="007D6214" w:rsidRPr="007D6214" w:rsidRDefault="007D6214" w:rsidP="00137989">
            <w:pPr>
              <w:keepLines/>
              <w:jc w:val="center"/>
              <w:rPr>
                <w:b/>
              </w:rPr>
            </w:pPr>
            <w:r w:rsidRPr="007D6214">
              <w:rPr>
                <w:b/>
              </w:rPr>
              <w:t>Total Phosphorus</w:t>
            </w:r>
          </w:p>
        </w:tc>
        <w:tc>
          <w:tcPr>
            <w:tcW w:w="2685" w:type="dxa"/>
            <w:gridSpan w:val="2"/>
            <w:tcBorders>
              <w:top w:val="single" w:sz="18" w:space="0" w:color="auto"/>
              <w:left w:val="single" w:sz="18" w:space="0" w:color="auto"/>
              <w:bottom w:val="single" w:sz="6" w:space="0" w:color="auto"/>
              <w:right w:val="single" w:sz="18" w:space="0" w:color="auto"/>
            </w:tcBorders>
            <w:vAlign w:val="center"/>
          </w:tcPr>
          <w:p w:rsidR="007D6214" w:rsidRPr="007D6214" w:rsidRDefault="007D6214" w:rsidP="00137989">
            <w:pPr>
              <w:keepLines/>
              <w:jc w:val="center"/>
              <w:rPr>
                <w:b/>
              </w:rPr>
            </w:pPr>
            <w:r w:rsidRPr="007D6214">
              <w:rPr>
                <w:b/>
              </w:rPr>
              <w:t>Suspended Sediment</w:t>
            </w:r>
          </w:p>
        </w:tc>
      </w:tr>
      <w:tr w:rsidR="007D6214" w:rsidTr="00137989">
        <w:trPr>
          <w:cantSplit/>
          <w:trHeight w:val="432"/>
        </w:trPr>
        <w:tc>
          <w:tcPr>
            <w:tcW w:w="1524" w:type="dxa"/>
            <w:vMerge/>
            <w:tcBorders>
              <w:top w:val="single" w:sz="6" w:space="0" w:color="auto"/>
              <w:left w:val="single" w:sz="18" w:space="0" w:color="auto"/>
              <w:bottom w:val="single" w:sz="6" w:space="0" w:color="auto"/>
              <w:right w:val="single" w:sz="18" w:space="0" w:color="auto"/>
            </w:tcBorders>
          </w:tcPr>
          <w:p w:rsidR="007D6214" w:rsidRDefault="007D6214" w:rsidP="00137989">
            <w:pPr>
              <w:keepLines/>
            </w:pPr>
          </w:p>
        </w:tc>
        <w:tc>
          <w:tcPr>
            <w:tcW w:w="1342" w:type="dxa"/>
            <w:tcBorders>
              <w:top w:val="single" w:sz="6" w:space="0" w:color="auto"/>
              <w:left w:val="single" w:sz="18" w:space="0" w:color="auto"/>
              <w:bottom w:val="single" w:sz="6" w:space="0" w:color="auto"/>
              <w:right w:val="single" w:sz="6" w:space="0" w:color="auto"/>
            </w:tcBorders>
            <w:vAlign w:val="center"/>
          </w:tcPr>
          <w:p w:rsidR="007D6214" w:rsidRDefault="007D6214" w:rsidP="00137989">
            <w:pPr>
              <w:keepLines/>
              <w:jc w:val="center"/>
            </w:pPr>
            <w:r>
              <w:t>1985-2010</w:t>
            </w:r>
          </w:p>
        </w:tc>
        <w:tc>
          <w:tcPr>
            <w:tcW w:w="1338" w:type="dxa"/>
            <w:tcBorders>
              <w:top w:val="single" w:sz="6" w:space="0" w:color="auto"/>
              <w:left w:val="single" w:sz="6" w:space="0" w:color="auto"/>
              <w:bottom w:val="single" w:sz="6" w:space="0" w:color="auto"/>
              <w:right w:val="single" w:sz="18" w:space="0" w:color="auto"/>
            </w:tcBorders>
            <w:vAlign w:val="center"/>
          </w:tcPr>
          <w:p w:rsidR="007D6214" w:rsidRDefault="007D6214" w:rsidP="00137989">
            <w:pPr>
              <w:keepLines/>
              <w:jc w:val="center"/>
            </w:pPr>
            <w:r>
              <w:t>2001-2010</w:t>
            </w:r>
          </w:p>
        </w:tc>
        <w:tc>
          <w:tcPr>
            <w:tcW w:w="1347" w:type="dxa"/>
            <w:tcBorders>
              <w:top w:val="single" w:sz="6" w:space="0" w:color="auto"/>
              <w:left w:val="single" w:sz="18" w:space="0" w:color="auto"/>
              <w:bottom w:val="single" w:sz="6" w:space="0" w:color="auto"/>
              <w:right w:val="single" w:sz="6" w:space="0" w:color="auto"/>
            </w:tcBorders>
            <w:vAlign w:val="center"/>
          </w:tcPr>
          <w:p w:rsidR="007D6214" w:rsidRDefault="007D6214" w:rsidP="00137989">
            <w:pPr>
              <w:keepLines/>
              <w:jc w:val="center"/>
            </w:pPr>
            <w:r>
              <w:t>1985-2010</w:t>
            </w:r>
          </w:p>
        </w:tc>
        <w:tc>
          <w:tcPr>
            <w:tcW w:w="1340" w:type="dxa"/>
            <w:tcBorders>
              <w:top w:val="single" w:sz="6" w:space="0" w:color="auto"/>
              <w:left w:val="single" w:sz="6" w:space="0" w:color="auto"/>
              <w:bottom w:val="single" w:sz="6" w:space="0" w:color="auto"/>
              <w:right w:val="single" w:sz="18" w:space="0" w:color="auto"/>
            </w:tcBorders>
            <w:vAlign w:val="center"/>
          </w:tcPr>
          <w:p w:rsidR="007D6214" w:rsidRDefault="007D6214" w:rsidP="00137989">
            <w:pPr>
              <w:keepLines/>
              <w:jc w:val="center"/>
            </w:pPr>
            <w:r>
              <w:t>2001-2010</w:t>
            </w:r>
          </w:p>
        </w:tc>
        <w:tc>
          <w:tcPr>
            <w:tcW w:w="1345" w:type="dxa"/>
            <w:tcBorders>
              <w:top w:val="single" w:sz="6" w:space="0" w:color="auto"/>
              <w:left w:val="single" w:sz="18" w:space="0" w:color="auto"/>
              <w:bottom w:val="single" w:sz="6" w:space="0" w:color="auto"/>
              <w:right w:val="single" w:sz="6" w:space="0" w:color="auto"/>
            </w:tcBorders>
            <w:vAlign w:val="center"/>
          </w:tcPr>
          <w:p w:rsidR="007D6214" w:rsidRDefault="007D6214" w:rsidP="00137989">
            <w:pPr>
              <w:keepLines/>
              <w:jc w:val="center"/>
            </w:pPr>
            <w:r>
              <w:t>1985-2010</w:t>
            </w:r>
          </w:p>
        </w:tc>
        <w:tc>
          <w:tcPr>
            <w:tcW w:w="1340" w:type="dxa"/>
            <w:tcBorders>
              <w:top w:val="single" w:sz="6" w:space="0" w:color="auto"/>
              <w:left w:val="single" w:sz="6" w:space="0" w:color="auto"/>
              <w:bottom w:val="single" w:sz="6" w:space="0" w:color="auto"/>
              <w:right w:val="single" w:sz="18" w:space="0" w:color="auto"/>
            </w:tcBorders>
            <w:vAlign w:val="center"/>
          </w:tcPr>
          <w:p w:rsidR="007D6214" w:rsidRDefault="007D6214" w:rsidP="00137989">
            <w:pPr>
              <w:keepLines/>
              <w:jc w:val="center"/>
            </w:pPr>
            <w:r>
              <w:t>2001-2010</w:t>
            </w:r>
          </w:p>
        </w:tc>
      </w:tr>
      <w:tr w:rsidR="007D6214" w:rsidTr="00137989">
        <w:trPr>
          <w:cantSplit/>
          <w:trHeight w:val="515"/>
        </w:trPr>
        <w:tc>
          <w:tcPr>
            <w:tcW w:w="1524" w:type="dxa"/>
            <w:tcBorders>
              <w:top w:val="single" w:sz="6" w:space="0" w:color="auto"/>
              <w:left w:val="single" w:sz="18" w:space="0" w:color="auto"/>
              <w:bottom w:val="single" w:sz="6" w:space="0" w:color="auto"/>
              <w:right w:val="single" w:sz="18" w:space="0" w:color="auto"/>
            </w:tcBorders>
            <w:vAlign w:val="center"/>
          </w:tcPr>
          <w:p w:rsidR="00BF382F" w:rsidRDefault="00BF382F" w:rsidP="00137989">
            <w:pPr>
              <w:keepLines/>
              <w:jc w:val="center"/>
            </w:pPr>
            <w:r>
              <w:t>Susquehanna</w:t>
            </w:r>
          </w:p>
        </w:tc>
        <w:tc>
          <w:tcPr>
            <w:tcW w:w="1342" w:type="dxa"/>
            <w:tcBorders>
              <w:top w:val="single" w:sz="6" w:space="0" w:color="auto"/>
              <w:left w:val="single" w:sz="18" w:space="0" w:color="auto"/>
              <w:bottom w:val="single" w:sz="6" w:space="0" w:color="auto"/>
              <w:right w:val="single" w:sz="6" w:space="0" w:color="auto"/>
            </w:tcBorders>
            <w:shd w:val="clear" w:color="auto" w:fill="D6E3BC" w:themeFill="accent3" w:themeFillTint="66"/>
            <w:vAlign w:val="center"/>
          </w:tcPr>
          <w:p w:rsidR="00BF382F" w:rsidRDefault="00BF382F" w:rsidP="00137989">
            <w:pPr>
              <w:keepLines/>
              <w:jc w:val="center"/>
            </w:pPr>
            <w:r>
              <w:t>Improving</w:t>
            </w:r>
          </w:p>
        </w:tc>
        <w:tc>
          <w:tcPr>
            <w:tcW w:w="1338"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BF382F" w:rsidP="00137989">
            <w:pPr>
              <w:keepLines/>
              <w:jc w:val="center"/>
            </w:pPr>
            <w:r>
              <w:t>Minimal Change</w:t>
            </w:r>
          </w:p>
        </w:tc>
        <w:tc>
          <w:tcPr>
            <w:tcW w:w="1347" w:type="dxa"/>
            <w:tcBorders>
              <w:top w:val="single" w:sz="6" w:space="0" w:color="auto"/>
              <w:left w:val="single" w:sz="18" w:space="0" w:color="auto"/>
              <w:bottom w:val="single" w:sz="6" w:space="0" w:color="auto"/>
              <w:right w:val="single" w:sz="6" w:space="0" w:color="auto"/>
            </w:tcBorders>
            <w:shd w:val="clear" w:color="auto" w:fill="FFFF99"/>
            <w:vAlign w:val="center"/>
          </w:tcPr>
          <w:p w:rsidR="00BF382F" w:rsidRDefault="00BF382F" w:rsidP="00137989">
            <w:pPr>
              <w:keepLines/>
              <w:jc w:val="center"/>
            </w:pPr>
            <w:r>
              <w:t>Minimal Change</w:t>
            </w:r>
          </w:p>
        </w:tc>
        <w:tc>
          <w:tcPr>
            <w:tcW w:w="1340" w:type="dxa"/>
            <w:tcBorders>
              <w:top w:val="single" w:sz="6" w:space="0" w:color="auto"/>
              <w:left w:val="single" w:sz="6" w:space="0" w:color="auto"/>
              <w:bottom w:val="single" w:sz="6"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c>
          <w:tcPr>
            <w:tcW w:w="1345" w:type="dxa"/>
            <w:tcBorders>
              <w:top w:val="single" w:sz="6" w:space="0" w:color="auto"/>
              <w:left w:val="single" w:sz="18" w:space="0" w:color="auto"/>
              <w:bottom w:val="single" w:sz="6" w:space="0" w:color="auto"/>
              <w:right w:val="single" w:sz="6" w:space="0" w:color="auto"/>
            </w:tcBorders>
            <w:shd w:val="clear" w:color="auto" w:fill="E5B8B7" w:themeFill="accent2" w:themeFillTint="66"/>
            <w:vAlign w:val="center"/>
          </w:tcPr>
          <w:p w:rsidR="00BF382F" w:rsidRDefault="00BF382F" w:rsidP="00137989">
            <w:pPr>
              <w:keepLines/>
              <w:jc w:val="center"/>
            </w:pPr>
            <w:r>
              <w:t>Degrading</w:t>
            </w:r>
          </w:p>
        </w:tc>
        <w:tc>
          <w:tcPr>
            <w:tcW w:w="1340" w:type="dxa"/>
            <w:tcBorders>
              <w:top w:val="single" w:sz="6" w:space="0" w:color="auto"/>
              <w:left w:val="single" w:sz="6" w:space="0" w:color="auto"/>
              <w:bottom w:val="single" w:sz="6"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r>
      <w:tr w:rsidR="007D6214" w:rsidTr="00137989">
        <w:trPr>
          <w:cantSplit/>
          <w:trHeight w:val="515"/>
        </w:trPr>
        <w:tc>
          <w:tcPr>
            <w:tcW w:w="1524" w:type="dxa"/>
            <w:tcBorders>
              <w:top w:val="single" w:sz="6" w:space="0" w:color="auto"/>
              <w:left w:val="single" w:sz="18" w:space="0" w:color="auto"/>
              <w:bottom w:val="single" w:sz="6" w:space="0" w:color="auto"/>
              <w:right w:val="single" w:sz="18" w:space="0" w:color="auto"/>
            </w:tcBorders>
            <w:vAlign w:val="center"/>
          </w:tcPr>
          <w:p w:rsidR="00BF382F" w:rsidRDefault="00BF382F" w:rsidP="00137989">
            <w:pPr>
              <w:keepLines/>
              <w:jc w:val="center"/>
            </w:pPr>
            <w:r>
              <w:t>Potomac</w:t>
            </w:r>
          </w:p>
        </w:tc>
        <w:tc>
          <w:tcPr>
            <w:tcW w:w="1342" w:type="dxa"/>
            <w:tcBorders>
              <w:top w:val="single" w:sz="6" w:space="0" w:color="auto"/>
              <w:left w:val="single" w:sz="18" w:space="0" w:color="auto"/>
              <w:bottom w:val="single" w:sz="6" w:space="0" w:color="auto"/>
              <w:right w:val="single" w:sz="6" w:space="0" w:color="auto"/>
            </w:tcBorders>
            <w:shd w:val="clear" w:color="auto" w:fill="D6E3BC" w:themeFill="accent3" w:themeFillTint="66"/>
            <w:vAlign w:val="center"/>
          </w:tcPr>
          <w:p w:rsidR="00BF382F" w:rsidRDefault="00BF382F" w:rsidP="00137989">
            <w:pPr>
              <w:keepLines/>
              <w:jc w:val="center"/>
            </w:pPr>
            <w:r>
              <w:t>Improving</w:t>
            </w:r>
          </w:p>
        </w:tc>
        <w:tc>
          <w:tcPr>
            <w:tcW w:w="1338"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BF382F" w:rsidP="00137989">
            <w:pPr>
              <w:keepLines/>
              <w:jc w:val="center"/>
            </w:pPr>
            <w:r>
              <w:t>Minimal Change</w:t>
            </w:r>
          </w:p>
        </w:tc>
        <w:tc>
          <w:tcPr>
            <w:tcW w:w="1347" w:type="dxa"/>
            <w:tcBorders>
              <w:top w:val="single" w:sz="6" w:space="0" w:color="auto"/>
              <w:left w:val="single" w:sz="18" w:space="0" w:color="auto"/>
              <w:bottom w:val="single" w:sz="6" w:space="0" w:color="auto"/>
              <w:right w:val="single" w:sz="6" w:space="0" w:color="auto"/>
            </w:tcBorders>
            <w:shd w:val="clear" w:color="auto" w:fill="D6E3BC" w:themeFill="accent3" w:themeFillTint="66"/>
            <w:vAlign w:val="center"/>
          </w:tcPr>
          <w:p w:rsidR="00BF382F" w:rsidRDefault="00BF382F" w:rsidP="00137989">
            <w:pPr>
              <w:keepLines/>
              <w:jc w:val="center"/>
            </w:pPr>
            <w:r>
              <w:t>Improving</w:t>
            </w:r>
          </w:p>
        </w:tc>
        <w:tc>
          <w:tcPr>
            <w:tcW w:w="1340"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7D6214" w:rsidP="00137989">
            <w:pPr>
              <w:keepLines/>
              <w:jc w:val="center"/>
            </w:pPr>
            <w:r>
              <w:t>Minimal Change</w:t>
            </w:r>
          </w:p>
        </w:tc>
        <w:tc>
          <w:tcPr>
            <w:tcW w:w="1345" w:type="dxa"/>
            <w:tcBorders>
              <w:top w:val="single" w:sz="6" w:space="0" w:color="auto"/>
              <w:left w:val="single" w:sz="18" w:space="0" w:color="auto"/>
              <w:bottom w:val="single" w:sz="6" w:space="0" w:color="auto"/>
              <w:right w:val="single" w:sz="6" w:space="0" w:color="auto"/>
            </w:tcBorders>
            <w:shd w:val="clear" w:color="auto" w:fill="E5B8B7" w:themeFill="accent2" w:themeFillTint="66"/>
            <w:vAlign w:val="center"/>
          </w:tcPr>
          <w:p w:rsidR="00BF382F" w:rsidRDefault="00BF382F" w:rsidP="00137989">
            <w:pPr>
              <w:keepLines/>
              <w:jc w:val="center"/>
            </w:pPr>
            <w:r>
              <w:t>Degrading</w:t>
            </w:r>
          </w:p>
        </w:tc>
        <w:tc>
          <w:tcPr>
            <w:tcW w:w="1340" w:type="dxa"/>
            <w:tcBorders>
              <w:top w:val="single" w:sz="6" w:space="0" w:color="auto"/>
              <w:left w:val="single" w:sz="6" w:space="0" w:color="auto"/>
              <w:bottom w:val="single" w:sz="6"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r>
      <w:tr w:rsidR="007D6214" w:rsidTr="00137989">
        <w:trPr>
          <w:cantSplit/>
          <w:trHeight w:val="515"/>
        </w:trPr>
        <w:tc>
          <w:tcPr>
            <w:tcW w:w="1524" w:type="dxa"/>
            <w:tcBorders>
              <w:top w:val="single" w:sz="6" w:space="0" w:color="auto"/>
              <w:left w:val="single" w:sz="18" w:space="0" w:color="auto"/>
              <w:bottom w:val="single" w:sz="6" w:space="0" w:color="auto"/>
              <w:right w:val="single" w:sz="18" w:space="0" w:color="auto"/>
            </w:tcBorders>
            <w:vAlign w:val="center"/>
          </w:tcPr>
          <w:p w:rsidR="00BF382F" w:rsidRDefault="00BF382F" w:rsidP="00137989">
            <w:pPr>
              <w:keepLines/>
              <w:jc w:val="center"/>
            </w:pPr>
            <w:r>
              <w:t>James</w:t>
            </w:r>
          </w:p>
        </w:tc>
        <w:tc>
          <w:tcPr>
            <w:tcW w:w="1342" w:type="dxa"/>
            <w:tcBorders>
              <w:top w:val="single" w:sz="6" w:space="0" w:color="auto"/>
              <w:left w:val="single" w:sz="18" w:space="0" w:color="auto"/>
              <w:bottom w:val="single" w:sz="6" w:space="0" w:color="auto"/>
              <w:right w:val="single" w:sz="6" w:space="0" w:color="auto"/>
            </w:tcBorders>
            <w:shd w:val="clear" w:color="auto" w:fill="FFFF99"/>
            <w:vAlign w:val="center"/>
          </w:tcPr>
          <w:p w:rsidR="00BF382F" w:rsidRDefault="00BF382F" w:rsidP="00137989">
            <w:pPr>
              <w:keepLines/>
              <w:jc w:val="center"/>
            </w:pPr>
            <w:r>
              <w:t>Minimal Change</w:t>
            </w:r>
          </w:p>
        </w:tc>
        <w:tc>
          <w:tcPr>
            <w:tcW w:w="1338"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BF382F" w:rsidP="00137989">
            <w:pPr>
              <w:keepLines/>
              <w:jc w:val="center"/>
            </w:pPr>
            <w:r>
              <w:t>Minimal Change</w:t>
            </w:r>
          </w:p>
        </w:tc>
        <w:tc>
          <w:tcPr>
            <w:tcW w:w="1347" w:type="dxa"/>
            <w:tcBorders>
              <w:top w:val="single" w:sz="6" w:space="0" w:color="auto"/>
              <w:left w:val="single" w:sz="18" w:space="0" w:color="auto"/>
              <w:bottom w:val="single" w:sz="6" w:space="0" w:color="auto"/>
              <w:right w:val="single" w:sz="6" w:space="0" w:color="auto"/>
            </w:tcBorders>
            <w:shd w:val="clear" w:color="auto" w:fill="FFFF99"/>
            <w:vAlign w:val="center"/>
          </w:tcPr>
          <w:p w:rsidR="00BF382F" w:rsidRDefault="00BF382F" w:rsidP="00137989">
            <w:pPr>
              <w:keepLines/>
              <w:jc w:val="center"/>
            </w:pPr>
            <w:r>
              <w:t>Minimal Change</w:t>
            </w:r>
          </w:p>
        </w:tc>
        <w:tc>
          <w:tcPr>
            <w:tcW w:w="1340" w:type="dxa"/>
            <w:tcBorders>
              <w:top w:val="single" w:sz="6" w:space="0" w:color="auto"/>
              <w:left w:val="single" w:sz="6" w:space="0" w:color="auto"/>
              <w:bottom w:val="single" w:sz="6"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c>
          <w:tcPr>
            <w:tcW w:w="1345" w:type="dxa"/>
            <w:tcBorders>
              <w:top w:val="single" w:sz="6" w:space="0" w:color="auto"/>
              <w:left w:val="single" w:sz="18" w:space="0" w:color="auto"/>
              <w:bottom w:val="single" w:sz="6" w:space="0" w:color="auto"/>
              <w:right w:val="single" w:sz="6" w:space="0" w:color="auto"/>
            </w:tcBorders>
            <w:vAlign w:val="center"/>
          </w:tcPr>
          <w:p w:rsidR="00BF382F" w:rsidRDefault="00BF382F" w:rsidP="00137989">
            <w:pPr>
              <w:keepLines/>
              <w:jc w:val="center"/>
            </w:pPr>
            <w:r>
              <w:t>NA</w:t>
            </w:r>
          </w:p>
        </w:tc>
        <w:tc>
          <w:tcPr>
            <w:tcW w:w="1340" w:type="dxa"/>
            <w:tcBorders>
              <w:top w:val="single" w:sz="6" w:space="0" w:color="auto"/>
              <w:left w:val="single" w:sz="6" w:space="0" w:color="auto"/>
              <w:bottom w:val="single" w:sz="6"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r>
      <w:tr w:rsidR="007D6214" w:rsidTr="00137989">
        <w:trPr>
          <w:cantSplit/>
          <w:trHeight w:val="515"/>
        </w:trPr>
        <w:tc>
          <w:tcPr>
            <w:tcW w:w="1524" w:type="dxa"/>
            <w:tcBorders>
              <w:top w:val="single" w:sz="6" w:space="0" w:color="auto"/>
              <w:left w:val="single" w:sz="18" w:space="0" w:color="auto"/>
              <w:bottom w:val="single" w:sz="6" w:space="0" w:color="auto"/>
              <w:right w:val="single" w:sz="18" w:space="0" w:color="auto"/>
            </w:tcBorders>
            <w:vAlign w:val="center"/>
          </w:tcPr>
          <w:p w:rsidR="00BF382F" w:rsidRDefault="00BF382F" w:rsidP="00137989">
            <w:pPr>
              <w:keepLines/>
              <w:jc w:val="center"/>
            </w:pPr>
            <w:r>
              <w:t>Rappahannock</w:t>
            </w:r>
          </w:p>
        </w:tc>
        <w:tc>
          <w:tcPr>
            <w:tcW w:w="1342" w:type="dxa"/>
            <w:tcBorders>
              <w:top w:val="single" w:sz="6" w:space="0" w:color="auto"/>
              <w:left w:val="single" w:sz="18" w:space="0" w:color="auto"/>
              <w:bottom w:val="single" w:sz="6" w:space="0" w:color="auto"/>
              <w:right w:val="single" w:sz="6" w:space="0" w:color="auto"/>
            </w:tcBorders>
            <w:shd w:val="clear" w:color="auto" w:fill="FFFF99"/>
            <w:vAlign w:val="center"/>
          </w:tcPr>
          <w:p w:rsidR="00BF382F" w:rsidRDefault="00BF382F" w:rsidP="00137989">
            <w:pPr>
              <w:keepLines/>
              <w:jc w:val="center"/>
            </w:pPr>
            <w:r>
              <w:t>Minimal Change</w:t>
            </w:r>
          </w:p>
        </w:tc>
        <w:tc>
          <w:tcPr>
            <w:tcW w:w="1338"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BF382F" w:rsidP="00137989">
            <w:pPr>
              <w:keepLines/>
              <w:jc w:val="center"/>
            </w:pPr>
            <w:r>
              <w:t>Minimal Change</w:t>
            </w:r>
          </w:p>
        </w:tc>
        <w:tc>
          <w:tcPr>
            <w:tcW w:w="1347" w:type="dxa"/>
            <w:tcBorders>
              <w:top w:val="single" w:sz="6" w:space="0" w:color="auto"/>
              <w:left w:val="single" w:sz="18" w:space="0" w:color="auto"/>
              <w:bottom w:val="single" w:sz="6" w:space="0" w:color="auto"/>
              <w:right w:val="single" w:sz="6" w:space="0" w:color="auto"/>
            </w:tcBorders>
            <w:shd w:val="clear" w:color="auto" w:fill="E5B8B7" w:themeFill="accent2" w:themeFillTint="66"/>
            <w:vAlign w:val="center"/>
          </w:tcPr>
          <w:p w:rsidR="00BF382F" w:rsidRDefault="00BF382F" w:rsidP="00137989">
            <w:pPr>
              <w:keepLines/>
              <w:jc w:val="center"/>
            </w:pPr>
            <w:r>
              <w:t>Degrading</w:t>
            </w:r>
          </w:p>
        </w:tc>
        <w:tc>
          <w:tcPr>
            <w:tcW w:w="1340" w:type="dxa"/>
            <w:tcBorders>
              <w:top w:val="single" w:sz="6" w:space="0" w:color="auto"/>
              <w:left w:val="single" w:sz="6" w:space="0" w:color="auto"/>
              <w:bottom w:val="single" w:sz="6"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c>
          <w:tcPr>
            <w:tcW w:w="1345" w:type="dxa"/>
            <w:tcBorders>
              <w:top w:val="single" w:sz="6" w:space="0" w:color="auto"/>
              <w:left w:val="single" w:sz="18" w:space="0" w:color="auto"/>
              <w:bottom w:val="single" w:sz="6" w:space="0" w:color="auto"/>
              <w:right w:val="single" w:sz="6" w:space="0" w:color="auto"/>
            </w:tcBorders>
            <w:vAlign w:val="center"/>
          </w:tcPr>
          <w:p w:rsidR="00BF382F" w:rsidRDefault="00BF382F" w:rsidP="00137989">
            <w:pPr>
              <w:keepLines/>
              <w:jc w:val="center"/>
            </w:pPr>
            <w:r>
              <w:t>NA</w:t>
            </w:r>
          </w:p>
        </w:tc>
        <w:tc>
          <w:tcPr>
            <w:tcW w:w="1340"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BF382F" w:rsidP="00137989">
            <w:pPr>
              <w:keepLines/>
              <w:jc w:val="center"/>
            </w:pPr>
            <w:r>
              <w:t>Minimal Change</w:t>
            </w:r>
          </w:p>
        </w:tc>
      </w:tr>
      <w:tr w:rsidR="007D6214" w:rsidTr="00137989">
        <w:trPr>
          <w:cantSplit/>
          <w:trHeight w:val="515"/>
        </w:trPr>
        <w:tc>
          <w:tcPr>
            <w:tcW w:w="1524" w:type="dxa"/>
            <w:tcBorders>
              <w:top w:val="single" w:sz="6" w:space="0" w:color="auto"/>
              <w:left w:val="single" w:sz="18" w:space="0" w:color="auto"/>
              <w:bottom w:val="single" w:sz="6" w:space="0" w:color="auto"/>
              <w:right w:val="single" w:sz="18" w:space="0" w:color="auto"/>
            </w:tcBorders>
            <w:vAlign w:val="center"/>
          </w:tcPr>
          <w:p w:rsidR="00BF382F" w:rsidRDefault="00BF382F" w:rsidP="00137989">
            <w:pPr>
              <w:keepLines/>
              <w:jc w:val="center"/>
            </w:pPr>
            <w:r>
              <w:t>Appomattox</w:t>
            </w:r>
          </w:p>
        </w:tc>
        <w:tc>
          <w:tcPr>
            <w:tcW w:w="1342" w:type="dxa"/>
            <w:tcBorders>
              <w:top w:val="single" w:sz="6" w:space="0" w:color="auto"/>
              <w:left w:val="single" w:sz="18" w:space="0" w:color="auto"/>
              <w:bottom w:val="single" w:sz="6" w:space="0" w:color="auto"/>
              <w:right w:val="single" w:sz="6" w:space="0" w:color="auto"/>
            </w:tcBorders>
            <w:shd w:val="clear" w:color="auto" w:fill="FFFF99"/>
            <w:vAlign w:val="center"/>
          </w:tcPr>
          <w:p w:rsidR="00BF382F" w:rsidRDefault="00BF382F" w:rsidP="00137989">
            <w:pPr>
              <w:keepLines/>
              <w:jc w:val="center"/>
            </w:pPr>
            <w:r>
              <w:t>Minimal Change</w:t>
            </w:r>
          </w:p>
        </w:tc>
        <w:tc>
          <w:tcPr>
            <w:tcW w:w="1338"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BF382F" w:rsidP="00137989">
            <w:pPr>
              <w:keepLines/>
              <w:jc w:val="center"/>
            </w:pPr>
            <w:r>
              <w:t>Minimal Change</w:t>
            </w:r>
          </w:p>
        </w:tc>
        <w:tc>
          <w:tcPr>
            <w:tcW w:w="1347" w:type="dxa"/>
            <w:tcBorders>
              <w:top w:val="single" w:sz="6" w:space="0" w:color="auto"/>
              <w:left w:val="single" w:sz="18" w:space="0" w:color="auto"/>
              <w:bottom w:val="single" w:sz="6" w:space="0" w:color="auto"/>
              <w:right w:val="single" w:sz="6" w:space="0" w:color="auto"/>
            </w:tcBorders>
            <w:shd w:val="clear" w:color="auto" w:fill="E5B8B7" w:themeFill="accent2" w:themeFillTint="66"/>
            <w:vAlign w:val="center"/>
          </w:tcPr>
          <w:p w:rsidR="00BF382F" w:rsidRDefault="00BF382F" w:rsidP="00137989">
            <w:pPr>
              <w:keepLines/>
              <w:jc w:val="center"/>
            </w:pPr>
            <w:r>
              <w:t>Degrading</w:t>
            </w:r>
          </w:p>
        </w:tc>
        <w:tc>
          <w:tcPr>
            <w:tcW w:w="1340" w:type="dxa"/>
            <w:tcBorders>
              <w:top w:val="single" w:sz="6" w:space="0" w:color="auto"/>
              <w:left w:val="single" w:sz="6" w:space="0" w:color="auto"/>
              <w:bottom w:val="single" w:sz="6"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c>
          <w:tcPr>
            <w:tcW w:w="1345" w:type="dxa"/>
            <w:tcBorders>
              <w:top w:val="single" w:sz="6" w:space="0" w:color="auto"/>
              <w:left w:val="single" w:sz="18" w:space="0" w:color="auto"/>
              <w:bottom w:val="single" w:sz="6" w:space="0" w:color="auto"/>
              <w:right w:val="single" w:sz="6" w:space="0" w:color="auto"/>
            </w:tcBorders>
            <w:vAlign w:val="center"/>
          </w:tcPr>
          <w:p w:rsidR="00BF382F" w:rsidRDefault="00BF382F" w:rsidP="00137989">
            <w:pPr>
              <w:keepLines/>
              <w:jc w:val="center"/>
            </w:pPr>
            <w:r>
              <w:t>NA</w:t>
            </w:r>
          </w:p>
        </w:tc>
        <w:tc>
          <w:tcPr>
            <w:tcW w:w="1340"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BF382F" w:rsidP="00137989">
            <w:pPr>
              <w:keepLines/>
              <w:jc w:val="center"/>
            </w:pPr>
            <w:r>
              <w:t>Minimal Change</w:t>
            </w:r>
          </w:p>
        </w:tc>
      </w:tr>
      <w:tr w:rsidR="007D6214" w:rsidTr="00137989">
        <w:trPr>
          <w:cantSplit/>
          <w:trHeight w:val="515"/>
        </w:trPr>
        <w:tc>
          <w:tcPr>
            <w:tcW w:w="1524" w:type="dxa"/>
            <w:tcBorders>
              <w:top w:val="single" w:sz="6" w:space="0" w:color="auto"/>
              <w:left w:val="single" w:sz="18" w:space="0" w:color="auto"/>
              <w:bottom w:val="single" w:sz="6" w:space="0" w:color="auto"/>
              <w:right w:val="single" w:sz="18" w:space="0" w:color="auto"/>
            </w:tcBorders>
            <w:vAlign w:val="center"/>
          </w:tcPr>
          <w:p w:rsidR="00BF382F" w:rsidRDefault="00BF382F" w:rsidP="00137989">
            <w:pPr>
              <w:keepLines/>
              <w:jc w:val="center"/>
            </w:pPr>
            <w:r>
              <w:t>Pamunkey</w:t>
            </w:r>
          </w:p>
        </w:tc>
        <w:tc>
          <w:tcPr>
            <w:tcW w:w="1342" w:type="dxa"/>
            <w:tcBorders>
              <w:top w:val="single" w:sz="6" w:space="0" w:color="auto"/>
              <w:left w:val="single" w:sz="18" w:space="0" w:color="auto"/>
              <w:bottom w:val="single" w:sz="6" w:space="0" w:color="auto"/>
              <w:right w:val="single" w:sz="6" w:space="0" w:color="auto"/>
            </w:tcBorders>
            <w:shd w:val="clear" w:color="auto" w:fill="FFFF99"/>
            <w:vAlign w:val="center"/>
          </w:tcPr>
          <w:p w:rsidR="00BF382F" w:rsidRDefault="00BF382F" w:rsidP="00137989">
            <w:pPr>
              <w:keepLines/>
              <w:jc w:val="center"/>
            </w:pPr>
            <w:r>
              <w:t>Minimal Change</w:t>
            </w:r>
          </w:p>
        </w:tc>
        <w:tc>
          <w:tcPr>
            <w:tcW w:w="1338"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BF382F" w:rsidP="00137989">
            <w:pPr>
              <w:keepLines/>
              <w:jc w:val="center"/>
            </w:pPr>
            <w:r>
              <w:t>Minimal Change</w:t>
            </w:r>
          </w:p>
        </w:tc>
        <w:tc>
          <w:tcPr>
            <w:tcW w:w="1347" w:type="dxa"/>
            <w:tcBorders>
              <w:top w:val="single" w:sz="6" w:space="0" w:color="auto"/>
              <w:left w:val="single" w:sz="18" w:space="0" w:color="auto"/>
              <w:bottom w:val="single" w:sz="6" w:space="0" w:color="auto"/>
              <w:right w:val="single" w:sz="6" w:space="0" w:color="auto"/>
            </w:tcBorders>
            <w:shd w:val="clear" w:color="auto" w:fill="E5B8B7" w:themeFill="accent2" w:themeFillTint="66"/>
            <w:vAlign w:val="center"/>
          </w:tcPr>
          <w:p w:rsidR="00BF382F" w:rsidRDefault="00BF382F" w:rsidP="00137989">
            <w:pPr>
              <w:keepLines/>
              <w:jc w:val="center"/>
            </w:pPr>
            <w:r>
              <w:t>Degrading</w:t>
            </w:r>
          </w:p>
        </w:tc>
        <w:tc>
          <w:tcPr>
            <w:tcW w:w="1340" w:type="dxa"/>
            <w:tcBorders>
              <w:top w:val="single" w:sz="6" w:space="0" w:color="auto"/>
              <w:left w:val="single" w:sz="6" w:space="0" w:color="auto"/>
              <w:bottom w:val="single" w:sz="6"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c>
          <w:tcPr>
            <w:tcW w:w="1345" w:type="dxa"/>
            <w:tcBorders>
              <w:top w:val="single" w:sz="6" w:space="0" w:color="auto"/>
              <w:left w:val="single" w:sz="18" w:space="0" w:color="auto"/>
              <w:bottom w:val="single" w:sz="6" w:space="0" w:color="auto"/>
              <w:right w:val="single" w:sz="6" w:space="0" w:color="auto"/>
            </w:tcBorders>
            <w:vAlign w:val="center"/>
          </w:tcPr>
          <w:p w:rsidR="00BF382F" w:rsidRDefault="00BF382F" w:rsidP="00137989">
            <w:pPr>
              <w:keepLines/>
              <w:jc w:val="center"/>
            </w:pPr>
            <w:r>
              <w:t>NA</w:t>
            </w:r>
          </w:p>
        </w:tc>
        <w:tc>
          <w:tcPr>
            <w:tcW w:w="1340" w:type="dxa"/>
            <w:tcBorders>
              <w:top w:val="single" w:sz="6" w:space="0" w:color="auto"/>
              <w:left w:val="single" w:sz="6" w:space="0" w:color="auto"/>
              <w:bottom w:val="single" w:sz="6"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r>
      <w:tr w:rsidR="007D6214" w:rsidTr="00137989">
        <w:trPr>
          <w:cantSplit/>
          <w:trHeight w:val="515"/>
        </w:trPr>
        <w:tc>
          <w:tcPr>
            <w:tcW w:w="1524" w:type="dxa"/>
            <w:tcBorders>
              <w:top w:val="single" w:sz="6" w:space="0" w:color="auto"/>
              <w:left w:val="single" w:sz="18" w:space="0" w:color="auto"/>
              <w:bottom w:val="single" w:sz="6" w:space="0" w:color="auto"/>
              <w:right w:val="single" w:sz="18" w:space="0" w:color="auto"/>
            </w:tcBorders>
            <w:vAlign w:val="center"/>
          </w:tcPr>
          <w:p w:rsidR="00BF382F" w:rsidRDefault="00BF382F" w:rsidP="00137989">
            <w:pPr>
              <w:keepLines/>
              <w:jc w:val="center"/>
            </w:pPr>
            <w:r>
              <w:t>Mattaponi</w:t>
            </w:r>
          </w:p>
        </w:tc>
        <w:tc>
          <w:tcPr>
            <w:tcW w:w="1342" w:type="dxa"/>
            <w:tcBorders>
              <w:top w:val="single" w:sz="6" w:space="0" w:color="auto"/>
              <w:left w:val="single" w:sz="18" w:space="0" w:color="auto"/>
              <w:bottom w:val="single" w:sz="6" w:space="0" w:color="auto"/>
              <w:right w:val="single" w:sz="6" w:space="0" w:color="auto"/>
            </w:tcBorders>
            <w:shd w:val="clear" w:color="auto" w:fill="FFFF99"/>
            <w:vAlign w:val="center"/>
          </w:tcPr>
          <w:p w:rsidR="00BF382F" w:rsidRDefault="00BF382F" w:rsidP="00137989">
            <w:pPr>
              <w:keepLines/>
              <w:jc w:val="center"/>
            </w:pPr>
            <w:r>
              <w:t>Minimal Change</w:t>
            </w:r>
          </w:p>
        </w:tc>
        <w:tc>
          <w:tcPr>
            <w:tcW w:w="1338"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BF382F" w:rsidP="00137989">
            <w:pPr>
              <w:keepLines/>
              <w:jc w:val="center"/>
            </w:pPr>
            <w:r>
              <w:t>Minimal Change</w:t>
            </w:r>
          </w:p>
        </w:tc>
        <w:tc>
          <w:tcPr>
            <w:tcW w:w="1347" w:type="dxa"/>
            <w:tcBorders>
              <w:top w:val="single" w:sz="6" w:space="0" w:color="auto"/>
              <w:left w:val="single" w:sz="18" w:space="0" w:color="auto"/>
              <w:bottom w:val="single" w:sz="6" w:space="0" w:color="auto"/>
              <w:right w:val="single" w:sz="6" w:space="0" w:color="auto"/>
            </w:tcBorders>
            <w:shd w:val="clear" w:color="auto" w:fill="FFFF99"/>
            <w:vAlign w:val="center"/>
          </w:tcPr>
          <w:p w:rsidR="00BF382F" w:rsidRDefault="00BF382F" w:rsidP="00137989">
            <w:pPr>
              <w:keepLines/>
              <w:jc w:val="center"/>
            </w:pPr>
            <w:r>
              <w:t>Minimal Change</w:t>
            </w:r>
          </w:p>
        </w:tc>
        <w:tc>
          <w:tcPr>
            <w:tcW w:w="1340"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BF382F" w:rsidP="00137989">
            <w:pPr>
              <w:keepLines/>
              <w:jc w:val="center"/>
            </w:pPr>
            <w:r>
              <w:t>Minimal Change</w:t>
            </w:r>
          </w:p>
        </w:tc>
        <w:tc>
          <w:tcPr>
            <w:tcW w:w="1345" w:type="dxa"/>
            <w:tcBorders>
              <w:top w:val="single" w:sz="6" w:space="0" w:color="auto"/>
              <w:left w:val="single" w:sz="18" w:space="0" w:color="auto"/>
              <w:bottom w:val="single" w:sz="6" w:space="0" w:color="auto"/>
              <w:right w:val="single" w:sz="6" w:space="0" w:color="auto"/>
            </w:tcBorders>
            <w:vAlign w:val="center"/>
          </w:tcPr>
          <w:p w:rsidR="00BF382F" w:rsidRDefault="00BF382F" w:rsidP="00137989">
            <w:pPr>
              <w:keepLines/>
              <w:jc w:val="center"/>
            </w:pPr>
            <w:r>
              <w:t>NA</w:t>
            </w:r>
          </w:p>
        </w:tc>
        <w:tc>
          <w:tcPr>
            <w:tcW w:w="1340" w:type="dxa"/>
            <w:tcBorders>
              <w:top w:val="single" w:sz="6" w:space="0" w:color="auto"/>
              <w:left w:val="single" w:sz="6" w:space="0" w:color="auto"/>
              <w:bottom w:val="single" w:sz="6" w:space="0" w:color="auto"/>
              <w:right w:val="single" w:sz="18" w:space="0" w:color="auto"/>
            </w:tcBorders>
            <w:shd w:val="clear" w:color="auto" w:fill="D6E3BC" w:themeFill="accent3" w:themeFillTint="66"/>
            <w:vAlign w:val="center"/>
          </w:tcPr>
          <w:p w:rsidR="00BF382F" w:rsidRDefault="00BF382F" w:rsidP="00137989">
            <w:pPr>
              <w:keepLines/>
              <w:jc w:val="center"/>
            </w:pPr>
            <w:r>
              <w:t>Improving</w:t>
            </w:r>
          </w:p>
        </w:tc>
      </w:tr>
      <w:tr w:rsidR="007D6214" w:rsidTr="00137989">
        <w:trPr>
          <w:cantSplit/>
          <w:trHeight w:val="515"/>
        </w:trPr>
        <w:tc>
          <w:tcPr>
            <w:tcW w:w="1524" w:type="dxa"/>
            <w:tcBorders>
              <w:top w:val="single" w:sz="6" w:space="0" w:color="auto"/>
              <w:left w:val="single" w:sz="18" w:space="0" w:color="auto"/>
              <w:bottom w:val="single" w:sz="6" w:space="0" w:color="auto"/>
              <w:right w:val="single" w:sz="18" w:space="0" w:color="auto"/>
            </w:tcBorders>
            <w:vAlign w:val="center"/>
          </w:tcPr>
          <w:p w:rsidR="00BF382F" w:rsidRDefault="00BF382F" w:rsidP="00137989">
            <w:pPr>
              <w:keepLines/>
              <w:jc w:val="center"/>
            </w:pPr>
            <w:r>
              <w:t>Patuxent</w:t>
            </w:r>
          </w:p>
        </w:tc>
        <w:tc>
          <w:tcPr>
            <w:tcW w:w="1342" w:type="dxa"/>
            <w:tcBorders>
              <w:top w:val="single" w:sz="6" w:space="0" w:color="auto"/>
              <w:left w:val="single" w:sz="18" w:space="0" w:color="auto"/>
              <w:bottom w:val="single" w:sz="6" w:space="0" w:color="auto"/>
              <w:right w:val="single" w:sz="6" w:space="0" w:color="auto"/>
            </w:tcBorders>
            <w:shd w:val="clear" w:color="auto" w:fill="D6E3BC" w:themeFill="accent3" w:themeFillTint="66"/>
            <w:vAlign w:val="center"/>
          </w:tcPr>
          <w:p w:rsidR="00BF382F" w:rsidRDefault="00BF382F" w:rsidP="00137989">
            <w:pPr>
              <w:keepLines/>
              <w:jc w:val="center"/>
            </w:pPr>
            <w:r>
              <w:t>Improving</w:t>
            </w:r>
          </w:p>
        </w:tc>
        <w:tc>
          <w:tcPr>
            <w:tcW w:w="1338" w:type="dxa"/>
            <w:tcBorders>
              <w:top w:val="single" w:sz="6" w:space="0" w:color="auto"/>
              <w:left w:val="single" w:sz="6" w:space="0" w:color="auto"/>
              <w:bottom w:val="single" w:sz="6" w:space="0" w:color="auto"/>
              <w:right w:val="single" w:sz="18" w:space="0" w:color="auto"/>
            </w:tcBorders>
            <w:shd w:val="clear" w:color="auto" w:fill="D6E3BC" w:themeFill="accent3" w:themeFillTint="66"/>
            <w:vAlign w:val="center"/>
          </w:tcPr>
          <w:p w:rsidR="00BF382F" w:rsidRDefault="00BF382F" w:rsidP="00137989">
            <w:pPr>
              <w:keepLines/>
              <w:jc w:val="center"/>
            </w:pPr>
            <w:r>
              <w:t>Improving</w:t>
            </w:r>
          </w:p>
        </w:tc>
        <w:tc>
          <w:tcPr>
            <w:tcW w:w="1347" w:type="dxa"/>
            <w:tcBorders>
              <w:top w:val="single" w:sz="6" w:space="0" w:color="auto"/>
              <w:left w:val="single" w:sz="18" w:space="0" w:color="auto"/>
              <w:bottom w:val="single" w:sz="6" w:space="0" w:color="auto"/>
              <w:right w:val="single" w:sz="6" w:space="0" w:color="auto"/>
            </w:tcBorders>
            <w:shd w:val="clear" w:color="auto" w:fill="D6E3BC" w:themeFill="accent3" w:themeFillTint="66"/>
            <w:vAlign w:val="center"/>
          </w:tcPr>
          <w:p w:rsidR="00BF382F" w:rsidRDefault="00BF382F" w:rsidP="00137989">
            <w:pPr>
              <w:keepLines/>
              <w:jc w:val="center"/>
            </w:pPr>
            <w:r>
              <w:t>Improving</w:t>
            </w:r>
          </w:p>
        </w:tc>
        <w:tc>
          <w:tcPr>
            <w:tcW w:w="1340" w:type="dxa"/>
            <w:tcBorders>
              <w:top w:val="single" w:sz="6" w:space="0" w:color="auto"/>
              <w:left w:val="single" w:sz="6" w:space="0" w:color="auto"/>
              <w:bottom w:val="single" w:sz="6" w:space="0" w:color="auto"/>
              <w:right w:val="single" w:sz="18" w:space="0" w:color="auto"/>
            </w:tcBorders>
            <w:shd w:val="clear" w:color="auto" w:fill="FFFF99"/>
            <w:vAlign w:val="center"/>
          </w:tcPr>
          <w:p w:rsidR="00BF382F" w:rsidRDefault="00BF382F" w:rsidP="00137989">
            <w:pPr>
              <w:keepLines/>
              <w:jc w:val="center"/>
            </w:pPr>
            <w:r>
              <w:t>Minimal Change</w:t>
            </w:r>
          </w:p>
        </w:tc>
        <w:tc>
          <w:tcPr>
            <w:tcW w:w="1345" w:type="dxa"/>
            <w:tcBorders>
              <w:top w:val="single" w:sz="6" w:space="0" w:color="auto"/>
              <w:left w:val="single" w:sz="18" w:space="0" w:color="auto"/>
              <w:bottom w:val="single" w:sz="6" w:space="0" w:color="auto"/>
              <w:right w:val="single" w:sz="6" w:space="0" w:color="auto"/>
            </w:tcBorders>
            <w:shd w:val="clear" w:color="auto" w:fill="D6E3BC" w:themeFill="accent3" w:themeFillTint="66"/>
            <w:vAlign w:val="center"/>
          </w:tcPr>
          <w:p w:rsidR="00BF382F" w:rsidRDefault="00BF382F" w:rsidP="00137989">
            <w:pPr>
              <w:keepLines/>
              <w:jc w:val="center"/>
            </w:pPr>
            <w:r>
              <w:t>Improving</w:t>
            </w:r>
          </w:p>
        </w:tc>
        <w:tc>
          <w:tcPr>
            <w:tcW w:w="1340" w:type="dxa"/>
            <w:tcBorders>
              <w:top w:val="single" w:sz="6" w:space="0" w:color="auto"/>
              <w:left w:val="single" w:sz="6" w:space="0" w:color="auto"/>
              <w:bottom w:val="single" w:sz="6"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r>
      <w:tr w:rsidR="007D6214" w:rsidTr="00137989">
        <w:trPr>
          <w:cantSplit/>
          <w:trHeight w:val="515"/>
        </w:trPr>
        <w:tc>
          <w:tcPr>
            <w:tcW w:w="1524" w:type="dxa"/>
            <w:tcBorders>
              <w:top w:val="single" w:sz="6" w:space="0" w:color="auto"/>
              <w:left w:val="single" w:sz="18" w:space="0" w:color="auto"/>
              <w:bottom w:val="single" w:sz="18" w:space="0" w:color="auto"/>
              <w:right w:val="single" w:sz="18" w:space="0" w:color="auto"/>
            </w:tcBorders>
            <w:vAlign w:val="center"/>
          </w:tcPr>
          <w:p w:rsidR="00BF382F" w:rsidRDefault="00BF382F" w:rsidP="00137989">
            <w:pPr>
              <w:keepLines/>
              <w:jc w:val="center"/>
            </w:pPr>
            <w:r>
              <w:t>Choptank</w:t>
            </w:r>
          </w:p>
        </w:tc>
        <w:tc>
          <w:tcPr>
            <w:tcW w:w="1342" w:type="dxa"/>
            <w:tcBorders>
              <w:top w:val="single" w:sz="6" w:space="0" w:color="auto"/>
              <w:left w:val="single" w:sz="18" w:space="0" w:color="auto"/>
              <w:bottom w:val="single" w:sz="18" w:space="0" w:color="auto"/>
              <w:right w:val="single" w:sz="6" w:space="0" w:color="auto"/>
            </w:tcBorders>
            <w:shd w:val="clear" w:color="auto" w:fill="FFFF99"/>
            <w:vAlign w:val="center"/>
          </w:tcPr>
          <w:p w:rsidR="00BF382F" w:rsidRDefault="00BF382F" w:rsidP="00137989">
            <w:pPr>
              <w:keepLines/>
              <w:jc w:val="center"/>
            </w:pPr>
            <w:r>
              <w:t>Minimal Change</w:t>
            </w:r>
          </w:p>
        </w:tc>
        <w:tc>
          <w:tcPr>
            <w:tcW w:w="1338" w:type="dxa"/>
            <w:tcBorders>
              <w:top w:val="single" w:sz="6" w:space="0" w:color="auto"/>
              <w:left w:val="single" w:sz="6" w:space="0" w:color="auto"/>
              <w:bottom w:val="single" w:sz="18" w:space="0" w:color="auto"/>
              <w:right w:val="single" w:sz="18" w:space="0" w:color="auto"/>
            </w:tcBorders>
            <w:shd w:val="clear" w:color="auto" w:fill="FFFF99"/>
            <w:vAlign w:val="center"/>
          </w:tcPr>
          <w:p w:rsidR="00BF382F" w:rsidRDefault="00BF382F" w:rsidP="00137989">
            <w:pPr>
              <w:keepLines/>
              <w:jc w:val="center"/>
            </w:pPr>
            <w:r>
              <w:t>Minimal Change</w:t>
            </w:r>
          </w:p>
        </w:tc>
        <w:tc>
          <w:tcPr>
            <w:tcW w:w="1347" w:type="dxa"/>
            <w:tcBorders>
              <w:top w:val="single" w:sz="6" w:space="0" w:color="auto"/>
              <w:left w:val="single" w:sz="18" w:space="0" w:color="auto"/>
              <w:bottom w:val="single" w:sz="18" w:space="0" w:color="auto"/>
              <w:right w:val="single" w:sz="6" w:space="0" w:color="auto"/>
            </w:tcBorders>
            <w:shd w:val="clear" w:color="auto" w:fill="E5B8B7" w:themeFill="accent2" w:themeFillTint="66"/>
            <w:vAlign w:val="center"/>
          </w:tcPr>
          <w:p w:rsidR="00BF382F" w:rsidRDefault="00BF382F" w:rsidP="00137989">
            <w:pPr>
              <w:keepLines/>
              <w:jc w:val="center"/>
            </w:pPr>
            <w:r>
              <w:t>Degrading</w:t>
            </w:r>
          </w:p>
        </w:tc>
        <w:tc>
          <w:tcPr>
            <w:tcW w:w="1340" w:type="dxa"/>
            <w:tcBorders>
              <w:top w:val="single" w:sz="6" w:space="0" w:color="auto"/>
              <w:left w:val="single" w:sz="6" w:space="0" w:color="auto"/>
              <w:bottom w:val="single" w:sz="18"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c>
          <w:tcPr>
            <w:tcW w:w="1345" w:type="dxa"/>
            <w:tcBorders>
              <w:top w:val="single" w:sz="6" w:space="0" w:color="auto"/>
              <w:left w:val="single" w:sz="18" w:space="0" w:color="auto"/>
              <w:bottom w:val="single" w:sz="18" w:space="0" w:color="auto"/>
              <w:right w:val="single" w:sz="6" w:space="0" w:color="auto"/>
            </w:tcBorders>
            <w:shd w:val="clear" w:color="auto" w:fill="D6E3BC" w:themeFill="accent3" w:themeFillTint="66"/>
            <w:vAlign w:val="center"/>
          </w:tcPr>
          <w:p w:rsidR="00BF382F" w:rsidRDefault="00BF382F" w:rsidP="00137989">
            <w:pPr>
              <w:keepLines/>
              <w:jc w:val="center"/>
            </w:pPr>
            <w:r>
              <w:t>Improving</w:t>
            </w:r>
          </w:p>
        </w:tc>
        <w:tc>
          <w:tcPr>
            <w:tcW w:w="1340" w:type="dxa"/>
            <w:tcBorders>
              <w:top w:val="single" w:sz="6" w:space="0" w:color="auto"/>
              <w:left w:val="single" w:sz="6" w:space="0" w:color="auto"/>
              <w:bottom w:val="single" w:sz="18" w:space="0" w:color="auto"/>
              <w:right w:val="single" w:sz="18" w:space="0" w:color="auto"/>
            </w:tcBorders>
            <w:shd w:val="clear" w:color="auto" w:fill="E5B8B7" w:themeFill="accent2" w:themeFillTint="66"/>
            <w:vAlign w:val="center"/>
          </w:tcPr>
          <w:p w:rsidR="00BF382F" w:rsidRDefault="00BF382F" w:rsidP="00137989">
            <w:pPr>
              <w:keepLines/>
              <w:jc w:val="center"/>
            </w:pPr>
            <w:r>
              <w:t>Degrading</w:t>
            </w:r>
          </w:p>
        </w:tc>
      </w:tr>
    </w:tbl>
    <w:p w:rsidR="00A94447" w:rsidRDefault="00A94447" w:rsidP="00137989">
      <w:pPr>
        <w:keepLines/>
      </w:pPr>
    </w:p>
    <w:p w:rsidR="00906403" w:rsidRDefault="00906403"/>
    <w:p w:rsidR="00906403" w:rsidRDefault="00906403"/>
    <w:p w:rsidR="009577F4" w:rsidRDefault="00271055" w:rsidP="007A67D4">
      <w:r>
        <w:t xml:space="preserve">However, pretest results show that baseline conditions do affect willingness to pay estimates.  </w:t>
      </w:r>
      <w:r w:rsidR="009577F4">
        <w:t>W</w:t>
      </w:r>
      <w:r>
        <w:t xml:space="preserve">e are requesting </w:t>
      </w:r>
      <w:r w:rsidR="00BF6781">
        <w:t xml:space="preserve">OMB approval of </w:t>
      </w:r>
      <w:r>
        <w:t>the non-substantive change of administering the improving baseline version of the survey in just one of the three geographic strat</w:t>
      </w:r>
      <w:r w:rsidR="00AC1708">
        <w:t>a</w:t>
      </w:r>
      <w:r>
        <w:t xml:space="preserve">.  This will improve the utility of the survey for </w:t>
      </w:r>
      <w:r w:rsidR="00AC1708">
        <w:t>future applications</w:t>
      </w:r>
      <w:r>
        <w:t xml:space="preserve"> </w:t>
      </w:r>
      <w:r w:rsidR="003C3E40">
        <w:t xml:space="preserve">to the Chesapeake Bay </w:t>
      </w:r>
      <w:r>
        <w:t>in which an improving baseline may be relevant</w:t>
      </w:r>
      <w:r w:rsidR="00E557AC">
        <w:t xml:space="preserve">.  </w:t>
      </w:r>
      <w:r>
        <w:t xml:space="preserve">The Bay States stratum had the </w:t>
      </w:r>
      <w:r w:rsidDel="007A67D4">
        <w:t xml:space="preserve">highest response rate in the pretest and therefore provides the most robust geographic area for collecting additional data.  </w:t>
      </w:r>
    </w:p>
    <w:p w:rsidR="00E97202" w:rsidRDefault="00E97202" w:rsidP="00E97202"/>
    <w:p w:rsidR="001316C4" w:rsidRDefault="009577F4" w:rsidP="001316C4">
      <w:pPr>
        <w:pStyle w:val="ListParagraph"/>
        <w:numPr>
          <w:ilvl w:val="0"/>
          <w:numId w:val="1"/>
        </w:numPr>
      </w:pPr>
      <w:r>
        <w:t>Changes in</w:t>
      </w:r>
      <w:r w:rsidR="008B5C38">
        <w:t xml:space="preserve"> Agency Cost and Respondent</w:t>
      </w:r>
      <w:r>
        <w:t xml:space="preserve"> Burden Estimates</w:t>
      </w:r>
    </w:p>
    <w:p w:rsidR="001316C4" w:rsidRDefault="001316C4"/>
    <w:p w:rsidR="00191E21" w:rsidRDefault="00332343">
      <w:r w:rsidRPr="00024F4A">
        <w:lastRenderedPageBreak/>
        <w:t>Removing the 2040</w:t>
      </w:r>
      <w:r w:rsidR="00B87D2A" w:rsidRPr="00024F4A">
        <w:t xml:space="preserve"> version completely</w:t>
      </w:r>
      <w:r w:rsidRPr="00024F4A">
        <w:t xml:space="preserve"> </w:t>
      </w:r>
      <w:r w:rsidR="0038231C" w:rsidRPr="00024F4A">
        <w:t xml:space="preserve">and </w:t>
      </w:r>
      <w:r w:rsidR="00B87D2A" w:rsidRPr="00024F4A">
        <w:t xml:space="preserve">the </w:t>
      </w:r>
      <w:r w:rsidR="0038231C" w:rsidRPr="00024F4A">
        <w:t xml:space="preserve">improving baseline </w:t>
      </w:r>
      <w:r w:rsidRPr="00024F4A">
        <w:t>version</w:t>
      </w:r>
      <w:r w:rsidR="00B87D2A" w:rsidRPr="00024F4A">
        <w:t xml:space="preserve"> from two geographic strata </w:t>
      </w:r>
      <w:r w:rsidR="004E193A">
        <w:t xml:space="preserve">reduces EPA’s costs of conducting the main survey by </w:t>
      </w:r>
      <w:r w:rsidR="008B5C38">
        <w:t xml:space="preserve">over 60%.  Those changes </w:t>
      </w:r>
      <w:r w:rsidR="00191E21" w:rsidRPr="00024F4A">
        <w:t xml:space="preserve">will </w:t>
      </w:r>
      <w:r w:rsidR="008B5C38">
        <w:t>also affect the estimated respondent burden in the following way</w:t>
      </w:r>
      <w:r w:rsidR="00191E21" w:rsidRPr="00024F4A">
        <w:t>.</w:t>
      </w:r>
      <w:r w:rsidR="00C97D9A">
        <w:t xml:space="preserve">  </w:t>
      </w:r>
    </w:p>
    <w:p w:rsidR="0038231C" w:rsidRDefault="0038231C"/>
    <w:p w:rsidR="00B96947" w:rsidRPr="00B96947" w:rsidRDefault="00B96947">
      <w:pPr>
        <w:rPr>
          <w:b/>
        </w:rPr>
      </w:pPr>
      <w:r>
        <w:rPr>
          <w:b/>
        </w:rPr>
        <w:t xml:space="preserve">Change in Burden and Cost Estimates </w:t>
      </w:r>
      <w:r w:rsidR="00F20C64">
        <w:rPr>
          <w:b/>
        </w:rPr>
        <w:t>for Survey and Non-Response Bias Questionnaire</w:t>
      </w:r>
    </w:p>
    <w:tbl>
      <w:tblPr>
        <w:tblStyle w:val="TableGrid"/>
        <w:tblW w:w="0" w:type="auto"/>
        <w:tblInd w:w="108" w:type="dxa"/>
        <w:tblLook w:val="04A0"/>
      </w:tblPr>
      <w:tblGrid>
        <w:gridCol w:w="2160"/>
        <w:gridCol w:w="1010"/>
        <w:gridCol w:w="1016"/>
        <w:gridCol w:w="1234"/>
        <w:gridCol w:w="1170"/>
        <w:gridCol w:w="1350"/>
        <w:gridCol w:w="1260"/>
      </w:tblGrid>
      <w:tr w:rsidR="00F42141" w:rsidTr="00C97D9A">
        <w:trPr>
          <w:trHeight w:val="506"/>
        </w:trPr>
        <w:tc>
          <w:tcPr>
            <w:tcW w:w="2160" w:type="dxa"/>
          </w:tcPr>
          <w:p w:rsidR="00F42141" w:rsidRDefault="00F42141"/>
        </w:tc>
        <w:tc>
          <w:tcPr>
            <w:tcW w:w="2026" w:type="dxa"/>
            <w:gridSpan w:val="2"/>
            <w:tcBorders>
              <w:bottom w:val="single" w:sz="4" w:space="0" w:color="auto"/>
            </w:tcBorders>
            <w:vAlign w:val="center"/>
          </w:tcPr>
          <w:p w:rsidR="00F42141" w:rsidRDefault="004E193A" w:rsidP="00F42141">
            <w:pPr>
              <w:jc w:val="center"/>
            </w:pPr>
            <w:r>
              <w:t>Completed Surveys</w:t>
            </w:r>
          </w:p>
        </w:tc>
        <w:tc>
          <w:tcPr>
            <w:tcW w:w="2404" w:type="dxa"/>
            <w:gridSpan w:val="2"/>
            <w:tcBorders>
              <w:bottom w:val="single" w:sz="4" w:space="0" w:color="auto"/>
            </w:tcBorders>
            <w:vAlign w:val="center"/>
          </w:tcPr>
          <w:p w:rsidR="00F42141" w:rsidRDefault="00F42141" w:rsidP="00F42141">
            <w:pPr>
              <w:jc w:val="center"/>
            </w:pPr>
            <w:r>
              <w:t>Burden (hours)</w:t>
            </w:r>
            <w:r w:rsidR="00C97D9A">
              <w:t>*</w:t>
            </w:r>
          </w:p>
        </w:tc>
        <w:tc>
          <w:tcPr>
            <w:tcW w:w="2610" w:type="dxa"/>
            <w:gridSpan w:val="2"/>
            <w:tcBorders>
              <w:bottom w:val="single" w:sz="4" w:space="0" w:color="auto"/>
            </w:tcBorders>
            <w:vAlign w:val="center"/>
          </w:tcPr>
          <w:p w:rsidR="00F42141" w:rsidRDefault="00F42141" w:rsidP="00F42141">
            <w:pPr>
              <w:jc w:val="center"/>
            </w:pPr>
            <w:r>
              <w:t>Cost (2012$)</w:t>
            </w:r>
            <w:r w:rsidR="00C97D9A">
              <w:t>**</w:t>
            </w:r>
          </w:p>
        </w:tc>
      </w:tr>
      <w:tr w:rsidR="00C97D9A" w:rsidTr="00C97D9A">
        <w:trPr>
          <w:trHeight w:val="506"/>
        </w:trPr>
        <w:tc>
          <w:tcPr>
            <w:tcW w:w="2160" w:type="dxa"/>
            <w:vAlign w:val="center"/>
          </w:tcPr>
          <w:p w:rsidR="00F42141" w:rsidRDefault="00F42141" w:rsidP="00C97D9A">
            <w:pPr>
              <w:jc w:val="center"/>
            </w:pPr>
            <w:r>
              <w:t>Main Survey</w:t>
            </w:r>
          </w:p>
        </w:tc>
        <w:tc>
          <w:tcPr>
            <w:tcW w:w="1010" w:type="dxa"/>
            <w:tcBorders>
              <w:right w:val="nil"/>
            </w:tcBorders>
            <w:vAlign w:val="center"/>
          </w:tcPr>
          <w:p w:rsidR="00F42141" w:rsidRPr="00C97D9A" w:rsidRDefault="00C97D9A" w:rsidP="00C97D9A">
            <w:pPr>
              <w:jc w:val="center"/>
              <w:rPr>
                <w:strike/>
                <w:color w:val="FF0000"/>
              </w:rPr>
            </w:pPr>
            <w:r w:rsidRPr="00C97D9A">
              <w:rPr>
                <w:strike/>
                <w:color w:val="FF0000"/>
              </w:rPr>
              <w:t>5,184</w:t>
            </w:r>
          </w:p>
        </w:tc>
        <w:tc>
          <w:tcPr>
            <w:tcW w:w="1016" w:type="dxa"/>
            <w:tcBorders>
              <w:left w:val="nil"/>
            </w:tcBorders>
            <w:vAlign w:val="center"/>
          </w:tcPr>
          <w:p w:rsidR="00F42141" w:rsidRDefault="00EB38D0" w:rsidP="00966E6D">
            <w:pPr>
              <w:jc w:val="center"/>
            </w:pPr>
            <w:r>
              <w:t>1,</w:t>
            </w:r>
            <w:r w:rsidR="00966E6D">
              <w:t>848</w:t>
            </w:r>
          </w:p>
        </w:tc>
        <w:tc>
          <w:tcPr>
            <w:tcW w:w="1234" w:type="dxa"/>
            <w:tcBorders>
              <w:right w:val="nil"/>
            </w:tcBorders>
            <w:vAlign w:val="center"/>
          </w:tcPr>
          <w:p w:rsidR="00F42141" w:rsidRPr="00C97D9A" w:rsidRDefault="00C97D9A" w:rsidP="00C97D9A">
            <w:pPr>
              <w:jc w:val="center"/>
              <w:rPr>
                <w:strike/>
                <w:color w:val="FF0000"/>
              </w:rPr>
            </w:pPr>
            <w:r w:rsidRPr="00C97D9A">
              <w:rPr>
                <w:strike/>
                <w:color w:val="FF0000"/>
              </w:rPr>
              <w:t>1,555</w:t>
            </w:r>
          </w:p>
        </w:tc>
        <w:tc>
          <w:tcPr>
            <w:tcW w:w="1170" w:type="dxa"/>
            <w:tcBorders>
              <w:left w:val="nil"/>
            </w:tcBorders>
            <w:vAlign w:val="center"/>
          </w:tcPr>
          <w:p w:rsidR="00F42141" w:rsidRDefault="00966E6D" w:rsidP="00C97D9A">
            <w:pPr>
              <w:jc w:val="center"/>
            </w:pPr>
            <w:r>
              <w:t>554</w:t>
            </w:r>
          </w:p>
        </w:tc>
        <w:tc>
          <w:tcPr>
            <w:tcW w:w="1350" w:type="dxa"/>
            <w:tcBorders>
              <w:right w:val="nil"/>
            </w:tcBorders>
            <w:vAlign w:val="center"/>
          </w:tcPr>
          <w:p w:rsidR="00F42141" w:rsidRPr="00C97D9A" w:rsidRDefault="00C97D9A" w:rsidP="00C97D9A">
            <w:pPr>
              <w:jc w:val="center"/>
              <w:rPr>
                <w:strike/>
                <w:color w:val="FF0000"/>
              </w:rPr>
            </w:pPr>
            <w:r w:rsidRPr="00C97D9A">
              <w:rPr>
                <w:strike/>
                <w:color w:val="FF0000"/>
              </w:rPr>
              <w:t>$36,283</w:t>
            </w:r>
          </w:p>
        </w:tc>
        <w:tc>
          <w:tcPr>
            <w:tcW w:w="1260" w:type="dxa"/>
            <w:tcBorders>
              <w:left w:val="nil"/>
            </w:tcBorders>
            <w:vAlign w:val="center"/>
          </w:tcPr>
          <w:p w:rsidR="00F42141" w:rsidRDefault="00F20C64" w:rsidP="00966E6D">
            <w:pPr>
              <w:jc w:val="center"/>
            </w:pPr>
            <w:r>
              <w:t>$</w:t>
            </w:r>
            <w:r w:rsidR="00966E6D">
              <w:t>12,934</w:t>
            </w:r>
          </w:p>
        </w:tc>
      </w:tr>
      <w:tr w:rsidR="00C97D9A" w:rsidTr="00C97D9A">
        <w:trPr>
          <w:trHeight w:val="506"/>
        </w:trPr>
        <w:tc>
          <w:tcPr>
            <w:tcW w:w="2160" w:type="dxa"/>
            <w:vAlign w:val="center"/>
          </w:tcPr>
          <w:p w:rsidR="00F42141" w:rsidRDefault="00F42141" w:rsidP="00C97D9A">
            <w:pPr>
              <w:jc w:val="center"/>
            </w:pPr>
            <w:r>
              <w:t>Non-response Bias Study Respondents</w:t>
            </w:r>
          </w:p>
        </w:tc>
        <w:tc>
          <w:tcPr>
            <w:tcW w:w="1010" w:type="dxa"/>
            <w:tcBorders>
              <w:right w:val="nil"/>
            </w:tcBorders>
            <w:vAlign w:val="center"/>
          </w:tcPr>
          <w:p w:rsidR="00F42141" w:rsidRPr="00C97D9A" w:rsidRDefault="00C97D9A" w:rsidP="00C97D9A">
            <w:pPr>
              <w:jc w:val="center"/>
              <w:rPr>
                <w:strike/>
                <w:color w:val="FF0000"/>
              </w:rPr>
            </w:pPr>
            <w:r w:rsidRPr="00C97D9A">
              <w:rPr>
                <w:strike/>
                <w:color w:val="FF0000"/>
              </w:rPr>
              <w:t>900</w:t>
            </w:r>
          </w:p>
        </w:tc>
        <w:tc>
          <w:tcPr>
            <w:tcW w:w="1016" w:type="dxa"/>
            <w:tcBorders>
              <w:left w:val="nil"/>
            </w:tcBorders>
            <w:vAlign w:val="center"/>
          </w:tcPr>
          <w:p w:rsidR="00F42141" w:rsidRDefault="00966E6D" w:rsidP="00C97D9A">
            <w:pPr>
              <w:jc w:val="center"/>
            </w:pPr>
            <w:r>
              <w:t>350</w:t>
            </w:r>
          </w:p>
        </w:tc>
        <w:tc>
          <w:tcPr>
            <w:tcW w:w="1234" w:type="dxa"/>
            <w:tcBorders>
              <w:right w:val="nil"/>
            </w:tcBorders>
            <w:vAlign w:val="center"/>
          </w:tcPr>
          <w:p w:rsidR="00F42141" w:rsidRPr="00C97D9A" w:rsidRDefault="00C97D9A" w:rsidP="00C97D9A">
            <w:pPr>
              <w:jc w:val="center"/>
              <w:rPr>
                <w:strike/>
                <w:color w:val="FF0000"/>
              </w:rPr>
            </w:pPr>
            <w:r w:rsidRPr="00C97D9A">
              <w:rPr>
                <w:strike/>
                <w:color w:val="FF0000"/>
              </w:rPr>
              <w:t>75</w:t>
            </w:r>
          </w:p>
        </w:tc>
        <w:tc>
          <w:tcPr>
            <w:tcW w:w="1170" w:type="dxa"/>
            <w:tcBorders>
              <w:left w:val="nil"/>
            </w:tcBorders>
            <w:vAlign w:val="center"/>
          </w:tcPr>
          <w:p w:rsidR="00F42141" w:rsidRDefault="00966E6D" w:rsidP="00C97D9A">
            <w:pPr>
              <w:jc w:val="center"/>
            </w:pPr>
            <w:r>
              <w:t>29</w:t>
            </w:r>
          </w:p>
        </w:tc>
        <w:tc>
          <w:tcPr>
            <w:tcW w:w="1350" w:type="dxa"/>
            <w:tcBorders>
              <w:right w:val="nil"/>
            </w:tcBorders>
            <w:vAlign w:val="center"/>
          </w:tcPr>
          <w:p w:rsidR="00F42141" w:rsidRPr="00C97D9A" w:rsidRDefault="00C97D9A" w:rsidP="00C97D9A">
            <w:pPr>
              <w:jc w:val="center"/>
              <w:rPr>
                <w:strike/>
                <w:color w:val="FF0000"/>
              </w:rPr>
            </w:pPr>
            <w:r w:rsidRPr="00C97D9A">
              <w:rPr>
                <w:strike/>
                <w:color w:val="FF0000"/>
              </w:rPr>
              <w:t>$1,743</w:t>
            </w:r>
          </w:p>
        </w:tc>
        <w:tc>
          <w:tcPr>
            <w:tcW w:w="1260" w:type="dxa"/>
            <w:tcBorders>
              <w:left w:val="nil"/>
            </w:tcBorders>
            <w:vAlign w:val="center"/>
          </w:tcPr>
          <w:p w:rsidR="00F42141" w:rsidRDefault="00966E6D" w:rsidP="00F20C64">
            <w:pPr>
              <w:jc w:val="center"/>
            </w:pPr>
            <w:r>
              <w:t>$868</w:t>
            </w:r>
          </w:p>
        </w:tc>
      </w:tr>
    </w:tbl>
    <w:p w:rsidR="00191E21" w:rsidRDefault="00C97D9A">
      <w:r>
        <w:t xml:space="preserve">* </w:t>
      </w:r>
      <w:r w:rsidR="00F42141">
        <w:t>Burden estimates of 18 minutes per completed survey are based on observations from cognitive interviews during survey development.</w:t>
      </w:r>
    </w:p>
    <w:p w:rsidR="00F42141" w:rsidRDefault="00C97D9A">
      <w:r>
        <w:t>**</w:t>
      </w:r>
      <w:r w:rsidR="00F42141">
        <w:t xml:space="preserve">Cost estimates are based on an hourly wage rate of $23.33 </w:t>
      </w:r>
      <w:r w:rsidR="008808E9">
        <w:t>(</w:t>
      </w:r>
      <w:r w:rsidR="008808E9" w:rsidRPr="00346807">
        <w:t>U.S. Department of Labor, Bureau of Labor Statistics.</w:t>
      </w:r>
      <w:r w:rsidR="008808E9">
        <w:t xml:space="preserve"> (</w:t>
      </w:r>
      <w:r w:rsidR="008808E9" w:rsidRPr="00346807">
        <w:t>2012</w:t>
      </w:r>
      <w:r w:rsidR="008808E9">
        <w:t>)</w:t>
      </w:r>
      <w:r w:rsidR="008808E9" w:rsidRPr="00346807">
        <w:t>.</w:t>
      </w:r>
      <w:r w:rsidR="008808E9">
        <w:t xml:space="preserve"> </w:t>
      </w:r>
      <w:r w:rsidR="008808E9" w:rsidRPr="00346807">
        <w:t>Table 1: Civilian workers, by major occupational and industry group.</w:t>
      </w:r>
      <w:r w:rsidR="008808E9">
        <w:t xml:space="preserve"> </w:t>
      </w:r>
      <w:r w:rsidR="008808E9" w:rsidRPr="00346807">
        <w:t>May 2012.</w:t>
      </w:r>
      <w:r w:rsidR="008808E9">
        <w:t xml:space="preserve"> </w:t>
      </w:r>
      <w:hyperlink r:id="rId8" w:history="1">
        <w:r w:rsidR="008808E9" w:rsidRPr="00FC11D1">
          <w:rPr>
            <w:rStyle w:val="Hyperlink"/>
          </w:rPr>
          <w:t>http://www.bls.gov/news.release/pdf/realer.pdf</w:t>
        </w:r>
      </w:hyperlink>
      <w:r w:rsidR="008808E9" w:rsidRPr="00346807">
        <w:t>.</w:t>
      </w:r>
      <w:r w:rsidR="008808E9">
        <w:t>)</w:t>
      </w:r>
    </w:p>
    <w:p w:rsidR="00B96947" w:rsidRDefault="00B96947"/>
    <w:p w:rsidR="008B5C38" w:rsidRDefault="008B5C38">
      <w:r>
        <w:t xml:space="preserve">The sample size reductions shown above will not affect EPA’s ability to conduct statistical analysis on survey responses.  The original sample size was developed to enable an independent analysis for each survey version in each geographic stratum.  Removing survey versions completely or in certain strata allows EPA to reduce the sample size proportionally without affecting the robustness of the statistical analysis.  Therefore the power analysis presented in the supporting statement </w:t>
      </w:r>
      <w:r w:rsidR="00E557AC">
        <w:t xml:space="preserve">of the ICR </w:t>
      </w:r>
      <w:r>
        <w:t>is still applicable to the modified experimental design and no additional power analysis is needed.</w:t>
      </w:r>
    </w:p>
    <w:p w:rsidR="0038231C" w:rsidRDefault="0038231C"/>
    <w:p w:rsidR="00E6679E" w:rsidRDefault="00024F4A" w:rsidP="00E6679E">
      <w:pPr>
        <w:pStyle w:val="ListParagraph"/>
        <w:numPr>
          <w:ilvl w:val="0"/>
          <w:numId w:val="1"/>
        </w:numPr>
      </w:pPr>
      <w:r>
        <w:t>Minor changes to description of the Lakes Condition attribute</w:t>
      </w:r>
    </w:p>
    <w:p w:rsidR="001316C4" w:rsidRDefault="001316C4"/>
    <w:p w:rsidR="00B96947" w:rsidRDefault="00B96947">
      <w:r>
        <w:t>We also request</w:t>
      </w:r>
      <w:r w:rsidR="00E97202">
        <w:t xml:space="preserve"> </w:t>
      </w:r>
      <w:r w:rsidR="00BF6781">
        <w:t xml:space="preserve">that OMB approve </w:t>
      </w:r>
      <w:r>
        <w:t>minor text changes to the survey to clarify the description of the Lakes attribute</w:t>
      </w:r>
      <w:r w:rsidR="00E416EF">
        <w:t xml:space="preserve"> and evaluate respondents’ preference for “low algae lakes”</w:t>
      </w:r>
      <w:r>
        <w:t xml:space="preserve"> (</w:t>
      </w:r>
      <w:r w:rsidR="00332343">
        <w:t xml:space="preserve">see the attachment below that shows the requested changes to page 4 of the survey in </w:t>
      </w:r>
      <w:r w:rsidR="00332343" w:rsidRPr="00332343">
        <w:rPr>
          <w:color w:val="FF0000"/>
        </w:rPr>
        <w:t>RED</w:t>
      </w:r>
      <w:r>
        <w:t>).</w:t>
      </w:r>
      <w:r w:rsidR="00332343">
        <w:t xml:space="preserve">  </w:t>
      </w:r>
      <w:r w:rsidR="00955BF4">
        <w:t>Full versions of the Declining, Constant, and Improving Baseline Surveys</w:t>
      </w:r>
      <w:r w:rsidR="00D6067A">
        <w:t xml:space="preserve"> reflecting this revision </w:t>
      </w:r>
      <w:r w:rsidR="00955BF4">
        <w:t>are also attached as separate PDFs.</w:t>
      </w:r>
    </w:p>
    <w:p w:rsidR="00984420" w:rsidRDefault="00984420">
      <w:pPr>
        <w:spacing w:line="276" w:lineRule="auto"/>
      </w:pPr>
    </w:p>
    <w:p w:rsidR="00BB0A39" w:rsidRDefault="00BB0A39">
      <w:pPr>
        <w:spacing w:line="276" w:lineRule="auto"/>
      </w:pPr>
    </w:p>
    <w:p w:rsidR="00BB0A39" w:rsidRDefault="00BB0A39">
      <w:pPr>
        <w:spacing w:line="276" w:lineRule="auto"/>
      </w:pPr>
      <w:r>
        <w:rPr>
          <w:b/>
        </w:rPr>
        <w:t>References</w:t>
      </w:r>
    </w:p>
    <w:p w:rsidR="00E6679E" w:rsidRDefault="00E21FAE" w:rsidP="00E6679E">
      <w:pPr>
        <w:autoSpaceDE w:val="0"/>
        <w:autoSpaceDN w:val="0"/>
        <w:adjustRightInd w:val="0"/>
        <w:rPr>
          <w:rFonts w:cs="Times New Roman"/>
        </w:rPr>
      </w:pPr>
      <w:r>
        <w:rPr>
          <w:rFonts w:cs="Times New Roman"/>
        </w:rPr>
        <w:t>Alberini, A.</w:t>
      </w:r>
      <w:r w:rsidRPr="00CE55B3">
        <w:rPr>
          <w:rFonts w:cs="Times New Roman"/>
        </w:rPr>
        <w:t>, M</w:t>
      </w:r>
      <w:r>
        <w:rPr>
          <w:rFonts w:cs="Times New Roman"/>
        </w:rPr>
        <w:t>.</w:t>
      </w:r>
      <w:r w:rsidRPr="00CE55B3">
        <w:rPr>
          <w:rFonts w:cs="Times New Roman"/>
        </w:rPr>
        <w:t xml:space="preserve"> Cropper, A</w:t>
      </w:r>
      <w:r>
        <w:rPr>
          <w:rFonts w:cs="Times New Roman"/>
        </w:rPr>
        <w:t>.</w:t>
      </w:r>
      <w:r w:rsidRPr="00CE55B3">
        <w:rPr>
          <w:rFonts w:cs="Times New Roman"/>
        </w:rPr>
        <w:t xml:space="preserve"> Krupnick, and N</w:t>
      </w:r>
      <w:r>
        <w:rPr>
          <w:rFonts w:cs="Times New Roman"/>
        </w:rPr>
        <w:t>.</w:t>
      </w:r>
      <w:r w:rsidRPr="00CE55B3">
        <w:rPr>
          <w:rFonts w:cs="Times New Roman"/>
        </w:rPr>
        <w:t>B. Simon (2004)</w:t>
      </w:r>
      <w:r>
        <w:rPr>
          <w:rFonts w:cs="Times New Roman"/>
        </w:rPr>
        <w:t>.</w:t>
      </w:r>
      <w:r w:rsidRPr="00CE55B3">
        <w:rPr>
          <w:rFonts w:cs="Times New Roman"/>
        </w:rPr>
        <w:t xml:space="preserve"> “Does the value of a statistical life vary with age and health status? Evidence form the US and Canada,” </w:t>
      </w:r>
      <w:r w:rsidRPr="00CE55B3">
        <w:rPr>
          <w:rFonts w:cs="Times New Roman"/>
          <w:i/>
        </w:rPr>
        <w:t>Journal of Environmental Economics and Management</w:t>
      </w:r>
      <w:r w:rsidRPr="00CE55B3">
        <w:rPr>
          <w:rFonts w:cs="Times New Roman"/>
        </w:rPr>
        <w:t xml:space="preserve"> 48</w:t>
      </w:r>
      <w:r>
        <w:rPr>
          <w:rFonts w:cs="Times New Roman"/>
        </w:rPr>
        <w:t>:</w:t>
      </w:r>
      <w:r w:rsidRPr="00CE55B3">
        <w:rPr>
          <w:rFonts w:cs="Times New Roman"/>
        </w:rPr>
        <w:t xml:space="preserve"> 769-792.</w:t>
      </w:r>
    </w:p>
    <w:p w:rsidR="00E21FAE" w:rsidRDefault="00E21FAE" w:rsidP="009C3215">
      <w:pPr>
        <w:spacing w:line="276" w:lineRule="auto"/>
        <w:rPr>
          <w:rFonts w:cs="Times New Roman"/>
          <w:color w:val="222222"/>
          <w:shd w:val="clear" w:color="auto" w:fill="FFFFFF"/>
        </w:rPr>
      </w:pPr>
    </w:p>
    <w:p w:rsidR="00825433" w:rsidRPr="009C3215" w:rsidRDefault="00825433" w:rsidP="00825433">
      <w:pPr>
        <w:spacing w:line="276" w:lineRule="auto"/>
        <w:rPr>
          <w:rFonts w:cs="Times New Roman"/>
          <w:color w:val="222222"/>
          <w:shd w:val="clear" w:color="auto" w:fill="FFFFFF"/>
        </w:rPr>
      </w:pPr>
      <w:r w:rsidRPr="009C3215">
        <w:rPr>
          <w:rFonts w:cs="Times New Roman"/>
          <w:color w:val="222222"/>
          <w:shd w:val="clear" w:color="auto" w:fill="FFFFFF"/>
        </w:rPr>
        <w:t xml:space="preserve">Banzhaf, H. Spencer, </w:t>
      </w:r>
      <w:r>
        <w:rPr>
          <w:rFonts w:cs="Times New Roman"/>
          <w:color w:val="222222"/>
          <w:shd w:val="clear" w:color="auto" w:fill="FFFFFF"/>
        </w:rPr>
        <w:t>Dallas Burtraw, David Evans, and Alan Krupnick</w:t>
      </w:r>
      <w:r w:rsidRPr="009C3215">
        <w:rPr>
          <w:rFonts w:cs="Times New Roman"/>
          <w:color w:val="222222"/>
          <w:shd w:val="clear" w:color="auto" w:fill="FFFFFF"/>
        </w:rPr>
        <w:t>. "Valuation of natural resource improvements in the Adirondacks."</w:t>
      </w:r>
      <w:r w:rsidRPr="009C3215">
        <w:rPr>
          <w:rStyle w:val="apple-converted-space"/>
          <w:rFonts w:cs="Times New Roman"/>
          <w:color w:val="222222"/>
          <w:shd w:val="clear" w:color="auto" w:fill="FFFFFF"/>
        </w:rPr>
        <w:t> </w:t>
      </w:r>
      <w:r w:rsidRPr="009C3215">
        <w:rPr>
          <w:rFonts w:cs="Times New Roman"/>
          <w:i/>
          <w:iCs/>
          <w:color w:val="222222"/>
          <w:shd w:val="clear" w:color="auto" w:fill="FFFFFF"/>
        </w:rPr>
        <w:t>Land Economics</w:t>
      </w:r>
      <w:r w:rsidRPr="009C3215">
        <w:rPr>
          <w:rStyle w:val="apple-converted-space"/>
          <w:rFonts w:cs="Times New Roman"/>
          <w:color w:val="222222"/>
          <w:shd w:val="clear" w:color="auto" w:fill="FFFFFF"/>
        </w:rPr>
        <w:t> </w:t>
      </w:r>
      <w:r w:rsidRPr="009C3215">
        <w:rPr>
          <w:rFonts w:cs="Times New Roman"/>
          <w:color w:val="222222"/>
          <w:shd w:val="clear" w:color="auto" w:fill="FFFFFF"/>
        </w:rPr>
        <w:t>82.3 (2006): 445-464.</w:t>
      </w:r>
    </w:p>
    <w:p w:rsidR="009C3215" w:rsidRDefault="009C3215">
      <w:pPr>
        <w:spacing w:line="276" w:lineRule="auto"/>
        <w:rPr>
          <w:rFonts w:ascii="Arial" w:hAnsi="Arial" w:cs="Arial"/>
          <w:color w:val="222222"/>
          <w:sz w:val="16"/>
          <w:szCs w:val="16"/>
          <w:shd w:val="clear" w:color="auto" w:fill="FFFFFF"/>
        </w:rPr>
      </w:pPr>
    </w:p>
    <w:p w:rsidR="00BB0A39" w:rsidRDefault="00BB0A39">
      <w:pPr>
        <w:spacing w:line="276" w:lineRule="auto"/>
        <w:rPr>
          <w:rFonts w:cs="Times New Roman"/>
          <w:color w:val="222222"/>
          <w:shd w:val="clear" w:color="auto" w:fill="FFFFFF"/>
        </w:rPr>
      </w:pPr>
      <w:r w:rsidRPr="00BB0A39">
        <w:rPr>
          <w:rFonts w:cs="Times New Roman"/>
          <w:color w:val="222222"/>
          <w:shd w:val="clear" w:color="auto" w:fill="FFFFFF"/>
        </w:rPr>
        <w:t>Cameron, Trudy Ann, J. R. DeShazo, and Erica H. Johnson. "Scenario adjustment in stated preference research."</w:t>
      </w:r>
      <w:r w:rsidRPr="00BB0A39">
        <w:rPr>
          <w:rStyle w:val="apple-converted-space"/>
          <w:rFonts w:cs="Times New Roman"/>
          <w:color w:val="222222"/>
          <w:shd w:val="clear" w:color="auto" w:fill="FFFFFF"/>
        </w:rPr>
        <w:t> </w:t>
      </w:r>
      <w:r w:rsidRPr="00BB0A39">
        <w:rPr>
          <w:rFonts w:cs="Times New Roman"/>
          <w:i/>
          <w:iCs/>
          <w:color w:val="222222"/>
          <w:shd w:val="clear" w:color="auto" w:fill="FFFFFF"/>
        </w:rPr>
        <w:t>Journal of Choice Modelling</w:t>
      </w:r>
      <w:r w:rsidRPr="00BB0A39">
        <w:rPr>
          <w:rStyle w:val="apple-converted-space"/>
          <w:rFonts w:cs="Times New Roman"/>
          <w:color w:val="222222"/>
          <w:shd w:val="clear" w:color="auto" w:fill="FFFFFF"/>
        </w:rPr>
        <w:t> </w:t>
      </w:r>
      <w:r w:rsidRPr="00BB0A39">
        <w:rPr>
          <w:rFonts w:cs="Times New Roman"/>
          <w:color w:val="222222"/>
          <w:shd w:val="clear" w:color="auto" w:fill="FFFFFF"/>
        </w:rPr>
        <w:t>4.1 (2011): 9-43.</w:t>
      </w:r>
    </w:p>
    <w:p w:rsidR="00665391" w:rsidRDefault="00665391">
      <w:pPr>
        <w:spacing w:line="276" w:lineRule="auto"/>
        <w:rPr>
          <w:rFonts w:cs="Times New Roman"/>
          <w:color w:val="222222"/>
          <w:shd w:val="clear" w:color="auto" w:fill="FFFFFF"/>
        </w:rPr>
      </w:pPr>
    </w:p>
    <w:p w:rsidR="00665391" w:rsidRDefault="00665391">
      <w:pPr>
        <w:spacing w:line="276" w:lineRule="auto"/>
        <w:rPr>
          <w:rFonts w:cs="Times New Roman"/>
          <w:color w:val="222222"/>
          <w:shd w:val="clear" w:color="auto" w:fill="FFFFFF"/>
        </w:rPr>
      </w:pPr>
      <w:r w:rsidRPr="00665391">
        <w:rPr>
          <w:rFonts w:cs="Times New Roman"/>
          <w:color w:val="222222"/>
          <w:shd w:val="clear" w:color="auto" w:fill="FFFFFF"/>
        </w:rPr>
        <w:t>Hirsch, Robert M., Douglas L. Moyer, and Scott W. Phillips. "Determining Nutrient and Sediment Loads and Trends in the Chesapeake Bay Watershed by Using an Enhanced Statistical Technique." (2013).</w:t>
      </w:r>
    </w:p>
    <w:p w:rsidR="00680223" w:rsidRDefault="00680223">
      <w:pPr>
        <w:spacing w:line="276" w:lineRule="auto"/>
        <w:rPr>
          <w:rFonts w:cs="Times New Roman"/>
          <w:color w:val="222222"/>
          <w:shd w:val="clear" w:color="auto" w:fill="FFFFFF"/>
        </w:rPr>
      </w:pPr>
    </w:p>
    <w:p w:rsidR="00212E40" w:rsidRDefault="00212E40">
      <w:pPr>
        <w:spacing w:line="276" w:lineRule="auto"/>
        <w:rPr>
          <w:rFonts w:cs="Times New Roman"/>
          <w:color w:val="222222"/>
          <w:shd w:val="clear" w:color="auto" w:fill="FFFFFF"/>
        </w:rPr>
      </w:pPr>
      <w:r>
        <w:rPr>
          <w:color w:val="000000"/>
        </w:rPr>
        <w:t xml:space="preserve">OMB. 2003. Circular A-4, Regulatory Analysis, September 17, 2003. Available at: </w:t>
      </w:r>
      <w:hyperlink r:id="rId9" w:history="1">
        <w:r>
          <w:rPr>
            <w:rStyle w:val="Hyperlink"/>
          </w:rPr>
          <w:t>http://www.whitehouse.gov/omb/circulars_a004_a-4/</w:t>
        </w:r>
      </w:hyperlink>
      <w:r>
        <w:rPr>
          <w:rFonts w:cs="Times New Roman"/>
          <w:color w:val="222222"/>
          <w:shd w:val="clear" w:color="auto" w:fill="FFFFFF"/>
        </w:rPr>
        <w:t xml:space="preserve"> </w:t>
      </w:r>
    </w:p>
    <w:p w:rsidR="00212E40" w:rsidRDefault="00212E40">
      <w:pPr>
        <w:spacing w:line="276" w:lineRule="auto"/>
        <w:rPr>
          <w:rFonts w:cs="Times New Roman"/>
          <w:color w:val="222222"/>
          <w:shd w:val="clear" w:color="auto" w:fill="FFFFFF"/>
        </w:rPr>
      </w:pPr>
    </w:p>
    <w:p w:rsidR="00680223" w:rsidRDefault="00680223">
      <w:pPr>
        <w:spacing w:line="276" w:lineRule="auto"/>
        <w:rPr>
          <w:rFonts w:cs="Times New Roman"/>
          <w:color w:val="222222"/>
          <w:shd w:val="clear" w:color="auto" w:fill="FFFFFF"/>
        </w:rPr>
      </w:pPr>
      <w:r>
        <w:rPr>
          <w:rFonts w:cs="Times New Roman"/>
          <w:color w:val="222222"/>
          <w:shd w:val="clear" w:color="auto" w:fill="FFFFFF"/>
        </w:rPr>
        <w:lastRenderedPageBreak/>
        <w:t xml:space="preserve">U.S. EPA.  </w:t>
      </w:r>
      <w:r w:rsidR="001B5707" w:rsidRPr="001B5707">
        <w:rPr>
          <w:rFonts w:cs="Times New Roman"/>
          <w:i/>
          <w:color w:val="222222"/>
          <w:shd w:val="clear" w:color="auto" w:fill="FFFFFF"/>
        </w:rPr>
        <w:t>Guidelines for Preparing Economic Analysis</w:t>
      </w:r>
      <w:r>
        <w:rPr>
          <w:rFonts w:cs="Times New Roman"/>
          <w:color w:val="222222"/>
          <w:shd w:val="clear" w:color="auto" w:fill="FFFFFF"/>
        </w:rPr>
        <w:t xml:space="preserve">.  Washington, DC.  (2010).  </w:t>
      </w:r>
    </w:p>
    <w:p w:rsidR="00665391" w:rsidRDefault="00665391">
      <w:pPr>
        <w:spacing w:line="276" w:lineRule="auto"/>
        <w:rPr>
          <w:rFonts w:cs="Times New Roman"/>
          <w:color w:val="222222"/>
          <w:shd w:val="clear" w:color="auto" w:fill="FFFFFF"/>
        </w:rPr>
      </w:pPr>
    </w:p>
    <w:p w:rsidR="00665391" w:rsidRPr="00665391" w:rsidRDefault="00665391">
      <w:pPr>
        <w:spacing w:line="276" w:lineRule="auto"/>
        <w:rPr>
          <w:rFonts w:cs="Times New Roman"/>
          <w:b/>
          <w:color w:val="222222"/>
          <w:shd w:val="clear" w:color="auto" w:fill="FFFFFF"/>
        </w:rPr>
      </w:pPr>
      <w:r w:rsidRPr="00665391">
        <w:rPr>
          <w:rFonts w:cs="Times New Roman"/>
          <w:b/>
          <w:color w:val="222222"/>
          <w:shd w:val="clear" w:color="auto" w:fill="FFFFFF"/>
        </w:rPr>
        <w:t>Attachments</w:t>
      </w:r>
    </w:p>
    <w:p w:rsidR="00665391" w:rsidRDefault="00665391" w:rsidP="00665391">
      <w:pPr>
        <w:pStyle w:val="ListParagraph"/>
        <w:numPr>
          <w:ilvl w:val="0"/>
          <w:numId w:val="4"/>
        </w:numPr>
        <w:spacing w:line="276" w:lineRule="auto"/>
        <w:rPr>
          <w:rFonts w:cs="Times New Roman"/>
          <w:color w:val="222222"/>
          <w:shd w:val="clear" w:color="auto" w:fill="FFFFFF"/>
        </w:rPr>
      </w:pPr>
      <w:r>
        <w:rPr>
          <w:rFonts w:cs="Times New Roman"/>
          <w:color w:val="222222"/>
          <w:shd w:val="clear" w:color="auto" w:fill="FFFFFF"/>
        </w:rPr>
        <w:t>Changes to description of Lakes Condition attribute (below)</w:t>
      </w:r>
    </w:p>
    <w:p w:rsidR="00665391" w:rsidRDefault="00665391" w:rsidP="00665391">
      <w:pPr>
        <w:pStyle w:val="ListParagraph"/>
        <w:numPr>
          <w:ilvl w:val="0"/>
          <w:numId w:val="4"/>
        </w:numPr>
        <w:spacing w:line="276" w:lineRule="auto"/>
        <w:rPr>
          <w:rFonts w:cs="Times New Roman"/>
          <w:color w:val="222222"/>
          <w:shd w:val="clear" w:color="auto" w:fill="FFFFFF"/>
        </w:rPr>
      </w:pPr>
      <w:r>
        <w:rPr>
          <w:rFonts w:cs="Times New Roman"/>
          <w:color w:val="222222"/>
          <w:shd w:val="clear" w:color="auto" w:fill="FFFFFF"/>
        </w:rPr>
        <w:t>Revised Declining Baseline version of the survey</w:t>
      </w:r>
    </w:p>
    <w:p w:rsidR="00665391" w:rsidRDefault="00665391" w:rsidP="00665391">
      <w:pPr>
        <w:pStyle w:val="ListParagraph"/>
        <w:numPr>
          <w:ilvl w:val="0"/>
          <w:numId w:val="4"/>
        </w:numPr>
        <w:spacing w:line="276" w:lineRule="auto"/>
        <w:rPr>
          <w:rFonts w:cs="Times New Roman"/>
          <w:color w:val="222222"/>
          <w:shd w:val="clear" w:color="auto" w:fill="FFFFFF"/>
        </w:rPr>
      </w:pPr>
      <w:r>
        <w:rPr>
          <w:rFonts w:cs="Times New Roman"/>
          <w:color w:val="222222"/>
          <w:shd w:val="clear" w:color="auto" w:fill="FFFFFF"/>
        </w:rPr>
        <w:t>Revised Constant Baseline version of the survey</w:t>
      </w:r>
    </w:p>
    <w:p w:rsidR="00665391" w:rsidRDefault="00665391" w:rsidP="00665391">
      <w:pPr>
        <w:pStyle w:val="ListParagraph"/>
        <w:numPr>
          <w:ilvl w:val="0"/>
          <w:numId w:val="4"/>
        </w:numPr>
        <w:spacing w:line="276" w:lineRule="auto"/>
        <w:rPr>
          <w:rFonts w:cs="Times New Roman"/>
          <w:color w:val="222222"/>
          <w:shd w:val="clear" w:color="auto" w:fill="FFFFFF"/>
        </w:rPr>
      </w:pPr>
      <w:r>
        <w:rPr>
          <w:rFonts w:cs="Times New Roman"/>
          <w:color w:val="222222"/>
          <w:shd w:val="clear" w:color="auto" w:fill="FFFFFF"/>
        </w:rPr>
        <w:t>Revised Improving Baseline version of the survey</w:t>
      </w:r>
    </w:p>
    <w:p w:rsidR="00665391" w:rsidRDefault="00665391" w:rsidP="00665391">
      <w:pPr>
        <w:pStyle w:val="ListParagraph"/>
        <w:numPr>
          <w:ilvl w:val="0"/>
          <w:numId w:val="4"/>
        </w:numPr>
        <w:spacing w:line="276" w:lineRule="auto"/>
        <w:rPr>
          <w:rFonts w:cs="Times New Roman"/>
          <w:color w:val="222222"/>
          <w:shd w:val="clear" w:color="auto" w:fill="FFFFFF"/>
        </w:rPr>
      </w:pPr>
      <w:r>
        <w:rPr>
          <w:rFonts w:cs="Times New Roman"/>
          <w:color w:val="222222"/>
          <w:shd w:val="clear" w:color="auto" w:fill="FFFFFF"/>
        </w:rPr>
        <w:t xml:space="preserve">Hirsch et. al (2013) </w:t>
      </w:r>
      <w:r w:rsidRPr="00665391">
        <w:rPr>
          <w:rFonts w:cs="Times New Roman"/>
          <w:color w:val="222222"/>
          <w:shd w:val="clear" w:color="auto" w:fill="FFFFFF"/>
        </w:rPr>
        <w:t>"Determining Nutrient and Sediment Loads and Trends in the Chesapeake Bay Watershed by Using an Enhanced Statistical Technique."</w:t>
      </w:r>
    </w:p>
    <w:p w:rsidR="00665391" w:rsidRPr="00E97202" w:rsidRDefault="009C3215" w:rsidP="009C3215">
      <w:pPr>
        <w:pStyle w:val="ListParagraph"/>
        <w:numPr>
          <w:ilvl w:val="0"/>
          <w:numId w:val="4"/>
        </w:numPr>
        <w:spacing w:line="276" w:lineRule="auto"/>
        <w:rPr>
          <w:rFonts w:cs="Times New Roman"/>
          <w:color w:val="222222"/>
          <w:shd w:val="clear" w:color="auto" w:fill="FFFFFF"/>
        </w:rPr>
        <w:sectPr w:rsidR="00665391" w:rsidRPr="00E97202" w:rsidSect="00955BF4">
          <w:pgSz w:w="12240" w:h="15840"/>
          <w:pgMar w:top="1440" w:right="1440" w:bottom="1440" w:left="1440" w:header="720" w:footer="720" w:gutter="0"/>
          <w:cols w:space="720"/>
          <w:docGrid w:linePitch="360"/>
        </w:sectPr>
      </w:pPr>
      <w:r w:rsidRPr="00E97202">
        <w:rPr>
          <w:rFonts w:cs="Times New Roman"/>
          <w:color w:val="222222"/>
          <w:shd w:val="clear" w:color="auto" w:fill="FFFFFF"/>
        </w:rPr>
        <w:t>Pretest summary slides</w:t>
      </w:r>
    </w:p>
    <w:p w:rsidR="00984420" w:rsidRDefault="00984420">
      <w:pPr>
        <w:spacing w:line="276" w:lineRule="auto"/>
      </w:pPr>
    </w:p>
    <w:p w:rsidR="00380108" w:rsidRDefault="00984420">
      <w:pPr>
        <w:spacing w:line="276" w:lineRule="auto"/>
        <w:rPr>
          <w:noProof/>
        </w:rPr>
      </w:pPr>
      <w:r>
        <w:t xml:space="preserve">Attachment: </w:t>
      </w:r>
      <w:r w:rsidRPr="00984420">
        <w:rPr>
          <w:b/>
        </w:rPr>
        <w:t>Changes to page 4 of the survey</w:t>
      </w:r>
    </w:p>
    <w:p w:rsidR="00E11B65" w:rsidRDefault="00E11B65">
      <w:pPr>
        <w:spacing w:line="276" w:lineRule="auto"/>
      </w:pPr>
      <w:r>
        <w:rPr>
          <w:noProof/>
        </w:rPr>
        <w:drawing>
          <wp:inline distT="0" distB="0" distL="0" distR="0">
            <wp:extent cx="9144000" cy="6467475"/>
            <wp:effectExtent l="19050" t="0" r="0" b="0"/>
            <wp:docPr id="12" name="Picture 11" descr="Page 4 Ed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4 Edits.png"/>
                    <pic:cNvPicPr/>
                  </pic:nvPicPr>
                  <pic:blipFill>
                    <a:blip r:embed="rId10" cstate="print"/>
                    <a:stretch>
                      <a:fillRect/>
                    </a:stretch>
                  </pic:blipFill>
                  <pic:spPr>
                    <a:xfrm>
                      <a:off x="0" y="0"/>
                      <a:ext cx="9144000" cy="6467475"/>
                    </a:xfrm>
                    <a:prstGeom prst="rect">
                      <a:avLst/>
                    </a:prstGeom>
                  </pic:spPr>
                </pic:pic>
              </a:graphicData>
            </a:graphic>
          </wp:inline>
        </w:drawing>
      </w:r>
    </w:p>
    <w:sectPr w:rsidR="00E11B65" w:rsidSect="00984420">
      <w:pgSz w:w="15840" w:h="12240" w:orient="landscape"/>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7D6C93" w15:done="0"/>
  <w15:commentEx w15:paraId="32BB1BA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3E2" w:rsidRDefault="007173E2" w:rsidP="009D3B56">
      <w:r>
        <w:separator/>
      </w:r>
    </w:p>
  </w:endnote>
  <w:endnote w:type="continuationSeparator" w:id="0">
    <w:p w:rsidR="007173E2" w:rsidRDefault="007173E2" w:rsidP="009D3B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3E2" w:rsidRDefault="007173E2" w:rsidP="009D3B56">
      <w:r>
        <w:separator/>
      </w:r>
    </w:p>
  </w:footnote>
  <w:footnote w:type="continuationSeparator" w:id="0">
    <w:p w:rsidR="007173E2" w:rsidRDefault="007173E2" w:rsidP="009D3B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71D"/>
    <w:multiLevelType w:val="hybridMultilevel"/>
    <w:tmpl w:val="180E236E"/>
    <w:lvl w:ilvl="0" w:tplc="5358E53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A0868"/>
    <w:multiLevelType w:val="hybridMultilevel"/>
    <w:tmpl w:val="1D000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F7220"/>
    <w:multiLevelType w:val="hybridMultilevel"/>
    <w:tmpl w:val="C57477B4"/>
    <w:lvl w:ilvl="0" w:tplc="34D06EF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D4446"/>
    <w:multiLevelType w:val="hybridMultilevel"/>
    <w:tmpl w:val="F7F413B0"/>
    <w:lvl w:ilvl="0" w:tplc="9FC4894C">
      <w:start w:val="1"/>
      <w:numFmt w:val="bullet"/>
      <w:lvlText w:val="•"/>
      <w:lvlJc w:val="left"/>
      <w:pPr>
        <w:tabs>
          <w:tab w:val="num" w:pos="720"/>
        </w:tabs>
        <w:ind w:left="720" w:hanging="360"/>
      </w:pPr>
      <w:rPr>
        <w:rFonts w:ascii="Arial" w:hAnsi="Arial" w:hint="default"/>
      </w:rPr>
    </w:lvl>
    <w:lvl w:ilvl="1" w:tplc="CED41DC2" w:tentative="1">
      <w:start w:val="1"/>
      <w:numFmt w:val="bullet"/>
      <w:lvlText w:val="•"/>
      <w:lvlJc w:val="left"/>
      <w:pPr>
        <w:tabs>
          <w:tab w:val="num" w:pos="1440"/>
        </w:tabs>
        <w:ind w:left="1440" w:hanging="360"/>
      </w:pPr>
      <w:rPr>
        <w:rFonts w:ascii="Arial" w:hAnsi="Arial" w:hint="default"/>
      </w:rPr>
    </w:lvl>
    <w:lvl w:ilvl="2" w:tplc="15164602" w:tentative="1">
      <w:start w:val="1"/>
      <w:numFmt w:val="bullet"/>
      <w:lvlText w:val="•"/>
      <w:lvlJc w:val="left"/>
      <w:pPr>
        <w:tabs>
          <w:tab w:val="num" w:pos="2160"/>
        </w:tabs>
        <w:ind w:left="2160" w:hanging="360"/>
      </w:pPr>
      <w:rPr>
        <w:rFonts w:ascii="Arial" w:hAnsi="Arial" w:hint="default"/>
      </w:rPr>
    </w:lvl>
    <w:lvl w:ilvl="3" w:tplc="3DB0E822" w:tentative="1">
      <w:start w:val="1"/>
      <w:numFmt w:val="bullet"/>
      <w:lvlText w:val="•"/>
      <w:lvlJc w:val="left"/>
      <w:pPr>
        <w:tabs>
          <w:tab w:val="num" w:pos="2880"/>
        </w:tabs>
        <w:ind w:left="2880" w:hanging="360"/>
      </w:pPr>
      <w:rPr>
        <w:rFonts w:ascii="Arial" w:hAnsi="Arial" w:hint="default"/>
      </w:rPr>
    </w:lvl>
    <w:lvl w:ilvl="4" w:tplc="10ECB05A" w:tentative="1">
      <w:start w:val="1"/>
      <w:numFmt w:val="bullet"/>
      <w:lvlText w:val="•"/>
      <w:lvlJc w:val="left"/>
      <w:pPr>
        <w:tabs>
          <w:tab w:val="num" w:pos="3600"/>
        </w:tabs>
        <w:ind w:left="3600" w:hanging="360"/>
      </w:pPr>
      <w:rPr>
        <w:rFonts w:ascii="Arial" w:hAnsi="Arial" w:hint="default"/>
      </w:rPr>
    </w:lvl>
    <w:lvl w:ilvl="5" w:tplc="FE06E1D0" w:tentative="1">
      <w:start w:val="1"/>
      <w:numFmt w:val="bullet"/>
      <w:lvlText w:val="•"/>
      <w:lvlJc w:val="left"/>
      <w:pPr>
        <w:tabs>
          <w:tab w:val="num" w:pos="4320"/>
        </w:tabs>
        <w:ind w:left="4320" w:hanging="360"/>
      </w:pPr>
      <w:rPr>
        <w:rFonts w:ascii="Arial" w:hAnsi="Arial" w:hint="default"/>
      </w:rPr>
    </w:lvl>
    <w:lvl w:ilvl="6" w:tplc="8BB8A8C8" w:tentative="1">
      <w:start w:val="1"/>
      <w:numFmt w:val="bullet"/>
      <w:lvlText w:val="•"/>
      <w:lvlJc w:val="left"/>
      <w:pPr>
        <w:tabs>
          <w:tab w:val="num" w:pos="5040"/>
        </w:tabs>
        <w:ind w:left="5040" w:hanging="360"/>
      </w:pPr>
      <w:rPr>
        <w:rFonts w:ascii="Arial" w:hAnsi="Arial" w:hint="default"/>
      </w:rPr>
    </w:lvl>
    <w:lvl w:ilvl="7" w:tplc="84B48EB2" w:tentative="1">
      <w:start w:val="1"/>
      <w:numFmt w:val="bullet"/>
      <w:lvlText w:val="•"/>
      <w:lvlJc w:val="left"/>
      <w:pPr>
        <w:tabs>
          <w:tab w:val="num" w:pos="5760"/>
        </w:tabs>
        <w:ind w:left="5760" w:hanging="360"/>
      </w:pPr>
      <w:rPr>
        <w:rFonts w:ascii="Arial" w:hAnsi="Arial" w:hint="default"/>
      </w:rPr>
    </w:lvl>
    <w:lvl w:ilvl="8" w:tplc="B7BE7D9E" w:tentative="1">
      <w:start w:val="1"/>
      <w:numFmt w:val="bullet"/>
      <w:lvlText w:val="•"/>
      <w:lvlJc w:val="left"/>
      <w:pPr>
        <w:tabs>
          <w:tab w:val="num" w:pos="6480"/>
        </w:tabs>
        <w:ind w:left="6480" w:hanging="360"/>
      </w:pPr>
      <w:rPr>
        <w:rFonts w:ascii="Arial" w:hAnsi="Arial" w:hint="default"/>
      </w:rPr>
    </w:lvl>
  </w:abstractNum>
  <w:abstractNum w:abstractNumId="4">
    <w:nsid w:val="33347D9A"/>
    <w:multiLevelType w:val="hybridMultilevel"/>
    <w:tmpl w:val="1F264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F22C38"/>
    <w:multiLevelType w:val="hybridMultilevel"/>
    <w:tmpl w:val="41A26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D53195"/>
    <w:multiLevelType w:val="hybridMultilevel"/>
    <w:tmpl w:val="D5440B06"/>
    <w:lvl w:ilvl="0" w:tplc="94786C0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BE2FAF"/>
    <w:multiLevelType w:val="hybridMultilevel"/>
    <w:tmpl w:val="071C31A8"/>
    <w:lvl w:ilvl="0" w:tplc="70CCD512">
      <w:start w:val="1"/>
      <w:numFmt w:val="bullet"/>
      <w:lvlText w:val="•"/>
      <w:lvlJc w:val="left"/>
      <w:pPr>
        <w:tabs>
          <w:tab w:val="num" w:pos="720"/>
        </w:tabs>
        <w:ind w:left="720" w:hanging="360"/>
      </w:pPr>
      <w:rPr>
        <w:rFonts w:ascii="Arial" w:hAnsi="Arial" w:hint="default"/>
      </w:rPr>
    </w:lvl>
    <w:lvl w:ilvl="1" w:tplc="CCDEFEBA" w:tentative="1">
      <w:start w:val="1"/>
      <w:numFmt w:val="bullet"/>
      <w:lvlText w:val="•"/>
      <w:lvlJc w:val="left"/>
      <w:pPr>
        <w:tabs>
          <w:tab w:val="num" w:pos="1440"/>
        </w:tabs>
        <w:ind w:left="1440" w:hanging="360"/>
      </w:pPr>
      <w:rPr>
        <w:rFonts w:ascii="Arial" w:hAnsi="Arial" w:hint="default"/>
      </w:rPr>
    </w:lvl>
    <w:lvl w:ilvl="2" w:tplc="E06C1082" w:tentative="1">
      <w:start w:val="1"/>
      <w:numFmt w:val="bullet"/>
      <w:lvlText w:val="•"/>
      <w:lvlJc w:val="left"/>
      <w:pPr>
        <w:tabs>
          <w:tab w:val="num" w:pos="2160"/>
        </w:tabs>
        <w:ind w:left="2160" w:hanging="360"/>
      </w:pPr>
      <w:rPr>
        <w:rFonts w:ascii="Arial" w:hAnsi="Arial" w:hint="default"/>
      </w:rPr>
    </w:lvl>
    <w:lvl w:ilvl="3" w:tplc="AC42FF34" w:tentative="1">
      <w:start w:val="1"/>
      <w:numFmt w:val="bullet"/>
      <w:lvlText w:val="•"/>
      <w:lvlJc w:val="left"/>
      <w:pPr>
        <w:tabs>
          <w:tab w:val="num" w:pos="2880"/>
        </w:tabs>
        <w:ind w:left="2880" w:hanging="360"/>
      </w:pPr>
      <w:rPr>
        <w:rFonts w:ascii="Arial" w:hAnsi="Arial" w:hint="default"/>
      </w:rPr>
    </w:lvl>
    <w:lvl w:ilvl="4" w:tplc="22DC92D4" w:tentative="1">
      <w:start w:val="1"/>
      <w:numFmt w:val="bullet"/>
      <w:lvlText w:val="•"/>
      <w:lvlJc w:val="left"/>
      <w:pPr>
        <w:tabs>
          <w:tab w:val="num" w:pos="3600"/>
        </w:tabs>
        <w:ind w:left="3600" w:hanging="360"/>
      </w:pPr>
      <w:rPr>
        <w:rFonts w:ascii="Arial" w:hAnsi="Arial" w:hint="default"/>
      </w:rPr>
    </w:lvl>
    <w:lvl w:ilvl="5" w:tplc="72FA6A88" w:tentative="1">
      <w:start w:val="1"/>
      <w:numFmt w:val="bullet"/>
      <w:lvlText w:val="•"/>
      <w:lvlJc w:val="left"/>
      <w:pPr>
        <w:tabs>
          <w:tab w:val="num" w:pos="4320"/>
        </w:tabs>
        <w:ind w:left="4320" w:hanging="360"/>
      </w:pPr>
      <w:rPr>
        <w:rFonts w:ascii="Arial" w:hAnsi="Arial" w:hint="default"/>
      </w:rPr>
    </w:lvl>
    <w:lvl w:ilvl="6" w:tplc="85BC1926" w:tentative="1">
      <w:start w:val="1"/>
      <w:numFmt w:val="bullet"/>
      <w:lvlText w:val="•"/>
      <w:lvlJc w:val="left"/>
      <w:pPr>
        <w:tabs>
          <w:tab w:val="num" w:pos="5040"/>
        </w:tabs>
        <w:ind w:left="5040" w:hanging="360"/>
      </w:pPr>
      <w:rPr>
        <w:rFonts w:ascii="Arial" w:hAnsi="Arial" w:hint="default"/>
      </w:rPr>
    </w:lvl>
    <w:lvl w:ilvl="7" w:tplc="222C6E02" w:tentative="1">
      <w:start w:val="1"/>
      <w:numFmt w:val="bullet"/>
      <w:lvlText w:val="•"/>
      <w:lvlJc w:val="left"/>
      <w:pPr>
        <w:tabs>
          <w:tab w:val="num" w:pos="5760"/>
        </w:tabs>
        <w:ind w:left="5760" w:hanging="360"/>
      </w:pPr>
      <w:rPr>
        <w:rFonts w:ascii="Arial" w:hAnsi="Arial" w:hint="default"/>
      </w:rPr>
    </w:lvl>
    <w:lvl w:ilvl="8" w:tplc="D25EF192" w:tentative="1">
      <w:start w:val="1"/>
      <w:numFmt w:val="bullet"/>
      <w:lvlText w:val="•"/>
      <w:lvlJc w:val="left"/>
      <w:pPr>
        <w:tabs>
          <w:tab w:val="num" w:pos="6480"/>
        </w:tabs>
        <w:ind w:left="6480" w:hanging="360"/>
      </w:pPr>
      <w:rPr>
        <w:rFonts w:ascii="Arial" w:hAnsi="Arial" w:hint="default"/>
      </w:rPr>
    </w:lvl>
  </w:abstractNum>
  <w:abstractNum w:abstractNumId="8">
    <w:nsid w:val="73CC1F61"/>
    <w:multiLevelType w:val="hybridMultilevel"/>
    <w:tmpl w:val="E300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4"/>
  </w:num>
  <w:num w:numId="5">
    <w:abstractNumId w:val="8"/>
  </w:num>
  <w:num w:numId="6">
    <w:abstractNumId w:val="0"/>
  </w:num>
  <w:num w:numId="7">
    <w:abstractNumId w:val="5"/>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Gartland, Al">
    <w15:presenceInfo w15:providerId="AD" w15:userId="S-1-5-21-1339303556-449845944-1601390327-14714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04BF6"/>
    <w:rsid w:val="00000AB7"/>
    <w:rsid w:val="00003ADC"/>
    <w:rsid w:val="0001336C"/>
    <w:rsid w:val="000217EA"/>
    <w:rsid w:val="00022095"/>
    <w:rsid w:val="00024F4A"/>
    <w:rsid w:val="00026C25"/>
    <w:rsid w:val="000418AA"/>
    <w:rsid w:val="00042FDE"/>
    <w:rsid w:val="00044019"/>
    <w:rsid w:val="00045DC1"/>
    <w:rsid w:val="00050C22"/>
    <w:rsid w:val="000523EA"/>
    <w:rsid w:val="00053863"/>
    <w:rsid w:val="0006106A"/>
    <w:rsid w:val="00061835"/>
    <w:rsid w:val="000672B1"/>
    <w:rsid w:val="0007481B"/>
    <w:rsid w:val="00075172"/>
    <w:rsid w:val="00075EE4"/>
    <w:rsid w:val="0007754A"/>
    <w:rsid w:val="00081C1B"/>
    <w:rsid w:val="00085356"/>
    <w:rsid w:val="00085C5A"/>
    <w:rsid w:val="00090A2E"/>
    <w:rsid w:val="0009142F"/>
    <w:rsid w:val="0009234E"/>
    <w:rsid w:val="00097B12"/>
    <w:rsid w:val="000A24EA"/>
    <w:rsid w:val="000A39ED"/>
    <w:rsid w:val="000A3A45"/>
    <w:rsid w:val="000A61CF"/>
    <w:rsid w:val="000B0D60"/>
    <w:rsid w:val="000B32DA"/>
    <w:rsid w:val="000B710B"/>
    <w:rsid w:val="000C0453"/>
    <w:rsid w:val="000C226B"/>
    <w:rsid w:val="000C4E52"/>
    <w:rsid w:val="000C51FC"/>
    <w:rsid w:val="000C63DC"/>
    <w:rsid w:val="000E0728"/>
    <w:rsid w:val="000E2329"/>
    <w:rsid w:val="00104113"/>
    <w:rsid w:val="001065AD"/>
    <w:rsid w:val="00107A12"/>
    <w:rsid w:val="00107E6C"/>
    <w:rsid w:val="0011528A"/>
    <w:rsid w:val="001169E6"/>
    <w:rsid w:val="00120AA8"/>
    <w:rsid w:val="001316C4"/>
    <w:rsid w:val="001326E0"/>
    <w:rsid w:val="001366CD"/>
    <w:rsid w:val="00137989"/>
    <w:rsid w:val="00141A30"/>
    <w:rsid w:val="001447A7"/>
    <w:rsid w:val="001561BD"/>
    <w:rsid w:val="00157282"/>
    <w:rsid w:val="00177ED8"/>
    <w:rsid w:val="001842C4"/>
    <w:rsid w:val="00185BA7"/>
    <w:rsid w:val="00185DD3"/>
    <w:rsid w:val="00191E21"/>
    <w:rsid w:val="00193663"/>
    <w:rsid w:val="0019420D"/>
    <w:rsid w:val="0019600E"/>
    <w:rsid w:val="001A16FF"/>
    <w:rsid w:val="001A5216"/>
    <w:rsid w:val="001A6AAD"/>
    <w:rsid w:val="001A7964"/>
    <w:rsid w:val="001A7D98"/>
    <w:rsid w:val="001B0E75"/>
    <w:rsid w:val="001B28CE"/>
    <w:rsid w:val="001B4A35"/>
    <w:rsid w:val="001B5707"/>
    <w:rsid w:val="001C3232"/>
    <w:rsid w:val="001C5EAA"/>
    <w:rsid w:val="001C6F2E"/>
    <w:rsid w:val="001E10CA"/>
    <w:rsid w:val="001F2F63"/>
    <w:rsid w:val="001F6F58"/>
    <w:rsid w:val="00210D85"/>
    <w:rsid w:val="00212E40"/>
    <w:rsid w:val="00216313"/>
    <w:rsid w:val="002163AA"/>
    <w:rsid w:val="0021722A"/>
    <w:rsid w:val="00224FF0"/>
    <w:rsid w:val="00226D28"/>
    <w:rsid w:val="0023176B"/>
    <w:rsid w:val="00231BF1"/>
    <w:rsid w:val="00237714"/>
    <w:rsid w:val="0024169D"/>
    <w:rsid w:val="002424B1"/>
    <w:rsid w:val="00254940"/>
    <w:rsid w:val="00254D03"/>
    <w:rsid w:val="002555EB"/>
    <w:rsid w:val="00255F66"/>
    <w:rsid w:val="00257097"/>
    <w:rsid w:val="00264583"/>
    <w:rsid w:val="00266C96"/>
    <w:rsid w:val="00270002"/>
    <w:rsid w:val="00271055"/>
    <w:rsid w:val="002746F4"/>
    <w:rsid w:val="00275A7C"/>
    <w:rsid w:val="00284652"/>
    <w:rsid w:val="002867BA"/>
    <w:rsid w:val="00291E36"/>
    <w:rsid w:val="00293DED"/>
    <w:rsid w:val="00297CDE"/>
    <w:rsid w:val="002A03B7"/>
    <w:rsid w:val="002A689D"/>
    <w:rsid w:val="002A699A"/>
    <w:rsid w:val="002C4627"/>
    <w:rsid w:val="002C723F"/>
    <w:rsid w:val="002D361F"/>
    <w:rsid w:val="002D5177"/>
    <w:rsid w:val="002D67D0"/>
    <w:rsid w:val="002D6EAB"/>
    <w:rsid w:val="002D786B"/>
    <w:rsid w:val="002E43C3"/>
    <w:rsid w:val="002E7DBE"/>
    <w:rsid w:val="002E7E9A"/>
    <w:rsid w:val="002F64B9"/>
    <w:rsid w:val="00300D29"/>
    <w:rsid w:val="0030285B"/>
    <w:rsid w:val="00303FB2"/>
    <w:rsid w:val="00304668"/>
    <w:rsid w:val="00304D6B"/>
    <w:rsid w:val="00305BEE"/>
    <w:rsid w:val="0030704E"/>
    <w:rsid w:val="00313414"/>
    <w:rsid w:val="0031756C"/>
    <w:rsid w:val="0032448F"/>
    <w:rsid w:val="0033231D"/>
    <w:rsid w:val="00332343"/>
    <w:rsid w:val="00332E65"/>
    <w:rsid w:val="0033321C"/>
    <w:rsid w:val="00334A90"/>
    <w:rsid w:val="00335D2C"/>
    <w:rsid w:val="0034344F"/>
    <w:rsid w:val="00351E1F"/>
    <w:rsid w:val="00354838"/>
    <w:rsid w:val="003565C0"/>
    <w:rsid w:val="00363DF3"/>
    <w:rsid w:val="00367EAF"/>
    <w:rsid w:val="003735A7"/>
    <w:rsid w:val="0037670C"/>
    <w:rsid w:val="003777DB"/>
    <w:rsid w:val="00380108"/>
    <w:rsid w:val="00380D02"/>
    <w:rsid w:val="00381C4C"/>
    <w:rsid w:val="0038231C"/>
    <w:rsid w:val="00387A49"/>
    <w:rsid w:val="00395516"/>
    <w:rsid w:val="003A0373"/>
    <w:rsid w:val="003A0D8B"/>
    <w:rsid w:val="003B059D"/>
    <w:rsid w:val="003B2808"/>
    <w:rsid w:val="003B56DE"/>
    <w:rsid w:val="003C00B9"/>
    <w:rsid w:val="003C3E40"/>
    <w:rsid w:val="003C4E04"/>
    <w:rsid w:val="003D23E3"/>
    <w:rsid w:val="003D5A03"/>
    <w:rsid w:val="003D6B0E"/>
    <w:rsid w:val="003D70B1"/>
    <w:rsid w:val="003D73B8"/>
    <w:rsid w:val="003D79FA"/>
    <w:rsid w:val="003E1161"/>
    <w:rsid w:val="003E1CAB"/>
    <w:rsid w:val="003E3401"/>
    <w:rsid w:val="00400922"/>
    <w:rsid w:val="00400F3A"/>
    <w:rsid w:val="00403897"/>
    <w:rsid w:val="00406A63"/>
    <w:rsid w:val="00413C7E"/>
    <w:rsid w:val="004149A0"/>
    <w:rsid w:val="00417CB4"/>
    <w:rsid w:val="004306BF"/>
    <w:rsid w:val="0043303A"/>
    <w:rsid w:val="0043537C"/>
    <w:rsid w:val="0043561C"/>
    <w:rsid w:val="00435EA4"/>
    <w:rsid w:val="00444D14"/>
    <w:rsid w:val="0045185B"/>
    <w:rsid w:val="0045234F"/>
    <w:rsid w:val="00457B2A"/>
    <w:rsid w:val="004626F2"/>
    <w:rsid w:val="0046303A"/>
    <w:rsid w:val="00463431"/>
    <w:rsid w:val="00472BAE"/>
    <w:rsid w:val="00474F32"/>
    <w:rsid w:val="00476A8F"/>
    <w:rsid w:val="00477375"/>
    <w:rsid w:val="00477C0F"/>
    <w:rsid w:val="004823C6"/>
    <w:rsid w:val="00483DBF"/>
    <w:rsid w:val="004859DD"/>
    <w:rsid w:val="00492C06"/>
    <w:rsid w:val="00494512"/>
    <w:rsid w:val="0049485D"/>
    <w:rsid w:val="004A0C60"/>
    <w:rsid w:val="004A1AC1"/>
    <w:rsid w:val="004A3576"/>
    <w:rsid w:val="004B52E2"/>
    <w:rsid w:val="004B5E7D"/>
    <w:rsid w:val="004B62E3"/>
    <w:rsid w:val="004C13E8"/>
    <w:rsid w:val="004C67C3"/>
    <w:rsid w:val="004D2B70"/>
    <w:rsid w:val="004D3B5E"/>
    <w:rsid w:val="004E1820"/>
    <w:rsid w:val="004E193A"/>
    <w:rsid w:val="004E49B5"/>
    <w:rsid w:val="004E7359"/>
    <w:rsid w:val="005004E8"/>
    <w:rsid w:val="00500D60"/>
    <w:rsid w:val="00500E68"/>
    <w:rsid w:val="0050346F"/>
    <w:rsid w:val="00503AB8"/>
    <w:rsid w:val="00505A74"/>
    <w:rsid w:val="00510761"/>
    <w:rsid w:val="00511C20"/>
    <w:rsid w:val="00515A50"/>
    <w:rsid w:val="00515AD7"/>
    <w:rsid w:val="00516231"/>
    <w:rsid w:val="00521DDB"/>
    <w:rsid w:val="0053369C"/>
    <w:rsid w:val="00540D32"/>
    <w:rsid w:val="00546351"/>
    <w:rsid w:val="00546541"/>
    <w:rsid w:val="00550726"/>
    <w:rsid w:val="00554643"/>
    <w:rsid w:val="00555E0C"/>
    <w:rsid w:val="00561186"/>
    <w:rsid w:val="00561354"/>
    <w:rsid w:val="005622BE"/>
    <w:rsid w:val="00562812"/>
    <w:rsid w:val="005645FF"/>
    <w:rsid w:val="00566913"/>
    <w:rsid w:val="00573185"/>
    <w:rsid w:val="00575DA6"/>
    <w:rsid w:val="00576268"/>
    <w:rsid w:val="0057729C"/>
    <w:rsid w:val="0058539A"/>
    <w:rsid w:val="005856CD"/>
    <w:rsid w:val="005856D5"/>
    <w:rsid w:val="00597F6C"/>
    <w:rsid w:val="005A0B5D"/>
    <w:rsid w:val="005A4788"/>
    <w:rsid w:val="005A77FC"/>
    <w:rsid w:val="005B0760"/>
    <w:rsid w:val="005B4A8A"/>
    <w:rsid w:val="005B534C"/>
    <w:rsid w:val="005B7729"/>
    <w:rsid w:val="005B77C0"/>
    <w:rsid w:val="005C148B"/>
    <w:rsid w:val="005C5801"/>
    <w:rsid w:val="005E6A7A"/>
    <w:rsid w:val="005E72FC"/>
    <w:rsid w:val="005F33FF"/>
    <w:rsid w:val="005F4E5D"/>
    <w:rsid w:val="005F5820"/>
    <w:rsid w:val="005F760F"/>
    <w:rsid w:val="006054C5"/>
    <w:rsid w:val="006061B3"/>
    <w:rsid w:val="00616AD4"/>
    <w:rsid w:val="00622FE7"/>
    <w:rsid w:val="006254BE"/>
    <w:rsid w:val="00630FBB"/>
    <w:rsid w:val="00635C41"/>
    <w:rsid w:val="006422E8"/>
    <w:rsid w:val="00645BDA"/>
    <w:rsid w:val="006508F3"/>
    <w:rsid w:val="006533AF"/>
    <w:rsid w:val="00657E92"/>
    <w:rsid w:val="00660CF1"/>
    <w:rsid w:val="00663FC1"/>
    <w:rsid w:val="00665391"/>
    <w:rsid w:val="006664FE"/>
    <w:rsid w:val="00673333"/>
    <w:rsid w:val="0067705E"/>
    <w:rsid w:val="00680173"/>
    <w:rsid w:val="00680223"/>
    <w:rsid w:val="00683FB2"/>
    <w:rsid w:val="0068412E"/>
    <w:rsid w:val="00686428"/>
    <w:rsid w:val="006922B9"/>
    <w:rsid w:val="00697A65"/>
    <w:rsid w:val="006A0D5D"/>
    <w:rsid w:val="006A26AE"/>
    <w:rsid w:val="006A69A8"/>
    <w:rsid w:val="006A6A10"/>
    <w:rsid w:val="006B6692"/>
    <w:rsid w:val="006B6CAF"/>
    <w:rsid w:val="006D0ABB"/>
    <w:rsid w:val="006D43BE"/>
    <w:rsid w:val="006D6C0B"/>
    <w:rsid w:val="006E1774"/>
    <w:rsid w:val="006E235E"/>
    <w:rsid w:val="006E5C30"/>
    <w:rsid w:val="006F25F9"/>
    <w:rsid w:val="006F38C3"/>
    <w:rsid w:val="006F4828"/>
    <w:rsid w:val="00701102"/>
    <w:rsid w:val="00710BBB"/>
    <w:rsid w:val="0071121F"/>
    <w:rsid w:val="00714DC8"/>
    <w:rsid w:val="00716275"/>
    <w:rsid w:val="007168CA"/>
    <w:rsid w:val="007173E2"/>
    <w:rsid w:val="007174E7"/>
    <w:rsid w:val="0071753B"/>
    <w:rsid w:val="00723361"/>
    <w:rsid w:val="00724370"/>
    <w:rsid w:val="00725804"/>
    <w:rsid w:val="007308A8"/>
    <w:rsid w:val="00734290"/>
    <w:rsid w:val="00734D24"/>
    <w:rsid w:val="007352D7"/>
    <w:rsid w:val="007372EB"/>
    <w:rsid w:val="00741A52"/>
    <w:rsid w:val="0074297C"/>
    <w:rsid w:val="007439D2"/>
    <w:rsid w:val="00760AD0"/>
    <w:rsid w:val="0076150B"/>
    <w:rsid w:val="00763B01"/>
    <w:rsid w:val="007653BC"/>
    <w:rsid w:val="00765B79"/>
    <w:rsid w:val="00771F22"/>
    <w:rsid w:val="007729FB"/>
    <w:rsid w:val="00772A52"/>
    <w:rsid w:val="0077469C"/>
    <w:rsid w:val="00780FAB"/>
    <w:rsid w:val="00785EFB"/>
    <w:rsid w:val="007876C8"/>
    <w:rsid w:val="00791241"/>
    <w:rsid w:val="0079232A"/>
    <w:rsid w:val="00792900"/>
    <w:rsid w:val="007A036B"/>
    <w:rsid w:val="007A1D46"/>
    <w:rsid w:val="007A1FA1"/>
    <w:rsid w:val="007A2A45"/>
    <w:rsid w:val="007A3EC5"/>
    <w:rsid w:val="007A67D4"/>
    <w:rsid w:val="007B38EF"/>
    <w:rsid w:val="007C31E4"/>
    <w:rsid w:val="007C3811"/>
    <w:rsid w:val="007C4538"/>
    <w:rsid w:val="007C778E"/>
    <w:rsid w:val="007D1722"/>
    <w:rsid w:val="007D2740"/>
    <w:rsid w:val="007D372F"/>
    <w:rsid w:val="007D3F82"/>
    <w:rsid w:val="007D569F"/>
    <w:rsid w:val="007D58C6"/>
    <w:rsid w:val="007D5B9B"/>
    <w:rsid w:val="007D6214"/>
    <w:rsid w:val="007E65F2"/>
    <w:rsid w:val="007F16CA"/>
    <w:rsid w:val="008004C9"/>
    <w:rsid w:val="008028E0"/>
    <w:rsid w:val="00802A58"/>
    <w:rsid w:val="00802FF7"/>
    <w:rsid w:val="00803562"/>
    <w:rsid w:val="008063B4"/>
    <w:rsid w:val="008103BD"/>
    <w:rsid w:val="00814E4E"/>
    <w:rsid w:val="00820959"/>
    <w:rsid w:val="008242A3"/>
    <w:rsid w:val="00825433"/>
    <w:rsid w:val="00826977"/>
    <w:rsid w:val="00826ADF"/>
    <w:rsid w:val="00826EE9"/>
    <w:rsid w:val="0083627F"/>
    <w:rsid w:val="00847179"/>
    <w:rsid w:val="00863681"/>
    <w:rsid w:val="00866D0C"/>
    <w:rsid w:val="00874C23"/>
    <w:rsid w:val="008808E9"/>
    <w:rsid w:val="00892DEF"/>
    <w:rsid w:val="008949C7"/>
    <w:rsid w:val="00895EB5"/>
    <w:rsid w:val="008A4A1A"/>
    <w:rsid w:val="008A4CD8"/>
    <w:rsid w:val="008A56AD"/>
    <w:rsid w:val="008B0116"/>
    <w:rsid w:val="008B3765"/>
    <w:rsid w:val="008B5C38"/>
    <w:rsid w:val="008C1484"/>
    <w:rsid w:val="008C32F2"/>
    <w:rsid w:val="008C543C"/>
    <w:rsid w:val="008D1A5F"/>
    <w:rsid w:val="008D68DF"/>
    <w:rsid w:val="008E03A2"/>
    <w:rsid w:val="008E395A"/>
    <w:rsid w:val="008E424A"/>
    <w:rsid w:val="008E7845"/>
    <w:rsid w:val="008F5FD4"/>
    <w:rsid w:val="00906403"/>
    <w:rsid w:val="00914036"/>
    <w:rsid w:val="00917939"/>
    <w:rsid w:val="00920E29"/>
    <w:rsid w:val="00931E1B"/>
    <w:rsid w:val="00931F9F"/>
    <w:rsid w:val="0093606A"/>
    <w:rsid w:val="009371F3"/>
    <w:rsid w:val="009407C3"/>
    <w:rsid w:val="00942476"/>
    <w:rsid w:val="00944861"/>
    <w:rsid w:val="00945691"/>
    <w:rsid w:val="00945F31"/>
    <w:rsid w:val="0095096A"/>
    <w:rsid w:val="00950D23"/>
    <w:rsid w:val="0095359E"/>
    <w:rsid w:val="00955BF4"/>
    <w:rsid w:val="00956486"/>
    <w:rsid w:val="0095694F"/>
    <w:rsid w:val="009576BB"/>
    <w:rsid w:val="009577F4"/>
    <w:rsid w:val="00961794"/>
    <w:rsid w:val="009629F2"/>
    <w:rsid w:val="00966E6D"/>
    <w:rsid w:val="009716A2"/>
    <w:rsid w:val="009805E7"/>
    <w:rsid w:val="00984420"/>
    <w:rsid w:val="0099423C"/>
    <w:rsid w:val="009A21CC"/>
    <w:rsid w:val="009A6004"/>
    <w:rsid w:val="009A6B67"/>
    <w:rsid w:val="009A743F"/>
    <w:rsid w:val="009B1030"/>
    <w:rsid w:val="009B2478"/>
    <w:rsid w:val="009B4EA3"/>
    <w:rsid w:val="009B5998"/>
    <w:rsid w:val="009C3215"/>
    <w:rsid w:val="009C4948"/>
    <w:rsid w:val="009C5D6C"/>
    <w:rsid w:val="009D1D1F"/>
    <w:rsid w:val="009D3B56"/>
    <w:rsid w:val="009D7F73"/>
    <w:rsid w:val="009E065E"/>
    <w:rsid w:val="009E2B43"/>
    <w:rsid w:val="009F0BD0"/>
    <w:rsid w:val="009F108A"/>
    <w:rsid w:val="009F512F"/>
    <w:rsid w:val="009F574B"/>
    <w:rsid w:val="00A02195"/>
    <w:rsid w:val="00A0274B"/>
    <w:rsid w:val="00A0392F"/>
    <w:rsid w:val="00A0492C"/>
    <w:rsid w:val="00A05C69"/>
    <w:rsid w:val="00A06F56"/>
    <w:rsid w:val="00A16557"/>
    <w:rsid w:val="00A24A0A"/>
    <w:rsid w:val="00A258BA"/>
    <w:rsid w:val="00A3251D"/>
    <w:rsid w:val="00A414C7"/>
    <w:rsid w:val="00A4407B"/>
    <w:rsid w:val="00A45D47"/>
    <w:rsid w:val="00A52236"/>
    <w:rsid w:val="00A52E7A"/>
    <w:rsid w:val="00A53275"/>
    <w:rsid w:val="00A53973"/>
    <w:rsid w:val="00A54169"/>
    <w:rsid w:val="00A55969"/>
    <w:rsid w:val="00A56D51"/>
    <w:rsid w:val="00A6111F"/>
    <w:rsid w:val="00A616C1"/>
    <w:rsid w:val="00A73B24"/>
    <w:rsid w:val="00A75ECE"/>
    <w:rsid w:val="00A808A0"/>
    <w:rsid w:val="00A8398A"/>
    <w:rsid w:val="00A847D4"/>
    <w:rsid w:val="00A94447"/>
    <w:rsid w:val="00A97574"/>
    <w:rsid w:val="00AA24AE"/>
    <w:rsid w:val="00AA7A7A"/>
    <w:rsid w:val="00AB0D2C"/>
    <w:rsid w:val="00AB0DE4"/>
    <w:rsid w:val="00AB447A"/>
    <w:rsid w:val="00AB4F99"/>
    <w:rsid w:val="00AB5C92"/>
    <w:rsid w:val="00AC1708"/>
    <w:rsid w:val="00AD3319"/>
    <w:rsid w:val="00AE539D"/>
    <w:rsid w:val="00AF1F6C"/>
    <w:rsid w:val="00B017AD"/>
    <w:rsid w:val="00B02495"/>
    <w:rsid w:val="00B06A5E"/>
    <w:rsid w:val="00B074AA"/>
    <w:rsid w:val="00B113D5"/>
    <w:rsid w:val="00B119F7"/>
    <w:rsid w:val="00B12FFA"/>
    <w:rsid w:val="00B162D5"/>
    <w:rsid w:val="00B1692E"/>
    <w:rsid w:val="00B1694F"/>
    <w:rsid w:val="00B2058B"/>
    <w:rsid w:val="00B2236A"/>
    <w:rsid w:val="00B26DB7"/>
    <w:rsid w:val="00B3027C"/>
    <w:rsid w:val="00B3222A"/>
    <w:rsid w:val="00B33CF8"/>
    <w:rsid w:val="00B33E80"/>
    <w:rsid w:val="00B36162"/>
    <w:rsid w:val="00B36D0F"/>
    <w:rsid w:val="00B4072D"/>
    <w:rsid w:val="00B42248"/>
    <w:rsid w:val="00B424F2"/>
    <w:rsid w:val="00B436DA"/>
    <w:rsid w:val="00B46BB4"/>
    <w:rsid w:val="00B47B07"/>
    <w:rsid w:val="00B53139"/>
    <w:rsid w:val="00B53459"/>
    <w:rsid w:val="00B61984"/>
    <w:rsid w:val="00B71B78"/>
    <w:rsid w:val="00B75A58"/>
    <w:rsid w:val="00B75ECB"/>
    <w:rsid w:val="00B767A8"/>
    <w:rsid w:val="00B76E6F"/>
    <w:rsid w:val="00B808C9"/>
    <w:rsid w:val="00B819CA"/>
    <w:rsid w:val="00B834E0"/>
    <w:rsid w:val="00B836DA"/>
    <w:rsid w:val="00B87D2A"/>
    <w:rsid w:val="00B90B99"/>
    <w:rsid w:val="00B96947"/>
    <w:rsid w:val="00BA49FF"/>
    <w:rsid w:val="00BA7728"/>
    <w:rsid w:val="00BA79B8"/>
    <w:rsid w:val="00BA7D8F"/>
    <w:rsid w:val="00BB0348"/>
    <w:rsid w:val="00BB0A39"/>
    <w:rsid w:val="00BB314A"/>
    <w:rsid w:val="00BB5241"/>
    <w:rsid w:val="00BB6C1E"/>
    <w:rsid w:val="00BC329A"/>
    <w:rsid w:val="00BD0EF0"/>
    <w:rsid w:val="00BD2709"/>
    <w:rsid w:val="00BD4075"/>
    <w:rsid w:val="00BF0BCD"/>
    <w:rsid w:val="00BF2DF2"/>
    <w:rsid w:val="00BF382F"/>
    <w:rsid w:val="00BF6781"/>
    <w:rsid w:val="00C02262"/>
    <w:rsid w:val="00C037C0"/>
    <w:rsid w:val="00C07AA5"/>
    <w:rsid w:val="00C10C23"/>
    <w:rsid w:val="00C11C76"/>
    <w:rsid w:val="00C11D3B"/>
    <w:rsid w:val="00C14A67"/>
    <w:rsid w:val="00C162FC"/>
    <w:rsid w:val="00C1706F"/>
    <w:rsid w:val="00C32B18"/>
    <w:rsid w:val="00C3737E"/>
    <w:rsid w:val="00C412D8"/>
    <w:rsid w:val="00C54BC6"/>
    <w:rsid w:val="00C54C51"/>
    <w:rsid w:val="00C60503"/>
    <w:rsid w:val="00C64CC6"/>
    <w:rsid w:val="00C65808"/>
    <w:rsid w:val="00C749FA"/>
    <w:rsid w:val="00C76855"/>
    <w:rsid w:val="00C7696C"/>
    <w:rsid w:val="00C83F23"/>
    <w:rsid w:val="00C87F33"/>
    <w:rsid w:val="00C90C80"/>
    <w:rsid w:val="00C94822"/>
    <w:rsid w:val="00C97045"/>
    <w:rsid w:val="00C97D9A"/>
    <w:rsid w:val="00CA08FF"/>
    <w:rsid w:val="00CA2E4D"/>
    <w:rsid w:val="00CA3728"/>
    <w:rsid w:val="00CA4B94"/>
    <w:rsid w:val="00CB6FBA"/>
    <w:rsid w:val="00CC0089"/>
    <w:rsid w:val="00CC1C7C"/>
    <w:rsid w:val="00CD7C90"/>
    <w:rsid w:val="00CE2B9D"/>
    <w:rsid w:val="00CE35A6"/>
    <w:rsid w:val="00CF4B75"/>
    <w:rsid w:val="00D016C3"/>
    <w:rsid w:val="00D016F1"/>
    <w:rsid w:val="00D0197D"/>
    <w:rsid w:val="00D02846"/>
    <w:rsid w:val="00D03013"/>
    <w:rsid w:val="00D14616"/>
    <w:rsid w:val="00D31168"/>
    <w:rsid w:val="00D347FB"/>
    <w:rsid w:val="00D35206"/>
    <w:rsid w:val="00D432D8"/>
    <w:rsid w:val="00D45224"/>
    <w:rsid w:val="00D52598"/>
    <w:rsid w:val="00D57B63"/>
    <w:rsid w:val="00D6067A"/>
    <w:rsid w:val="00D61124"/>
    <w:rsid w:val="00D617F4"/>
    <w:rsid w:val="00D619FB"/>
    <w:rsid w:val="00D6425E"/>
    <w:rsid w:val="00D64DAD"/>
    <w:rsid w:val="00D70B09"/>
    <w:rsid w:val="00D728A8"/>
    <w:rsid w:val="00D753B0"/>
    <w:rsid w:val="00D75460"/>
    <w:rsid w:val="00D765BC"/>
    <w:rsid w:val="00D802C3"/>
    <w:rsid w:val="00D803ED"/>
    <w:rsid w:val="00D837E9"/>
    <w:rsid w:val="00D85D02"/>
    <w:rsid w:val="00D91D03"/>
    <w:rsid w:val="00D93909"/>
    <w:rsid w:val="00D94E77"/>
    <w:rsid w:val="00D95657"/>
    <w:rsid w:val="00DA652A"/>
    <w:rsid w:val="00DB23AE"/>
    <w:rsid w:val="00DB377B"/>
    <w:rsid w:val="00DB7D85"/>
    <w:rsid w:val="00DC33F6"/>
    <w:rsid w:val="00DC44CF"/>
    <w:rsid w:val="00DE00F4"/>
    <w:rsid w:val="00DE0803"/>
    <w:rsid w:val="00DE5B8C"/>
    <w:rsid w:val="00DF083A"/>
    <w:rsid w:val="00DF32C3"/>
    <w:rsid w:val="00DF35AC"/>
    <w:rsid w:val="00DF3E9A"/>
    <w:rsid w:val="00DF5C59"/>
    <w:rsid w:val="00DF6544"/>
    <w:rsid w:val="00DF6A37"/>
    <w:rsid w:val="00DF7DE1"/>
    <w:rsid w:val="00E11B65"/>
    <w:rsid w:val="00E1451E"/>
    <w:rsid w:val="00E15679"/>
    <w:rsid w:val="00E17439"/>
    <w:rsid w:val="00E21FAE"/>
    <w:rsid w:val="00E2630F"/>
    <w:rsid w:val="00E36DA1"/>
    <w:rsid w:val="00E416EF"/>
    <w:rsid w:val="00E41901"/>
    <w:rsid w:val="00E44BC0"/>
    <w:rsid w:val="00E5236F"/>
    <w:rsid w:val="00E53922"/>
    <w:rsid w:val="00E557AC"/>
    <w:rsid w:val="00E56459"/>
    <w:rsid w:val="00E605B7"/>
    <w:rsid w:val="00E644ED"/>
    <w:rsid w:val="00E6679E"/>
    <w:rsid w:val="00E66ECC"/>
    <w:rsid w:val="00E71B5B"/>
    <w:rsid w:val="00E733D9"/>
    <w:rsid w:val="00E827F5"/>
    <w:rsid w:val="00E8296F"/>
    <w:rsid w:val="00E87FD1"/>
    <w:rsid w:val="00E91E6F"/>
    <w:rsid w:val="00E97202"/>
    <w:rsid w:val="00EA0A97"/>
    <w:rsid w:val="00EA19E5"/>
    <w:rsid w:val="00EA41F2"/>
    <w:rsid w:val="00EA6AA1"/>
    <w:rsid w:val="00EA6E59"/>
    <w:rsid w:val="00EB283C"/>
    <w:rsid w:val="00EB38D0"/>
    <w:rsid w:val="00EC1A90"/>
    <w:rsid w:val="00EC336A"/>
    <w:rsid w:val="00EC37FF"/>
    <w:rsid w:val="00EC7116"/>
    <w:rsid w:val="00EC7B55"/>
    <w:rsid w:val="00ED4DDF"/>
    <w:rsid w:val="00ED78E3"/>
    <w:rsid w:val="00ED7C46"/>
    <w:rsid w:val="00EE73AB"/>
    <w:rsid w:val="00EF32E8"/>
    <w:rsid w:val="00EF6B03"/>
    <w:rsid w:val="00F04BF6"/>
    <w:rsid w:val="00F11758"/>
    <w:rsid w:val="00F14377"/>
    <w:rsid w:val="00F14E9F"/>
    <w:rsid w:val="00F20C64"/>
    <w:rsid w:val="00F21D96"/>
    <w:rsid w:val="00F22E3F"/>
    <w:rsid w:val="00F231EA"/>
    <w:rsid w:val="00F2561B"/>
    <w:rsid w:val="00F2646A"/>
    <w:rsid w:val="00F327E5"/>
    <w:rsid w:val="00F334E2"/>
    <w:rsid w:val="00F33BFB"/>
    <w:rsid w:val="00F374BF"/>
    <w:rsid w:val="00F40948"/>
    <w:rsid w:val="00F40957"/>
    <w:rsid w:val="00F42141"/>
    <w:rsid w:val="00F4351F"/>
    <w:rsid w:val="00F446A0"/>
    <w:rsid w:val="00F46BF7"/>
    <w:rsid w:val="00F4736E"/>
    <w:rsid w:val="00F514DC"/>
    <w:rsid w:val="00F51D6D"/>
    <w:rsid w:val="00F657BD"/>
    <w:rsid w:val="00F65E35"/>
    <w:rsid w:val="00F65EC1"/>
    <w:rsid w:val="00F67B6D"/>
    <w:rsid w:val="00F7440B"/>
    <w:rsid w:val="00F840A7"/>
    <w:rsid w:val="00F8509C"/>
    <w:rsid w:val="00F911B0"/>
    <w:rsid w:val="00F93AFA"/>
    <w:rsid w:val="00F9542C"/>
    <w:rsid w:val="00F96515"/>
    <w:rsid w:val="00F96EEC"/>
    <w:rsid w:val="00F97179"/>
    <w:rsid w:val="00FA3F36"/>
    <w:rsid w:val="00FB15A4"/>
    <w:rsid w:val="00FB49BE"/>
    <w:rsid w:val="00FB5625"/>
    <w:rsid w:val="00FB6BC8"/>
    <w:rsid w:val="00FB6E2F"/>
    <w:rsid w:val="00FC360E"/>
    <w:rsid w:val="00FD0ADF"/>
    <w:rsid w:val="00FD30B4"/>
    <w:rsid w:val="00FE235D"/>
    <w:rsid w:val="00FE4D93"/>
    <w:rsid w:val="00FF34F1"/>
    <w:rsid w:val="00FF3772"/>
    <w:rsid w:val="00FF3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8A"/>
    <w:pPr>
      <w:spacing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98A"/>
    <w:pPr>
      <w:spacing w:line="240" w:lineRule="auto"/>
    </w:pPr>
    <w:rPr>
      <w:rFonts w:ascii="Times New Roman" w:hAnsi="Times New Roman"/>
    </w:rPr>
  </w:style>
  <w:style w:type="table" w:styleId="TableGrid">
    <w:name w:val="Table Grid"/>
    <w:basedOn w:val="TableNormal"/>
    <w:uiPriority w:val="59"/>
    <w:rsid w:val="00F4214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2343"/>
    <w:pPr>
      <w:ind w:left="720"/>
      <w:contextualSpacing/>
    </w:pPr>
  </w:style>
  <w:style w:type="paragraph" w:styleId="BalloonText">
    <w:name w:val="Balloon Text"/>
    <w:basedOn w:val="Normal"/>
    <w:link w:val="BalloonTextChar"/>
    <w:uiPriority w:val="99"/>
    <w:semiHidden/>
    <w:unhideWhenUsed/>
    <w:rsid w:val="00955BF4"/>
    <w:rPr>
      <w:rFonts w:ascii="Tahoma" w:hAnsi="Tahoma" w:cs="Tahoma"/>
      <w:sz w:val="16"/>
      <w:szCs w:val="16"/>
    </w:rPr>
  </w:style>
  <w:style w:type="character" w:customStyle="1" w:styleId="BalloonTextChar">
    <w:name w:val="Balloon Text Char"/>
    <w:basedOn w:val="DefaultParagraphFont"/>
    <w:link w:val="BalloonText"/>
    <w:uiPriority w:val="99"/>
    <w:semiHidden/>
    <w:rsid w:val="00955BF4"/>
    <w:rPr>
      <w:rFonts w:ascii="Tahoma" w:hAnsi="Tahoma" w:cs="Tahoma"/>
      <w:sz w:val="16"/>
      <w:szCs w:val="16"/>
    </w:rPr>
  </w:style>
  <w:style w:type="paragraph" w:styleId="FootnoteText">
    <w:name w:val="footnote text"/>
    <w:basedOn w:val="Normal"/>
    <w:link w:val="FootnoteTextChar"/>
    <w:uiPriority w:val="99"/>
    <w:semiHidden/>
    <w:unhideWhenUsed/>
    <w:rsid w:val="009D3B56"/>
    <w:rPr>
      <w:sz w:val="20"/>
      <w:szCs w:val="20"/>
    </w:rPr>
  </w:style>
  <w:style w:type="character" w:customStyle="1" w:styleId="FootnoteTextChar">
    <w:name w:val="Footnote Text Char"/>
    <w:basedOn w:val="DefaultParagraphFont"/>
    <w:link w:val="FootnoteText"/>
    <w:uiPriority w:val="99"/>
    <w:semiHidden/>
    <w:rsid w:val="009D3B56"/>
    <w:rPr>
      <w:rFonts w:ascii="Times New Roman" w:hAnsi="Times New Roman"/>
      <w:sz w:val="20"/>
      <w:szCs w:val="20"/>
    </w:rPr>
  </w:style>
  <w:style w:type="character" w:styleId="FootnoteReference">
    <w:name w:val="footnote reference"/>
    <w:basedOn w:val="DefaultParagraphFont"/>
    <w:uiPriority w:val="99"/>
    <w:semiHidden/>
    <w:unhideWhenUsed/>
    <w:rsid w:val="009D3B56"/>
    <w:rPr>
      <w:vertAlign w:val="superscript"/>
    </w:rPr>
  </w:style>
  <w:style w:type="paragraph" w:styleId="Header">
    <w:name w:val="header"/>
    <w:basedOn w:val="Normal"/>
    <w:link w:val="HeaderChar"/>
    <w:uiPriority w:val="99"/>
    <w:semiHidden/>
    <w:unhideWhenUsed/>
    <w:rsid w:val="009D3B56"/>
    <w:pPr>
      <w:tabs>
        <w:tab w:val="center" w:pos="4680"/>
        <w:tab w:val="right" w:pos="9360"/>
      </w:tabs>
    </w:pPr>
  </w:style>
  <w:style w:type="character" w:customStyle="1" w:styleId="HeaderChar">
    <w:name w:val="Header Char"/>
    <w:basedOn w:val="DefaultParagraphFont"/>
    <w:link w:val="Header"/>
    <w:uiPriority w:val="99"/>
    <w:semiHidden/>
    <w:rsid w:val="009D3B56"/>
    <w:rPr>
      <w:rFonts w:ascii="Times New Roman" w:hAnsi="Times New Roman"/>
    </w:rPr>
  </w:style>
  <w:style w:type="paragraph" w:styleId="Footer">
    <w:name w:val="footer"/>
    <w:basedOn w:val="Normal"/>
    <w:link w:val="FooterChar"/>
    <w:uiPriority w:val="99"/>
    <w:semiHidden/>
    <w:unhideWhenUsed/>
    <w:rsid w:val="009D3B56"/>
    <w:pPr>
      <w:tabs>
        <w:tab w:val="center" w:pos="4680"/>
        <w:tab w:val="right" w:pos="9360"/>
      </w:tabs>
    </w:pPr>
  </w:style>
  <w:style w:type="character" w:customStyle="1" w:styleId="FooterChar">
    <w:name w:val="Footer Char"/>
    <w:basedOn w:val="DefaultParagraphFont"/>
    <w:link w:val="Footer"/>
    <w:uiPriority w:val="99"/>
    <w:semiHidden/>
    <w:rsid w:val="009D3B56"/>
    <w:rPr>
      <w:rFonts w:ascii="Times New Roman" w:hAnsi="Times New Roman"/>
    </w:rPr>
  </w:style>
  <w:style w:type="character" w:styleId="CommentReference">
    <w:name w:val="annotation reference"/>
    <w:basedOn w:val="DefaultParagraphFont"/>
    <w:uiPriority w:val="99"/>
    <w:semiHidden/>
    <w:unhideWhenUsed/>
    <w:rsid w:val="00DF35AC"/>
    <w:rPr>
      <w:sz w:val="16"/>
      <w:szCs w:val="16"/>
    </w:rPr>
  </w:style>
  <w:style w:type="paragraph" w:styleId="CommentText">
    <w:name w:val="annotation text"/>
    <w:basedOn w:val="Normal"/>
    <w:link w:val="CommentTextChar"/>
    <w:uiPriority w:val="99"/>
    <w:semiHidden/>
    <w:unhideWhenUsed/>
    <w:rsid w:val="00DF35AC"/>
    <w:rPr>
      <w:sz w:val="20"/>
      <w:szCs w:val="20"/>
    </w:rPr>
  </w:style>
  <w:style w:type="character" w:customStyle="1" w:styleId="CommentTextChar">
    <w:name w:val="Comment Text Char"/>
    <w:basedOn w:val="DefaultParagraphFont"/>
    <w:link w:val="CommentText"/>
    <w:uiPriority w:val="99"/>
    <w:semiHidden/>
    <w:rsid w:val="00DF35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F35AC"/>
    <w:rPr>
      <w:b/>
      <w:bCs/>
    </w:rPr>
  </w:style>
  <w:style w:type="character" w:customStyle="1" w:styleId="CommentSubjectChar">
    <w:name w:val="Comment Subject Char"/>
    <w:basedOn w:val="CommentTextChar"/>
    <w:link w:val="CommentSubject"/>
    <w:uiPriority w:val="99"/>
    <w:semiHidden/>
    <w:rsid w:val="00DF35AC"/>
    <w:rPr>
      <w:rFonts w:ascii="Times New Roman" w:hAnsi="Times New Roman"/>
      <w:b/>
      <w:bCs/>
      <w:sz w:val="20"/>
      <w:szCs w:val="20"/>
    </w:rPr>
  </w:style>
  <w:style w:type="character" w:customStyle="1" w:styleId="apple-converted-space">
    <w:name w:val="apple-converted-space"/>
    <w:basedOn w:val="DefaultParagraphFont"/>
    <w:rsid w:val="00BB0A39"/>
  </w:style>
  <w:style w:type="paragraph" w:customStyle="1" w:styleId="Default">
    <w:name w:val="Default"/>
    <w:rsid w:val="006D0ABB"/>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DefaultParagraphFont"/>
    <w:uiPriority w:val="99"/>
    <w:unhideWhenUsed/>
    <w:rsid w:val="00212E40"/>
    <w:rPr>
      <w:color w:val="0000FF"/>
      <w:u w:val="single"/>
    </w:rPr>
  </w:style>
</w:styles>
</file>

<file path=word/webSettings.xml><?xml version="1.0" encoding="utf-8"?>
<w:webSettings xmlns:r="http://schemas.openxmlformats.org/officeDocument/2006/relationships" xmlns:w="http://schemas.openxmlformats.org/wordprocessingml/2006/main">
  <w:divs>
    <w:div w:id="585112053">
      <w:bodyDiv w:val="1"/>
      <w:marLeft w:val="0"/>
      <w:marRight w:val="0"/>
      <w:marTop w:val="0"/>
      <w:marBottom w:val="0"/>
      <w:divBdr>
        <w:top w:val="none" w:sz="0" w:space="0" w:color="auto"/>
        <w:left w:val="none" w:sz="0" w:space="0" w:color="auto"/>
        <w:bottom w:val="none" w:sz="0" w:space="0" w:color="auto"/>
        <w:right w:val="none" w:sz="0" w:space="0" w:color="auto"/>
      </w:divBdr>
      <w:divsChild>
        <w:div w:id="1356955367">
          <w:marLeft w:val="547"/>
          <w:marRight w:val="0"/>
          <w:marTop w:val="77"/>
          <w:marBottom w:val="120"/>
          <w:divBdr>
            <w:top w:val="none" w:sz="0" w:space="0" w:color="auto"/>
            <w:left w:val="none" w:sz="0" w:space="0" w:color="auto"/>
            <w:bottom w:val="none" w:sz="0" w:space="0" w:color="auto"/>
            <w:right w:val="none" w:sz="0" w:space="0" w:color="auto"/>
          </w:divBdr>
        </w:div>
      </w:divsChild>
    </w:div>
    <w:div w:id="609124108">
      <w:bodyDiv w:val="1"/>
      <w:marLeft w:val="0"/>
      <w:marRight w:val="0"/>
      <w:marTop w:val="0"/>
      <w:marBottom w:val="0"/>
      <w:divBdr>
        <w:top w:val="none" w:sz="0" w:space="0" w:color="auto"/>
        <w:left w:val="none" w:sz="0" w:space="0" w:color="auto"/>
        <w:bottom w:val="none" w:sz="0" w:space="0" w:color="auto"/>
        <w:right w:val="none" w:sz="0" w:space="0" w:color="auto"/>
      </w:divBdr>
      <w:divsChild>
        <w:div w:id="388573232">
          <w:marLeft w:val="547"/>
          <w:marRight w:val="0"/>
          <w:marTop w:val="86"/>
          <w:marBottom w:val="0"/>
          <w:divBdr>
            <w:top w:val="none" w:sz="0" w:space="0" w:color="auto"/>
            <w:left w:val="none" w:sz="0" w:space="0" w:color="auto"/>
            <w:bottom w:val="none" w:sz="0" w:space="0" w:color="auto"/>
            <w:right w:val="none" w:sz="0" w:space="0" w:color="auto"/>
          </w:divBdr>
        </w:div>
        <w:div w:id="139396464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realer.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hitehouse.gov/omb/circulars_a004_a-4/"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5019F-3828-4D26-8AC9-1C75DA8D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Moore</dc:creator>
  <cp:lastModifiedBy>JUMBERGE</cp:lastModifiedBy>
  <cp:revision>2</cp:revision>
  <cp:lastPrinted>2014-04-08T16:52:00Z</cp:lastPrinted>
  <dcterms:created xsi:type="dcterms:W3CDTF">2014-04-10T12:53:00Z</dcterms:created>
  <dcterms:modified xsi:type="dcterms:W3CDTF">2014-04-10T12:53:00Z</dcterms:modified>
</cp:coreProperties>
</file>