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28" w:rsidRPr="008D3CCE" w:rsidRDefault="008D3CCE" w:rsidP="000F282C">
      <w:pPr>
        <w:jc w:val="center"/>
        <w:rPr>
          <w:szCs w:val="26"/>
        </w:rPr>
      </w:pPr>
      <w:r>
        <w:rPr>
          <w:szCs w:val="26"/>
        </w:rPr>
        <w:t>146 FERC ¶ 61,199</w:t>
      </w:r>
    </w:p>
    <w:p w:rsidR="00CF2228" w:rsidRPr="00831FCD" w:rsidRDefault="00CF2228" w:rsidP="000F282C">
      <w:pPr>
        <w:jc w:val="center"/>
        <w:outlineLvl w:val="0"/>
        <w:rPr>
          <w:szCs w:val="26"/>
        </w:rPr>
      </w:pPr>
      <w:r w:rsidRPr="00831FCD">
        <w:rPr>
          <w:szCs w:val="26"/>
        </w:rPr>
        <w:t>UNITED STATES OF AMERICA</w:t>
      </w:r>
    </w:p>
    <w:p w:rsidR="00CF2228" w:rsidRPr="00831FCD" w:rsidRDefault="00CF2228" w:rsidP="000F282C">
      <w:pPr>
        <w:jc w:val="center"/>
        <w:rPr>
          <w:szCs w:val="26"/>
        </w:rPr>
      </w:pPr>
      <w:r w:rsidRPr="00831FCD">
        <w:rPr>
          <w:szCs w:val="26"/>
        </w:rPr>
        <w:t>FEDERAL ENERGY REGULATORY COMMISSION</w:t>
      </w:r>
    </w:p>
    <w:p w:rsidR="00CF2228" w:rsidRPr="00831FCD" w:rsidRDefault="00CF2228" w:rsidP="000F282C">
      <w:pPr>
        <w:rPr>
          <w:szCs w:val="26"/>
        </w:rPr>
      </w:pPr>
    </w:p>
    <w:p w:rsidR="00CF2228" w:rsidRPr="008D3CCE" w:rsidRDefault="008D3CCE" w:rsidP="008D3CCE">
      <w:pPr>
        <w:widowControl/>
        <w:rPr>
          <w:szCs w:val="26"/>
        </w:rPr>
      </w:pPr>
      <w:r w:rsidRPr="008D3CCE">
        <w:rPr>
          <w:szCs w:val="26"/>
        </w:rPr>
        <w:t xml:space="preserve">Before Commissioners:  Cheryl A. </w:t>
      </w:r>
      <w:proofErr w:type="spellStart"/>
      <w:r w:rsidRPr="008D3CCE">
        <w:rPr>
          <w:szCs w:val="26"/>
        </w:rPr>
        <w:t>LaFleur</w:t>
      </w:r>
      <w:proofErr w:type="spellEnd"/>
      <w:r w:rsidRPr="008D3CCE">
        <w:rPr>
          <w:szCs w:val="26"/>
        </w:rPr>
        <w:t>, Acting Chairman;</w:t>
      </w:r>
    </w:p>
    <w:p w:rsidR="008D3CCE" w:rsidRPr="008D3CCE" w:rsidRDefault="008D3CCE" w:rsidP="008D3CCE">
      <w:pPr>
        <w:widowControl/>
        <w:rPr>
          <w:szCs w:val="26"/>
        </w:rPr>
      </w:pPr>
      <w:r w:rsidRPr="008D3CCE">
        <w:rPr>
          <w:szCs w:val="26"/>
        </w:rPr>
        <w:t xml:space="preserve">                                        Philip D. Moeller, John R. Norris,</w:t>
      </w:r>
    </w:p>
    <w:p w:rsidR="008D3CCE" w:rsidRDefault="008D3CCE" w:rsidP="008D3CCE">
      <w:pPr>
        <w:widowControl/>
        <w:rPr>
          <w:szCs w:val="26"/>
        </w:rPr>
      </w:pPr>
      <w:r w:rsidRPr="008D3CCE">
        <w:rPr>
          <w:szCs w:val="26"/>
        </w:rPr>
        <w:t xml:space="preserve">                                        </w:t>
      </w:r>
      <w:proofErr w:type="gramStart"/>
      <w:r w:rsidRPr="008D3CCE">
        <w:rPr>
          <w:szCs w:val="26"/>
        </w:rPr>
        <w:t>and</w:t>
      </w:r>
      <w:proofErr w:type="gramEnd"/>
      <w:r w:rsidRPr="008D3CCE">
        <w:rPr>
          <w:szCs w:val="26"/>
        </w:rPr>
        <w:t xml:space="preserve"> Tony Clark.</w:t>
      </w:r>
    </w:p>
    <w:p w:rsidR="008D3CCE" w:rsidRPr="00831FCD" w:rsidRDefault="008D3CCE" w:rsidP="008D3CCE">
      <w:pPr>
        <w:widowControl/>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3"/>
        <w:gridCol w:w="1534"/>
        <w:gridCol w:w="1893"/>
      </w:tblGrid>
      <w:tr w:rsidR="00CF2228" w:rsidRPr="00831FCD" w:rsidTr="00CF2228">
        <w:tc>
          <w:tcPr>
            <w:tcW w:w="6088" w:type="dxa"/>
            <w:shd w:val="clear" w:color="auto" w:fill="auto"/>
          </w:tcPr>
          <w:p w:rsidR="00CF2228" w:rsidRPr="00831FCD" w:rsidRDefault="00CF2228" w:rsidP="000F282C">
            <w:pPr>
              <w:rPr>
                <w:szCs w:val="26"/>
              </w:rPr>
            </w:pPr>
            <w:r w:rsidRPr="00831FCD">
              <w:rPr>
                <w:szCs w:val="26"/>
              </w:rPr>
              <w:t>North American Electric Reliability Corporation</w:t>
            </w:r>
          </w:p>
        </w:tc>
        <w:tc>
          <w:tcPr>
            <w:tcW w:w="1560" w:type="dxa"/>
            <w:shd w:val="clear" w:color="auto" w:fill="auto"/>
          </w:tcPr>
          <w:p w:rsidR="00CF2228" w:rsidRPr="00831FCD" w:rsidRDefault="00AF3E0C" w:rsidP="000F282C">
            <w:pPr>
              <w:tabs>
                <w:tab w:val="left" w:pos="720"/>
                <w:tab w:val="left" w:pos="1440"/>
                <w:tab w:val="left" w:pos="2880"/>
                <w:tab w:val="left" w:pos="4320"/>
                <w:tab w:val="left" w:pos="5040"/>
                <w:tab w:val="left" w:pos="5760"/>
                <w:tab w:val="left" w:pos="6480"/>
                <w:tab w:val="left" w:pos="7200"/>
              </w:tabs>
              <w:jc w:val="right"/>
              <w:rPr>
                <w:szCs w:val="26"/>
              </w:rPr>
            </w:pPr>
            <w:r>
              <w:rPr>
                <w:szCs w:val="26"/>
              </w:rPr>
              <w:t>Docket No.</w:t>
            </w:r>
          </w:p>
        </w:tc>
        <w:tc>
          <w:tcPr>
            <w:tcW w:w="1928" w:type="dxa"/>
            <w:shd w:val="clear" w:color="auto" w:fill="auto"/>
            <w:tcMar>
              <w:left w:w="144" w:type="dxa"/>
            </w:tcMar>
          </w:tcPr>
          <w:p w:rsidR="00CF2228" w:rsidRPr="00831FCD" w:rsidRDefault="00CF2228" w:rsidP="000F282C">
            <w:pPr>
              <w:tabs>
                <w:tab w:val="left" w:pos="720"/>
                <w:tab w:val="left" w:pos="1440"/>
                <w:tab w:val="left" w:pos="2880"/>
                <w:tab w:val="left" w:pos="4320"/>
                <w:tab w:val="left" w:pos="5040"/>
                <w:tab w:val="left" w:pos="5760"/>
                <w:tab w:val="left" w:pos="6480"/>
                <w:tab w:val="left" w:pos="7200"/>
              </w:tabs>
              <w:rPr>
                <w:szCs w:val="26"/>
              </w:rPr>
            </w:pPr>
            <w:r w:rsidRPr="00831FCD">
              <w:rPr>
                <w:szCs w:val="26"/>
              </w:rPr>
              <w:t>RD14-2-000</w:t>
            </w:r>
          </w:p>
        </w:tc>
      </w:tr>
    </w:tbl>
    <w:p w:rsidR="00CF2228" w:rsidRPr="00831FCD" w:rsidRDefault="00CF2228" w:rsidP="000F282C">
      <w:pPr>
        <w:rPr>
          <w:szCs w:val="26"/>
        </w:rPr>
      </w:pPr>
    </w:p>
    <w:p w:rsidR="00CF2228" w:rsidRPr="00831FCD" w:rsidRDefault="00CF2228" w:rsidP="000F282C">
      <w:pPr>
        <w:jc w:val="center"/>
        <w:outlineLvl w:val="0"/>
        <w:rPr>
          <w:szCs w:val="26"/>
        </w:rPr>
      </w:pPr>
      <w:r w:rsidRPr="00831FCD">
        <w:rPr>
          <w:szCs w:val="26"/>
        </w:rPr>
        <w:t xml:space="preserve">ORDER APPROVING </w:t>
      </w:r>
      <w:r w:rsidRPr="00A810FF">
        <w:t>REVISED DEFINITION</w:t>
      </w:r>
      <w:r w:rsidRPr="00831FCD">
        <w:rPr>
          <w:szCs w:val="26"/>
        </w:rPr>
        <w:t xml:space="preserve"> </w:t>
      </w:r>
    </w:p>
    <w:p w:rsidR="00CF2228" w:rsidRPr="00831FCD" w:rsidRDefault="00CF2228" w:rsidP="000F282C">
      <w:pPr>
        <w:jc w:val="center"/>
        <w:rPr>
          <w:szCs w:val="26"/>
        </w:rPr>
      </w:pPr>
    </w:p>
    <w:p w:rsidR="00CF2228" w:rsidRDefault="008D3CCE" w:rsidP="008D3CCE">
      <w:pPr>
        <w:widowControl/>
        <w:jc w:val="center"/>
        <w:rPr>
          <w:szCs w:val="26"/>
        </w:rPr>
      </w:pPr>
      <w:r w:rsidRPr="008D3CCE">
        <w:rPr>
          <w:szCs w:val="26"/>
        </w:rPr>
        <w:t xml:space="preserve">(Issued March </w:t>
      </w:r>
      <w:r>
        <w:rPr>
          <w:szCs w:val="26"/>
        </w:rPr>
        <w:t>20</w:t>
      </w:r>
      <w:r w:rsidRPr="008D3CCE">
        <w:rPr>
          <w:szCs w:val="26"/>
        </w:rPr>
        <w:t>, 2014)</w:t>
      </w:r>
    </w:p>
    <w:p w:rsidR="008D3CCE" w:rsidRPr="008D3CCE" w:rsidRDefault="008D3CCE" w:rsidP="008D3CCE">
      <w:pPr>
        <w:widowControl/>
        <w:rPr>
          <w:szCs w:val="26"/>
        </w:rPr>
      </w:pPr>
    </w:p>
    <w:p w:rsidR="006449E2" w:rsidRPr="00831FCD" w:rsidRDefault="006449E2" w:rsidP="008D7495">
      <w:pPr>
        <w:pStyle w:val="FERCparanumber"/>
        <w:rPr>
          <w:szCs w:val="26"/>
        </w:rPr>
      </w:pPr>
      <w:r w:rsidRPr="00831FCD">
        <w:rPr>
          <w:szCs w:val="26"/>
        </w:rPr>
        <w:t>The North American Electric Reliability Corporation (NERC)</w:t>
      </w:r>
      <w:r w:rsidR="00F92F6C">
        <w:rPr>
          <w:szCs w:val="26"/>
        </w:rPr>
        <w:t>, the Commission-certified Electric Reliability Organization (ERO),</w:t>
      </w:r>
      <w:r w:rsidRPr="00831FCD">
        <w:rPr>
          <w:szCs w:val="26"/>
        </w:rPr>
        <w:t xml:space="preserve"> filed a petition requesting approval, pursuant to section 215(d)</w:t>
      </w:r>
      <w:r w:rsidR="00085B4E">
        <w:rPr>
          <w:szCs w:val="26"/>
        </w:rPr>
        <w:t xml:space="preserve"> </w:t>
      </w:r>
      <w:r w:rsidRPr="00831FCD">
        <w:rPr>
          <w:szCs w:val="26"/>
        </w:rPr>
        <w:t>of the Federal Power Act (FPA) and section 39.5 of the Commission’s regulations,</w:t>
      </w:r>
      <w:r w:rsidRPr="00831FCD">
        <w:rPr>
          <w:rStyle w:val="FootnoteReference"/>
        </w:rPr>
        <w:footnoteReference w:id="2"/>
      </w:r>
      <w:r w:rsidRPr="00831FCD">
        <w:rPr>
          <w:szCs w:val="26"/>
        </w:rPr>
        <w:t xml:space="preserve"> of</w:t>
      </w:r>
      <w:r w:rsidR="0005205C" w:rsidRPr="00831FCD">
        <w:rPr>
          <w:szCs w:val="26"/>
        </w:rPr>
        <w:t xml:space="preserve"> revisions to the definition of “bulk </w:t>
      </w:r>
      <w:r w:rsidR="008F4F40" w:rsidRPr="00831FCD">
        <w:rPr>
          <w:szCs w:val="26"/>
        </w:rPr>
        <w:t>electric system</w:t>
      </w:r>
      <w:r w:rsidR="0005205C" w:rsidRPr="00831FCD">
        <w:rPr>
          <w:szCs w:val="26"/>
        </w:rPr>
        <w:t>”</w:t>
      </w:r>
      <w:r w:rsidR="008F4F40" w:rsidRPr="00831FCD">
        <w:rPr>
          <w:szCs w:val="26"/>
        </w:rPr>
        <w:t xml:space="preserve"> in the NERC Glossary of Terms Used in Reliability Standards</w:t>
      </w:r>
      <w:r w:rsidR="00B078BD">
        <w:rPr>
          <w:szCs w:val="26"/>
        </w:rPr>
        <w:t xml:space="preserve"> (NERC Glossary</w:t>
      </w:r>
      <w:r w:rsidR="00E518F4">
        <w:rPr>
          <w:szCs w:val="26"/>
        </w:rPr>
        <w:t>)</w:t>
      </w:r>
      <w:r w:rsidR="008F4F40" w:rsidRPr="00831FCD">
        <w:rPr>
          <w:szCs w:val="26"/>
        </w:rPr>
        <w:t>.</w:t>
      </w:r>
      <w:r w:rsidR="008D7495" w:rsidRPr="00831FCD">
        <w:rPr>
          <w:szCs w:val="26"/>
        </w:rPr>
        <w:t xml:space="preserve">  NERC also requests approval of the associated implementation plan and expedited Commission action on the proposed </w:t>
      </w:r>
      <w:r w:rsidR="00085B4E">
        <w:rPr>
          <w:szCs w:val="26"/>
        </w:rPr>
        <w:t>d</w:t>
      </w:r>
      <w:r w:rsidR="008D7495" w:rsidRPr="00831FCD">
        <w:rPr>
          <w:szCs w:val="26"/>
        </w:rPr>
        <w:t xml:space="preserve">efinition by March 31, 2014.  </w:t>
      </w:r>
      <w:r w:rsidRPr="00831FCD">
        <w:rPr>
          <w:szCs w:val="26"/>
        </w:rPr>
        <w:t xml:space="preserve">As discussed in this order, we approve </w:t>
      </w:r>
      <w:r w:rsidR="0005205C" w:rsidRPr="00831FCD">
        <w:rPr>
          <w:szCs w:val="26"/>
        </w:rPr>
        <w:t xml:space="preserve">NERC’s revisions to the definition of bulk electric system.  </w:t>
      </w:r>
      <w:r w:rsidRPr="00831FCD">
        <w:rPr>
          <w:szCs w:val="26"/>
        </w:rPr>
        <w:t xml:space="preserve">The </w:t>
      </w:r>
      <w:r w:rsidR="0005205C" w:rsidRPr="00831FCD">
        <w:rPr>
          <w:szCs w:val="26"/>
        </w:rPr>
        <w:t>revised definition will be</w:t>
      </w:r>
      <w:r w:rsidR="009F26D6" w:rsidRPr="00831FCD">
        <w:rPr>
          <w:szCs w:val="26"/>
        </w:rPr>
        <w:t>come</w:t>
      </w:r>
      <w:r w:rsidR="0005205C" w:rsidRPr="00831FCD">
        <w:rPr>
          <w:szCs w:val="26"/>
        </w:rPr>
        <w:t xml:space="preserve"> effective </w:t>
      </w:r>
      <w:r w:rsidR="00104C9E" w:rsidRPr="00831FCD">
        <w:rPr>
          <w:szCs w:val="26"/>
        </w:rPr>
        <w:t xml:space="preserve">on the first day of the second calendar quarter after issuance </w:t>
      </w:r>
      <w:r w:rsidRPr="00831FCD">
        <w:rPr>
          <w:szCs w:val="26"/>
        </w:rPr>
        <w:t xml:space="preserve">of this order, as requested by NERC.  </w:t>
      </w:r>
    </w:p>
    <w:p w:rsidR="006449E2" w:rsidRPr="00831FCD" w:rsidRDefault="006449E2" w:rsidP="00E83360">
      <w:pPr>
        <w:pStyle w:val="Heading1"/>
        <w:numPr>
          <w:ilvl w:val="0"/>
          <w:numId w:val="13"/>
        </w:numPr>
        <w:rPr>
          <w:szCs w:val="26"/>
        </w:rPr>
      </w:pPr>
      <w:r w:rsidRPr="00831FCD">
        <w:rPr>
          <w:szCs w:val="26"/>
        </w:rPr>
        <w:t>Background</w:t>
      </w:r>
    </w:p>
    <w:p w:rsidR="009F1395" w:rsidRPr="00831FCD" w:rsidRDefault="009F1395" w:rsidP="008D3CCE">
      <w:pPr>
        <w:pStyle w:val="Heading2"/>
        <w:tabs>
          <w:tab w:val="clear" w:pos="1080"/>
          <w:tab w:val="num" w:pos="1440"/>
        </w:tabs>
        <w:ind w:left="1440"/>
        <w:rPr>
          <w:szCs w:val="26"/>
        </w:rPr>
      </w:pPr>
      <w:proofErr w:type="spellStart"/>
      <w:r w:rsidRPr="00831FCD">
        <w:rPr>
          <w:szCs w:val="26"/>
        </w:rPr>
        <w:t>EPAct</w:t>
      </w:r>
      <w:proofErr w:type="spellEnd"/>
      <w:r w:rsidRPr="00831FCD">
        <w:rPr>
          <w:szCs w:val="26"/>
        </w:rPr>
        <w:t xml:space="preserve"> 2005 and Mandatory Reliability Standards</w:t>
      </w:r>
    </w:p>
    <w:p w:rsidR="00170D8D" w:rsidRDefault="0005205C" w:rsidP="0005205C">
      <w:pPr>
        <w:pStyle w:val="FERCparanumber"/>
        <w:rPr>
          <w:bCs/>
          <w:szCs w:val="26"/>
        </w:rPr>
      </w:pPr>
      <w:r w:rsidRPr="00831FCD">
        <w:rPr>
          <w:szCs w:val="26"/>
        </w:rPr>
        <w:t>Section 215 of the FPA requires a Commission-certified ERO to develop mandatory and enforceable Reliability Standards, subject to Commission review and approval.  Once approved, the Reliability Standards may be enforced by the ERO, subject to Commission oversight, or by the Commission independently.</w:t>
      </w:r>
      <w:r w:rsidRPr="00831FCD">
        <w:rPr>
          <w:b/>
          <w:szCs w:val="26"/>
          <w:vertAlign w:val="superscript"/>
        </w:rPr>
        <w:footnoteReference w:id="3"/>
      </w:r>
      <w:r w:rsidRPr="00831FCD">
        <w:rPr>
          <w:bCs/>
          <w:szCs w:val="26"/>
        </w:rPr>
        <w:t xml:space="preserve">  The Commission</w:t>
      </w:r>
    </w:p>
    <w:p w:rsidR="00170D8D" w:rsidRDefault="00170D8D">
      <w:pPr>
        <w:widowControl/>
        <w:autoSpaceDE/>
        <w:autoSpaceDN/>
        <w:adjustRightInd/>
        <w:rPr>
          <w:bCs/>
          <w:szCs w:val="26"/>
        </w:rPr>
      </w:pPr>
      <w:r>
        <w:rPr>
          <w:bCs/>
          <w:szCs w:val="26"/>
        </w:rPr>
        <w:br w:type="page"/>
      </w:r>
    </w:p>
    <w:p w:rsidR="0005205C" w:rsidRPr="00831FCD" w:rsidRDefault="0005205C" w:rsidP="00170D8D">
      <w:pPr>
        <w:pStyle w:val="FERCparanumber"/>
        <w:numPr>
          <w:ilvl w:val="0"/>
          <w:numId w:val="0"/>
        </w:numPr>
        <w:rPr>
          <w:szCs w:val="26"/>
        </w:rPr>
      </w:pPr>
      <w:proofErr w:type="gramStart"/>
      <w:r w:rsidRPr="00831FCD">
        <w:rPr>
          <w:bCs/>
          <w:szCs w:val="26"/>
        </w:rPr>
        <w:lastRenderedPageBreak/>
        <w:t>established</w:t>
      </w:r>
      <w:proofErr w:type="gramEnd"/>
      <w:r w:rsidRPr="00831FCD">
        <w:rPr>
          <w:bCs/>
          <w:szCs w:val="26"/>
        </w:rPr>
        <w:t xml:space="preserve"> a process to select and certify an ERO</w:t>
      </w:r>
      <w:r w:rsidRPr="00831FCD">
        <w:rPr>
          <w:rStyle w:val="FootnoteReference"/>
          <w:bCs/>
        </w:rPr>
        <w:footnoteReference w:id="4"/>
      </w:r>
      <w:r w:rsidRPr="00831FCD">
        <w:rPr>
          <w:bCs/>
          <w:szCs w:val="26"/>
        </w:rPr>
        <w:t xml:space="preserve"> and, subsequently, certified NERC </w:t>
      </w:r>
      <w:r w:rsidR="00170D8D">
        <w:rPr>
          <w:bCs/>
          <w:szCs w:val="26"/>
        </w:rPr>
        <w:t xml:space="preserve">  </w:t>
      </w:r>
      <w:r w:rsidRPr="00831FCD">
        <w:rPr>
          <w:bCs/>
          <w:szCs w:val="26"/>
        </w:rPr>
        <w:t>as the ERO.</w:t>
      </w:r>
      <w:r w:rsidRPr="00831FCD">
        <w:rPr>
          <w:b/>
          <w:szCs w:val="26"/>
          <w:vertAlign w:val="superscript"/>
        </w:rPr>
        <w:footnoteReference w:id="5"/>
      </w:r>
      <w:r w:rsidRPr="00831FCD">
        <w:rPr>
          <w:szCs w:val="26"/>
        </w:rPr>
        <w:t xml:space="preserve">  </w:t>
      </w:r>
    </w:p>
    <w:p w:rsidR="0005205C" w:rsidRPr="00831FCD" w:rsidRDefault="0005205C" w:rsidP="0005205C">
      <w:pPr>
        <w:pStyle w:val="FERCparanumber"/>
        <w:rPr>
          <w:szCs w:val="26"/>
        </w:rPr>
      </w:pPr>
      <w:r w:rsidRPr="00831FCD">
        <w:rPr>
          <w:szCs w:val="26"/>
        </w:rPr>
        <w:t xml:space="preserve">On March 16, 2007, in Order No. 693, pursuant to section 215(d) of the FPA, </w:t>
      </w:r>
      <w:r w:rsidR="00170D8D">
        <w:rPr>
          <w:szCs w:val="26"/>
        </w:rPr>
        <w:t xml:space="preserve">   </w:t>
      </w:r>
      <w:r w:rsidRPr="00831FCD">
        <w:rPr>
          <w:szCs w:val="26"/>
        </w:rPr>
        <w:t>the Commission approved 83 of 107 proposed Reliability Standards, six of the eight proposed regional differences, and the NERC Glossary, which includes NERC’s definition of bulk electric system.</w:t>
      </w:r>
      <w:r w:rsidRPr="00831FCD">
        <w:rPr>
          <w:b/>
          <w:szCs w:val="26"/>
          <w:vertAlign w:val="superscript"/>
        </w:rPr>
        <w:footnoteReference w:id="6"/>
      </w:r>
      <w:r w:rsidRPr="00831FCD">
        <w:rPr>
          <w:szCs w:val="26"/>
        </w:rPr>
        <w:t xml:space="preserve">  In approving NERC’s definition of bulk electric system, the Commission stated that “at least for an initial period, the Commission will rely on the NERC definition of bulk electric system and NERC’s registration process to provide as much certainty as possible regarding the applicability to and the responsibility of specific entities to comply with the Reliability Standards.”</w:t>
      </w:r>
      <w:r w:rsidRPr="00831FCD">
        <w:rPr>
          <w:b/>
          <w:szCs w:val="26"/>
          <w:vertAlign w:val="superscript"/>
        </w:rPr>
        <w:footnoteReference w:id="7"/>
      </w:r>
      <w:r w:rsidRPr="00831FCD">
        <w:rPr>
          <w:szCs w:val="26"/>
        </w:rPr>
        <w:t xml:space="preserve">  The Commission also stated that “[it] remains concerned about the need to address the potential for gaps in coverage of facilities.”</w:t>
      </w:r>
      <w:r w:rsidRPr="00831FCD">
        <w:rPr>
          <w:b/>
          <w:szCs w:val="26"/>
          <w:vertAlign w:val="superscript"/>
        </w:rPr>
        <w:footnoteReference w:id="8"/>
      </w:r>
      <w:r w:rsidRPr="00831FCD">
        <w:rPr>
          <w:szCs w:val="26"/>
        </w:rPr>
        <w:t xml:space="preserve">  </w:t>
      </w:r>
    </w:p>
    <w:p w:rsidR="009F1395" w:rsidRPr="00831FCD" w:rsidRDefault="009F1395" w:rsidP="009F1395">
      <w:pPr>
        <w:pStyle w:val="FERCparanumber"/>
        <w:tabs>
          <w:tab w:val="num" w:pos="980"/>
        </w:tabs>
        <w:rPr>
          <w:szCs w:val="26"/>
        </w:rPr>
      </w:pPr>
      <w:r w:rsidRPr="00831FCD">
        <w:rPr>
          <w:szCs w:val="26"/>
        </w:rPr>
        <w:t xml:space="preserve">On November 18, 2010, in Order No. 743, the Commission directed NERC </w:t>
      </w:r>
      <w:r w:rsidR="009F26D6" w:rsidRPr="00831FCD">
        <w:rPr>
          <w:szCs w:val="26"/>
        </w:rPr>
        <w:t xml:space="preserve">to </w:t>
      </w:r>
      <w:r w:rsidRPr="00831FCD">
        <w:rPr>
          <w:szCs w:val="26"/>
        </w:rPr>
        <w:t xml:space="preserve">develop modifications to </w:t>
      </w:r>
      <w:r w:rsidR="00A37B9F">
        <w:rPr>
          <w:szCs w:val="26"/>
        </w:rPr>
        <w:t xml:space="preserve">the </w:t>
      </w:r>
      <w:r w:rsidRPr="00831FCD">
        <w:rPr>
          <w:szCs w:val="26"/>
        </w:rPr>
        <w:t>the</w:t>
      </w:r>
      <w:r w:rsidR="009F26D6" w:rsidRPr="00831FCD">
        <w:rPr>
          <w:szCs w:val="26"/>
        </w:rPr>
        <w:t>n-</w:t>
      </w:r>
      <w:r w:rsidRPr="00831FCD">
        <w:rPr>
          <w:szCs w:val="26"/>
        </w:rPr>
        <w:t>effective definition of the term “bulk electric system” to ensure that the definition encompasses all facilities necessary for operating the interconnected transmission network.</w:t>
      </w:r>
      <w:r w:rsidRPr="00831FCD">
        <w:rPr>
          <w:rStyle w:val="FootnoteReference"/>
        </w:rPr>
        <w:footnoteReference w:id="9"/>
      </w:r>
      <w:r w:rsidRPr="00831FCD">
        <w:rPr>
          <w:szCs w:val="26"/>
        </w:rPr>
        <w:t xml:space="preserve">  The Commission also directed NERC to address </w:t>
      </w:r>
      <w:r w:rsidRPr="00831FCD">
        <w:rPr>
          <w:szCs w:val="26"/>
        </w:rPr>
        <w:lastRenderedPageBreak/>
        <w:t>the Commission’s technical and policy concerns</w:t>
      </w:r>
      <w:r w:rsidR="009F26D6" w:rsidRPr="00831FCD">
        <w:rPr>
          <w:szCs w:val="26"/>
        </w:rPr>
        <w:t xml:space="preserve">, including </w:t>
      </w:r>
      <w:r w:rsidRPr="00831FCD">
        <w:rPr>
          <w:szCs w:val="26"/>
        </w:rPr>
        <w:t xml:space="preserve">inconsistencies in the application of the definition and a lack of oversight and exclusion of facilities from </w:t>
      </w:r>
      <w:r w:rsidR="00015E8A">
        <w:rPr>
          <w:szCs w:val="26"/>
        </w:rPr>
        <w:t xml:space="preserve">      </w:t>
      </w:r>
      <w:r w:rsidRPr="00831FCD">
        <w:rPr>
          <w:szCs w:val="26"/>
        </w:rPr>
        <w:t xml:space="preserve">the bulk electric system required for the operation of the interconnected transmission network.  In Order No. 743, the Commission concluded that the best way to address </w:t>
      </w:r>
      <w:r w:rsidR="00015E8A">
        <w:rPr>
          <w:szCs w:val="26"/>
        </w:rPr>
        <w:t xml:space="preserve"> </w:t>
      </w:r>
      <w:r w:rsidRPr="00831FCD">
        <w:rPr>
          <w:szCs w:val="26"/>
        </w:rPr>
        <w:t xml:space="preserve">these concerns was to eliminate the Regional Entity discretion to define the bulk electric system without NERC or Commission review, maintain a bright-line threshold that includes all facilities operated at or above 100 kV except defined radial facilities, and adopt an exemption process and criteria for removing from the bulk electric system facilities that are not necessary for operating the interconnected transmission network.  </w:t>
      </w:r>
      <w:r w:rsidR="00015E8A">
        <w:rPr>
          <w:szCs w:val="26"/>
        </w:rPr>
        <w:t xml:space="preserve"> </w:t>
      </w:r>
      <w:r w:rsidRPr="00831FCD">
        <w:rPr>
          <w:szCs w:val="26"/>
        </w:rPr>
        <w:t>In Order No. 743, the Commission allowed NERC to “propose a different solution that</w:t>
      </w:r>
      <w:r w:rsidR="00015E8A">
        <w:rPr>
          <w:szCs w:val="26"/>
        </w:rPr>
        <w:t xml:space="preserve">   </w:t>
      </w:r>
      <w:r w:rsidRPr="00831FCD">
        <w:rPr>
          <w:szCs w:val="26"/>
        </w:rPr>
        <w:t>is as effective as, or superior to, the Commission’s proposed approach in addressing the Commission’s technical and other concerns so as to ensure that all necessary facilities are included within the scope of the definition.”</w:t>
      </w:r>
      <w:r w:rsidRPr="00831FCD">
        <w:rPr>
          <w:rStyle w:val="FootnoteReference"/>
        </w:rPr>
        <w:footnoteReference w:id="10"/>
      </w:r>
      <w:r w:rsidRPr="00831FCD">
        <w:rPr>
          <w:szCs w:val="26"/>
        </w:rPr>
        <w:t xml:space="preserve">  </w:t>
      </w:r>
    </w:p>
    <w:p w:rsidR="009F1395" w:rsidRPr="00831FCD" w:rsidRDefault="009F1395" w:rsidP="009F1395">
      <w:pPr>
        <w:pStyle w:val="FERCparanumber"/>
        <w:tabs>
          <w:tab w:val="num" w:pos="980"/>
        </w:tabs>
        <w:rPr>
          <w:szCs w:val="26"/>
        </w:rPr>
      </w:pPr>
      <w:r w:rsidRPr="00831FCD">
        <w:rPr>
          <w:szCs w:val="26"/>
        </w:rPr>
        <w:t xml:space="preserve">On January 25, 2012, NERC </w:t>
      </w:r>
      <w:r w:rsidR="006F3A94">
        <w:rPr>
          <w:szCs w:val="26"/>
        </w:rPr>
        <w:t xml:space="preserve">filed </w:t>
      </w:r>
      <w:r w:rsidRPr="00831FCD">
        <w:rPr>
          <w:szCs w:val="26"/>
        </w:rPr>
        <w:t>proposed revision</w:t>
      </w:r>
      <w:r w:rsidR="00080272" w:rsidRPr="00831FCD">
        <w:rPr>
          <w:szCs w:val="26"/>
        </w:rPr>
        <w:t>s</w:t>
      </w:r>
      <w:r w:rsidRPr="00831FCD">
        <w:rPr>
          <w:szCs w:val="26"/>
        </w:rPr>
        <w:t xml:space="preserve"> to the definition of bulk electric system which include</w:t>
      </w:r>
      <w:r w:rsidR="00080272" w:rsidRPr="00831FCD">
        <w:rPr>
          <w:szCs w:val="26"/>
        </w:rPr>
        <w:t>d</w:t>
      </w:r>
      <w:r w:rsidRPr="00831FCD">
        <w:rPr>
          <w:szCs w:val="26"/>
        </w:rPr>
        <w:t xml:space="preserve"> provisions to include and exclude facilities from the “core” def</w:t>
      </w:r>
      <w:r w:rsidR="00080272" w:rsidRPr="00831FCD">
        <w:rPr>
          <w:szCs w:val="26"/>
        </w:rPr>
        <w:t>inition</w:t>
      </w:r>
      <w:r w:rsidRPr="00831FCD">
        <w:rPr>
          <w:szCs w:val="26"/>
        </w:rPr>
        <w:t xml:space="preserve">.  </w:t>
      </w:r>
      <w:r w:rsidR="006F3A94">
        <w:rPr>
          <w:szCs w:val="26"/>
        </w:rPr>
        <w:t xml:space="preserve">NERC’s proposed </w:t>
      </w:r>
      <w:r w:rsidR="00080272" w:rsidRPr="00831FCD">
        <w:rPr>
          <w:szCs w:val="26"/>
        </w:rPr>
        <w:t>definition consisted</w:t>
      </w:r>
      <w:r w:rsidR="0038612C" w:rsidRPr="00831FCD">
        <w:rPr>
          <w:szCs w:val="26"/>
        </w:rPr>
        <w:t xml:space="preserve"> of a “core” definition and a list of configurations</w:t>
      </w:r>
      <w:r w:rsidR="00080272" w:rsidRPr="00831FCD">
        <w:rPr>
          <w:szCs w:val="26"/>
        </w:rPr>
        <w:t xml:space="preserve"> </w:t>
      </w:r>
      <w:r w:rsidR="0038612C" w:rsidRPr="00831FCD">
        <w:rPr>
          <w:szCs w:val="26"/>
        </w:rPr>
        <w:t xml:space="preserve">of facilities that will be included or excluded from the “core” definition, </w:t>
      </w:r>
      <w:r w:rsidR="0038612C" w:rsidRPr="00015E8A">
        <w:rPr>
          <w:iCs/>
          <w:szCs w:val="26"/>
        </w:rPr>
        <w:t>i.e.</w:t>
      </w:r>
      <w:r w:rsidR="0038612C" w:rsidRPr="00831FCD">
        <w:rPr>
          <w:szCs w:val="26"/>
        </w:rPr>
        <w:t xml:space="preserve">, </w:t>
      </w:r>
      <w:r w:rsidR="00080272" w:rsidRPr="00831FCD">
        <w:rPr>
          <w:szCs w:val="26"/>
        </w:rPr>
        <w:t>i</w:t>
      </w:r>
      <w:r w:rsidR="0038612C" w:rsidRPr="00831FCD">
        <w:rPr>
          <w:szCs w:val="26"/>
        </w:rPr>
        <w:t>nclusions and</w:t>
      </w:r>
      <w:r w:rsidR="00080272" w:rsidRPr="00831FCD">
        <w:rPr>
          <w:szCs w:val="26"/>
        </w:rPr>
        <w:t xml:space="preserve"> e</w:t>
      </w:r>
      <w:r w:rsidR="0038612C" w:rsidRPr="00831FCD">
        <w:rPr>
          <w:szCs w:val="26"/>
        </w:rPr>
        <w:t>xclusions.</w:t>
      </w:r>
      <w:r w:rsidR="00080272" w:rsidRPr="00831FCD">
        <w:rPr>
          <w:rStyle w:val="FootnoteReference"/>
        </w:rPr>
        <w:footnoteReference w:id="11"/>
      </w:r>
      <w:r w:rsidR="0038612C" w:rsidRPr="00831FCD">
        <w:rPr>
          <w:szCs w:val="26"/>
        </w:rPr>
        <w:t xml:space="preserve"> </w:t>
      </w:r>
      <w:r w:rsidR="00080272" w:rsidRPr="00831FCD">
        <w:rPr>
          <w:szCs w:val="26"/>
        </w:rPr>
        <w:t xml:space="preserve"> </w:t>
      </w:r>
      <w:r w:rsidRPr="00831FCD">
        <w:rPr>
          <w:szCs w:val="26"/>
        </w:rPr>
        <w:t xml:space="preserve">On December 20, 2012, the Commission issued Order No. 773, a </w:t>
      </w:r>
      <w:r w:rsidR="00F0744D" w:rsidRPr="00831FCD">
        <w:rPr>
          <w:szCs w:val="26"/>
        </w:rPr>
        <w:t>f</w:t>
      </w:r>
      <w:r w:rsidRPr="00831FCD">
        <w:rPr>
          <w:szCs w:val="26"/>
        </w:rPr>
        <w:t xml:space="preserve">inal </w:t>
      </w:r>
      <w:r w:rsidR="00F0744D" w:rsidRPr="00831FCD">
        <w:rPr>
          <w:szCs w:val="26"/>
        </w:rPr>
        <w:t>r</w:t>
      </w:r>
      <w:r w:rsidRPr="00831FCD">
        <w:rPr>
          <w:szCs w:val="26"/>
        </w:rPr>
        <w:t xml:space="preserve">ule approving NERC’s modifications to the definition of “bulk electric system” </w:t>
      </w:r>
      <w:r w:rsidR="001D2151">
        <w:rPr>
          <w:szCs w:val="26"/>
        </w:rPr>
        <w:t xml:space="preserve">and the Rules of Procedure exception process </w:t>
      </w:r>
      <w:r w:rsidRPr="00831FCD">
        <w:rPr>
          <w:szCs w:val="26"/>
        </w:rPr>
        <w:t>to be effective July 1, 2013.</w:t>
      </w:r>
      <w:r w:rsidR="00F0744D" w:rsidRPr="00831FCD">
        <w:rPr>
          <w:rStyle w:val="FootnoteReference"/>
        </w:rPr>
        <w:t xml:space="preserve"> </w:t>
      </w:r>
      <w:r w:rsidR="00F0744D" w:rsidRPr="00831FCD">
        <w:rPr>
          <w:rStyle w:val="FootnoteReference"/>
        </w:rPr>
        <w:footnoteReference w:id="12"/>
      </w:r>
      <w:r w:rsidR="00F0744D" w:rsidRPr="00831FCD">
        <w:rPr>
          <w:szCs w:val="26"/>
        </w:rPr>
        <w:t xml:space="preserve">  </w:t>
      </w:r>
      <w:r w:rsidR="00F0744D" w:rsidRPr="00831FCD">
        <w:rPr>
          <w:rStyle w:val="FootnoteReference"/>
        </w:rPr>
        <w:t xml:space="preserve"> </w:t>
      </w:r>
      <w:r w:rsidRPr="00831FCD">
        <w:rPr>
          <w:szCs w:val="26"/>
        </w:rPr>
        <w:t xml:space="preserve">The Commission also directed NERC to (1) implement the exclusions for radial systems </w:t>
      </w:r>
      <w:r w:rsidRPr="00831FCD">
        <w:rPr>
          <w:szCs w:val="26"/>
        </w:rPr>
        <w:lastRenderedPageBreak/>
        <w:t>(exclusion E1) and local networks (exclusion E3) so that they do not apply to generator interconnection facilities for bulk electric system generators identified in inclusion I2; and (2) modify the local network exclusion to remove the 100 kV minimum operating voltage to allow systems that include one or more looped configurations connected below 100 kV to be eligible for the local network exclusion.</w:t>
      </w:r>
      <w:r w:rsidRPr="00831FCD">
        <w:rPr>
          <w:rStyle w:val="FootnoteReference"/>
        </w:rPr>
        <w:footnoteReference w:id="13"/>
      </w:r>
      <w:r w:rsidRPr="00831FCD">
        <w:rPr>
          <w:szCs w:val="26"/>
        </w:rPr>
        <w:t xml:space="preserve">  On April 18, 2013, in Order </w:t>
      </w:r>
      <w:r w:rsidR="00AF73C3">
        <w:rPr>
          <w:szCs w:val="26"/>
        </w:rPr>
        <w:t xml:space="preserve">   </w:t>
      </w:r>
      <w:r w:rsidRPr="00831FCD">
        <w:rPr>
          <w:szCs w:val="26"/>
        </w:rPr>
        <w:t>No. 773-A the Commission largely affirmed its findings in Order No. 773.  However, the Commission determined that, rather than direct NERC to implement exclusions E1 and E3 so that they do not apply to generator interconne</w:t>
      </w:r>
      <w:r w:rsidR="00080272" w:rsidRPr="00831FCD">
        <w:rPr>
          <w:szCs w:val="26"/>
        </w:rPr>
        <w:t xml:space="preserve">ction facilities, </w:t>
      </w:r>
      <w:r w:rsidRPr="00831FCD">
        <w:rPr>
          <w:szCs w:val="26"/>
        </w:rPr>
        <w:t>NERC must modify the exclusions to ensure that generator interconnection facilities at or above 100 kV connected to bulk electric system generators identified in inclusion I2 are not excluded from the bulk electric system.</w:t>
      </w:r>
      <w:r w:rsidRPr="00831FCD">
        <w:rPr>
          <w:rStyle w:val="FootnoteReference"/>
        </w:rPr>
        <w:footnoteReference w:id="14"/>
      </w:r>
      <w:r w:rsidRPr="00831FCD">
        <w:rPr>
          <w:szCs w:val="26"/>
        </w:rPr>
        <w:t xml:space="preserve"> </w:t>
      </w:r>
    </w:p>
    <w:p w:rsidR="006449E2" w:rsidRPr="00831FCD" w:rsidRDefault="006449E2" w:rsidP="00AF73C3">
      <w:pPr>
        <w:pStyle w:val="Heading2"/>
        <w:tabs>
          <w:tab w:val="clear" w:pos="1080"/>
          <w:tab w:val="num" w:pos="1440"/>
        </w:tabs>
        <w:ind w:left="1440"/>
        <w:rPr>
          <w:szCs w:val="26"/>
        </w:rPr>
      </w:pPr>
      <w:r w:rsidRPr="00831FCD">
        <w:rPr>
          <w:szCs w:val="26"/>
        </w:rPr>
        <w:t xml:space="preserve">NERC Filing </w:t>
      </w:r>
    </w:p>
    <w:p w:rsidR="009A4541" w:rsidRDefault="009F1395" w:rsidP="009A4541">
      <w:pPr>
        <w:pStyle w:val="FERCparanumber"/>
        <w:rPr>
          <w:szCs w:val="26"/>
        </w:rPr>
      </w:pPr>
      <w:r w:rsidRPr="00831FCD">
        <w:rPr>
          <w:szCs w:val="26"/>
        </w:rPr>
        <w:t>On Dec</w:t>
      </w:r>
      <w:r w:rsidR="00B5605C" w:rsidRPr="00831FCD">
        <w:rPr>
          <w:szCs w:val="26"/>
        </w:rPr>
        <w:t xml:space="preserve">ember 13, 2013, NERC </w:t>
      </w:r>
      <w:r w:rsidR="00080272" w:rsidRPr="00831FCD">
        <w:rPr>
          <w:szCs w:val="26"/>
        </w:rPr>
        <w:t xml:space="preserve">filed </w:t>
      </w:r>
      <w:r w:rsidR="00A64FFE" w:rsidRPr="00831FCD">
        <w:rPr>
          <w:szCs w:val="26"/>
        </w:rPr>
        <w:t>proposed revisions to the definition of bulk electric system</w:t>
      </w:r>
      <w:r w:rsidR="00F0744D" w:rsidRPr="00831FCD">
        <w:rPr>
          <w:szCs w:val="26"/>
        </w:rPr>
        <w:t>.</w:t>
      </w:r>
      <w:r w:rsidR="00A64FFE" w:rsidRPr="00831FCD">
        <w:rPr>
          <w:szCs w:val="26"/>
        </w:rPr>
        <w:t xml:space="preserve">  NERC states that the </w:t>
      </w:r>
      <w:r w:rsidR="00381CE0">
        <w:rPr>
          <w:szCs w:val="26"/>
        </w:rPr>
        <w:t xml:space="preserve">proposed </w:t>
      </w:r>
      <w:r w:rsidR="00A64FFE" w:rsidRPr="00831FCD">
        <w:rPr>
          <w:szCs w:val="26"/>
        </w:rPr>
        <w:t xml:space="preserve">revisions address the Commission’s directives in Order </w:t>
      </w:r>
      <w:r w:rsidR="000D70B6">
        <w:rPr>
          <w:szCs w:val="26"/>
        </w:rPr>
        <w:t>Nos. 773 and 773-A, and respond</w:t>
      </w:r>
      <w:r w:rsidR="00A64FFE" w:rsidRPr="00831FCD">
        <w:rPr>
          <w:szCs w:val="26"/>
        </w:rPr>
        <w:t xml:space="preserve"> to industry concerns raised during the initial development of the revisions to the definition (Phase 1).</w:t>
      </w:r>
      <w:r w:rsidR="00080272" w:rsidRPr="00831FCD">
        <w:rPr>
          <w:rStyle w:val="FootnoteReference"/>
        </w:rPr>
        <w:footnoteReference w:id="15"/>
      </w:r>
      <w:r w:rsidR="000D70B6">
        <w:rPr>
          <w:szCs w:val="26"/>
        </w:rPr>
        <w:t xml:space="preserve">  </w:t>
      </w:r>
      <w:r w:rsidR="000D70B6" w:rsidRPr="000D70B6">
        <w:rPr>
          <w:szCs w:val="26"/>
        </w:rPr>
        <w:t xml:space="preserve">NERC requests expedited Commission action for the Commission to issue an order on the proposed Phase 2 definition by March 31, 2014.  NERC states that the implementation plan for </w:t>
      </w:r>
      <w:r w:rsidR="00AF73C3">
        <w:rPr>
          <w:szCs w:val="26"/>
        </w:rPr>
        <w:t xml:space="preserve">  </w:t>
      </w:r>
      <w:r w:rsidR="000D70B6" w:rsidRPr="000D70B6">
        <w:rPr>
          <w:szCs w:val="26"/>
        </w:rPr>
        <w:t xml:space="preserve">the proposed definition </w:t>
      </w:r>
      <w:r w:rsidR="00C31E39">
        <w:rPr>
          <w:szCs w:val="26"/>
        </w:rPr>
        <w:t>will</w:t>
      </w:r>
      <w:r w:rsidR="000D70B6">
        <w:rPr>
          <w:szCs w:val="26"/>
        </w:rPr>
        <w:t xml:space="preserve"> become </w:t>
      </w:r>
      <w:r w:rsidR="000D70B6" w:rsidRPr="000D70B6">
        <w:rPr>
          <w:szCs w:val="26"/>
        </w:rPr>
        <w:t xml:space="preserve">effective </w:t>
      </w:r>
      <w:r w:rsidR="000D70B6">
        <w:rPr>
          <w:szCs w:val="26"/>
        </w:rPr>
        <w:t>“</w:t>
      </w:r>
      <w:r w:rsidR="000D70B6" w:rsidRPr="000D70B6">
        <w:rPr>
          <w:szCs w:val="26"/>
        </w:rPr>
        <w:t>on the first day of the second calendar quarter after the date that the definition is approved….”</w:t>
      </w:r>
      <w:r w:rsidR="00DF595F">
        <w:rPr>
          <w:rStyle w:val="FootnoteReference"/>
        </w:rPr>
        <w:footnoteReference w:id="16"/>
      </w:r>
      <w:r w:rsidR="000D70B6" w:rsidRPr="000D70B6">
        <w:rPr>
          <w:szCs w:val="26"/>
        </w:rPr>
        <w:t xml:space="preserve">  </w:t>
      </w:r>
      <w:r w:rsidR="009A4541">
        <w:rPr>
          <w:szCs w:val="26"/>
        </w:rPr>
        <w:t xml:space="preserve">NERC proposes that the revised </w:t>
      </w:r>
      <w:r w:rsidR="000D70B6" w:rsidRPr="000D70B6">
        <w:rPr>
          <w:szCs w:val="26"/>
        </w:rPr>
        <w:t>definition will supersede</w:t>
      </w:r>
      <w:r w:rsidR="009A4541">
        <w:rPr>
          <w:szCs w:val="26"/>
        </w:rPr>
        <w:t xml:space="preserve"> </w:t>
      </w:r>
      <w:r w:rsidR="000D70B6" w:rsidRPr="000D70B6">
        <w:rPr>
          <w:szCs w:val="26"/>
        </w:rPr>
        <w:t>in its entirety</w:t>
      </w:r>
      <w:r w:rsidR="009A4541">
        <w:rPr>
          <w:szCs w:val="26"/>
        </w:rPr>
        <w:t xml:space="preserve"> </w:t>
      </w:r>
      <w:r w:rsidR="000D70B6" w:rsidRPr="000D70B6">
        <w:rPr>
          <w:szCs w:val="26"/>
        </w:rPr>
        <w:t>the version approved in Order Nos. 773 and 773-A.  NERC explains that Commission action by March 31</w:t>
      </w:r>
      <w:r w:rsidR="009A4541">
        <w:rPr>
          <w:szCs w:val="26"/>
        </w:rPr>
        <w:t>, 2014</w:t>
      </w:r>
      <w:r w:rsidR="000D70B6" w:rsidRPr="000D70B6">
        <w:rPr>
          <w:szCs w:val="26"/>
        </w:rPr>
        <w:t xml:space="preserve"> will allow the proposed definition to go into effect on July 1, 2014, and fully replace the Phase 1 d</w:t>
      </w:r>
      <w:r w:rsidR="009A4541">
        <w:rPr>
          <w:szCs w:val="26"/>
        </w:rPr>
        <w:t>efinition.</w:t>
      </w:r>
    </w:p>
    <w:p w:rsidR="00317A91" w:rsidRPr="009A4541" w:rsidRDefault="00080272" w:rsidP="00E83360">
      <w:pPr>
        <w:pStyle w:val="FERCparanumber"/>
        <w:rPr>
          <w:szCs w:val="26"/>
        </w:rPr>
      </w:pPr>
      <w:r w:rsidRPr="009A4541">
        <w:rPr>
          <w:szCs w:val="26"/>
        </w:rPr>
        <w:lastRenderedPageBreak/>
        <w:t>NERC states that t</w:t>
      </w:r>
      <w:r w:rsidR="00A64FFE" w:rsidRPr="009A4541">
        <w:rPr>
          <w:szCs w:val="26"/>
        </w:rPr>
        <w:t xml:space="preserve">he proposed revisions </w:t>
      </w:r>
      <w:r w:rsidRPr="009A4541">
        <w:rPr>
          <w:szCs w:val="26"/>
        </w:rPr>
        <w:t xml:space="preserve">should </w:t>
      </w:r>
      <w:r w:rsidR="00A64FFE" w:rsidRPr="009A4541">
        <w:rPr>
          <w:szCs w:val="26"/>
        </w:rPr>
        <w:t>result in minimal changes</w:t>
      </w:r>
      <w:r w:rsidR="009468F6" w:rsidRPr="009A4541">
        <w:rPr>
          <w:szCs w:val="26"/>
        </w:rPr>
        <w:t xml:space="preserve"> </w:t>
      </w:r>
      <w:r w:rsidR="00A64FFE" w:rsidRPr="009A4541">
        <w:rPr>
          <w:szCs w:val="26"/>
        </w:rPr>
        <w:t xml:space="preserve">to the </w:t>
      </w:r>
      <w:r w:rsidRPr="009A4541">
        <w:rPr>
          <w:szCs w:val="26"/>
        </w:rPr>
        <w:t>e</w:t>
      </w:r>
      <w:r w:rsidR="00A64FFE" w:rsidRPr="009A4541">
        <w:rPr>
          <w:szCs w:val="26"/>
        </w:rPr>
        <w:t xml:space="preserve">lements included in the </w:t>
      </w:r>
      <w:r w:rsidRPr="009A4541">
        <w:rPr>
          <w:szCs w:val="26"/>
        </w:rPr>
        <w:t>bulk electric system</w:t>
      </w:r>
      <w:r w:rsidR="00317A91" w:rsidRPr="009A4541">
        <w:rPr>
          <w:szCs w:val="26"/>
        </w:rPr>
        <w:t xml:space="preserve">.  NERC </w:t>
      </w:r>
      <w:r w:rsidR="002730C4">
        <w:rPr>
          <w:szCs w:val="26"/>
        </w:rPr>
        <w:t>explains</w:t>
      </w:r>
      <w:r w:rsidR="00317A91" w:rsidRPr="009A4541">
        <w:rPr>
          <w:szCs w:val="26"/>
        </w:rPr>
        <w:t xml:space="preserve"> that t</w:t>
      </w:r>
      <w:r w:rsidR="00A64FFE" w:rsidRPr="009A4541">
        <w:rPr>
          <w:szCs w:val="26"/>
        </w:rPr>
        <w:t>he proposed revisions</w:t>
      </w:r>
      <w:r w:rsidR="009468F6" w:rsidRPr="009A4541">
        <w:rPr>
          <w:szCs w:val="26"/>
        </w:rPr>
        <w:t xml:space="preserve"> </w:t>
      </w:r>
      <w:r w:rsidR="00A64FFE" w:rsidRPr="009A4541">
        <w:rPr>
          <w:szCs w:val="26"/>
        </w:rPr>
        <w:t xml:space="preserve">add clarity and granularity that will allow for greater transparency and </w:t>
      </w:r>
      <w:r w:rsidR="009468F6" w:rsidRPr="009A4541">
        <w:rPr>
          <w:szCs w:val="26"/>
        </w:rPr>
        <w:t>c</w:t>
      </w:r>
      <w:r w:rsidR="00A64FFE" w:rsidRPr="009A4541">
        <w:rPr>
          <w:szCs w:val="26"/>
        </w:rPr>
        <w:t xml:space="preserve">onsistency in the identification of </w:t>
      </w:r>
      <w:r w:rsidR="00553F1D" w:rsidRPr="009A4541">
        <w:rPr>
          <w:szCs w:val="26"/>
        </w:rPr>
        <w:t>e</w:t>
      </w:r>
      <w:r w:rsidR="00A64FFE" w:rsidRPr="009A4541">
        <w:rPr>
          <w:szCs w:val="26"/>
        </w:rPr>
        <w:t xml:space="preserve">lements and facilities that make up the </w:t>
      </w:r>
      <w:r w:rsidR="00317A91" w:rsidRPr="009A4541">
        <w:rPr>
          <w:szCs w:val="26"/>
        </w:rPr>
        <w:t>b</w:t>
      </w:r>
      <w:r w:rsidR="00A64FFE" w:rsidRPr="009A4541">
        <w:rPr>
          <w:szCs w:val="26"/>
        </w:rPr>
        <w:t xml:space="preserve">ulk </w:t>
      </w:r>
      <w:r w:rsidR="00317A91" w:rsidRPr="009A4541">
        <w:rPr>
          <w:szCs w:val="26"/>
        </w:rPr>
        <w:t>e</w:t>
      </w:r>
      <w:r w:rsidR="00A64FFE" w:rsidRPr="009A4541">
        <w:rPr>
          <w:szCs w:val="26"/>
        </w:rPr>
        <w:t xml:space="preserve">lectric </w:t>
      </w:r>
      <w:r w:rsidR="00317A91" w:rsidRPr="009A4541">
        <w:rPr>
          <w:szCs w:val="26"/>
        </w:rPr>
        <w:t>s</w:t>
      </w:r>
      <w:r w:rsidR="00A64FFE" w:rsidRPr="009A4541">
        <w:rPr>
          <w:szCs w:val="26"/>
        </w:rPr>
        <w:t>ystem</w:t>
      </w:r>
      <w:r w:rsidR="00317A91" w:rsidRPr="009A4541">
        <w:rPr>
          <w:szCs w:val="26"/>
        </w:rPr>
        <w:t xml:space="preserve"> </w:t>
      </w:r>
      <w:r w:rsidR="00A64FFE" w:rsidRPr="009A4541">
        <w:rPr>
          <w:szCs w:val="26"/>
        </w:rPr>
        <w:t xml:space="preserve">and </w:t>
      </w:r>
      <w:r w:rsidR="00317A91" w:rsidRPr="009A4541">
        <w:rPr>
          <w:szCs w:val="26"/>
        </w:rPr>
        <w:t xml:space="preserve">are </w:t>
      </w:r>
      <w:r w:rsidR="00A64FFE" w:rsidRPr="009A4541">
        <w:rPr>
          <w:szCs w:val="26"/>
        </w:rPr>
        <w:t>responsive to the technical and policy concerns discussed in Order Nos. 773 and 773-A.</w:t>
      </w:r>
      <w:r w:rsidR="00317A91" w:rsidRPr="009A4541">
        <w:rPr>
          <w:szCs w:val="26"/>
        </w:rPr>
        <w:t xml:space="preserve">  NERC states that the proposed revisions improve upon the Phase 1 </w:t>
      </w:r>
      <w:r w:rsidR="00553F1D" w:rsidRPr="009A4541">
        <w:rPr>
          <w:szCs w:val="26"/>
        </w:rPr>
        <w:t>d</w:t>
      </w:r>
      <w:r w:rsidR="00317A91" w:rsidRPr="009A4541">
        <w:rPr>
          <w:szCs w:val="26"/>
        </w:rPr>
        <w:t xml:space="preserve">efinition approved by the Commission in Order Nos. 773 and 773-A and provide a </w:t>
      </w:r>
      <w:r w:rsidR="00DF595F">
        <w:rPr>
          <w:szCs w:val="26"/>
        </w:rPr>
        <w:t>“</w:t>
      </w:r>
      <w:r w:rsidR="00317A91" w:rsidRPr="009A4541">
        <w:rPr>
          <w:szCs w:val="26"/>
        </w:rPr>
        <w:t xml:space="preserve">technically </w:t>
      </w:r>
      <w:r w:rsidR="00F23B72" w:rsidRPr="009A4541">
        <w:rPr>
          <w:szCs w:val="26"/>
        </w:rPr>
        <w:t>ground</w:t>
      </w:r>
      <w:r w:rsidR="00F23B72">
        <w:rPr>
          <w:szCs w:val="26"/>
        </w:rPr>
        <w:t>ed</w:t>
      </w:r>
      <w:r w:rsidR="00F23B72" w:rsidRPr="009A4541">
        <w:rPr>
          <w:szCs w:val="26"/>
        </w:rPr>
        <w:t xml:space="preserve"> </w:t>
      </w:r>
      <w:r w:rsidR="00317A91" w:rsidRPr="009A4541">
        <w:rPr>
          <w:szCs w:val="26"/>
        </w:rPr>
        <w:t>and legally supportable foundation</w:t>
      </w:r>
      <w:r w:rsidR="00DF595F">
        <w:rPr>
          <w:szCs w:val="26"/>
        </w:rPr>
        <w:t>”</w:t>
      </w:r>
      <w:r w:rsidR="00317A91" w:rsidRPr="009A4541">
        <w:rPr>
          <w:szCs w:val="26"/>
        </w:rPr>
        <w:t xml:space="preserve"> for identifying </w:t>
      </w:r>
      <w:r w:rsidR="009A4541">
        <w:rPr>
          <w:szCs w:val="26"/>
        </w:rPr>
        <w:t>e</w:t>
      </w:r>
      <w:r w:rsidR="00317A91" w:rsidRPr="009A4541">
        <w:rPr>
          <w:szCs w:val="26"/>
        </w:rPr>
        <w:t xml:space="preserve">lements and facilities that make up the </w:t>
      </w:r>
      <w:r w:rsidR="00553F1D" w:rsidRPr="009A4541">
        <w:rPr>
          <w:szCs w:val="26"/>
        </w:rPr>
        <w:t>bulk electric system</w:t>
      </w:r>
      <w:r w:rsidR="00317A91" w:rsidRPr="009A4541">
        <w:rPr>
          <w:szCs w:val="26"/>
        </w:rPr>
        <w:t>.</w:t>
      </w:r>
      <w:r w:rsidR="00DF595F">
        <w:rPr>
          <w:rStyle w:val="FootnoteReference"/>
        </w:rPr>
        <w:footnoteReference w:id="17"/>
      </w:r>
      <w:r w:rsidR="00317A91" w:rsidRPr="009A4541">
        <w:rPr>
          <w:szCs w:val="26"/>
        </w:rPr>
        <w:t xml:space="preserve">  </w:t>
      </w:r>
      <w:r w:rsidR="00553F1D" w:rsidRPr="009A4541">
        <w:rPr>
          <w:szCs w:val="26"/>
        </w:rPr>
        <w:t>According to NERC, t</w:t>
      </w:r>
      <w:r w:rsidR="00317A91" w:rsidRPr="009A4541">
        <w:rPr>
          <w:szCs w:val="26"/>
        </w:rPr>
        <w:t xml:space="preserve">he proposed </w:t>
      </w:r>
      <w:r w:rsidR="00553F1D" w:rsidRPr="009A4541">
        <w:rPr>
          <w:szCs w:val="26"/>
        </w:rPr>
        <w:t xml:space="preserve">definition is consistent, repeatable, </w:t>
      </w:r>
      <w:r w:rsidR="00317A91" w:rsidRPr="009A4541">
        <w:rPr>
          <w:szCs w:val="26"/>
        </w:rPr>
        <w:t>and verifiable and will provide clarity that will assist NERC and affected entities in implementing Reliability Standards.</w:t>
      </w:r>
    </w:p>
    <w:p w:rsidR="00317A91" w:rsidRPr="00831FCD" w:rsidRDefault="00317A91" w:rsidP="00317A91">
      <w:pPr>
        <w:pStyle w:val="FERCparanumber"/>
        <w:rPr>
          <w:szCs w:val="26"/>
        </w:rPr>
      </w:pPr>
      <w:r w:rsidRPr="00831FCD">
        <w:rPr>
          <w:szCs w:val="26"/>
        </w:rPr>
        <w:t xml:space="preserve">NERC </w:t>
      </w:r>
      <w:r w:rsidR="00553F1D">
        <w:rPr>
          <w:szCs w:val="26"/>
        </w:rPr>
        <w:t xml:space="preserve">explains </w:t>
      </w:r>
      <w:r w:rsidRPr="00831FCD">
        <w:rPr>
          <w:szCs w:val="26"/>
        </w:rPr>
        <w:t>that its primary revisions are to inclusion I4 (</w:t>
      </w:r>
      <w:r w:rsidR="009A4541">
        <w:rPr>
          <w:szCs w:val="26"/>
        </w:rPr>
        <w:t>d</w:t>
      </w:r>
      <w:r w:rsidRPr="00831FCD">
        <w:rPr>
          <w:szCs w:val="26"/>
        </w:rPr>
        <w:t xml:space="preserve">ispersed </w:t>
      </w:r>
      <w:r w:rsidR="009A4541">
        <w:rPr>
          <w:szCs w:val="26"/>
        </w:rPr>
        <w:t>p</w:t>
      </w:r>
      <w:r w:rsidRPr="00831FCD">
        <w:rPr>
          <w:szCs w:val="26"/>
        </w:rPr>
        <w:t xml:space="preserve">ower </w:t>
      </w:r>
      <w:r w:rsidR="009A4541">
        <w:rPr>
          <w:szCs w:val="26"/>
        </w:rPr>
        <w:t>p</w:t>
      </w:r>
      <w:r w:rsidRPr="00831FCD">
        <w:rPr>
          <w:szCs w:val="26"/>
        </w:rPr>
        <w:t xml:space="preserve">roducing </w:t>
      </w:r>
      <w:r w:rsidR="009A4541">
        <w:rPr>
          <w:szCs w:val="26"/>
        </w:rPr>
        <w:t>r</w:t>
      </w:r>
      <w:r w:rsidRPr="00831FCD">
        <w:rPr>
          <w:szCs w:val="26"/>
        </w:rPr>
        <w:t>esources) and exclusions E1 (</w:t>
      </w:r>
      <w:r w:rsidR="009A4541">
        <w:rPr>
          <w:szCs w:val="26"/>
        </w:rPr>
        <w:t>r</w:t>
      </w:r>
      <w:r w:rsidRPr="00831FCD">
        <w:rPr>
          <w:szCs w:val="26"/>
        </w:rPr>
        <w:t xml:space="preserve">adial </w:t>
      </w:r>
      <w:r w:rsidR="009A4541">
        <w:rPr>
          <w:szCs w:val="26"/>
        </w:rPr>
        <w:t>s</w:t>
      </w:r>
      <w:r w:rsidRPr="00831FCD">
        <w:rPr>
          <w:szCs w:val="26"/>
        </w:rPr>
        <w:t>ystems), E3 (</w:t>
      </w:r>
      <w:r w:rsidR="009A4541">
        <w:rPr>
          <w:szCs w:val="26"/>
        </w:rPr>
        <w:t>l</w:t>
      </w:r>
      <w:r w:rsidRPr="00831FCD">
        <w:rPr>
          <w:szCs w:val="26"/>
        </w:rPr>
        <w:t xml:space="preserve">ocal </w:t>
      </w:r>
      <w:r w:rsidR="009A4541">
        <w:rPr>
          <w:szCs w:val="26"/>
        </w:rPr>
        <w:t>n</w:t>
      </w:r>
      <w:r w:rsidRPr="00831FCD">
        <w:rPr>
          <w:szCs w:val="26"/>
        </w:rPr>
        <w:t>etworks) and E4 (</w:t>
      </w:r>
      <w:r w:rsidR="009A4541">
        <w:rPr>
          <w:szCs w:val="26"/>
        </w:rPr>
        <w:t>r</w:t>
      </w:r>
      <w:r w:rsidRPr="00831FCD">
        <w:rPr>
          <w:szCs w:val="26"/>
        </w:rPr>
        <w:t xml:space="preserve">eactive </w:t>
      </w:r>
      <w:r w:rsidR="009A4541">
        <w:rPr>
          <w:szCs w:val="26"/>
        </w:rPr>
        <w:t>p</w:t>
      </w:r>
      <w:r w:rsidRPr="00831FCD">
        <w:rPr>
          <w:szCs w:val="26"/>
        </w:rPr>
        <w:t xml:space="preserve">ower </w:t>
      </w:r>
      <w:r w:rsidR="009A4541">
        <w:rPr>
          <w:szCs w:val="26"/>
        </w:rPr>
        <w:t>d</w:t>
      </w:r>
      <w:r w:rsidRPr="00831FCD">
        <w:rPr>
          <w:szCs w:val="26"/>
        </w:rPr>
        <w:t xml:space="preserve">evices).  </w:t>
      </w:r>
      <w:r w:rsidR="00A64FFE" w:rsidRPr="00831FCD">
        <w:rPr>
          <w:szCs w:val="26"/>
        </w:rPr>
        <w:t>NERC proposes m</w:t>
      </w:r>
      <w:r w:rsidR="00104C9E" w:rsidRPr="00831FCD">
        <w:rPr>
          <w:szCs w:val="26"/>
        </w:rPr>
        <w:t>inor clarifying changes</w:t>
      </w:r>
      <w:r w:rsidR="00C11E36">
        <w:rPr>
          <w:szCs w:val="26"/>
        </w:rPr>
        <w:t xml:space="preserve"> to inclusion </w:t>
      </w:r>
      <w:r w:rsidR="00A64FFE" w:rsidRPr="00831FCD">
        <w:rPr>
          <w:szCs w:val="26"/>
        </w:rPr>
        <w:t>I1 (</w:t>
      </w:r>
      <w:r w:rsidR="009A4541">
        <w:rPr>
          <w:szCs w:val="26"/>
        </w:rPr>
        <w:t>t</w:t>
      </w:r>
      <w:r w:rsidR="00A64FFE" w:rsidRPr="00831FCD">
        <w:rPr>
          <w:szCs w:val="26"/>
        </w:rPr>
        <w:t>ransformers), i</w:t>
      </w:r>
      <w:r w:rsidR="00104C9E" w:rsidRPr="00831FCD">
        <w:rPr>
          <w:szCs w:val="26"/>
        </w:rPr>
        <w:t>nclusion I2 (</w:t>
      </w:r>
      <w:r w:rsidR="009A4541">
        <w:rPr>
          <w:szCs w:val="26"/>
        </w:rPr>
        <w:t>g</w:t>
      </w:r>
      <w:r w:rsidR="00104C9E" w:rsidRPr="00831FCD">
        <w:rPr>
          <w:szCs w:val="26"/>
        </w:rPr>
        <w:t xml:space="preserve">enerating </w:t>
      </w:r>
      <w:r w:rsidR="009A4541">
        <w:rPr>
          <w:szCs w:val="26"/>
        </w:rPr>
        <w:t>r</w:t>
      </w:r>
      <w:r w:rsidR="00104C9E" w:rsidRPr="00831FCD">
        <w:rPr>
          <w:szCs w:val="26"/>
        </w:rPr>
        <w:t>eso</w:t>
      </w:r>
      <w:r w:rsidR="00A64FFE" w:rsidRPr="00831FCD">
        <w:rPr>
          <w:szCs w:val="26"/>
        </w:rPr>
        <w:t>urces), and i</w:t>
      </w:r>
      <w:r w:rsidR="00104C9E" w:rsidRPr="00831FCD">
        <w:rPr>
          <w:szCs w:val="26"/>
        </w:rPr>
        <w:t>nclusion I5 (</w:t>
      </w:r>
      <w:r w:rsidR="009A4541">
        <w:rPr>
          <w:szCs w:val="26"/>
        </w:rPr>
        <w:t>s</w:t>
      </w:r>
      <w:r w:rsidR="00104C9E" w:rsidRPr="00831FCD">
        <w:rPr>
          <w:szCs w:val="26"/>
        </w:rPr>
        <w:t xml:space="preserve">tatic or </w:t>
      </w:r>
      <w:r w:rsidR="009A4541">
        <w:rPr>
          <w:szCs w:val="26"/>
        </w:rPr>
        <w:t>d</w:t>
      </w:r>
      <w:r w:rsidR="00104C9E" w:rsidRPr="00831FCD">
        <w:rPr>
          <w:szCs w:val="26"/>
        </w:rPr>
        <w:t xml:space="preserve">ynamic </w:t>
      </w:r>
      <w:r w:rsidR="009A4541">
        <w:rPr>
          <w:szCs w:val="26"/>
        </w:rPr>
        <w:t>r</w:t>
      </w:r>
      <w:r w:rsidR="00104C9E" w:rsidRPr="00831FCD">
        <w:rPr>
          <w:szCs w:val="26"/>
        </w:rPr>
        <w:t xml:space="preserve">eactive </w:t>
      </w:r>
      <w:r w:rsidR="009A4541">
        <w:rPr>
          <w:szCs w:val="26"/>
        </w:rPr>
        <w:t>p</w:t>
      </w:r>
      <w:r w:rsidR="00104C9E" w:rsidRPr="00831FCD">
        <w:rPr>
          <w:szCs w:val="26"/>
        </w:rPr>
        <w:t xml:space="preserve">ower </w:t>
      </w:r>
      <w:r w:rsidR="009A4541">
        <w:rPr>
          <w:szCs w:val="26"/>
        </w:rPr>
        <w:t>d</w:t>
      </w:r>
      <w:r w:rsidR="00104C9E" w:rsidRPr="00831FCD">
        <w:rPr>
          <w:szCs w:val="26"/>
        </w:rPr>
        <w:t>evices).</w:t>
      </w:r>
      <w:r w:rsidR="00A64FFE" w:rsidRPr="00831FCD">
        <w:rPr>
          <w:szCs w:val="26"/>
        </w:rPr>
        <w:t xml:space="preserve">  </w:t>
      </w:r>
      <w:r w:rsidRPr="00831FCD">
        <w:rPr>
          <w:szCs w:val="26"/>
        </w:rPr>
        <w:t>NERC does not propose any changes to the core definition, inclusion I3 (</w:t>
      </w:r>
      <w:proofErr w:type="spellStart"/>
      <w:r w:rsidR="009A4541">
        <w:rPr>
          <w:szCs w:val="26"/>
        </w:rPr>
        <w:t>b</w:t>
      </w:r>
      <w:r w:rsidRPr="00831FCD">
        <w:rPr>
          <w:szCs w:val="26"/>
        </w:rPr>
        <w:t>lackstart</w:t>
      </w:r>
      <w:proofErr w:type="spellEnd"/>
      <w:r w:rsidRPr="00831FCD">
        <w:rPr>
          <w:szCs w:val="26"/>
        </w:rPr>
        <w:t xml:space="preserve"> </w:t>
      </w:r>
      <w:r w:rsidR="009A4541">
        <w:rPr>
          <w:szCs w:val="26"/>
        </w:rPr>
        <w:t>r</w:t>
      </w:r>
      <w:r w:rsidRPr="00831FCD">
        <w:rPr>
          <w:szCs w:val="26"/>
        </w:rPr>
        <w:t>esources) or exclusion E2 (</w:t>
      </w:r>
      <w:r w:rsidR="009A4541">
        <w:rPr>
          <w:szCs w:val="26"/>
        </w:rPr>
        <w:t>b</w:t>
      </w:r>
      <w:r w:rsidRPr="00831FCD">
        <w:rPr>
          <w:szCs w:val="26"/>
        </w:rPr>
        <w:t xml:space="preserve">ehind the </w:t>
      </w:r>
      <w:r w:rsidR="009A4541">
        <w:rPr>
          <w:szCs w:val="26"/>
        </w:rPr>
        <w:t>m</w:t>
      </w:r>
      <w:r w:rsidRPr="00831FCD">
        <w:rPr>
          <w:szCs w:val="26"/>
        </w:rPr>
        <w:t xml:space="preserve">eter </w:t>
      </w:r>
      <w:r w:rsidR="009A4541">
        <w:rPr>
          <w:szCs w:val="26"/>
        </w:rPr>
        <w:t>g</w:t>
      </w:r>
      <w:r w:rsidRPr="00831FCD">
        <w:rPr>
          <w:szCs w:val="26"/>
        </w:rPr>
        <w:t xml:space="preserve">eneration).  </w:t>
      </w:r>
    </w:p>
    <w:p w:rsidR="009468F6" w:rsidRPr="00831FCD" w:rsidRDefault="00317A91" w:rsidP="00DA371D">
      <w:pPr>
        <w:pStyle w:val="Heading3"/>
        <w:tabs>
          <w:tab w:val="clear" w:pos="1440"/>
          <w:tab w:val="num" w:pos="2880"/>
        </w:tabs>
        <w:ind w:left="2160"/>
      </w:pPr>
      <w:r w:rsidRPr="00831FCD">
        <w:t>Revisions in Response to Commission Directives</w:t>
      </w:r>
    </w:p>
    <w:p w:rsidR="00AD3BF9" w:rsidRPr="00E53C80" w:rsidRDefault="00AD3BF9" w:rsidP="00DA371D">
      <w:pPr>
        <w:pStyle w:val="Heading4"/>
        <w:tabs>
          <w:tab w:val="clear" w:pos="1800"/>
          <w:tab w:val="num" w:pos="2880"/>
        </w:tabs>
        <w:ind w:left="2880"/>
        <w:rPr>
          <w:szCs w:val="26"/>
        </w:rPr>
      </w:pPr>
      <w:r w:rsidRPr="00E53C80">
        <w:rPr>
          <w:szCs w:val="26"/>
        </w:rPr>
        <w:t>Radial Systems (Exclusion E1)</w:t>
      </w:r>
    </w:p>
    <w:p w:rsidR="00A02EDB" w:rsidRDefault="00774830" w:rsidP="009468F6">
      <w:pPr>
        <w:pStyle w:val="FERCparanumber"/>
        <w:rPr>
          <w:szCs w:val="26"/>
        </w:rPr>
      </w:pPr>
      <w:r w:rsidRPr="00831FCD">
        <w:rPr>
          <w:szCs w:val="26"/>
        </w:rPr>
        <w:t xml:space="preserve">Exclusion E1 </w:t>
      </w:r>
      <w:r w:rsidR="00A864E0">
        <w:rPr>
          <w:szCs w:val="26"/>
        </w:rPr>
        <w:t xml:space="preserve">as approved in Order No. 773 </w:t>
      </w:r>
      <w:r w:rsidRPr="00831FCD">
        <w:rPr>
          <w:szCs w:val="26"/>
        </w:rPr>
        <w:t>provides for the exclusion of</w:t>
      </w:r>
      <w:r w:rsidR="00AE599C">
        <w:rPr>
          <w:szCs w:val="26"/>
        </w:rPr>
        <w:t xml:space="preserve"> elements operating at 100 kV and above </w:t>
      </w:r>
      <w:r w:rsidR="001F7767">
        <w:rPr>
          <w:szCs w:val="26"/>
        </w:rPr>
        <w:t>captured in</w:t>
      </w:r>
      <w:r w:rsidR="00AE599C">
        <w:rPr>
          <w:szCs w:val="26"/>
        </w:rPr>
        <w:t xml:space="preserve"> configurations classified as</w:t>
      </w:r>
      <w:r w:rsidRPr="00831FCD">
        <w:rPr>
          <w:szCs w:val="26"/>
        </w:rPr>
        <w:t xml:space="preserve"> radial systems</w:t>
      </w:r>
      <w:r w:rsidR="00FB312D">
        <w:rPr>
          <w:szCs w:val="26"/>
        </w:rPr>
        <w:t>.</w:t>
      </w:r>
      <w:r w:rsidR="00A810FF">
        <w:rPr>
          <w:szCs w:val="26"/>
        </w:rPr>
        <w:t xml:space="preserve">  </w:t>
      </w:r>
      <w:r w:rsidR="00FB312D">
        <w:rPr>
          <w:szCs w:val="26"/>
        </w:rPr>
        <w:t>Radial systems must</w:t>
      </w:r>
      <w:r w:rsidRPr="00831FCD">
        <w:rPr>
          <w:szCs w:val="26"/>
        </w:rPr>
        <w:t xml:space="preserve"> meet the specific criteria identified in the exclusion language</w:t>
      </w:r>
      <w:r w:rsidR="00C31E39">
        <w:rPr>
          <w:szCs w:val="26"/>
        </w:rPr>
        <w:t>,</w:t>
      </w:r>
      <w:r w:rsidR="00C532EA">
        <w:rPr>
          <w:szCs w:val="26"/>
        </w:rPr>
        <w:t xml:space="preserve"> otherwise</w:t>
      </w:r>
      <w:r w:rsidRPr="00831FCD">
        <w:rPr>
          <w:szCs w:val="26"/>
        </w:rPr>
        <w:t xml:space="preserve"> </w:t>
      </w:r>
      <w:r w:rsidR="00C532EA">
        <w:rPr>
          <w:szCs w:val="26"/>
        </w:rPr>
        <w:t>t</w:t>
      </w:r>
      <w:r w:rsidR="00BC1537">
        <w:rPr>
          <w:szCs w:val="26"/>
        </w:rPr>
        <w:t>hese 100 kV and above elements would be included in the bulk electric system per the core definition.</w:t>
      </w:r>
      <w:r w:rsidR="0012116A">
        <w:rPr>
          <w:rStyle w:val="FootnoteReference"/>
        </w:rPr>
        <w:footnoteReference w:id="18"/>
      </w:r>
      <w:r w:rsidR="00BC1537">
        <w:rPr>
          <w:szCs w:val="26"/>
        </w:rPr>
        <w:t xml:space="preserve">  </w:t>
      </w:r>
      <w:r w:rsidR="009468F6" w:rsidRPr="007D15EE">
        <w:rPr>
          <w:szCs w:val="26"/>
        </w:rPr>
        <w:t>NERC proposes t</w:t>
      </w:r>
      <w:r w:rsidR="00317A91" w:rsidRPr="007D15EE">
        <w:rPr>
          <w:szCs w:val="26"/>
        </w:rPr>
        <w:t xml:space="preserve">wo </w:t>
      </w:r>
      <w:r w:rsidR="009468F6" w:rsidRPr="007D15EE">
        <w:rPr>
          <w:szCs w:val="26"/>
        </w:rPr>
        <w:t>revisions to exclusion</w:t>
      </w:r>
      <w:r w:rsidR="00317A91" w:rsidRPr="00A864E0">
        <w:rPr>
          <w:szCs w:val="26"/>
        </w:rPr>
        <w:t xml:space="preserve"> E1:</w:t>
      </w:r>
      <w:r w:rsidR="00E53C80">
        <w:rPr>
          <w:szCs w:val="26"/>
        </w:rPr>
        <w:t xml:space="preserve"> </w:t>
      </w:r>
      <w:r w:rsidR="00317A91" w:rsidRPr="00831FCD">
        <w:rPr>
          <w:szCs w:val="26"/>
        </w:rPr>
        <w:t xml:space="preserve"> (1) the addition of </w:t>
      </w:r>
      <w:r w:rsidR="00A02EDB">
        <w:rPr>
          <w:szCs w:val="26"/>
        </w:rPr>
        <w:t>n</w:t>
      </w:r>
      <w:r w:rsidR="00317A91" w:rsidRPr="00831FCD">
        <w:rPr>
          <w:szCs w:val="26"/>
        </w:rPr>
        <w:t>ote 2;</w:t>
      </w:r>
      <w:r w:rsidR="009468F6" w:rsidRPr="00831FCD">
        <w:rPr>
          <w:szCs w:val="26"/>
        </w:rPr>
        <w:t xml:space="preserve"> and (2) the addition of inclusions I2 and I4 in parts (b) and (c).</w:t>
      </w:r>
      <w:r w:rsidR="00A810FF">
        <w:rPr>
          <w:szCs w:val="26"/>
        </w:rPr>
        <w:t xml:space="preserve">  </w:t>
      </w:r>
      <w:r w:rsidRPr="00831FCD">
        <w:rPr>
          <w:szCs w:val="26"/>
        </w:rPr>
        <w:t xml:space="preserve">NERC </w:t>
      </w:r>
      <w:r w:rsidR="005A3FDF">
        <w:rPr>
          <w:szCs w:val="26"/>
        </w:rPr>
        <w:t>explains</w:t>
      </w:r>
      <w:r w:rsidRPr="00831FCD">
        <w:rPr>
          <w:szCs w:val="26"/>
        </w:rPr>
        <w:t xml:space="preserve"> that</w:t>
      </w:r>
      <w:r w:rsidR="00D1052E" w:rsidRPr="00831FCD">
        <w:rPr>
          <w:szCs w:val="26"/>
        </w:rPr>
        <w:t>,</w:t>
      </w:r>
      <w:r w:rsidRPr="00831FCD">
        <w:rPr>
          <w:szCs w:val="26"/>
        </w:rPr>
        <w:t xml:space="preserve"> under the definition approved in Order No. 773</w:t>
      </w:r>
      <w:r w:rsidR="009468F6" w:rsidRPr="00831FCD">
        <w:rPr>
          <w:szCs w:val="26"/>
        </w:rPr>
        <w:t>, the presence of a loop meant</w:t>
      </w:r>
      <w:r w:rsidRPr="00831FCD">
        <w:rPr>
          <w:szCs w:val="26"/>
        </w:rPr>
        <w:t xml:space="preserve"> </w:t>
      </w:r>
      <w:r w:rsidR="009468F6" w:rsidRPr="00831FCD">
        <w:rPr>
          <w:szCs w:val="26"/>
        </w:rPr>
        <w:t xml:space="preserve">that a configuration would be ineligible for consideration under </w:t>
      </w:r>
      <w:r w:rsidR="00DE4647">
        <w:rPr>
          <w:szCs w:val="26"/>
        </w:rPr>
        <w:t>e</w:t>
      </w:r>
      <w:r w:rsidR="00DE4647" w:rsidRPr="00831FCD">
        <w:rPr>
          <w:szCs w:val="26"/>
        </w:rPr>
        <w:t xml:space="preserve">xclusion </w:t>
      </w:r>
      <w:r w:rsidR="009468F6" w:rsidRPr="00831FCD">
        <w:rPr>
          <w:szCs w:val="26"/>
        </w:rPr>
        <w:t>E1 and instead wou</w:t>
      </w:r>
      <w:r w:rsidRPr="00831FCD">
        <w:rPr>
          <w:szCs w:val="26"/>
        </w:rPr>
        <w:t>ld have to be considered under exclusion E3.  According to NERC, n</w:t>
      </w:r>
      <w:r w:rsidR="009468F6" w:rsidRPr="00831FCD">
        <w:rPr>
          <w:szCs w:val="26"/>
        </w:rPr>
        <w:t>ote 2 allows for a configuration with a</w:t>
      </w:r>
      <w:r w:rsidRPr="00831FCD">
        <w:rPr>
          <w:szCs w:val="26"/>
        </w:rPr>
        <w:t xml:space="preserve"> </w:t>
      </w:r>
      <w:r w:rsidR="009468F6" w:rsidRPr="00831FCD">
        <w:rPr>
          <w:szCs w:val="26"/>
        </w:rPr>
        <w:t xml:space="preserve">loop of 50 kV or less to qualify for </w:t>
      </w:r>
      <w:r w:rsidRPr="00831FCD">
        <w:rPr>
          <w:szCs w:val="26"/>
        </w:rPr>
        <w:t>e</w:t>
      </w:r>
      <w:r w:rsidR="009468F6" w:rsidRPr="00831FCD">
        <w:rPr>
          <w:szCs w:val="26"/>
        </w:rPr>
        <w:t>xclusion E1.</w:t>
      </w:r>
      <w:r w:rsidR="00853073" w:rsidRPr="00831FCD">
        <w:rPr>
          <w:szCs w:val="26"/>
        </w:rPr>
        <w:t xml:space="preserve">  </w:t>
      </w:r>
    </w:p>
    <w:p w:rsidR="00D1052E" w:rsidRPr="00A02EDB" w:rsidRDefault="00A02EDB" w:rsidP="00A02EDB">
      <w:pPr>
        <w:pStyle w:val="FERCparanumber"/>
        <w:rPr>
          <w:szCs w:val="26"/>
        </w:rPr>
      </w:pPr>
      <w:r w:rsidRPr="00831FCD">
        <w:rPr>
          <w:szCs w:val="26"/>
        </w:rPr>
        <w:lastRenderedPageBreak/>
        <w:t xml:space="preserve">With regard to </w:t>
      </w:r>
      <w:r w:rsidR="00A61A7F">
        <w:rPr>
          <w:szCs w:val="26"/>
        </w:rPr>
        <w:t xml:space="preserve">the </w:t>
      </w:r>
      <w:r w:rsidRPr="00831FCD">
        <w:rPr>
          <w:szCs w:val="26"/>
        </w:rPr>
        <w:t xml:space="preserve">second revision, NERC notes that </w:t>
      </w:r>
      <w:r>
        <w:rPr>
          <w:szCs w:val="26"/>
        </w:rPr>
        <w:t>i</w:t>
      </w:r>
      <w:r w:rsidRPr="00831FCD">
        <w:rPr>
          <w:szCs w:val="26"/>
        </w:rPr>
        <w:t xml:space="preserve">n Order No. 773, the Commission stated that, if the generator is necessary for the operation of the interconnected transmission network, it is appropriate to </w:t>
      </w:r>
      <w:r w:rsidR="00C31E39">
        <w:rPr>
          <w:szCs w:val="26"/>
        </w:rPr>
        <w:t xml:space="preserve">also include </w:t>
      </w:r>
      <w:r w:rsidRPr="00831FCD">
        <w:rPr>
          <w:szCs w:val="26"/>
        </w:rPr>
        <w:t>the generator interconnection facility operating at or above 100 kV that delivers the generation to the bulk electric system</w:t>
      </w:r>
      <w:r w:rsidR="00C31E39">
        <w:rPr>
          <w:szCs w:val="26"/>
        </w:rPr>
        <w:t>.</w:t>
      </w:r>
      <w:r w:rsidRPr="00831FCD">
        <w:rPr>
          <w:szCs w:val="26"/>
        </w:rPr>
        <w:t xml:space="preserve">  In response, NERC proposes that the parts (b) and (c) of exclusion E1 refer to inclusions I2 and I4 to satisfy the Commission’s directive to modify exclusions E1 and E3 to ensure that generator interconnection facilities at or above</w:t>
      </w:r>
      <w:r w:rsidR="005D2C00">
        <w:rPr>
          <w:szCs w:val="26"/>
        </w:rPr>
        <w:t xml:space="preserve"> </w:t>
      </w:r>
      <w:r w:rsidR="008279A7">
        <w:rPr>
          <w:szCs w:val="26"/>
        </w:rPr>
        <w:t xml:space="preserve">     </w:t>
      </w:r>
      <w:r w:rsidRPr="00831FCD">
        <w:rPr>
          <w:szCs w:val="26"/>
        </w:rPr>
        <w:t>100 kV connected to bulk electric system generators identified in inclusion I2 are not excluded from the bulk electric system.</w:t>
      </w:r>
      <w:r>
        <w:rPr>
          <w:szCs w:val="26"/>
        </w:rPr>
        <w:t xml:space="preserve">  </w:t>
      </w:r>
      <w:r w:rsidR="00853073" w:rsidRPr="00A02EDB">
        <w:rPr>
          <w:szCs w:val="26"/>
        </w:rPr>
        <w:t xml:space="preserve">Thus, as proposed by NERC, exclusion E1 </w:t>
      </w:r>
      <w:r w:rsidR="00F6032E" w:rsidRPr="00A02EDB">
        <w:rPr>
          <w:szCs w:val="26"/>
        </w:rPr>
        <w:t xml:space="preserve">would be revised </w:t>
      </w:r>
      <w:r w:rsidR="00853073" w:rsidRPr="00A02EDB">
        <w:rPr>
          <w:szCs w:val="26"/>
        </w:rPr>
        <w:t>as follows:</w:t>
      </w:r>
    </w:p>
    <w:p w:rsidR="00853073" w:rsidRPr="00831FCD" w:rsidRDefault="00853073" w:rsidP="00853073">
      <w:pPr>
        <w:widowControl/>
        <w:ind w:left="720" w:right="650"/>
        <w:rPr>
          <w:bCs/>
          <w:szCs w:val="26"/>
        </w:rPr>
      </w:pPr>
      <w:r w:rsidRPr="00831FCD">
        <w:rPr>
          <w:bCs/>
          <w:szCs w:val="26"/>
        </w:rPr>
        <w:t>A group of contiguous transmission Elements that emanates from a single point of connection of 100 kV or higher and:</w:t>
      </w:r>
    </w:p>
    <w:p w:rsidR="00853073" w:rsidRPr="00831FCD" w:rsidRDefault="00853073" w:rsidP="00853073">
      <w:pPr>
        <w:widowControl/>
        <w:ind w:left="720" w:right="650"/>
        <w:rPr>
          <w:bCs/>
          <w:szCs w:val="26"/>
        </w:rPr>
      </w:pPr>
    </w:p>
    <w:p w:rsidR="00037F72" w:rsidRDefault="00853073">
      <w:pPr>
        <w:pStyle w:val="ListParagraph"/>
        <w:widowControl/>
        <w:numPr>
          <w:ilvl w:val="0"/>
          <w:numId w:val="14"/>
        </w:numPr>
        <w:ind w:left="1440" w:right="650" w:firstLine="0"/>
        <w:rPr>
          <w:bCs/>
          <w:szCs w:val="26"/>
        </w:rPr>
      </w:pPr>
      <w:r w:rsidRPr="00831FCD">
        <w:rPr>
          <w:bCs/>
          <w:szCs w:val="26"/>
        </w:rPr>
        <w:t xml:space="preserve">Only serves Load. </w:t>
      </w:r>
      <w:r w:rsidR="00C31E39">
        <w:rPr>
          <w:bCs/>
          <w:szCs w:val="26"/>
        </w:rPr>
        <w:t xml:space="preserve"> </w:t>
      </w:r>
      <w:r w:rsidRPr="00831FCD">
        <w:rPr>
          <w:bCs/>
          <w:szCs w:val="26"/>
        </w:rPr>
        <w:t>Or,</w:t>
      </w:r>
    </w:p>
    <w:p w:rsidR="00853073" w:rsidRPr="00831FCD" w:rsidRDefault="00853073" w:rsidP="00853073">
      <w:pPr>
        <w:widowControl/>
        <w:ind w:left="720" w:right="650"/>
        <w:rPr>
          <w:bCs/>
          <w:szCs w:val="26"/>
        </w:rPr>
      </w:pPr>
      <w:r w:rsidRPr="00831FCD">
        <w:rPr>
          <w:bCs/>
          <w:szCs w:val="26"/>
        </w:rPr>
        <w:tab/>
      </w:r>
    </w:p>
    <w:p w:rsidR="00853073" w:rsidRPr="00831FCD" w:rsidRDefault="00853073" w:rsidP="00E83360">
      <w:pPr>
        <w:pStyle w:val="ListParagraph"/>
        <w:widowControl/>
        <w:numPr>
          <w:ilvl w:val="0"/>
          <w:numId w:val="14"/>
        </w:numPr>
        <w:ind w:left="1440" w:right="650" w:firstLine="0"/>
        <w:rPr>
          <w:bCs/>
          <w:szCs w:val="26"/>
        </w:rPr>
      </w:pPr>
      <w:r w:rsidRPr="00831FCD">
        <w:rPr>
          <w:bCs/>
          <w:szCs w:val="26"/>
        </w:rPr>
        <w:t>Only includes generati</w:t>
      </w:r>
      <w:r w:rsidR="00F6032E" w:rsidRPr="00831FCD">
        <w:rPr>
          <w:bCs/>
          <w:szCs w:val="26"/>
        </w:rPr>
        <w:t xml:space="preserve">on resources, not identified in </w:t>
      </w:r>
      <w:r w:rsidRPr="00831FCD">
        <w:rPr>
          <w:bCs/>
          <w:szCs w:val="26"/>
        </w:rPr>
        <w:t>Inclusion</w:t>
      </w:r>
      <w:r w:rsidRPr="00831FCD">
        <w:rPr>
          <w:bCs/>
          <w:szCs w:val="26"/>
          <w:u w:val="double"/>
        </w:rPr>
        <w:t>s</w:t>
      </w:r>
      <w:r w:rsidRPr="00831FCD">
        <w:rPr>
          <w:bCs/>
          <w:szCs w:val="26"/>
        </w:rPr>
        <w:t xml:space="preserve"> </w:t>
      </w:r>
      <w:r w:rsidRPr="00831FCD">
        <w:rPr>
          <w:bCs/>
          <w:szCs w:val="26"/>
          <w:u w:val="double"/>
        </w:rPr>
        <w:t xml:space="preserve">I2, </w:t>
      </w:r>
      <w:r w:rsidRPr="00831FCD">
        <w:rPr>
          <w:bCs/>
          <w:szCs w:val="26"/>
        </w:rPr>
        <w:t xml:space="preserve">I3, </w:t>
      </w:r>
      <w:r w:rsidRPr="00831FCD">
        <w:rPr>
          <w:bCs/>
          <w:szCs w:val="26"/>
          <w:u w:val="double"/>
        </w:rPr>
        <w:t>or I4,</w:t>
      </w:r>
      <w:r w:rsidRPr="00831FCD">
        <w:rPr>
          <w:bCs/>
          <w:szCs w:val="26"/>
        </w:rPr>
        <w:t xml:space="preserve"> with an aggregate capacity less than or equal to 75 MVA (gross nameplate rating). </w:t>
      </w:r>
      <w:r w:rsidR="00A74448">
        <w:rPr>
          <w:bCs/>
          <w:szCs w:val="26"/>
        </w:rPr>
        <w:t xml:space="preserve"> </w:t>
      </w:r>
      <w:r w:rsidRPr="00831FCD">
        <w:rPr>
          <w:bCs/>
          <w:szCs w:val="26"/>
        </w:rPr>
        <w:t>Or,</w:t>
      </w:r>
    </w:p>
    <w:p w:rsidR="00853073" w:rsidRPr="00831FCD" w:rsidRDefault="00853073" w:rsidP="00853073">
      <w:pPr>
        <w:widowControl/>
        <w:ind w:left="720" w:right="650"/>
        <w:rPr>
          <w:bCs/>
          <w:szCs w:val="26"/>
        </w:rPr>
      </w:pPr>
      <w:r w:rsidRPr="00831FCD">
        <w:rPr>
          <w:bCs/>
          <w:szCs w:val="26"/>
        </w:rPr>
        <w:tab/>
      </w:r>
    </w:p>
    <w:p w:rsidR="00853073" w:rsidRPr="00831FCD" w:rsidRDefault="00853073" w:rsidP="00E83360">
      <w:pPr>
        <w:pStyle w:val="ListParagraph"/>
        <w:widowControl/>
        <w:numPr>
          <w:ilvl w:val="0"/>
          <w:numId w:val="14"/>
        </w:numPr>
        <w:ind w:left="1440" w:right="650" w:firstLine="0"/>
        <w:rPr>
          <w:bCs/>
          <w:szCs w:val="26"/>
        </w:rPr>
      </w:pPr>
      <w:r w:rsidRPr="00831FCD">
        <w:rPr>
          <w:bCs/>
          <w:szCs w:val="26"/>
        </w:rPr>
        <w:t>Where the radial system serves Load and includes generation resources, not identified in Inclusion</w:t>
      </w:r>
      <w:r w:rsidRPr="00831FCD">
        <w:rPr>
          <w:bCs/>
          <w:szCs w:val="26"/>
          <w:u w:val="double"/>
        </w:rPr>
        <w:t>s</w:t>
      </w:r>
      <w:r w:rsidRPr="00831FCD">
        <w:rPr>
          <w:bCs/>
          <w:szCs w:val="26"/>
        </w:rPr>
        <w:t xml:space="preserve"> </w:t>
      </w:r>
      <w:r w:rsidRPr="00831FCD">
        <w:rPr>
          <w:bCs/>
          <w:szCs w:val="26"/>
          <w:u w:val="double"/>
        </w:rPr>
        <w:t>I2</w:t>
      </w:r>
      <w:r w:rsidRPr="00831FCD">
        <w:rPr>
          <w:bCs/>
          <w:szCs w:val="26"/>
        </w:rPr>
        <w:t xml:space="preserve">, I3 </w:t>
      </w:r>
      <w:r w:rsidRPr="00831FCD">
        <w:rPr>
          <w:bCs/>
          <w:szCs w:val="26"/>
          <w:u w:val="double"/>
        </w:rPr>
        <w:t>or I4</w:t>
      </w:r>
      <w:r w:rsidRPr="00831FCD">
        <w:rPr>
          <w:bCs/>
          <w:szCs w:val="26"/>
        </w:rPr>
        <w:t>, with an aggregate capacity of non-retail generation less than or equal to 75 MVA (gross nameplate rating).</w:t>
      </w:r>
    </w:p>
    <w:p w:rsidR="00853073" w:rsidRPr="00831FCD" w:rsidRDefault="00853073" w:rsidP="00853073">
      <w:pPr>
        <w:widowControl/>
        <w:ind w:left="720" w:right="650"/>
        <w:rPr>
          <w:bCs/>
          <w:szCs w:val="26"/>
        </w:rPr>
      </w:pPr>
    </w:p>
    <w:p w:rsidR="00853073" w:rsidRPr="00831FCD" w:rsidRDefault="00853073" w:rsidP="00F6032E">
      <w:pPr>
        <w:widowControl/>
        <w:ind w:left="810" w:right="650"/>
        <w:rPr>
          <w:bCs/>
          <w:szCs w:val="26"/>
        </w:rPr>
      </w:pPr>
      <w:r w:rsidRPr="00831FCD">
        <w:rPr>
          <w:bCs/>
          <w:szCs w:val="26"/>
        </w:rPr>
        <w:t xml:space="preserve">Note </w:t>
      </w:r>
      <w:r w:rsidRPr="00831FCD">
        <w:rPr>
          <w:bCs/>
          <w:szCs w:val="26"/>
          <w:u w:val="double"/>
        </w:rPr>
        <w:t>1</w:t>
      </w:r>
      <w:r w:rsidRPr="00831FCD">
        <w:rPr>
          <w:bCs/>
          <w:szCs w:val="26"/>
        </w:rPr>
        <w:t xml:space="preserve"> – A normally open switching device between radial systems, as depicted on prints or one-line diagrams for example, does not affect this exclusion.</w:t>
      </w:r>
    </w:p>
    <w:p w:rsidR="00853073" w:rsidRPr="00831FCD" w:rsidRDefault="00853073" w:rsidP="00F6032E">
      <w:pPr>
        <w:widowControl/>
        <w:ind w:left="810" w:right="650"/>
        <w:rPr>
          <w:bCs/>
          <w:szCs w:val="26"/>
        </w:rPr>
      </w:pPr>
    </w:p>
    <w:p w:rsidR="00853073" w:rsidRPr="00831FCD" w:rsidRDefault="00853073" w:rsidP="00F6032E">
      <w:pPr>
        <w:widowControl/>
        <w:ind w:left="810" w:right="650"/>
        <w:rPr>
          <w:bCs/>
          <w:szCs w:val="26"/>
          <w:u w:val="double"/>
        </w:rPr>
      </w:pPr>
      <w:r w:rsidRPr="00831FCD">
        <w:rPr>
          <w:bCs/>
          <w:szCs w:val="26"/>
          <w:u w:val="double"/>
        </w:rPr>
        <w:t xml:space="preserve">Note 2 – The presence of a </w:t>
      </w:r>
      <w:proofErr w:type="spellStart"/>
      <w:r w:rsidRPr="00831FCD">
        <w:rPr>
          <w:bCs/>
          <w:szCs w:val="26"/>
          <w:u w:val="double"/>
        </w:rPr>
        <w:t>contiguous</w:t>
      </w:r>
      <w:proofErr w:type="spellEnd"/>
      <w:r w:rsidRPr="00831FCD">
        <w:rPr>
          <w:bCs/>
          <w:szCs w:val="26"/>
          <w:u w:val="double"/>
        </w:rPr>
        <w:t xml:space="preserve"> loop, operated at a voltage level of 50 kV or less, between configurations being considered as radial systems, does not affect this exclusion</w:t>
      </w:r>
      <w:r w:rsidR="003B1F0B">
        <w:rPr>
          <w:bCs/>
          <w:szCs w:val="26"/>
          <w:u w:val="double"/>
        </w:rPr>
        <w:t>.</w:t>
      </w:r>
    </w:p>
    <w:p w:rsidR="00853073" w:rsidRPr="00831FCD" w:rsidRDefault="00853073" w:rsidP="00853073">
      <w:pPr>
        <w:pStyle w:val="FERCparanumber"/>
        <w:numPr>
          <w:ilvl w:val="0"/>
          <w:numId w:val="0"/>
        </w:numPr>
        <w:rPr>
          <w:szCs w:val="26"/>
        </w:rPr>
      </w:pPr>
    </w:p>
    <w:p w:rsidR="004C1166" w:rsidRPr="00831FCD" w:rsidRDefault="00D1052E" w:rsidP="004C1166">
      <w:pPr>
        <w:pStyle w:val="FERCparanumber"/>
        <w:rPr>
          <w:szCs w:val="26"/>
        </w:rPr>
      </w:pPr>
      <w:r w:rsidRPr="00831FCD">
        <w:rPr>
          <w:szCs w:val="26"/>
        </w:rPr>
        <w:t xml:space="preserve">According to NERC, the </w:t>
      </w:r>
      <w:r w:rsidR="009468F6" w:rsidRPr="00831FCD">
        <w:rPr>
          <w:szCs w:val="26"/>
        </w:rPr>
        <w:t xml:space="preserve">standard drafting team </w:t>
      </w:r>
      <w:r w:rsidR="00A02EDB">
        <w:rPr>
          <w:szCs w:val="26"/>
        </w:rPr>
        <w:t xml:space="preserve">developed note 2 by first conducting a </w:t>
      </w:r>
      <w:r w:rsidRPr="00831FCD">
        <w:rPr>
          <w:szCs w:val="26"/>
        </w:rPr>
        <w:t xml:space="preserve">technical analysis including </w:t>
      </w:r>
      <w:r w:rsidR="009468F6" w:rsidRPr="00831FCD">
        <w:rPr>
          <w:szCs w:val="26"/>
        </w:rPr>
        <w:t>modeling the physics of loop flows through sub-100 kV systems, in</w:t>
      </w:r>
      <w:r w:rsidRPr="00831FCD">
        <w:rPr>
          <w:szCs w:val="26"/>
        </w:rPr>
        <w:t xml:space="preserve"> order to determine an </w:t>
      </w:r>
      <w:r w:rsidR="009468F6" w:rsidRPr="00831FCD">
        <w:rPr>
          <w:szCs w:val="26"/>
        </w:rPr>
        <w:t>appropriate threshold.</w:t>
      </w:r>
      <w:r w:rsidR="002256D1">
        <w:rPr>
          <w:rStyle w:val="FootnoteReference"/>
        </w:rPr>
        <w:footnoteReference w:id="19"/>
      </w:r>
      <w:r w:rsidRPr="00831FCD">
        <w:rPr>
          <w:szCs w:val="26"/>
        </w:rPr>
        <w:t xml:space="preserve">  </w:t>
      </w:r>
      <w:r w:rsidR="009468F6" w:rsidRPr="00831FCD">
        <w:rPr>
          <w:szCs w:val="26"/>
        </w:rPr>
        <w:t>The standard</w:t>
      </w:r>
      <w:r w:rsidRPr="00831FCD">
        <w:rPr>
          <w:szCs w:val="26"/>
        </w:rPr>
        <w:t xml:space="preserve"> </w:t>
      </w:r>
      <w:r w:rsidR="009468F6" w:rsidRPr="00831FCD">
        <w:rPr>
          <w:szCs w:val="26"/>
        </w:rPr>
        <w:lastRenderedPageBreak/>
        <w:t xml:space="preserve">drafting team conducted a two-step process to establish a technical justification for </w:t>
      </w:r>
      <w:r w:rsidR="00A02EDB">
        <w:rPr>
          <w:szCs w:val="26"/>
        </w:rPr>
        <w:t xml:space="preserve">a </w:t>
      </w:r>
      <w:r w:rsidR="009468F6" w:rsidRPr="00831FCD">
        <w:rPr>
          <w:szCs w:val="26"/>
        </w:rPr>
        <w:t>voltage threshold below which sub-100 kV loops do not preclude the</w:t>
      </w:r>
      <w:r w:rsidRPr="00831FCD">
        <w:rPr>
          <w:szCs w:val="26"/>
        </w:rPr>
        <w:t xml:space="preserve"> </w:t>
      </w:r>
      <w:r w:rsidR="009468F6" w:rsidRPr="00831FCD">
        <w:rPr>
          <w:szCs w:val="26"/>
        </w:rPr>
        <w:t xml:space="preserve">application of </w:t>
      </w:r>
      <w:r w:rsidR="002C426C">
        <w:rPr>
          <w:szCs w:val="26"/>
        </w:rPr>
        <w:t>e</w:t>
      </w:r>
      <w:r w:rsidR="002C426C" w:rsidRPr="00831FCD">
        <w:rPr>
          <w:szCs w:val="26"/>
        </w:rPr>
        <w:t xml:space="preserve">xclusion </w:t>
      </w:r>
      <w:r w:rsidR="009468F6" w:rsidRPr="00831FCD">
        <w:rPr>
          <w:szCs w:val="26"/>
        </w:rPr>
        <w:t>E1.</w:t>
      </w:r>
      <w:r w:rsidR="00B41A33" w:rsidRPr="00831FCD">
        <w:rPr>
          <w:szCs w:val="26"/>
        </w:rPr>
        <w:t xml:space="preserve">  Specifically, </w:t>
      </w:r>
      <w:r w:rsidR="00A02EDB">
        <w:rPr>
          <w:szCs w:val="26"/>
        </w:rPr>
        <w:t xml:space="preserve">the standard drafting team </w:t>
      </w:r>
      <w:r w:rsidR="00B41A33" w:rsidRPr="00831FCD">
        <w:rPr>
          <w:szCs w:val="26"/>
        </w:rPr>
        <w:t xml:space="preserve">reviewed </w:t>
      </w:r>
      <w:r w:rsidR="009468F6" w:rsidRPr="00831FCD">
        <w:rPr>
          <w:szCs w:val="26"/>
        </w:rPr>
        <w:t>the minimum voltage levels that</w:t>
      </w:r>
      <w:r w:rsidR="00B41A33" w:rsidRPr="00831FCD">
        <w:rPr>
          <w:szCs w:val="26"/>
        </w:rPr>
        <w:t xml:space="preserve"> </w:t>
      </w:r>
      <w:r w:rsidR="009468F6" w:rsidRPr="00831FCD">
        <w:rPr>
          <w:szCs w:val="26"/>
        </w:rPr>
        <w:t xml:space="preserve">are monitored by </w:t>
      </w:r>
      <w:r w:rsidR="00B41A33" w:rsidRPr="00831FCD">
        <w:rPr>
          <w:szCs w:val="26"/>
        </w:rPr>
        <w:t>various function</w:t>
      </w:r>
      <w:r w:rsidR="002C426C">
        <w:rPr>
          <w:szCs w:val="26"/>
        </w:rPr>
        <w:t>al</w:t>
      </w:r>
      <w:r w:rsidR="00B41A33" w:rsidRPr="00831FCD">
        <w:rPr>
          <w:szCs w:val="26"/>
        </w:rPr>
        <w:t xml:space="preserve"> entities for i</w:t>
      </w:r>
      <w:r w:rsidR="009468F6" w:rsidRPr="00831FCD">
        <w:rPr>
          <w:szCs w:val="26"/>
        </w:rPr>
        <w:t xml:space="preserve">nterfaces, </w:t>
      </w:r>
      <w:r w:rsidR="00B41A33" w:rsidRPr="00831FCD">
        <w:rPr>
          <w:szCs w:val="26"/>
        </w:rPr>
        <w:t>p</w:t>
      </w:r>
      <w:r w:rsidR="009468F6" w:rsidRPr="00831FCD">
        <w:rPr>
          <w:szCs w:val="26"/>
        </w:rPr>
        <w:t xml:space="preserve">aths, and </w:t>
      </w:r>
      <w:r w:rsidR="00B41A33" w:rsidRPr="00831FCD">
        <w:rPr>
          <w:szCs w:val="26"/>
        </w:rPr>
        <w:t>m</w:t>
      </w:r>
      <w:r w:rsidR="009468F6" w:rsidRPr="00831FCD">
        <w:rPr>
          <w:szCs w:val="26"/>
        </w:rPr>
        <w:t xml:space="preserve">onitored </w:t>
      </w:r>
      <w:r w:rsidR="00B41A33" w:rsidRPr="00831FCD">
        <w:rPr>
          <w:szCs w:val="26"/>
        </w:rPr>
        <w:t xml:space="preserve">elements, which </w:t>
      </w:r>
      <w:r w:rsidR="009468F6" w:rsidRPr="00831FCD">
        <w:rPr>
          <w:szCs w:val="26"/>
        </w:rPr>
        <w:t>reflect a value that industry experts consider necessary to</w:t>
      </w:r>
      <w:r w:rsidR="00B41A33" w:rsidRPr="00831FCD">
        <w:rPr>
          <w:szCs w:val="26"/>
        </w:rPr>
        <w:t xml:space="preserve"> </w:t>
      </w:r>
      <w:r w:rsidR="009468F6" w:rsidRPr="00831FCD">
        <w:rPr>
          <w:szCs w:val="26"/>
        </w:rPr>
        <w:t xml:space="preserve">monitor and facilitate the operation of the </w:t>
      </w:r>
      <w:r w:rsidR="00B41A33" w:rsidRPr="00831FCD">
        <w:rPr>
          <w:szCs w:val="26"/>
        </w:rPr>
        <w:t>b</w:t>
      </w:r>
      <w:r w:rsidR="009468F6" w:rsidRPr="00831FCD">
        <w:rPr>
          <w:szCs w:val="26"/>
        </w:rPr>
        <w:t xml:space="preserve">ulk </w:t>
      </w:r>
      <w:r w:rsidR="00B41A33" w:rsidRPr="00831FCD">
        <w:rPr>
          <w:szCs w:val="26"/>
        </w:rPr>
        <w:t>e</w:t>
      </w:r>
      <w:r w:rsidR="009468F6" w:rsidRPr="00831FCD">
        <w:rPr>
          <w:szCs w:val="26"/>
        </w:rPr>
        <w:t xml:space="preserve">lectric </w:t>
      </w:r>
      <w:r w:rsidR="00B41A33" w:rsidRPr="00831FCD">
        <w:rPr>
          <w:szCs w:val="26"/>
        </w:rPr>
        <w:t>s</w:t>
      </w:r>
      <w:r w:rsidR="009468F6" w:rsidRPr="00831FCD">
        <w:rPr>
          <w:szCs w:val="26"/>
        </w:rPr>
        <w:t>ystem.</w:t>
      </w:r>
      <w:r w:rsidR="002256D1">
        <w:rPr>
          <w:rStyle w:val="FootnoteReference"/>
        </w:rPr>
        <w:footnoteReference w:id="20"/>
      </w:r>
      <w:r w:rsidR="00B41A33" w:rsidRPr="00831FCD">
        <w:rPr>
          <w:szCs w:val="26"/>
        </w:rPr>
        <w:t xml:space="preserve">  NERC explains that this </w:t>
      </w:r>
      <w:r w:rsidR="009468F6" w:rsidRPr="00831FCD">
        <w:rPr>
          <w:szCs w:val="26"/>
        </w:rPr>
        <w:t>step</w:t>
      </w:r>
      <w:r w:rsidR="00B41A33" w:rsidRPr="00831FCD">
        <w:rPr>
          <w:szCs w:val="26"/>
        </w:rPr>
        <w:t xml:space="preserve"> </w:t>
      </w:r>
      <w:r w:rsidR="009468F6" w:rsidRPr="00831FCD">
        <w:rPr>
          <w:szCs w:val="26"/>
        </w:rPr>
        <w:t>provided a technically sound approach to screen for a minimum voltage limit that</w:t>
      </w:r>
      <w:r w:rsidR="00B41A33" w:rsidRPr="00831FCD">
        <w:rPr>
          <w:szCs w:val="26"/>
        </w:rPr>
        <w:t xml:space="preserve"> </w:t>
      </w:r>
      <w:r w:rsidR="009468F6" w:rsidRPr="00831FCD">
        <w:rPr>
          <w:szCs w:val="26"/>
        </w:rPr>
        <w:t xml:space="preserve">served as a starting point for </w:t>
      </w:r>
      <w:r w:rsidR="00B41A33" w:rsidRPr="00831FCD">
        <w:rPr>
          <w:szCs w:val="26"/>
        </w:rPr>
        <w:t xml:space="preserve">its subsequent </w:t>
      </w:r>
      <w:r w:rsidR="009468F6" w:rsidRPr="00831FCD">
        <w:rPr>
          <w:szCs w:val="26"/>
        </w:rPr>
        <w:t>technical analysis</w:t>
      </w:r>
      <w:r w:rsidR="00B41A33" w:rsidRPr="00831FCD">
        <w:rPr>
          <w:szCs w:val="26"/>
        </w:rPr>
        <w:t>.</w:t>
      </w:r>
      <w:r w:rsidR="00A02EDB">
        <w:rPr>
          <w:rStyle w:val="FootnoteReference"/>
        </w:rPr>
        <w:footnoteReference w:id="21"/>
      </w:r>
      <w:r w:rsidR="00B41A33" w:rsidRPr="00831FCD">
        <w:rPr>
          <w:szCs w:val="26"/>
        </w:rPr>
        <w:t xml:space="preserve">  Next, NERC </w:t>
      </w:r>
      <w:r w:rsidR="00FC2A3E">
        <w:rPr>
          <w:szCs w:val="26"/>
        </w:rPr>
        <w:t xml:space="preserve">   </w:t>
      </w:r>
      <w:r w:rsidR="00B41A33" w:rsidRPr="00831FCD">
        <w:rPr>
          <w:szCs w:val="26"/>
        </w:rPr>
        <w:t xml:space="preserve">states that it </w:t>
      </w:r>
      <w:r w:rsidR="009468F6" w:rsidRPr="00831FCD">
        <w:rPr>
          <w:szCs w:val="26"/>
        </w:rPr>
        <w:t>performed</w:t>
      </w:r>
      <w:r w:rsidR="00B41A33" w:rsidRPr="00831FCD">
        <w:rPr>
          <w:szCs w:val="26"/>
        </w:rPr>
        <w:t xml:space="preserve"> technical studies modeling the physics of loop flows through</w:t>
      </w:r>
      <w:r w:rsidR="00FC2A3E">
        <w:rPr>
          <w:szCs w:val="26"/>
        </w:rPr>
        <w:t xml:space="preserve">  </w:t>
      </w:r>
      <w:r w:rsidR="00B41A33" w:rsidRPr="00831FCD">
        <w:rPr>
          <w:szCs w:val="26"/>
        </w:rPr>
        <w:t xml:space="preserve"> sub-100 kV systems </w:t>
      </w:r>
      <w:r w:rsidR="009468F6" w:rsidRPr="00831FCD">
        <w:rPr>
          <w:szCs w:val="26"/>
        </w:rPr>
        <w:t>to establish which voltage level, while less than 100</w:t>
      </w:r>
      <w:r w:rsidR="00B41A33" w:rsidRPr="00831FCD">
        <w:rPr>
          <w:szCs w:val="26"/>
        </w:rPr>
        <w:t xml:space="preserve"> </w:t>
      </w:r>
      <w:r w:rsidR="009468F6" w:rsidRPr="00831FCD">
        <w:rPr>
          <w:szCs w:val="26"/>
        </w:rPr>
        <w:t xml:space="preserve">kV, should be considered in the evaluation of </w:t>
      </w:r>
      <w:r w:rsidR="002C426C">
        <w:rPr>
          <w:szCs w:val="26"/>
        </w:rPr>
        <w:t>e</w:t>
      </w:r>
      <w:r w:rsidR="002C426C" w:rsidRPr="00831FCD">
        <w:rPr>
          <w:szCs w:val="26"/>
        </w:rPr>
        <w:t xml:space="preserve">xclusion </w:t>
      </w:r>
      <w:r w:rsidR="009468F6" w:rsidRPr="00831FCD">
        <w:rPr>
          <w:szCs w:val="26"/>
        </w:rPr>
        <w:t>E1.</w:t>
      </w:r>
      <w:r w:rsidR="00B41A33" w:rsidRPr="00831FCD">
        <w:rPr>
          <w:szCs w:val="26"/>
        </w:rPr>
        <w:t xml:space="preserve">  </w:t>
      </w:r>
    </w:p>
    <w:p w:rsidR="00AD3BF9" w:rsidRPr="00831FCD" w:rsidRDefault="00BB0D1D" w:rsidP="00AD3BF9">
      <w:pPr>
        <w:pStyle w:val="FERCparanumber"/>
        <w:rPr>
          <w:szCs w:val="26"/>
        </w:rPr>
      </w:pPr>
      <w:r>
        <w:rPr>
          <w:szCs w:val="26"/>
        </w:rPr>
        <w:t xml:space="preserve">NERC </w:t>
      </w:r>
      <w:r w:rsidR="00CE513C">
        <w:rPr>
          <w:szCs w:val="26"/>
        </w:rPr>
        <w:t xml:space="preserve">states that it </w:t>
      </w:r>
      <w:r>
        <w:rPr>
          <w:szCs w:val="26"/>
        </w:rPr>
        <w:t>obtain</w:t>
      </w:r>
      <w:r w:rsidR="002C426C">
        <w:rPr>
          <w:szCs w:val="26"/>
        </w:rPr>
        <w:t>ed</w:t>
      </w:r>
      <w:r>
        <w:rPr>
          <w:szCs w:val="26"/>
        </w:rPr>
        <w:t xml:space="preserve"> the </w:t>
      </w:r>
      <w:r w:rsidR="009468F6" w:rsidRPr="00831FCD">
        <w:rPr>
          <w:szCs w:val="26"/>
        </w:rPr>
        <w:t xml:space="preserve">key groupings of elements </w:t>
      </w:r>
      <w:r>
        <w:rPr>
          <w:szCs w:val="26"/>
        </w:rPr>
        <w:t xml:space="preserve">that the eight regions </w:t>
      </w:r>
      <w:r w:rsidR="009468F6" w:rsidRPr="00831FCD">
        <w:rPr>
          <w:szCs w:val="26"/>
        </w:rPr>
        <w:t>monitor to ensure reliable operation of the inte</w:t>
      </w:r>
      <w:r w:rsidR="00B41A33" w:rsidRPr="00831FCD">
        <w:rPr>
          <w:szCs w:val="26"/>
        </w:rPr>
        <w:t>rconnected transmission system</w:t>
      </w:r>
      <w:r>
        <w:rPr>
          <w:szCs w:val="26"/>
        </w:rPr>
        <w:t xml:space="preserve">.  </w:t>
      </w:r>
      <w:r w:rsidR="00B41A33" w:rsidRPr="00831FCD">
        <w:rPr>
          <w:szCs w:val="26"/>
        </w:rPr>
        <w:t>NERC identified</w:t>
      </w:r>
      <w:r w:rsidR="009468F6" w:rsidRPr="00831FCD">
        <w:rPr>
          <w:szCs w:val="26"/>
        </w:rPr>
        <w:t xml:space="preserve"> the lowest voltage element in the</w:t>
      </w:r>
      <w:r w:rsidR="00B41A33" w:rsidRPr="00831FCD">
        <w:rPr>
          <w:szCs w:val="26"/>
        </w:rPr>
        <w:t xml:space="preserve"> </w:t>
      </w:r>
      <w:r w:rsidR="009468F6" w:rsidRPr="00831FCD">
        <w:rPr>
          <w:szCs w:val="26"/>
        </w:rPr>
        <w:t>major element groupings</w:t>
      </w:r>
      <w:r w:rsidR="00B41A33" w:rsidRPr="00831FCD">
        <w:rPr>
          <w:szCs w:val="26"/>
        </w:rPr>
        <w:t xml:space="preserve">, which </w:t>
      </w:r>
      <w:r>
        <w:rPr>
          <w:szCs w:val="26"/>
        </w:rPr>
        <w:t xml:space="preserve">it used </w:t>
      </w:r>
      <w:r w:rsidR="009468F6" w:rsidRPr="00831FCD">
        <w:rPr>
          <w:szCs w:val="26"/>
        </w:rPr>
        <w:t xml:space="preserve">as a starting point to </w:t>
      </w:r>
      <w:r>
        <w:rPr>
          <w:szCs w:val="26"/>
        </w:rPr>
        <w:t xml:space="preserve">examine </w:t>
      </w:r>
      <w:r w:rsidR="009468F6" w:rsidRPr="00831FCD">
        <w:rPr>
          <w:szCs w:val="26"/>
        </w:rPr>
        <w:t>the voltage</w:t>
      </w:r>
      <w:r w:rsidR="00B41A33" w:rsidRPr="00831FCD">
        <w:rPr>
          <w:szCs w:val="26"/>
        </w:rPr>
        <w:t xml:space="preserve"> </w:t>
      </w:r>
      <w:r w:rsidR="009468F6" w:rsidRPr="00831FCD">
        <w:rPr>
          <w:szCs w:val="26"/>
        </w:rPr>
        <w:t xml:space="preserve">level where the presence of a </w:t>
      </w:r>
      <w:proofErr w:type="spellStart"/>
      <w:r w:rsidR="009468F6" w:rsidRPr="00831FCD">
        <w:rPr>
          <w:szCs w:val="26"/>
        </w:rPr>
        <w:t>contiguous</w:t>
      </w:r>
      <w:proofErr w:type="spellEnd"/>
      <w:r w:rsidR="009468F6" w:rsidRPr="00831FCD">
        <w:rPr>
          <w:szCs w:val="26"/>
        </w:rPr>
        <w:t xml:space="preserve"> loop should not preclude the evaluation of radial</w:t>
      </w:r>
      <w:r w:rsidR="00B41A33" w:rsidRPr="00831FCD">
        <w:rPr>
          <w:szCs w:val="26"/>
        </w:rPr>
        <w:t xml:space="preserve"> </w:t>
      </w:r>
      <w:r w:rsidR="009468F6" w:rsidRPr="00831FCD">
        <w:rPr>
          <w:szCs w:val="26"/>
        </w:rPr>
        <w:t>systems.</w:t>
      </w:r>
      <w:r w:rsidR="00A02EDB">
        <w:rPr>
          <w:rStyle w:val="FootnoteReference"/>
        </w:rPr>
        <w:footnoteReference w:id="22"/>
      </w:r>
      <w:r w:rsidR="00B41A33" w:rsidRPr="00831FCD">
        <w:rPr>
          <w:szCs w:val="26"/>
        </w:rPr>
        <w:t xml:space="preserve">  NE</w:t>
      </w:r>
      <w:r>
        <w:rPr>
          <w:szCs w:val="26"/>
        </w:rPr>
        <w:t>R</w:t>
      </w:r>
      <w:r w:rsidR="00B41A33" w:rsidRPr="00831FCD">
        <w:rPr>
          <w:szCs w:val="26"/>
        </w:rPr>
        <w:t xml:space="preserve">C established a </w:t>
      </w:r>
      <w:r w:rsidR="009468F6" w:rsidRPr="00831FCD">
        <w:rPr>
          <w:szCs w:val="26"/>
        </w:rPr>
        <w:t xml:space="preserve">30 kV </w:t>
      </w:r>
      <w:r w:rsidR="00B41A33" w:rsidRPr="00831FCD">
        <w:rPr>
          <w:szCs w:val="26"/>
        </w:rPr>
        <w:t xml:space="preserve">threshold </w:t>
      </w:r>
      <w:r w:rsidR="009468F6" w:rsidRPr="00831FCD">
        <w:rPr>
          <w:szCs w:val="26"/>
        </w:rPr>
        <w:t>as a reasonable starting point</w:t>
      </w:r>
      <w:r w:rsidR="00B41A33" w:rsidRPr="00831FCD">
        <w:rPr>
          <w:szCs w:val="26"/>
        </w:rPr>
        <w:t>.  NERC explains that i</w:t>
      </w:r>
      <w:r w:rsidR="009468F6" w:rsidRPr="00831FCD">
        <w:rPr>
          <w:szCs w:val="26"/>
        </w:rPr>
        <w:t>f the resulting voltage threshold was deemed appropriate</w:t>
      </w:r>
      <w:r w:rsidR="00B41A33" w:rsidRPr="00831FCD">
        <w:rPr>
          <w:szCs w:val="26"/>
        </w:rPr>
        <w:t xml:space="preserve"> </w:t>
      </w:r>
      <w:r w:rsidR="009468F6" w:rsidRPr="00831FCD">
        <w:rPr>
          <w:szCs w:val="26"/>
        </w:rPr>
        <w:t>through technical study efforts, then contiguous loop connections operated at voltages below this</w:t>
      </w:r>
      <w:r w:rsidR="00B41A33" w:rsidRPr="00831FCD">
        <w:rPr>
          <w:szCs w:val="26"/>
        </w:rPr>
        <w:t xml:space="preserve"> </w:t>
      </w:r>
      <w:r w:rsidR="009468F6" w:rsidRPr="00831FCD">
        <w:rPr>
          <w:szCs w:val="26"/>
        </w:rPr>
        <w:t xml:space="preserve">value would not preclude the application of </w:t>
      </w:r>
      <w:r w:rsidR="00B41A33" w:rsidRPr="00831FCD">
        <w:rPr>
          <w:szCs w:val="26"/>
        </w:rPr>
        <w:t>e</w:t>
      </w:r>
      <w:r>
        <w:rPr>
          <w:szCs w:val="26"/>
        </w:rPr>
        <w:t xml:space="preserve">xclusion E1.  </w:t>
      </w:r>
      <w:r w:rsidR="00CE513C">
        <w:rPr>
          <w:szCs w:val="26"/>
        </w:rPr>
        <w:t xml:space="preserve">According to </w:t>
      </w:r>
      <w:r>
        <w:rPr>
          <w:szCs w:val="26"/>
        </w:rPr>
        <w:t>NERC</w:t>
      </w:r>
      <w:r w:rsidR="00CE513C">
        <w:rPr>
          <w:szCs w:val="26"/>
        </w:rPr>
        <w:t xml:space="preserve">, </w:t>
      </w:r>
      <w:r w:rsidR="007A1562">
        <w:rPr>
          <w:szCs w:val="26"/>
        </w:rPr>
        <w:t xml:space="preserve">it then </w:t>
      </w:r>
      <w:r w:rsidR="009468F6" w:rsidRPr="00831FCD">
        <w:rPr>
          <w:szCs w:val="26"/>
        </w:rPr>
        <w:t>evaluated a range of voltages for the loop and the parallel transmission system</w:t>
      </w:r>
      <w:r w:rsidR="004C1166" w:rsidRPr="00831FCD">
        <w:rPr>
          <w:szCs w:val="26"/>
        </w:rPr>
        <w:t xml:space="preserve">, </w:t>
      </w:r>
      <w:r w:rsidR="009468F6" w:rsidRPr="00831FCD">
        <w:rPr>
          <w:szCs w:val="26"/>
        </w:rPr>
        <w:t>included sensitivity analysis varying the loads and</w:t>
      </w:r>
      <w:r w:rsidR="004C1166" w:rsidRPr="00831FCD">
        <w:rPr>
          <w:szCs w:val="26"/>
        </w:rPr>
        <w:t xml:space="preserve"> </w:t>
      </w:r>
      <w:r w:rsidR="009468F6" w:rsidRPr="00831FCD">
        <w:rPr>
          <w:szCs w:val="26"/>
        </w:rPr>
        <w:t>impedances</w:t>
      </w:r>
      <w:r w:rsidR="004C1166" w:rsidRPr="00831FCD">
        <w:rPr>
          <w:szCs w:val="26"/>
        </w:rPr>
        <w:t>, v</w:t>
      </w:r>
      <w:r w:rsidR="009468F6" w:rsidRPr="00831FCD">
        <w:rPr>
          <w:szCs w:val="26"/>
        </w:rPr>
        <w:t>ariations in loop and transmission system impedances account for a range of</w:t>
      </w:r>
      <w:r w:rsidR="004C1166" w:rsidRPr="00831FCD">
        <w:rPr>
          <w:szCs w:val="26"/>
        </w:rPr>
        <w:t xml:space="preserve"> </w:t>
      </w:r>
      <w:r w:rsidR="009468F6" w:rsidRPr="00831FCD">
        <w:rPr>
          <w:szCs w:val="26"/>
        </w:rPr>
        <w:t>physical parameters such as conductor length, conductor type, system configuration, and</w:t>
      </w:r>
      <w:r w:rsidR="004C1166" w:rsidRPr="00831FCD">
        <w:rPr>
          <w:szCs w:val="26"/>
        </w:rPr>
        <w:t xml:space="preserve"> </w:t>
      </w:r>
      <w:r w:rsidR="009468F6" w:rsidRPr="00831FCD">
        <w:rPr>
          <w:szCs w:val="26"/>
        </w:rPr>
        <w:t>proximity of the l</w:t>
      </w:r>
      <w:r w:rsidR="004C1166" w:rsidRPr="00831FCD">
        <w:rPr>
          <w:szCs w:val="26"/>
        </w:rPr>
        <w:t xml:space="preserve">oop to the transmission system.  </w:t>
      </w:r>
      <w:r>
        <w:rPr>
          <w:szCs w:val="26"/>
        </w:rPr>
        <w:t xml:space="preserve">NERC </w:t>
      </w:r>
      <w:r w:rsidR="00E92B7B">
        <w:rPr>
          <w:szCs w:val="26"/>
        </w:rPr>
        <w:t xml:space="preserve">explains that, based on the above analysis, it </w:t>
      </w:r>
      <w:r w:rsidR="004C1166" w:rsidRPr="00831FCD">
        <w:rPr>
          <w:szCs w:val="26"/>
        </w:rPr>
        <w:t xml:space="preserve">concluded that a 50 kV threshold for sub-100 kV loops does not preclude the application of exclusion E1.  NERC contends that the </w:t>
      </w:r>
      <w:r w:rsidR="009468F6" w:rsidRPr="00831FCD">
        <w:rPr>
          <w:szCs w:val="26"/>
        </w:rPr>
        <w:t xml:space="preserve">proposed revisions </w:t>
      </w:r>
      <w:r w:rsidR="004C1166" w:rsidRPr="00831FCD">
        <w:rPr>
          <w:szCs w:val="26"/>
        </w:rPr>
        <w:t xml:space="preserve">to exclusion E1 </w:t>
      </w:r>
      <w:r w:rsidR="009468F6" w:rsidRPr="00831FCD">
        <w:rPr>
          <w:szCs w:val="26"/>
        </w:rPr>
        <w:t>are an equally effective and efficient solution to addressing the</w:t>
      </w:r>
      <w:r w:rsidR="004C1166" w:rsidRPr="00831FCD">
        <w:rPr>
          <w:szCs w:val="26"/>
        </w:rPr>
        <w:t xml:space="preserve"> </w:t>
      </w:r>
      <w:r w:rsidR="009468F6" w:rsidRPr="00831FCD">
        <w:rPr>
          <w:szCs w:val="26"/>
        </w:rPr>
        <w:t>Commission’s concer</w:t>
      </w:r>
      <w:r w:rsidR="004C1166" w:rsidRPr="00831FCD">
        <w:rPr>
          <w:szCs w:val="26"/>
        </w:rPr>
        <w:t>ns in Order Nos. 773 and 773-A.  NERC also states that t</w:t>
      </w:r>
      <w:r w:rsidR="009468F6" w:rsidRPr="00831FCD">
        <w:rPr>
          <w:szCs w:val="26"/>
        </w:rPr>
        <w:t>his approach should ease the administrative</w:t>
      </w:r>
      <w:r w:rsidR="004C1166" w:rsidRPr="00831FCD">
        <w:rPr>
          <w:szCs w:val="26"/>
        </w:rPr>
        <w:t xml:space="preserve"> </w:t>
      </w:r>
      <w:r w:rsidR="009468F6" w:rsidRPr="00831FCD">
        <w:rPr>
          <w:szCs w:val="26"/>
        </w:rPr>
        <w:t xml:space="preserve">burden on entities to prove that they qualify for </w:t>
      </w:r>
      <w:proofErr w:type="gramStart"/>
      <w:r w:rsidR="009468F6" w:rsidRPr="00831FCD">
        <w:rPr>
          <w:szCs w:val="26"/>
        </w:rPr>
        <w:t xml:space="preserve">an </w:t>
      </w:r>
      <w:r w:rsidR="004C1166" w:rsidRPr="00831FCD">
        <w:rPr>
          <w:szCs w:val="26"/>
        </w:rPr>
        <w:t>e</w:t>
      </w:r>
      <w:r w:rsidR="009468F6" w:rsidRPr="00831FCD">
        <w:rPr>
          <w:szCs w:val="26"/>
        </w:rPr>
        <w:t>xclusion</w:t>
      </w:r>
      <w:proofErr w:type="gramEnd"/>
      <w:r w:rsidR="009468F6" w:rsidRPr="00831FCD">
        <w:rPr>
          <w:szCs w:val="26"/>
        </w:rPr>
        <w:t>.</w:t>
      </w:r>
    </w:p>
    <w:p w:rsidR="00AD3BF9" w:rsidRPr="00894683" w:rsidRDefault="00AD3BF9" w:rsidP="00894683">
      <w:pPr>
        <w:pStyle w:val="Heading4"/>
        <w:tabs>
          <w:tab w:val="clear" w:pos="1800"/>
        </w:tabs>
        <w:ind w:left="2880"/>
        <w:rPr>
          <w:szCs w:val="26"/>
        </w:rPr>
      </w:pPr>
      <w:r w:rsidRPr="00894683">
        <w:rPr>
          <w:szCs w:val="26"/>
        </w:rPr>
        <w:lastRenderedPageBreak/>
        <w:t>Local Network</w:t>
      </w:r>
      <w:r w:rsidR="00134EC0" w:rsidRPr="00894683">
        <w:rPr>
          <w:szCs w:val="26"/>
        </w:rPr>
        <w:t>s</w:t>
      </w:r>
      <w:r w:rsidRPr="00894683">
        <w:rPr>
          <w:szCs w:val="26"/>
        </w:rPr>
        <w:t xml:space="preserve"> (Exclusion E3)</w:t>
      </w:r>
    </w:p>
    <w:p w:rsidR="00216F00" w:rsidRDefault="007F0D0E" w:rsidP="00A810FF">
      <w:pPr>
        <w:pStyle w:val="FERCparanumber"/>
        <w:rPr>
          <w:szCs w:val="26"/>
        </w:rPr>
      </w:pPr>
      <w:r>
        <w:rPr>
          <w:szCs w:val="26"/>
        </w:rPr>
        <w:t xml:space="preserve">Exclusion E3 </w:t>
      </w:r>
      <w:r w:rsidR="00F23B13">
        <w:rPr>
          <w:szCs w:val="26"/>
        </w:rPr>
        <w:t xml:space="preserve">as approved in Order No. 773 </w:t>
      </w:r>
      <w:r>
        <w:rPr>
          <w:szCs w:val="26"/>
        </w:rPr>
        <w:t xml:space="preserve">provides for the exclusion of elements operating at 100 kV to 300 kV captured in configurations classified as local networks.  </w:t>
      </w:r>
      <w:r w:rsidR="00CB641A">
        <w:rPr>
          <w:szCs w:val="26"/>
        </w:rPr>
        <w:t>Local networks must</w:t>
      </w:r>
      <w:r w:rsidR="00CB641A" w:rsidRPr="00831FCD">
        <w:rPr>
          <w:szCs w:val="26"/>
        </w:rPr>
        <w:t xml:space="preserve"> meet the specific criteria identified in the exclusion language</w:t>
      </w:r>
      <w:r w:rsidR="00CB641A">
        <w:rPr>
          <w:szCs w:val="26"/>
        </w:rPr>
        <w:t xml:space="preserve"> otherwise</w:t>
      </w:r>
      <w:r w:rsidR="00CB641A" w:rsidRPr="00831FCD">
        <w:rPr>
          <w:szCs w:val="26"/>
        </w:rPr>
        <w:t xml:space="preserve"> </w:t>
      </w:r>
      <w:r w:rsidR="00CB641A">
        <w:rPr>
          <w:szCs w:val="26"/>
        </w:rPr>
        <w:t>these 100 kV to 300 kV elements would be included in the bulk electric system per the core definition.</w:t>
      </w:r>
      <w:r w:rsidR="00A1336C">
        <w:rPr>
          <w:rStyle w:val="FootnoteReference"/>
        </w:rPr>
        <w:footnoteReference w:id="23"/>
      </w:r>
      <w:r w:rsidR="00CB641A">
        <w:rPr>
          <w:szCs w:val="26"/>
        </w:rPr>
        <w:t xml:space="preserve">  </w:t>
      </w:r>
    </w:p>
    <w:p w:rsidR="00DC0BF0" w:rsidRPr="00831FCD" w:rsidRDefault="00AD3BF9" w:rsidP="00DC0BF0">
      <w:pPr>
        <w:pStyle w:val="FERCparanumber"/>
        <w:rPr>
          <w:szCs w:val="26"/>
        </w:rPr>
      </w:pPr>
      <w:r w:rsidRPr="00831FCD">
        <w:rPr>
          <w:szCs w:val="26"/>
        </w:rPr>
        <w:t xml:space="preserve">In Order Nos. 773 and 773-A, the Commission directed NERC to modify exclusion E3 to remove the 100 kV minimum operating voltage in the local network definition. </w:t>
      </w:r>
      <w:r w:rsidR="00283FBD">
        <w:rPr>
          <w:szCs w:val="26"/>
        </w:rPr>
        <w:t xml:space="preserve"> </w:t>
      </w:r>
      <w:r w:rsidRPr="00831FCD">
        <w:rPr>
          <w:szCs w:val="26"/>
        </w:rPr>
        <w:t>In Order No. 773-A, the Commission clarified that removing the phrase</w:t>
      </w:r>
      <w:r w:rsidR="00DE0B33">
        <w:rPr>
          <w:szCs w:val="26"/>
        </w:rPr>
        <w:t xml:space="preserve"> “</w:t>
      </w:r>
      <w:r w:rsidRPr="00831FCD">
        <w:rPr>
          <w:szCs w:val="26"/>
        </w:rPr>
        <w:t>or above 100 kV but</w:t>
      </w:r>
      <w:r w:rsidR="00C31E39">
        <w:rPr>
          <w:szCs w:val="26"/>
        </w:rPr>
        <w:t>”</w:t>
      </w:r>
      <w:r w:rsidRPr="00831FCD">
        <w:rPr>
          <w:szCs w:val="26"/>
        </w:rPr>
        <w:t xml:space="preserve"> from the definition of local networks in the first sentence of exclusion E3 is an appropriate way to meet the Commission’s directive to remove the 100 kV minimum operating voltage in the local network definition.  </w:t>
      </w:r>
      <w:r w:rsidR="00283FBD">
        <w:rPr>
          <w:szCs w:val="26"/>
        </w:rPr>
        <w:t xml:space="preserve">In its petition, </w:t>
      </w:r>
      <w:r w:rsidRPr="00831FCD">
        <w:rPr>
          <w:szCs w:val="26"/>
        </w:rPr>
        <w:t>NERC states that, consistent with the Commission’s directive, it removed the phrase “or above 100 kV but” from exclusion E3.</w:t>
      </w:r>
      <w:r w:rsidR="00DC0BF0" w:rsidRPr="00831FCD">
        <w:rPr>
          <w:szCs w:val="26"/>
        </w:rPr>
        <w:t xml:space="preserve">  </w:t>
      </w:r>
    </w:p>
    <w:p w:rsidR="00F42719" w:rsidRPr="00831FCD" w:rsidRDefault="00A02EDB" w:rsidP="00F42719">
      <w:pPr>
        <w:pStyle w:val="FERCparanumber"/>
        <w:rPr>
          <w:szCs w:val="26"/>
        </w:rPr>
      </w:pPr>
      <w:r>
        <w:rPr>
          <w:szCs w:val="26"/>
        </w:rPr>
        <w:t xml:space="preserve">In addition, NERC </w:t>
      </w:r>
      <w:r w:rsidR="008766E7" w:rsidRPr="00831FCD">
        <w:rPr>
          <w:szCs w:val="26"/>
        </w:rPr>
        <w:t>proposes to revise exclusion E3 similar to exclusion E1 by adding reference to i</w:t>
      </w:r>
      <w:r w:rsidR="009468F6" w:rsidRPr="00831FCD">
        <w:rPr>
          <w:szCs w:val="26"/>
        </w:rPr>
        <w:t>nclusions I2</w:t>
      </w:r>
      <w:r w:rsidR="008766E7" w:rsidRPr="00831FCD">
        <w:rPr>
          <w:szCs w:val="26"/>
        </w:rPr>
        <w:t xml:space="preserve"> </w:t>
      </w:r>
      <w:r w:rsidR="009468F6" w:rsidRPr="00831FCD">
        <w:rPr>
          <w:szCs w:val="26"/>
        </w:rPr>
        <w:t>and I4</w:t>
      </w:r>
      <w:r w:rsidR="008766E7" w:rsidRPr="00831FCD">
        <w:rPr>
          <w:szCs w:val="26"/>
        </w:rPr>
        <w:t xml:space="preserve"> </w:t>
      </w:r>
      <w:r w:rsidR="009468F6" w:rsidRPr="00831FCD">
        <w:rPr>
          <w:szCs w:val="26"/>
        </w:rPr>
        <w:t xml:space="preserve">in part (a) of </w:t>
      </w:r>
      <w:r w:rsidR="008766E7" w:rsidRPr="00831FCD">
        <w:rPr>
          <w:szCs w:val="26"/>
        </w:rPr>
        <w:t>e</w:t>
      </w:r>
      <w:r w:rsidR="009468F6" w:rsidRPr="00831FCD">
        <w:rPr>
          <w:szCs w:val="26"/>
        </w:rPr>
        <w:t xml:space="preserve">xclusion E3 </w:t>
      </w:r>
      <w:r w:rsidR="008766E7" w:rsidRPr="00831FCD">
        <w:rPr>
          <w:szCs w:val="26"/>
        </w:rPr>
        <w:t xml:space="preserve">to </w:t>
      </w:r>
      <w:r w:rsidR="009468F6" w:rsidRPr="00831FCD">
        <w:rPr>
          <w:szCs w:val="26"/>
        </w:rPr>
        <w:t>satisfy the Commission’s directive to modify</w:t>
      </w:r>
      <w:r w:rsidR="008766E7" w:rsidRPr="00831FCD">
        <w:rPr>
          <w:szCs w:val="26"/>
        </w:rPr>
        <w:t xml:space="preserve"> exclusion</w:t>
      </w:r>
      <w:r w:rsidR="009468F6" w:rsidRPr="00831FCD">
        <w:rPr>
          <w:szCs w:val="26"/>
        </w:rPr>
        <w:t xml:space="preserve"> E3 to ensure that generator interconnection facilities at or above 100 kV</w:t>
      </w:r>
      <w:r w:rsidR="008766E7" w:rsidRPr="00831FCD">
        <w:rPr>
          <w:szCs w:val="26"/>
        </w:rPr>
        <w:t xml:space="preserve"> </w:t>
      </w:r>
      <w:r w:rsidR="009468F6" w:rsidRPr="00831FCD">
        <w:rPr>
          <w:szCs w:val="26"/>
        </w:rPr>
        <w:t xml:space="preserve">connected to </w:t>
      </w:r>
      <w:r w:rsidR="008766E7" w:rsidRPr="00831FCD">
        <w:rPr>
          <w:szCs w:val="26"/>
        </w:rPr>
        <w:t xml:space="preserve">bulk electric system </w:t>
      </w:r>
      <w:r w:rsidR="009468F6" w:rsidRPr="00831FCD">
        <w:rPr>
          <w:szCs w:val="26"/>
        </w:rPr>
        <w:t xml:space="preserve">generators identified in </w:t>
      </w:r>
      <w:r w:rsidR="005A29C2">
        <w:rPr>
          <w:szCs w:val="26"/>
        </w:rPr>
        <w:t>i</w:t>
      </w:r>
      <w:r w:rsidR="005A29C2" w:rsidRPr="00831FCD">
        <w:rPr>
          <w:szCs w:val="26"/>
        </w:rPr>
        <w:t xml:space="preserve">nclusion </w:t>
      </w:r>
      <w:r w:rsidR="009468F6" w:rsidRPr="00831FCD">
        <w:rPr>
          <w:szCs w:val="26"/>
        </w:rPr>
        <w:t xml:space="preserve">I2 are not excluded from the </w:t>
      </w:r>
      <w:r w:rsidR="00DC0BF0" w:rsidRPr="00831FCD">
        <w:rPr>
          <w:szCs w:val="26"/>
        </w:rPr>
        <w:t>bulk electric system</w:t>
      </w:r>
      <w:r w:rsidR="009468F6" w:rsidRPr="00831FCD">
        <w:rPr>
          <w:szCs w:val="26"/>
        </w:rPr>
        <w:t>.</w:t>
      </w:r>
      <w:r w:rsidR="00DC0BF0" w:rsidRPr="00831FCD">
        <w:rPr>
          <w:szCs w:val="26"/>
        </w:rPr>
        <w:t xml:space="preserve">  </w:t>
      </w:r>
    </w:p>
    <w:p w:rsidR="00DC0BF0" w:rsidRDefault="00F42719" w:rsidP="00F42719">
      <w:pPr>
        <w:pStyle w:val="FERCparanumber"/>
        <w:rPr>
          <w:szCs w:val="26"/>
        </w:rPr>
      </w:pPr>
      <w:r w:rsidRPr="00831FCD">
        <w:rPr>
          <w:szCs w:val="26"/>
        </w:rPr>
        <w:t xml:space="preserve">NERC also proposes several clarifying changes to exclusion E3.  </w:t>
      </w:r>
      <w:r w:rsidR="00DC0BF0" w:rsidRPr="00831FCD">
        <w:rPr>
          <w:szCs w:val="26"/>
        </w:rPr>
        <w:t xml:space="preserve">NERC proposes a modification to </w:t>
      </w:r>
      <w:r w:rsidR="009468F6" w:rsidRPr="00831FCD">
        <w:rPr>
          <w:szCs w:val="26"/>
        </w:rPr>
        <w:t>part (c) to include any part of a permanent</w:t>
      </w:r>
      <w:r w:rsidR="008766E7" w:rsidRPr="00831FCD">
        <w:rPr>
          <w:szCs w:val="26"/>
        </w:rPr>
        <w:t xml:space="preserve"> </w:t>
      </w:r>
      <w:proofErr w:type="spellStart"/>
      <w:r w:rsidR="008766E7" w:rsidRPr="00831FCD">
        <w:rPr>
          <w:szCs w:val="26"/>
        </w:rPr>
        <w:t>f</w:t>
      </w:r>
      <w:r w:rsidR="009468F6" w:rsidRPr="00831FCD">
        <w:rPr>
          <w:szCs w:val="26"/>
        </w:rPr>
        <w:t>lowgate</w:t>
      </w:r>
      <w:proofErr w:type="spellEnd"/>
      <w:r w:rsidR="009468F6" w:rsidRPr="00831FCD">
        <w:rPr>
          <w:szCs w:val="26"/>
        </w:rPr>
        <w:t xml:space="preserve">. </w:t>
      </w:r>
      <w:r w:rsidR="00DC0BF0" w:rsidRPr="00831FCD">
        <w:rPr>
          <w:szCs w:val="26"/>
        </w:rPr>
        <w:t xml:space="preserve"> NERC states that t</w:t>
      </w:r>
      <w:r w:rsidR="009468F6" w:rsidRPr="00831FCD">
        <w:rPr>
          <w:szCs w:val="26"/>
        </w:rPr>
        <w:t>he standard drafting team believes that the reliable operation of the interconnected</w:t>
      </w:r>
      <w:r w:rsidR="008766E7" w:rsidRPr="00831FCD">
        <w:rPr>
          <w:szCs w:val="26"/>
        </w:rPr>
        <w:t xml:space="preserve"> </w:t>
      </w:r>
      <w:r w:rsidR="009468F6" w:rsidRPr="00831FCD">
        <w:rPr>
          <w:szCs w:val="26"/>
        </w:rPr>
        <w:t>transmission system requires operator situational awareness of any and all parts of permanent</w:t>
      </w:r>
      <w:r w:rsidR="008766E7" w:rsidRPr="00831FCD">
        <w:rPr>
          <w:szCs w:val="26"/>
        </w:rPr>
        <w:t xml:space="preserve"> </w:t>
      </w:r>
      <w:proofErr w:type="spellStart"/>
      <w:r w:rsidR="008766E7" w:rsidRPr="00831FCD">
        <w:rPr>
          <w:szCs w:val="26"/>
        </w:rPr>
        <w:t>f</w:t>
      </w:r>
      <w:r w:rsidR="009468F6" w:rsidRPr="00831FCD">
        <w:rPr>
          <w:szCs w:val="26"/>
        </w:rPr>
        <w:t>lowgates</w:t>
      </w:r>
      <w:proofErr w:type="spellEnd"/>
      <w:r w:rsidR="009468F6" w:rsidRPr="00831FCD">
        <w:rPr>
          <w:szCs w:val="26"/>
        </w:rPr>
        <w:t>.</w:t>
      </w:r>
      <w:r w:rsidR="008766E7" w:rsidRPr="00831FCD">
        <w:rPr>
          <w:szCs w:val="26"/>
        </w:rPr>
        <w:t xml:space="preserve"> </w:t>
      </w:r>
      <w:r w:rsidR="009468F6" w:rsidRPr="00831FCD">
        <w:rPr>
          <w:szCs w:val="26"/>
        </w:rPr>
        <w:t xml:space="preserve"> </w:t>
      </w:r>
      <w:r w:rsidR="00DC0BF0" w:rsidRPr="00831FCD">
        <w:rPr>
          <w:szCs w:val="26"/>
        </w:rPr>
        <w:t xml:space="preserve">According to NERC, </w:t>
      </w:r>
      <w:r w:rsidR="008766E7" w:rsidRPr="00831FCD">
        <w:rPr>
          <w:szCs w:val="26"/>
        </w:rPr>
        <w:t xml:space="preserve">the presence of any part </w:t>
      </w:r>
      <w:r w:rsidR="009468F6" w:rsidRPr="00831FCD">
        <w:rPr>
          <w:szCs w:val="26"/>
        </w:rPr>
        <w:t xml:space="preserve">of a </w:t>
      </w:r>
      <w:proofErr w:type="spellStart"/>
      <w:r w:rsidR="008766E7" w:rsidRPr="00831FCD">
        <w:rPr>
          <w:szCs w:val="26"/>
        </w:rPr>
        <w:t>f</w:t>
      </w:r>
      <w:r w:rsidR="009468F6" w:rsidRPr="00831FCD">
        <w:rPr>
          <w:szCs w:val="26"/>
        </w:rPr>
        <w:t>lowgate</w:t>
      </w:r>
      <w:proofErr w:type="spellEnd"/>
      <w:r w:rsidR="009468F6" w:rsidRPr="00831FCD">
        <w:rPr>
          <w:szCs w:val="26"/>
        </w:rPr>
        <w:t xml:space="preserve"> should preclude the application of </w:t>
      </w:r>
      <w:r w:rsidR="00DC0BF0" w:rsidRPr="00831FCD">
        <w:rPr>
          <w:szCs w:val="26"/>
        </w:rPr>
        <w:t>e</w:t>
      </w:r>
      <w:r w:rsidR="009468F6" w:rsidRPr="00831FCD">
        <w:rPr>
          <w:szCs w:val="26"/>
        </w:rPr>
        <w:t>xclusion E3.</w:t>
      </w:r>
      <w:r w:rsidR="00DC0BF0" w:rsidRPr="00831FCD">
        <w:rPr>
          <w:szCs w:val="26"/>
        </w:rPr>
        <w:t xml:space="preserve">  Finally, NERC proposes the following revisions to “clarify the plain words” of the definition:  (1) changed the term</w:t>
      </w:r>
      <w:r w:rsidR="009468F6" w:rsidRPr="00831FCD">
        <w:rPr>
          <w:szCs w:val="26"/>
        </w:rPr>
        <w:t xml:space="preserve"> “retail customer Load” to</w:t>
      </w:r>
      <w:r w:rsidR="00DC0BF0" w:rsidRPr="00831FCD">
        <w:rPr>
          <w:szCs w:val="26"/>
        </w:rPr>
        <w:t xml:space="preserve"> </w:t>
      </w:r>
      <w:r w:rsidR="009468F6" w:rsidRPr="00831FCD">
        <w:rPr>
          <w:szCs w:val="26"/>
        </w:rPr>
        <w:t>“retail customers</w:t>
      </w:r>
      <w:r w:rsidR="00894683">
        <w:rPr>
          <w:szCs w:val="26"/>
        </w:rPr>
        <w:t>”</w:t>
      </w:r>
      <w:r w:rsidR="00DC0BF0" w:rsidRPr="00831FCD">
        <w:rPr>
          <w:szCs w:val="26"/>
        </w:rPr>
        <w:t>;</w:t>
      </w:r>
      <w:r w:rsidR="00C823A6">
        <w:rPr>
          <w:szCs w:val="26"/>
        </w:rPr>
        <w:t xml:space="preserve"> </w:t>
      </w:r>
      <w:r w:rsidR="00DC0BF0" w:rsidRPr="00831FCD">
        <w:rPr>
          <w:szCs w:val="26"/>
        </w:rPr>
        <w:t xml:space="preserve">and (2) in </w:t>
      </w:r>
      <w:r w:rsidR="009468F6" w:rsidRPr="00831FCD">
        <w:rPr>
          <w:szCs w:val="26"/>
        </w:rPr>
        <w:t>part (b) to</w:t>
      </w:r>
      <w:r w:rsidR="00DC0BF0" w:rsidRPr="00831FCD">
        <w:rPr>
          <w:szCs w:val="26"/>
        </w:rPr>
        <w:t xml:space="preserve"> clarify that </w:t>
      </w:r>
      <w:r w:rsidR="009468F6" w:rsidRPr="00831FCD">
        <w:rPr>
          <w:szCs w:val="26"/>
        </w:rPr>
        <w:t>the term “Power” refers to “Real Power,” rather than Reactive Power.</w:t>
      </w:r>
      <w:r w:rsidR="00DC0BF0" w:rsidRPr="00831FCD">
        <w:rPr>
          <w:szCs w:val="26"/>
        </w:rPr>
        <w:t xml:space="preserve">  NERC states that</w:t>
      </w:r>
      <w:r w:rsidR="009468F6" w:rsidRPr="00831FCD">
        <w:rPr>
          <w:szCs w:val="26"/>
        </w:rPr>
        <w:t xml:space="preserve"> “Real</w:t>
      </w:r>
      <w:r w:rsidR="00DC0BF0" w:rsidRPr="00831FCD">
        <w:rPr>
          <w:szCs w:val="26"/>
        </w:rPr>
        <w:t xml:space="preserve"> </w:t>
      </w:r>
      <w:r w:rsidR="009468F6" w:rsidRPr="00831FCD">
        <w:rPr>
          <w:szCs w:val="26"/>
        </w:rPr>
        <w:t>Power” is defined in the NERC Glossary as “[t]he portion of electricity that supplies energy to</w:t>
      </w:r>
      <w:r w:rsidR="00DC0BF0" w:rsidRPr="00831FCD">
        <w:rPr>
          <w:szCs w:val="26"/>
        </w:rPr>
        <w:t xml:space="preserve"> </w:t>
      </w:r>
      <w:r w:rsidR="009468F6" w:rsidRPr="00831FCD">
        <w:rPr>
          <w:szCs w:val="26"/>
        </w:rPr>
        <w:t>the load.”</w:t>
      </w:r>
      <w:r w:rsidR="00A63412">
        <w:rPr>
          <w:szCs w:val="26"/>
        </w:rPr>
        <w:t xml:space="preserve">  </w:t>
      </w:r>
      <w:r w:rsidR="00A63412" w:rsidRPr="00831FCD">
        <w:rPr>
          <w:szCs w:val="26"/>
        </w:rPr>
        <w:t>Thus, as proposed by NERC, exclusion E</w:t>
      </w:r>
      <w:r w:rsidR="00A63412">
        <w:rPr>
          <w:szCs w:val="26"/>
        </w:rPr>
        <w:t>3</w:t>
      </w:r>
      <w:r w:rsidR="00A63412" w:rsidRPr="00831FCD">
        <w:rPr>
          <w:szCs w:val="26"/>
        </w:rPr>
        <w:t xml:space="preserve"> would be revised as follows:</w:t>
      </w:r>
      <w:r w:rsidR="009468F6" w:rsidRPr="00831FCD">
        <w:rPr>
          <w:szCs w:val="26"/>
        </w:rPr>
        <w:t xml:space="preserve"> </w:t>
      </w:r>
    </w:p>
    <w:p w:rsidR="00412DD8" w:rsidRDefault="00412DD8" w:rsidP="00E518F4">
      <w:pPr>
        <w:widowControl/>
        <w:ind w:left="780" w:right="650"/>
        <w:rPr>
          <w:szCs w:val="26"/>
        </w:rPr>
      </w:pPr>
      <w:r w:rsidRPr="00E518F4">
        <w:rPr>
          <w:szCs w:val="26"/>
        </w:rPr>
        <w:lastRenderedPageBreak/>
        <w:t xml:space="preserve">Local networks (LN): </w:t>
      </w:r>
      <w:r w:rsidR="00340468">
        <w:rPr>
          <w:szCs w:val="26"/>
        </w:rPr>
        <w:t xml:space="preserve"> </w:t>
      </w:r>
      <w:r w:rsidRPr="00E518F4">
        <w:rPr>
          <w:szCs w:val="26"/>
        </w:rPr>
        <w:t xml:space="preserve">A group of contiguous transmission Elements </w:t>
      </w:r>
      <w:r w:rsidRPr="006F3A94">
        <w:t>operated at</w:t>
      </w:r>
      <w:r w:rsidR="00A02EDB">
        <w:t xml:space="preserve"> </w:t>
      </w:r>
      <w:r w:rsidR="00A02EDB" w:rsidRPr="00A02EDB">
        <w:rPr>
          <w:strike/>
        </w:rPr>
        <w:t>or above 100 kV but</w:t>
      </w:r>
      <w:r w:rsidR="00A02EDB">
        <w:rPr>
          <w:strike/>
        </w:rPr>
        <w:t xml:space="preserve"> </w:t>
      </w:r>
      <w:r w:rsidRPr="006F3A94">
        <w:t>less than 300 kV</w:t>
      </w:r>
      <w:r w:rsidRPr="006F3A94">
        <w:rPr>
          <w:szCs w:val="26"/>
        </w:rPr>
        <w:t xml:space="preserve"> that distribute power to Load rather than transfer bulk power across the interconnected system. LN’s emanate from multiple points of connection at 100 kV or higher to improve the level of service t</w:t>
      </w:r>
      <w:r w:rsidRPr="00A810FF">
        <w:rPr>
          <w:szCs w:val="26"/>
        </w:rPr>
        <w:t>o retail</w:t>
      </w:r>
      <w:r w:rsidR="00A810FF">
        <w:rPr>
          <w:szCs w:val="26"/>
        </w:rPr>
        <w:t xml:space="preserve"> customer</w:t>
      </w:r>
      <w:r w:rsidRPr="00A810FF">
        <w:rPr>
          <w:szCs w:val="26"/>
          <w:u w:val="double"/>
        </w:rPr>
        <w:t>s</w:t>
      </w:r>
      <w:r w:rsidRPr="00A810FF">
        <w:rPr>
          <w:szCs w:val="26"/>
        </w:rPr>
        <w:t xml:space="preserve"> </w:t>
      </w:r>
      <w:r w:rsidR="00A810FF">
        <w:rPr>
          <w:strike/>
          <w:szCs w:val="26"/>
        </w:rPr>
        <w:t xml:space="preserve">Load </w:t>
      </w:r>
      <w:r w:rsidRPr="00E518F4">
        <w:rPr>
          <w:szCs w:val="26"/>
        </w:rPr>
        <w:t xml:space="preserve">and not to accommodate bulk power transfer across the interconnected system. </w:t>
      </w:r>
      <w:r w:rsidR="001D1276">
        <w:rPr>
          <w:szCs w:val="26"/>
        </w:rPr>
        <w:t xml:space="preserve"> </w:t>
      </w:r>
      <w:r w:rsidRPr="00E518F4">
        <w:rPr>
          <w:szCs w:val="26"/>
        </w:rPr>
        <w:t>The LN is characterized by all of the following:</w:t>
      </w:r>
    </w:p>
    <w:p w:rsidR="002D0FBD" w:rsidRPr="00E518F4" w:rsidRDefault="002D0FBD" w:rsidP="00E518F4">
      <w:pPr>
        <w:widowControl/>
        <w:ind w:left="780" w:right="650"/>
        <w:rPr>
          <w:szCs w:val="26"/>
        </w:rPr>
      </w:pPr>
    </w:p>
    <w:p w:rsidR="00412DD8" w:rsidRPr="00E518F4" w:rsidRDefault="00412DD8" w:rsidP="00E518F4">
      <w:pPr>
        <w:widowControl/>
        <w:ind w:left="1430" w:right="650" w:firstLine="10"/>
        <w:rPr>
          <w:szCs w:val="26"/>
        </w:rPr>
      </w:pPr>
      <w:r w:rsidRPr="00412DD8">
        <w:rPr>
          <w:szCs w:val="26"/>
        </w:rPr>
        <w:t>a)</w:t>
      </w:r>
      <w:r>
        <w:rPr>
          <w:szCs w:val="26"/>
        </w:rPr>
        <w:tab/>
      </w:r>
      <w:r w:rsidRPr="00E518F4">
        <w:rPr>
          <w:szCs w:val="26"/>
        </w:rPr>
        <w:t>Limits on connected generation: The LN and its underlying Elements do not include generation resources identified in Inclusion</w:t>
      </w:r>
      <w:r w:rsidRPr="003B1F0B">
        <w:rPr>
          <w:szCs w:val="26"/>
          <w:u w:val="double"/>
        </w:rPr>
        <w:t>s</w:t>
      </w:r>
      <w:r w:rsidRPr="00E518F4">
        <w:rPr>
          <w:szCs w:val="26"/>
        </w:rPr>
        <w:t xml:space="preserve"> </w:t>
      </w:r>
      <w:r w:rsidRPr="00E518F4">
        <w:rPr>
          <w:szCs w:val="26"/>
          <w:u w:val="double"/>
        </w:rPr>
        <w:t>I2</w:t>
      </w:r>
      <w:r w:rsidRPr="005853D6">
        <w:rPr>
          <w:szCs w:val="26"/>
          <w:u w:val="double"/>
        </w:rPr>
        <w:t>,</w:t>
      </w:r>
      <w:r w:rsidRPr="006F3A94">
        <w:rPr>
          <w:szCs w:val="26"/>
        </w:rPr>
        <w:t xml:space="preserve"> I3, </w:t>
      </w:r>
      <w:r w:rsidRPr="00E518F4">
        <w:rPr>
          <w:szCs w:val="26"/>
          <w:u w:val="double"/>
        </w:rPr>
        <w:t>or I4</w:t>
      </w:r>
      <w:r w:rsidRPr="00E518F4">
        <w:rPr>
          <w:szCs w:val="26"/>
        </w:rPr>
        <w:t xml:space="preserve"> and do not have an aggregate capacity of non-retail generation greater than 75 MVA (gross nameplate rating);</w:t>
      </w:r>
    </w:p>
    <w:p w:rsidR="00412DD8" w:rsidRPr="00E518F4" w:rsidRDefault="007B79A0">
      <w:r>
        <w:tab/>
      </w:r>
      <w:r>
        <w:tab/>
      </w:r>
    </w:p>
    <w:p w:rsidR="00412DD8" w:rsidRDefault="00412DD8" w:rsidP="00E518F4">
      <w:pPr>
        <w:widowControl/>
        <w:ind w:left="1430" w:right="650"/>
        <w:rPr>
          <w:szCs w:val="26"/>
        </w:rPr>
      </w:pPr>
      <w:r w:rsidRPr="00E518F4">
        <w:rPr>
          <w:szCs w:val="26"/>
        </w:rPr>
        <w:t>b)</w:t>
      </w:r>
      <w:r>
        <w:rPr>
          <w:szCs w:val="26"/>
        </w:rPr>
        <w:tab/>
      </w:r>
      <w:r w:rsidRPr="00E518F4">
        <w:rPr>
          <w:szCs w:val="26"/>
          <w:u w:val="double"/>
        </w:rPr>
        <w:t>Real</w:t>
      </w:r>
      <w:r w:rsidRPr="00E518F4">
        <w:rPr>
          <w:szCs w:val="26"/>
        </w:rPr>
        <w:t xml:space="preserve"> Power flows only into the LN and the LN does not transfer energy originating outside the LN for delivery through the LN; and</w:t>
      </w:r>
    </w:p>
    <w:p w:rsidR="00412DD8" w:rsidRPr="00E518F4" w:rsidRDefault="00412DD8" w:rsidP="00E518F4">
      <w:pPr>
        <w:widowControl/>
        <w:ind w:left="1430" w:right="650"/>
        <w:rPr>
          <w:szCs w:val="26"/>
        </w:rPr>
      </w:pPr>
    </w:p>
    <w:p w:rsidR="00412DD8" w:rsidRPr="00E518F4" w:rsidRDefault="00412DD8" w:rsidP="00E518F4">
      <w:pPr>
        <w:widowControl/>
        <w:ind w:left="1430" w:right="650"/>
        <w:rPr>
          <w:szCs w:val="26"/>
        </w:rPr>
      </w:pPr>
      <w:r w:rsidRPr="00E518F4">
        <w:rPr>
          <w:szCs w:val="26"/>
        </w:rPr>
        <w:t>c)</w:t>
      </w:r>
      <w:r>
        <w:rPr>
          <w:szCs w:val="26"/>
        </w:rPr>
        <w:tab/>
      </w:r>
      <w:r w:rsidRPr="00E518F4">
        <w:rPr>
          <w:szCs w:val="26"/>
        </w:rPr>
        <w:t xml:space="preserve">Not part of a </w:t>
      </w:r>
      <w:proofErr w:type="spellStart"/>
      <w:r w:rsidRPr="00E518F4">
        <w:rPr>
          <w:szCs w:val="26"/>
        </w:rPr>
        <w:t>Flowgate</w:t>
      </w:r>
      <w:proofErr w:type="spellEnd"/>
      <w:r w:rsidRPr="00E518F4">
        <w:rPr>
          <w:szCs w:val="26"/>
        </w:rPr>
        <w:t xml:space="preserve"> or transfer path: </w:t>
      </w:r>
      <w:r w:rsidR="001D1276">
        <w:rPr>
          <w:szCs w:val="26"/>
        </w:rPr>
        <w:t xml:space="preserve"> </w:t>
      </w:r>
      <w:r w:rsidRPr="00E518F4">
        <w:rPr>
          <w:szCs w:val="26"/>
        </w:rPr>
        <w:t xml:space="preserve">The LN does not contain </w:t>
      </w:r>
      <w:r w:rsidRPr="00E518F4">
        <w:rPr>
          <w:szCs w:val="26"/>
          <w:u w:val="double"/>
        </w:rPr>
        <w:t>any part</w:t>
      </w:r>
      <w:r w:rsidRPr="00E518F4">
        <w:rPr>
          <w:szCs w:val="26"/>
        </w:rPr>
        <w:t xml:space="preserve"> of a permanent </w:t>
      </w:r>
      <w:proofErr w:type="spellStart"/>
      <w:r w:rsidRPr="00E518F4">
        <w:rPr>
          <w:szCs w:val="26"/>
        </w:rPr>
        <w:t>Flowgate</w:t>
      </w:r>
      <w:proofErr w:type="spellEnd"/>
      <w:r w:rsidRPr="00E518F4">
        <w:rPr>
          <w:szCs w:val="26"/>
        </w:rPr>
        <w:t xml:space="preserve"> in the Eastern Interconnection, a major transfer path within the Western Interconnection, or a comparable monitored Facility in the ERCOT or Quebec Interconnections, and is not a monitored Facility included in an Interconnection Reliability Operating Limit (IROL).</w:t>
      </w:r>
    </w:p>
    <w:p w:rsidR="00A717AE" w:rsidRPr="00831FCD" w:rsidRDefault="00A717AE" w:rsidP="00E518F4"/>
    <w:p w:rsidR="00F42719" w:rsidRPr="00831FCD" w:rsidRDefault="00F42719" w:rsidP="009C60B1">
      <w:pPr>
        <w:pStyle w:val="Heading3"/>
        <w:tabs>
          <w:tab w:val="clear" w:pos="1440"/>
          <w:tab w:val="num" w:pos="2160"/>
        </w:tabs>
        <w:ind w:left="2160"/>
      </w:pPr>
      <w:r w:rsidRPr="00831FCD">
        <w:t>Phase 2 Revisions</w:t>
      </w:r>
    </w:p>
    <w:p w:rsidR="00DC0BF0" w:rsidRPr="009C60B1" w:rsidRDefault="00DC0BF0" w:rsidP="009C60B1">
      <w:pPr>
        <w:pStyle w:val="Heading4"/>
        <w:tabs>
          <w:tab w:val="clear" w:pos="1800"/>
          <w:tab w:val="num" w:pos="2880"/>
        </w:tabs>
        <w:ind w:left="2880"/>
        <w:rPr>
          <w:szCs w:val="26"/>
        </w:rPr>
      </w:pPr>
      <w:r w:rsidRPr="009C60B1">
        <w:rPr>
          <w:szCs w:val="26"/>
        </w:rPr>
        <w:t>Dispersed Power Producing Resources (</w:t>
      </w:r>
      <w:r w:rsidR="00A50B62" w:rsidRPr="009C60B1">
        <w:rPr>
          <w:szCs w:val="26"/>
        </w:rPr>
        <w:t xml:space="preserve">Inclusion </w:t>
      </w:r>
      <w:r w:rsidRPr="009C60B1">
        <w:rPr>
          <w:szCs w:val="26"/>
        </w:rPr>
        <w:t>I4)</w:t>
      </w:r>
    </w:p>
    <w:p w:rsidR="00553F1D" w:rsidRDefault="00A02EDB" w:rsidP="00C66A6C">
      <w:pPr>
        <w:pStyle w:val="FERCparanumber"/>
        <w:rPr>
          <w:szCs w:val="26"/>
        </w:rPr>
      </w:pPr>
      <w:r>
        <w:rPr>
          <w:szCs w:val="26"/>
        </w:rPr>
        <w:t>As noted above, NERC separated the development of the revised definition</w:t>
      </w:r>
      <w:r w:rsidR="00354A2C">
        <w:rPr>
          <w:szCs w:val="26"/>
        </w:rPr>
        <w:t xml:space="preserve"> of bulk electric system</w:t>
      </w:r>
      <w:r>
        <w:rPr>
          <w:szCs w:val="26"/>
        </w:rPr>
        <w:t xml:space="preserve"> into two phases.  Phase 1 culminated in the language of the proposed modified definition that is the primary subject of Order Nos. 773 and 773-A.  </w:t>
      </w:r>
      <w:r w:rsidR="00354A2C">
        <w:rPr>
          <w:szCs w:val="26"/>
        </w:rPr>
        <w:t xml:space="preserve">According to NERC, </w:t>
      </w:r>
      <w:r>
        <w:rPr>
          <w:szCs w:val="26"/>
        </w:rPr>
        <w:t>Phase 2 focused on other industry concerns raised during Phase 1</w:t>
      </w:r>
      <w:r w:rsidR="00AB01A2">
        <w:rPr>
          <w:szCs w:val="26"/>
        </w:rPr>
        <w:t>,</w:t>
      </w:r>
      <w:r>
        <w:rPr>
          <w:szCs w:val="26"/>
        </w:rPr>
        <w:t xml:space="preserve"> as well as the Order Nos. 773 and 773-A directives. </w:t>
      </w:r>
      <w:r>
        <w:t xml:space="preserve"> </w:t>
      </w:r>
      <w:r w:rsidR="00AB01A2">
        <w:t>Thus, to address industry concerns</w:t>
      </w:r>
      <w:r w:rsidR="00D26289">
        <w:t>,</w:t>
      </w:r>
      <w:r w:rsidR="00AB01A2">
        <w:t xml:space="preserve"> </w:t>
      </w:r>
      <w:r w:rsidR="00FF5946" w:rsidRPr="00831FCD">
        <w:rPr>
          <w:szCs w:val="26"/>
        </w:rPr>
        <w:t xml:space="preserve">NERC </w:t>
      </w:r>
      <w:r w:rsidR="009468F6" w:rsidRPr="00831FCD">
        <w:rPr>
          <w:szCs w:val="26"/>
        </w:rPr>
        <w:t xml:space="preserve">revised </w:t>
      </w:r>
      <w:r w:rsidR="00AB01A2">
        <w:rPr>
          <w:szCs w:val="26"/>
        </w:rPr>
        <w:t xml:space="preserve">inclusion </w:t>
      </w:r>
      <w:r w:rsidR="00D26289">
        <w:rPr>
          <w:szCs w:val="26"/>
        </w:rPr>
        <w:t xml:space="preserve">I4 </w:t>
      </w:r>
      <w:r w:rsidR="004C05CC">
        <w:rPr>
          <w:szCs w:val="26"/>
        </w:rPr>
        <w:t xml:space="preserve">in two respects:  (1) </w:t>
      </w:r>
      <w:r w:rsidR="009468F6" w:rsidRPr="00831FCD">
        <w:rPr>
          <w:szCs w:val="26"/>
        </w:rPr>
        <w:t>clarify</w:t>
      </w:r>
      <w:r w:rsidR="00D26289">
        <w:rPr>
          <w:szCs w:val="26"/>
        </w:rPr>
        <w:t>ing</w:t>
      </w:r>
      <w:r w:rsidR="009468F6" w:rsidRPr="00831FCD">
        <w:rPr>
          <w:szCs w:val="26"/>
        </w:rPr>
        <w:t xml:space="preserve"> the facilities designated as </w:t>
      </w:r>
      <w:r w:rsidR="004C05CC">
        <w:rPr>
          <w:szCs w:val="26"/>
        </w:rPr>
        <w:t xml:space="preserve">part of the bulk electric system </w:t>
      </w:r>
      <w:r w:rsidR="009468F6" w:rsidRPr="00831FCD">
        <w:rPr>
          <w:szCs w:val="26"/>
        </w:rPr>
        <w:t>by application of</w:t>
      </w:r>
      <w:r w:rsidR="00F42719" w:rsidRPr="00831FCD">
        <w:rPr>
          <w:szCs w:val="26"/>
        </w:rPr>
        <w:t xml:space="preserve"> </w:t>
      </w:r>
      <w:r w:rsidR="009468F6" w:rsidRPr="00831FCD">
        <w:rPr>
          <w:szCs w:val="26"/>
        </w:rPr>
        <w:t xml:space="preserve">this </w:t>
      </w:r>
      <w:r w:rsidR="004C05CC">
        <w:rPr>
          <w:szCs w:val="26"/>
        </w:rPr>
        <w:t>i</w:t>
      </w:r>
      <w:r w:rsidR="009468F6" w:rsidRPr="00831FCD">
        <w:rPr>
          <w:szCs w:val="26"/>
        </w:rPr>
        <w:t>nclusion</w:t>
      </w:r>
      <w:r w:rsidR="004C05CC">
        <w:rPr>
          <w:szCs w:val="26"/>
        </w:rPr>
        <w:t>;</w:t>
      </w:r>
      <w:r w:rsidR="009468F6" w:rsidRPr="00831FCD">
        <w:rPr>
          <w:szCs w:val="26"/>
        </w:rPr>
        <w:t xml:space="preserve"> and </w:t>
      </w:r>
      <w:r w:rsidR="004C05CC">
        <w:rPr>
          <w:szCs w:val="26"/>
        </w:rPr>
        <w:t xml:space="preserve">(2) </w:t>
      </w:r>
      <w:r w:rsidR="009468F6" w:rsidRPr="00831FCD">
        <w:rPr>
          <w:szCs w:val="26"/>
        </w:rPr>
        <w:t>includ</w:t>
      </w:r>
      <w:r w:rsidR="00D26289">
        <w:rPr>
          <w:szCs w:val="26"/>
        </w:rPr>
        <w:t>ing</w:t>
      </w:r>
      <w:r w:rsidR="009468F6" w:rsidRPr="00831FCD">
        <w:rPr>
          <w:szCs w:val="26"/>
        </w:rPr>
        <w:t xml:space="preserve"> the collector system at the point of aggregation, </w:t>
      </w:r>
      <w:r w:rsidR="009468F6" w:rsidRPr="009C60B1">
        <w:rPr>
          <w:iCs/>
          <w:szCs w:val="26"/>
        </w:rPr>
        <w:t>i.e.</w:t>
      </w:r>
      <w:r w:rsidR="009468F6" w:rsidRPr="00831FCD">
        <w:rPr>
          <w:szCs w:val="26"/>
        </w:rPr>
        <w:t>, “[t]he system</w:t>
      </w:r>
      <w:r w:rsidR="00F42719" w:rsidRPr="00831FCD">
        <w:rPr>
          <w:szCs w:val="26"/>
        </w:rPr>
        <w:t xml:space="preserve"> </w:t>
      </w:r>
      <w:r w:rsidR="009468F6" w:rsidRPr="00831FCD">
        <w:rPr>
          <w:szCs w:val="26"/>
        </w:rPr>
        <w:t>designed primarily for delivering capacity from the point where those resources aggregate to</w:t>
      </w:r>
      <w:r w:rsidR="00F42719" w:rsidRPr="00831FCD">
        <w:rPr>
          <w:szCs w:val="26"/>
        </w:rPr>
        <w:t xml:space="preserve"> </w:t>
      </w:r>
      <w:r w:rsidR="009468F6" w:rsidRPr="00831FCD">
        <w:rPr>
          <w:szCs w:val="26"/>
        </w:rPr>
        <w:t xml:space="preserve">greater than 75 MVA to a </w:t>
      </w:r>
      <w:r w:rsidR="009468F6" w:rsidRPr="00831FCD">
        <w:rPr>
          <w:szCs w:val="26"/>
        </w:rPr>
        <w:lastRenderedPageBreak/>
        <w:t>common point of connection at a voltage of 100 kV or above.”</w:t>
      </w:r>
      <w:r w:rsidR="00C74E63">
        <w:rPr>
          <w:rStyle w:val="FootnoteReference"/>
        </w:rPr>
        <w:footnoteReference w:id="24"/>
      </w:r>
      <w:r w:rsidR="00553F1D">
        <w:rPr>
          <w:szCs w:val="26"/>
        </w:rPr>
        <w:t xml:space="preserve">  </w:t>
      </w:r>
      <w:r w:rsidR="00D26289">
        <w:rPr>
          <w:szCs w:val="26"/>
        </w:rPr>
        <w:t xml:space="preserve">Thus, </w:t>
      </w:r>
      <w:r w:rsidR="003B1F0B">
        <w:rPr>
          <w:szCs w:val="26"/>
        </w:rPr>
        <w:t xml:space="preserve">NERC proposes </w:t>
      </w:r>
      <w:r w:rsidR="00553F1D">
        <w:rPr>
          <w:szCs w:val="26"/>
        </w:rPr>
        <w:t>inclusion I4 to read as follows:</w:t>
      </w:r>
    </w:p>
    <w:p w:rsidR="00553F1D" w:rsidRDefault="00553F1D" w:rsidP="00553F1D">
      <w:pPr>
        <w:widowControl/>
        <w:ind w:left="720" w:right="720"/>
        <w:rPr>
          <w:szCs w:val="26"/>
          <w:u w:val="double"/>
        </w:rPr>
      </w:pPr>
      <w:r w:rsidRPr="00553F1D">
        <w:rPr>
          <w:szCs w:val="26"/>
        </w:rPr>
        <w:t>Dispersed power producing</w:t>
      </w:r>
      <w:r>
        <w:rPr>
          <w:szCs w:val="26"/>
        </w:rPr>
        <w:t xml:space="preserve"> </w:t>
      </w:r>
      <w:r w:rsidRPr="00553F1D">
        <w:rPr>
          <w:szCs w:val="26"/>
        </w:rPr>
        <w:t xml:space="preserve">resources </w:t>
      </w:r>
      <w:r w:rsidR="00C11E36" w:rsidRPr="00C11E36">
        <w:rPr>
          <w:strike/>
        </w:rPr>
        <w:t>with aggregate capacity greater than</w:t>
      </w:r>
      <w:r w:rsidR="00C11E36" w:rsidRPr="00831FCD">
        <w:t xml:space="preserve"> </w:t>
      </w:r>
      <w:r w:rsidRPr="00C11E36">
        <w:rPr>
          <w:szCs w:val="26"/>
          <w:u w:val="double"/>
        </w:rPr>
        <w:t>that aggregate to a total capacity greater than</w:t>
      </w:r>
      <w:r w:rsidRPr="00553F1D">
        <w:rPr>
          <w:szCs w:val="26"/>
        </w:rPr>
        <w:t xml:space="preserve"> 75 MVA (gross </w:t>
      </w:r>
      <w:r w:rsidR="00C11E36" w:rsidRPr="00C11E36">
        <w:rPr>
          <w:strike/>
        </w:rPr>
        <w:t>aggregate</w:t>
      </w:r>
      <w:r w:rsidR="00C11E36" w:rsidRPr="00553F1D">
        <w:rPr>
          <w:szCs w:val="26"/>
        </w:rPr>
        <w:t xml:space="preserve"> </w:t>
      </w:r>
      <w:r w:rsidRPr="00553F1D">
        <w:rPr>
          <w:szCs w:val="26"/>
        </w:rPr>
        <w:t>nameplate</w:t>
      </w:r>
      <w:r>
        <w:rPr>
          <w:szCs w:val="26"/>
        </w:rPr>
        <w:t xml:space="preserve"> </w:t>
      </w:r>
      <w:r w:rsidRPr="00553F1D">
        <w:rPr>
          <w:szCs w:val="26"/>
        </w:rPr>
        <w:t xml:space="preserve">rating), </w:t>
      </w:r>
      <w:proofErr w:type="gramStart"/>
      <w:r w:rsidR="00C11E36" w:rsidRPr="00C11E36">
        <w:rPr>
          <w:strike/>
        </w:rPr>
        <w:t>utilizing</w:t>
      </w:r>
      <w:proofErr w:type="gramEnd"/>
      <w:r w:rsidR="00C11E36" w:rsidRPr="00C11E36">
        <w:rPr>
          <w:strike/>
        </w:rPr>
        <w:t xml:space="preserve"> </w:t>
      </w:r>
      <w:r w:rsidR="003B1F0B">
        <w:rPr>
          <w:szCs w:val="26"/>
          <w:u w:val="double"/>
        </w:rPr>
        <w:t>a</w:t>
      </w:r>
      <w:r w:rsidRPr="00C11E36">
        <w:rPr>
          <w:szCs w:val="26"/>
          <w:u w:val="double"/>
        </w:rPr>
        <w:t xml:space="preserve">nd that are connected through </w:t>
      </w:r>
      <w:r w:rsidRPr="00C11E36">
        <w:t>a system</w:t>
      </w:r>
      <w:r w:rsidRPr="00553F1D">
        <w:rPr>
          <w:szCs w:val="26"/>
        </w:rPr>
        <w:t xml:space="preserve"> designed primarily for </w:t>
      </w:r>
      <w:r w:rsidR="00C11E36" w:rsidRPr="00C11E36">
        <w:rPr>
          <w:strike/>
        </w:rPr>
        <w:t>aggregating</w:t>
      </w:r>
      <w:r w:rsidR="00C11E36" w:rsidRPr="00C11E36">
        <w:rPr>
          <w:szCs w:val="26"/>
          <w:u w:val="double"/>
        </w:rPr>
        <w:t xml:space="preserve"> </w:t>
      </w:r>
      <w:r w:rsidRPr="00C11E36">
        <w:rPr>
          <w:szCs w:val="26"/>
          <w:u w:val="double"/>
        </w:rPr>
        <w:t>delivering such</w:t>
      </w:r>
      <w:r>
        <w:rPr>
          <w:szCs w:val="26"/>
        </w:rPr>
        <w:t xml:space="preserve"> </w:t>
      </w:r>
      <w:r w:rsidRPr="00553F1D">
        <w:rPr>
          <w:szCs w:val="26"/>
        </w:rPr>
        <w:t xml:space="preserve">capacity </w:t>
      </w:r>
      <w:r w:rsidR="00C11E36" w:rsidRPr="00C11E36">
        <w:rPr>
          <w:strike/>
        </w:rPr>
        <w:t>connected at</w:t>
      </w:r>
      <w:r w:rsidR="00C11E36" w:rsidRPr="00553F1D">
        <w:rPr>
          <w:szCs w:val="26"/>
        </w:rPr>
        <w:t xml:space="preserve"> </w:t>
      </w:r>
      <w:r w:rsidRPr="00C11E36">
        <w:rPr>
          <w:szCs w:val="26"/>
          <w:u w:val="double"/>
        </w:rPr>
        <w:t>to</w:t>
      </w:r>
      <w:r w:rsidRPr="00553F1D">
        <w:rPr>
          <w:szCs w:val="26"/>
        </w:rPr>
        <w:t xml:space="preserve"> a common point </w:t>
      </w:r>
      <w:r w:rsidRPr="00C11E36">
        <w:rPr>
          <w:szCs w:val="26"/>
          <w:u w:val="double"/>
        </w:rPr>
        <w:t>of connection</w:t>
      </w:r>
      <w:r w:rsidRPr="00553F1D">
        <w:rPr>
          <w:szCs w:val="26"/>
        </w:rPr>
        <w:t xml:space="preserve"> at a voltage of 100 kV or above. </w:t>
      </w:r>
      <w:r w:rsidR="00D26289">
        <w:rPr>
          <w:szCs w:val="26"/>
        </w:rPr>
        <w:t xml:space="preserve"> </w:t>
      </w:r>
      <w:r w:rsidRPr="00C11E36">
        <w:rPr>
          <w:szCs w:val="26"/>
          <w:u w:val="double"/>
        </w:rPr>
        <w:t>Thus, the facilities designated as BES are:</w:t>
      </w:r>
    </w:p>
    <w:p w:rsidR="00D26289" w:rsidRPr="00553F1D" w:rsidRDefault="00D26289" w:rsidP="00553F1D">
      <w:pPr>
        <w:widowControl/>
        <w:ind w:left="720" w:right="720"/>
        <w:rPr>
          <w:szCs w:val="26"/>
        </w:rPr>
      </w:pPr>
    </w:p>
    <w:p w:rsidR="00553F1D" w:rsidRPr="00553F1D" w:rsidRDefault="00553F1D" w:rsidP="00553F1D">
      <w:pPr>
        <w:widowControl/>
        <w:ind w:left="720" w:right="720"/>
        <w:rPr>
          <w:szCs w:val="26"/>
        </w:rPr>
      </w:pPr>
      <w:r>
        <w:rPr>
          <w:szCs w:val="26"/>
        </w:rPr>
        <w:tab/>
      </w:r>
      <w:r w:rsidRPr="003B1F0B">
        <w:rPr>
          <w:szCs w:val="26"/>
          <w:u w:val="double"/>
        </w:rPr>
        <w:t>a) The individual resources,</w:t>
      </w:r>
      <w:r w:rsidRPr="00553F1D">
        <w:rPr>
          <w:szCs w:val="26"/>
        </w:rPr>
        <w:t xml:space="preserve"> </w:t>
      </w:r>
      <w:r w:rsidRPr="00E518F4">
        <w:rPr>
          <w:szCs w:val="26"/>
          <w:u w:val="double"/>
        </w:rPr>
        <w:t>and</w:t>
      </w:r>
    </w:p>
    <w:p w:rsidR="00D26289" w:rsidRDefault="00D26289" w:rsidP="00553F1D">
      <w:pPr>
        <w:widowControl/>
        <w:ind w:left="720" w:right="720"/>
        <w:rPr>
          <w:szCs w:val="26"/>
        </w:rPr>
      </w:pPr>
    </w:p>
    <w:p w:rsidR="00553F1D" w:rsidRDefault="00553F1D" w:rsidP="00553F1D">
      <w:pPr>
        <w:widowControl/>
        <w:ind w:left="720" w:right="720"/>
        <w:rPr>
          <w:szCs w:val="26"/>
          <w:u w:val="double"/>
        </w:rPr>
      </w:pPr>
      <w:r>
        <w:rPr>
          <w:szCs w:val="26"/>
        </w:rPr>
        <w:tab/>
      </w:r>
      <w:r w:rsidRPr="003B1F0B">
        <w:rPr>
          <w:szCs w:val="26"/>
          <w:u w:val="double"/>
        </w:rPr>
        <w:t>b)</w:t>
      </w:r>
      <w:r w:rsidRPr="00553F1D">
        <w:rPr>
          <w:szCs w:val="26"/>
        </w:rPr>
        <w:t xml:space="preserve"> </w:t>
      </w:r>
      <w:r w:rsidRPr="00E518F4">
        <w:rPr>
          <w:szCs w:val="26"/>
          <w:u w:val="double"/>
        </w:rPr>
        <w:t>The system designed primarily for delivering capacity from the</w:t>
      </w:r>
      <w:r w:rsidRPr="00553F1D">
        <w:rPr>
          <w:szCs w:val="26"/>
        </w:rPr>
        <w:t xml:space="preserve"> </w:t>
      </w:r>
      <w:r>
        <w:rPr>
          <w:szCs w:val="26"/>
        </w:rPr>
        <w:tab/>
      </w:r>
      <w:r w:rsidRPr="00E518F4">
        <w:rPr>
          <w:szCs w:val="26"/>
          <w:u w:val="double"/>
        </w:rPr>
        <w:t>point where those resources aggregate to greater than 75 MVA to a</w:t>
      </w:r>
      <w:r w:rsidRPr="00553F1D">
        <w:rPr>
          <w:szCs w:val="26"/>
        </w:rPr>
        <w:t xml:space="preserve"> </w:t>
      </w:r>
      <w:r>
        <w:rPr>
          <w:szCs w:val="26"/>
        </w:rPr>
        <w:tab/>
      </w:r>
      <w:r w:rsidRPr="00E518F4">
        <w:rPr>
          <w:szCs w:val="26"/>
          <w:u w:val="double"/>
        </w:rPr>
        <w:t>common point of connection at a voltage of 100 kV or above.</w:t>
      </w:r>
    </w:p>
    <w:p w:rsidR="000D70B6" w:rsidRPr="00553F1D" w:rsidRDefault="000D70B6" w:rsidP="00553F1D">
      <w:pPr>
        <w:widowControl/>
        <w:ind w:left="720" w:right="720"/>
        <w:rPr>
          <w:szCs w:val="26"/>
        </w:rPr>
      </w:pPr>
    </w:p>
    <w:p w:rsidR="004C05CC" w:rsidRPr="00831FCD" w:rsidRDefault="004C05CC" w:rsidP="004C05CC">
      <w:pPr>
        <w:pStyle w:val="FERCparanumber"/>
        <w:rPr>
          <w:szCs w:val="26"/>
        </w:rPr>
      </w:pPr>
      <w:r>
        <w:rPr>
          <w:szCs w:val="26"/>
        </w:rPr>
        <w:t xml:space="preserve">NERC states that </w:t>
      </w:r>
      <w:r w:rsidRPr="00831FCD">
        <w:rPr>
          <w:szCs w:val="26"/>
        </w:rPr>
        <w:t>all forms of generation resources, including variable generation resources, continue to be included in the proposed r</w:t>
      </w:r>
      <w:r>
        <w:rPr>
          <w:szCs w:val="26"/>
        </w:rPr>
        <w:t xml:space="preserve">evisions to the </w:t>
      </w:r>
      <w:r w:rsidR="00553F1D">
        <w:rPr>
          <w:szCs w:val="26"/>
        </w:rPr>
        <w:t>d</w:t>
      </w:r>
      <w:r>
        <w:rPr>
          <w:szCs w:val="26"/>
        </w:rPr>
        <w:t xml:space="preserve">efinition.  NERC states that this </w:t>
      </w:r>
      <w:r w:rsidR="00553F1D">
        <w:rPr>
          <w:szCs w:val="26"/>
        </w:rPr>
        <w:t xml:space="preserve">conclusion </w:t>
      </w:r>
      <w:r>
        <w:rPr>
          <w:szCs w:val="26"/>
        </w:rPr>
        <w:t>is c</w:t>
      </w:r>
      <w:r w:rsidRPr="00831FCD">
        <w:rPr>
          <w:szCs w:val="26"/>
        </w:rPr>
        <w:t xml:space="preserve">onsistent with the Commission’s recognition </w:t>
      </w:r>
      <w:r>
        <w:rPr>
          <w:szCs w:val="26"/>
        </w:rPr>
        <w:t xml:space="preserve">in Order </w:t>
      </w:r>
      <w:r w:rsidR="009C60B1">
        <w:rPr>
          <w:szCs w:val="26"/>
        </w:rPr>
        <w:t xml:space="preserve">    </w:t>
      </w:r>
      <w:r>
        <w:rPr>
          <w:szCs w:val="26"/>
        </w:rPr>
        <w:t xml:space="preserve">No. 773 </w:t>
      </w:r>
      <w:r w:rsidRPr="00831FCD">
        <w:rPr>
          <w:szCs w:val="26"/>
        </w:rPr>
        <w:t xml:space="preserve">that the purpose of </w:t>
      </w:r>
      <w:r>
        <w:rPr>
          <w:szCs w:val="26"/>
        </w:rPr>
        <w:t>i</w:t>
      </w:r>
      <w:r w:rsidRPr="00831FCD">
        <w:rPr>
          <w:szCs w:val="26"/>
        </w:rPr>
        <w:t xml:space="preserve">nclusion I4 is to </w:t>
      </w:r>
      <w:r>
        <w:rPr>
          <w:szCs w:val="26"/>
        </w:rPr>
        <w:t xml:space="preserve">include variable generation.  </w:t>
      </w:r>
      <w:r w:rsidR="00553F1D">
        <w:rPr>
          <w:szCs w:val="26"/>
        </w:rPr>
        <w:t xml:space="preserve">Thus, </w:t>
      </w:r>
      <w:r>
        <w:rPr>
          <w:szCs w:val="26"/>
        </w:rPr>
        <w:t xml:space="preserve">NERC </w:t>
      </w:r>
      <w:r w:rsidR="00506562">
        <w:rPr>
          <w:szCs w:val="26"/>
        </w:rPr>
        <w:t xml:space="preserve">revised </w:t>
      </w:r>
      <w:r>
        <w:rPr>
          <w:szCs w:val="26"/>
        </w:rPr>
        <w:t xml:space="preserve">inclusion I4 </w:t>
      </w:r>
      <w:r w:rsidR="00553F1D">
        <w:rPr>
          <w:szCs w:val="26"/>
        </w:rPr>
        <w:t xml:space="preserve">to </w:t>
      </w:r>
      <w:r>
        <w:rPr>
          <w:szCs w:val="26"/>
        </w:rPr>
        <w:t xml:space="preserve">clarify </w:t>
      </w:r>
      <w:r w:rsidR="00553F1D">
        <w:rPr>
          <w:szCs w:val="26"/>
        </w:rPr>
        <w:t xml:space="preserve">its original intent and </w:t>
      </w:r>
      <w:r w:rsidR="00506562">
        <w:rPr>
          <w:szCs w:val="26"/>
        </w:rPr>
        <w:t xml:space="preserve">to </w:t>
      </w:r>
      <w:r w:rsidR="00C31E39">
        <w:rPr>
          <w:szCs w:val="26"/>
        </w:rPr>
        <w:t xml:space="preserve">reflect </w:t>
      </w:r>
      <w:r w:rsidR="00553F1D">
        <w:rPr>
          <w:szCs w:val="26"/>
        </w:rPr>
        <w:t>the Commission’s statements in Order No. 773</w:t>
      </w:r>
      <w:r w:rsidR="00C31E39">
        <w:rPr>
          <w:szCs w:val="26"/>
        </w:rPr>
        <w:t xml:space="preserve"> regarding </w:t>
      </w:r>
      <w:r w:rsidR="00506562">
        <w:rPr>
          <w:szCs w:val="26"/>
        </w:rPr>
        <w:t>its scope</w:t>
      </w:r>
      <w:r w:rsidRPr="00831FCD">
        <w:rPr>
          <w:szCs w:val="26"/>
        </w:rPr>
        <w:t>.</w:t>
      </w:r>
      <w:r>
        <w:rPr>
          <w:szCs w:val="26"/>
        </w:rPr>
        <w:t xml:space="preserve">  NERC observes that </w:t>
      </w:r>
      <w:r w:rsidRPr="00831FCD">
        <w:rPr>
          <w:szCs w:val="26"/>
        </w:rPr>
        <w:t xml:space="preserve">the </w:t>
      </w:r>
      <w:proofErr w:type="gramStart"/>
      <w:r w:rsidRPr="00831FCD">
        <w:rPr>
          <w:szCs w:val="26"/>
        </w:rPr>
        <w:t xml:space="preserve">Commission </w:t>
      </w:r>
      <w:r w:rsidR="009C60B1">
        <w:rPr>
          <w:szCs w:val="26"/>
        </w:rPr>
        <w:t xml:space="preserve"> </w:t>
      </w:r>
      <w:r w:rsidRPr="00831FCD">
        <w:rPr>
          <w:szCs w:val="26"/>
        </w:rPr>
        <w:t>in</w:t>
      </w:r>
      <w:proofErr w:type="gramEnd"/>
      <w:r w:rsidRPr="00831FCD">
        <w:rPr>
          <w:szCs w:val="26"/>
        </w:rPr>
        <w:t xml:space="preserve"> Order No. 773</w:t>
      </w:r>
      <w:r>
        <w:rPr>
          <w:szCs w:val="26"/>
        </w:rPr>
        <w:t xml:space="preserve"> noted that</w:t>
      </w:r>
      <w:r w:rsidRPr="00831FCD">
        <w:rPr>
          <w:szCs w:val="26"/>
        </w:rPr>
        <w:t xml:space="preserve">, “owners and operators of these resources that meet the </w:t>
      </w:r>
      <w:r w:rsidR="009C60B1">
        <w:rPr>
          <w:szCs w:val="26"/>
        </w:rPr>
        <w:t xml:space="preserve">      </w:t>
      </w:r>
      <w:r w:rsidRPr="00831FCD">
        <w:rPr>
          <w:szCs w:val="26"/>
        </w:rPr>
        <w:t>75 MVA gross aggregate nameplate rating threshold are, in some cases, already registered and have compliance responsibilities as generator owners and generator operators.”</w:t>
      </w:r>
      <w:r w:rsidR="00837B9B">
        <w:rPr>
          <w:rStyle w:val="FootnoteReference"/>
        </w:rPr>
        <w:footnoteReference w:id="25"/>
      </w:r>
      <w:r w:rsidRPr="00831FCD">
        <w:rPr>
          <w:szCs w:val="26"/>
        </w:rPr>
        <w:t xml:space="preserve">  </w:t>
      </w:r>
      <w:r>
        <w:rPr>
          <w:szCs w:val="26"/>
        </w:rPr>
        <w:t>According to NERC, g</w:t>
      </w:r>
      <w:r w:rsidRPr="00831FCD">
        <w:rPr>
          <w:szCs w:val="26"/>
        </w:rPr>
        <w:t xml:space="preserve">iven the increasing </w:t>
      </w:r>
      <w:r w:rsidR="004A0056">
        <w:rPr>
          <w:szCs w:val="26"/>
        </w:rPr>
        <w:t xml:space="preserve">use of </w:t>
      </w:r>
      <w:r w:rsidRPr="00831FCD">
        <w:rPr>
          <w:szCs w:val="26"/>
        </w:rPr>
        <w:t xml:space="preserve">wind, solar, and </w:t>
      </w:r>
      <w:proofErr w:type="gramStart"/>
      <w:r w:rsidRPr="00831FCD">
        <w:rPr>
          <w:szCs w:val="26"/>
        </w:rPr>
        <w:t xml:space="preserve">other </w:t>
      </w:r>
      <w:r w:rsidR="0019594F">
        <w:rPr>
          <w:szCs w:val="26"/>
        </w:rPr>
        <w:t xml:space="preserve"> </w:t>
      </w:r>
      <w:r w:rsidRPr="00831FCD">
        <w:rPr>
          <w:szCs w:val="26"/>
        </w:rPr>
        <w:t>non</w:t>
      </w:r>
      <w:proofErr w:type="gramEnd"/>
      <w:r w:rsidRPr="00831FCD">
        <w:rPr>
          <w:szCs w:val="26"/>
        </w:rPr>
        <w:t>-traditional forms</w:t>
      </w:r>
      <w:r w:rsidR="004A0056">
        <w:rPr>
          <w:szCs w:val="26"/>
        </w:rPr>
        <w:t xml:space="preserve"> </w:t>
      </w:r>
      <w:r w:rsidRPr="00831FCD">
        <w:rPr>
          <w:szCs w:val="26"/>
        </w:rPr>
        <w:t xml:space="preserve">of generation, </w:t>
      </w:r>
      <w:r w:rsidR="00553F1D">
        <w:rPr>
          <w:szCs w:val="26"/>
        </w:rPr>
        <w:t xml:space="preserve">NERC </w:t>
      </w:r>
      <w:r w:rsidRPr="00831FCD">
        <w:rPr>
          <w:szCs w:val="26"/>
        </w:rPr>
        <w:t xml:space="preserve">believes that </w:t>
      </w:r>
      <w:r w:rsidR="004A0056">
        <w:rPr>
          <w:szCs w:val="26"/>
        </w:rPr>
        <w:t>“</w:t>
      </w:r>
      <w:r w:rsidRPr="00831FCD">
        <w:rPr>
          <w:szCs w:val="26"/>
        </w:rPr>
        <w:t xml:space="preserve">continuing the inclusion of individual variable generation units within the scope of </w:t>
      </w:r>
      <w:r>
        <w:rPr>
          <w:szCs w:val="26"/>
        </w:rPr>
        <w:t xml:space="preserve">the definition </w:t>
      </w:r>
      <w:r w:rsidRPr="00831FCD">
        <w:rPr>
          <w:szCs w:val="26"/>
        </w:rPr>
        <w:t>is appropriate to ensure that, where necessary to support reliability, these units may be subject to Reliability Standards.</w:t>
      </w:r>
      <w:r w:rsidR="004A0056">
        <w:rPr>
          <w:szCs w:val="26"/>
        </w:rPr>
        <w:t>”</w:t>
      </w:r>
      <w:r w:rsidR="004A0056">
        <w:rPr>
          <w:rStyle w:val="FootnoteReference"/>
        </w:rPr>
        <w:footnoteReference w:id="26"/>
      </w:r>
    </w:p>
    <w:p w:rsidR="000A48BA" w:rsidRPr="00831FCD" w:rsidRDefault="004C05CC" w:rsidP="00FF5946">
      <w:pPr>
        <w:pStyle w:val="FERCparanumber"/>
        <w:rPr>
          <w:szCs w:val="26"/>
        </w:rPr>
      </w:pPr>
      <w:r>
        <w:rPr>
          <w:szCs w:val="26"/>
        </w:rPr>
        <w:t xml:space="preserve">With regard to the proposed revision in connection with collector systems, NERC </w:t>
      </w:r>
      <w:r w:rsidR="00FA7B0C">
        <w:rPr>
          <w:szCs w:val="26"/>
        </w:rPr>
        <w:t xml:space="preserve">states </w:t>
      </w:r>
      <w:r>
        <w:rPr>
          <w:szCs w:val="26"/>
        </w:rPr>
        <w:t>that, w</w:t>
      </w:r>
      <w:r w:rsidR="00FF5946" w:rsidRPr="00831FCD">
        <w:rPr>
          <w:szCs w:val="26"/>
        </w:rPr>
        <w:t>hile the Commission did not direct NERC to categorically include collector systems</w:t>
      </w:r>
      <w:r w:rsidR="00F42719" w:rsidRPr="00831FCD">
        <w:rPr>
          <w:szCs w:val="26"/>
        </w:rPr>
        <w:t xml:space="preserve"> </w:t>
      </w:r>
      <w:r w:rsidR="00FF5946" w:rsidRPr="00831FCD">
        <w:rPr>
          <w:szCs w:val="26"/>
        </w:rPr>
        <w:t xml:space="preserve">pursuant to </w:t>
      </w:r>
      <w:r>
        <w:rPr>
          <w:szCs w:val="26"/>
        </w:rPr>
        <w:t>i</w:t>
      </w:r>
      <w:r w:rsidR="00FF5946" w:rsidRPr="00831FCD">
        <w:rPr>
          <w:szCs w:val="26"/>
        </w:rPr>
        <w:t>nclusio</w:t>
      </w:r>
      <w:r>
        <w:rPr>
          <w:szCs w:val="26"/>
        </w:rPr>
        <w:t>n I4, the Commission stated in Order No. 773 that</w:t>
      </w:r>
      <w:r w:rsidR="00FF5946" w:rsidRPr="00831FCD">
        <w:rPr>
          <w:szCs w:val="26"/>
        </w:rPr>
        <w:t xml:space="preserve"> it “disagrees that collector systems</w:t>
      </w:r>
      <w:r w:rsidR="00F42719" w:rsidRPr="00831FCD">
        <w:rPr>
          <w:szCs w:val="26"/>
        </w:rPr>
        <w:t xml:space="preserve"> </w:t>
      </w:r>
      <w:r w:rsidR="00FF5946" w:rsidRPr="00831FCD">
        <w:rPr>
          <w:szCs w:val="26"/>
        </w:rPr>
        <w:t xml:space="preserve">described in inclusion I4 that solely deliver aggregated </w:t>
      </w:r>
      <w:r w:rsidR="00FF5946" w:rsidRPr="00831FCD">
        <w:rPr>
          <w:szCs w:val="26"/>
        </w:rPr>
        <w:lastRenderedPageBreak/>
        <w:t>generation to the bulk electric system</w:t>
      </w:r>
      <w:r w:rsidR="00F42719" w:rsidRPr="00831FCD">
        <w:rPr>
          <w:szCs w:val="26"/>
        </w:rPr>
        <w:t xml:space="preserve"> </w:t>
      </w:r>
      <w:r w:rsidR="00FF5946" w:rsidRPr="00831FCD">
        <w:rPr>
          <w:szCs w:val="26"/>
        </w:rPr>
        <w:t>contain local distribution facilities because power is delivered from the collector system to the</w:t>
      </w:r>
      <w:r w:rsidR="00F42719" w:rsidRPr="00831FCD">
        <w:rPr>
          <w:szCs w:val="26"/>
        </w:rPr>
        <w:t xml:space="preserve"> </w:t>
      </w:r>
      <w:r w:rsidR="00FF5946" w:rsidRPr="00831FCD">
        <w:rPr>
          <w:szCs w:val="26"/>
        </w:rPr>
        <w:t>bulk electric system.”</w:t>
      </w:r>
      <w:r w:rsidR="00FA7B0C">
        <w:rPr>
          <w:rStyle w:val="FootnoteReference"/>
        </w:rPr>
        <w:footnoteReference w:id="27"/>
      </w:r>
      <w:r w:rsidR="00FF5946" w:rsidRPr="00831FCD">
        <w:rPr>
          <w:szCs w:val="26"/>
        </w:rPr>
        <w:t xml:space="preserve"> </w:t>
      </w:r>
      <w:r>
        <w:rPr>
          <w:szCs w:val="26"/>
        </w:rPr>
        <w:t xml:space="preserve"> Consequently, NERC</w:t>
      </w:r>
      <w:r w:rsidR="00F42719" w:rsidRPr="00831FCD">
        <w:rPr>
          <w:szCs w:val="26"/>
        </w:rPr>
        <w:t xml:space="preserve"> </w:t>
      </w:r>
      <w:r w:rsidR="00BB0D1D">
        <w:rPr>
          <w:szCs w:val="26"/>
        </w:rPr>
        <w:t>revised i</w:t>
      </w:r>
      <w:r w:rsidR="00FF5946" w:rsidRPr="00831FCD">
        <w:rPr>
          <w:szCs w:val="26"/>
        </w:rPr>
        <w:t>nclusion I4 to include collector systems from the</w:t>
      </w:r>
      <w:r w:rsidR="00F42719" w:rsidRPr="00831FCD">
        <w:rPr>
          <w:szCs w:val="26"/>
        </w:rPr>
        <w:t xml:space="preserve"> </w:t>
      </w:r>
      <w:r w:rsidR="00FF5946" w:rsidRPr="00831FCD">
        <w:rPr>
          <w:szCs w:val="26"/>
        </w:rPr>
        <w:t xml:space="preserve">point where the generation aggregates to </w:t>
      </w:r>
      <w:r w:rsidR="00B51614">
        <w:rPr>
          <w:szCs w:val="26"/>
        </w:rPr>
        <w:t xml:space="preserve">greater than </w:t>
      </w:r>
      <w:r w:rsidR="00FF5946" w:rsidRPr="00831FCD">
        <w:rPr>
          <w:szCs w:val="26"/>
        </w:rPr>
        <w:t>75 MVA to a common point of connection at a voltage</w:t>
      </w:r>
      <w:r w:rsidR="00F42719" w:rsidRPr="00831FCD">
        <w:rPr>
          <w:szCs w:val="26"/>
        </w:rPr>
        <w:t xml:space="preserve"> </w:t>
      </w:r>
      <w:r w:rsidR="00FF5946" w:rsidRPr="00831FCD">
        <w:rPr>
          <w:szCs w:val="26"/>
        </w:rPr>
        <w:t xml:space="preserve">of </w:t>
      </w:r>
      <w:r w:rsidR="00745313">
        <w:rPr>
          <w:szCs w:val="26"/>
        </w:rPr>
        <w:t xml:space="preserve">   </w:t>
      </w:r>
      <w:r w:rsidR="00FF5946" w:rsidRPr="00831FCD">
        <w:rPr>
          <w:szCs w:val="26"/>
        </w:rPr>
        <w:t>100 kV or above.</w:t>
      </w:r>
    </w:p>
    <w:p w:rsidR="000A48BA" w:rsidRPr="00C275A4" w:rsidRDefault="004C05CC" w:rsidP="00C275A4">
      <w:pPr>
        <w:pStyle w:val="FERCparanumber"/>
        <w:rPr>
          <w:szCs w:val="26"/>
        </w:rPr>
      </w:pPr>
      <w:r>
        <w:rPr>
          <w:szCs w:val="26"/>
        </w:rPr>
        <w:t xml:space="preserve">NERC states that it </w:t>
      </w:r>
      <w:r w:rsidR="00FF5946" w:rsidRPr="00831FCD">
        <w:rPr>
          <w:szCs w:val="26"/>
        </w:rPr>
        <w:t>did not establish a continent-wide bright-line determination for such</w:t>
      </w:r>
      <w:r w:rsidR="000A48BA" w:rsidRPr="00831FCD">
        <w:rPr>
          <w:szCs w:val="26"/>
        </w:rPr>
        <w:t xml:space="preserve"> </w:t>
      </w:r>
      <w:r>
        <w:rPr>
          <w:szCs w:val="26"/>
        </w:rPr>
        <w:t>e</w:t>
      </w:r>
      <w:r w:rsidR="00FF5946" w:rsidRPr="00831FCD">
        <w:rPr>
          <w:szCs w:val="26"/>
        </w:rPr>
        <w:t xml:space="preserve">lements </w:t>
      </w:r>
      <w:r w:rsidR="00BB0D1D">
        <w:rPr>
          <w:szCs w:val="26"/>
        </w:rPr>
        <w:t>because t</w:t>
      </w:r>
      <w:r w:rsidR="00BB0D1D" w:rsidRPr="00831FCD">
        <w:rPr>
          <w:szCs w:val="26"/>
        </w:rPr>
        <w:t>here are significant differences in collector system configurations</w:t>
      </w:r>
      <w:r w:rsidR="00FF5946" w:rsidRPr="00831FCD">
        <w:rPr>
          <w:szCs w:val="26"/>
        </w:rPr>
        <w:t xml:space="preserve">. </w:t>
      </w:r>
      <w:r>
        <w:rPr>
          <w:szCs w:val="26"/>
        </w:rPr>
        <w:t xml:space="preserve"> </w:t>
      </w:r>
      <w:r w:rsidR="00FF5946" w:rsidRPr="00831FCD">
        <w:rPr>
          <w:szCs w:val="26"/>
        </w:rPr>
        <w:t xml:space="preserve">Rather, </w:t>
      </w:r>
      <w:r>
        <w:rPr>
          <w:szCs w:val="26"/>
        </w:rPr>
        <w:t xml:space="preserve">NERC </w:t>
      </w:r>
      <w:r w:rsidR="00FF5946" w:rsidRPr="00831FCD">
        <w:rPr>
          <w:szCs w:val="26"/>
        </w:rPr>
        <w:t>identified the portions of the</w:t>
      </w:r>
      <w:r w:rsidR="000A48BA" w:rsidRPr="00831FCD">
        <w:rPr>
          <w:szCs w:val="26"/>
        </w:rPr>
        <w:t xml:space="preserve"> </w:t>
      </w:r>
      <w:r w:rsidR="00FF5946" w:rsidRPr="00831FCD">
        <w:rPr>
          <w:szCs w:val="26"/>
        </w:rPr>
        <w:t>collector system which provide a reliability benefit to the interconnected</w:t>
      </w:r>
      <w:r w:rsidR="000A48BA" w:rsidRPr="00831FCD">
        <w:rPr>
          <w:szCs w:val="26"/>
        </w:rPr>
        <w:t xml:space="preserve"> </w:t>
      </w:r>
      <w:r w:rsidR="00FF5946" w:rsidRPr="00831FCD">
        <w:rPr>
          <w:szCs w:val="26"/>
        </w:rPr>
        <w:t>transmission network and are easily ident</w:t>
      </w:r>
      <w:r>
        <w:rPr>
          <w:szCs w:val="26"/>
        </w:rPr>
        <w:t>ified within collector systems.  According to NERC, t</w:t>
      </w:r>
      <w:r w:rsidR="00FF5946" w:rsidRPr="00831FCD">
        <w:rPr>
          <w:szCs w:val="26"/>
        </w:rPr>
        <w:t>he result identifies the</w:t>
      </w:r>
      <w:r w:rsidR="000A48BA" w:rsidRPr="00831FCD">
        <w:rPr>
          <w:szCs w:val="26"/>
        </w:rPr>
        <w:t xml:space="preserve"> </w:t>
      </w:r>
      <w:r w:rsidR="00FF5946" w:rsidRPr="00831FCD">
        <w:rPr>
          <w:szCs w:val="26"/>
        </w:rPr>
        <w:t>point of aggregation of 75 MVA and above and the interconnecting facilities to the</w:t>
      </w:r>
      <w:r w:rsidR="000A48BA" w:rsidRPr="00831FCD">
        <w:rPr>
          <w:szCs w:val="26"/>
        </w:rPr>
        <w:t xml:space="preserve"> </w:t>
      </w:r>
      <w:r w:rsidR="00FF5946" w:rsidRPr="00831FCD">
        <w:rPr>
          <w:szCs w:val="26"/>
        </w:rPr>
        <w:t>inter</w:t>
      </w:r>
      <w:r>
        <w:rPr>
          <w:szCs w:val="26"/>
        </w:rPr>
        <w:t xml:space="preserve">connected transmission network.  NERC states that the </w:t>
      </w:r>
      <w:r w:rsidR="00FF5946" w:rsidRPr="00831FCD">
        <w:rPr>
          <w:szCs w:val="26"/>
        </w:rPr>
        <w:t>aggregation threshold is consistent with the</w:t>
      </w:r>
      <w:r w:rsidR="000A48BA" w:rsidRPr="00831FCD">
        <w:rPr>
          <w:szCs w:val="26"/>
        </w:rPr>
        <w:t xml:space="preserve"> </w:t>
      </w:r>
      <w:r w:rsidR="00FF5946" w:rsidRPr="00831FCD">
        <w:rPr>
          <w:szCs w:val="26"/>
        </w:rPr>
        <w:t xml:space="preserve">aggregation of capacity in </w:t>
      </w:r>
      <w:r>
        <w:rPr>
          <w:szCs w:val="26"/>
        </w:rPr>
        <w:t>i</w:t>
      </w:r>
      <w:r w:rsidR="00FF5946" w:rsidRPr="00831FCD">
        <w:rPr>
          <w:szCs w:val="26"/>
        </w:rPr>
        <w:t xml:space="preserve">nclusion I2 and recognizes that the loss of those facilities would represent a loss of 75 MVA </w:t>
      </w:r>
      <w:proofErr w:type="gramStart"/>
      <w:r w:rsidR="00FF5946" w:rsidRPr="00831FCD">
        <w:rPr>
          <w:szCs w:val="26"/>
        </w:rPr>
        <w:t>capacity</w:t>
      </w:r>
      <w:proofErr w:type="gramEnd"/>
      <w:r w:rsidR="00FF5946" w:rsidRPr="00831FCD">
        <w:rPr>
          <w:szCs w:val="26"/>
        </w:rPr>
        <w:t xml:space="preserve"> to the </w:t>
      </w:r>
      <w:r>
        <w:rPr>
          <w:szCs w:val="26"/>
        </w:rPr>
        <w:t>b</w:t>
      </w:r>
      <w:r w:rsidR="00FF5946" w:rsidRPr="00831FCD">
        <w:rPr>
          <w:szCs w:val="26"/>
        </w:rPr>
        <w:t xml:space="preserve">ulk </w:t>
      </w:r>
      <w:r>
        <w:rPr>
          <w:szCs w:val="26"/>
        </w:rPr>
        <w:t>e</w:t>
      </w:r>
      <w:r w:rsidR="00FF5946" w:rsidRPr="00831FCD">
        <w:rPr>
          <w:szCs w:val="26"/>
        </w:rPr>
        <w:t xml:space="preserve">lectric </w:t>
      </w:r>
      <w:r>
        <w:rPr>
          <w:szCs w:val="26"/>
        </w:rPr>
        <w:t>s</w:t>
      </w:r>
      <w:r w:rsidR="00FF5946" w:rsidRPr="00831FCD">
        <w:rPr>
          <w:szCs w:val="26"/>
        </w:rPr>
        <w:t>ystem and thus a potential reliability</w:t>
      </w:r>
      <w:r w:rsidR="000A48BA" w:rsidRPr="00831FCD">
        <w:rPr>
          <w:szCs w:val="26"/>
        </w:rPr>
        <w:t xml:space="preserve"> </w:t>
      </w:r>
      <w:r w:rsidR="00FF5946" w:rsidRPr="00831FCD">
        <w:rPr>
          <w:szCs w:val="26"/>
        </w:rPr>
        <w:t xml:space="preserve">impact on the operation of the </w:t>
      </w:r>
      <w:r>
        <w:rPr>
          <w:szCs w:val="26"/>
        </w:rPr>
        <w:t>interconnected transmission network</w:t>
      </w:r>
      <w:r w:rsidR="00FF5946" w:rsidRPr="00831FCD">
        <w:rPr>
          <w:szCs w:val="26"/>
        </w:rPr>
        <w:t>.</w:t>
      </w:r>
      <w:r w:rsidR="00C275A4">
        <w:rPr>
          <w:rStyle w:val="FootnoteReference"/>
        </w:rPr>
        <w:footnoteReference w:id="28"/>
      </w:r>
      <w:r w:rsidR="00C275A4">
        <w:rPr>
          <w:szCs w:val="26"/>
        </w:rPr>
        <w:t xml:space="preserve">  </w:t>
      </w:r>
      <w:r w:rsidR="00FF5946" w:rsidRPr="00C275A4">
        <w:rPr>
          <w:szCs w:val="26"/>
        </w:rPr>
        <w:t xml:space="preserve">Furthermore, </w:t>
      </w:r>
      <w:r w:rsidRPr="00C275A4">
        <w:rPr>
          <w:szCs w:val="26"/>
        </w:rPr>
        <w:t xml:space="preserve">NERC states that </w:t>
      </w:r>
      <w:r w:rsidR="00FF5946" w:rsidRPr="00C275A4">
        <w:rPr>
          <w:szCs w:val="26"/>
        </w:rPr>
        <w:t>where collector systems support the</w:t>
      </w:r>
      <w:r w:rsidR="000A48BA" w:rsidRPr="00C275A4">
        <w:rPr>
          <w:szCs w:val="26"/>
        </w:rPr>
        <w:t xml:space="preserve"> </w:t>
      </w:r>
      <w:r w:rsidR="00FF5946" w:rsidRPr="00C275A4">
        <w:rPr>
          <w:szCs w:val="26"/>
        </w:rPr>
        <w:t>reliable operation of the surrounding interconnected transmission system and do not have a</w:t>
      </w:r>
      <w:r w:rsidR="000A48BA" w:rsidRPr="00C275A4">
        <w:rPr>
          <w:szCs w:val="26"/>
        </w:rPr>
        <w:t xml:space="preserve"> </w:t>
      </w:r>
      <w:r w:rsidR="00FF5946" w:rsidRPr="00C275A4">
        <w:rPr>
          <w:szCs w:val="26"/>
        </w:rPr>
        <w:t xml:space="preserve">distribution function, those excluded facilities may be candidates for inclusion through the </w:t>
      </w:r>
      <w:r w:rsidRPr="00C275A4">
        <w:rPr>
          <w:szCs w:val="26"/>
        </w:rPr>
        <w:t>e</w:t>
      </w:r>
      <w:r w:rsidR="00FF5946" w:rsidRPr="00C275A4">
        <w:rPr>
          <w:szCs w:val="26"/>
        </w:rPr>
        <w:t xml:space="preserve">xception </w:t>
      </w:r>
      <w:r w:rsidRPr="00C275A4">
        <w:rPr>
          <w:szCs w:val="26"/>
        </w:rPr>
        <w:t>p</w:t>
      </w:r>
      <w:r w:rsidR="00FF5946" w:rsidRPr="00C275A4">
        <w:rPr>
          <w:szCs w:val="26"/>
        </w:rPr>
        <w:t>rocess.</w:t>
      </w:r>
      <w:r w:rsidR="00AB4C33">
        <w:rPr>
          <w:rStyle w:val="FootnoteReference"/>
        </w:rPr>
        <w:footnoteReference w:id="29"/>
      </w:r>
    </w:p>
    <w:p w:rsidR="00553F1D" w:rsidRPr="00C24425" w:rsidRDefault="005B4ABB" w:rsidP="00C24425">
      <w:pPr>
        <w:pStyle w:val="Heading4"/>
        <w:tabs>
          <w:tab w:val="clear" w:pos="1800"/>
          <w:tab w:val="num" w:pos="2880"/>
        </w:tabs>
        <w:ind w:left="2880"/>
        <w:rPr>
          <w:szCs w:val="26"/>
        </w:rPr>
      </w:pPr>
      <w:r w:rsidRPr="00C24425">
        <w:rPr>
          <w:szCs w:val="26"/>
        </w:rPr>
        <w:t>Reactive Power Devices (</w:t>
      </w:r>
      <w:r w:rsidR="00F75236" w:rsidRPr="00C24425">
        <w:rPr>
          <w:szCs w:val="26"/>
        </w:rPr>
        <w:t xml:space="preserve">Exclusion </w:t>
      </w:r>
      <w:r w:rsidRPr="00C24425">
        <w:rPr>
          <w:szCs w:val="26"/>
        </w:rPr>
        <w:t>E4)</w:t>
      </w:r>
    </w:p>
    <w:p w:rsidR="00C31E39" w:rsidRDefault="00C31E39" w:rsidP="00C31E39">
      <w:pPr>
        <w:pStyle w:val="FERCparanumber"/>
        <w:rPr>
          <w:szCs w:val="26"/>
        </w:rPr>
      </w:pPr>
      <w:r>
        <w:rPr>
          <w:szCs w:val="26"/>
        </w:rPr>
        <w:t>NERC proposes the following revisions to exclusion E4:</w:t>
      </w:r>
    </w:p>
    <w:p w:rsidR="00C31E39" w:rsidRPr="008514BF" w:rsidRDefault="00C31E39" w:rsidP="00C31E39">
      <w:pPr>
        <w:pStyle w:val="FERCparanumber"/>
        <w:numPr>
          <w:ilvl w:val="0"/>
          <w:numId w:val="0"/>
        </w:numPr>
        <w:ind w:left="720"/>
        <w:rPr>
          <w:szCs w:val="26"/>
        </w:rPr>
      </w:pPr>
      <w:r w:rsidRPr="008514BF">
        <w:rPr>
          <w:color w:val="000000"/>
        </w:rPr>
        <w:t xml:space="preserve">Reactive Power devices </w:t>
      </w:r>
      <w:r w:rsidRPr="008514BF">
        <w:rPr>
          <w:strike/>
        </w:rPr>
        <w:t>owned and operated by</w:t>
      </w:r>
      <w:r>
        <w:t xml:space="preserve"> </w:t>
      </w:r>
      <w:r w:rsidRPr="008514BF">
        <w:rPr>
          <w:szCs w:val="26"/>
          <w:u w:val="double"/>
        </w:rPr>
        <w:t>installed for</w:t>
      </w:r>
      <w:r>
        <w:t xml:space="preserve"> </w:t>
      </w:r>
      <w:r w:rsidRPr="008514BF">
        <w:rPr>
          <w:color w:val="000000"/>
        </w:rPr>
        <w:t xml:space="preserve">the </w:t>
      </w:r>
      <w:r w:rsidRPr="008514BF">
        <w:rPr>
          <w:szCs w:val="26"/>
          <w:u w:val="double"/>
        </w:rPr>
        <w:t>sole benefit of a</w:t>
      </w:r>
      <w:r>
        <w:t xml:space="preserve"> </w:t>
      </w:r>
      <w:r w:rsidRPr="008514BF">
        <w:rPr>
          <w:color w:val="000000"/>
        </w:rPr>
        <w:t xml:space="preserve">retail </w:t>
      </w:r>
      <w:proofErr w:type="spellStart"/>
      <w:r w:rsidRPr="008514BF">
        <w:rPr>
          <w:color w:val="000000"/>
        </w:rPr>
        <w:t>customer</w:t>
      </w:r>
      <w:r w:rsidRPr="008514BF">
        <w:rPr>
          <w:strike/>
        </w:rPr>
        <w:t>solely</w:t>
      </w:r>
      <w:proofErr w:type="spellEnd"/>
      <w:r w:rsidRPr="008514BF">
        <w:rPr>
          <w:strike/>
        </w:rPr>
        <w:t xml:space="preserve"> for its own use</w:t>
      </w:r>
      <w:proofErr w:type="gramStart"/>
      <w:r w:rsidRPr="008514BF">
        <w:rPr>
          <w:strike/>
        </w:rPr>
        <w:t>.</w:t>
      </w:r>
      <w:r>
        <w:t>(</w:t>
      </w:r>
      <w:proofErr w:type="gramEnd"/>
      <w:r>
        <w:t>s).</w:t>
      </w:r>
    </w:p>
    <w:p w:rsidR="00AA6A4B" w:rsidRDefault="005B4ABB" w:rsidP="00DE0B33">
      <w:r w:rsidRPr="005B4ABB">
        <w:t xml:space="preserve">NERC </w:t>
      </w:r>
      <w:r w:rsidR="00265BDE">
        <w:t xml:space="preserve">states that it </w:t>
      </w:r>
      <w:r w:rsidRPr="005B4ABB">
        <w:t>revised exclusion E4</w:t>
      </w:r>
      <w:r w:rsidR="00C31E39">
        <w:t xml:space="preserve"> </w:t>
      </w:r>
      <w:r w:rsidRPr="005B4ABB">
        <w:t>to “remove ownership implications” as the definition “is a component-based definition and does not take into account the ownership of the actual equipment”</w:t>
      </w:r>
      <w:r w:rsidR="00863AF3">
        <w:t xml:space="preserve"> </w:t>
      </w:r>
      <w:r w:rsidR="00863AF3" w:rsidRPr="00CF4765">
        <w:t>but is focuse</w:t>
      </w:r>
      <w:r w:rsidR="00863AF3">
        <w:t>d</w:t>
      </w:r>
      <w:r w:rsidR="00863AF3" w:rsidRPr="00CF4765">
        <w:t xml:space="preserve"> on which components should be included or excluded</w:t>
      </w:r>
      <w:r w:rsidR="00863AF3">
        <w:t>.</w:t>
      </w:r>
      <w:r w:rsidR="0016534B">
        <w:rPr>
          <w:rStyle w:val="FootnoteReference"/>
        </w:rPr>
        <w:footnoteReference w:id="30"/>
      </w:r>
      <w:r w:rsidRPr="005B4ABB">
        <w:t xml:space="preserve">  NERC explains that exclusion E4 is the technical equivalent of exclusion E2</w:t>
      </w:r>
      <w:r w:rsidR="00925206">
        <w:t xml:space="preserve"> </w:t>
      </w:r>
      <w:r w:rsidR="00925206">
        <w:lastRenderedPageBreak/>
        <w:t>(</w:t>
      </w:r>
      <w:r w:rsidR="00E518F4">
        <w:t>b</w:t>
      </w:r>
      <w:r w:rsidR="00925206">
        <w:t xml:space="preserve">ehind the </w:t>
      </w:r>
      <w:r w:rsidR="00E518F4">
        <w:t>m</w:t>
      </w:r>
      <w:r w:rsidR="00925206">
        <w:t xml:space="preserve">eter </w:t>
      </w:r>
      <w:r w:rsidR="00E518F4">
        <w:t>g</w:t>
      </w:r>
      <w:r w:rsidR="00925206">
        <w:t>eneration)</w:t>
      </w:r>
      <w:r w:rsidRPr="005B4ABB">
        <w:t xml:space="preserve"> for reactive power devices.  NERC further explains that the proposed revision to exclusion E4 is responsive to concerns raised by industry, which noted that exclusion E4 should not be confined to devices that are owned and operated by a retail customer solely for its own use.</w:t>
      </w:r>
      <w:r w:rsidR="00262FCF">
        <w:rPr>
          <w:rStyle w:val="FootnoteReference"/>
        </w:rPr>
        <w:footnoteReference w:id="31"/>
      </w:r>
      <w:r w:rsidR="004C4FBF">
        <w:t xml:space="preserve"> </w:t>
      </w:r>
      <w:r w:rsidR="00A71DB2" w:rsidRPr="00CF4765">
        <w:t xml:space="preserve">  </w:t>
      </w:r>
    </w:p>
    <w:p w:rsidR="00AA6A4B" w:rsidRDefault="00AA6A4B" w:rsidP="00DE0B33"/>
    <w:p w:rsidR="00AA6A4B" w:rsidRPr="00553F1D" w:rsidRDefault="00317A91" w:rsidP="00C24425">
      <w:pPr>
        <w:pStyle w:val="Heading4"/>
        <w:tabs>
          <w:tab w:val="clear" w:pos="1800"/>
          <w:tab w:val="num" w:pos="2880"/>
        </w:tabs>
        <w:ind w:left="2880"/>
      </w:pPr>
      <w:r w:rsidRPr="00553F1D">
        <w:t>Clarifying Revisions</w:t>
      </w:r>
    </w:p>
    <w:p w:rsidR="000A48BA" w:rsidRPr="00831FCD" w:rsidRDefault="000A48BA" w:rsidP="00A64FFE">
      <w:pPr>
        <w:pStyle w:val="FERCparanumber"/>
        <w:rPr>
          <w:szCs w:val="26"/>
        </w:rPr>
      </w:pPr>
      <w:r w:rsidRPr="00831FCD">
        <w:rPr>
          <w:szCs w:val="26"/>
        </w:rPr>
        <w:t xml:space="preserve">In the course of responding to the Commission directives and Phase 2 issues, NERC concluded that several minor, </w:t>
      </w:r>
      <w:r w:rsidR="00A64FFE" w:rsidRPr="00831FCD">
        <w:rPr>
          <w:szCs w:val="26"/>
        </w:rPr>
        <w:t>clarifying change</w:t>
      </w:r>
      <w:r w:rsidR="00BB0D1D">
        <w:rPr>
          <w:szCs w:val="26"/>
        </w:rPr>
        <w:t>s</w:t>
      </w:r>
      <w:r w:rsidR="00A64FFE" w:rsidRPr="00831FCD">
        <w:rPr>
          <w:szCs w:val="26"/>
        </w:rPr>
        <w:t xml:space="preserve"> </w:t>
      </w:r>
      <w:r w:rsidRPr="00831FCD">
        <w:rPr>
          <w:szCs w:val="26"/>
        </w:rPr>
        <w:t>were appropriate to further clarify the definition.  NERC proposes that in inclusion I</w:t>
      </w:r>
      <w:r w:rsidR="00E843EE">
        <w:rPr>
          <w:szCs w:val="26"/>
        </w:rPr>
        <w:t>1 (</w:t>
      </w:r>
      <w:r w:rsidR="00E518F4">
        <w:rPr>
          <w:szCs w:val="26"/>
        </w:rPr>
        <w:t>t</w:t>
      </w:r>
      <w:r w:rsidR="00E843EE">
        <w:rPr>
          <w:szCs w:val="26"/>
        </w:rPr>
        <w:t>ransformers)</w:t>
      </w:r>
      <w:r w:rsidRPr="00831FCD">
        <w:rPr>
          <w:szCs w:val="26"/>
        </w:rPr>
        <w:t xml:space="preserve">, </w:t>
      </w:r>
      <w:r w:rsidR="00A64FFE" w:rsidRPr="00831FCD">
        <w:rPr>
          <w:szCs w:val="26"/>
        </w:rPr>
        <w:t>the phrase “under Exclusion E1or E3” be changed to “by appl</w:t>
      </w:r>
      <w:r w:rsidRPr="00831FCD">
        <w:rPr>
          <w:szCs w:val="26"/>
        </w:rPr>
        <w:t xml:space="preserve">ication of Exclusion E1 or E3.”  NERC </w:t>
      </w:r>
      <w:r w:rsidR="00BB0D1D">
        <w:rPr>
          <w:szCs w:val="26"/>
        </w:rPr>
        <w:t xml:space="preserve">explains </w:t>
      </w:r>
      <w:r w:rsidRPr="00831FCD">
        <w:rPr>
          <w:szCs w:val="26"/>
        </w:rPr>
        <w:t>that t</w:t>
      </w:r>
      <w:r w:rsidR="00A64FFE" w:rsidRPr="00831FCD">
        <w:rPr>
          <w:szCs w:val="26"/>
        </w:rPr>
        <w:t>his clarification is necessary because transformers have windings operating at different voltages</w:t>
      </w:r>
      <w:r w:rsidRPr="00831FCD">
        <w:rPr>
          <w:szCs w:val="26"/>
        </w:rPr>
        <w:t xml:space="preserve"> </w:t>
      </w:r>
      <w:r w:rsidR="00A64FFE" w:rsidRPr="00831FCD">
        <w:rPr>
          <w:szCs w:val="26"/>
        </w:rPr>
        <w:t xml:space="preserve">and multiple windings in some circumstances. </w:t>
      </w:r>
      <w:r w:rsidR="00E518F4">
        <w:rPr>
          <w:szCs w:val="26"/>
        </w:rPr>
        <w:t xml:space="preserve"> NERC states that t</w:t>
      </w:r>
      <w:r w:rsidR="00E843EE">
        <w:rPr>
          <w:szCs w:val="26"/>
        </w:rPr>
        <w:t>he proposed change to inclusion I1 does not impact the original intent of the inclusion that was approved in Order No. 773.</w:t>
      </w:r>
    </w:p>
    <w:p w:rsidR="00CF4765" w:rsidRDefault="002837C0" w:rsidP="00CF4765">
      <w:pPr>
        <w:pStyle w:val="FERCparanumber"/>
        <w:rPr>
          <w:szCs w:val="26"/>
        </w:rPr>
      </w:pPr>
      <w:r>
        <w:rPr>
          <w:szCs w:val="26"/>
        </w:rPr>
        <w:t>Inclusion I2</w:t>
      </w:r>
      <w:r w:rsidR="00E843EE">
        <w:rPr>
          <w:szCs w:val="26"/>
        </w:rPr>
        <w:t xml:space="preserve"> (</w:t>
      </w:r>
      <w:r w:rsidR="00E518F4">
        <w:rPr>
          <w:szCs w:val="26"/>
        </w:rPr>
        <w:t>g</w:t>
      </w:r>
      <w:r w:rsidR="00E843EE">
        <w:rPr>
          <w:szCs w:val="26"/>
        </w:rPr>
        <w:t xml:space="preserve">enerating </w:t>
      </w:r>
      <w:r w:rsidR="00E518F4">
        <w:rPr>
          <w:szCs w:val="26"/>
        </w:rPr>
        <w:t>r</w:t>
      </w:r>
      <w:r w:rsidR="00E843EE">
        <w:rPr>
          <w:szCs w:val="26"/>
        </w:rPr>
        <w:t>esources)</w:t>
      </w:r>
      <w:r w:rsidR="006C2A33">
        <w:rPr>
          <w:szCs w:val="26"/>
        </w:rPr>
        <w:t xml:space="preserve"> </w:t>
      </w:r>
      <w:r w:rsidR="006C2A33">
        <w:t xml:space="preserve">includes </w:t>
      </w:r>
      <w:r w:rsidR="00DF1AF4">
        <w:t xml:space="preserve">generators, based on individual or aggregate gross nameplate rating, </w:t>
      </w:r>
      <w:r w:rsidR="006C2A33">
        <w:t xml:space="preserve">in the bulk electric system </w:t>
      </w:r>
      <w:r w:rsidR="00DF1AF4">
        <w:t xml:space="preserve">and </w:t>
      </w:r>
      <w:r w:rsidR="006C2A33">
        <w:t xml:space="preserve">the generator terminals through the high-side of the step-up transformers connected at a voltage of 100 kV or above.  </w:t>
      </w:r>
      <w:r w:rsidR="000A48BA" w:rsidRPr="006C2A33">
        <w:rPr>
          <w:szCs w:val="26"/>
        </w:rPr>
        <w:t xml:space="preserve">NERC </w:t>
      </w:r>
      <w:r w:rsidR="00A64FFE" w:rsidRPr="006C2A33">
        <w:rPr>
          <w:szCs w:val="26"/>
        </w:rPr>
        <w:t xml:space="preserve">separated </w:t>
      </w:r>
      <w:r w:rsidR="000D70B6" w:rsidRPr="006C2A33">
        <w:rPr>
          <w:szCs w:val="26"/>
        </w:rPr>
        <w:t xml:space="preserve">inclusion I2 </w:t>
      </w:r>
      <w:r w:rsidR="00A64FFE" w:rsidRPr="006C2A33">
        <w:rPr>
          <w:szCs w:val="26"/>
        </w:rPr>
        <w:t xml:space="preserve">into sub-parts (a) and (b) </w:t>
      </w:r>
      <w:r w:rsidR="000D70B6" w:rsidRPr="006C2A33">
        <w:rPr>
          <w:szCs w:val="26"/>
        </w:rPr>
        <w:t xml:space="preserve">which </w:t>
      </w:r>
      <w:r w:rsidR="00A64FFE" w:rsidRPr="006C2A33">
        <w:rPr>
          <w:szCs w:val="26"/>
        </w:rPr>
        <w:t>mirrors the text of the NERC</w:t>
      </w:r>
      <w:r w:rsidR="000A48BA" w:rsidRPr="006C2A33">
        <w:rPr>
          <w:szCs w:val="26"/>
        </w:rPr>
        <w:t xml:space="preserve"> </w:t>
      </w:r>
      <w:r w:rsidR="00A64FFE" w:rsidRPr="00FA1ECB">
        <w:rPr>
          <w:iCs/>
          <w:szCs w:val="26"/>
        </w:rPr>
        <w:t>Statement of Compliance Registry Criteria</w:t>
      </w:r>
      <w:r w:rsidR="00A64FFE" w:rsidRPr="006C2A33">
        <w:rPr>
          <w:i/>
          <w:iCs/>
          <w:szCs w:val="26"/>
        </w:rPr>
        <w:t xml:space="preserve"> </w:t>
      </w:r>
      <w:r w:rsidR="00A64FFE" w:rsidRPr="006C2A33">
        <w:rPr>
          <w:szCs w:val="26"/>
        </w:rPr>
        <w:t>(Appendix 5B of the NERC Rules of Procedure) for</w:t>
      </w:r>
      <w:r w:rsidR="000A48BA" w:rsidRPr="006C2A33">
        <w:rPr>
          <w:szCs w:val="26"/>
        </w:rPr>
        <w:t xml:space="preserve"> generating units.  </w:t>
      </w:r>
    </w:p>
    <w:p w:rsidR="000A48BA" w:rsidRPr="00CF4765" w:rsidRDefault="00CF4765" w:rsidP="00E83360">
      <w:pPr>
        <w:pStyle w:val="FERCparanumber"/>
        <w:rPr>
          <w:szCs w:val="26"/>
        </w:rPr>
      </w:pPr>
      <w:r>
        <w:rPr>
          <w:szCs w:val="26"/>
        </w:rPr>
        <w:t>Inclusion</w:t>
      </w:r>
      <w:r w:rsidR="00A64FFE" w:rsidRPr="00CF4765">
        <w:rPr>
          <w:szCs w:val="26"/>
        </w:rPr>
        <w:t xml:space="preserve"> I5</w:t>
      </w:r>
      <w:r w:rsidR="00550BA0">
        <w:rPr>
          <w:szCs w:val="26"/>
        </w:rPr>
        <w:t xml:space="preserve"> (</w:t>
      </w:r>
      <w:r w:rsidR="00E518F4">
        <w:rPr>
          <w:szCs w:val="26"/>
        </w:rPr>
        <w:t>s</w:t>
      </w:r>
      <w:r w:rsidR="00550BA0">
        <w:rPr>
          <w:szCs w:val="26"/>
        </w:rPr>
        <w:t xml:space="preserve">tatic or </w:t>
      </w:r>
      <w:r w:rsidR="00E518F4">
        <w:rPr>
          <w:szCs w:val="26"/>
        </w:rPr>
        <w:t>d</w:t>
      </w:r>
      <w:r w:rsidR="00550BA0">
        <w:rPr>
          <w:szCs w:val="26"/>
        </w:rPr>
        <w:t xml:space="preserve">ynamic </w:t>
      </w:r>
      <w:r w:rsidR="00E518F4">
        <w:rPr>
          <w:szCs w:val="26"/>
        </w:rPr>
        <w:t>r</w:t>
      </w:r>
      <w:r w:rsidR="00550BA0">
        <w:rPr>
          <w:szCs w:val="26"/>
        </w:rPr>
        <w:t xml:space="preserve">eactive </w:t>
      </w:r>
      <w:r w:rsidR="00E518F4">
        <w:rPr>
          <w:szCs w:val="26"/>
        </w:rPr>
        <w:t>p</w:t>
      </w:r>
      <w:r w:rsidR="00550BA0">
        <w:rPr>
          <w:szCs w:val="26"/>
        </w:rPr>
        <w:t xml:space="preserve">ower </w:t>
      </w:r>
      <w:r w:rsidR="00E518F4">
        <w:rPr>
          <w:szCs w:val="26"/>
        </w:rPr>
        <w:t>d</w:t>
      </w:r>
      <w:r w:rsidR="00550BA0">
        <w:rPr>
          <w:szCs w:val="26"/>
        </w:rPr>
        <w:t>evices)</w:t>
      </w:r>
      <w:r w:rsidR="002837C0" w:rsidRPr="00CF4765">
        <w:rPr>
          <w:szCs w:val="26"/>
        </w:rPr>
        <w:t xml:space="preserve"> </w:t>
      </w:r>
      <w:r w:rsidR="009127C9">
        <w:t xml:space="preserve">includes </w:t>
      </w:r>
      <w:r w:rsidR="006C2A33">
        <w:t xml:space="preserve">as part of the bulk electric system “static or dynamic devices (excluding </w:t>
      </w:r>
      <w:r w:rsidR="006C2A33" w:rsidRPr="00CF4765">
        <w:rPr>
          <w:szCs w:val="26"/>
        </w:rPr>
        <w:t xml:space="preserve">generators) dedicated to supplying or absorbing reactive power that are connected at 100 kV or higher, </w:t>
      </w:r>
      <w:r w:rsidRPr="00CF4765">
        <w:rPr>
          <w:szCs w:val="26"/>
        </w:rPr>
        <w:t>or through a dedicated transformer with a high-side voltage of 100 kV or higher, or through a transformer tha</w:t>
      </w:r>
      <w:r>
        <w:rPr>
          <w:szCs w:val="26"/>
        </w:rPr>
        <w:t xml:space="preserve">t is designated in </w:t>
      </w:r>
      <w:r w:rsidR="00550BA0">
        <w:rPr>
          <w:szCs w:val="26"/>
        </w:rPr>
        <w:t xml:space="preserve">inclusion </w:t>
      </w:r>
      <w:r>
        <w:rPr>
          <w:szCs w:val="26"/>
        </w:rPr>
        <w:t>I1.</w:t>
      </w:r>
      <w:r w:rsidR="009127C9">
        <w:rPr>
          <w:szCs w:val="26"/>
        </w:rPr>
        <w:t>”</w:t>
      </w:r>
      <w:r>
        <w:rPr>
          <w:szCs w:val="26"/>
        </w:rPr>
        <w:t xml:space="preserve">  </w:t>
      </w:r>
      <w:r w:rsidRPr="00CF4765">
        <w:rPr>
          <w:szCs w:val="26"/>
        </w:rPr>
        <w:t xml:space="preserve">NERC modified inclusion I5 by adding the phrase “unless excluded by application of Exclusion E4” at the end </w:t>
      </w:r>
      <w:r w:rsidR="00A64FFE" w:rsidRPr="00CF4765">
        <w:rPr>
          <w:szCs w:val="26"/>
        </w:rPr>
        <w:t xml:space="preserve">to clarify that </w:t>
      </w:r>
      <w:r w:rsidR="000D70B6" w:rsidRPr="00CF4765">
        <w:rPr>
          <w:szCs w:val="26"/>
        </w:rPr>
        <w:t>e</w:t>
      </w:r>
      <w:r w:rsidR="00A64FFE" w:rsidRPr="00CF4765">
        <w:rPr>
          <w:szCs w:val="26"/>
        </w:rPr>
        <w:t>xclusion E4</w:t>
      </w:r>
      <w:r w:rsidR="000A48BA" w:rsidRPr="00CF4765">
        <w:rPr>
          <w:szCs w:val="26"/>
        </w:rPr>
        <w:t xml:space="preserve"> </w:t>
      </w:r>
      <w:r>
        <w:rPr>
          <w:szCs w:val="26"/>
        </w:rPr>
        <w:t>“</w:t>
      </w:r>
      <w:r w:rsidR="00A64FFE" w:rsidRPr="00CF4765">
        <w:rPr>
          <w:szCs w:val="26"/>
        </w:rPr>
        <w:t xml:space="preserve">would exclude </w:t>
      </w:r>
      <w:r w:rsidR="000A48BA" w:rsidRPr="00CF4765">
        <w:rPr>
          <w:szCs w:val="26"/>
        </w:rPr>
        <w:t>e</w:t>
      </w:r>
      <w:r w:rsidR="00A64FFE" w:rsidRPr="00CF4765">
        <w:rPr>
          <w:szCs w:val="26"/>
        </w:rPr>
        <w:t xml:space="preserve">lements identified for inclusion in </w:t>
      </w:r>
      <w:r w:rsidR="000A48BA" w:rsidRPr="00CF4765">
        <w:rPr>
          <w:szCs w:val="26"/>
        </w:rPr>
        <w:t>i</w:t>
      </w:r>
      <w:r w:rsidR="00A64FFE" w:rsidRPr="00CF4765">
        <w:rPr>
          <w:szCs w:val="26"/>
        </w:rPr>
        <w:t>nclusion I5.</w:t>
      </w:r>
      <w:r w:rsidR="000D70B6" w:rsidRPr="00CF4765">
        <w:rPr>
          <w:szCs w:val="26"/>
        </w:rPr>
        <w:t>”</w:t>
      </w:r>
      <w:r w:rsidR="00FA1ECB">
        <w:rPr>
          <w:rStyle w:val="FootnoteReference"/>
        </w:rPr>
        <w:footnoteReference w:id="32"/>
      </w:r>
      <w:r w:rsidR="00A64FFE" w:rsidRPr="00CF4765">
        <w:rPr>
          <w:szCs w:val="26"/>
        </w:rPr>
        <w:t xml:space="preserve"> </w:t>
      </w:r>
      <w:r w:rsidR="000A48BA" w:rsidRPr="00CF4765">
        <w:rPr>
          <w:szCs w:val="26"/>
        </w:rPr>
        <w:t xml:space="preserve"> </w:t>
      </w:r>
      <w:r w:rsidR="000D70B6" w:rsidRPr="00CF4765">
        <w:rPr>
          <w:szCs w:val="26"/>
        </w:rPr>
        <w:t xml:space="preserve">NERC states that this is consistent with </w:t>
      </w:r>
      <w:r w:rsidR="00A64FFE" w:rsidRPr="00CF4765">
        <w:rPr>
          <w:szCs w:val="26"/>
        </w:rPr>
        <w:t xml:space="preserve">Order No. 773, </w:t>
      </w:r>
      <w:r w:rsidR="000D70B6" w:rsidRPr="00CF4765">
        <w:rPr>
          <w:szCs w:val="26"/>
        </w:rPr>
        <w:t xml:space="preserve">where the Commission stated that </w:t>
      </w:r>
      <w:r w:rsidR="000A48BA" w:rsidRPr="00CF4765">
        <w:rPr>
          <w:szCs w:val="26"/>
        </w:rPr>
        <w:t>e</w:t>
      </w:r>
      <w:r w:rsidR="00A64FFE" w:rsidRPr="00CF4765">
        <w:rPr>
          <w:szCs w:val="26"/>
        </w:rPr>
        <w:t xml:space="preserve">xclusions E1 and E3 would not override </w:t>
      </w:r>
      <w:r w:rsidR="000A48BA" w:rsidRPr="00CF4765">
        <w:rPr>
          <w:szCs w:val="26"/>
        </w:rPr>
        <w:t>i</w:t>
      </w:r>
      <w:r w:rsidR="00A64FFE" w:rsidRPr="00CF4765">
        <w:rPr>
          <w:szCs w:val="26"/>
        </w:rPr>
        <w:t xml:space="preserve">nclusion I5 because </w:t>
      </w:r>
      <w:r w:rsidR="000A48BA" w:rsidRPr="00CF4765">
        <w:rPr>
          <w:szCs w:val="26"/>
        </w:rPr>
        <w:t>e</w:t>
      </w:r>
      <w:r w:rsidR="00A64FFE" w:rsidRPr="00CF4765">
        <w:rPr>
          <w:szCs w:val="26"/>
        </w:rPr>
        <w:t>xclusions E1</w:t>
      </w:r>
      <w:r w:rsidR="000A48BA" w:rsidRPr="00CF4765">
        <w:rPr>
          <w:szCs w:val="26"/>
        </w:rPr>
        <w:t xml:space="preserve"> </w:t>
      </w:r>
      <w:r w:rsidR="00A64FFE" w:rsidRPr="00CF4765">
        <w:rPr>
          <w:szCs w:val="26"/>
        </w:rPr>
        <w:t>and E3 exclude transmission elements only and not resources.</w:t>
      </w:r>
      <w:r w:rsidR="000A48BA" w:rsidRPr="00CF4765">
        <w:rPr>
          <w:szCs w:val="26"/>
        </w:rPr>
        <w:t xml:space="preserve">  </w:t>
      </w:r>
      <w:r w:rsidR="000D70B6" w:rsidRPr="00CF4765">
        <w:rPr>
          <w:szCs w:val="26"/>
        </w:rPr>
        <w:t>NERC explains that e</w:t>
      </w:r>
      <w:r w:rsidR="00A64FFE" w:rsidRPr="00CF4765">
        <w:rPr>
          <w:szCs w:val="26"/>
        </w:rPr>
        <w:t>xclusion E4, which is specific</w:t>
      </w:r>
      <w:r w:rsidR="000A48BA" w:rsidRPr="00CF4765">
        <w:rPr>
          <w:szCs w:val="26"/>
        </w:rPr>
        <w:t xml:space="preserve"> </w:t>
      </w:r>
      <w:r w:rsidR="00A64FFE" w:rsidRPr="00CF4765">
        <w:rPr>
          <w:szCs w:val="26"/>
        </w:rPr>
        <w:t>to resources (</w:t>
      </w:r>
      <w:r w:rsidR="00A64FFE" w:rsidRPr="00C24425">
        <w:rPr>
          <w:iCs/>
          <w:szCs w:val="26"/>
        </w:rPr>
        <w:t>i.e.</w:t>
      </w:r>
      <w:r w:rsidR="00A64FFE" w:rsidRPr="00CF4765">
        <w:rPr>
          <w:szCs w:val="26"/>
        </w:rPr>
        <w:t xml:space="preserve">, </w:t>
      </w:r>
      <w:r w:rsidR="000A48BA" w:rsidRPr="00CF4765">
        <w:rPr>
          <w:szCs w:val="26"/>
        </w:rPr>
        <w:t>r</w:t>
      </w:r>
      <w:r w:rsidR="00A64FFE" w:rsidRPr="00CF4765">
        <w:rPr>
          <w:szCs w:val="26"/>
        </w:rPr>
        <w:t xml:space="preserve">eactive </w:t>
      </w:r>
      <w:r w:rsidR="000A48BA" w:rsidRPr="00CF4765">
        <w:rPr>
          <w:szCs w:val="26"/>
        </w:rPr>
        <w:t>p</w:t>
      </w:r>
      <w:r w:rsidR="00A64FFE" w:rsidRPr="00CF4765">
        <w:rPr>
          <w:szCs w:val="26"/>
        </w:rPr>
        <w:t xml:space="preserve">ower devices), </w:t>
      </w:r>
      <w:r w:rsidR="000D70B6" w:rsidRPr="00CF4765">
        <w:rPr>
          <w:szCs w:val="26"/>
        </w:rPr>
        <w:t>“</w:t>
      </w:r>
      <w:r w:rsidR="00A64FFE" w:rsidRPr="00CF4765">
        <w:rPr>
          <w:szCs w:val="26"/>
        </w:rPr>
        <w:t xml:space="preserve">would override </w:t>
      </w:r>
      <w:r w:rsidR="000A48BA" w:rsidRPr="00CF4765">
        <w:rPr>
          <w:szCs w:val="26"/>
        </w:rPr>
        <w:t>i</w:t>
      </w:r>
      <w:r w:rsidR="00A64FFE" w:rsidRPr="00CF4765">
        <w:rPr>
          <w:szCs w:val="26"/>
        </w:rPr>
        <w:t xml:space="preserve">nclusion </w:t>
      </w:r>
      <w:r w:rsidR="00A64FFE" w:rsidRPr="00CF4765">
        <w:rPr>
          <w:szCs w:val="26"/>
        </w:rPr>
        <w:lastRenderedPageBreak/>
        <w:t>I5.</w:t>
      </w:r>
      <w:r w:rsidR="000D70B6" w:rsidRPr="00CF4765">
        <w:rPr>
          <w:szCs w:val="26"/>
        </w:rPr>
        <w:t>”</w:t>
      </w:r>
      <w:r w:rsidR="00FA1ECB">
        <w:rPr>
          <w:rStyle w:val="FootnoteReference"/>
        </w:rPr>
        <w:footnoteReference w:id="33"/>
      </w:r>
      <w:r w:rsidR="000A48BA" w:rsidRPr="00CF4765">
        <w:rPr>
          <w:szCs w:val="26"/>
        </w:rPr>
        <w:t xml:space="preserve">  NERC states that this </w:t>
      </w:r>
      <w:r w:rsidR="00A64FFE" w:rsidRPr="00CF4765">
        <w:rPr>
          <w:szCs w:val="26"/>
        </w:rPr>
        <w:t xml:space="preserve">clarification </w:t>
      </w:r>
      <w:r w:rsidR="000A48BA" w:rsidRPr="00CF4765">
        <w:rPr>
          <w:szCs w:val="26"/>
        </w:rPr>
        <w:t>improves the d</w:t>
      </w:r>
      <w:r w:rsidR="00A64FFE" w:rsidRPr="00CF4765">
        <w:rPr>
          <w:szCs w:val="26"/>
        </w:rPr>
        <w:t xml:space="preserve">efinition </w:t>
      </w:r>
      <w:r w:rsidR="000A48BA" w:rsidRPr="00CF4765">
        <w:rPr>
          <w:szCs w:val="26"/>
        </w:rPr>
        <w:t xml:space="preserve">by making </w:t>
      </w:r>
      <w:r w:rsidR="00A64FFE" w:rsidRPr="00CF4765">
        <w:rPr>
          <w:szCs w:val="26"/>
        </w:rPr>
        <w:t xml:space="preserve">the relationship between related </w:t>
      </w:r>
      <w:r w:rsidR="000A48BA" w:rsidRPr="00CF4765">
        <w:rPr>
          <w:szCs w:val="26"/>
        </w:rPr>
        <w:t>i</w:t>
      </w:r>
      <w:r w:rsidR="00A64FFE" w:rsidRPr="00CF4765">
        <w:rPr>
          <w:szCs w:val="26"/>
        </w:rPr>
        <w:t xml:space="preserve">nclusions and </w:t>
      </w:r>
      <w:r w:rsidR="000A48BA" w:rsidRPr="00CF4765">
        <w:rPr>
          <w:szCs w:val="26"/>
        </w:rPr>
        <w:t>e</w:t>
      </w:r>
      <w:r w:rsidR="00A64FFE" w:rsidRPr="00CF4765">
        <w:rPr>
          <w:szCs w:val="26"/>
        </w:rPr>
        <w:t xml:space="preserve">xclusions transparent, which will facilitate consistent application of </w:t>
      </w:r>
      <w:r w:rsidR="00134EC0" w:rsidRPr="00CF4765">
        <w:rPr>
          <w:szCs w:val="26"/>
        </w:rPr>
        <w:t>the</w:t>
      </w:r>
      <w:r w:rsidR="000A48BA" w:rsidRPr="00CF4765">
        <w:rPr>
          <w:szCs w:val="26"/>
        </w:rPr>
        <w:t xml:space="preserve"> d</w:t>
      </w:r>
      <w:r w:rsidR="00A64FFE" w:rsidRPr="00CF4765">
        <w:rPr>
          <w:szCs w:val="26"/>
        </w:rPr>
        <w:t>efinition</w:t>
      </w:r>
      <w:r w:rsidR="009468F6" w:rsidRPr="00CF4765">
        <w:rPr>
          <w:szCs w:val="26"/>
        </w:rPr>
        <w:t>.</w:t>
      </w:r>
    </w:p>
    <w:p w:rsidR="006449E2" w:rsidRPr="00831FCD" w:rsidRDefault="006449E2" w:rsidP="006449E2">
      <w:pPr>
        <w:pStyle w:val="Heading1"/>
        <w:rPr>
          <w:szCs w:val="26"/>
        </w:rPr>
      </w:pPr>
      <w:r w:rsidRPr="00831FCD">
        <w:rPr>
          <w:szCs w:val="26"/>
        </w:rPr>
        <w:t>Notice of Filing and Comments</w:t>
      </w:r>
    </w:p>
    <w:p w:rsidR="00F016B6" w:rsidRPr="00F016B6" w:rsidRDefault="00E738CD" w:rsidP="00F016B6">
      <w:pPr>
        <w:pStyle w:val="FERCparanumber"/>
        <w:spacing w:before="240"/>
        <w:rPr>
          <w:szCs w:val="26"/>
        </w:rPr>
      </w:pPr>
      <w:r w:rsidRPr="004C561E">
        <w:t xml:space="preserve">Notice of the NERC </w:t>
      </w:r>
      <w:r>
        <w:t>p</w:t>
      </w:r>
      <w:r w:rsidRPr="004C561E">
        <w:t xml:space="preserve">etition was published in the </w:t>
      </w:r>
      <w:r w:rsidRPr="00F016B6">
        <w:rPr>
          <w:i/>
        </w:rPr>
        <w:t>Federal Register</w:t>
      </w:r>
      <w:r w:rsidRPr="004C561E">
        <w:t xml:space="preserve">, </w:t>
      </w:r>
      <w:r>
        <w:t>78 Fed. Reg. 79</w:t>
      </w:r>
      <w:r w:rsidR="005F492B">
        <w:t>,</w:t>
      </w:r>
      <w:r>
        <w:t xml:space="preserve">429 (2014), </w:t>
      </w:r>
      <w:r w:rsidRPr="004C561E">
        <w:t>with</w:t>
      </w:r>
      <w:r>
        <w:t xml:space="preserve"> comments, protests and motions to intervene due</w:t>
      </w:r>
      <w:r w:rsidRPr="004C561E">
        <w:t xml:space="preserve"> on or before </w:t>
      </w:r>
      <w:r>
        <w:t>January 17</w:t>
      </w:r>
      <w:r w:rsidRPr="004C561E">
        <w:t>, 20</w:t>
      </w:r>
      <w:r>
        <w:t>14.</w:t>
      </w:r>
      <w:r w:rsidRPr="00E738CD">
        <w:t xml:space="preserve">  </w:t>
      </w:r>
      <w:r w:rsidR="0005205C" w:rsidRPr="00E738CD">
        <w:t xml:space="preserve">The following </w:t>
      </w:r>
      <w:r w:rsidR="007544A2" w:rsidRPr="00E738CD">
        <w:t>entities</w:t>
      </w:r>
      <w:r w:rsidR="0005205C" w:rsidRPr="00E738CD">
        <w:t xml:space="preserve"> filed </w:t>
      </w:r>
      <w:r w:rsidRPr="00E738CD">
        <w:t>motions to intervene</w:t>
      </w:r>
      <w:r w:rsidR="0005205C" w:rsidRPr="00E738CD">
        <w:t xml:space="preserve">:  </w:t>
      </w:r>
      <w:r w:rsidRPr="00E738CD">
        <w:t xml:space="preserve">City of Alameda, California, City of Redding, California, </w:t>
      </w:r>
      <w:r w:rsidR="00AC657E">
        <w:t>Edison Electric Institute</w:t>
      </w:r>
      <w:r w:rsidRPr="00E738CD">
        <w:t xml:space="preserve">, EDP </w:t>
      </w:r>
      <w:proofErr w:type="spellStart"/>
      <w:r w:rsidRPr="00E738CD">
        <w:t>Renewables</w:t>
      </w:r>
      <w:proofErr w:type="spellEnd"/>
      <w:r w:rsidRPr="00E738CD">
        <w:t xml:space="preserve"> North America LLC</w:t>
      </w:r>
      <w:r w:rsidR="00AC657E">
        <w:t>,</w:t>
      </w:r>
      <w:r w:rsidRPr="00E738CD">
        <w:t xml:space="preserve"> </w:t>
      </w:r>
      <w:r w:rsidR="00AC657E">
        <w:t>Modesto Irrigation District</w:t>
      </w:r>
      <w:r w:rsidRPr="00E738CD">
        <w:t xml:space="preserve">, National Rural Electric Cooperative Association, PSEG Companies, </w:t>
      </w:r>
      <w:r w:rsidR="00AC657E">
        <w:t xml:space="preserve">and </w:t>
      </w:r>
      <w:r w:rsidRPr="00E738CD">
        <w:t>Wisconsin Electric Power Company</w:t>
      </w:r>
      <w:r w:rsidR="007544A2" w:rsidRPr="00E738CD">
        <w:t xml:space="preserve">.  </w:t>
      </w:r>
      <w:r w:rsidRPr="00E738CD">
        <w:t xml:space="preserve">The following entities filed </w:t>
      </w:r>
      <w:r w:rsidR="00817376">
        <w:t xml:space="preserve">motions to intervene and </w:t>
      </w:r>
      <w:r w:rsidRPr="00E738CD">
        <w:t>comments:  American Public Power Association and Public Utility District No. 1</w:t>
      </w:r>
      <w:r w:rsidR="00E8346D">
        <w:t xml:space="preserve"> </w:t>
      </w:r>
      <w:r w:rsidRPr="00E738CD">
        <w:t>of Snohomish County Washington (APPA and Snohomish)</w:t>
      </w:r>
      <w:r w:rsidR="00AC657E">
        <w:t xml:space="preserve">, </w:t>
      </w:r>
      <w:r w:rsidRPr="00E738CD">
        <w:t>American Wind Energy Association (AWEA), Electricity Consumers Resource Council</w:t>
      </w:r>
      <w:r w:rsidR="00B02D50">
        <w:t xml:space="preserve"> together with </w:t>
      </w:r>
      <w:r w:rsidRPr="00E738CD">
        <w:t>American Forest &amp; Paper Association, Council of Industrial Boiler Owners and American Fuel &amp; Petrochemical Manufacturers</w:t>
      </w:r>
      <w:r w:rsidRPr="00F016B6">
        <w:rPr>
          <w:szCs w:val="26"/>
        </w:rPr>
        <w:t xml:space="preserve"> (ELCON), Exelon Corporation (Exelon), First Wind Holdings, LLC (First Wind)</w:t>
      </w:r>
      <w:r w:rsidR="00AC657E" w:rsidRPr="00F016B6">
        <w:rPr>
          <w:szCs w:val="26"/>
        </w:rPr>
        <w:t xml:space="preserve">, </w:t>
      </w:r>
      <w:r w:rsidR="00817376" w:rsidRPr="00F016B6">
        <w:rPr>
          <w:szCs w:val="26"/>
        </w:rPr>
        <w:t xml:space="preserve">and </w:t>
      </w:r>
      <w:r w:rsidR="00AC657E" w:rsidRPr="00E738CD">
        <w:t>Transmission Access Policy Study Group (TAPS)</w:t>
      </w:r>
      <w:r w:rsidR="00AC657E">
        <w:t>.</w:t>
      </w:r>
      <w:r w:rsidR="00F016B6">
        <w:t xml:space="preserve">  Xcel Energy Services Inc. </w:t>
      </w:r>
      <w:r w:rsidR="00987EF7">
        <w:t xml:space="preserve">(Xcel Energy) </w:t>
      </w:r>
      <w:r w:rsidR="0090464D">
        <w:t xml:space="preserve">and Southern California Edison Company each </w:t>
      </w:r>
      <w:r w:rsidR="00F016B6">
        <w:t>filed motion</w:t>
      </w:r>
      <w:r w:rsidR="0090464D">
        <w:t>s</w:t>
      </w:r>
      <w:r w:rsidR="00F016B6">
        <w:t xml:space="preserve"> to intervene out-of-time.</w:t>
      </w:r>
    </w:p>
    <w:p w:rsidR="004F1145" w:rsidRDefault="003D6B75" w:rsidP="006449E2">
      <w:pPr>
        <w:pStyle w:val="FERCparanumber"/>
        <w:spacing w:before="240"/>
        <w:rPr>
          <w:szCs w:val="26"/>
        </w:rPr>
      </w:pPr>
      <w:r>
        <w:rPr>
          <w:szCs w:val="26"/>
        </w:rPr>
        <w:t>Exelon, TAPS</w:t>
      </w:r>
      <w:r w:rsidR="009127C9">
        <w:rPr>
          <w:szCs w:val="26"/>
        </w:rPr>
        <w:t xml:space="preserve">, </w:t>
      </w:r>
      <w:proofErr w:type="gramStart"/>
      <w:r w:rsidR="007544A2" w:rsidRPr="00831FCD">
        <w:rPr>
          <w:szCs w:val="26"/>
        </w:rPr>
        <w:t>APPA</w:t>
      </w:r>
      <w:proofErr w:type="gramEnd"/>
      <w:r w:rsidR="008C5E84" w:rsidRPr="00831FCD">
        <w:rPr>
          <w:szCs w:val="26"/>
        </w:rPr>
        <w:t xml:space="preserve"> and Snohomish</w:t>
      </w:r>
      <w:r w:rsidR="007544A2" w:rsidRPr="00831FCD">
        <w:rPr>
          <w:szCs w:val="26"/>
        </w:rPr>
        <w:t xml:space="preserve"> support NERC’s filing.  APPA and Snohomish </w:t>
      </w:r>
      <w:r>
        <w:rPr>
          <w:szCs w:val="26"/>
        </w:rPr>
        <w:t>state</w:t>
      </w:r>
      <w:r w:rsidR="007544A2" w:rsidRPr="00831FCD">
        <w:rPr>
          <w:szCs w:val="26"/>
        </w:rPr>
        <w:t xml:space="preserve"> that the revised </w:t>
      </w:r>
      <w:r>
        <w:rPr>
          <w:szCs w:val="26"/>
        </w:rPr>
        <w:t xml:space="preserve">bulk electric system </w:t>
      </w:r>
      <w:r w:rsidR="007544A2" w:rsidRPr="00831FCD">
        <w:rPr>
          <w:szCs w:val="26"/>
        </w:rPr>
        <w:t xml:space="preserve">definition </w:t>
      </w:r>
      <w:r w:rsidR="008C5E84" w:rsidRPr="00831FCD">
        <w:rPr>
          <w:szCs w:val="26"/>
        </w:rPr>
        <w:t>substantially</w:t>
      </w:r>
      <w:r w:rsidR="007544A2" w:rsidRPr="00831FCD">
        <w:rPr>
          <w:szCs w:val="26"/>
        </w:rPr>
        <w:t xml:space="preserve"> improves reliability by focusing on </w:t>
      </w:r>
      <w:r w:rsidR="008C5E84" w:rsidRPr="00831FCD">
        <w:rPr>
          <w:szCs w:val="26"/>
        </w:rPr>
        <w:t>core facilities that present the greatest risks of reliability failure.  TAPS states that the revisions satisfy the Commission’s directives and improve the clarity of the definition.</w:t>
      </w:r>
    </w:p>
    <w:p w:rsidR="008C5E84" w:rsidRPr="00831FCD" w:rsidRDefault="004F1145" w:rsidP="006449E2">
      <w:pPr>
        <w:pStyle w:val="FERCparanumber"/>
        <w:spacing w:before="240"/>
        <w:rPr>
          <w:szCs w:val="26"/>
        </w:rPr>
      </w:pPr>
      <w:r>
        <w:rPr>
          <w:szCs w:val="26"/>
        </w:rPr>
        <w:t xml:space="preserve">Exelon </w:t>
      </w:r>
      <w:r w:rsidR="00D47362">
        <w:rPr>
          <w:szCs w:val="26"/>
        </w:rPr>
        <w:t>expresses</w:t>
      </w:r>
      <w:r>
        <w:rPr>
          <w:szCs w:val="26"/>
        </w:rPr>
        <w:t xml:space="preserve"> support </w:t>
      </w:r>
      <w:r w:rsidR="00D47362">
        <w:rPr>
          <w:szCs w:val="26"/>
        </w:rPr>
        <w:t xml:space="preserve">for </w:t>
      </w:r>
      <w:r>
        <w:rPr>
          <w:szCs w:val="26"/>
        </w:rPr>
        <w:t xml:space="preserve">the changes to exclusions E1 </w:t>
      </w:r>
      <w:r w:rsidR="00AE47C0">
        <w:rPr>
          <w:szCs w:val="26"/>
        </w:rPr>
        <w:t>and E3</w:t>
      </w:r>
      <w:r>
        <w:rPr>
          <w:szCs w:val="26"/>
        </w:rPr>
        <w:t xml:space="preserve">.  </w:t>
      </w:r>
      <w:r w:rsidR="00AE47C0">
        <w:rPr>
          <w:szCs w:val="26"/>
        </w:rPr>
        <w:t xml:space="preserve">Exelon states the Commission should accept exclusion E1, including note 2, without any modifications.  </w:t>
      </w:r>
      <w:r>
        <w:rPr>
          <w:szCs w:val="26"/>
        </w:rPr>
        <w:t xml:space="preserve">Exelon </w:t>
      </w:r>
      <w:r w:rsidR="00216054">
        <w:rPr>
          <w:szCs w:val="26"/>
        </w:rPr>
        <w:t>references</w:t>
      </w:r>
      <w:r>
        <w:rPr>
          <w:szCs w:val="26"/>
        </w:rPr>
        <w:t xml:space="preserve"> its comments on the June 22, 2012 Not</w:t>
      </w:r>
      <w:r w:rsidR="00EF0343">
        <w:rPr>
          <w:szCs w:val="26"/>
        </w:rPr>
        <w:t>i</w:t>
      </w:r>
      <w:r>
        <w:rPr>
          <w:szCs w:val="26"/>
        </w:rPr>
        <w:t xml:space="preserve">ce of Proposed Rulemaking (NOPR) in Docket Nos. RM12-6-000 and RM12-7-000 where Exelon argued that the configuration in Figure 3 </w:t>
      </w:r>
      <w:r w:rsidR="005853D6">
        <w:rPr>
          <w:szCs w:val="26"/>
        </w:rPr>
        <w:t xml:space="preserve">of the NOPR </w:t>
      </w:r>
      <w:r>
        <w:rPr>
          <w:szCs w:val="26"/>
        </w:rPr>
        <w:t>should be treated as a radial network under exclusion E1 and explained that due to the high impedance connection between the lower voltage buses, little energy flows.</w:t>
      </w:r>
      <w:r w:rsidR="008C5E84" w:rsidRPr="00831FCD">
        <w:rPr>
          <w:szCs w:val="26"/>
        </w:rPr>
        <w:t xml:space="preserve">  </w:t>
      </w:r>
      <w:r w:rsidR="00AE47C0">
        <w:rPr>
          <w:szCs w:val="26"/>
        </w:rPr>
        <w:t xml:space="preserve">Exelon explains that NERC’s </w:t>
      </w:r>
      <w:r w:rsidR="00EA1127">
        <w:rPr>
          <w:szCs w:val="26"/>
        </w:rPr>
        <w:t>technical analysis to support note 2 of exclusion E1 consider</w:t>
      </w:r>
      <w:r w:rsidR="002B52D8">
        <w:rPr>
          <w:szCs w:val="26"/>
        </w:rPr>
        <w:t>ed</w:t>
      </w:r>
      <w:r w:rsidR="00EA1127">
        <w:rPr>
          <w:szCs w:val="26"/>
        </w:rPr>
        <w:t xml:space="preserve"> a number of factors – a range of voltages, variations of the impedance of the low voltage connection and the transmission system which account for a multitude of physical parameters such as conductor length, conductor type, system configuration and proximity of the low voltage loop to the transmission system</w:t>
      </w:r>
      <w:r w:rsidR="006A2AA0">
        <w:rPr>
          <w:szCs w:val="26"/>
        </w:rPr>
        <w:t xml:space="preserve">.  Exelon states these </w:t>
      </w:r>
      <w:r w:rsidR="005853D6">
        <w:rPr>
          <w:szCs w:val="26"/>
        </w:rPr>
        <w:t xml:space="preserve">are </w:t>
      </w:r>
      <w:r w:rsidR="00EA1127">
        <w:rPr>
          <w:szCs w:val="26"/>
        </w:rPr>
        <w:t xml:space="preserve">the </w:t>
      </w:r>
      <w:r w:rsidR="005853D6">
        <w:rPr>
          <w:szCs w:val="26"/>
        </w:rPr>
        <w:t xml:space="preserve">same </w:t>
      </w:r>
      <w:r w:rsidR="00EA1127">
        <w:rPr>
          <w:szCs w:val="26"/>
        </w:rPr>
        <w:t xml:space="preserve">factors the Commission </w:t>
      </w:r>
      <w:r w:rsidR="005853D6">
        <w:rPr>
          <w:szCs w:val="26"/>
        </w:rPr>
        <w:t xml:space="preserve">expressed concern </w:t>
      </w:r>
      <w:r w:rsidR="005853D6">
        <w:rPr>
          <w:szCs w:val="26"/>
        </w:rPr>
        <w:lastRenderedPageBreak/>
        <w:t xml:space="preserve">about </w:t>
      </w:r>
      <w:r w:rsidR="00EA1127">
        <w:rPr>
          <w:szCs w:val="26"/>
        </w:rPr>
        <w:t>in Order No. 773.</w:t>
      </w:r>
      <w:r w:rsidR="000D21F4">
        <w:rPr>
          <w:rStyle w:val="FootnoteReference"/>
        </w:rPr>
        <w:footnoteReference w:id="34"/>
      </w:r>
      <w:r w:rsidR="005853D6">
        <w:rPr>
          <w:szCs w:val="26"/>
        </w:rPr>
        <w:t xml:space="preserve"> </w:t>
      </w:r>
      <w:r w:rsidR="00622D4D">
        <w:rPr>
          <w:szCs w:val="26"/>
        </w:rPr>
        <w:t xml:space="preserve"> </w:t>
      </w:r>
      <w:r w:rsidR="005853D6">
        <w:rPr>
          <w:szCs w:val="26"/>
        </w:rPr>
        <w:t>Exelon explains that t</w:t>
      </w:r>
      <w:r w:rsidR="00622D4D">
        <w:rPr>
          <w:szCs w:val="26"/>
        </w:rPr>
        <w:t>he analysis found that</w:t>
      </w:r>
      <w:r w:rsidR="005853D6">
        <w:rPr>
          <w:szCs w:val="26"/>
        </w:rPr>
        <w:t>,</w:t>
      </w:r>
      <w:r w:rsidR="00622D4D">
        <w:rPr>
          <w:szCs w:val="26"/>
        </w:rPr>
        <w:t xml:space="preserve"> for a 12.5 kV distribution system tie</w:t>
      </w:r>
      <w:r w:rsidR="00AE47C0">
        <w:rPr>
          <w:szCs w:val="26"/>
        </w:rPr>
        <w:t xml:space="preserve">, </w:t>
      </w:r>
      <w:r w:rsidR="00110EA4">
        <w:rPr>
          <w:szCs w:val="26"/>
        </w:rPr>
        <w:t>the power flow direction was radial</w:t>
      </w:r>
      <w:r w:rsidR="00AE47C0">
        <w:rPr>
          <w:szCs w:val="26"/>
        </w:rPr>
        <w:t xml:space="preserve"> </w:t>
      </w:r>
      <w:r w:rsidR="00110EA4">
        <w:rPr>
          <w:szCs w:val="26"/>
        </w:rPr>
        <w:t xml:space="preserve">from the transmission substations to the distribution </w:t>
      </w:r>
      <w:proofErr w:type="gramStart"/>
      <w:r w:rsidR="00110EA4">
        <w:rPr>
          <w:szCs w:val="26"/>
        </w:rPr>
        <w:t>substations</w:t>
      </w:r>
      <w:proofErr w:type="gramEnd"/>
      <w:r w:rsidR="00110EA4">
        <w:rPr>
          <w:szCs w:val="26"/>
        </w:rPr>
        <w:t xml:space="preserve"> and “no flow reversal was seen in any of the contingency cases.”</w:t>
      </w:r>
      <w:r w:rsidR="000D21F4">
        <w:rPr>
          <w:rStyle w:val="FootnoteReference"/>
        </w:rPr>
        <w:footnoteReference w:id="35"/>
      </w:r>
    </w:p>
    <w:p w:rsidR="00537E29" w:rsidRPr="00AE47C0" w:rsidRDefault="008C5E84" w:rsidP="00AE47C0">
      <w:pPr>
        <w:pStyle w:val="FERCparanumber"/>
        <w:spacing w:before="240"/>
        <w:rPr>
          <w:szCs w:val="26"/>
        </w:rPr>
      </w:pPr>
      <w:r w:rsidRPr="00831FCD">
        <w:rPr>
          <w:szCs w:val="26"/>
        </w:rPr>
        <w:t xml:space="preserve">ELCON </w:t>
      </w:r>
      <w:r w:rsidR="00C97AF2" w:rsidRPr="00831FCD">
        <w:rPr>
          <w:szCs w:val="26"/>
        </w:rPr>
        <w:t xml:space="preserve">states that it </w:t>
      </w:r>
      <w:r w:rsidRPr="00831FCD">
        <w:rPr>
          <w:szCs w:val="26"/>
        </w:rPr>
        <w:t xml:space="preserve">supports NERC’s petition except for the revision to exclusion E1.  ELCON </w:t>
      </w:r>
      <w:r w:rsidR="00C97AF2" w:rsidRPr="00831FCD">
        <w:rPr>
          <w:szCs w:val="26"/>
        </w:rPr>
        <w:t xml:space="preserve">requests that the Commission remand to NERC the issue of </w:t>
      </w:r>
      <w:r w:rsidR="00134EC0" w:rsidRPr="00831FCD">
        <w:rPr>
          <w:szCs w:val="26"/>
        </w:rPr>
        <w:t>n</w:t>
      </w:r>
      <w:r w:rsidR="00C97AF2" w:rsidRPr="00831FCD">
        <w:rPr>
          <w:szCs w:val="26"/>
        </w:rPr>
        <w:t>ote 2 and direct NERC to “consider replacing its proposed 50 kV threshold with a 70 kV threshold for loops that are inside the fence of industrial or manufacturing facilities.</w:t>
      </w:r>
      <w:r w:rsidR="00134EC0" w:rsidRPr="00831FCD">
        <w:rPr>
          <w:szCs w:val="26"/>
        </w:rPr>
        <w:t>”</w:t>
      </w:r>
      <w:r w:rsidR="000D21F4">
        <w:rPr>
          <w:rStyle w:val="FootnoteReference"/>
        </w:rPr>
        <w:footnoteReference w:id="36"/>
      </w:r>
      <w:r w:rsidR="00AE47C0">
        <w:rPr>
          <w:szCs w:val="26"/>
        </w:rPr>
        <w:t xml:space="preserve">  </w:t>
      </w:r>
      <w:r w:rsidR="005B4ABB" w:rsidRPr="00AE47C0">
        <w:rPr>
          <w:szCs w:val="26"/>
        </w:rPr>
        <w:t xml:space="preserve">ELCON disagrees that the threshold is properly set at 50 kV, at least for loops that are inside the fence of industrial or manufacturing facilities.  Specifically, ELCON states that its </w:t>
      </w:r>
      <w:r w:rsidR="0039737F" w:rsidRPr="00AE47C0">
        <w:rPr>
          <w:szCs w:val="26"/>
        </w:rPr>
        <w:t>member</w:t>
      </w:r>
      <w:r w:rsidR="005B4ABB" w:rsidRPr="00AE47C0">
        <w:rPr>
          <w:szCs w:val="26"/>
        </w:rPr>
        <w:t>s commonly have “</w:t>
      </w:r>
      <w:r w:rsidR="0039737F" w:rsidRPr="00AE47C0">
        <w:rPr>
          <w:szCs w:val="26"/>
        </w:rPr>
        <w:t>looped, inside-the-fence conductors rated 69 kV and higher</w:t>
      </w:r>
      <w:r w:rsidR="005B4ABB" w:rsidRPr="00AE47C0">
        <w:rPr>
          <w:szCs w:val="26"/>
        </w:rPr>
        <w:t>,”</w:t>
      </w:r>
      <w:r w:rsidR="0039737F" w:rsidRPr="00AE47C0">
        <w:rPr>
          <w:szCs w:val="26"/>
        </w:rPr>
        <w:t xml:space="preserve"> including industrial or manufacturing facilities that do not cogenerate electricity and steam, and are not </w:t>
      </w:r>
      <w:r w:rsidR="005B4ABB" w:rsidRPr="00AE47C0">
        <w:rPr>
          <w:szCs w:val="26"/>
        </w:rPr>
        <w:t>NERC registered entities.</w:t>
      </w:r>
      <w:r w:rsidR="000D21F4">
        <w:rPr>
          <w:rStyle w:val="FootnoteReference"/>
        </w:rPr>
        <w:footnoteReference w:id="37"/>
      </w:r>
      <w:r w:rsidR="005B4ABB" w:rsidRPr="00AE47C0">
        <w:rPr>
          <w:szCs w:val="26"/>
        </w:rPr>
        <w:t xml:space="preserve">  ELCON claims that t</w:t>
      </w:r>
      <w:r w:rsidR="0039737F" w:rsidRPr="00AE47C0">
        <w:rPr>
          <w:szCs w:val="26"/>
        </w:rPr>
        <w:t xml:space="preserve">hese facilities were not designed or intended to be inside-the-fence extensions of the </w:t>
      </w:r>
      <w:r w:rsidR="005B4ABB" w:rsidRPr="00AE47C0">
        <w:rPr>
          <w:szCs w:val="26"/>
        </w:rPr>
        <w:t>interconnected transmission network</w:t>
      </w:r>
      <w:r w:rsidR="0039737F" w:rsidRPr="00AE47C0">
        <w:rPr>
          <w:szCs w:val="26"/>
        </w:rPr>
        <w:t>.</w:t>
      </w:r>
      <w:r w:rsidR="005B4ABB" w:rsidRPr="00AE47C0">
        <w:rPr>
          <w:szCs w:val="26"/>
        </w:rPr>
        <w:t xml:space="preserve">  According to ELCON, t</w:t>
      </w:r>
      <w:r w:rsidR="0039737F" w:rsidRPr="00AE47C0">
        <w:rPr>
          <w:szCs w:val="26"/>
        </w:rPr>
        <w:t>hey are retail customers with the expectation that they will receive load following services from their host public utility regardless of the direction of flows at the interconnection</w:t>
      </w:r>
      <w:r w:rsidR="00537E29" w:rsidRPr="00AE47C0">
        <w:rPr>
          <w:szCs w:val="26"/>
        </w:rPr>
        <w:t>.</w:t>
      </w:r>
      <w:r w:rsidR="005B4ABB" w:rsidRPr="00AE47C0">
        <w:rPr>
          <w:szCs w:val="26"/>
        </w:rPr>
        <w:t xml:space="preserve">  </w:t>
      </w:r>
      <w:r w:rsidR="00134EC0" w:rsidRPr="00AE47C0">
        <w:rPr>
          <w:szCs w:val="26"/>
        </w:rPr>
        <w:t>ELCON</w:t>
      </w:r>
      <w:r w:rsidR="00FA1ECB" w:rsidRPr="00AE47C0">
        <w:rPr>
          <w:szCs w:val="26"/>
        </w:rPr>
        <w:t xml:space="preserve"> states that</w:t>
      </w:r>
      <w:r w:rsidR="00134EC0" w:rsidRPr="00AE47C0">
        <w:rPr>
          <w:szCs w:val="26"/>
        </w:rPr>
        <w:t xml:space="preserve">, </w:t>
      </w:r>
      <w:r w:rsidR="00247439" w:rsidRPr="00AE47C0">
        <w:rPr>
          <w:szCs w:val="26"/>
        </w:rPr>
        <w:t xml:space="preserve">absent </w:t>
      </w:r>
      <w:r w:rsidR="00134EC0" w:rsidRPr="00AE47C0">
        <w:rPr>
          <w:szCs w:val="26"/>
        </w:rPr>
        <w:t xml:space="preserve">a </w:t>
      </w:r>
      <w:r w:rsidR="00247439" w:rsidRPr="00AE47C0">
        <w:rPr>
          <w:szCs w:val="26"/>
        </w:rPr>
        <w:t>change to NERC’s proposal, the</w:t>
      </w:r>
      <w:r w:rsidR="00134EC0" w:rsidRPr="00AE47C0">
        <w:rPr>
          <w:szCs w:val="26"/>
        </w:rPr>
        <w:t xml:space="preserve">se facilities </w:t>
      </w:r>
      <w:r w:rsidR="00247439" w:rsidRPr="00AE47C0">
        <w:rPr>
          <w:szCs w:val="26"/>
        </w:rPr>
        <w:t>could be brought under the</w:t>
      </w:r>
      <w:r w:rsidR="00134EC0" w:rsidRPr="00AE47C0">
        <w:rPr>
          <w:szCs w:val="26"/>
        </w:rPr>
        <w:t xml:space="preserve"> </w:t>
      </w:r>
      <w:r w:rsidR="00247439" w:rsidRPr="00AE47C0">
        <w:rPr>
          <w:szCs w:val="26"/>
        </w:rPr>
        <w:t>revised definition contrary to reliability needs and to their expectations as retail</w:t>
      </w:r>
      <w:r w:rsidR="00731D33" w:rsidRPr="00AE47C0">
        <w:rPr>
          <w:szCs w:val="26"/>
        </w:rPr>
        <w:t xml:space="preserve"> </w:t>
      </w:r>
      <w:r w:rsidR="00247439" w:rsidRPr="00AE47C0">
        <w:rPr>
          <w:szCs w:val="26"/>
        </w:rPr>
        <w:t>customers.</w:t>
      </w:r>
    </w:p>
    <w:p w:rsidR="00537E29" w:rsidRPr="00831FCD" w:rsidRDefault="005B4ABB" w:rsidP="00731D33">
      <w:pPr>
        <w:pStyle w:val="FERCparanumber"/>
        <w:spacing w:before="240"/>
        <w:rPr>
          <w:szCs w:val="26"/>
        </w:rPr>
      </w:pPr>
      <w:r>
        <w:rPr>
          <w:szCs w:val="26"/>
        </w:rPr>
        <w:t xml:space="preserve">In addition, </w:t>
      </w:r>
      <w:r w:rsidR="00134EC0" w:rsidRPr="00831FCD">
        <w:rPr>
          <w:szCs w:val="26"/>
        </w:rPr>
        <w:t xml:space="preserve">ELCON argues that </w:t>
      </w:r>
      <w:r w:rsidR="00C97AF2" w:rsidRPr="00831FCD">
        <w:rPr>
          <w:szCs w:val="26"/>
        </w:rPr>
        <w:t>NERC has not properly determined</w:t>
      </w:r>
      <w:r w:rsidR="00731D33" w:rsidRPr="00831FCD">
        <w:rPr>
          <w:szCs w:val="26"/>
        </w:rPr>
        <w:t xml:space="preserve"> </w:t>
      </w:r>
      <w:r w:rsidR="00C97AF2" w:rsidRPr="00831FCD">
        <w:rPr>
          <w:szCs w:val="26"/>
        </w:rPr>
        <w:t>that 50 kV</w:t>
      </w:r>
      <w:r w:rsidR="005648BA">
        <w:rPr>
          <w:szCs w:val="26"/>
        </w:rPr>
        <w:t xml:space="preserve">   </w:t>
      </w:r>
      <w:r w:rsidR="00C97AF2" w:rsidRPr="00831FCD">
        <w:rPr>
          <w:szCs w:val="26"/>
        </w:rPr>
        <w:t xml:space="preserve"> is the maximum threshold that would allow for reliability of the</w:t>
      </w:r>
      <w:r w:rsidR="00731D33" w:rsidRPr="00831FCD">
        <w:rPr>
          <w:szCs w:val="26"/>
        </w:rPr>
        <w:t xml:space="preserve"> </w:t>
      </w:r>
      <w:r w:rsidR="00C97AF2" w:rsidRPr="00831FCD">
        <w:rPr>
          <w:szCs w:val="26"/>
        </w:rPr>
        <w:t>interconnected transmission network or that a 70 kV threshold would not allow for</w:t>
      </w:r>
      <w:r w:rsidR="00731D33" w:rsidRPr="00831FCD">
        <w:rPr>
          <w:szCs w:val="26"/>
        </w:rPr>
        <w:t xml:space="preserve"> </w:t>
      </w:r>
      <w:r w:rsidR="00134EC0" w:rsidRPr="00831FCD">
        <w:rPr>
          <w:szCs w:val="26"/>
        </w:rPr>
        <w:t xml:space="preserve">such reliability.  </w:t>
      </w:r>
      <w:r>
        <w:rPr>
          <w:szCs w:val="26"/>
        </w:rPr>
        <w:t>According to ELCON, t</w:t>
      </w:r>
      <w:r w:rsidR="0039737F" w:rsidRPr="00831FCD">
        <w:rPr>
          <w:szCs w:val="26"/>
        </w:rPr>
        <w:t xml:space="preserve">he data presented </w:t>
      </w:r>
      <w:r>
        <w:rPr>
          <w:szCs w:val="26"/>
        </w:rPr>
        <w:t>in NERC</w:t>
      </w:r>
      <w:r w:rsidR="00E8346D">
        <w:rPr>
          <w:szCs w:val="26"/>
        </w:rPr>
        <w:t>’</w:t>
      </w:r>
      <w:r>
        <w:rPr>
          <w:szCs w:val="26"/>
        </w:rPr>
        <w:t xml:space="preserve">s technical </w:t>
      </w:r>
      <w:r w:rsidR="00AE47C0">
        <w:rPr>
          <w:szCs w:val="26"/>
        </w:rPr>
        <w:t>analysis</w:t>
      </w:r>
      <w:r w:rsidR="0039737F" w:rsidRPr="00831FCD">
        <w:rPr>
          <w:szCs w:val="26"/>
        </w:rPr>
        <w:t xml:space="preserve"> show that a </w:t>
      </w:r>
      <w:r w:rsidR="005648BA">
        <w:rPr>
          <w:szCs w:val="26"/>
        </w:rPr>
        <w:t xml:space="preserve">      </w:t>
      </w:r>
      <w:r w:rsidR="0039737F" w:rsidRPr="00831FCD">
        <w:rPr>
          <w:szCs w:val="26"/>
        </w:rPr>
        <w:t xml:space="preserve">70 kV threshold would not pose significant reliability </w:t>
      </w:r>
      <w:r>
        <w:rPr>
          <w:szCs w:val="26"/>
        </w:rPr>
        <w:t xml:space="preserve">risk and </w:t>
      </w:r>
      <w:r w:rsidR="006A2AA0">
        <w:rPr>
          <w:szCs w:val="26"/>
        </w:rPr>
        <w:t>also support</w:t>
      </w:r>
      <w:r w:rsidR="0039737F" w:rsidRPr="00831FCD">
        <w:rPr>
          <w:szCs w:val="26"/>
        </w:rPr>
        <w:t xml:space="preserve"> a 70</w:t>
      </w:r>
      <w:r w:rsidR="005648BA">
        <w:rPr>
          <w:szCs w:val="26"/>
        </w:rPr>
        <w:t xml:space="preserve"> </w:t>
      </w:r>
      <w:r w:rsidR="0039737F" w:rsidRPr="00831FCD">
        <w:rPr>
          <w:szCs w:val="26"/>
        </w:rPr>
        <w:t xml:space="preserve">kV threshold, as only a very small percentage of elements at voltages below that level have been deemed to raise a potential reliability issue that warrants monitoring.  </w:t>
      </w:r>
      <w:r w:rsidR="00134EC0" w:rsidRPr="00831FCD">
        <w:rPr>
          <w:szCs w:val="26"/>
        </w:rPr>
        <w:t xml:space="preserve">ELCON states that the 50 kV </w:t>
      </w:r>
      <w:proofErr w:type="gramStart"/>
      <w:r w:rsidR="00134EC0" w:rsidRPr="00831FCD">
        <w:rPr>
          <w:szCs w:val="26"/>
        </w:rPr>
        <w:t>threshold</w:t>
      </w:r>
      <w:proofErr w:type="gramEnd"/>
      <w:r w:rsidR="00134EC0" w:rsidRPr="00831FCD">
        <w:rPr>
          <w:szCs w:val="26"/>
        </w:rPr>
        <w:t xml:space="preserve"> </w:t>
      </w:r>
      <w:r w:rsidR="00C97AF2" w:rsidRPr="00831FCD">
        <w:rPr>
          <w:szCs w:val="26"/>
        </w:rPr>
        <w:t>would</w:t>
      </w:r>
      <w:r w:rsidR="00731D33" w:rsidRPr="00831FCD">
        <w:rPr>
          <w:szCs w:val="26"/>
        </w:rPr>
        <w:t xml:space="preserve"> </w:t>
      </w:r>
      <w:r w:rsidR="00C97AF2" w:rsidRPr="00831FCD">
        <w:rPr>
          <w:szCs w:val="26"/>
        </w:rPr>
        <w:t>needlessly sweep many more industrial facilities than would be appropriate into the</w:t>
      </w:r>
      <w:r w:rsidR="00731D33" w:rsidRPr="00831FCD">
        <w:rPr>
          <w:szCs w:val="26"/>
        </w:rPr>
        <w:t xml:space="preserve"> </w:t>
      </w:r>
      <w:r w:rsidR="00134EC0" w:rsidRPr="00831FCD">
        <w:rPr>
          <w:szCs w:val="26"/>
        </w:rPr>
        <w:t>exception p</w:t>
      </w:r>
      <w:r w:rsidR="00C97AF2" w:rsidRPr="00831FCD">
        <w:rPr>
          <w:szCs w:val="26"/>
        </w:rPr>
        <w:t>roc</w:t>
      </w:r>
      <w:r w:rsidR="00537E29" w:rsidRPr="00831FCD">
        <w:rPr>
          <w:szCs w:val="26"/>
        </w:rPr>
        <w:t>ess</w:t>
      </w:r>
      <w:r>
        <w:rPr>
          <w:szCs w:val="26"/>
        </w:rPr>
        <w:t>.</w:t>
      </w:r>
      <w:r w:rsidR="00731D33" w:rsidRPr="00831FCD">
        <w:rPr>
          <w:szCs w:val="26"/>
        </w:rPr>
        <w:t xml:space="preserve"> </w:t>
      </w:r>
    </w:p>
    <w:p w:rsidR="00537E29" w:rsidRPr="00CA2513" w:rsidRDefault="005B4ABB" w:rsidP="00CA2513">
      <w:pPr>
        <w:pStyle w:val="FERCparanumber"/>
        <w:spacing w:before="240"/>
        <w:rPr>
          <w:szCs w:val="26"/>
        </w:rPr>
      </w:pPr>
      <w:r>
        <w:rPr>
          <w:szCs w:val="26"/>
        </w:rPr>
        <w:t xml:space="preserve">ELCON </w:t>
      </w:r>
      <w:r w:rsidR="00CA2513">
        <w:rPr>
          <w:szCs w:val="26"/>
        </w:rPr>
        <w:t xml:space="preserve">argues </w:t>
      </w:r>
      <w:r>
        <w:rPr>
          <w:szCs w:val="26"/>
        </w:rPr>
        <w:t>that</w:t>
      </w:r>
      <w:r w:rsidR="00CA2513">
        <w:rPr>
          <w:szCs w:val="26"/>
        </w:rPr>
        <w:t xml:space="preserve"> </w:t>
      </w:r>
      <w:r>
        <w:rPr>
          <w:szCs w:val="26"/>
        </w:rPr>
        <w:t>a</w:t>
      </w:r>
      <w:r w:rsidR="00247439" w:rsidRPr="00831FCD">
        <w:rPr>
          <w:szCs w:val="26"/>
        </w:rPr>
        <w:t xml:space="preserve"> more balanced</w:t>
      </w:r>
      <w:r w:rsidR="00CA2513">
        <w:rPr>
          <w:szCs w:val="26"/>
        </w:rPr>
        <w:t xml:space="preserve"> </w:t>
      </w:r>
      <w:r w:rsidR="00247439" w:rsidRPr="00831FCD">
        <w:rPr>
          <w:szCs w:val="26"/>
        </w:rPr>
        <w:t xml:space="preserve">and risk-based assessment of </w:t>
      </w:r>
      <w:r w:rsidR="00CA2513">
        <w:rPr>
          <w:szCs w:val="26"/>
        </w:rPr>
        <w:t xml:space="preserve">the </w:t>
      </w:r>
      <w:r w:rsidR="00247439" w:rsidRPr="00831FCD">
        <w:rPr>
          <w:szCs w:val="26"/>
        </w:rPr>
        <w:t xml:space="preserve">findings </w:t>
      </w:r>
      <w:r w:rsidR="00CA2513">
        <w:rPr>
          <w:szCs w:val="26"/>
        </w:rPr>
        <w:t xml:space="preserve">in the report </w:t>
      </w:r>
      <w:r w:rsidR="00247439" w:rsidRPr="00831FCD">
        <w:rPr>
          <w:szCs w:val="26"/>
        </w:rPr>
        <w:t>would be</w:t>
      </w:r>
      <w:r w:rsidR="00731D33" w:rsidRPr="00831FCD">
        <w:rPr>
          <w:szCs w:val="26"/>
        </w:rPr>
        <w:t xml:space="preserve"> </w:t>
      </w:r>
      <w:r w:rsidR="00247439" w:rsidRPr="00831FCD">
        <w:rPr>
          <w:szCs w:val="26"/>
        </w:rPr>
        <w:t xml:space="preserve">that, at loop voltages of less than 70 kV, NERC identified the </w:t>
      </w:r>
      <w:r w:rsidR="00247439" w:rsidRPr="00831FCD">
        <w:rPr>
          <w:szCs w:val="26"/>
        </w:rPr>
        <w:lastRenderedPageBreak/>
        <w:t>potential for a small</w:t>
      </w:r>
      <w:r w:rsidR="00731D33" w:rsidRPr="00831FCD">
        <w:rPr>
          <w:szCs w:val="26"/>
        </w:rPr>
        <w:t xml:space="preserve"> </w:t>
      </w:r>
      <w:r w:rsidR="00247439" w:rsidRPr="00831FCD">
        <w:rPr>
          <w:szCs w:val="26"/>
        </w:rPr>
        <w:t xml:space="preserve">amount of </w:t>
      </w:r>
      <w:r w:rsidR="00CA2513">
        <w:rPr>
          <w:szCs w:val="26"/>
        </w:rPr>
        <w:t>“</w:t>
      </w:r>
      <w:r w:rsidR="00247439" w:rsidRPr="00831FCD">
        <w:rPr>
          <w:szCs w:val="26"/>
        </w:rPr>
        <w:t>power flow reversal only under this configuration that would not be</w:t>
      </w:r>
      <w:r w:rsidR="00731D33" w:rsidRPr="00831FCD">
        <w:rPr>
          <w:szCs w:val="26"/>
        </w:rPr>
        <w:t xml:space="preserve"> </w:t>
      </w:r>
      <w:r w:rsidR="00247439" w:rsidRPr="00831FCD">
        <w:rPr>
          <w:szCs w:val="26"/>
        </w:rPr>
        <w:t>conceivable inside the f</w:t>
      </w:r>
      <w:r w:rsidR="0039737F" w:rsidRPr="00831FCD">
        <w:rPr>
          <w:szCs w:val="26"/>
        </w:rPr>
        <w:t>ence of an industrial facility</w:t>
      </w:r>
      <w:r w:rsidR="000D21F4">
        <w:rPr>
          <w:szCs w:val="26"/>
        </w:rPr>
        <w:t>…</w:t>
      </w:r>
      <w:r w:rsidR="0039737F" w:rsidRPr="00831FCD">
        <w:rPr>
          <w:szCs w:val="26"/>
        </w:rPr>
        <w:t>.</w:t>
      </w:r>
      <w:r w:rsidR="00CA2513">
        <w:rPr>
          <w:szCs w:val="26"/>
        </w:rPr>
        <w:t>”</w:t>
      </w:r>
      <w:r w:rsidR="00CA2513">
        <w:rPr>
          <w:rStyle w:val="FootnoteReference"/>
        </w:rPr>
        <w:footnoteReference w:id="38"/>
      </w:r>
      <w:r w:rsidR="0039737F" w:rsidRPr="00831FCD">
        <w:rPr>
          <w:szCs w:val="26"/>
        </w:rPr>
        <w:t xml:space="preserve">  </w:t>
      </w:r>
      <w:r>
        <w:rPr>
          <w:szCs w:val="26"/>
        </w:rPr>
        <w:t>According to ELCON, t</w:t>
      </w:r>
      <w:r w:rsidR="00247439" w:rsidRPr="00831FCD">
        <w:rPr>
          <w:szCs w:val="26"/>
        </w:rPr>
        <w:t>he simulations confirm the</w:t>
      </w:r>
      <w:r w:rsidR="00731D33" w:rsidRPr="00831FCD">
        <w:rPr>
          <w:szCs w:val="26"/>
        </w:rPr>
        <w:t xml:space="preserve"> </w:t>
      </w:r>
      <w:r w:rsidR="00247439" w:rsidRPr="00831FCD">
        <w:rPr>
          <w:szCs w:val="26"/>
        </w:rPr>
        <w:t>practice</w:t>
      </w:r>
      <w:r w:rsidR="00525C4E">
        <w:rPr>
          <w:szCs w:val="26"/>
        </w:rPr>
        <w:t xml:space="preserve"> </w:t>
      </w:r>
      <w:r w:rsidR="00247439" w:rsidRPr="00831FCD">
        <w:rPr>
          <w:szCs w:val="26"/>
        </w:rPr>
        <w:t xml:space="preserve">that the </w:t>
      </w:r>
      <w:r w:rsidR="00FA1ECB">
        <w:rPr>
          <w:szCs w:val="26"/>
        </w:rPr>
        <w:t>r</w:t>
      </w:r>
      <w:r w:rsidR="00247439" w:rsidRPr="00831FCD">
        <w:rPr>
          <w:szCs w:val="26"/>
        </w:rPr>
        <w:t xml:space="preserve">egional </w:t>
      </w:r>
      <w:r w:rsidR="00FA1ECB">
        <w:rPr>
          <w:szCs w:val="26"/>
        </w:rPr>
        <w:t>e</w:t>
      </w:r>
      <w:r w:rsidR="00247439" w:rsidRPr="00831FCD">
        <w:rPr>
          <w:szCs w:val="26"/>
        </w:rPr>
        <w:t>ntities have found it necessary to monitor less</w:t>
      </w:r>
      <w:r w:rsidR="00731D33" w:rsidRPr="00831FCD">
        <w:rPr>
          <w:szCs w:val="26"/>
        </w:rPr>
        <w:t xml:space="preserve"> </w:t>
      </w:r>
      <w:r w:rsidR="00247439" w:rsidRPr="00831FCD">
        <w:rPr>
          <w:szCs w:val="26"/>
        </w:rPr>
        <w:t>than 70 kV el</w:t>
      </w:r>
      <w:r w:rsidR="00525C4E">
        <w:rPr>
          <w:szCs w:val="26"/>
        </w:rPr>
        <w:t>ements only in rare</w:t>
      </w:r>
      <w:r w:rsidR="00247439" w:rsidRPr="00831FCD">
        <w:rPr>
          <w:szCs w:val="26"/>
        </w:rPr>
        <w:t xml:space="preserve"> cases.</w:t>
      </w:r>
      <w:r w:rsidR="00CA2513">
        <w:rPr>
          <w:szCs w:val="26"/>
        </w:rPr>
        <w:t xml:space="preserve">  </w:t>
      </w:r>
      <w:r w:rsidRPr="00CA2513">
        <w:rPr>
          <w:szCs w:val="26"/>
        </w:rPr>
        <w:t>ELCON also states that a</w:t>
      </w:r>
      <w:r w:rsidR="00247439" w:rsidRPr="00CA2513">
        <w:rPr>
          <w:szCs w:val="26"/>
        </w:rPr>
        <w:t xml:space="preserve"> 70 kV threshold would substantially ease the administrative burden on a</w:t>
      </w:r>
      <w:r w:rsidR="00731D33" w:rsidRPr="00CA2513">
        <w:rPr>
          <w:szCs w:val="26"/>
        </w:rPr>
        <w:t xml:space="preserve"> </w:t>
      </w:r>
      <w:r w:rsidR="00247439" w:rsidRPr="00CA2513">
        <w:rPr>
          <w:szCs w:val="26"/>
        </w:rPr>
        <w:t>number of ent</w:t>
      </w:r>
      <w:r w:rsidRPr="00CA2513">
        <w:rPr>
          <w:szCs w:val="26"/>
        </w:rPr>
        <w:t xml:space="preserve">ities seeking to qualify for </w:t>
      </w:r>
      <w:proofErr w:type="gramStart"/>
      <w:r w:rsidRPr="00CA2513">
        <w:rPr>
          <w:szCs w:val="26"/>
        </w:rPr>
        <w:t>an exclusion</w:t>
      </w:r>
      <w:proofErr w:type="gramEnd"/>
      <w:r w:rsidRPr="00CA2513">
        <w:rPr>
          <w:szCs w:val="26"/>
        </w:rPr>
        <w:t>.  ELCON contends that, i</w:t>
      </w:r>
      <w:r w:rsidR="00247439" w:rsidRPr="00CA2513">
        <w:rPr>
          <w:szCs w:val="26"/>
        </w:rPr>
        <w:t xml:space="preserve">f the </w:t>
      </w:r>
      <w:r w:rsidRPr="00CA2513">
        <w:rPr>
          <w:szCs w:val="26"/>
        </w:rPr>
        <w:t>e</w:t>
      </w:r>
      <w:r w:rsidR="00247439" w:rsidRPr="00CA2513">
        <w:rPr>
          <w:szCs w:val="26"/>
        </w:rPr>
        <w:t>xclusion does not fully</w:t>
      </w:r>
      <w:r w:rsidR="00731D33" w:rsidRPr="00CA2513">
        <w:rPr>
          <w:szCs w:val="26"/>
        </w:rPr>
        <w:t xml:space="preserve"> </w:t>
      </w:r>
      <w:r w:rsidR="00247439" w:rsidRPr="00CA2513">
        <w:rPr>
          <w:szCs w:val="26"/>
        </w:rPr>
        <w:t>capture the impact of a particular situation, NERC and the regional entities could utilize</w:t>
      </w:r>
      <w:r w:rsidR="00731D33" w:rsidRPr="00CA2513">
        <w:rPr>
          <w:szCs w:val="26"/>
        </w:rPr>
        <w:t xml:space="preserve"> </w:t>
      </w:r>
      <w:r w:rsidR="00247439" w:rsidRPr="00CA2513">
        <w:rPr>
          <w:szCs w:val="26"/>
        </w:rPr>
        <w:t>the exception</w:t>
      </w:r>
      <w:r w:rsidRPr="00CA2513">
        <w:rPr>
          <w:szCs w:val="26"/>
        </w:rPr>
        <w:t xml:space="preserve"> process seeking its inclusion.  ELCON </w:t>
      </w:r>
      <w:r w:rsidR="00525C4E" w:rsidRPr="00CA2513">
        <w:rPr>
          <w:szCs w:val="26"/>
        </w:rPr>
        <w:t xml:space="preserve">adds </w:t>
      </w:r>
      <w:r w:rsidRPr="00CA2513">
        <w:rPr>
          <w:szCs w:val="26"/>
        </w:rPr>
        <w:t>that</w:t>
      </w:r>
      <w:r w:rsidR="00731D33" w:rsidRPr="00CA2513">
        <w:rPr>
          <w:szCs w:val="26"/>
        </w:rPr>
        <w:t xml:space="preserve"> </w:t>
      </w:r>
      <w:r w:rsidR="00247439" w:rsidRPr="00CA2513">
        <w:rPr>
          <w:szCs w:val="26"/>
        </w:rPr>
        <w:t>NERC ignored the proper funct</w:t>
      </w:r>
      <w:r w:rsidRPr="00CA2513">
        <w:rPr>
          <w:szCs w:val="26"/>
        </w:rPr>
        <w:t xml:space="preserve">ioning of the exception process. </w:t>
      </w:r>
    </w:p>
    <w:p w:rsidR="00F215B5" w:rsidRPr="00831FCD" w:rsidRDefault="0006707A" w:rsidP="00537E29">
      <w:pPr>
        <w:pStyle w:val="FERCparanumber"/>
        <w:spacing w:before="240"/>
        <w:rPr>
          <w:szCs w:val="26"/>
        </w:rPr>
      </w:pPr>
      <w:r w:rsidRPr="00831FCD">
        <w:rPr>
          <w:szCs w:val="26"/>
        </w:rPr>
        <w:t xml:space="preserve">AWEA </w:t>
      </w:r>
      <w:r w:rsidR="0039737F" w:rsidRPr="00831FCD">
        <w:rPr>
          <w:szCs w:val="26"/>
        </w:rPr>
        <w:t xml:space="preserve">urges the Commission to </w:t>
      </w:r>
      <w:r w:rsidRPr="00831FCD">
        <w:rPr>
          <w:szCs w:val="26"/>
        </w:rPr>
        <w:t xml:space="preserve">clarify </w:t>
      </w:r>
      <w:r w:rsidR="0039737F" w:rsidRPr="00831FCD">
        <w:rPr>
          <w:szCs w:val="26"/>
        </w:rPr>
        <w:t>that i</w:t>
      </w:r>
      <w:r w:rsidRPr="00831FCD">
        <w:rPr>
          <w:szCs w:val="26"/>
        </w:rPr>
        <w:t>nclusion I4 does not include individual dispersed generators, but</w:t>
      </w:r>
      <w:r w:rsidR="00731D33" w:rsidRPr="00831FCD">
        <w:rPr>
          <w:szCs w:val="26"/>
        </w:rPr>
        <w:t xml:space="preserve"> </w:t>
      </w:r>
      <w:r w:rsidRPr="00831FCD">
        <w:rPr>
          <w:szCs w:val="26"/>
        </w:rPr>
        <w:t>rather only applies to components of the dispersed generation facility that aggregate more than</w:t>
      </w:r>
      <w:r w:rsidR="00731D33" w:rsidRPr="00831FCD">
        <w:rPr>
          <w:szCs w:val="26"/>
        </w:rPr>
        <w:t xml:space="preserve"> </w:t>
      </w:r>
      <w:r w:rsidRPr="00831FCD">
        <w:rPr>
          <w:szCs w:val="26"/>
        </w:rPr>
        <w:t>75 MVA of nameplate capacity</w:t>
      </w:r>
      <w:r w:rsidR="0039737F" w:rsidRPr="00831FCD">
        <w:rPr>
          <w:szCs w:val="26"/>
        </w:rPr>
        <w:t xml:space="preserve">.  AWEA claims that this </w:t>
      </w:r>
      <w:r w:rsidRPr="00831FCD">
        <w:rPr>
          <w:szCs w:val="26"/>
        </w:rPr>
        <w:t>could be achieved</w:t>
      </w:r>
      <w:r w:rsidR="00731D33" w:rsidRPr="00831FCD">
        <w:rPr>
          <w:szCs w:val="26"/>
        </w:rPr>
        <w:t xml:space="preserve"> </w:t>
      </w:r>
      <w:r w:rsidRPr="00831FCD">
        <w:rPr>
          <w:szCs w:val="26"/>
        </w:rPr>
        <w:t xml:space="preserve">by removing the words “the individual resources” from </w:t>
      </w:r>
      <w:r w:rsidR="00BB0D1D">
        <w:rPr>
          <w:szCs w:val="26"/>
        </w:rPr>
        <w:t>i</w:t>
      </w:r>
      <w:r w:rsidRPr="00831FCD">
        <w:rPr>
          <w:szCs w:val="26"/>
        </w:rPr>
        <w:t xml:space="preserve">nclusion </w:t>
      </w:r>
      <w:r w:rsidR="00BB0D1D">
        <w:rPr>
          <w:szCs w:val="26"/>
        </w:rPr>
        <w:t>I</w:t>
      </w:r>
      <w:r w:rsidRPr="00831FCD">
        <w:rPr>
          <w:szCs w:val="26"/>
        </w:rPr>
        <w:t>4, sub-bullet “a.”</w:t>
      </w:r>
      <w:r w:rsidR="0039737F" w:rsidRPr="00831FCD">
        <w:rPr>
          <w:szCs w:val="26"/>
        </w:rPr>
        <w:t xml:space="preserve">  AWEA contends that this </w:t>
      </w:r>
      <w:r w:rsidR="00F215B5" w:rsidRPr="00831FCD">
        <w:rPr>
          <w:szCs w:val="26"/>
        </w:rPr>
        <w:t>would be</w:t>
      </w:r>
      <w:r w:rsidR="00731D33" w:rsidRPr="00831FCD">
        <w:rPr>
          <w:szCs w:val="26"/>
        </w:rPr>
        <w:t xml:space="preserve"> </w:t>
      </w:r>
      <w:r w:rsidR="00BB0D1D">
        <w:rPr>
          <w:szCs w:val="26"/>
        </w:rPr>
        <w:t xml:space="preserve">consistent with the NERC’s </w:t>
      </w:r>
      <w:r w:rsidR="00F215B5" w:rsidRPr="00831FCD">
        <w:rPr>
          <w:szCs w:val="26"/>
        </w:rPr>
        <w:t>reasoning that dispersed generation</w:t>
      </w:r>
      <w:r w:rsidR="00731D33" w:rsidRPr="00831FCD">
        <w:rPr>
          <w:szCs w:val="26"/>
        </w:rPr>
        <w:t xml:space="preserve"> </w:t>
      </w:r>
      <w:r w:rsidR="00F215B5" w:rsidRPr="00831FCD">
        <w:rPr>
          <w:szCs w:val="26"/>
        </w:rPr>
        <w:t>collector facilities that aggregate less than 75 MVA should not be included because they do not</w:t>
      </w:r>
      <w:r w:rsidR="00731D33" w:rsidRPr="00831FCD">
        <w:rPr>
          <w:szCs w:val="26"/>
        </w:rPr>
        <w:t xml:space="preserve"> </w:t>
      </w:r>
      <w:r w:rsidR="00F215B5" w:rsidRPr="00831FCD">
        <w:rPr>
          <w:szCs w:val="26"/>
        </w:rPr>
        <w:t>“consistently provide a reliability benefit to the interconnected transmission network.”</w:t>
      </w:r>
      <w:r w:rsidR="00767B7E">
        <w:rPr>
          <w:rStyle w:val="FootnoteReference"/>
        </w:rPr>
        <w:footnoteReference w:id="39"/>
      </w:r>
      <w:r w:rsidR="00F215B5" w:rsidRPr="00831FCD">
        <w:rPr>
          <w:szCs w:val="26"/>
        </w:rPr>
        <w:t xml:space="preserve"> </w:t>
      </w:r>
    </w:p>
    <w:p w:rsidR="00537E29" w:rsidRPr="00831FCD" w:rsidRDefault="00C66A6C" w:rsidP="00731D33">
      <w:pPr>
        <w:pStyle w:val="FERCparanumber"/>
        <w:rPr>
          <w:szCs w:val="26"/>
        </w:rPr>
      </w:pPr>
      <w:r>
        <w:rPr>
          <w:szCs w:val="26"/>
        </w:rPr>
        <w:t xml:space="preserve">Alternatively, </w:t>
      </w:r>
      <w:r w:rsidR="0039737F" w:rsidRPr="00831FCD">
        <w:rPr>
          <w:szCs w:val="26"/>
        </w:rPr>
        <w:t xml:space="preserve">AWEA </w:t>
      </w:r>
      <w:r w:rsidR="00F215B5" w:rsidRPr="00831FCD">
        <w:rPr>
          <w:szCs w:val="26"/>
        </w:rPr>
        <w:t>request</w:t>
      </w:r>
      <w:r w:rsidR="0039737F" w:rsidRPr="00831FCD">
        <w:rPr>
          <w:szCs w:val="26"/>
        </w:rPr>
        <w:t>s</w:t>
      </w:r>
      <w:r w:rsidR="00F215B5" w:rsidRPr="00831FCD">
        <w:rPr>
          <w:szCs w:val="26"/>
        </w:rPr>
        <w:t xml:space="preserve"> that the Commission remove sub-bullet “a”</w:t>
      </w:r>
      <w:r w:rsidR="00731D33" w:rsidRPr="00831FCD">
        <w:rPr>
          <w:szCs w:val="26"/>
        </w:rPr>
        <w:t xml:space="preserve"> </w:t>
      </w:r>
      <w:r w:rsidR="0039737F" w:rsidRPr="00831FCD">
        <w:rPr>
          <w:szCs w:val="26"/>
        </w:rPr>
        <w:t>from i</w:t>
      </w:r>
      <w:r w:rsidR="00F215B5" w:rsidRPr="00831FCD">
        <w:rPr>
          <w:szCs w:val="26"/>
        </w:rPr>
        <w:t>nclusion I4 and convene a technical conference to discuss the reliability and cost</w:t>
      </w:r>
      <w:r w:rsidR="00731D33" w:rsidRPr="00831FCD">
        <w:rPr>
          <w:szCs w:val="26"/>
        </w:rPr>
        <w:t xml:space="preserve"> </w:t>
      </w:r>
      <w:r w:rsidR="00F215B5" w:rsidRPr="00831FCD">
        <w:rPr>
          <w:szCs w:val="26"/>
        </w:rPr>
        <w:t xml:space="preserve">implications of including or not including individual dispersed generators in the </w:t>
      </w:r>
      <w:r w:rsidR="0039737F" w:rsidRPr="00831FCD">
        <w:rPr>
          <w:szCs w:val="26"/>
        </w:rPr>
        <w:t>bulk electric system</w:t>
      </w:r>
      <w:r w:rsidR="00F215B5" w:rsidRPr="00831FCD">
        <w:rPr>
          <w:szCs w:val="26"/>
        </w:rPr>
        <w:t>.</w:t>
      </w:r>
      <w:r w:rsidR="00731D33" w:rsidRPr="00831FCD">
        <w:rPr>
          <w:szCs w:val="26"/>
        </w:rPr>
        <w:t xml:space="preserve">  </w:t>
      </w:r>
      <w:r w:rsidR="0039737F" w:rsidRPr="00831FCD">
        <w:rPr>
          <w:szCs w:val="26"/>
        </w:rPr>
        <w:t xml:space="preserve">AWEA </w:t>
      </w:r>
      <w:r>
        <w:rPr>
          <w:szCs w:val="26"/>
        </w:rPr>
        <w:t>states that</w:t>
      </w:r>
      <w:r w:rsidR="0039737F" w:rsidRPr="00831FCD">
        <w:rPr>
          <w:szCs w:val="26"/>
        </w:rPr>
        <w:t xml:space="preserve">, at a minimum, </w:t>
      </w:r>
      <w:r w:rsidR="00B87659" w:rsidRPr="00831FCD">
        <w:rPr>
          <w:szCs w:val="26"/>
        </w:rPr>
        <w:t xml:space="preserve">the Commission </w:t>
      </w:r>
      <w:r>
        <w:rPr>
          <w:szCs w:val="26"/>
        </w:rPr>
        <w:t xml:space="preserve">should </w:t>
      </w:r>
      <w:r w:rsidR="00B87659" w:rsidRPr="00831FCD">
        <w:rPr>
          <w:szCs w:val="26"/>
        </w:rPr>
        <w:t>interpret that</w:t>
      </w:r>
      <w:r w:rsidR="00BB0D1D">
        <w:rPr>
          <w:szCs w:val="26"/>
        </w:rPr>
        <w:t xml:space="preserve"> </w:t>
      </w:r>
      <w:r w:rsidR="00B87659" w:rsidRPr="00831FCD">
        <w:rPr>
          <w:szCs w:val="26"/>
        </w:rPr>
        <w:t>i</w:t>
      </w:r>
      <w:r w:rsidR="00F215B5" w:rsidRPr="00831FCD">
        <w:rPr>
          <w:szCs w:val="26"/>
        </w:rPr>
        <w:t>nclusion I4 does not require all</w:t>
      </w:r>
      <w:r w:rsidR="00731D33" w:rsidRPr="00831FCD">
        <w:rPr>
          <w:szCs w:val="26"/>
        </w:rPr>
        <w:t xml:space="preserve"> </w:t>
      </w:r>
      <w:r w:rsidR="00F215B5" w:rsidRPr="00831FCD">
        <w:rPr>
          <w:szCs w:val="26"/>
        </w:rPr>
        <w:t>standards to apply to individual dispersed generators, but allow NERC to petition for the</w:t>
      </w:r>
      <w:r w:rsidR="00731D33" w:rsidRPr="00831FCD">
        <w:rPr>
          <w:szCs w:val="26"/>
        </w:rPr>
        <w:t xml:space="preserve"> </w:t>
      </w:r>
      <w:r w:rsidR="00F215B5" w:rsidRPr="00831FCD">
        <w:rPr>
          <w:szCs w:val="26"/>
        </w:rPr>
        <w:t>applicability of individual standards to dispersed generators on a case-by-case basis by</w:t>
      </w:r>
      <w:r w:rsidR="00731D33" w:rsidRPr="00831FCD">
        <w:rPr>
          <w:szCs w:val="26"/>
        </w:rPr>
        <w:t xml:space="preserve"> </w:t>
      </w:r>
      <w:r w:rsidR="00F215B5" w:rsidRPr="00831FCD">
        <w:rPr>
          <w:szCs w:val="26"/>
        </w:rPr>
        <w:t>demonstrating that such groups of generators must be covered by the standard to maintain</w:t>
      </w:r>
      <w:r w:rsidR="00731D33" w:rsidRPr="00831FCD">
        <w:rPr>
          <w:szCs w:val="26"/>
        </w:rPr>
        <w:t xml:space="preserve"> </w:t>
      </w:r>
      <w:r w:rsidR="00BB0D1D">
        <w:rPr>
          <w:szCs w:val="26"/>
        </w:rPr>
        <w:t>reliability.  According to AWEA, t</w:t>
      </w:r>
      <w:r w:rsidR="00F215B5" w:rsidRPr="00831FCD">
        <w:rPr>
          <w:szCs w:val="26"/>
        </w:rPr>
        <w:t xml:space="preserve">his would ensure that only standards </w:t>
      </w:r>
      <w:r w:rsidR="009127C9">
        <w:rPr>
          <w:szCs w:val="26"/>
        </w:rPr>
        <w:t>“</w:t>
      </w:r>
      <w:r w:rsidR="00F215B5" w:rsidRPr="00831FCD">
        <w:rPr>
          <w:szCs w:val="26"/>
        </w:rPr>
        <w:t>that were written with dispersed</w:t>
      </w:r>
      <w:r w:rsidR="00731D33" w:rsidRPr="00831FCD">
        <w:rPr>
          <w:szCs w:val="26"/>
        </w:rPr>
        <w:t xml:space="preserve"> </w:t>
      </w:r>
      <w:r w:rsidR="00F215B5" w:rsidRPr="00831FCD">
        <w:rPr>
          <w:szCs w:val="26"/>
        </w:rPr>
        <w:t>generators in mind</w:t>
      </w:r>
      <w:r w:rsidR="009127C9">
        <w:rPr>
          <w:szCs w:val="26"/>
        </w:rPr>
        <w:t>…</w:t>
      </w:r>
      <w:r w:rsidR="00F215B5" w:rsidRPr="00831FCD">
        <w:rPr>
          <w:szCs w:val="26"/>
        </w:rPr>
        <w:t>are applied to individual dispersed</w:t>
      </w:r>
      <w:r w:rsidR="00731D33" w:rsidRPr="00831FCD">
        <w:rPr>
          <w:szCs w:val="26"/>
        </w:rPr>
        <w:t xml:space="preserve"> </w:t>
      </w:r>
      <w:r w:rsidR="00F215B5" w:rsidRPr="00831FCD">
        <w:rPr>
          <w:szCs w:val="26"/>
        </w:rPr>
        <w:t>generators.</w:t>
      </w:r>
      <w:r w:rsidR="009127C9">
        <w:rPr>
          <w:szCs w:val="26"/>
        </w:rPr>
        <w:t>”</w:t>
      </w:r>
      <w:r w:rsidR="009127C9">
        <w:rPr>
          <w:rStyle w:val="FootnoteReference"/>
        </w:rPr>
        <w:footnoteReference w:id="40"/>
      </w:r>
      <w:r w:rsidR="00731D33" w:rsidRPr="00831FCD">
        <w:rPr>
          <w:szCs w:val="26"/>
        </w:rPr>
        <w:t xml:space="preserve">  </w:t>
      </w:r>
    </w:p>
    <w:p w:rsidR="0029028F" w:rsidRPr="00BB0D1D" w:rsidRDefault="00BB0D1D" w:rsidP="0029028F">
      <w:pPr>
        <w:pStyle w:val="FERCparanumber"/>
        <w:rPr>
          <w:szCs w:val="26"/>
        </w:rPr>
      </w:pPr>
      <w:r w:rsidRPr="00BB0D1D">
        <w:rPr>
          <w:szCs w:val="26"/>
        </w:rPr>
        <w:t xml:space="preserve">AWEA </w:t>
      </w:r>
      <w:r>
        <w:rPr>
          <w:szCs w:val="26"/>
        </w:rPr>
        <w:t xml:space="preserve">also </w:t>
      </w:r>
      <w:r w:rsidRPr="00BB0D1D">
        <w:rPr>
          <w:szCs w:val="26"/>
        </w:rPr>
        <w:t>argues that t</w:t>
      </w:r>
      <w:r w:rsidR="0006707A" w:rsidRPr="00BB0D1D">
        <w:rPr>
          <w:szCs w:val="26"/>
        </w:rPr>
        <w:t xml:space="preserve">he NERC </w:t>
      </w:r>
      <w:r w:rsidRPr="00BB0D1D">
        <w:rPr>
          <w:szCs w:val="26"/>
        </w:rPr>
        <w:t>s</w:t>
      </w:r>
      <w:r w:rsidR="0006707A" w:rsidRPr="00BB0D1D">
        <w:rPr>
          <w:szCs w:val="26"/>
        </w:rPr>
        <w:t xml:space="preserve">tandard </w:t>
      </w:r>
      <w:r w:rsidRPr="00BB0D1D">
        <w:rPr>
          <w:szCs w:val="26"/>
        </w:rPr>
        <w:t>d</w:t>
      </w:r>
      <w:r w:rsidR="0006707A" w:rsidRPr="00BB0D1D">
        <w:rPr>
          <w:szCs w:val="26"/>
        </w:rPr>
        <w:t xml:space="preserve">rafting </w:t>
      </w:r>
      <w:r w:rsidRPr="00BB0D1D">
        <w:rPr>
          <w:szCs w:val="26"/>
        </w:rPr>
        <w:t>t</w:t>
      </w:r>
      <w:r w:rsidR="0006707A" w:rsidRPr="00BB0D1D">
        <w:rPr>
          <w:szCs w:val="26"/>
        </w:rPr>
        <w:t xml:space="preserve">eam </w:t>
      </w:r>
      <w:r w:rsidRPr="00BB0D1D">
        <w:rPr>
          <w:szCs w:val="26"/>
        </w:rPr>
        <w:t xml:space="preserve">did not justify </w:t>
      </w:r>
      <w:r w:rsidR="0006707A" w:rsidRPr="00BB0D1D">
        <w:rPr>
          <w:szCs w:val="26"/>
        </w:rPr>
        <w:t>why</w:t>
      </w:r>
      <w:r w:rsidR="0029028F" w:rsidRPr="00BB0D1D">
        <w:rPr>
          <w:szCs w:val="26"/>
        </w:rPr>
        <w:t xml:space="preserve"> </w:t>
      </w:r>
      <w:r w:rsidR="0006707A" w:rsidRPr="00BB0D1D">
        <w:rPr>
          <w:szCs w:val="26"/>
        </w:rPr>
        <w:t>individual dispersed generators should be included in the definition, but not the collector</w:t>
      </w:r>
      <w:r w:rsidR="0029028F" w:rsidRPr="00BB0D1D">
        <w:rPr>
          <w:szCs w:val="26"/>
        </w:rPr>
        <w:t xml:space="preserve"> </w:t>
      </w:r>
      <w:r w:rsidR="0006707A" w:rsidRPr="00BB0D1D">
        <w:rPr>
          <w:szCs w:val="26"/>
        </w:rPr>
        <w:t xml:space="preserve">facilities that aggregate those individual generators. </w:t>
      </w:r>
      <w:r>
        <w:rPr>
          <w:szCs w:val="26"/>
        </w:rPr>
        <w:t xml:space="preserve"> </w:t>
      </w:r>
      <w:r w:rsidR="00F215B5" w:rsidRPr="00BB0D1D">
        <w:rPr>
          <w:szCs w:val="26"/>
        </w:rPr>
        <w:t xml:space="preserve">In addition, </w:t>
      </w:r>
      <w:r w:rsidRPr="00BB0D1D">
        <w:rPr>
          <w:szCs w:val="26"/>
        </w:rPr>
        <w:t xml:space="preserve">AWEA claims that </w:t>
      </w:r>
      <w:r w:rsidR="00F215B5" w:rsidRPr="00BB0D1D">
        <w:rPr>
          <w:szCs w:val="26"/>
        </w:rPr>
        <w:t>wind plant owners will likely be forced to seek relief for tens of thousands of</w:t>
      </w:r>
      <w:r w:rsidR="00731D33" w:rsidRPr="00BB0D1D">
        <w:rPr>
          <w:szCs w:val="26"/>
        </w:rPr>
        <w:t xml:space="preserve"> </w:t>
      </w:r>
      <w:r w:rsidR="00F215B5" w:rsidRPr="00BB0D1D">
        <w:rPr>
          <w:szCs w:val="26"/>
        </w:rPr>
        <w:t xml:space="preserve">wind turbines through the </w:t>
      </w:r>
      <w:r w:rsidRPr="00BB0D1D">
        <w:rPr>
          <w:szCs w:val="26"/>
        </w:rPr>
        <w:t>e</w:t>
      </w:r>
      <w:r w:rsidR="00F215B5" w:rsidRPr="00BB0D1D">
        <w:rPr>
          <w:szCs w:val="26"/>
        </w:rPr>
        <w:t xml:space="preserve">xception </w:t>
      </w:r>
      <w:r w:rsidRPr="00BB0D1D">
        <w:rPr>
          <w:szCs w:val="26"/>
        </w:rPr>
        <w:t>p</w:t>
      </w:r>
      <w:r w:rsidR="00CA2513">
        <w:rPr>
          <w:szCs w:val="26"/>
        </w:rPr>
        <w:t>rocess</w:t>
      </w:r>
      <w:r w:rsidR="00F215B5" w:rsidRPr="00BB0D1D">
        <w:rPr>
          <w:szCs w:val="26"/>
        </w:rPr>
        <w:t>.</w:t>
      </w:r>
    </w:p>
    <w:p w:rsidR="00D64EFD" w:rsidRPr="00831FCD" w:rsidRDefault="00D64EFD" w:rsidP="00D64EFD">
      <w:pPr>
        <w:pStyle w:val="FERCparanumber"/>
        <w:rPr>
          <w:szCs w:val="26"/>
        </w:rPr>
      </w:pPr>
      <w:r w:rsidRPr="00831FCD">
        <w:rPr>
          <w:szCs w:val="26"/>
        </w:rPr>
        <w:lastRenderedPageBreak/>
        <w:t xml:space="preserve">First Wind </w:t>
      </w:r>
      <w:r w:rsidR="00CA2513">
        <w:rPr>
          <w:szCs w:val="26"/>
        </w:rPr>
        <w:t xml:space="preserve">states that its concern </w:t>
      </w:r>
      <w:r w:rsidRPr="00831FCD">
        <w:rPr>
          <w:szCs w:val="26"/>
        </w:rPr>
        <w:t xml:space="preserve">is limited to </w:t>
      </w:r>
      <w:r w:rsidR="00BB0D1D">
        <w:rPr>
          <w:szCs w:val="26"/>
        </w:rPr>
        <w:t>i</w:t>
      </w:r>
      <w:r w:rsidRPr="00831FCD">
        <w:rPr>
          <w:szCs w:val="26"/>
        </w:rPr>
        <w:t>nclusion I4 and the</w:t>
      </w:r>
      <w:r w:rsidR="0029028F" w:rsidRPr="00831FCD">
        <w:rPr>
          <w:szCs w:val="26"/>
        </w:rPr>
        <w:t xml:space="preserve"> </w:t>
      </w:r>
      <w:r w:rsidRPr="00831FCD">
        <w:rPr>
          <w:szCs w:val="26"/>
        </w:rPr>
        <w:t xml:space="preserve">Commission’s decision to include individual generation resources within the </w:t>
      </w:r>
      <w:r w:rsidR="0029028F" w:rsidRPr="00831FCD">
        <w:rPr>
          <w:szCs w:val="26"/>
        </w:rPr>
        <w:t xml:space="preserve">definition.  </w:t>
      </w:r>
      <w:r w:rsidRPr="00831FCD">
        <w:rPr>
          <w:szCs w:val="26"/>
        </w:rPr>
        <w:t>First Wind is concerned about the Commission’s decision to include</w:t>
      </w:r>
      <w:r w:rsidR="0029028F" w:rsidRPr="00831FCD">
        <w:rPr>
          <w:szCs w:val="26"/>
        </w:rPr>
        <w:t xml:space="preserve"> </w:t>
      </w:r>
      <w:r w:rsidRPr="00831FCD">
        <w:rPr>
          <w:szCs w:val="26"/>
        </w:rPr>
        <w:t xml:space="preserve">individual generation resources in the </w:t>
      </w:r>
      <w:r w:rsidR="007E19E0">
        <w:rPr>
          <w:szCs w:val="26"/>
        </w:rPr>
        <w:t>bulk electric system definition</w:t>
      </w:r>
      <w:r w:rsidRPr="00831FCD">
        <w:rPr>
          <w:szCs w:val="26"/>
        </w:rPr>
        <w:t xml:space="preserve"> because of the substantial impact that</w:t>
      </w:r>
      <w:r w:rsidR="0029028F" w:rsidRPr="00831FCD">
        <w:rPr>
          <w:szCs w:val="26"/>
        </w:rPr>
        <w:t xml:space="preserve"> </w:t>
      </w:r>
      <w:r w:rsidRPr="00831FCD">
        <w:rPr>
          <w:szCs w:val="26"/>
        </w:rPr>
        <w:t xml:space="preserve">such decision will have on the financial viability of wind generators. </w:t>
      </w:r>
      <w:r w:rsidR="00BB0D1D">
        <w:rPr>
          <w:szCs w:val="26"/>
        </w:rPr>
        <w:t xml:space="preserve"> </w:t>
      </w:r>
      <w:r w:rsidRPr="00831FCD">
        <w:rPr>
          <w:szCs w:val="26"/>
        </w:rPr>
        <w:t>First Wind</w:t>
      </w:r>
      <w:r w:rsidR="0029028F" w:rsidRPr="00831FCD">
        <w:rPr>
          <w:szCs w:val="26"/>
        </w:rPr>
        <w:t xml:space="preserve"> </w:t>
      </w:r>
      <w:r w:rsidRPr="00831FCD">
        <w:rPr>
          <w:szCs w:val="26"/>
        </w:rPr>
        <w:t>recognizes that the Commission addressed the question of whether individual</w:t>
      </w:r>
      <w:r w:rsidR="0029028F" w:rsidRPr="00831FCD">
        <w:rPr>
          <w:szCs w:val="26"/>
        </w:rPr>
        <w:t xml:space="preserve"> </w:t>
      </w:r>
      <w:r w:rsidRPr="00831FCD">
        <w:rPr>
          <w:szCs w:val="26"/>
        </w:rPr>
        <w:t xml:space="preserve">resources should be included in the </w:t>
      </w:r>
      <w:r w:rsidR="00BB0D1D">
        <w:rPr>
          <w:szCs w:val="26"/>
        </w:rPr>
        <w:t xml:space="preserve">bulk electric system </w:t>
      </w:r>
      <w:r w:rsidRPr="00831FCD">
        <w:rPr>
          <w:szCs w:val="26"/>
        </w:rPr>
        <w:t>in Order Nos. 773 and 773-A,</w:t>
      </w:r>
      <w:r w:rsidR="0029028F" w:rsidRPr="00831FCD">
        <w:rPr>
          <w:szCs w:val="26"/>
        </w:rPr>
        <w:t xml:space="preserve"> </w:t>
      </w:r>
      <w:r w:rsidRPr="00831FCD">
        <w:rPr>
          <w:szCs w:val="26"/>
        </w:rPr>
        <w:t>and concluded that individual wind turbine generators should be</w:t>
      </w:r>
      <w:r w:rsidR="0029028F" w:rsidRPr="00831FCD">
        <w:rPr>
          <w:szCs w:val="26"/>
        </w:rPr>
        <w:t xml:space="preserve"> </w:t>
      </w:r>
      <w:r w:rsidR="00BB0D1D">
        <w:rPr>
          <w:szCs w:val="26"/>
        </w:rPr>
        <w:t>included.</w:t>
      </w:r>
      <w:r w:rsidR="007E19E0">
        <w:rPr>
          <w:rStyle w:val="FootnoteReference"/>
        </w:rPr>
        <w:footnoteReference w:id="41"/>
      </w:r>
      <w:r w:rsidR="00BB0D1D">
        <w:rPr>
          <w:szCs w:val="26"/>
        </w:rPr>
        <w:t xml:space="preserve"> </w:t>
      </w:r>
      <w:r w:rsidRPr="00831FCD">
        <w:rPr>
          <w:szCs w:val="26"/>
        </w:rPr>
        <w:t xml:space="preserve"> However, First Wind is concerned that the</w:t>
      </w:r>
      <w:r w:rsidR="0029028F" w:rsidRPr="00831FCD">
        <w:rPr>
          <w:szCs w:val="26"/>
        </w:rPr>
        <w:t xml:space="preserve"> </w:t>
      </w:r>
      <w:r w:rsidRPr="00831FCD">
        <w:rPr>
          <w:szCs w:val="26"/>
        </w:rPr>
        <w:t>Commission did not have the information necessary to fully appreciate the</w:t>
      </w:r>
      <w:r w:rsidR="0029028F" w:rsidRPr="00831FCD">
        <w:rPr>
          <w:szCs w:val="26"/>
        </w:rPr>
        <w:t xml:space="preserve"> </w:t>
      </w:r>
      <w:r w:rsidRPr="00831FCD">
        <w:rPr>
          <w:szCs w:val="26"/>
        </w:rPr>
        <w:t>substantial impact that this decision could have on wind generation and that its</w:t>
      </w:r>
      <w:r w:rsidR="0029028F" w:rsidRPr="00831FCD">
        <w:rPr>
          <w:szCs w:val="26"/>
        </w:rPr>
        <w:t xml:space="preserve"> </w:t>
      </w:r>
      <w:r w:rsidRPr="00831FCD">
        <w:rPr>
          <w:szCs w:val="26"/>
        </w:rPr>
        <w:t xml:space="preserve">decision would not result in improving, </w:t>
      </w:r>
      <w:proofErr w:type="gramStart"/>
      <w:r w:rsidRPr="00831FCD">
        <w:rPr>
          <w:szCs w:val="26"/>
        </w:rPr>
        <w:t>ensuring</w:t>
      </w:r>
      <w:proofErr w:type="gramEnd"/>
      <w:r w:rsidRPr="00831FCD">
        <w:rPr>
          <w:szCs w:val="26"/>
        </w:rPr>
        <w:t xml:space="preserve"> or protecting reliability.</w:t>
      </w:r>
      <w:r w:rsidR="0029028F" w:rsidRPr="00831FCD">
        <w:rPr>
          <w:szCs w:val="26"/>
        </w:rPr>
        <w:t xml:space="preserve">  </w:t>
      </w:r>
      <w:r w:rsidRPr="00831FCD">
        <w:rPr>
          <w:szCs w:val="26"/>
        </w:rPr>
        <w:t>In the</w:t>
      </w:r>
      <w:r w:rsidR="0029028F" w:rsidRPr="00831FCD">
        <w:rPr>
          <w:szCs w:val="26"/>
        </w:rPr>
        <w:t xml:space="preserve"> </w:t>
      </w:r>
      <w:r w:rsidRPr="00831FCD">
        <w:rPr>
          <w:szCs w:val="26"/>
        </w:rPr>
        <w:t>alternative, First Wind requests that the Commission direct NERC to expedite</w:t>
      </w:r>
      <w:r w:rsidR="0029028F" w:rsidRPr="00831FCD">
        <w:rPr>
          <w:szCs w:val="26"/>
        </w:rPr>
        <w:t xml:space="preserve"> </w:t>
      </w:r>
      <w:r w:rsidRPr="00831FCD">
        <w:rPr>
          <w:szCs w:val="26"/>
        </w:rPr>
        <w:t>consideration of the stakeholder proposal to change the applicability of certain</w:t>
      </w:r>
      <w:r w:rsidR="0029028F" w:rsidRPr="00831FCD">
        <w:rPr>
          <w:szCs w:val="26"/>
        </w:rPr>
        <w:t xml:space="preserve"> </w:t>
      </w:r>
      <w:r w:rsidRPr="00831FCD">
        <w:rPr>
          <w:szCs w:val="26"/>
        </w:rPr>
        <w:t xml:space="preserve">reliability standards applicable to </w:t>
      </w:r>
      <w:r w:rsidR="00BB0D1D">
        <w:rPr>
          <w:szCs w:val="26"/>
        </w:rPr>
        <w:t>g</w:t>
      </w:r>
      <w:r w:rsidRPr="00831FCD">
        <w:rPr>
          <w:szCs w:val="26"/>
        </w:rPr>
        <w:t xml:space="preserve">enerator </w:t>
      </w:r>
      <w:r w:rsidR="00BB0D1D">
        <w:rPr>
          <w:szCs w:val="26"/>
        </w:rPr>
        <w:t>o</w:t>
      </w:r>
      <w:r w:rsidRPr="00831FCD">
        <w:rPr>
          <w:szCs w:val="26"/>
        </w:rPr>
        <w:t xml:space="preserve">wners and </w:t>
      </w:r>
      <w:r w:rsidR="00BB0D1D">
        <w:rPr>
          <w:szCs w:val="26"/>
        </w:rPr>
        <w:t>g</w:t>
      </w:r>
      <w:r w:rsidRPr="00831FCD">
        <w:rPr>
          <w:szCs w:val="26"/>
        </w:rPr>
        <w:t>enerator</w:t>
      </w:r>
      <w:r w:rsidR="0029028F" w:rsidRPr="00831FCD">
        <w:rPr>
          <w:szCs w:val="26"/>
        </w:rPr>
        <w:t xml:space="preserve"> </w:t>
      </w:r>
      <w:r w:rsidR="00BB0D1D">
        <w:rPr>
          <w:szCs w:val="26"/>
        </w:rPr>
        <w:t>o</w:t>
      </w:r>
      <w:r w:rsidRPr="00831FCD">
        <w:rPr>
          <w:szCs w:val="26"/>
        </w:rPr>
        <w:t>perators to provide that such standards should not be applied at the</w:t>
      </w:r>
      <w:r w:rsidR="0029028F" w:rsidRPr="00831FCD">
        <w:rPr>
          <w:szCs w:val="26"/>
        </w:rPr>
        <w:t xml:space="preserve"> </w:t>
      </w:r>
      <w:r w:rsidRPr="00831FCD">
        <w:rPr>
          <w:szCs w:val="26"/>
        </w:rPr>
        <w:t>individual generating resource as opposed to just the facilities operated at 100 kV</w:t>
      </w:r>
      <w:r w:rsidR="0029028F" w:rsidRPr="00831FCD">
        <w:rPr>
          <w:szCs w:val="26"/>
        </w:rPr>
        <w:t xml:space="preserve"> </w:t>
      </w:r>
      <w:r w:rsidRPr="00831FCD">
        <w:rPr>
          <w:szCs w:val="26"/>
        </w:rPr>
        <w:t>or more, and require NERC to regularly report to the Commission on these</w:t>
      </w:r>
      <w:r w:rsidR="0029028F" w:rsidRPr="00831FCD">
        <w:rPr>
          <w:szCs w:val="26"/>
        </w:rPr>
        <w:t xml:space="preserve"> </w:t>
      </w:r>
      <w:r w:rsidRPr="00831FCD">
        <w:rPr>
          <w:szCs w:val="26"/>
        </w:rPr>
        <w:t>efforts.</w:t>
      </w:r>
    </w:p>
    <w:p w:rsidR="000F282C" w:rsidRPr="00CA2513" w:rsidRDefault="00273A8C" w:rsidP="00AB3072">
      <w:pPr>
        <w:pStyle w:val="FERCparanumber"/>
        <w:numPr>
          <w:ilvl w:val="0"/>
          <w:numId w:val="0"/>
        </w:numPr>
        <w:rPr>
          <w:b/>
          <w:szCs w:val="26"/>
          <w:u w:val="single"/>
        </w:rPr>
      </w:pPr>
      <w:r w:rsidRPr="00831FCD">
        <w:rPr>
          <w:b/>
          <w:szCs w:val="26"/>
        </w:rPr>
        <w:tab/>
      </w:r>
      <w:r w:rsidR="00CA2513" w:rsidRPr="00CA2513">
        <w:rPr>
          <w:b/>
          <w:szCs w:val="26"/>
          <w:u w:val="single"/>
        </w:rPr>
        <w:t>Reply Comments</w:t>
      </w:r>
    </w:p>
    <w:p w:rsidR="00BF2988" w:rsidRDefault="002225F1" w:rsidP="00BF2988">
      <w:pPr>
        <w:pStyle w:val="FERCparanumber"/>
        <w:rPr>
          <w:szCs w:val="26"/>
        </w:rPr>
      </w:pPr>
      <w:r>
        <w:rPr>
          <w:szCs w:val="26"/>
        </w:rPr>
        <w:t xml:space="preserve">In reply </w:t>
      </w:r>
      <w:proofErr w:type="gramStart"/>
      <w:r>
        <w:rPr>
          <w:szCs w:val="26"/>
        </w:rPr>
        <w:t xml:space="preserve">comments, </w:t>
      </w:r>
      <w:r w:rsidR="00CA2513" w:rsidRPr="00BF2988">
        <w:rPr>
          <w:szCs w:val="26"/>
        </w:rPr>
        <w:t>NERC</w:t>
      </w:r>
      <w:r w:rsidR="00BF2988" w:rsidRPr="00BF2988">
        <w:rPr>
          <w:szCs w:val="26"/>
        </w:rPr>
        <w:t xml:space="preserve"> states</w:t>
      </w:r>
      <w:proofErr w:type="gramEnd"/>
      <w:r w:rsidR="00BF2988" w:rsidRPr="00BF2988">
        <w:rPr>
          <w:szCs w:val="26"/>
        </w:rPr>
        <w:t xml:space="preserve"> that ELCON mischaracterizes the purpose of the 50 kV threshold.  NERC states that the 50 kV </w:t>
      </w:r>
      <w:proofErr w:type="gramStart"/>
      <w:r w:rsidR="00BF2988" w:rsidRPr="00BF2988">
        <w:rPr>
          <w:szCs w:val="26"/>
        </w:rPr>
        <w:t>threshold</w:t>
      </w:r>
      <w:proofErr w:type="gramEnd"/>
      <w:r w:rsidR="00BF2988" w:rsidRPr="00BF2988">
        <w:rPr>
          <w:szCs w:val="26"/>
        </w:rPr>
        <w:t xml:space="preserve"> was adopted as an associated component of</w:t>
      </w:r>
      <w:r w:rsidR="00A810FF">
        <w:rPr>
          <w:szCs w:val="26"/>
        </w:rPr>
        <w:t xml:space="preserve"> exclusion E1</w:t>
      </w:r>
      <w:r w:rsidR="00BF2988" w:rsidRPr="00BF2988">
        <w:rPr>
          <w:szCs w:val="26"/>
        </w:rPr>
        <w:t xml:space="preserve"> based on the scenarios and configurations u</w:t>
      </w:r>
      <w:r w:rsidR="00BF2988">
        <w:rPr>
          <w:szCs w:val="26"/>
        </w:rPr>
        <w:t xml:space="preserve">sed </w:t>
      </w:r>
      <w:r w:rsidR="00BF2988" w:rsidRPr="00BF2988">
        <w:rPr>
          <w:szCs w:val="26"/>
        </w:rPr>
        <w:t xml:space="preserve">in </w:t>
      </w:r>
      <w:r w:rsidR="00BF2988">
        <w:rPr>
          <w:szCs w:val="26"/>
        </w:rPr>
        <w:t xml:space="preserve">its technical </w:t>
      </w:r>
      <w:r w:rsidR="00BF2988" w:rsidRPr="00BF2988">
        <w:rPr>
          <w:szCs w:val="26"/>
        </w:rPr>
        <w:t>analysis</w:t>
      </w:r>
      <w:r w:rsidR="00BF2988">
        <w:rPr>
          <w:szCs w:val="26"/>
        </w:rPr>
        <w:t xml:space="preserve"> </w:t>
      </w:r>
      <w:r w:rsidR="00BF2988" w:rsidRPr="00BF2988">
        <w:rPr>
          <w:szCs w:val="26"/>
        </w:rPr>
        <w:t xml:space="preserve">and represents the vast majority of configurations that will be encountered in the industry.  </w:t>
      </w:r>
      <w:r w:rsidR="00BF2988">
        <w:rPr>
          <w:szCs w:val="26"/>
        </w:rPr>
        <w:t>NERC also argues that its technical analysis</w:t>
      </w:r>
      <w:r w:rsidR="00BF2988" w:rsidRPr="00BF2988">
        <w:rPr>
          <w:szCs w:val="26"/>
        </w:rPr>
        <w:t xml:space="preserve"> resulted from extensive simulations which demonstrated that power flow reversal </w:t>
      </w:r>
      <w:r w:rsidR="00BF2988">
        <w:rPr>
          <w:szCs w:val="26"/>
        </w:rPr>
        <w:t xml:space="preserve">into the bulk </w:t>
      </w:r>
      <w:r w:rsidR="009744AD">
        <w:rPr>
          <w:szCs w:val="26"/>
        </w:rPr>
        <w:t>electric</w:t>
      </w:r>
      <w:r w:rsidR="00BF2988">
        <w:rPr>
          <w:szCs w:val="26"/>
        </w:rPr>
        <w:t xml:space="preserve"> system</w:t>
      </w:r>
      <w:r w:rsidR="00BF2988" w:rsidRPr="00BF2988">
        <w:rPr>
          <w:szCs w:val="26"/>
        </w:rPr>
        <w:t xml:space="preserve"> is unlikely when circuit loop operating voltages are below 50 kV. </w:t>
      </w:r>
    </w:p>
    <w:p w:rsidR="00C664ED" w:rsidRDefault="00BF2988" w:rsidP="00C664ED">
      <w:pPr>
        <w:pStyle w:val="FERCparanumber"/>
        <w:rPr>
          <w:szCs w:val="26"/>
        </w:rPr>
      </w:pPr>
      <w:r>
        <w:rPr>
          <w:szCs w:val="26"/>
        </w:rPr>
        <w:t xml:space="preserve">NERC explains that the technical analysis notes </w:t>
      </w:r>
      <w:r w:rsidR="007A1DEE">
        <w:rPr>
          <w:szCs w:val="26"/>
        </w:rPr>
        <w:t xml:space="preserve">that </w:t>
      </w:r>
      <w:r w:rsidRPr="00BF2988">
        <w:rPr>
          <w:szCs w:val="26"/>
        </w:rPr>
        <w:t xml:space="preserve">there may be </w:t>
      </w:r>
      <w:r w:rsidR="00165D1B">
        <w:rPr>
          <w:szCs w:val="26"/>
        </w:rPr>
        <w:t xml:space="preserve">actual </w:t>
      </w:r>
      <w:r w:rsidRPr="00BF2988">
        <w:rPr>
          <w:szCs w:val="26"/>
        </w:rPr>
        <w:t xml:space="preserve">cases that deviate from modeled scenarios, and that such deviations are expected to be rare and can be processed through the companion </w:t>
      </w:r>
      <w:r>
        <w:rPr>
          <w:szCs w:val="26"/>
        </w:rPr>
        <w:t>e</w:t>
      </w:r>
      <w:r w:rsidRPr="00BF2988">
        <w:rPr>
          <w:szCs w:val="26"/>
        </w:rPr>
        <w:t xml:space="preserve">xception </w:t>
      </w:r>
      <w:r w:rsidR="00A266C2">
        <w:rPr>
          <w:szCs w:val="26"/>
        </w:rPr>
        <w:t>p</w:t>
      </w:r>
      <w:r w:rsidR="00A266C2" w:rsidRPr="00BF2988">
        <w:rPr>
          <w:szCs w:val="26"/>
        </w:rPr>
        <w:t>rocess</w:t>
      </w:r>
      <w:r w:rsidRPr="00BF2988">
        <w:rPr>
          <w:szCs w:val="26"/>
        </w:rPr>
        <w:t>.</w:t>
      </w:r>
      <w:r w:rsidR="00C664ED">
        <w:rPr>
          <w:szCs w:val="26"/>
        </w:rPr>
        <w:t xml:space="preserve">  </w:t>
      </w:r>
      <w:r w:rsidR="009744AD">
        <w:rPr>
          <w:szCs w:val="26"/>
        </w:rPr>
        <w:t>NERC states</w:t>
      </w:r>
      <w:r w:rsidR="00C664ED">
        <w:rPr>
          <w:szCs w:val="26"/>
        </w:rPr>
        <w:t xml:space="preserve"> that the </w:t>
      </w:r>
      <w:r w:rsidRPr="00BF2988">
        <w:rPr>
          <w:szCs w:val="26"/>
        </w:rPr>
        <w:t>50 kV</w:t>
      </w:r>
      <w:r w:rsidR="00C664ED">
        <w:rPr>
          <w:szCs w:val="26"/>
        </w:rPr>
        <w:t xml:space="preserve"> </w:t>
      </w:r>
      <w:proofErr w:type="gramStart"/>
      <w:r w:rsidR="00C664ED">
        <w:rPr>
          <w:szCs w:val="26"/>
        </w:rPr>
        <w:t>threshold</w:t>
      </w:r>
      <w:proofErr w:type="gramEnd"/>
      <w:r w:rsidR="00C664ED">
        <w:rPr>
          <w:szCs w:val="26"/>
        </w:rPr>
        <w:t xml:space="preserve"> </w:t>
      </w:r>
      <w:r w:rsidRPr="00BF2988">
        <w:rPr>
          <w:szCs w:val="26"/>
        </w:rPr>
        <w:t>recognizes that there may be cases in which</w:t>
      </w:r>
      <w:r w:rsidR="00C664ED">
        <w:rPr>
          <w:szCs w:val="26"/>
        </w:rPr>
        <w:t xml:space="preserve"> </w:t>
      </w:r>
      <w:r w:rsidRPr="00BF2988">
        <w:rPr>
          <w:szCs w:val="26"/>
        </w:rPr>
        <w:t xml:space="preserve">power flows to the </w:t>
      </w:r>
      <w:r w:rsidR="00C664ED">
        <w:rPr>
          <w:szCs w:val="26"/>
        </w:rPr>
        <w:t xml:space="preserve">bulk electric system </w:t>
      </w:r>
      <w:r w:rsidRPr="00BF2988">
        <w:rPr>
          <w:szCs w:val="26"/>
        </w:rPr>
        <w:t xml:space="preserve">through facilities operated below 50 kV, or </w:t>
      </w:r>
      <w:r w:rsidR="009744AD">
        <w:rPr>
          <w:szCs w:val="26"/>
        </w:rPr>
        <w:t xml:space="preserve">that </w:t>
      </w:r>
      <w:r w:rsidR="009744AD" w:rsidRPr="00BF2988">
        <w:rPr>
          <w:szCs w:val="26"/>
        </w:rPr>
        <w:t>power</w:t>
      </w:r>
      <w:r w:rsidRPr="00BF2988">
        <w:rPr>
          <w:szCs w:val="26"/>
        </w:rPr>
        <w:t xml:space="preserve"> does not flow through facilities operated above 50 kV. </w:t>
      </w:r>
      <w:r w:rsidR="00C664ED">
        <w:rPr>
          <w:szCs w:val="26"/>
        </w:rPr>
        <w:t xml:space="preserve"> NERC states that i</w:t>
      </w:r>
      <w:r w:rsidRPr="00BF2988">
        <w:rPr>
          <w:szCs w:val="26"/>
        </w:rPr>
        <w:t xml:space="preserve">n the former, the </w:t>
      </w:r>
      <w:r w:rsidR="00C664ED">
        <w:rPr>
          <w:szCs w:val="26"/>
        </w:rPr>
        <w:t>e</w:t>
      </w:r>
      <w:r w:rsidRPr="00BF2988">
        <w:rPr>
          <w:szCs w:val="26"/>
        </w:rPr>
        <w:t xml:space="preserve">xception </w:t>
      </w:r>
      <w:r w:rsidR="00C664ED">
        <w:rPr>
          <w:szCs w:val="26"/>
        </w:rPr>
        <w:t>p</w:t>
      </w:r>
      <w:r w:rsidRPr="00BF2988">
        <w:rPr>
          <w:szCs w:val="26"/>
        </w:rPr>
        <w:t>rocess is available to include facilities if this power flow affects reliability.</w:t>
      </w:r>
      <w:r w:rsidR="00C664ED">
        <w:rPr>
          <w:szCs w:val="26"/>
        </w:rPr>
        <w:t xml:space="preserve"> </w:t>
      </w:r>
      <w:r w:rsidRPr="00BF2988">
        <w:rPr>
          <w:szCs w:val="26"/>
        </w:rPr>
        <w:t xml:space="preserve"> Similarly, in the latter case, </w:t>
      </w:r>
      <w:r w:rsidR="00C664ED">
        <w:rPr>
          <w:szCs w:val="26"/>
        </w:rPr>
        <w:t xml:space="preserve">NERC states that </w:t>
      </w:r>
      <w:r w:rsidRPr="00BF2988">
        <w:rPr>
          <w:szCs w:val="26"/>
        </w:rPr>
        <w:t xml:space="preserve">if the facilities are included by application of the core definition and do not qualify for application of </w:t>
      </w:r>
      <w:r w:rsidR="00C664ED">
        <w:rPr>
          <w:szCs w:val="26"/>
        </w:rPr>
        <w:t>e</w:t>
      </w:r>
      <w:r w:rsidRPr="00BF2988">
        <w:rPr>
          <w:szCs w:val="26"/>
        </w:rPr>
        <w:t xml:space="preserve">xclusion E3, the </w:t>
      </w:r>
      <w:r w:rsidR="00C664ED">
        <w:rPr>
          <w:szCs w:val="26"/>
        </w:rPr>
        <w:t>e</w:t>
      </w:r>
      <w:r w:rsidRPr="00BF2988">
        <w:rPr>
          <w:szCs w:val="26"/>
        </w:rPr>
        <w:t xml:space="preserve">xception </w:t>
      </w:r>
      <w:r w:rsidR="00C664ED">
        <w:rPr>
          <w:szCs w:val="26"/>
        </w:rPr>
        <w:t>p</w:t>
      </w:r>
      <w:r w:rsidRPr="00BF2988">
        <w:rPr>
          <w:szCs w:val="26"/>
        </w:rPr>
        <w:t>rocess is availa</w:t>
      </w:r>
      <w:r w:rsidR="00C664ED">
        <w:rPr>
          <w:szCs w:val="26"/>
        </w:rPr>
        <w:t xml:space="preserve">ble to exclude such facilities.  </w:t>
      </w:r>
      <w:r w:rsidRPr="00C664ED">
        <w:rPr>
          <w:szCs w:val="26"/>
        </w:rPr>
        <w:t>Contrary to ELCON’s assertion,</w:t>
      </w:r>
      <w:r w:rsidR="00C664ED" w:rsidRPr="00C664ED">
        <w:rPr>
          <w:szCs w:val="26"/>
        </w:rPr>
        <w:t xml:space="preserve"> NERC states that </w:t>
      </w:r>
      <w:r w:rsidRPr="00C664ED">
        <w:rPr>
          <w:szCs w:val="26"/>
        </w:rPr>
        <w:t xml:space="preserve">the threshold results in proper use of the </w:t>
      </w:r>
      <w:r w:rsidR="00C664ED" w:rsidRPr="00C664ED">
        <w:rPr>
          <w:szCs w:val="26"/>
        </w:rPr>
        <w:t>exception p</w:t>
      </w:r>
      <w:r w:rsidRPr="00C664ED">
        <w:rPr>
          <w:szCs w:val="26"/>
        </w:rPr>
        <w:t xml:space="preserve">rocess by achieving a balance to minimize the </w:t>
      </w:r>
      <w:r w:rsidRPr="00C664ED">
        <w:rPr>
          <w:szCs w:val="26"/>
        </w:rPr>
        <w:lastRenderedPageBreak/>
        <w:t xml:space="preserve">need for entities to </w:t>
      </w:r>
      <w:r w:rsidR="00C664ED" w:rsidRPr="00C664ED">
        <w:rPr>
          <w:szCs w:val="26"/>
        </w:rPr>
        <w:t xml:space="preserve">use </w:t>
      </w:r>
      <w:r w:rsidRPr="00C664ED">
        <w:rPr>
          <w:szCs w:val="26"/>
        </w:rPr>
        <w:t xml:space="preserve">the </w:t>
      </w:r>
      <w:r w:rsidR="00C664ED" w:rsidRPr="00C664ED">
        <w:rPr>
          <w:szCs w:val="26"/>
        </w:rPr>
        <w:t>process</w:t>
      </w:r>
      <w:r w:rsidR="00165D1B">
        <w:rPr>
          <w:szCs w:val="26"/>
        </w:rPr>
        <w:t>, while permitting its use to either include or exclude facilities</w:t>
      </w:r>
      <w:r w:rsidR="00C664ED" w:rsidRPr="00C664ED">
        <w:rPr>
          <w:szCs w:val="26"/>
        </w:rPr>
        <w:t>.</w:t>
      </w:r>
      <w:r w:rsidR="00104EDB">
        <w:rPr>
          <w:rStyle w:val="FootnoteReference"/>
        </w:rPr>
        <w:footnoteReference w:id="42"/>
      </w:r>
      <w:r w:rsidR="00C664ED" w:rsidRPr="00C664ED">
        <w:rPr>
          <w:szCs w:val="26"/>
        </w:rPr>
        <w:t xml:space="preserve">  </w:t>
      </w:r>
    </w:p>
    <w:p w:rsidR="00BF2988" w:rsidRPr="00C664ED" w:rsidRDefault="00597CCE" w:rsidP="00C664ED">
      <w:pPr>
        <w:pStyle w:val="FERCparanumber"/>
        <w:rPr>
          <w:szCs w:val="26"/>
        </w:rPr>
      </w:pPr>
      <w:r>
        <w:rPr>
          <w:szCs w:val="26"/>
        </w:rPr>
        <w:t>Further</w:t>
      </w:r>
      <w:r w:rsidR="00C664ED">
        <w:rPr>
          <w:szCs w:val="26"/>
        </w:rPr>
        <w:t xml:space="preserve">, NERC </w:t>
      </w:r>
      <w:r>
        <w:rPr>
          <w:szCs w:val="26"/>
        </w:rPr>
        <w:t>disagrees with</w:t>
      </w:r>
      <w:r w:rsidR="00C664ED">
        <w:rPr>
          <w:szCs w:val="26"/>
        </w:rPr>
        <w:t xml:space="preserve"> First Wind</w:t>
      </w:r>
      <w:r>
        <w:rPr>
          <w:szCs w:val="26"/>
        </w:rPr>
        <w:t>’s</w:t>
      </w:r>
      <w:r w:rsidR="00C664ED">
        <w:rPr>
          <w:szCs w:val="26"/>
        </w:rPr>
        <w:t xml:space="preserve"> argu</w:t>
      </w:r>
      <w:r>
        <w:rPr>
          <w:szCs w:val="26"/>
        </w:rPr>
        <w:t>ment</w:t>
      </w:r>
      <w:r w:rsidR="00C664ED">
        <w:rPr>
          <w:szCs w:val="26"/>
        </w:rPr>
        <w:t xml:space="preserve"> that </w:t>
      </w:r>
      <w:r w:rsidR="00BF2988" w:rsidRPr="00C664ED">
        <w:rPr>
          <w:szCs w:val="26"/>
        </w:rPr>
        <w:t>an individual wind turbine generator does not impact reliability</w:t>
      </w:r>
      <w:r>
        <w:rPr>
          <w:szCs w:val="26"/>
        </w:rPr>
        <w:t>.  Rather</w:t>
      </w:r>
      <w:r w:rsidR="009744AD">
        <w:rPr>
          <w:szCs w:val="26"/>
        </w:rPr>
        <w:t xml:space="preserve">, </w:t>
      </w:r>
      <w:r>
        <w:rPr>
          <w:szCs w:val="26"/>
        </w:rPr>
        <w:t xml:space="preserve">NERC states that </w:t>
      </w:r>
      <w:r w:rsidR="00BF2988" w:rsidRPr="00C664ED">
        <w:rPr>
          <w:szCs w:val="26"/>
        </w:rPr>
        <w:t>a 2009 NERC Special Report</w:t>
      </w:r>
      <w:r>
        <w:rPr>
          <w:i/>
          <w:iCs/>
          <w:szCs w:val="26"/>
        </w:rPr>
        <w:t xml:space="preserve"> </w:t>
      </w:r>
      <w:r>
        <w:rPr>
          <w:iCs/>
          <w:szCs w:val="26"/>
        </w:rPr>
        <w:t xml:space="preserve">provides support </w:t>
      </w:r>
      <w:proofErr w:type="gramStart"/>
      <w:r>
        <w:rPr>
          <w:iCs/>
          <w:szCs w:val="26"/>
        </w:rPr>
        <w:t>that</w:t>
      </w:r>
      <w:r w:rsidR="00BF2988" w:rsidRPr="00C664ED">
        <w:rPr>
          <w:i/>
          <w:iCs/>
          <w:szCs w:val="26"/>
        </w:rPr>
        <w:t xml:space="preserve"> </w:t>
      </w:r>
      <w:r w:rsidR="00BF2988" w:rsidRPr="00C664ED">
        <w:rPr>
          <w:szCs w:val="26"/>
        </w:rPr>
        <w:t>individual variable generators</w:t>
      </w:r>
      <w:proofErr w:type="gramEnd"/>
      <w:r w:rsidR="00BF2988" w:rsidRPr="00C664ED">
        <w:rPr>
          <w:szCs w:val="26"/>
        </w:rPr>
        <w:t xml:space="preserve"> can impact system operation</w:t>
      </w:r>
      <w:r w:rsidR="00C664ED">
        <w:rPr>
          <w:szCs w:val="26"/>
        </w:rPr>
        <w:t>s.</w:t>
      </w:r>
      <w:r w:rsidR="00C664ED">
        <w:rPr>
          <w:rStyle w:val="FootnoteReference"/>
        </w:rPr>
        <w:footnoteReference w:id="43"/>
      </w:r>
      <w:r w:rsidR="00C664ED">
        <w:rPr>
          <w:szCs w:val="26"/>
        </w:rPr>
        <w:t xml:space="preserve">  NERC adds that it is </w:t>
      </w:r>
      <w:r w:rsidR="00BF2988" w:rsidRPr="00C664ED">
        <w:rPr>
          <w:szCs w:val="26"/>
        </w:rPr>
        <w:t xml:space="preserve">currently developing Project 2014-01, Standards Applicability for Dispersed Generation Resources, to review the applicability of Reliability Standards with requirements that apply to </w:t>
      </w:r>
      <w:r w:rsidR="00C664ED">
        <w:rPr>
          <w:szCs w:val="26"/>
        </w:rPr>
        <w:t>g</w:t>
      </w:r>
      <w:r w:rsidR="00BF2988" w:rsidRPr="00C664ED">
        <w:rPr>
          <w:szCs w:val="26"/>
        </w:rPr>
        <w:t xml:space="preserve">enerator </w:t>
      </w:r>
      <w:r w:rsidR="00C664ED">
        <w:rPr>
          <w:szCs w:val="26"/>
        </w:rPr>
        <w:t>o</w:t>
      </w:r>
      <w:r w:rsidR="00BF2988" w:rsidRPr="00C664ED">
        <w:rPr>
          <w:szCs w:val="26"/>
        </w:rPr>
        <w:t xml:space="preserve">wners and </w:t>
      </w:r>
      <w:r w:rsidR="00C664ED">
        <w:rPr>
          <w:szCs w:val="26"/>
        </w:rPr>
        <w:t>g</w:t>
      </w:r>
      <w:r w:rsidR="00BF2988" w:rsidRPr="00C664ED">
        <w:rPr>
          <w:szCs w:val="26"/>
        </w:rPr>
        <w:t xml:space="preserve">enerator </w:t>
      </w:r>
      <w:r w:rsidR="00C664ED">
        <w:rPr>
          <w:szCs w:val="26"/>
        </w:rPr>
        <w:t>operators, in which N</w:t>
      </w:r>
      <w:r w:rsidR="00BF2988" w:rsidRPr="00C664ED">
        <w:rPr>
          <w:szCs w:val="26"/>
        </w:rPr>
        <w:t xml:space="preserve">ERC will develop any necessary revisions to Reliability Standards </w:t>
      </w:r>
      <w:r w:rsidR="00C664ED">
        <w:rPr>
          <w:szCs w:val="26"/>
        </w:rPr>
        <w:t xml:space="preserve">relative to non-traditional generation sources.  NERC states that First Wind and AWEA </w:t>
      </w:r>
      <w:r w:rsidR="00BF2988" w:rsidRPr="00C664ED">
        <w:rPr>
          <w:szCs w:val="26"/>
        </w:rPr>
        <w:t>can participate in the process by attending standard drafting team meetings and through the submission of written comments.</w:t>
      </w:r>
    </w:p>
    <w:p w:rsidR="00C66A6C" w:rsidRPr="00C66A6C" w:rsidRDefault="00C664ED" w:rsidP="00670812">
      <w:pPr>
        <w:pStyle w:val="FERCparanumber"/>
        <w:rPr>
          <w:sz w:val="24"/>
        </w:rPr>
      </w:pPr>
      <w:r w:rsidRPr="00C66A6C">
        <w:rPr>
          <w:szCs w:val="26"/>
        </w:rPr>
        <w:t xml:space="preserve">In addition, NERC argues that </w:t>
      </w:r>
      <w:r w:rsidR="00BF2988" w:rsidRPr="00C66A6C">
        <w:rPr>
          <w:szCs w:val="26"/>
        </w:rPr>
        <w:t xml:space="preserve">First Wind’s </w:t>
      </w:r>
      <w:r w:rsidRPr="00C66A6C">
        <w:rPr>
          <w:szCs w:val="26"/>
        </w:rPr>
        <w:t xml:space="preserve">and AWEA’s </w:t>
      </w:r>
      <w:r w:rsidR="00BF2988" w:rsidRPr="00C66A6C">
        <w:rPr>
          <w:szCs w:val="26"/>
        </w:rPr>
        <w:t>request</w:t>
      </w:r>
      <w:r w:rsidRPr="00C66A6C">
        <w:rPr>
          <w:szCs w:val="26"/>
        </w:rPr>
        <w:t>s</w:t>
      </w:r>
      <w:r w:rsidR="00BF2988" w:rsidRPr="00C66A6C">
        <w:rPr>
          <w:szCs w:val="26"/>
        </w:rPr>
        <w:t xml:space="preserve"> for the Commission to reconsider </w:t>
      </w:r>
      <w:r w:rsidRPr="00C66A6C">
        <w:rPr>
          <w:szCs w:val="26"/>
        </w:rPr>
        <w:t xml:space="preserve">inclusion of individual dispersed power producing resources is </w:t>
      </w:r>
      <w:r w:rsidR="00BF2988" w:rsidRPr="00C66A6C">
        <w:rPr>
          <w:szCs w:val="26"/>
        </w:rPr>
        <w:t xml:space="preserve">an impermissible collateral attack </w:t>
      </w:r>
      <w:r w:rsidRPr="00C66A6C">
        <w:rPr>
          <w:szCs w:val="26"/>
        </w:rPr>
        <w:t xml:space="preserve">because </w:t>
      </w:r>
      <w:r w:rsidR="00BF2988" w:rsidRPr="00C66A6C">
        <w:rPr>
          <w:szCs w:val="26"/>
        </w:rPr>
        <w:t>this issue was decided on the merits</w:t>
      </w:r>
      <w:r w:rsidRPr="00C66A6C">
        <w:rPr>
          <w:szCs w:val="26"/>
        </w:rPr>
        <w:t xml:space="preserve"> in Order Nos. 773 and 773-A.  NERC states that </w:t>
      </w:r>
      <w:r w:rsidR="00BF2988" w:rsidRPr="00C66A6C">
        <w:rPr>
          <w:szCs w:val="26"/>
        </w:rPr>
        <w:t xml:space="preserve">Commission policy precludes </w:t>
      </w:r>
      <w:proofErr w:type="spellStart"/>
      <w:r w:rsidR="00BF2988" w:rsidRPr="00C66A6C">
        <w:rPr>
          <w:szCs w:val="26"/>
        </w:rPr>
        <w:t>relitigation</w:t>
      </w:r>
      <w:proofErr w:type="spellEnd"/>
      <w:r w:rsidR="00BF2988" w:rsidRPr="00C66A6C">
        <w:rPr>
          <w:szCs w:val="26"/>
        </w:rPr>
        <w:t xml:space="preserve"> of issues previously decided.</w:t>
      </w:r>
      <w:r w:rsidR="00C66A6C" w:rsidRPr="00C66A6C">
        <w:rPr>
          <w:szCs w:val="26"/>
        </w:rPr>
        <w:t xml:space="preserve">  </w:t>
      </w:r>
    </w:p>
    <w:p w:rsidR="00C66A6C" w:rsidRPr="00934905" w:rsidRDefault="00B22133" w:rsidP="00670812">
      <w:pPr>
        <w:pStyle w:val="FERCparanumber"/>
        <w:rPr>
          <w:szCs w:val="26"/>
        </w:rPr>
      </w:pPr>
      <w:r w:rsidRPr="00934905">
        <w:rPr>
          <w:szCs w:val="26"/>
        </w:rPr>
        <w:t xml:space="preserve">Exelon also filed reply comments.  </w:t>
      </w:r>
      <w:r w:rsidR="00CA2513" w:rsidRPr="00934905">
        <w:rPr>
          <w:szCs w:val="26"/>
        </w:rPr>
        <w:t xml:space="preserve">Exelon requests that the Commission deny ELCON’s request to remand note 2 of </w:t>
      </w:r>
      <w:r w:rsidR="00A266C2" w:rsidRPr="00934905">
        <w:rPr>
          <w:szCs w:val="26"/>
        </w:rPr>
        <w:t>exclusion E</w:t>
      </w:r>
      <w:r w:rsidR="00CA2513" w:rsidRPr="00934905">
        <w:rPr>
          <w:szCs w:val="26"/>
        </w:rPr>
        <w:t xml:space="preserve">1. </w:t>
      </w:r>
      <w:r w:rsidR="00A266C2" w:rsidRPr="00934905">
        <w:rPr>
          <w:szCs w:val="26"/>
        </w:rPr>
        <w:t xml:space="preserve"> </w:t>
      </w:r>
      <w:r w:rsidR="00CA2513" w:rsidRPr="00934905">
        <w:rPr>
          <w:szCs w:val="26"/>
        </w:rPr>
        <w:t>Exelon state</w:t>
      </w:r>
      <w:r w:rsidR="009F444A" w:rsidRPr="00934905">
        <w:rPr>
          <w:szCs w:val="26"/>
        </w:rPr>
        <w:t>s</w:t>
      </w:r>
      <w:r w:rsidR="00CA2513" w:rsidRPr="00934905">
        <w:rPr>
          <w:szCs w:val="26"/>
        </w:rPr>
        <w:t xml:space="preserve"> that a remand will </w:t>
      </w:r>
      <w:r w:rsidR="00A266C2" w:rsidRPr="00934905">
        <w:rPr>
          <w:szCs w:val="26"/>
        </w:rPr>
        <w:t xml:space="preserve">require </w:t>
      </w:r>
      <w:r w:rsidR="00CA2513" w:rsidRPr="00934905">
        <w:rPr>
          <w:szCs w:val="26"/>
        </w:rPr>
        <w:t>more time than can be completed prior to July 1, 2014.  However, if the Commission grants ELCON’s request to remand, Exelon requests that the Commission approve note 2 as filed but direct NERC to consider changing the threshold in note 2.</w:t>
      </w:r>
      <w:r w:rsidR="009B0877">
        <w:rPr>
          <w:rStyle w:val="FootnoteReference"/>
        </w:rPr>
        <w:footnoteReference w:id="44"/>
      </w:r>
      <w:r w:rsidR="008E6C5B" w:rsidRPr="00934905">
        <w:rPr>
          <w:szCs w:val="26"/>
        </w:rPr>
        <w:t xml:space="preserve">  AWEA </w:t>
      </w:r>
      <w:r w:rsidR="008E6C4F" w:rsidRPr="00934905">
        <w:rPr>
          <w:szCs w:val="26"/>
        </w:rPr>
        <w:t xml:space="preserve">and First Wind each </w:t>
      </w:r>
      <w:r w:rsidR="008E6C5B" w:rsidRPr="00934905">
        <w:rPr>
          <w:szCs w:val="26"/>
        </w:rPr>
        <w:t>filed motion</w:t>
      </w:r>
      <w:r w:rsidR="008E6C4F" w:rsidRPr="00934905">
        <w:rPr>
          <w:szCs w:val="26"/>
        </w:rPr>
        <w:t>s</w:t>
      </w:r>
      <w:r w:rsidR="008E6C5B" w:rsidRPr="00934905">
        <w:rPr>
          <w:szCs w:val="26"/>
        </w:rPr>
        <w:t xml:space="preserve"> for leave to answer and answer</w:t>
      </w:r>
      <w:r w:rsidR="008E6C4F" w:rsidRPr="00934905">
        <w:rPr>
          <w:szCs w:val="26"/>
        </w:rPr>
        <w:t>s</w:t>
      </w:r>
      <w:r w:rsidR="008E6C5B" w:rsidRPr="00934905">
        <w:rPr>
          <w:szCs w:val="26"/>
        </w:rPr>
        <w:t xml:space="preserve"> to the NERC reply comments</w:t>
      </w:r>
      <w:r w:rsidR="008E6C4F" w:rsidRPr="00934905">
        <w:rPr>
          <w:szCs w:val="26"/>
        </w:rPr>
        <w:t xml:space="preserve">.  </w:t>
      </w:r>
      <w:r w:rsidR="008E6C4F" w:rsidRPr="009E2C53">
        <w:rPr>
          <w:szCs w:val="26"/>
        </w:rPr>
        <w:t>AWEA states</w:t>
      </w:r>
      <w:r w:rsidR="00934905" w:rsidRPr="009E2C53">
        <w:rPr>
          <w:szCs w:val="26"/>
        </w:rPr>
        <w:t xml:space="preserve"> </w:t>
      </w:r>
      <w:r w:rsidR="00670812" w:rsidRPr="009E2C53">
        <w:rPr>
          <w:szCs w:val="26"/>
        </w:rPr>
        <w:t xml:space="preserve">NERC has failed to offer any evidence that </w:t>
      </w:r>
      <w:r w:rsidR="00934905" w:rsidRPr="009E2C53">
        <w:rPr>
          <w:szCs w:val="26"/>
        </w:rPr>
        <w:t xml:space="preserve">individual wind turbines can affect the reliability of the bulk electric system and that the </w:t>
      </w:r>
      <w:r w:rsidR="00670812" w:rsidRPr="009E2C53">
        <w:rPr>
          <w:szCs w:val="26"/>
        </w:rPr>
        <w:t>200</w:t>
      </w:r>
      <w:r w:rsidR="0071767E">
        <w:rPr>
          <w:szCs w:val="26"/>
        </w:rPr>
        <w:t xml:space="preserve">9 </w:t>
      </w:r>
      <w:r w:rsidR="00934905" w:rsidRPr="009E2C53">
        <w:rPr>
          <w:szCs w:val="26"/>
        </w:rPr>
        <w:t xml:space="preserve">report </w:t>
      </w:r>
      <w:r w:rsidR="0071767E">
        <w:rPr>
          <w:szCs w:val="26"/>
        </w:rPr>
        <w:t xml:space="preserve">that NERC cites to </w:t>
      </w:r>
      <w:r w:rsidR="00934905" w:rsidRPr="009E2C53">
        <w:rPr>
          <w:szCs w:val="26"/>
        </w:rPr>
        <w:t xml:space="preserve">deals </w:t>
      </w:r>
      <w:r w:rsidR="00670812" w:rsidRPr="009E2C53">
        <w:rPr>
          <w:szCs w:val="26"/>
        </w:rPr>
        <w:t>with a</w:t>
      </w:r>
      <w:r w:rsidR="00934905" w:rsidRPr="009E2C53">
        <w:rPr>
          <w:szCs w:val="26"/>
        </w:rPr>
        <w:t xml:space="preserve"> </w:t>
      </w:r>
      <w:r w:rsidR="00670812" w:rsidRPr="009E2C53">
        <w:rPr>
          <w:szCs w:val="26"/>
        </w:rPr>
        <w:t>different set of generators and reliability issues</w:t>
      </w:r>
      <w:r w:rsidR="00934905" w:rsidRPr="009E2C53">
        <w:rPr>
          <w:szCs w:val="26"/>
        </w:rPr>
        <w:t>.  AWEA also states that Project 2014-</w:t>
      </w:r>
      <w:r w:rsidR="00B02D50">
        <w:rPr>
          <w:szCs w:val="26"/>
        </w:rPr>
        <w:t>0</w:t>
      </w:r>
      <w:r w:rsidR="00934905" w:rsidRPr="009E2C53">
        <w:rPr>
          <w:szCs w:val="26"/>
        </w:rPr>
        <w:t xml:space="preserve">1 will take too long </w:t>
      </w:r>
      <w:r w:rsidR="00670812" w:rsidRPr="009E2C53">
        <w:rPr>
          <w:szCs w:val="26"/>
        </w:rPr>
        <w:t>to avoid the costs and</w:t>
      </w:r>
      <w:r w:rsidR="00934905" w:rsidRPr="009E2C53">
        <w:rPr>
          <w:szCs w:val="26"/>
        </w:rPr>
        <w:t xml:space="preserve"> </w:t>
      </w:r>
      <w:r w:rsidR="00670812" w:rsidRPr="009E2C53">
        <w:rPr>
          <w:szCs w:val="26"/>
        </w:rPr>
        <w:t>confusion that the proposed definition will create.</w:t>
      </w:r>
      <w:r w:rsidR="00934905" w:rsidRPr="009E2C53">
        <w:rPr>
          <w:szCs w:val="26"/>
        </w:rPr>
        <w:t xml:space="preserve">  In its reply, </w:t>
      </w:r>
      <w:r w:rsidR="008E6C4F" w:rsidRPr="009E2C53">
        <w:rPr>
          <w:szCs w:val="26"/>
        </w:rPr>
        <w:t xml:space="preserve">First Wind states </w:t>
      </w:r>
      <w:r w:rsidR="00670812" w:rsidRPr="009E2C53">
        <w:rPr>
          <w:szCs w:val="26"/>
        </w:rPr>
        <w:t>that NERC’s reply comments took First Wind</w:t>
      </w:r>
      <w:r w:rsidR="00670812" w:rsidRPr="009E2C53">
        <w:rPr>
          <w:rFonts w:hint="eastAsia"/>
          <w:szCs w:val="26"/>
        </w:rPr>
        <w:t>’</w:t>
      </w:r>
      <w:r w:rsidR="00670812" w:rsidRPr="009E2C53">
        <w:rPr>
          <w:szCs w:val="26"/>
        </w:rPr>
        <w:t>s statement</w:t>
      </w:r>
      <w:r w:rsidR="0071767E">
        <w:rPr>
          <w:szCs w:val="26"/>
        </w:rPr>
        <w:t>,</w:t>
      </w:r>
      <w:r w:rsidR="00670812" w:rsidRPr="009E2C53">
        <w:rPr>
          <w:szCs w:val="26"/>
        </w:rPr>
        <w:t xml:space="preserve"> that an individual wind generator does not impact bulk electric system reliability</w:t>
      </w:r>
      <w:r w:rsidR="0071767E">
        <w:rPr>
          <w:szCs w:val="26"/>
        </w:rPr>
        <w:t>,</w:t>
      </w:r>
      <w:r w:rsidR="00670812" w:rsidRPr="009E2C53">
        <w:rPr>
          <w:szCs w:val="26"/>
        </w:rPr>
        <w:t xml:space="preserve"> out of context. </w:t>
      </w:r>
      <w:r w:rsidR="00627ED4">
        <w:rPr>
          <w:szCs w:val="26"/>
        </w:rPr>
        <w:t xml:space="preserve"> </w:t>
      </w:r>
      <w:r w:rsidR="00670812" w:rsidRPr="009E2C53">
        <w:rPr>
          <w:szCs w:val="26"/>
        </w:rPr>
        <w:t xml:space="preserve">First Wind states that individual wind generators behind the point at which its output is aggregated with other </w:t>
      </w:r>
      <w:r w:rsidR="00934905" w:rsidRPr="009E2C53">
        <w:rPr>
          <w:szCs w:val="26"/>
        </w:rPr>
        <w:t>wind</w:t>
      </w:r>
      <w:r w:rsidR="00670812" w:rsidRPr="009E2C53">
        <w:rPr>
          <w:szCs w:val="26"/>
        </w:rPr>
        <w:t xml:space="preserve"> generators </w:t>
      </w:r>
      <w:r w:rsidR="00670812" w:rsidRPr="009E2C53">
        <w:rPr>
          <w:szCs w:val="26"/>
        </w:rPr>
        <w:lastRenderedPageBreak/>
        <w:t>up to 75 MVA, does not individually affect reliability because a wind generation facility is designed with a single point of interconnection to the grid and with a protection system that will disconnect the entire facility from the grid in the event of a disturbance significant to affect grid reliability.</w:t>
      </w:r>
      <w:r w:rsidR="00B02D50">
        <w:rPr>
          <w:szCs w:val="26"/>
        </w:rPr>
        <w:t xml:space="preserve">  On March 10, 2014, Xcel Energy filed comments in support of AWEA and First Wind</w:t>
      </w:r>
      <w:r w:rsidR="00E613A8">
        <w:rPr>
          <w:szCs w:val="26"/>
        </w:rPr>
        <w:t xml:space="preserve"> regarding the applicability of the definition to dispersed generation resources</w:t>
      </w:r>
      <w:r w:rsidR="00B02D50">
        <w:rPr>
          <w:szCs w:val="26"/>
        </w:rPr>
        <w:t>.</w:t>
      </w:r>
      <w:r w:rsidR="008E6C5B" w:rsidRPr="00934905">
        <w:rPr>
          <w:szCs w:val="26"/>
        </w:rPr>
        <w:t xml:space="preserve"> </w:t>
      </w:r>
    </w:p>
    <w:p w:rsidR="00E738CD" w:rsidRDefault="006449E2" w:rsidP="00E738CD">
      <w:pPr>
        <w:pStyle w:val="Heading1"/>
        <w:rPr>
          <w:szCs w:val="26"/>
        </w:rPr>
      </w:pPr>
      <w:r w:rsidRPr="00831FCD">
        <w:rPr>
          <w:szCs w:val="26"/>
        </w:rPr>
        <w:t>Discussion</w:t>
      </w:r>
    </w:p>
    <w:p w:rsidR="00E738CD" w:rsidRPr="00E738CD" w:rsidRDefault="00E738CD" w:rsidP="00A55DA2">
      <w:pPr>
        <w:pStyle w:val="Heading2"/>
        <w:tabs>
          <w:tab w:val="clear" w:pos="1080"/>
          <w:tab w:val="num" w:pos="1440"/>
        </w:tabs>
        <w:ind w:left="1440"/>
        <w:rPr>
          <w:szCs w:val="26"/>
        </w:rPr>
      </w:pPr>
      <w:r>
        <w:rPr>
          <w:szCs w:val="26"/>
        </w:rPr>
        <w:t>Pr</w:t>
      </w:r>
      <w:r w:rsidRPr="00E738CD">
        <w:t>ocedural Matters</w:t>
      </w:r>
    </w:p>
    <w:p w:rsidR="00E738CD" w:rsidRPr="00086DE1" w:rsidRDefault="00E738CD" w:rsidP="0090464D">
      <w:pPr>
        <w:pStyle w:val="FERCparanumber"/>
      </w:pPr>
      <w:r w:rsidRPr="004401F9">
        <w:rPr>
          <w:szCs w:val="26"/>
        </w:rPr>
        <w:t>Pursuant to Rule 214 of the Commission’s Rules of Practice and Procedure,        18 C.F.R. § 385.214 (2013), the timely, unopposed motions to intervene serve to make the entities that filed them parties to this proceeding.</w:t>
      </w:r>
      <w:r>
        <w:t xml:space="preserve">  </w:t>
      </w:r>
      <w:r w:rsidR="004401F9">
        <w:t xml:space="preserve">We will also accept </w:t>
      </w:r>
      <w:r w:rsidR="0090464D">
        <w:t xml:space="preserve">the </w:t>
      </w:r>
      <w:r w:rsidR="004401F9">
        <w:t>motion</w:t>
      </w:r>
      <w:r w:rsidR="0090464D">
        <w:t>s</w:t>
      </w:r>
      <w:r w:rsidR="004401F9">
        <w:t xml:space="preserve"> to intervene out-of-time</w:t>
      </w:r>
      <w:r w:rsidR="003B6A3B">
        <w:t>.  Granting late interventions at this stage of the proceeding will not disrupt the proceeding or place additional burdens on existing parties</w:t>
      </w:r>
      <w:r w:rsidR="004401F9">
        <w:t xml:space="preserve">.  </w:t>
      </w:r>
      <w:r w:rsidRPr="00086DE1">
        <w:t>Rule 213(a</w:t>
      </w:r>
      <w:proofErr w:type="gramStart"/>
      <w:r w:rsidRPr="00086DE1">
        <w:t>)(</w:t>
      </w:r>
      <w:proofErr w:type="gramEnd"/>
      <w:r w:rsidRPr="00086DE1">
        <w:t>2) prohibits an answer to a protest or to answer unless otherwise ordered by the decisional authority.</w:t>
      </w:r>
      <w:r w:rsidRPr="00086DE1">
        <w:rPr>
          <w:rStyle w:val="FootnoteReference"/>
        </w:rPr>
        <w:footnoteReference w:id="45"/>
      </w:r>
      <w:r w:rsidRPr="00086DE1">
        <w:t xml:space="preserve">  We will treat </w:t>
      </w:r>
      <w:r w:rsidR="00A810FF">
        <w:t>the reply comments of NERC</w:t>
      </w:r>
      <w:r w:rsidR="00B02D50">
        <w:t xml:space="preserve">, </w:t>
      </w:r>
      <w:proofErr w:type="gramStart"/>
      <w:r w:rsidR="00A810FF">
        <w:t>Exelon</w:t>
      </w:r>
      <w:proofErr w:type="gramEnd"/>
      <w:r w:rsidR="00A810FF">
        <w:t xml:space="preserve"> </w:t>
      </w:r>
      <w:r w:rsidR="00B02D50">
        <w:t xml:space="preserve">and Xcel Energy </w:t>
      </w:r>
      <w:r w:rsidRPr="00086DE1">
        <w:t>as answer</w:t>
      </w:r>
      <w:r>
        <w:t>s</w:t>
      </w:r>
      <w:r w:rsidRPr="00086DE1">
        <w:t xml:space="preserve"> and accept the</w:t>
      </w:r>
      <w:r>
        <w:t>m</w:t>
      </w:r>
      <w:r w:rsidRPr="00086DE1">
        <w:t xml:space="preserve"> because </w:t>
      </w:r>
      <w:r w:rsidR="00AC657E">
        <w:t xml:space="preserve">they </w:t>
      </w:r>
      <w:r>
        <w:t>have provided information that ass</w:t>
      </w:r>
      <w:r w:rsidRPr="00086DE1">
        <w:t>i</w:t>
      </w:r>
      <w:r>
        <w:t>s</w:t>
      </w:r>
      <w:r w:rsidRPr="00086DE1">
        <w:t>ted us in our decision-making process</w:t>
      </w:r>
      <w:r>
        <w:t>.</w:t>
      </w:r>
      <w:r w:rsidR="008E6C4F">
        <w:t xml:space="preserve">  We also accept the AWEA and First Wind</w:t>
      </w:r>
      <w:r w:rsidR="00A810FF">
        <w:t xml:space="preserve"> </w:t>
      </w:r>
      <w:r w:rsidR="008E6C4F">
        <w:t xml:space="preserve">motions for leave to answer and answers. </w:t>
      </w:r>
    </w:p>
    <w:p w:rsidR="00E738CD" w:rsidRPr="00E738CD" w:rsidRDefault="00E738CD" w:rsidP="00A55DA2">
      <w:pPr>
        <w:pStyle w:val="Heading2"/>
        <w:tabs>
          <w:tab w:val="clear" w:pos="1080"/>
          <w:tab w:val="left" w:pos="1440"/>
        </w:tabs>
        <w:ind w:left="1440"/>
      </w:pPr>
      <w:r>
        <w:t>Commission Determination</w:t>
      </w:r>
    </w:p>
    <w:p w:rsidR="009B5CEF" w:rsidRPr="00C14E2F" w:rsidRDefault="00A45ABA" w:rsidP="00C14E2F">
      <w:pPr>
        <w:pStyle w:val="FERCparanumber"/>
        <w:rPr>
          <w:szCs w:val="26"/>
        </w:rPr>
      </w:pPr>
      <w:r w:rsidRPr="00831FCD">
        <w:rPr>
          <w:szCs w:val="26"/>
        </w:rPr>
        <w:t>Pursuant to section 215(d</w:t>
      </w:r>
      <w:proofErr w:type="gramStart"/>
      <w:r w:rsidRPr="00831FCD">
        <w:rPr>
          <w:szCs w:val="26"/>
        </w:rPr>
        <w:t>)(</w:t>
      </w:r>
      <w:proofErr w:type="gramEnd"/>
      <w:r w:rsidRPr="00831FCD">
        <w:rPr>
          <w:szCs w:val="26"/>
        </w:rPr>
        <w:t>2)</w:t>
      </w:r>
      <w:r w:rsidR="00EA3CAD">
        <w:rPr>
          <w:szCs w:val="26"/>
        </w:rPr>
        <w:t xml:space="preserve"> of the FPA</w:t>
      </w:r>
      <w:r w:rsidRPr="00831FCD">
        <w:rPr>
          <w:szCs w:val="26"/>
        </w:rPr>
        <w:t>, w</w:t>
      </w:r>
      <w:r w:rsidR="007544A2" w:rsidRPr="00831FCD">
        <w:rPr>
          <w:szCs w:val="26"/>
        </w:rPr>
        <w:t xml:space="preserve">e approve the revisions to the definition of bulk electric system as just, reasonable, not unduly discriminatory or preferential, and in the public interest.  As discussed below, we find that the proposed revisions to the definition of bulk electric system </w:t>
      </w:r>
      <w:r w:rsidR="00AA47F5">
        <w:rPr>
          <w:szCs w:val="26"/>
        </w:rPr>
        <w:t xml:space="preserve">either </w:t>
      </w:r>
      <w:r w:rsidR="007544A2" w:rsidRPr="00831FCD">
        <w:rPr>
          <w:szCs w:val="26"/>
        </w:rPr>
        <w:t>adequately address the Commission’s Order Nos. 773 and 773-A directives</w:t>
      </w:r>
      <w:r w:rsidR="004C05CC">
        <w:rPr>
          <w:szCs w:val="26"/>
        </w:rPr>
        <w:t xml:space="preserve"> or </w:t>
      </w:r>
      <w:r w:rsidR="00AA47F5">
        <w:rPr>
          <w:szCs w:val="26"/>
        </w:rPr>
        <w:t xml:space="preserve">provide an </w:t>
      </w:r>
      <w:r w:rsidR="007544A2" w:rsidRPr="00831FCD">
        <w:rPr>
          <w:szCs w:val="26"/>
        </w:rPr>
        <w:t>equally ef</w:t>
      </w:r>
      <w:r w:rsidR="00AA47F5">
        <w:rPr>
          <w:szCs w:val="26"/>
        </w:rPr>
        <w:t>fective and efficient approach</w:t>
      </w:r>
      <w:r w:rsidR="00537E29" w:rsidRPr="00831FCD">
        <w:rPr>
          <w:szCs w:val="26"/>
        </w:rPr>
        <w:t xml:space="preserve">.  </w:t>
      </w:r>
      <w:r w:rsidR="00287814">
        <w:rPr>
          <w:szCs w:val="26"/>
        </w:rPr>
        <w:t xml:space="preserve">We agree with NERC, APPA, </w:t>
      </w:r>
      <w:proofErr w:type="gramStart"/>
      <w:r w:rsidR="00011207">
        <w:rPr>
          <w:szCs w:val="26"/>
        </w:rPr>
        <w:t>Snohomish</w:t>
      </w:r>
      <w:proofErr w:type="gramEnd"/>
      <w:r w:rsidR="00011207">
        <w:rPr>
          <w:szCs w:val="26"/>
        </w:rPr>
        <w:t xml:space="preserve"> </w:t>
      </w:r>
      <w:r w:rsidR="00287814">
        <w:rPr>
          <w:szCs w:val="26"/>
        </w:rPr>
        <w:t xml:space="preserve">and TAPS </w:t>
      </w:r>
      <w:r w:rsidR="00011207">
        <w:rPr>
          <w:szCs w:val="26"/>
        </w:rPr>
        <w:t xml:space="preserve">that the </w:t>
      </w:r>
      <w:r w:rsidR="00011207" w:rsidRPr="00831FCD">
        <w:rPr>
          <w:szCs w:val="26"/>
        </w:rPr>
        <w:t xml:space="preserve">revised definition improves reliability by focusing on core facilities that present the greatest risks of reliability failure.  </w:t>
      </w:r>
      <w:r w:rsidR="00011207">
        <w:rPr>
          <w:szCs w:val="26"/>
        </w:rPr>
        <w:t xml:space="preserve">In addition, </w:t>
      </w:r>
      <w:proofErr w:type="spellStart"/>
      <w:r w:rsidR="00011207">
        <w:rPr>
          <w:szCs w:val="26"/>
        </w:rPr>
        <w:t>c</w:t>
      </w:r>
      <w:r w:rsidR="00537E29" w:rsidRPr="00831FCD">
        <w:rPr>
          <w:szCs w:val="26"/>
        </w:rPr>
        <w:t>ommenters</w:t>
      </w:r>
      <w:proofErr w:type="spellEnd"/>
      <w:r w:rsidR="00537E29" w:rsidRPr="00831FCD">
        <w:rPr>
          <w:szCs w:val="26"/>
        </w:rPr>
        <w:t xml:space="preserve"> raised no objections or concerns with NERC’s clarifying revisions to inclusions I1, I2</w:t>
      </w:r>
      <w:r w:rsidR="00C14E2F">
        <w:rPr>
          <w:szCs w:val="26"/>
        </w:rPr>
        <w:t xml:space="preserve">, </w:t>
      </w:r>
      <w:proofErr w:type="gramStart"/>
      <w:r w:rsidR="00537E29" w:rsidRPr="00831FCD">
        <w:rPr>
          <w:szCs w:val="26"/>
        </w:rPr>
        <w:t>I5</w:t>
      </w:r>
      <w:proofErr w:type="gramEnd"/>
      <w:r w:rsidR="00537E29" w:rsidRPr="00831FCD">
        <w:rPr>
          <w:szCs w:val="26"/>
        </w:rPr>
        <w:t xml:space="preserve"> or </w:t>
      </w:r>
      <w:r w:rsidR="005B4ABB">
        <w:rPr>
          <w:szCs w:val="26"/>
        </w:rPr>
        <w:t xml:space="preserve">the substantive revisions to </w:t>
      </w:r>
      <w:r w:rsidR="00537E29" w:rsidRPr="00831FCD">
        <w:rPr>
          <w:szCs w:val="26"/>
        </w:rPr>
        <w:t xml:space="preserve">exclusion E4.  </w:t>
      </w:r>
      <w:r w:rsidR="00537E29" w:rsidRPr="00C14E2F">
        <w:rPr>
          <w:szCs w:val="26"/>
        </w:rPr>
        <w:t xml:space="preserve">We find that these changes add clarity to the definition and, therefore, approve them.  </w:t>
      </w:r>
      <w:r w:rsidR="007544A2" w:rsidRPr="00C14E2F">
        <w:rPr>
          <w:szCs w:val="26"/>
        </w:rPr>
        <w:t xml:space="preserve">Below, we </w:t>
      </w:r>
      <w:r w:rsidR="00273A8C" w:rsidRPr="00C14E2F">
        <w:rPr>
          <w:szCs w:val="26"/>
        </w:rPr>
        <w:t xml:space="preserve">discuss </w:t>
      </w:r>
      <w:r w:rsidR="008C5E84" w:rsidRPr="00C14E2F">
        <w:rPr>
          <w:szCs w:val="26"/>
        </w:rPr>
        <w:t xml:space="preserve">the </w:t>
      </w:r>
      <w:r w:rsidR="00C14E2F">
        <w:rPr>
          <w:szCs w:val="26"/>
        </w:rPr>
        <w:t xml:space="preserve">remaining </w:t>
      </w:r>
      <w:r w:rsidR="008C5E84" w:rsidRPr="00C14E2F">
        <w:rPr>
          <w:szCs w:val="26"/>
        </w:rPr>
        <w:t>revisions to exclusions E1 and E3 in response to the Commission’s directive</w:t>
      </w:r>
      <w:r w:rsidR="00AA6A4B">
        <w:rPr>
          <w:szCs w:val="26"/>
        </w:rPr>
        <w:t>s</w:t>
      </w:r>
      <w:r w:rsidR="008C5E84" w:rsidRPr="00C14E2F">
        <w:rPr>
          <w:szCs w:val="26"/>
        </w:rPr>
        <w:t>, and the revisions to inclusion I4</w:t>
      </w:r>
      <w:r w:rsidR="005B4ABB" w:rsidRPr="00C14E2F">
        <w:rPr>
          <w:szCs w:val="26"/>
        </w:rPr>
        <w:t xml:space="preserve"> developed during the Phase 2 process</w:t>
      </w:r>
      <w:r w:rsidR="008C5E84" w:rsidRPr="00C14E2F">
        <w:rPr>
          <w:szCs w:val="26"/>
        </w:rPr>
        <w:t>.</w:t>
      </w:r>
      <w:r w:rsidR="00537E29" w:rsidRPr="00C14E2F">
        <w:rPr>
          <w:szCs w:val="26"/>
        </w:rPr>
        <w:t xml:space="preserve">  </w:t>
      </w:r>
      <w:r w:rsidRPr="00C14E2F">
        <w:rPr>
          <w:szCs w:val="26"/>
        </w:rPr>
        <w:t xml:space="preserve"> </w:t>
      </w:r>
    </w:p>
    <w:p w:rsidR="00537E29" w:rsidRPr="00831FCD" w:rsidRDefault="00537E29" w:rsidP="00A55DA2">
      <w:pPr>
        <w:pStyle w:val="Heading3"/>
        <w:tabs>
          <w:tab w:val="clear" w:pos="1440"/>
          <w:tab w:val="num" w:pos="2160"/>
        </w:tabs>
        <w:ind w:left="2160"/>
      </w:pPr>
      <w:r w:rsidRPr="00831FCD">
        <w:lastRenderedPageBreak/>
        <w:t>Radial Systems (</w:t>
      </w:r>
      <w:r w:rsidR="00971B1D">
        <w:t>E</w:t>
      </w:r>
      <w:r w:rsidR="00971B1D" w:rsidRPr="00831FCD">
        <w:t xml:space="preserve">xclusion </w:t>
      </w:r>
      <w:r w:rsidRPr="00831FCD">
        <w:t>E1)</w:t>
      </w:r>
      <w:r w:rsidR="00046504">
        <w:t xml:space="preserve"> and Local Networks (Exclusion E3)</w:t>
      </w:r>
    </w:p>
    <w:p w:rsidR="002F37AC" w:rsidRPr="00484CF2" w:rsidRDefault="00230C11" w:rsidP="00C66A6C">
      <w:pPr>
        <w:pStyle w:val="FERCparanumber"/>
        <w:rPr>
          <w:szCs w:val="26"/>
        </w:rPr>
      </w:pPr>
      <w:r w:rsidRPr="00484CF2">
        <w:rPr>
          <w:szCs w:val="26"/>
        </w:rPr>
        <w:t xml:space="preserve">We find that NERC’s </w:t>
      </w:r>
      <w:r w:rsidR="00A45ABA" w:rsidRPr="00484CF2">
        <w:rPr>
          <w:szCs w:val="26"/>
        </w:rPr>
        <w:t xml:space="preserve">modification to exclusion E1, to add a </w:t>
      </w:r>
      <w:r w:rsidRPr="00484CF2">
        <w:rPr>
          <w:szCs w:val="26"/>
        </w:rPr>
        <w:t>50 kV threshold for excluding certain radial loops</w:t>
      </w:r>
      <w:r w:rsidR="00A45ABA" w:rsidRPr="00484CF2">
        <w:rPr>
          <w:szCs w:val="26"/>
        </w:rPr>
        <w:t>,</w:t>
      </w:r>
      <w:r w:rsidRPr="00484CF2">
        <w:rPr>
          <w:szCs w:val="26"/>
        </w:rPr>
        <w:t xml:space="preserve"> is reasonable.  We </w:t>
      </w:r>
      <w:r w:rsidR="00A45ABA" w:rsidRPr="00484CF2">
        <w:rPr>
          <w:szCs w:val="26"/>
        </w:rPr>
        <w:t xml:space="preserve">find that </w:t>
      </w:r>
      <w:r w:rsidRPr="00484CF2">
        <w:rPr>
          <w:szCs w:val="26"/>
        </w:rPr>
        <w:t>NERC</w:t>
      </w:r>
      <w:r w:rsidR="00A45ABA" w:rsidRPr="0094647B">
        <w:rPr>
          <w:szCs w:val="26"/>
        </w:rPr>
        <w:t xml:space="preserve">’s technical justification based on the </w:t>
      </w:r>
      <w:r w:rsidRPr="00B40CEF">
        <w:rPr>
          <w:szCs w:val="26"/>
        </w:rPr>
        <w:t>scenarios an</w:t>
      </w:r>
      <w:r w:rsidR="00B2356A" w:rsidRPr="00B40CEF">
        <w:rPr>
          <w:szCs w:val="26"/>
        </w:rPr>
        <w:t>d configurations utilized in its</w:t>
      </w:r>
      <w:r w:rsidRPr="00B40CEF">
        <w:rPr>
          <w:szCs w:val="26"/>
        </w:rPr>
        <w:t xml:space="preserve"> analysis </w:t>
      </w:r>
      <w:r w:rsidR="00A45ABA" w:rsidRPr="00B40CEF">
        <w:rPr>
          <w:szCs w:val="26"/>
        </w:rPr>
        <w:t xml:space="preserve">supports the selection of a 50 kV threshold </w:t>
      </w:r>
      <w:r w:rsidRPr="00BB31FD">
        <w:rPr>
          <w:szCs w:val="26"/>
        </w:rPr>
        <w:t xml:space="preserve">and represents the vast majority of configurations that will be encountered in the industry.  </w:t>
      </w:r>
      <w:r w:rsidR="00C63FA2" w:rsidRPr="00BB31FD">
        <w:rPr>
          <w:szCs w:val="26"/>
        </w:rPr>
        <w:t>As explained by NERC, “[t]</w:t>
      </w:r>
      <w:r w:rsidR="00C63FA2">
        <w:t>he standard drafting team conducted technical analysis including modeling the physics of loop flows through sub-100 kV systems, in order to determine an appropriate threshold.”</w:t>
      </w:r>
      <w:r w:rsidR="00C63FA2">
        <w:rPr>
          <w:rStyle w:val="FootnoteReference"/>
        </w:rPr>
        <w:footnoteReference w:id="46"/>
      </w:r>
      <w:r w:rsidR="00C63FA2">
        <w:t xml:space="preserve"> </w:t>
      </w:r>
      <w:r w:rsidR="00C63FA2" w:rsidRPr="00484CF2">
        <w:rPr>
          <w:szCs w:val="26"/>
        </w:rPr>
        <w:t xml:space="preserve"> Further, the NERC White Paper </w:t>
      </w:r>
      <w:r w:rsidR="00484CF2" w:rsidRPr="00484CF2">
        <w:rPr>
          <w:szCs w:val="26"/>
        </w:rPr>
        <w:t>explains</w:t>
      </w:r>
      <w:r w:rsidR="00C63FA2" w:rsidRPr="00484CF2">
        <w:rPr>
          <w:szCs w:val="26"/>
        </w:rPr>
        <w:t xml:space="preserve"> that </w:t>
      </w:r>
      <w:r w:rsidR="00484CF2" w:rsidRPr="00484CF2">
        <w:rPr>
          <w:szCs w:val="26"/>
        </w:rPr>
        <w:t>“the Standard Drafting Team conducted extensive simulations of power flows which demonstrated that there is no power reversal into the BES when circuit loop</w:t>
      </w:r>
      <w:r w:rsidR="00B40CEF">
        <w:rPr>
          <w:szCs w:val="26"/>
        </w:rPr>
        <w:t xml:space="preserve"> operating voltages are </w:t>
      </w:r>
      <w:r w:rsidR="008514BF">
        <w:rPr>
          <w:szCs w:val="26"/>
        </w:rPr>
        <w:t>[50 kV or less]</w:t>
      </w:r>
      <w:r w:rsidR="00B40CEF">
        <w:rPr>
          <w:szCs w:val="26"/>
        </w:rPr>
        <w:t xml:space="preserve">.  Therefore the study concludes that low voltage circuit loops operated </w:t>
      </w:r>
      <w:r w:rsidR="008514BF">
        <w:rPr>
          <w:szCs w:val="26"/>
        </w:rPr>
        <w:t xml:space="preserve">[at 50 kV or less] </w:t>
      </w:r>
      <w:r w:rsidR="00B40CEF">
        <w:rPr>
          <w:szCs w:val="26"/>
        </w:rPr>
        <w:t>should not affect the application of Exclusion E1.”</w:t>
      </w:r>
      <w:r w:rsidR="00B40CEF">
        <w:rPr>
          <w:rStyle w:val="FootnoteReference"/>
        </w:rPr>
        <w:footnoteReference w:id="47"/>
      </w:r>
      <w:r w:rsidR="00484CF2">
        <w:rPr>
          <w:szCs w:val="26"/>
        </w:rPr>
        <w:t xml:space="preserve">  </w:t>
      </w:r>
      <w:r w:rsidR="00C63FA2" w:rsidRPr="00484CF2">
        <w:rPr>
          <w:szCs w:val="26"/>
        </w:rPr>
        <w:t xml:space="preserve">Accordingly, we conclude that NERC’s technical analysis for including a 50 kV threshold for excluding certain looped facilities is well supported.  Moreover, </w:t>
      </w:r>
      <w:r w:rsidR="00DE277F" w:rsidRPr="00484CF2">
        <w:rPr>
          <w:szCs w:val="26"/>
        </w:rPr>
        <w:t>NERC’s</w:t>
      </w:r>
      <w:r w:rsidR="00A45ABA" w:rsidRPr="00484CF2">
        <w:rPr>
          <w:szCs w:val="26"/>
        </w:rPr>
        <w:t xml:space="preserve"> </w:t>
      </w:r>
      <w:r w:rsidRPr="00484CF2">
        <w:rPr>
          <w:szCs w:val="26"/>
        </w:rPr>
        <w:t xml:space="preserve">approach is </w:t>
      </w:r>
      <w:r w:rsidR="00A45ABA" w:rsidRPr="00484CF2">
        <w:rPr>
          <w:szCs w:val="26"/>
        </w:rPr>
        <w:t xml:space="preserve">also </w:t>
      </w:r>
      <w:r w:rsidRPr="00484CF2">
        <w:rPr>
          <w:szCs w:val="26"/>
        </w:rPr>
        <w:t xml:space="preserve">consistent with the bright-line threshold </w:t>
      </w:r>
      <w:r w:rsidR="00A45ABA" w:rsidRPr="00484CF2">
        <w:rPr>
          <w:szCs w:val="26"/>
        </w:rPr>
        <w:t xml:space="preserve">concept in the definition which is </w:t>
      </w:r>
      <w:r w:rsidRPr="00484CF2">
        <w:rPr>
          <w:szCs w:val="26"/>
        </w:rPr>
        <w:t>designed to eliminate ambiguity</w:t>
      </w:r>
      <w:r w:rsidR="00A45ABA" w:rsidRPr="00484CF2">
        <w:rPr>
          <w:szCs w:val="26"/>
        </w:rPr>
        <w:t xml:space="preserve">.  </w:t>
      </w:r>
    </w:p>
    <w:p w:rsidR="00BB31FD" w:rsidRDefault="00385BB6" w:rsidP="002F37AC">
      <w:pPr>
        <w:pStyle w:val="FERCparanumber"/>
        <w:rPr>
          <w:szCs w:val="26"/>
        </w:rPr>
      </w:pPr>
      <w:r w:rsidRPr="002F37AC">
        <w:rPr>
          <w:szCs w:val="26"/>
        </w:rPr>
        <w:t xml:space="preserve">We are not persuaded by ELCON’s argument to remand the selection of the 50 kV </w:t>
      </w:r>
      <w:proofErr w:type="gramStart"/>
      <w:r w:rsidRPr="002F37AC">
        <w:rPr>
          <w:szCs w:val="26"/>
        </w:rPr>
        <w:t>threshold</w:t>
      </w:r>
      <w:proofErr w:type="gramEnd"/>
      <w:r w:rsidRPr="002F37AC">
        <w:rPr>
          <w:szCs w:val="26"/>
        </w:rPr>
        <w:t xml:space="preserve">.  </w:t>
      </w:r>
      <w:r w:rsidR="00A45ABA" w:rsidRPr="002F37AC">
        <w:rPr>
          <w:szCs w:val="26"/>
        </w:rPr>
        <w:t xml:space="preserve">NERC’s technical analysis </w:t>
      </w:r>
      <w:r w:rsidR="00230C11" w:rsidRPr="002F37AC">
        <w:rPr>
          <w:szCs w:val="26"/>
        </w:rPr>
        <w:t xml:space="preserve">demonstrates that 50 kV is an appropriate level for determining whether a portion of the system is considered radial and is therefore a candidate for exclusion from the </w:t>
      </w:r>
      <w:r w:rsidR="00A45ABA" w:rsidRPr="002F37AC">
        <w:rPr>
          <w:szCs w:val="26"/>
        </w:rPr>
        <w:t xml:space="preserve">bulk electric system </w:t>
      </w:r>
      <w:r w:rsidR="00230C11" w:rsidRPr="002F37AC">
        <w:rPr>
          <w:szCs w:val="26"/>
        </w:rPr>
        <w:t xml:space="preserve">by application of </w:t>
      </w:r>
      <w:r w:rsidR="00A45ABA" w:rsidRPr="002F37AC">
        <w:rPr>
          <w:szCs w:val="26"/>
        </w:rPr>
        <w:t>e</w:t>
      </w:r>
      <w:r w:rsidR="00230C11" w:rsidRPr="002F37AC">
        <w:rPr>
          <w:szCs w:val="26"/>
        </w:rPr>
        <w:t>xclusion E1</w:t>
      </w:r>
      <w:r w:rsidR="00A45ABA" w:rsidRPr="002F37AC">
        <w:rPr>
          <w:szCs w:val="26"/>
        </w:rPr>
        <w:t xml:space="preserve"> </w:t>
      </w:r>
      <w:r w:rsidR="00230C11" w:rsidRPr="002F37AC">
        <w:rPr>
          <w:szCs w:val="26"/>
        </w:rPr>
        <w:t xml:space="preserve">or is considered a networked system and therefore a candidate for exclusion by application of </w:t>
      </w:r>
      <w:r w:rsidR="00A45ABA" w:rsidRPr="002F37AC">
        <w:rPr>
          <w:szCs w:val="26"/>
        </w:rPr>
        <w:t>e</w:t>
      </w:r>
      <w:r w:rsidR="00230C11" w:rsidRPr="002F37AC">
        <w:rPr>
          <w:szCs w:val="26"/>
        </w:rPr>
        <w:t xml:space="preserve">xclusion E3. </w:t>
      </w:r>
      <w:r w:rsidR="00A45ABA" w:rsidRPr="002F37AC">
        <w:rPr>
          <w:szCs w:val="26"/>
        </w:rPr>
        <w:t xml:space="preserve"> We find that the technical justification </w:t>
      </w:r>
      <w:r w:rsidR="00230C11" w:rsidRPr="002F37AC">
        <w:rPr>
          <w:szCs w:val="26"/>
        </w:rPr>
        <w:t xml:space="preserve">resulted from </w:t>
      </w:r>
      <w:r w:rsidR="00A45ABA" w:rsidRPr="002F37AC">
        <w:rPr>
          <w:szCs w:val="26"/>
        </w:rPr>
        <w:t xml:space="preserve">NERC’s </w:t>
      </w:r>
      <w:r w:rsidR="00230C11" w:rsidRPr="002F37AC">
        <w:rPr>
          <w:szCs w:val="26"/>
        </w:rPr>
        <w:t>extensive simulations whi</w:t>
      </w:r>
      <w:r w:rsidR="00A45ABA" w:rsidRPr="002F37AC">
        <w:rPr>
          <w:szCs w:val="26"/>
        </w:rPr>
        <w:t>ch demonstrate</w:t>
      </w:r>
      <w:r w:rsidR="00230C11" w:rsidRPr="002F37AC">
        <w:rPr>
          <w:szCs w:val="26"/>
        </w:rPr>
        <w:t xml:space="preserve"> that power flow reversal into the </w:t>
      </w:r>
      <w:r w:rsidR="00A45ABA" w:rsidRPr="002F37AC">
        <w:rPr>
          <w:szCs w:val="26"/>
        </w:rPr>
        <w:t xml:space="preserve">bulk electric system </w:t>
      </w:r>
      <w:r w:rsidR="00230C11" w:rsidRPr="002F37AC">
        <w:rPr>
          <w:szCs w:val="26"/>
        </w:rPr>
        <w:t>is unlikely when circuit loop oper</w:t>
      </w:r>
      <w:r w:rsidR="00A45ABA" w:rsidRPr="002F37AC">
        <w:rPr>
          <w:szCs w:val="26"/>
        </w:rPr>
        <w:t>ating voltages are below 50 kV.</w:t>
      </w:r>
      <w:r w:rsidR="00BB31FD">
        <w:rPr>
          <w:rStyle w:val="FootnoteReference"/>
        </w:rPr>
        <w:footnoteReference w:id="48"/>
      </w:r>
      <w:r w:rsidR="00A45ABA" w:rsidRPr="002F37AC">
        <w:rPr>
          <w:szCs w:val="26"/>
        </w:rPr>
        <w:t xml:space="preserve">  We also conclude that using </w:t>
      </w:r>
      <w:r w:rsidR="00230C11" w:rsidRPr="002F37AC">
        <w:rPr>
          <w:szCs w:val="26"/>
        </w:rPr>
        <w:t xml:space="preserve">power flow reversal as the criterion to establish this threshold is </w:t>
      </w:r>
      <w:r w:rsidR="00A45ABA" w:rsidRPr="002F37AC">
        <w:rPr>
          <w:szCs w:val="26"/>
        </w:rPr>
        <w:t xml:space="preserve">reasonable and </w:t>
      </w:r>
      <w:r w:rsidR="00230C11" w:rsidRPr="002F37AC">
        <w:rPr>
          <w:szCs w:val="26"/>
        </w:rPr>
        <w:lastRenderedPageBreak/>
        <w:t xml:space="preserve">consistent with </w:t>
      </w:r>
      <w:r w:rsidR="00A45ABA" w:rsidRPr="002F37AC">
        <w:rPr>
          <w:szCs w:val="26"/>
        </w:rPr>
        <w:t>e</w:t>
      </w:r>
      <w:r w:rsidR="00230C11" w:rsidRPr="002F37AC">
        <w:rPr>
          <w:szCs w:val="26"/>
        </w:rPr>
        <w:t xml:space="preserve">xclusion E3, which precludes exclusion of facilities when power flows into the </w:t>
      </w:r>
      <w:r w:rsidR="00A45ABA" w:rsidRPr="002F37AC">
        <w:rPr>
          <w:szCs w:val="26"/>
        </w:rPr>
        <w:t>bulk electric system</w:t>
      </w:r>
      <w:r w:rsidR="00230C11" w:rsidRPr="002F37AC">
        <w:rPr>
          <w:szCs w:val="26"/>
        </w:rPr>
        <w:t>.</w:t>
      </w:r>
      <w:r w:rsidR="00DE0B33">
        <w:rPr>
          <w:rStyle w:val="FootnoteReference"/>
        </w:rPr>
        <w:footnoteReference w:id="49"/>
      </w:r>
      <w:r w:rsidR="00230C11" w:rsidRPr="002F37AC">
        <w:rPr>
          <w:szCs w:val="26"/>
        </w:rPr>
        <w:t xml:space="preserve">  </w:t>
      </w:r>
      <w:r w:rsidR="00C7678D">
        <w:rPr>
          <w:szCs w:val="26"/>
        </w:rPr>
        <w:t xml:space="preserve">Also, while ELCON focuses its arguments on “inside-the-fence” loops, ELCON has not explained adequately how such configurations differ for reliability purposes from similar loops through small communities, military bases or other locations.   </w:t>
      </w:r>
    </w:p>
    <w:p w:rsidR="000D1D48" w:rsidRPr="002F37AC" w:rsidRDefault="000D1D48" w:rsidP="002F37AC">
      <w:pPr>
        <w:pStyle w:val="FERCparanumber"/>
        <w:rPr>
          <w:szCs w:val="26"/>
        </w:rPr>
      </w:pPr>
      <w:r w:rsidRPr="002F37AC">
        <w:rPr>
          <w:szCs w:val="26"/>
        </w:rPr>
        <w:t xml:space="preserve">Furthermore, we disagree with ELCON that NERC has ignored the proper functioning of the exception process.  We agree with NERC that the 50 kV threshold results in proper use of the exception process by achieving a balance to minimize the need for entities to utilize </w:t>
      </w:r>
      <w:r w:rsidR="001F3BF1">
        <w:rPr>
          <w:szCs w:val="26"/>
        </w:rPr>
        <w:t xml:space="preserve">the </w:t>
      </w:r>
      <w:r w:rsidRPr="002F37AC">
        <w:rPr>
          <w:szCs w:val="26"/>
        </w:rPr>
        <w:t>process, while permitting its use to either include or exclude facilities</w:t>
      </w:r>
      <w:r w:rsidR="00467306">
        <w:rPr>
          <w:szCs w:val="26"/>
        </w:rPr>
        <w:t>, as appropriate</w:t>
      </w:r>
      <w:r w:rsidRPr="002F37AC">
        <w:rPr>
          <w:szCs w:val="26"/>
        </w:rPr>
        <w:t xml:space="preserve">.  As NERC explains, the exception process is available to include facilities if power flow of facilities below 50 kV affects reliability and, in the same vein, </w:t>
      </w:r>
      <w:r w:rsidR="00467306">
        <w:rPr>
          <w:szCs w:val="26"/>
        </w:rPr>
        <w:t xml:space="preserve">exclude them </w:t>
      </w:r>
      <w:r w:rsidRPr="002F37AC">
        <w:rPr>
          <w:szCs w:val="26"/>
        </w:rPr>
        <w:t>if facilities are included by application of the core definition and do not qualify for application of exclusion E3</w:t>
      </w:r>
      <w:r w:rsidR="00467306">
        <w:rPr>
          <w:szCs w:val="26"/>
        </w:rPr>
        <w:t>.</w:t>
      </w:r>
    </w:p>
    <w:p w:rsidR="00537E29" w:rsidRDefault="00C14E2F" w:rsidP="00537E29">
      <w:pPr>
        <w:pStyle w:val="FERCparanumber"/>
        <w:rPr>
          <w:szCs w:val="26"/>
        </w:rPr>
      </w:pPr>
      <w:r>
        <w:rPr>
          <w:szCs w:val="26"/>
        </w:rPr>
        <w:t xml:space="preserve">In addition, we approve the revisions to exclusions E1 and E3 </w:t>
      </w:r>
      <w:r w:rsidRPr="00C14E2F">
        <w:rPr>
          <w:szCs w:val="26"/>
        </w:rPr>
        <w:t xml:space="preserve">to ensure that generator interconnection facilities at or above 100 kV connected to bulk electric system generators identified in inclusion I2 are not excluded from the bulk electric system.  </w:t>
      </w:r>
      <w:r w:rsidR="00831FCD" w:rsidRPr="00831FCD">
        <w:rPr>
          <w:szCs w:val="26"/>
        </w:rPr>
        <w:t xml:space="preserve">We also approve the removal of the phrase “or above 100 kV but” from exclusion E3.  </w:t>
      </w:r>
      <w:r w:rsidR="00537E29" w:rsidRPr="00831FCD">
        <w:rPr>
          <w:szCs w:val="26"/>
        </w:rPr>
        <w:t xml:space="preserve">In </w:t>
      </w:r>
      <w:r w:rsidR="00831FCD" w:rsidRPr="00831FCD">
        <w:rPr>
          <w:szCs w:val="26"/>
        </w:rPr>
        <w:t>Order No. 773</w:t>
      </w:r>
      <w:r w:rsidR="00537E29" w:rsidRPr="00831FCD">
        <w:rPr>
          <w:szCs w:val="26"/>
        </w:rPr>
        <w:t>, the Commission concluded that removing the 100 kV floor in exclusion E3 will decrease the burden for some entities that would have otherwise been included in the bulk electric system because these entities may now apply exclusion E3.</w:t>
      </w:r>
      <w:r w:rsidR="007546D6">
        <w:rPr>
          <w:szCs w:val="26"/>
        </w:rPr>
        <w:t xml:space="preserve"> </w:t>
      </w:r>
      <w:r w:rsidR="00537E29" w:rsidRPr="00831FCD">
        <w:rPr>
          <w:szCs w:val="26"/>
        </w:rPr>
        <w:t xml:space="preserve"> </w:t>
      </w:r>
      <w:r w:rsidR="00831FCD" w:rsidRPr="00831FCD">
        <w:rPr>
          <w:szCs w:val="26"/>
        </w:rPr>
        <w:t>As noted above, NERC requested</w:t>
      </w:r>
      <w:r w:rsidR="00537E29" w:rsidRPr="00831FCD">
        <w:rPr>
          <w:szCs w:val="26"/>
        </w:rPr>
        <w:t xml:space="preserve"> clarification that it should remove the phrase “or above 100 kV but” in the first sentence of exclusion E3.  </w:t>
      </w:r>
      <w:r w:rsidR="00831FCD" w:rsidRPr="00831FCD">
        <w:rPr>
          <w:szCs w:val="26"/>
        </w:rPr>
        <w:t>In Order No. 773-A the Commission agreed that</w:t>
      </w:r>
      <w:r w:rsidR="00537E29" w:rsidRPr="00831FCD">
        <w:rPr>
          <w:szCs w:val="26"/>
        </w:rPr>
        <w:t xml:space="preserve"> removing the phrase</w:t>
      </w:r>
      <w:r w:rsidR="00831FCD" w:rsidRPr="00831FCD">
        <w:rPr>
          <w:szCs w:val="26"/>
        </w:rPr>
        <w:t xml:space="preserve"> in </w:t>
      </w:r>
      <w:r w:rsidR="00537E29" w:rsidRPr="00831FCD">
        <w:rPr>
          <w:szCs w:val="26"/>
        </w:rPr>
        <w:t>the first sentence of exclusion E3 is an appropriate way to meet the Commission’s directive.</w:t>
      </w:r>
      <w:r w:rsidR="007546D6">
        <w:rPr>
          <w:rStyle w:val="FootnoteReference"/>
        </w:rPr>
        <w:footnoteReference w:id="50"/>
      </w:r>
      <w:r w:rsidR="00537E29" w:rsidRPr="00831FCD">
        <w:rPr>
          <w:szCs w:val="26"/>
        </w:rPr>
        <w:t xml:space="preserve">  </w:t>
      </w:r>
    </w:p>
    <w:p w:rsidR="00A45ABA" w:rsidRPr="00831FCD" w:rsidRDefault="00A45ABA" w:rsidP="00A55DA2">
      <w:pPr>
        <w:pStyle w:val="Heading3"/>
        <w:tabs>
          <w:tab w:val="clear" w:pos="1440"/>
          <w:tab w:val="num" w:pos="2160"/>
        </w:tabs>
        <w:ind w:left="2160"/>
      </w:pPr>
      <w:r w:rsidRPr="00831FCD">
        <w:t>Dispersed Power Producing Resources (</w:t>
      </w:r>
      <w:r w:rsidR="00C07DDD">
        <w:t>I</w:t>
      </w:r>
      <w:r w:rsidR="00C07DDD" w:rsidRPr="00831FCD">
        <w:t xml:space="preserve">nclusion </w:t>
      </w:r>
      <w:r w:rsidRPr="00831FCD">
        <w:t>I4)</w:t>
      </w:r>
    </w:p>
    <w:p w:rsidR="00815EF6" w:rsidRPr="00831FCD" w:rsidRDefault="00815EF6" w:rsidP="00831FCD">
      <w:pPr>
        <w:pStyle w:val="FERCparanumber"/>
        <w:rPr>
          <w:szCs w:val="26"/>
        </w:rPr>
      </w:pPr>
      <w:r w:rsidRPr="00831FCD">
        <w:rPr>
          <w:szCs w:val="26"/>
        </w:rPr>
        <w:t xml:space="preserve">We </w:t>
      </w:r>
      <w:r w:rsidR="00831FCD">
        <w:rPr>
          <w:szCs w:val="26"/>
        </w:rPr>
        <w:t xml:space="preserve">approve </w:t>
      </w:r>
      <w:r w:rsidRPr="00831FCD">
        <w:rPr>
          <w:szCs w:val="26"/>
        </w:rPr>
        <w:t xml:space="preserve">NERC’s revision to inclusion I4 to include collector systems from the point where the </w:t>
      </w:r>
      <w:r w:rsidR="00D2299C">
        <w:rPr>
          <w:szCs w:val="26"/>
        </w:rPr>
        <w:t>gross nameplate capacity</w:t>
      </w:r>
      <w:r w:rsidR="00D2299C" w:rsidRPr="00831FCD">
        <w:rPr>
          <w:szCs w:val="26"/>
        </w:rPr>
        <w:t xml:space="preserve"> </w:t>
      </w:r>
      <w:r w:rsidRPr="00831FCD">
        <w:rPr>
          <w:szCs w:val="26"/>
        </w:rPr>
        <w:t>aggregates to</w:t>
      </w:r>
      <w:r w:rsidR="00D2299C">
        <w:rPr>
          <w:szCs w:val="26"/>
        </w:rPr>
        <w:t xml:space="preserve"> greater than</w:t>
      </w:r>
      <w:r w:rsidRPr="00831FCD">
        <w:rPr>
          <w:szCs w:val="26"/>
        </w:rPr>
        <w:t xml:space="preserve"> 75 MVA to a common point of connection at a voltage of 100 kV or above.  </w:t>
      </w:r>
      <w:r w:rsidR="00831FCD" w:rsidRPr="00831FCD">
        <w:rPr>
          <w:szCs w:val="26"/>
        </w:rPr>
        <w:t xml:space="preserve">We agree with NERC that </w:t>
      </w:r>
      <w:r w:rsidR="00831FCD" w:rsidRPr="00831FCD">
        <w:rPr>
          <w:szCs w:val="26"/>
        </w:rPr>
        <w:lastRenderedPageBreak/>
        <w:t xml:space="preserve">the inclusion of the collector system is appropriate and consistent with the overall concept of applying the definition to identify elements that provide a reliability benefit to the interconnected transmission network.  </w:t>
      </w:r>
      <w:r w:rsidR="00831FCD">
        <w:rPr>
          <w:szCs w:val="26"/>
        </w:rPr>
        <w:t xml:space="preserve">NERC </w:t>
      </w:r>
      <w:r w:rsidR="00831FCD" w:rsidRPr="00831FCD">
        <w:rPr>
          <w:szCs w:val="26"/>
        </w:rPr>
        <w:t xml:space="preserve">only included those portions of the collector system that are </w:t>
      </w:r>
      <w:r w:rsidR="00831FCD">
        <w:rPr>
          <w:szCs w:val="26"/>
        </w:rPr>
        <w:t xml:space="preserve">used </w:t>
      </w:r>
      <w:r w:rsidR="00831FCD" w:rsidRPr="00831FCD">
        <w:rPr>
          <w:szCs w:val="26"/>
        </w:rPr>
        <w:t xml:space="preserve">for delivering the aggregated </w:t>
      </w:r>
      <w:r w:rsidR="001F1C20">
        <w:rPr>
          <w:szCs w:val="26"/>
        </w:rPr>
        <w:t xml:space="preserve">gross nameplate </w:t>
      </w:r>
      <w:r w:rsidR="00831FCD" w:rsidRPr="00831FCD">
        <w:rPr>
          <w:szCs w:val="26"/>
        </w:rPr>
        <w:t xml:space="preserve">capacity of the dispersed power </w:t>
      </w:r>
      <w:r w:rsidR="001F1C20">
        <w:rPr>
          <w:szCs w:val="26"/>
        </w:rPr>
        <w:t xml:space="preserve">producing </w:t>
      </w:r>
      <w:r w:rsidR="00831FCD" w:rsidRPr="00831FCD">
        <w:rPr>
          <w:szCs w:val="26"/>
        </w:rPr>
        <w:t xml:space="preserve">resources to the interconnected transmission </w:t>
      </w:r>
      <w:r w:rsidR="00831FCD">
        <w:rPr>
          <w:szCs w:val="26"/>
        </w:rPr>
        <w:t>network</w:t>
      </w:r>
      <w:r w:rsidR="00831FCD" w:rsidRPr="00831FCD">
        <w:rPr>
          <w:szCs w:val="26"/>
        </w:rPr>
        <w:t xml:space="preserve">. </w:t>
      </w:r>
      <w:r w:rsidR="00831FCD">
        <w:rPr>
          <w:szCs w:val="26"/>
        </w:rPr>
        <w:t xml:space="preserve"> NERC states that t</w:t>
      </w:r>
      <w:r w:rsidR="00831FCD" w:rsidRPr="00831FCD">
        <w:rPr>
          <w:szCs w:val="26"/>
        </w:rPr>
        <w:t xml:space="preserve">he intervening equipment is being treated in a similar fashion to </w:t>
      </w:r>
      <w:r w:rsidR="00831FCD">
        <w:rPr>
          <w:szCs w:val="26"/>
        </w:rPr>
        <w:t>c</w:t>
      </w:r>
      <w:r w:rsidR="00831FCD" w:rsidRPr="00831FCD">
        <w:rPr>
          <w:szCs w:val="26"/>
        </w:rPr>
        <w:t xml:space="preserve">ranking </w:t>
      </w:r>
      <w:r w:rsidR="00831FCD">
        <w:rPr>
          <w:szCs w:val="26"/>
        </w:rPr>
        <w:t>p</w:t>
      </w:r>
      <w:r w:rsidR="00831FCD" w:rsidRPr="00831FCD">
        <w:rPr>
          <w:szCs w:val="26"/>
        </w:rPr>
        <w:t>aths.</w:t>
      </w:r>
      <w:r w:rsidR="00831FCD">
        <w:rPr>
          <w:szCs w:val="26"/>
        </w:rPr>
        <w:t xml:space="preserve"> </w:t>
      </w:r>
      <w:r w:rsidR="002A2D59">
        <w:rPr>
          <w:szCs w:val="26"/>
        </w:rPr>
        <w:t xml:space="preserve"> </w:t>
      </w:r>
      <w:r w:rsidR="00831FCD" w:rsidRPr="00831FCD">
        <w:rPr>
          <w:szCs w:val="26"/>
        </w:rPr>
        <w:t xml:space="preserve">Furthermore, </w:t>
      </w:r>
      <w:r w:rsidR="00831FCD">
        <w:rPr>
          <w:szCs w:val="26"/>
        </w:rPr>
        <w:t xml:space="preserve">as NERC states, </w:t>
      </w:r>
      <w:r w:rsidR="00831FCD" w:rsidRPr="00831FCD">
        <w:rPr>
          <w:szCs w:val="26"/>
        </w:rPr>
        <w:t xml:space="preserve">where collector systems support the reliable operation of the surrounding interconnected transmission system and do not have a distribution function, those excluded facilities may be candidates for inclusion through the </w:t>
      </w:r>
      <w:r w:rsidR="00831FCD">
        <w:rPr>
          <w:szCs w:val="26"/>
        </w:rPr>
        <w:t>e</w:t>
      </w:r>
      <w:r w:rsidR="00831FCD" w:rsidRPr="00831FCD">
        <w:rPr>
          <w:szCs w:val="26"/>
        </w:rPr>
        <w:t xml:space="preserve">xception </w:t>
      </w:r>
      <w:r w:rsidR="00831FCD">
        <w:rPr>
          <w:szCs w:val="26"/>
        </w:rPr>
        <w:t>p</w:t>
      </w:r>
      <w:r w:rsidR="00831FCD" w:rsidRPr="00831FCD">
        <w:rPr>
          <w:szCs w:val="26"/>
        </w:rPr>
        <w:t>rocess.</w:t>
      </w:r>
      <w:r w:rsidR="00DE3551">
        <w:rPr>
          <w:rStyle w:val="FootnoteReference"/>
        </w:rPr>
        <w:footnoteReference w:id="51"/>
      </w:r>
      <w:r w:rsidR="00831FCD">
        <w:rPr>
          <w:szCs w:val="26"/>
        </w:rPr>
        <w:t xml:space="preserve">  We agree with NERC</w:t>
      </w:r>
      <w:r w:rsidR="006A2AA0">
        <w:rPr>
          <w:szCs w:val="26"/>
        </w:rPr>
        <w:t xml:space="preserve"> that the identified </w:t>
      </w:r>
      <w:r w:rsidRPr="00831FCD">
        <w:rPr>
          <w:szCs w:val="26"/>
        </w:rPr>
        <w:t>portions of the collector system provide a reliability benefit to the interconnected transmission network</w:t>
      </w:r>
      <w:r w:rsidR="009127C9">
        <w:rPr>
          <w:szCs w:val="26"/>
        </w:rPr>
        <w:t xml:space="preserve"> and </w:t>
      </w:r>
      <w:r w:rsidRPr="00831FCD">
        <w:rPr>
          <w:szCs w:val="26"/>
        </w:rPr>
        <w:t xml:space="preserve">are easily identified within collector systems. </w:t>
      </w:r>
      <w:r w:rsidR="00831FCD">
        <w:rPr>
          <w:szCs w:val="26"/>
        </w:rPr>
        <w:t xml:space="preserve"> We also agree that the </w:t>
      </w:r>
      <w:r w:rsidRPr="00831FCD">
        <w:rPr>
          <w:szCs w:val="26"/>
        </w:rPr>
        <w:t>aggregation threshold is consistent with the</w:t>
      </w:r>
      <w:r w:rsidR="00A0075E" w:rsidRPr="00831FCD">
        <w:rPr>
          <w:szCs w:val="26"/>
        </w:rPr>
        <w:t xml:space="preserve"> </w:t>
      </w:r>
      <w:r w:rsidRPr="00831FCD">
        <w:rPr>
          <w:szCs w:val="26"/>
        </w:rPr>
        <w:t xml:space="preserve">aggregation of capacity in </w:t>
      </w:r>
      <w:r w:rsidR="00831FCD">
        <w:rPr>
          <w:szCs w:val="26"/>
        </w:rPr>
        <w:t>i</w:t>
      </w:r>
      <w:r w:rsidRPr="00831FCD">
        <w:rPr>
          <w:szCs w:val="26"/>
        </w:rPr>
        <w:t>nclusion I2 and recognize that the loss of those facilities would</w:t>
      </w:r>
      <w:r w:rsidR="00A0075E" w:rsidRPr="00831FCD">
        <w:rPr>
          <w:szCs w:val="26"/>
        </w:rPr>
        <w:t xml:space="preserve"> </w:t>
      </w:r>
      <w:r w:rsidRPr="00831FCD">
        <w:rPr>
          <w:szCs w:val="26"/>
        </w:rPr>
        <w:t xml:space="preserve">represent a loss of 75 MVA </w:t>
      </w:r>
      <w:proofErr w:type="gramStart"/>
      <w:r w:rsidRPr="00831FCD">
        <w:rPr>
          <w:szCs w:val="26"/>
        </w:rPr>
        <w:t>capacity</w:t>
      </w:r>
      <w:proofErr w:type="gramEnd"/>
      <w:r w:rsidRPr="00831FCD">
        <w:rPr>
          <w:szCs w:val="26"/>
        </w:rPr>
        <w:t xml:space="preserve"> to the </w:t>
      </w:r>
      <w:r w:rsidR="00831FCD">
        <w:rPr>
          <w:szCs w:val="26"/>
        </w:rPr>
        <w:t>b</w:t>
      </w:r>
      <w:r w:rsidRPr="00831FCD">
        <w:rPr>
          <w:szCs w:val="26"/>
        </w:rPr>
        <w:t xml:space="preserve">ulk </w:t>
      </w:r>
      <w:r w:rsidR="00831FCD">
        <w:rPr>
          <w:szCs w:val="26"/>
        </w:rPr>
        <w:t>e</w:t>
      </w:r>
      <w:r w:rsidRPr="00831FCD">
        <w:rPr>
          <w:szCs w:val="26"/>
        </w:rPr>
        <w:t xml:space="preserve">lectric </w:t>
      </w:r>
      <w:r w:rsidR="00831FCD">
        <w:rPr>
          <w:szCs w:val="26"/>
        </w:rPr>
        <w:t>s</w:t>
      </w:r>
      <w:r w:rsidRPr="00831FCD">
        <w:rPr>
          <w:szCs w:val="26"/>
        </w:rPr>
        <w:t xml:space="preserve">ystem and thus </w:t>
      </w:r>
      <w:r w:rsidR="009127C9">
        <w:rPr>
          <w:szCs w:val="26"/>
        </w:rPr>
        <w:t xml:space="preserve">have </w:t>
      </w:r>
      <w:r w:rsidRPr="00831FCD">
        <w:rPr>
          <w:szCs w:val="26"/>
        </w:rPr>
        <w:t>a potential reliability</w:t>
      </w:r>
      <w:r w:rsidR="00A0075E" w:rsidRPr="00831FCD">
        <w:rPr>
          <w:szCs w:val="26"/>
        </w:rPr>
        <w:t xml:space="preserve"> </w:t>
      </w:r>
      <w:r w:rsidRPr="00831FCD">
        <w:rPr>
          <w:szCs w:val="26"/>
        </w:rPr>
        <w:t xml:space="preserve">impact on the operation of the </w:t>
      </w:r>
      <w:r w:rsidR="00831FCD">
        <w:rPr>
          <w:szCs w:val="26"/>
        </w:rPr>
        <w:t>interconnected transmission network</w:t>
      </w:r>
      <w:r w:rsidRPr="00831FCD">
        <w:rPr>
          <w:szCs w:val="26"/>
        </w:rPr>
        <w:t>.</w:t>
      </w:r>
      <w:r w:rsidR="00831FCD">
        <w:rPr>
          <w:szCs w:val="26"/>
        </w:rPr>
        <w:t xml:space="preserve">  </w:t>
      </w:r>
    </w:p>
    <w:p w:rsidR="00A0075E" w:rsidRPr="00831FCD" w:rsidRDefault="00273A8C" w:rsidP="00831FCD">
      <w:pPr>
        <w:pStyle w:val="FERCparanumber"/>
        <w:rPr>
          <w:szCs w:val="26"/>
        </w:rPr>
      </w:pPr>
      <w:r w:rsidRPr="00831FCD">
        <w:rPr>
          <w:szCs w:val="26"/>
        </w:rPr>
        <w:t xml:space="preserve">We </w:t>
      </w:r>
      <w:r w:rsidR="00A0075E" w:rsidRPr="00831FCD">
        <w:rPr>
          <w:szCs w:val="26"/>
        </w:rPr>
        <w:t xml:space="preserve">also </w:t>
      </w:r>
      <w:r w:rsidR="00831FCD">
        <w:rPr>
          <w:szCs w:val="26"/>
        </w:rPr>
        <w:t xml:space="preserve">approve </w:t>
      </w:r>
      <w:r w:rsidR="00A0075E" w:rsidRPr="00831FCD">
        <w:rPr>
          <w:szCs w:val="26"/>
        </w:rPr>
        <w:t xml:space="preserve">NERC’s clarification </w:t>
      </w:r>
      <w:r w:rsidR="00831FCD">
        <w:rPr>
          <w:szCs w:val="26"/>
        </w:rPr>
        <w:t xml:space="preserve">to inclusion I4 </w:t>
      </w:r>
      <w:r w:rsidR="00A0075E" w:rsidRPr="00831FCD">
        <w:rPr>
          <w:szCs w:val="26"/>
        </w:rPr>
        <w:t xml:space="preserve">that all forms of generation resources, including variable generation resources, </w:t>
      </w:r>
      <w:r w:rsidR="00831FCD">
        <w:rPr>
          <w:szCs w:val="26"/>
        </w:rPr>
        <w:t xml:space="preserve">are </w:t>
      </w:r>
      <w:r w:rsidR="00A0075E" w:rsidRPr="00831FCD">
        <w:rPr>
          <w:szCs w:val="26"/>
        </w:rPr>
        <w:t xml:space="preserve">included </w:t>
      </w:r>
      <w:r w:rsidR="00831FCD">
        <w:rPr>
          <w:szCs w:val="26"/>
        </w:rPr>
        <w:t xml:space="preserve">in the bulk electric system.  </w:t>
      </w:r>
      <w:r w:rsidR="00831FCD" w:rsidRPr="00831FCD">
        <w:rPr>
          <w:szCs w:val="26"/>
        </w:rPr>
        <w:t>W</w:t>
      </w:r>
      <w:r w:rsidR="002A2D59">
        <w:rPr>
          <w:szCs w:val="26"/>
        </w:rPr>
        <w:t xml:space="preserve">e recognized that </w:t>
      </w:r>
      <w:r w:rsidR="00831FCD" w:rsidRPr="00831FCD">
        <w:rPr>
          <w:szCs w:val="26"/>
        </w:rPr>
        <w:t xml:space="preserve">individual resources </w:t>
      </w:r>
      <w:r w:rsidR="002A2D59">
        <w:rPr>
          <w:szCs w:val="26"/>
        </w:rPr>
        <w:t xml:space="preserve">were part of this inclusion in Order </w:t>
      </w:r>
      <w:r w:rsidR="00EC26BD">
        <w:rPr>
          <w:szCs w:val="26"/>
        </w:rPr>
        <w:t xml:space="preserve">  </w:t>
      </w:r>
      <w:r w:rsidR="002A2D59">
        <w:rPr>
          <w:szCs w:val="26"/>
        </w:rPr>
        <w:t>No. 773</w:t>
      </w:r>
      <w:r w:rsidR="00831FCD" w:rsidRPr="00831FCD">
        <w:rPr>
          <w:szCs w:val="26"/>
        </w:rPr>
        <w:t xml:space="preserve">, </w:t>
      </w:r>
      <w:r w:rsidR="00E90C16">
        <w:rPr>
          <w:szCs w:val="26"/>
        </w:rPr>
        <w:t xml:space="preserve">and </w:t>
      </w:r>
      <w:r w:rsidR="00D17B23">
        <w:rPr>
          <w:szCs w:val="26"/>
        </w:rPr>
        <w:t xml:space="preserve">NERC’s </w:t>
      </w:r>
      <w:r w:rsidR="00831FCD" w:rsidRPr="00831FCD">
        <w:rPr>
          <w:szCs w:val="26"/>
        </w:rPr>
        <w:t xml:space="preserve">proposed changes to </w:t>
      </w:r>
      <w:r w:rsidR="00D17B23">
        <w:rPr>
          <w:szCs w:val="26"/>
        </w:rPr>
        <w:t xml:space="preserve">inclusion I4 </w:t>
      </w:r>
      <w:r w:rsidR="00831FCD" w:rsidRPr="00831FCD">
        <w:rPr>
          <w:szCs w:val="26"/>
        </w:rPr>
        <w:t xml:space="preserve">clarify this </w:t>
      </w:r>
      <w:r w:rsidR="00D17B23">
        <w:rPr>
          <w:szCs w:val="26"/>
        </w:rPr>
        <w:t>inclusion</w:t>
      </w:r>
      <w:r w:rsidR="00831FCD" w:rsidRPr="00831FCD">
        <w:rPr>
          <w:szCs w:val="26"/>
        </w:rPr>
        <w:t>.</w:t>
      </w:r>
      <w:r w:rsidR="00E90C16">
        <w:rPr>
          <w:rStyle w:val="FootnoteReference"/>
        </w:rPr>
        <w:footnoteReference w:id="52"/>
      </w:r>
      <w:r w:rsidR="00831FCD">
        <w:rPr>
          <w:szCs w:val="26"/>
        </w:rPr>
        <w:t xml:space="preserve">  </w:t>
      </w:r>
      <w:r w:rsidR="00831FCD" w:rsidRPr="00831FCD">
        <w:rPr>
          <w:szCs w:val="26"/>
        </w:rPr>
        <w:t>We agree with NERC that, g</w:t>
      </w:r>
      <w:r w:rsidR="00A0075E" w:rsidRPr="00831FCD">
        <w:rPr>
          <w:szCs w:val="26"/>
        </w:rPr>
        <w:t xml:space="preserve">iven the increasing </w:t>
      </w:r>
      <w:r w:rsidR="002A2D59">
        <w:rPr>
          <w:szCs w:val="26"/>
        </w:rPr>
        <w:t xml:space="preserve">presence </w:t>
      </w:r>
      <w:r w:rsidR="00A0075E" w:rsidRPr="00831FCD">
        <w:rPr>
          <w:szCs w:val="26"/>
        </w:rPr>
        <w:t>of wind, solar, and other non-traditional forms of</w:t>
      </w:r>
      <w:r w:rsidR="001138E0" w:rsidRPr="00831FCD">
        <w:rPr>
          <w:szCs w:val="26"/>
        </w:rPr>
        <w:t xml:space="preserve"> </w:t>
      </w:r>
      <w:r w:rsidR="00A0075E" w:rsidRPr="00831FCD">
        <w:rPr>
          <w:szCs w:val="26"/>
        </w:rPr>
        <w:t>generation, continuing the inclusion of individual</w:t>
      </w:r>
      <w:r w:rsidR="001138E0" w:rsidRPr="00831FCD">
        <w:rPr>
          <w:szCs w:val="26"/>
        </w:rPr>
        <w:t xml:space="preserve"> </w:t>
      </w:r>
      <w:r w:rsidR="00A0075E" w:rsidRPr="00831FCD">
        <w:rPr>
          <w:szCs w:val="26"/>
        </w:rPr>
        <w:t>variable genera</w:t>
      </w:r>
      <w:r w:rsidR="00831FCD" w:rsidRPr="00831FCD">
        <w:rPr>
          <w:szCs w:val="26"/>
        </w:rPr>
        <w:t>tion units within the scope of the</w:t>
      </w:r>
      <w:r w:rsidR="00A0075E" w:rsidRPr="00831FCD">
        <w:rPr>
          <w:szCs w:val="26"/>
        </w:rPr>
        <w:t xml:space="preserve"> </w:t>
      </w:r>
      <w:r w:rsidR="00831FCD" w:rsidRPr="00831FCD">
        <w:rPr>
          <w:szCs w:val="26"/>
        </w:rPr>
        <w:t>d</w:t>
      </w:r>
      <w:r w:rsidR="00A0075E" w:rsidRPr="00831FCD">
        <w:rPr>
          <w:szCs w:val="26"/>
        </w:rPr>
        <w:t>efinition is appropriate to ensure</w:t>
      </w:r>
      <w:r w:rsidR="001138E0" w:rsidRPr="00831FCD">
        <w:rPr>
          <w:szCs w:val="26"/>
        </w:rPr>
        <w:t xml:space="preserve"> </w:t>
      </w:r>
      <w:r w:rsidR="00A0075E" w:rsidRPr="00831FCD">
        <w:rPr>
          <w:szCs w:val="26"/>
        </w:rPr>
        <w:t>that, where necessary to support reliability, these units may be subject to Reliability Standards.</w:t>
      </w:r>
      <w:r w:rsidR="00C7678D">
        <w:rPr>
          <w:szCs w:val="26"/>
        </w:rPr>
        <w:t xml:space="preserve">  Moreover, inclusion I4 is limited to individual resources that aggregate to a total capacity greater than 75 MVA, the same threshold applicable to other types of generating resources.  </w:t>
      </w:r>
    </w:p>
    <w:p w:rsidR="005E6FBA" w:rsidRPr="001F7680" w:rsidRDefault="00A0075E" w:rsidP="001F7680">
      <w:pPr>
        <w:pStyle w:val="FERCparanumber"/>
        <w:rPr>
          <w:szCs w:val="26"/>
        </w:rPr>
      </w:pPr>
      <w:r w:rsidRPr="00831FCD">
        <w:rPr>
          <w:szCs w:val="26"/>
        </w:rPr>
        <w:t>We a</w:t>
      </w:r>
      <w:r w:rsidR="00D15094" w:rsidRPr="00831FCD">
        <w:rPr>
          <w:szCs w:val="26"/>
        </w:rPr>
        <w:t xml:space="preserve">re not persuaded by </w:t>
      </w:r>
      <w:r w:rsidR="00273A8C" w:rsidRPr="00831FCD">
        <w:rPr>
          <w:szCs w:val="26"/>
        </w:rPr>
        <w:t xml:space="preserve">AWEA’s and </w:t>
      </w:r>
      <w:r w:rsidR="009B5CEF" w:rsidRPr="00831FCD">
        <w:rPr>
          <w:szCs w:val="26"/>
        </w:rPr>
        <w:t xml:space="preserve">First Wind’s requests with regard to </w:t>
      </w:r>
      <w:r w:rsidR="00D15094" w:rsidRPr="00831FCD">
        <w:rPr>
          <w:szCs w:val="26"/>
        </w:rPr>
        <w:t xml:space="preserve">clarifying or </w:t>
      </w:r>
      <w:r w:rsidR="009B5CEF" w:rsidRPr="00831FCD">
        <w:rPr>
          <w:szCs w:val="26"/>
        </w:rPr>
        <w:t>modifying inclusion I4</w:t>
      </w:r>
      <w:r w:rsidR="00D15094" w:rsidRPr="00831FCD">
        <w:rPr>
          <w:szCs w:val="26"/>
        </w:rPr>
        <w:t xml:space="preserve"> to exclude individual power producing resources</w:t>
      </w:r>
      <w:r w:rsidR="00831FCD">
        <w:rPr>
          <w:szCs w:val="26"/>
        </w:rPr>
        <w:t xml:space="preserve">.  </w:t>
      </w:r>
      <w:r w:rsidR="009B5CEF" w:rsidRPr="00831FCD">
        <w:rPr>
          <w:szCs w:val="26"/>
        </w:rPr>
        <w:t xml:space="preserve">The purpose of inclusion I4 is to include all forms of </w:t>
      </w:r>
      <w:r w:rsidR="00CF5A0B" w:rsidRPr="00831FCD">
        <w:rPr>
          <w:szCs w:val="26"/>
        </w:rPr>
        <w:t xml:space="preserve">variable generation </w:t>
      </w:r>
      <w:r w:rsidR="009B5CEF" w:rsidRPr="00831FCD">
        <w:rPr>
          <w:szCs w:val="26"/>
        </w:rPr>
        <w:t xml:space="preserve">resources. </w:t>
      </w:r>
      <w:r w:rsidR="00CF5A0B" w:rsidRPr="00831FCD">
        <w:rPr>
          <w:szCs w:val="26"/>
        </w:rPr>
        <w:t xml:space="preserve"> </w:t>
      </w:r>
      <w:r w:rsidR="009B5CEF" w:rsidRPr="00831FCD">
        <w:rPr>
          <w:szCs w:val="26"/>
        </w:rPr>
        <w:t>As we noted in Order No. 773, there are geographical areas that depend on these types of generation resources for the reliable operation of the interconnected transmission network</w:t>
      </w:r>
      <w:r w:rsidR="00CF5A0B" w:rsidRPr="00831FCD">
        <w:rPr>
          <w:szCs w:val="26"/>
        </w:rPr>
        <w:t>.</w:t>
      </w:r>
      <w:r w:rsidR="00F66068">
        <w:rPr>
          <w:rStyle w:val="FootnoteReference"/>
        </w:rPr>
        <w:footnoteReference w:id="53"/>
      </w:r>
      <w:r w:rsidR="00CF5A0B" w:rsidRPr="00831FCD">
        <w:rPr>
          <w:szCs w:val="26"/>
        </w:rPr>
        <w:t xml:space="preserve">  In any event, </w:t>
      </w:r>
      <w:r w:rsidR="00D15094" w:rsidRPr="00831FCD">
        <w:rPr>
          <w:szCs w:val="26"/>
        </w:rPr>
        <w:t>a</w:t>
      </w:r>
      <w:r w:rsidR="009B5CEF" w:rsidRPr="00831FCD">
        <w:rPr>
          <w:szCs w:val="26"/>
        </w:rPr>
        <w:t xml:space="preserve">s First Wind acknowledges, the Commission addressed the question of whether individual resources should be included in the </w:t>
      </w:r>
      <w:r w:rsidR="00D17B23">
        <w:rPr>
          <w:szCs w:val="26"/>
        </w:rPr>
        <w:t xml:space="preserve">bulk electric system </w:t>
      </w:r>
      <w:r w:rsidR="009B5CEF" w:rsidRPr="00831FCD">
        <w:rPr>
          <w:szCs w:val="26"/>
        </w:rPr>
        <w:lastRenderedPageBreak/>
        <w:t xml:space="preserve">definition in Order Nos. 773 and 773-A, and concluded that individual wind turbine generators should be included. </w:t>
      </w:r>
      <w:r w:rsidR="005D34ED">
        <w:rPr>
          <w:szCs w:val="26"/>
        </w:rPr>
        <w:t xml:space="preserve"> </w:t>
      </w:r>
      <w:r w:rsidR="00CF5A0B" w:rsidRPr="00831FCD">
        <w:rPr>
          <w:szCs w:val="26"/>
        </w:rPr>
        <w:t xml:space="preserve">Nothing in the AWEA and First Wind pleadings have </w:t>
      </w:r>
      <w:r w:rsidR="00831FCD" w:rsidRPr="00831FCD">
        <w:rPr>
          <w:szCs w:val="26"/>
        </w:rPr>
        <w:t>convinced</w:t>
      </w:r>
      <w:r w:rsidR="00CF5A0B" w:rsidRPr="00831FCD">
        <w:rPr>
          <w:szCs w:val="26"/>
        </w:rPr>
        <w:t xml:space="preserve"> us that our determinations in Orde</w:t>
      </w:r>
      <w:r w:rsidR="001F7680">
        <w:rPr>
          <w:szCs w:val="26"/>
        </w:rPr>
        <w:t xml:space="preserve">r No. 773 need to be revisited.  </w:t>
      </w:r>
      <w:r w:rsidR="001F7680" w:rsidRPr="001F7680">
        <w:rPr>
          <w:szCs w:val="26"/>
        </w:rPr>
        <w:t xml:space="preserve">As NERC noted in </w:t>
      </w:r>
      <w:r w:rsidR="001F7680">
        <w:rPr>
          <w:szCs w:val="26"/>
        </w:rPr>
        <w:t xml:space="preserve">a </w:t>
      </w:r>
      <w:r w:rsidR="001F7680" w:rsidRPr="001F7680">
        <w:rPr>
          <w:szCs w:val="26"/>
        </w:rPr>
        <w:t>2009 report</w:t>
      </w:r>
      <w:r w:rsidR="001F7680">
        <w:rPr>
          <w:szCs w:val="26"/>
        </w:rPr>
        <w:t xml:space="preserve"> on variable generation</w:t>
      </w:r>
      <w:r w:rsidR="001F7680" w:rsidRPr="001F7680">
        <w:rPr>
          <w:szCs w:val="26"/>
        </w:rPr>
        <w:t>, “[d]</w:t>
      </w:r>
      <w:proofErr w:type="spellStart"/>
      <w:r w:rsidR="001F7680" w:rsidRPr="001F7680">
        <w:rPr>
          <w:szCs w:val="26"/>
        </w:rPr>
        <w:t>istributed</w:t>
      </w:r>
      <w:proofErr w:type="spellEnd"/>
      <w:r w:rsidR="001F7680" w:rsidRPr="001F7680">
        <w:rPr>
          <w:szCs w:val="26"/>
        </w:rPr>
        <w:t xml:space="preserve"> variable generators, individually or in aggregate (e.g. small scale photovoltaic), can impact the bulk power system and need to be treated, where appropriate, in a similar manner to transmission connected variable generation. </w:t>
      </w:r>
      <w:r w:rsidR="00F66068">
        <w:rPr>
          <w:szCs w:val="26"/>
        </w:rPr>
        <w:t xml:space="preserve"> </w:t>
      </w:r>
      <w:r w:rsidR="001F7680" w:rsidRPr="001F7680">
        <w:rPr>
          <w:szCs w:val="26"/>
        </w:rPr>
        <w:t xml:space="preserve">The issues of </w:t>
      </w:r>
      <w:r w:rsidR="001F7680">
        <w:rPr>
          <w:szCs w:val="26"/>
        </w:rPr>
        <w:t xml:space="preserve">note </w:t>
      </w:r>
      <w:r w:rsidR="001F7680" w:rsidRPr="001F7680">
        <w:rPr>
          <w:szCs w:val="26"/>
        </w:rPr>
        <w:t xml:space="preserve">are forecasting, restoration, voltage ride-through, safety, reactive power, </w:t>
      </w:r>
      <w:proofErr w:type="spellStart"/>
      <w:proofErr w:type="gramStart"/>
      <w:r w:rsidR="001F7680" w:rsidRPr="001F7680">
        <w:rPr>
          <w:szCs w:val="26"/>
        </w:rPr>
        <w:t>observability</w:t>
      </w:r>
      <w:proofErr w:type="spellEnd"/>
      <w:proofErr w:type="gramEnd"/>
      <w:r w:rsidR="001F7680" w:rsidRPr="001F7680">
        <w:rPr>
          <w:szCs w:val="26"/>
        </w:rPr>
        <w:t xml:space="preserve"> and controllability.”</w:t>
      </w:r>
      <w:r w:rsidR="001F7680">
        <w:rPr>
          <w:rStyle w:val="FootnoteReference"/>
        </w:rPr>
        <w:footnoteReference w:id="54"/>
      </w:r>
      <w:r w:rsidR="001F7680" w:rsidRPr="001F7680">
        <w:rPr>
          <w:szCs w:val="26"/>
        </w:rPr>
        <w:t xml:space="preserve">  </w:t>
      </w:r>
      <w:r w:rsidR="00C7678D">
        <w:rPr>
          <w:szCs w:val="26"/>
        </w:rPr>
        <w:t xml:space="preserve">For example, a wind farm larger than 75 MVA can affect reliability if all of its wind turbines trip offline simultaneously after just a slight fluctuation in voltage or frequency.  </w:t>
      </w:r>
      <w:r w:rsidR="001F7680">
        <w:rPr>
          <w:szCs w:val="26"/>
        </w:rPr>
        <w:t>Therefore</w:t>
      </w:r>
      <w:r w:rsidR="001F7680" w:rsidRPr="001F7680">
        <w:rPr>
          <w:szCs w:val="26"/>
        </w:rPr>
        <w:t xml:space="preserve">, </w:t>
      </w:r>
      <w:r w:rsidR="001F7680">
        <w:rPr>
          <w:szCs w:val="26"/>
        </w:rPr>
        <w:t xml:space="preserve">because variable generation can impact the interconnected transmission network, </w:t>
      </w:r>
      <w:r w:rsidR="001F7680" w:rsidRPr="001F7680">
        <w:rPr>
          <w:szCs w:val="26"/>
        </w:rPr>
        <w:t>we anticipate that wind plant owners whose facilities meet the inclusion I4 criteria who seek to exclude individual wind turbines from the bulk electric system through the exception process will be infrequent.</w:t>
      </w:r>
      <w:r w:rsidR="00CF5A0B" w:rsidRPr="001F7680">
        <w:rPr>
          <w:szCs w:val="26"/>
        </w:rPr>
        <w:t xml:space="preserve"> </w:t>
      </w:r>
    </w:p>
    <w:p w:rsidR="00296CC0" w:rsidRDefault="008336A8" w:rsidP="00831FCD">
      <w:pPr>
        <w:pStyle w:val="FERCparanumber"/>
        <w:rPr>
          <w:szCs w:val="26"/>
        </w:rPr>
      </w:pPr>
      <w:r>
        <w:rPr>
          <w:szCs w:val="26"/>
        </w:rPr>
        <w:t xml:space="preserve">Both AWEA and First Wind raise concerns regarding the potential costs of dispersed generation facilities having to comply with a full array of NERC </w:t>
      </w:r>
      <w:r w:rsidR="006449BB">
        <w:rPr>
          <w:szCs w:val="26"/>
        </w:rPr>
        <w:t xml:space="preserve">Reliability Standards that apply to </w:t>
      </w:r>
      <w:r>
        <w:rPr>
          <w:szCs w:val="26"/>
        </w:rPr>
        <w:t>generator</w:t>
      </w:r>
      <w:r w:rsidR="006449BB">
        <w:rPr>
          <w:szCs w:val="26"/>
        </w:rPr>
        <w:t xml:space="preserve"> owners and ope</w:t>
      </w:r>
      <w:r w:rsidR="005E1FCE">
        <w:rPr>
          <w:szCs w:val="26"/>
        </w:rPr>
        <w:t>r</w:t>
      </w:r>
      <w:r w:rsidR="006449BB">
        <w:rPr>
          <w:szCs w:val="26"/>
        </w:rPr>
        <w:t>ators</w:t>
      </w:r>
      <w:r>
        <w:rPr>
          <w:szCs w:val="26"/>
        </w:rPr>
        <w:t>, arguing that many such standards were drafted with conventional generation in mind</w:t>
      </w:r>
      <w:r w:rsidR="00243F30">
        <w:rPr>
          <w:szCs w:val="26"/>
        </w:rPr>
        <w:t xml:space="preserve">.  </w:t>
      </w:r>
      <w:r>
        <w:rPr>
          <w:szCs w:val="26"/>
        </w:rPr>
        <w:t>First Wind specific</w:t>
      </w:r>
      <w:r w:rsidR="0089574C">
        <w:rPr>
          <w:szCs w:val="26"/>
        </w:rPr>
        <w:t>ally</w:t>
      </w:r>
      <w:r>
        <w:rPr>
          <w:szCs w:val="26"/>
        </w:rPr>
        <w:t xml:space="preserve"> requests, as alternative relief, that the Commission direct NERC to expedite consideration of a NERC project to revise the applicability of certain Reliability Standards that apply to generator owners and operators.  In reply comments, NERC</w:t>
      </w:r>
      <w:r w:rsidR="00523C2A">
        <w:rPr>
          <w:szCs w:val="26"/>
        </w:rPr>
        <w:t xml:space="preserve"> </w:t>
      </w:r>
      <w:r w:rsidRPr="00ED51C1">
        <w:rPr>
          <w:szCs w:val="26"/>
        </w:rPr>
        <w:t>states</w:t>
      </w:r>
      <w:r w:rsidR="003F5C73">
        <w:rPr>
          <w:szCs w:val="26"/>
        </w:rPr>
        <w:t xml:space="preserve"> that</w:t>
      </w:r>
      <w:r w:rsidRPr="00ED51C1">
        <w:rPr>
          <w:szCs w:val="26"/>
        </w:rPr>
        <w:t xml:space="preserve"> it is currently reviewing the applicability of Reliability Standards with requirements that apply to generator owners and generator operators of dispersed generation resources</w:t>
      </w:r>
      <w:r w:rsidR="00B80479">
        <w:rPr>
          <w:szCs w:val="26"/>
        </w:rPr>
        <w:t xml:space="preserve"> and invites interested persons, including AWEA and First Wind, to participate in the project</w:t>
      </w:r>
      <w:r w:rsidRPr="00ED51C1">
        <w:rPr>
          <w:szCs w:val="26"/>
        </w:rPr>
        <w:t>.</w:t>
      </w:r>
      <w:r w:rsidR="00B80479">
        <w:rPr>
          <w:rStyle w:val="FootnoteReference"/>
        </w:rPr>
        <w:footnoteReference w:id="55"/>
      </w:r>
      <w:r w:rsidR="00AA1FE7">
        <w:rPr>
          <w:rStyle w:val="FootnoteReference"/>
        </w:rPr>
        <w:t xml:space="preserve"> </w:t>
      </w:r>
      <w:r>
        <w:rPr>
          <w:szCs w:val="26"/>
        </w:rPr>
        <w:t xml:space="preserve"> </w:t>
      </w:r>
      <w:r w:rsidR="009B619E">
        <w:rPr>
          <w:szCs w:val="26"/>
        </w:rPr>
        <w:t>We believe that</w:t>
      </w:r>
      <w:r w:rsidR="00F0072A">
        <w:rPr>
          <w:szCs w:val="26"/>
        </w:rPr>
        <w:t xml:space="preserve"> it is appropriate for </w:t>
      </w:r>
      <w:r w:rsidR="009B5CEF" w:rsidRPr="00ED51C1">
        <w:rPr>
          <w:szCs w:val="26"/>
        </w:rPr>
        <w:t xml:space="preserve">NERC and its stakeholders </w:t>
      </w:r>
      <w:r w:rsidR="00F0072A">
        <w:rPr>
          <w:szCs w:val="26"/>
        </w:rPr>
        <w:t>to</w:t>
      </w:r>
      <w:r w:rsidR="009B5CEF" w:rsidRPr="00ED51C1">
        <w:rPr>
          <w:szCs w:val="26"/>
        </w:rPr>
        <w:t xml:space="preserve"> </w:t>
      </w:r>
      <w:r w:rsidR="00D17B23" w:rsidRPr="00ED51C1">
        <w:rPr>
          <w:szCs w:val="26"/>
        </w:rPr>
        <w:t>address AWEA</w:t>
      </w:r>
      <w:r w:rsidR="00471DE5">
        <w:rPr>
          <w:szCs w:val="26"/>
        </w:rPr>
        <w:t>’s</w:t>
      </w:r>
      <w:r w:rsidR="00D17B23" w:rsidRPr="00ED51C1">
        <w:rPr>
          <w:szCs w:val="26"/>
        </w:rPr>
        <w:t xml:space="preserve"> and First Wind’s concerns</w:t>
      </w:r>
      <w:r w:rsidR="00471DE5">
        <w:rPr>
          <w:szCs w:val="26"/>
        </w:rPr>
        <w:t xml:space="preserve"> in this manner.  For example</w:t>
      </w:r>
      <w:r w:rsidR="009B5CEF" w:rsidRPr="00ED51C1">
        <w:rPr>
          <w:szCs w:val="26"/>
        </w:rPr>
        <w:t>,</w:t>
      </w:r>
      <w:r w:rsidR="00471DE5">
        <w:rPr>
          <w:szCs w:val="26"/>
        </w:rPr>
        <w:t xml:space="preserve"> while </w:t>
      </w:r>
      <w:r w:rsidR="009B5CEF" w:rsidRPr="00ED51C1">
        <w:rPr>
          <w:szCs w:val="26"/>
        </w:rPr>
        <w:t>individual wind</w:t>
      </w:r>
      <w:r w:rsidR="00CF5A0B" w:rsidRPr="00ED51C1">
        <w:rPr>
          <w:szCs w:val="26"/>
        </w:rPr>
        <w:t xml:space="preserve"> </w:t>
      </w:r>
      <w:r w:rsidR="009B5CEF" w:rsidRPr="00ED51C1">
        <w:rPr>
          <w:szCs w:val="26"/>
        </w:rPr>
        <w:t xml:space="preserve">turbines </w:t>
      </w:r>
      <w:r w:rsidR="00D17B23" w:rsidRPr="00ED51C1">
        <w:rPr>
          <w:szCs w:val="26"/>
        </w:rPr>
        <w:t xml:space="preserve">are </w:t>
      </w:r>
      <w:r w:rsidR="002A2D59" w:rsidRPr="00ED51C1">
        <w:rPr>
          <w:szCs w:val="26"/>
        </w:rPr>
        <w:t xml:space="preserve">part of the bulk electric system if </w:t>
      </w:r>
      <w:r w:rsidR="004011AC" w:rsidRPr="00ED51C1">
        <w:rPr>
          <w:szCs w:val="26"/>
        </w:rPr>
        <w:t xml:space="preserve">their gross nameplate capacity </w:t>
      </w:r>
      <w:r w:rsidR="002A2D59" w:rsidRPr="00ED51C1">
        <w:rPr>
          <w:szCs w:val="26"/>
        </w:rPr>
        <w:t>aggregate</w:t>
      </w:r>
      <w:r w:rsidR="004011AC" w:rsidRPr="00ED51C1">
        <w:rPr>
          <w:szCs w:val="26"/>
        </w:rPr>
        <w:t>s</w:t>
      </w:r>
      <w:r w:rsidR="002A2D59" w:rsidRPr="00ED51C1">
        <w:rPr>
          <w:szCs w:val="26"/>
        </w:rPr>
        <w:t xml:space="preserve"> to</w:t>
      </w:r>
      <w:r w:rsidR="004011AC" w:rsidRPr="00ED51C1">
        <w:rPr>
          <w:szCs w:val="26"/>
        </w:rPr>
        <w:t xml:space="preserve"> </w:t>
      </w:r>
      <w:r w:rsidR="00675E4A" w:rsidRPr="00ED51C1">
        <w:rPr>
          <w:szCs w:val="26"/>
        </w:rPr>
        <w:t>greater</w:t>
      </w:r>
      <w:r w:rsidR="004011AC" w:rsidRPr="00ED51C1">
        <w:rPr>
          <w:szCs w:val="26"/>
        </w:rPr>
        <w:t xml:space="preserve"> than</w:t>
      </w:r>
      <w:r w:rsidR="002A2D59" w:rsidRPr="00ED51C1">
        <w:rPr>
          <w:szCs w:val="26"/>
        </w:rPr>
        <w:t xml:space="preserve"> 75 MVA, </w:t>
      </w:r>
      <w:r w:rsidR="00471DE5">
        <w:rPr>
          <w:szCs w:val="26"/>
        </w:rPr>
        <w:t xml:space="preserve">it may be appropriate that </w:t>
      </w:r>
      <w:r w:rsidR="0019747F" w:rsidRPr="00ED51C1">
        <w:rPr>
          <w:szCs w:val="26"/>
        </w:rPr>
        <w:t xml:space="preserve">owners of these wind turbines </w:t>
      </w:r>
      <w:r w:rsidR="009B5CEF" w:rsidRPr="00ED51C1">
        <w:rPr>
          <w:szCs w:val="26"/>
        </w:rPr>
        <w:t>be</w:t>
      </w:r>
      <w:r w:rsidR="00CF5A0B" w:rsidRPr="00ED51C1">
        <w:rPr>
          <w:szCs w:val="26"/>
        </w:rPr>
        <w:t xml:space="preserve"> </w:t>
      </w:r>
      <w:r w:rsidR="009B5CEF" w:rsidRPr="00ED51C1">
        <w:rPr>
          <w:szCs w:val="26"/>
        </w:rPr>
        <w:t xml:space="preserve">responsible for only a subset of </w:t>
      </w:r>
    </w:p>
    <w:p w:rsidR="00296CC0" w:rsidRDefault="00296CC0">
      <w:pPr>
        <w:widowControl/>
        <w:autoSpaceDE/>
        <w:autoSpaceDN/>
        <w:adjustRightInd/>
        <w:rPr>
          <w:szCs w:val="26"/>
        </w:rPr>
      </w:pPr>
      <w:r>
        <w:rPr>
          <w:szCs w:val="26"/>
        </w:rPr>
        <w:br w:type="page"/>
      </w:r>
    </w:p>
    <w:p w:rsidR="009B5CEF" w:rsidRPr="00ED51C1" w:rsidRDefault="009B5CEF" w:rsidP="00296CC0">
      <w:pPr>
        <w:pStyle w:val="FERCparanumber"/>
        <w:numPr>
          <w:ilvl w:val="0"/>
          <w:numId w:val="0"/>
        </w:numPr>
        <w:rPr>
          <w:szCs w:val="26"/>
        </w:rPr>
      </w:pPr>
      <w:proofErr w:type="gramStart"/>
      <w:r w:rsidRPr="00ED51C1">
        <w:rPr>
          <w:szCs w:val="26"/>
        </w:rPr>
        <w:lastRenderedPageBreak/>
        <w:t>the</w:t>
      </w:r>
      <w:proofErr w:type="gramEnd"/>
      <w:r w:rsidRPr="00ED51C1">
        <w:rPr>
          <w:szCs w:val="26"/>
        </w:rPr>
        <w:t xml:space="preserve"> </w:t>
      </w:r>
      <w:r w:rsidR="002A2D59" w:rsidRPr="00ED51C1">
        <w:rPr>
          <w:szCs w:val="26"/>
        </w:rPr>
        <w:t>r</w:t>
      </w:r>
      <w:r w:rsidRPr="00ED51C1">
        <w:rPr>
          <w:szCs w:val="26"/>
        </w:rPr>
        <w:t>equirements applicable to other</w:t>
      </w:r>
      <w:r w:rsidR="00CF5A0B" w:rsidRPr="00ED51C1">
        <w:rPr>
          <w:szCs w:val="26"/>
        </w:rPr>
        <w:t xml:space="preserve"> </w:t>
      </w:r>
      <w:r w:rsidRPr="00ED51C1">
        <w:rPr>
          <w:szCs w:val="26"/>
        </w:rPr>
        <w:t>generator</w:t>
      </w:r>
      <w:r w:rsidR="0019747F" w:rsidRPr="00ED51C1">
        <w:rPr>
          <w:szCs w:val="26"/>
        </w:rPr>
        <w:t xml:space="preserve"> owners</w:t>
      </w:r>
      <w:r w:rsidR="003B0A4C" w:rsidRPr="00ED51C1">
        <w:rPr>
          <w:szCs w:val="26"/>
        </w:rPr>
        <w:t>.</w:t>
      </w:r>
      <w:r w:rsidR="00C67380">
        <w:rPr>
          <w:rStyle w:val="FootnoteReference"/>
        </w:rPr>
        <w:footnoteReference w:id="56"/>
      </w:r>
      <w:r w:rsidR="00CB6B5F">
        <w:t xml:space="preserve">  As noted above, NERC has initiated Project 2014-01 to consider applicability of standards for dispersed generation resources and, accordingly, we will not direct NERC to expedite consideration as requested </w:t>
      </w:r>
      <w:r w:rsidR="00150FF8">
        <w:t>by</w:t>
      </w:r>
      <w:r w:rsidR="00467306">
        <w:t xml:space="preserve"> First Wind but would encourage First Wind’s and AWEA’s participation in NERC’s standard development process.  </w:t>
      </w:r>
      <w:r w:rsidR="00467306" w:rsidRPr="00ED51C1">
        <w:rPr>
          <w:szCs w:val="26"/>
        </w:rPr>
        <w:t xml:space="preserve">   </w:t>
      </w:r>
    </w:p>
    <w:p w:rsidR="00CF2228" w:rsidRPr="00831FCD" w:rsidRDefault="00CF2228" w:rsidP="00831FCD">
      <w:pPr>
        <w:pStyle w:val="FERCparanumber"/>
        <w:numPr>
          <w:ilvl w:val="0"/>
          <w:numId w:val="0"/>
        </w:numPr>
        <w:rPr>
          <w:szCs w:val="26"/>
        </w:rPr>
      </w:pPr>
      <w:r w:rsidRPr="00831FCD">
        <w:rPr>
          <w:szCs w:val="26"/>
          <w:u w:val="single"/>
        </w:rPr>
        <w:t>The Commission orders</w:t>
      </w:r>
      <w:r w:rsidRPr="00831FCD">
        <w:rPr>
          <w:szCs w:val="26"/>
        </w:rPr>
        <w:t>:</w:t>
      </w:r>
    </w:p>
    <w:p w:rsidR="00CF2228" w:rsidRPr="00831FCD" w:rsidRDefault="00831FCD" w:rsidP="00296CC0">
      <w:pPr>
        <w:ind w:firstLine="720"/>
        <w:outlineLvl w:val="0"/>
        <w:rPr>
          <w:szCs w:val="26"/>
        </w:rPr>
      </w:pPr>
      <w:r>
        <w:rPr>
          <w:szCs w:val="26"/>
        </w:rPr>
        <w:t xml:space="preserve">The Commission </w:t>
      </w:r>
      <w:r w:rsidR="00243F30">
        <w:rPr>
          <w:szCs w:val="26"/>
        </w:rPr>
        <w:t xml:space="preserve">hereby </w:t>
      </w:r>
      <w:r>
        <w:rPr>
          <w:szCs w:val="26"/>
        </w:rPr>
        <w:t>approves the revisions to the definition of bulk electric system as discussed in the body of this order.</w:t>
      </w:r>
    </w:p>
    <w:p w:rsidR="00CF2228" w:rsidRPr="00831FCD" w:rsidRDefault="00CF2228" w:rsidP="000F282C">
      <w:pPr>
        <w:rPr>
          <w:szCs w:val="26"/>
        </w:rPr>
      </w:pPr>
    </w:p>
    <w:p w:rsidR="00CF2228" w:rsidRDefault="00CF2228" w:rsidP="000F282C">
      <w:pPr>
        <w:rPr>
          <w:szCs w:val="26"/>
        </w:rPr>
      </w:pPr>
      <w:proofErr w:type="gramStart"/>
      <w:r w:rsidRPr="00831FCD">
        <w:rPr>
          <w:szCs w:val="26"/>
        </w:rPr>
        <w:t>By the Commission.</w:t>
      </w:r>
      <w:proofErr w:type="gramEnd"/>
    </w:p>
    <w:p w:rsidR="00296CC0" w:rsidRDefault="00296CC0" w:rsidP="000F282C">
      <w:pPr>
        <w:rPr>
          <w:szCs w:val="26"/>
        </w:rPr>
      </w:pPr>
    </w:p>
    <w:p w:rsidR="00CF2228" w:rsidRDefault="00296CC0" w:rsidP="00C40825">
      <w:pPr>
        <w:widowControl/>
        <w:rPr>
          <w:szCs w:val="26"/>
        </w:rPr>
      </w:pPr>
      <w:proofErr w:type="gramStart"/>
      <w:r w:rsidRPr="00296CC0">
        <w:rPr>
          <w:szCs w:val="26"/>
        </w:rPr>
        <w:t>( S</w:t>
      </w:r>
      <w:proofErr w:type="gramEnd"/>
      <w:r w:rsidRPr="00296CC0">
        <w:rPr>
          <w:szCs w:val="26"/>
        </w:rPr>
        <w:t xml:space="preserve"> E A L )</w:t>
      </w:r>
    </w:p>
    <w:p w:rsidR="00C40825" w:rsidRDefault="00C40825" w:rsidP="00C40825">
      <w:pPr>
        <w:widowControl/>
        <w:rPr>
          <w:szCs w:val="26"/>
        </w:rPr>
      </w:pPr>
    </w:p>
    <w:p w:rsidR="00C40825" w:rsidRDefault="00C40825" w:rsidP="00C40825">
      <w:pPr>
        <w:widowControl/>
        <w:rPr>
          <w:szCs w:val="26"/>
        </w:rPr>
      </w:pPr>
    </w:p>
    <w:p w:rsidR="00C40825" w:rsidRDefault="00C40825" w:rsidP="00C40825">
      <w:pPr>
        <w:widowControl/>
        <w:rPr>
          <w:szCs w:val="26"/>
        </w:rPr>
      </w:pPr>
    </w:p>
    <w:p w:rsidR="00C40825" w:rsidRPr="00C40825" w:rsidRDefault="00C40825" w:rsidP="00C40825">
      <w:pPr>
        <w:widowControl/>
        <w:ind w:firstLine="2606"/>
        <w:jc w:val="center"/>
      </w:pPr>
      <w:r w:rsidRPr="00C40825">
        <w:t>Nathaniel J. Davis, Sr.,</w:t>
      </w:r>
    </w:p>
    <w:p w:rsidR="00C40825" w:rsidRPr="00C40825" w:rsidRDefault="00C40825" w:rsidP="00C40825">
      <w:pPr>
        <w:widowControl/>
        <w:ind w:firstLine="2606"/>
        <w:jc w:val="center"/>
      </w:pPr>
      <w:r w:rsidRPr="00C40825">
        <w:t>Deputy Secretary.</w:t>
      </w:r>
    </w:p>
    <w:p w:rsidR="00C40825" w:rsidRDefault="00C40825" w:rsidP="00C40825">
      <w:pPr>
        <w:widowControl/>
        <w:rPr>
          <w:szCs w:val="26"/>
        </w:rPr>
      </w:pPr>
    </w:p>
    <w:sectPr w:rsidR="00C40825" w:rsidSect="00CF2228">
      <w:headerReference w:type="default" r:id="rId11"/>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BA1" w:rsidRDefault="002A6BA1">
      <w:r>
        <w:separator/>
      </w:r>
    </w:p>
  </w:endnote>
  <w:endnote w:type="continuationSeparator" w:id="0">
    <w:p w:rsidR="002A6BA1" w:rsidRDefault="002A6B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BA1" w:rsidRDefault="002A6BA1">
      <w:r>
        <w:separator/>
      </w:r>
    </w:p>
  </w:footnote>
  <w:footnote w:type="continuationSeparator" w:id="0">
    <w:p w:rsidR="002A6BA1" w:rsidRDefault="002A6BA1">
      <w:r>
        <w:continuationSeparator/>
      </w:r>
    </w:p>
  </w:footnote>
  <w:footnote w:type="continuationNotice" w:id="1">
    <w:p w:rsidR="002A6BA1" w:rsidRDefault="002A6BA1"/>
    <w:p w:rsidR="002A6BA1" w:rsidRDefault="002A6BA1">
      <w:r>
        <w:tab/>
      </w:r>
      <w:r>
        <w:tab/>
      </w:r>
      <w:r>
        <w:tab/>
      </w:r>
      <w:r>
        <w:tab/>
      </w:r>
      <w:r>
        <w:tab/>
      </w:r>
      <w:r>
        <w:tab/>
      </w:r>
      <w:r>
        <w:tab/>
      </w:r>
      <w:r>
        <w:tab/>
      </w:r>
      <w:r>
        <w:tab/>
      </w:r>
      <w:r>
        <w:tab/>
        <w:t xml:space="preserve">        (</w:t>
      </w:r>
      <w:proofErr w:type="gramStart"/>
      <w:r>
        <w:t>continued</w:t>
      </w:r>
      <w:proofErr w:type="gramEnd"/>
      <w:r>
        <w:t>…)</w:t>
      </w:r>
    </w:p>
  </w:footnote>
  <w:footnote w:id="2">
    <w:p w:rsidR="002F37AC" w:rsidRPr="006449E2" w:rsidRDefault="002F37AC" w:rsidP="006449E2">
      <w:pPr>
        <w:pStyle w:val="FootnoteText"/>
        <w:rPr>
          <w:szCs w:val="26"/>
        </w:rPr>
      </w:pPr>
      <w:r>
        <w:rPr>
          <w:rStyle w:val="FootnoteReference"/>
        </w:rPr>
        <w:footnoteRef/>
      </w:r>
      <w:r>
        <w:t xml:space="preserve"> </w:t>
      </w:r>
      <w:r w:rsidR="00C66A6C">
        <w:t xml:space="preserve"> </w:t>
      </w:r>
      <w:r>
        <w:rPr>
          <w:szCs w:val="26"/>
        </w:rPr>
        <w:t xml:space="preserve">16 U.S.C. § </w:t>
      </w:r>
      <w:proofErr w:type="gramStart"/>
      <w:r>
        <w:rPr>
          <w:szCs w:val="26"/>
        </w:rPr>
        <w:t>824o(</w:t>
      </w:r>
      <w:proofErr w:type="gramEnd"/>
      <w:r>
        <w:rPr>
          <w:szCs w:val="26"/>
        </w:rPr>
        <w:t>d)(2012) and 18 C.F.R. § 39.5 (2013).</w:t>
      </w:r>
    </w:p>
  </w:footnote>
  <w:footnote w:id="3">
    <w:p w:rsidR="002F37AC" w:rsidRDefault="002F37AC" w:rsidP="0005205C">
      <w:pPr>
        <w:pStyle w:val="FootnoteText"/>
        <w:spacing w:after="120"/>
      </w:pPr>
      <w:r>
        <w:rPr>
          <w:b/>
          <w:vertAlign w:val="superscript"/>
        </w:rPr>
        <w:footnoteRef/>
      </w:r>
      <w:r>
        <w:rPr>
          <w:lang w:val="es-ES"/>
        </w:rPr>
        <w:t xml:space="preserve"> </w:t>
      </w:r>
      <w:r w:rsidR="00C66A6C">
        <w:rPr>
          <w:lang w:val="es-ES"/>
        </w:rPr>
        <w:t xml:space="preserve"> </w:t>
      </w:r>
      <w:proofErr w:type="spellStart"/>
      <w:r>
        <w:rPr>
          <w:i/>
          <w:lang w:val="es-ES"/>
        </w:rPr>
        <w:t>See</w:t>
      </w:r>
      <w:proofErr w:type="spellEnd"/>
      <w:r>
        <w:rPr>
          <w:i/>
          <w:lang w:val="es-ES"/>
        </w:rPr>
        <w:t xml:space="preserve"> </w:t>
      </w:r>
      <w:r>
        <w:rPr>
          <w:lang w:val="es-ES"/>
        </w:rPr>
        <w:t xml:space="preserve">16 U.S.C. </w:t>
      </w:r>
      <w:r w:rsidR="008D3CCE">
        <w:rPr>
          <w:lang w:val="es-ES"/>
        </w:rPr>
        <w:t xml:space="preserve">§ </w:t>
      </w:r>
      <w:proofErr w:type="gramStart"/>
      <w:r>
        <w:rPr>
          <w:lang w:val="es-ES"/>
        </w:rPr>
        <w:t>824o(</w:t>
      </w:r>
      <w:proofErr w:type="gramEnd"/>
      <w:r>
        <w:rPr>
          <w:lang w:val="es-ES"/>
        </w:rPr>
        <w:t>e)(3) (2012)</w:t>
      </w:r>
      <w:r>
        <w:t xml:space="preserve">. </w:t>
      </w:r>
    </w:p>
  </w:footnote>
  <w:footnote w:id="4">
    <w:p w:rsidR="002F37AC" w:rsidRDefault="002F37AC" w:rsidP="0005205C">
      <w:pPr>
        <w:pStyle w:val="FootnoteText"/>
      </w:pPr>
      <w:r>
        <w:rPr>
          <w:rStyle w:val="FootnoteReference"/>
        </w:rPr>
        <w:footnoteRef/>
      </w:r>
      <w:r>
        <w:t xml:space="preserve"> </w:t>
      </w:r>
      <w:r w:rsidR="00C66A6C">
        <w:t xml:space="preserve"> </w:t>
      </w:r>
      <w:r w:rsidRPr="00694D4A">
        <w:rPr>
          <w:i/>
        </w:rPr>
        <w:t>Rules Concerning Certification of the Electric Reliability Organization; and Procedures for the Establishment, Approval</w:t>
      </w:r>
      <w:r w:rsidR="00170D8D">
        <w:rPr>
          <w:i/>
        </w:rPr>
        <w:t xml:space="preserve">, </w:t>
      </w:r>
      <w:r w:rsidRPr="00694D4A">
        <w:rPr>
          <w:i/>
        </w:rPr>
        <w:t>and Enforcement of Electric Reliability Standards</w:t>
      </w:r>
      <w:r>
        <w:t xml:space="preserve">, Order No. 672, FERC Stats. </w:t>
      </w:r>
      <w:proofErr w:type="gramStart"/>
      <w:r>
        <w:t xml:space="preserve">&amp; </w:t>
      </w:r>
      <w:proofErr w:type="spellStart"/>
      <w:r>
        <w:t>Regs</w:t>
      </w:r>
      <w:proofErr w:type="spellEnd"/>
      <w:r>
        <w:t>.</w:t>
      </w:r>
      <w:proofErr w:type="gramEnd"/>
      <w:r>
        <w:t xml:space="preserve"> ¶ 31,204, </w:t>
      </w:r>
      <w:r w:rsidRPr="00694D4A">
        <w:rPr>
          <w:i/>
        </w:rPr>
        <w:t xml:space="preserve">order on </w:t>
      </w:r>
      <w:proofErr w:type="spellStart"/>
      <w:r w:rsidRPr="00694D4A">
        <w:rPr>
          <w:i/>
        </w:rPr>
        <w:t>reh’g</w:t>
      </w:r>
      <w:proofErr w:type="spellEnd"/>
      <w:r>
        <w:t xml:space="preserve">, Order          No. 672-A, FERC Stats. </w:t>
      </w:r>
      <w:proofErr w:type="gramStart"/>
      <w:r>
        <w:t xml:space="preserve">&amp; </w:t>
      </w:r>
      <w:proofErr w:type="spellStart"/>
      <w:r>
        <w:t>Regs</w:t>
      </w:r>
      <w:proofErr w:type="spellEnd"/>
      <w:r>
        <w:t>.</w:t>
      </w:r>
      <w:proofErr w:type="gramEnd"/>
      <w:r>
        <w:t xml:space="preserve"> </w:t>
      </w:r>
      <w:proofErr w:type="gramStart"/>
      <w:r>
        <w:t>¶ 31,212 (2006).</w:t>
      </w:r>
      <w:proofErr w:type="gramEnd"/>
      <w:r>
        <w:t xml:space="preserve">  </w:t>
      </w:r>
    </w:p>
  </w:footnote>
  <w:footnote w:id="5">
    <w:p w:rsidR="002F37AC" w:rsidRDefault="002F37AC" w:rsidP="0005205C">
      <w:pPr>
        <w:pStyle w:val="FootnoteText"/>
        <w:spacing w:after="120"/>
      </w:pPr>
      <w:r>
        <w:rPr>
          <w:b/>
          <w:vertAlign w:val="superscript"/>
        </w:rPr>
        <w:footnoteRef/>
      </w:r>
      <w:r>
        <w:t xml:space="preserve"> </w:t>
      </w:r>
      <w:r w:rsidR="00C66A6C">
        <w:t xml:space="preserve"> </w:t>
      </w:r>
      <w:r w:rsidRPr="00737573">
        <w:rPr>
          <w:i/>
        </w:rPr>
        <w:t>North American Electric Reliability Corp.</w:t>
      </w:r>
      <w:r>
        <w:t xml:space="preserve">, 116 FERC ¶ 61,062 (2006), </w:t>
      </w:r>
      <w:proofErr w:type="gramStart"/>
      <w:r w:rsidRPr="00737573">
        <w:rPr>
          <w:i/>
        </w:rPr>
        <w:t xml:space="preserve">order </w:t>
      </w:r>
      <w:r w:rsidR="00003011">
        <w:rPr>
          <w:i/>
        </w:rPr>
        <w:t xml:space="preserve"> </w:t>
      </w:r>
      <w:r w:rsidRPr="00737573">
        <w:rPr>
          <w:i/>
        </w:rPr>
        <w:t>on</w:t>
      </w:r>
      <w:proofErr w:type="gramEnd"/>
      <w:r w:rsidRPr="00737573">
        <w:rPr>
          <w:i/>
        </w:rPr>
        <w:t xml:space="preserve"> </w:t>
      </w:r>
      <w:proofErr w:type="spellStart"/>
      <w:r w:rsidRPr="00737573">
        <w:rPr>
          <w:i/>
        </w:rPr>
        <w:t>reh’g</w:t>
      </w:r>
      <w:proofErr w:type="spellEnd"/>
      <w:r>
        <w:rPr>
          <w:i/>
        </w:rPr>
        <w:t xml:space="preserve"> </w:t>
      </w:r>
      <w:r w:rsidRPr="00737573">
        <w:rPr>
          <w:i/>
        </w:rPr>
        <w:t>and compliance</w:t>
      </w:r>
      <w:r>
        <w:t xml:space="preserve">, 117 FERC ¶ 61,126 (2006) (certifying NERC as the ERO responsible  for the development and enforcement of mandatory Reliability Standards), </w:t>
      </w:r>
      <w:proofErr w:type="spellStart"/>
      <w:r w:rsidRPr="00737573">
        <w:rPr>
          <w:i/>
        </w:rPr>
        <w:t>aff’d</w:t>
      </w:r>
      <w:proofErr w:type="spellEnd"/>
      <w:r w:rsidRPr="00737573">
        <w:rPr>
          <w:i/>
        </w:rPr>
        <w:t xml:space="preserve"> sub nom</w:t>
      </w:r>
      <w:r>
        <w:t xml:space="preserve">. </w:t>
      </w:r>
      <w:r w:rsidRPr="00737573">
        <w:rPr>
          <w:i/>
        </w:rPr>
        <w:t>Alcoa Inc. v. FERC</w:t>
      </w:r>
      <w:r>
        <w:t>, 564 F.3d 1342 (D.C. Cir. 2009).</w:t>
      </w:r>
    </w:p>
  </w:footnote>
  <w:footnote w:id="6">
    <w:p w:rsidR="002F37AC" w:rsidRDefault="002F37AC" w:rsidP="0005205C">
      <w:pPr>
        <w:pStyle w:val="FootnoteText"/>
        <w:spacing w:after="120"/>
      </w:pPr>
      <w:r>
        <w:rPr>
          <w:b/>
          <w:vertAlign w:val="superscript"/>
        </w:rPr>
        <w:footnoteRef/>
      </w:r>
      <w:r>
        <w:rPr>
          <w:i/>
        </w:rPr>
        <w:t xml:space="preserve"> </w:t>
      </w:r>
      <w:r w:rsidRPr="003323E3">
        <w:rPr>
          <w:i/>
        </w:rPr>
        <w:t>Mandatory Reliability Standards for the Bulk-Power System</w:t>
      </w:r>
      <w:r>
        <w:t>,</w:t>
      </w:r>
      <w:r>
        <w:rPr>
          <w:i/>
        </w:rPr>
        <w:t xml:space="preserve"> </w:t>
      </w:r>
      <w:r>
        <w:t xml:space="preserve">Order No. 693, FERC Stats. </w:t>
      </w:r>
      <w:proofErr w:type="gramStart"/>
      <w:r>
        <w:t xml:space="preserve">&amp; </w:t>
      </w:r>
      <w:proofErr w:type="spellStart"/>
      <w:r>
        <w:t>Regs</w:t>
      </w:r>
      <w:proofErr w:type="spellEnd"/>
      <w:r>
        <w:t>.</w:t>
      </w:r>
      <w:proofErr w:type="gramEnd"/>
      <w:r>
        <w:t xml:space="preserve"> </w:t>
      </w:r>
      <w:proofErr w:type="gramStart"/>
      <w:r>
        <w:t xml:space="preserve">¶ 31,242, </w:t>
      </w:r>
      <w:r>
        <w:rPr>
          <w:i/>
        </w:rPr>
        <w:t xml:space="preserve">order on </w:t>
      </w:r>
      <w:proofErr w:type="spellStart"/>
      <w:r>
        <w:rPr>
          <w:i/>
        </w:rPr>
        <w:t>reh’g</w:t>
      </w:r>
      <w:proofErr w:type="spellEnd"/>
      <w:r>
        <w:t>, Order No. 693-A, 120 FERC ¶ 61,053 (2007).</w:t>
      </w:r>
      <w:proofErr w:type="gramEnd"/>
    </w:p>
  </w:footnote>
  <w:footnote w:id="7">
    <w:p w:rsidR="002F37AC" w:rsidRDefault="002F37AC" w:rsidP="0005205C">
      <w:pPr>
        <w:pStyle w:val="FootnoteText"/>
        <w:spacing w:after="120"/>
      </w:pPr>
      <w:r>
        <w:rPr>
          <w:b/>
          <w:vertAlign w:val="superscript"/>
        </w:rPr>
        <w:footnoteRef/>
      </w:r>
      <w:r>
        <w:t xml:space="preserve"> </w:t>
      </w:r>
      <w:r w:rsidR="00C66A6C">
        <w:t xml:space="preserve"> </w:t>
      </w:r>
      <w:r>
        <w:rPr>
          <w:i/>
        </w:rPr>
        <w:t>Id</w:t>
      </w:r>
      <w:r>
        <w:t xml:space="preserve">. P 75; </w:t>
      </w:r>
      <w:r>
        <w:rPr>
          <w:i/>
        </w:rPr>
        <w:t>see also</w:t>
      </w:r>
      <w:r>
        <w:t xml:space="preserve"> Order No. 693-A, 120 FERC ¶ 61,053 at P 19 (“the Commission will continue to rely on NERC’s definition of bulk electric system, with</w:t>
      </w:r>
      <w:r w:rsidR="00003011">
        <w:t xml:space="preserve">    </w:t>
      </w:r>
      <w:r>
        <w:t>the appropriate regional differences, and the registration process until the Commission determines in future proceedings the extent of the Bulk-Power System”).</w:t>
      </w:r>
    </w:p>
  </w:footnote>
  <w:footnote w:id="8">
    <w:p w:rsidR="002F37AC" w:rsidRDefault="002F37AC" w:rsidP="0005205C">
      <w:pPr>
        <w:pStyle w:val="FootnoteText"/>
        <w:spacing w:after="120"/>
      </w:pPr>
      <w:r>
        <w:rPr>
          <w:b/>
          <w:vertAlign w:val="superscript"/>
        </w:rPr>
        <w:footnoteRef/>
      </w:r>
      <w:r>
        <w:t xml:space="preserve"> </w:t>
      </w:r>
      <w:r w:rsidR="00C66A6C">
        <w:t xml:space="preserve"> </w:t>
      </w:r>
      <w:r>
        <w:t xml:space="preserve">Order No. 693, FERC Stats. </w:t>
      </w:r>
      <w:proofErr w:type="gramStart"/>
      <w:r>
        <w:t xml:space="preserve">&amp; </w:t>
      </w:r>
      <w:proofErr w:type="spellStart"/>
      <w:r>
        <w:t>Regs</w:t>
      </w:r>
      <w:proofErr w:type="spellEnd"/>
      <w:r>
        <w:t>.</w:t>
      </w:r>
      <w:proofErr w:type="gramEnd"/>
      <w:r>
        <w:t xml:space="preserve"> </w:t>
      </w:r>
      <w:proofErr w:type="gramStart"/>
      <w:r>
        <w:t>¶ 31,242 at P 77.</w:t>
      </w:r>
      <w:proofErr w:type="gramEnd"/>
    </w:p>
  </w:footnote>
  <w:footnote w:id="9">
    <w:p w:rsidR="002F37AC" w:rsidRDefault="002F37AC" w:rsidP="009F1395">
      <w:pPr>
        <w:pStyle w:val="FootnoteText"/>
      </w:pPr>
      <w:r>
        <w:rPr>
          <w:rStyle w:val="FootnoteReference"/>
        </w:rPr>
        <w:footnoteRef/>
      </w:r>
      <w:r>
        <w:t xml:space="preserve"> </w:t>
      </w:r>
      <w:r w:rsidR="00C66A6C">
        <w:t xml:space="preserve"> </w:t>
      </w:r>
      <w:r>
        <w:rPr>
          <w:i/>
        </w:rPr>
        <w:t>Revision to Electric Reliability Organization Definition of Bulk Electric System</w:t>
      </w:r>
      <w:r>
        <w:t>, Order No. 743, 133 FERC ¶ 61,150</w:t>
      </w:r>
      <w:r w:rsidR="00003011">
        <w:t xml:space="preserve">, </w:t>
      </w:r>
      <w:r>
        <w:t xml:space="preserve">at P 16 (2010), </w:t>
      </w:r>
      <w:r>
        <w:rPr>
          <w:i/>
        </w:rPr>
        <w:t xml:space="preserve">order on </w:t>
      </w:r>
      <w:proofErr w:type="spellStart"/>
      <w:r>
        <w:rPr>
          <w:i/>
        </w:rPr>
        <w:t>reh’g</w:t>
      </w:r>
      <w:proofErr w:type="spellEnd"/>
      <w:r>
        <w:t>, Order No. 743-A, 134 FERC ¶ 61,210 (2011).</w:t>
      </w:r>
    </w:p>
  </w:footnote>
  <w:footnote w:id="10">
    <w:p w:rsidR="002F37AC" w:rsidRDefault="002F37AC" w:rsidP="009F1395">
      <w:pPr>
        <w:pStyle w:val="FootnoteText"/>
      </w:pPr>
      <w:r>
        <w:rPr>
          <w:rStyle w:val="FootnoteReference"/>
        </w:rPr>
        <w:footnoteRef/>
      </w:r>
      <w:r>
        <w:t xml:space="preserve"> </w:t>
      </w:r>
      <w:r w:rsidR="00C66A6C">
        <w:t xml:space="preserve"> </w:t>
      </w:r>
      <w:r>
        <w:t>Order No. 743, 133 FERC ¶ 61,150 at P 16.</w:t>
      </w:r>
    </w:p>
  </w:footnote>
  <w:footnote w:id="11">
    <w:p w:rsidR="002F37AC" w:rsidRDefault="002F37AC">
      <w:pPr>
        <w:pStyle w:val="FootnoteText"/>
      </w:pPr>
      <w:r>
        <w:rPr>
          <w:rStyle w:val="FootnoteReference"/>
        </w:rPr>
        <w:footnoteRef/>
      </w:r>
      <w:r>
        <w:t xml:space="preserve"> </w:t>
      </w:r>
      <w:r w:rsidR="00C66A6C">
        <w:t xml:space="preserve"> </w:t>
      </w:r>
      <w:r w:rsidRPr="00080272">
        <w:rPr>
          <w:szCs w:val="26"/>
        </w:rPr>
        <w:t xml:space="preserve">The </w:t>
      </w:r>
      <w:r>
        <w:rPr>
          <w:szCs w:val="26"/>
        </w:rPr>
        <w:t>i</w:t>
      </w:r>
      <w:r w:rsidRPr="00080272">
        <w:rPr>
          <w:szCs w:val="26"/>
        </w:rPr>
        <w:t xml:space="preserve">nclusions address five specific facilities configurations to provide clarity that the facilities described in these configurations are included in the </w:t>
      </w:r>
      <w:r>
        <w:rPr>
          <w:szCs w:val="26"/>
        </w:rPr>
        <w:t xml:space="preserve">bulk electric system, and </w:t>
      </w:r>
      <w:r w:rsidRPr="00080272">
        <w:rPr>
          <w:szCs w:val="26"/>
        </w:rPr>
        <w:t xml:space="preserve">the </w:t>
      </w:r>
      <w:r>
        <w:rPr>
          <w:szCs w:val="26"/>
        </w:rPr>
        <w:t>e</w:t>
      </w:r>
      <w:r w:rsidRPr="00080272">
        <w:rPr>
          <w:szCs w:val="26"/>
        </w:rPr>
        <w:t xml:space="preserve">xclusions address four specific facilities configurations that are </w:t>
      </w:r>
      <w:r w:rsidRPr="00080272">
        <w:rPr>
          <w:i/>
          <w:iCs/>
          <w:szCs w:val="26"/>
        </w:rPr>
        <w:t xml:space="preserve">not </w:t>
      </w:r>
      <w:r w:rsidRPr="00080272">
        <w:rPr>
          <w:szCs w:val="26"/>
        </w:rPr>
        <w:t xml:space="preserve">included in the </w:t>
      </w:r>
      <w:r>
        <w:rPr>
          <w:szCs w:val="26"/>
        </w:rPr>
        <w:t>bulk electric system</w:t>
      </w:r>
      <w:r w:rsidRPr="00080272">
        <w:rPr>
          <w:szCs w:val="26"/>
        </w:rPr>
        <w:t xml:space="preserve">.  </w:t>
      </w:r>
    </w:p>
  </w:footnote>
  <w:footnote w:id="12">
    <w:p w:rsidR="002F37AC" w:rsidRPr="00F0744D" w:rsidRDefault="002F37AC" w:rsidP="00F0744D">
      <w:pPr>
        <w:pStyle w:val="Default"/>
        <w:spacing w:after="260"/>
        <w:ind w:firstLine="720"/>
        <w:rPr>
          <w:i/>
          <w:iCs/>
          <w:sz w:val="26"/>
          <w:szCs w:val="26"/>
        </w:rPr>
      </w:pPr>
      <w:r>
        <w:rPr>
          <w:rStyle w:val="FootnoteReference"/>
        </w:rPr>
        <w:footnoteRef/>
      </w:r>
      <w:r>
        <w:t xml:space="preserve"> </w:t>
      </w:r>
      <w:r w:rsidR="00C66A6C">
        <w:t xml:space="preserve"> </w:t>
      </w:r>
      <w:r w:rsidRPr="002301B6">
        <w:rPr>
          <w:i/>
          <w:iCs/>
          <w:sz w:val="26"/>
          <w:szCs w:val="26"/>
        </w:rPr>
        <w:t>Revisions to Electric Reliability Organization Definition of Bulk Electric System and Rules of Procedure</w:t>
      </w:r>
      <w:r w:rsidRPr="002301B6">
        <w:rPr>
          <w:sz w:val="26"/>
          <w:szCs w:val="26"/>
        </w:rPr>
        <w:t>, Order No. 773, 141 FERC ¶ 61,</w:t>
      </w:r>
      <w:r w:rsidRPr="00080272">
        <w:rPr>
          <w:sz w:val="26"/>
          <w:szCs w:val="26"/>
        </w:rPr>
        <w:t xml:space="preserve">236 (2012); </w:t>
      </w:r>
      <w:r w:rsidRPr="00080272">
        <w:rPr>
          <w:i/>
          <w:iCs/>
          <w:sz w:val="26"/>
          <w:szCs w:val="26"/>
        </w:rPr>
        <w:t xml:space="preserve">order on </w:t>
      </w:r>
      <w:proofErr w:type="spellStart"/>
      <w:r w:rsidRPr="00080272">
        <w:rPr>
          <w:i/>
          <w:iCs/>
          <w:sz w:val="26"/>
          <w:szCs w:val="26"/>
        </w:rPr>
        <w:t>reh’g</w:t>
      </w:r>
      <w:proofErr w:type="spellEnd"/>
      <w:r w:rsidRPr="00080272">
        <w:rPr>
          <w:sz w:val="26"/>
          <w:szCs w:val="26"/>
        </w:rPr>
        <w:t xml:space="preserve">, Order No. 773-A, 143 FERC ¶ 61,053 (2013), </w:t>
      </w:r>
      <w:r w:rsidRPr="00080272">
        <w:rPr>
          <w:i/>
          <w:sz w:val="26"/>
          <w:szCs w:val="26"/>
        </w:rPr>
        <w:t xml:space="preserve">order on </w:t>
      </w:r>
      <w:proofErr w:type="spellStart"/>
      <w:r w:rsidRPr="00080272">
        <w:rPr>
          <w:i/>
          <w:sz w:val="26"/>
          <w:szCs w:val="26"/>
        </w:rPr>
        <w:t>reh’g</w:t>
      </w:r>
      <w:proofErr w:type="spellEnd"/>
      <w:r w:rsidRPr="00080272">
        <w:rPr>
          <w:i/>
          <w:sz w:val="26"/>
          <w:szCs w:val="26"/>
        </w:rPr>
        <w:t xml:space="preserve"> and clarification</w:t>
      </w:r>
      <w:r w:rsidRPr="00080272">
        <w:rPr>
          <w:sz w:val="26"/>
          <w:szCs w:val="26"/>
        </w:rPr>
        <w:t xml:space="preserve">, 144 FERC ¶ 61,174 (2013), </w:t>
      </w:r>
      <w:r w:rsidRPr="00080272">
        <w:rPr>
          <w:i/>
          <w:iCs/>
          <w:sz w:val="26"/>
          <w:szCs w:val="26"/>
        </w:rPr>
        <w:t xml:space="preserve">appeal pending sub nom., People of the State of New York and the Pub. </w:t>
      </w:r>
      <w:proofErr w:type="gramStart"/>
      <w:r w:rsidRPr="00080272">
        <w:rPr>
          <w:i/>
          <w:iCs/>
          <w:sz w:val="26"/>
          <w:szCs w:val="26"/>
        </w:rPr>
        <w:t xml:space="preserve">Serv. </w:t>
      </w:r>
      <w:proofErr w:type="spellStart"/>
      <w:r w:rsidRPr="00080272">
        <w:rPr>
          <w:i/>
          <w:iCs/>
          <w:sz w:val="26"/>
          <w:szCs w:val="26"/>
        </w:rPr>
        <w:t>Comm’n</w:t>
      </w:r>
      <w:proofErr w:type="spellEnd"/>
      <w:r w:rsidRPr="00080272">
        <w:rPr>
          <w:i/>
          <w:iCs/>
          <w:sz w:val="26"/>
          <w:szCs w:val="26"/>
        </w:rPr>
        <w:t xml:space="preserve"> of New York v. FERC, </w:t>
      </w:r>
      <w:r w:rsidRPr="00080272">
        <w:rPr>
          <w:iCs/>
          <w:sz w:val="26"/>
          <w:szCs w:val="26"/>
        </w:rPr>
        <w:t>No. 13-2316 (2d.</w:t>
      </w:r>
      <w:proofErr w:type="gramEnd"/>
      <w:r w:rsidRPr="00080272">
        <w:rPr>
          <w:iCs/>
          <w:sz w:val="26"/>
          <w:szCs w:val="26"/>
        </w:rPr>
        <w:t xml:space="preserve"> Cir. filed June 12, 2013).  </w:t>
      </w:r>
      <w:r w:rsidRPr="00080272">
        <w:rPr>
          <w:sz w:val="26"/>
          <w:szCs w:val="26"/>
        </w:rPr>
        <w:t xml:space="preserve">On June 13, 2013, the Commission granted NERC’s request for extension of time and extended the effective date for the revised definition of bulk electric system </w:t>
      </w:r>
      <w:r>
        <w:rPr>
          <w:sz w:val="26"/>
          <w:szCs w:val="26"/>
        </w:rPr>
        <w:t xml:space="preserve">and the Rules of Procedure exception process </w:t>
      </w:r>
      <w:r w:rsidRPr="00080272">
        <w:rPr>
          <w:sz w:val="26"/>
          <w:szCs w:val="26"/>
        </w:rPr>
        <w:t>to</w:t>
      </w:r>
      <w:r w:rsidRPr="00F0744D">
        <w:rPr>
          <w:sz w:val="26"/>
          <w:szCs w:val="26"/>
        </w:rPr>
        <w:t xml:space="preserve"> July 1, 2014.  </w:t>
      </w:r>
      <w:proofErr w:type="gramStart"/>
      <w:r w:rsidRPr="002301B6">
        <w:rPr>
          <w:i/>
          <w:iCs/>
          <w:sz w:val="26"/>
          <w:szCs w:val="26"/>
        </w:rPr>
        <w:t>Revisions to Electric Reliability Organization Definition of Bulk Electric System and Rules of Procedure</w:t>
      </w:r>
      <w:r>
        <w:rPr>
          <w:i/>
          <w:sz w:val="26"/>
          <w:szCs w:val="26"/>
        </w:rPr>
        <w:t xml:space="preserve">, </w:t>
      </w:r>
      <w:r w:rsidRPr="00F0744D">
        <w:rPr>
          <w:sz w:val="26"/>
          <w:szCs w:val="26"/>
        </w:rPr>
        <w:t xml:space="preserve">143 FERC </w:t>
      </w:r>
      <w:r w:rsidR="006C1F9D">
        <w:rPr>
          <w:sz w:val="26"/>
          <w:szCs w:val="26"/>
        </w:rPr>
        <w:t xml:space="preserve">        </w:t>
      </w:r>
      <w:r w:rsidRPr="00F0744D">
        <w:rPr>
          <w:sz w:val="26"/>
          <w:szCs w:val="26"/>
        </w:rPr>
        <w:t>¶ 61,231</w:t>
      </w:r>
      <w:r w:rsidR="006C1F9D">
        <w:rPr>
          <w:sz w:val="26"/>
          <w:szCs w:val="26"/>
        </w:rPr>
        <w:t xml:space="preserve">, </w:t>
      </w:r>
      <w:r w:rsidRPr="00F0744D">
        <w:rPr>
          <w:sz w:val="26"/>
          <w:szCs w:val="26"/>
        </w:rPr>
        <w:t>at P 13</w:t>
      </w:r>
      <w:r w:rsidR="006C1F9D">
        <w:rPr>
          <w:sz w:val="26"/>
          <w:szCs w:val="26"/>
        </w:rPr>
        <w:t xml:space="preserve"> (2013)</w:t>
      </w:r>
      <w:r>
        <w:rPr>
          <w:rFonts w:ascii="Calibri" w:hAnsi="Calibri"/>
          <w:i/>
          <w:iCs/>
        </w:rPr>
        <w:t>.</w:t>
      </w:r>
      <w:proofErr w:type="gramEnd"/>
      <w:r>
        <w:rPr>
          <w:rFonts w:ascii="Calibri" w:hAnsi="Calibri"/>
          <w:i/>
          <w:iCs/>
        </w:rPr>
        <w:t xml:space="preserve">  </w:t>
      </w:r>
    </w:p>
  </w:footnote>
  <w:footnote w:id="13">
    <w:p w:rsidR="002F37AC" w:rsidRDefault="002F37AC" w:rsidP="009F1395">
      <w:pPr>
        <w:pStyle w:val="FootnoteText"/>
      </w:pPr>
      <w:r>
        <w:rPr>
          <w:rStyle w:val="FootnoteReference"/>
        </w:rPr>
        <w:footnoteRef/>
      </w:r>
      <w:r>
        <w:t xml:space="preserve"> </w:t>
      </w:r>
      <w:r w:rsidR="00C66A6C">
        <w:t xml:space="preserve"> </w:t>
      </w:r>
      <w:r>
        <w:t>Order No. 773, 141 FERC ¶ 61,236 at PP 155, 164-169.</w:t>
      </w:r>
    </w:p>
  </w:footnote>
  <w:footnote w:id="14">
    <w:p w:rsidR="002F37AC" w:rsidRDefault="002F37AC" w:rsidP="009F1395">
      <w:pPr>
        <w:pStyle w:val="FootnoteText"/>
      </w:pPr>
      <w:r>
        <w:rPr>
          <w:rStyle w:val="FootnoteReference"/>
        </w:rPr>
        <w:footnoteRef/>
      </w:r>
      <w:r>
        <w:t xml:space="preserve">  </w:t>
      </w:r>
      <w:r>
        <w:rPr>
          <w:szCs w:val="26"/>
        </w:rPr>
        <w:t>Order No. 773-A, 143 FERC ¶ 61,053 at P 50.</w:t>
      </w:r>
    </w:p>
  </w:footnote>
  <w:footnote w:id="15">
    <w:p w:rsidR="002F37AC" w:rsidRPr="00F0744D" w:rsidRDefault="002F37AC" w:rsidP="00080272">
      <w:pPr>
        <w:pStyle w:val="FERCparanumber"/>
        <w:numPr>
          <w:ilvl w:val="0"/>
          <w:numId w:val="0"/>
        </w:numPr>
        <w:tabs>
          <w:tab w:val="num" w:pos="980"/>
        </w:tabs>
        <w:ind w:firstLine="720"/>
        <w:rPr>
          <w:b/>
          <w:u w:val="single"/>
        </w:rPr>
      </w:pPr>
      <w:r>
        <w:rPr>
          <w:rStyle w:val="FootnoteReference"/>
        </w:rPr>
        <w:footnoteRef/>
      </w:r>
      <w:r w:rsidRPr="00C66A6C">
        <w:rPr>
          <w:b/>
          <w:szCs w:val="20"/>
        </w:rPr>
        <w:t xml:space="preserve">  </w:t>
      </w:r>
      <w:r w:rsidRPr="00C66A6C">
        <w:rPr>
          <w:szCs w:val="20"/>
        </w:rPr>
        <w:t>Ac</w:t>
      </w:r>
      <w:r>
        <w:rPr>
          <w:szCs w:val="26"/>
        </w:rPr>
        <w:t xml:space="preserve">cording to NERC, due to time constraints in meeting the compliance deadline set in Order No. 743, NERC separated the development of the revised definition into two phases.  NERC stated that Phase 1 culminated in the language of the proposed modified definition that is the primary subject of Order Nos. 773 and 773-A.  Phase 2 focused on other industry concerns raised during Phase 1 as well as the Order Nos. 773 and 773-A directives. </w:t>
      </w:r>
      <w:r>
        <w:t xml:space="preserve"> </w:t>
      </w:r>
      <w:r w:rsidR="002730C4" w:rsidRPr="00A810FF">
        <w:rPr>
          <w:i/>
        </w:rPr>
        <w:t>See</w:t>
      </w:r>
      <w:r w:rsidR="002730C4">
        <w:t xml:space="preserve"> </w:t>
      </w:r>
      <w:r w:rsidR="00495893">
        <w:t xml:space="preserve">NERC Petition at </w:t>
      </w:r>
      <w:r w:rsidR="00A810FF">
        <w:t xml:space="preserve">2 and </w:t>
      </w:r>
      <w:proofErr w:type="spellStart"/>
      <w:r w:rsidR="00A810FF">
        <w:t>Exh</w:t>
      </w:r>
      <w:proofErr w:type="spellEnd"/>
      <w:r w:rsidR="00A810FF">
        <w:t>. E</w:t>
      </w:r>
      <w:r w:rsidR="00495893">
        <w:t>.</w:t>
      </w:r>
    </w:p>
  </w:footnote>
  <w:footnote w:id="16">
    <w:p w:rsidR="002F37AC" w:rsidRDefault="002F37AC">
      <w:pPr>
        <w:pStyle w:val="FootnoteText"/>
      </w:pPr>
      <w:r>
        <w:rPr>
          <w:rStyle w:val="FootnoteReference"/>
        </w:rPr>
        <w:footnoteRef/>
      </w:r>
      <w:r>
        <w:t xml:space="preserve">  </w:t>
      </w:r>
      <w:proofErr w:type="gramStart"/>
      <w:r>
        <w:t>NERC Petition at 5.</w:t>
      </w:r>
      <w:proofErr w:type="gramEnd"/>
    </w:p>
  </w:footnote>
  <w:footnote w:id="17">
    <w:p w:rsidR="002F37AC" w:rsidRDefault="002F37AC">
      <w:pPr>
        <w:pStyle w:val="FootnoteText"/>
      </w:pPr>
      <w:r>
        <w:rPr>
          <w:rStyle w:val="FootnoteReference"/>
        </w:rPr>
        <w:footnoteRef/>
      </w:r>
      <w:r>
        <w:t xml:space="preserve">  </w:t>
      </w:r>
      <w:r w:rsidRPr="00DF595F">
        <w:rPr>
          <w:i/>
        </w:rPr>
        <w:t>Id.</w:t>
      </w:r>
      <w:r>
        <w:t xml:space="preserve"> </w:t>
      </w:r>
    </w:p>
  </w:footnote>
  <w:footnote w:id="18">
    <w:p w:rsidR="002F37AC" w:rsidRDefault="002F37AC">
      <w:pPr>
        <w:pStyle w:val="FootnoteText"/>
      </w:pPr>
      <w:r>
        <w:rPr>
          <w:rStyle w:val="FootnoteReference"/>
        </w:rPr>
        <w:footnoteRef/>
      </w:r>
      <w:r>
        <w:t xml:space="preserve">  Order No. 773-A, 143 FERC ¶ 61,053 at P 36 (“sub-100kV elements comprising radial systems and local networks will not be included in the bulk electric system, unless deemed otherwise in the exception process”).  </w:t>
      </w:r>
      <w:r w:rsidRPr="00543058">
        <w:rPr>
          <w:i/>
        </w:rPr>
        <w:t>See also</w:t>
      </w:r>
      <w:r>
        <w:t xml:space="preserve"> Order No. 773, 141 FERC ¶ 61,236 at P 155.</w:t>
      </w:r>
    </w:p>
  </w:footnote>
  <w:footnote w:id="19">
    <w:p w:rsidR="002256D1" w:rsidRDefault="002256D1">
      <w:pPr>
        <w:pStyle w:val="FootnoteText"/>
      </w:pPr>
      <w:r>
        <w:rPr>
          <w:rStyle w:val="FootnoteReference"/>
        </w:rPr>
        <w:footnoteRef/>
      </w:r>
      <w:r>
        <w:t xml:space="preserve"> </w:t>
      </w:r>
      <w:r w:rsidR="00C66A6C">
        <w:t xml:space="preserve"> </w:t>
      </w:r>
      <w:r w:rsidRPr="00A810FF">
        <w:rPr>
          <w:i/>
        </w:rPr>
        <w:t>See</w:t>
      </w:r>
      <w:r>
        <w:t xml:space="preserve"> NERC Petition, Exhibit D (White Paper on Bulk Electric System Radial Exclusion (E1) Low Voltage Loop Threshold – Public Version (White Paper).</w:t>
      </w:r>
    </w:p>
  </w:footnote>
  <w:footnote w:id="20">
    <w:p w:rsidR="002256D1" w:rsidRDefault="002256D1">
      <w:pPr>
        <w:pStyle w:val="FootnoteText"/>
      </w:pPr>
      <w:r>
        <w:rPr>
          <w:rStyle w:val="FootnoteReference"/>
        </w:rPr>
        <w:footnoteRef/>
      </w:r>
      <w:r>
        <w:t xml:space="preserve"> </w:t>
      </w:r>
      <w:r w:rsidR="00C66A6C">
        <w:t xml:space="preserve"> </w:t>
      </w:r>
      <w:proofErr w:type="gramStart"/>
      <w:r w:rsidRPr="00A810FF">
        <w:rPr>
          <w:i/>
        </w:rPr>
        <w:t>Id</w:t>
      </w:r>
      <w:r>
        <w:t>. at 2, 17.</w:t>
      </w:r>
      <w:proofErr w:type="gramEnd"/>
    </w:p>
  </w:footnote>
  <w:footnote w:id="21">
    <w:p w:rsidR="002F37AC" w:rsidRDefault="002F37AC">
      <w:pPr>
        <w:pStyle w:val="FootnoteText"/>
      </w:pPr>
      <w:r>
        <w:rPr>
          <w:rStyle w:val="FootnoteReference"/>
        </w:rPr>
        <w:footnoteRef/>
      </w:r>
      <w:r>
        <w:t xml:space="preserve">  </w:t>
      </w:r>
      <w:proofErr w:type="gramStart"/>
      <w:r>
        <w:t>NERC Petition at 23.</w:t>
      </w:r>
      <w:proofErr w:type="gramEnd"/>
      <w:r>
        <w:t xml:space="preserve"> </w:t>
      </w:r>
    </w:p>
  </w:footnote>
  <w:footnote w:id="22">
    <w:p w:rsidR="002F37AC" w:rsidRDefault="002F37AC">
      <w:pPr>
        <w:pStyle w:val="FootnoteText"/>
      </w:pPr>
      <w:r>
        <w:rPr>
          <w:rStyle w:val="FootnoteReference"/>
        </w:rPr>
        <w:footnoteRef/>
      </w:r>
      <w:r>
        <w:t xml:space="preserve">  </w:t>
      </w:r>
      <w:r w:rsidRPr="00A02EDB">
        <w:rPr>
          <w:i/>
        </w:rPr>
        <w:t>Id.</w:t>
      </w:r>
      <w:r>
        <w:t xml:space="preserve"> </w:t>
      </w:r>
    </w:p>
  </w:footnote>
  <w:footnote w:id="23">
    <w:p w:rsidR="002F37AC" w:rsidRDefault="002F37AC">
      <w:pPr>
        <w:pStyle w:val="FootnoteText"/>
      </w:pPr>
      <w:r>
        <w:rPr>
          <w:rStyle w:val="FootnoteReference"/>
        </w:rPr>
        <w:footnoteRef/>
      </w:r>
      <w:r>
        <w:t xml:space="preserve"> </w:t>
      </w:r>
      <w:r w:rsidR="00C66A6C">
        <w:t xml:space="preserve"> </w:t>
      </w:r>
      <w:r>
        <w:t xml:space="preserve">Order No. 773-A, 143 FERC ¶ 61,053 at P 36 (“sub-100kV elements comprising radial systems and local networks will not be included in the bulk electric system, unless deemed otherwise in the exception process”).  </w:t>
      </w:r>
      <w:r w:rsidRPr="006F3A94">
        <w:rPr>
          <w:i/>
        </w:rPr>
        <w:t>See also</w:t>
      </w:r>
      <w:r>
        <w:t xml:space="preserve"> Order No. 773, 141 FERC ¶ 61,236 at P 155.</w:t>
      </w:r>
    </w:p>
  </w:footnote>
  <w:footnote w:id="24">
    <w:p w:rsidR="002F37AC" w:rsidRDefault="002F37AC">
      <w:pPr>
        <w:pStyle w:val="FootnoteText"/>
      </w:pPr>
      <w:r>
        <w:rPr>
          <w:rStyle w:val="FootnoteReference"/>
        </w:rPr>
        <w:footnoteRef/>
      </w:r>
      <w:r>
        <w:t xml:space="preserve"> </w:t>
      </w:r>
      <w:r w:rsidR="00C66A6C">
        <w:t xml:space="preserve"> </w:t>
      </w:r>
      <w:r>
        <w:t xml:space="preserve">NERC Petition at 15-16. </w:t>
      </w:r>
    </w:p>
  </w:footnote>
  <w:footnote w:id="25">
    <w:p w:rsidR="002F37AC" w:rsidRDefault="002F37AC">
      <w:pPr>
        <w:pStyle w:val="FootnoteText"/>
      </w:pPr>
      <w:r>
        <w:rPr>
          <w:rStyle w:val="FootnoteReference"/>
        </w:rPr>
        <w:footnoteRef/>
      </w:r>
      <w:r>
        <w:t xml:space="preserve">  NERC Petition at 18, </w:t>
      </w:r>
      <w:r w:rsidRPr="00837B9B">
        <w:rPr>
          <w:i/>
          <w:szCs w:val="26"/>
        </w:rPr>
        <w:t>quoting</w:t>
      </w:r>
      <w:r w:rsidRPr="00837B9B">
        <w:rPr>
          <w:szCs w:val="26"/>
        </w:rPr>
        <w:t xml:space="preserve"> </w:t>
      </w:r>
      <w:r>
        <w:t xml:space="preserve">Order No. 773, </w:t>
      </w:r>
      <w:r w:rsidRPr="00837B9B">
        <w:rPr>
          <w:szCs w:val="26"/>
        </w:rPr>
        <w:t>141 FERC ¶ 61,236 at P 115</w:t>
      </w:r>
      <w:r>
        <w:rPr>
          <w:szCs w:val="26"/>
        </w:rPr>
        <w:t>.</w:t>
      </w:r>
    </w:p>
  </w:footnote>
  <w:footnote w:id="26">
    <w:p w:rsidR="002F37AC" w:rsidRDefault="002F37AC">
      <w:pPr>
        <w:pStyle w:val="FootnoteText"/>
      </w:pPr>
      <w:r>
        <w:rPr>
          <w:rStyle w:val="FootnoteReference"/>
        </w:rPr>
        <w:footnoteRef/>
      </w:r>
      <w:r>
        <w:t xml:space="preserve">  </w:t>
      </w:r>
      <w:proofErr w:type="gramStart"/>
      <w:r>
        <w:t>NERC Petition at 18.</w:t>
      </w:r>
      <w:proofErr w:type="gramEnd"/>
      <w:r>
        <w:t xml:space="preserve">  </w:t>
      </w:r>
    </w:p>
  </w:footnote>
  <w:footnote w:id="27">
    <w:p w:rsidR="002F37AC" w:rsidRDefault="002F37AC">
      <w:pPr>
        <w:pStyle w:val="FootnoteText"/>
      </w:pPr>
      <w:r>
        <w:rPr>
          <w:rStyle w:val="FootnoteReference"/>
        </w:rPr>
        <w:footnoteRef/>
      </w:r>
      <w:r>
        <w:t xml:space="preserve">  </w:t>
      </w:r>
      <w:r w:rsidRPr="00FA7B0C">
        <w:rPr>
          <w:i/>
        </w:rPr>
        <w:t>Id</w:t>
      </w:r>
      <w:r>
        <w:t xml:space="preserve">.  </w:t>
      </w:r>
    </w:p>
  </w:footnote>
  <w:footnote w:id="28">
    <w:p w:rsidR="002F37AC" w:rsidRDefault="002F37AC">
      <w:pPr>
        <w:pStyle w:val="FootnoteText"/>
      </w:pPr>
      <w:r>
        <w:rPr>
          <w:rStyle w:val="FootnoteReference"/>
        </w:rPr>
        <w:footnoteRef/>
      </w:r>
      <w:r>
        <w:t xml:space="preserve">  NERC Petition at 16-17. </w:t>
      </w:r>
    </w:p>
  </w:footnote>
  <w:footnote w:id="29">
    <w:p w:rsidR="002F37AC" w:rsidRDefault="002F37AC">
      <w:pPr>
        <w:pStyle w:val="FootnoteText"/>
      </w:pPr>
      <w:r>
        <w:rPr>
          <w:rStyle w:val="FootnoteReference"/>
        </w:rPr>
        <w:footnoteRef/>
      </w:r>
      <w:r>
        <w:t xml:space="preserve"> </w:t>
      </w:r>
      <w:r w:rsidR="00C66A6C">
        <w:t xml:space="preserve"> </w:t>
      </w:r>
      <w:r w:rsidRPr="006F3A94">
        <w:rPr>
          <w:i/>
        </w:rPr>
        <w:t>See</w:t>
      </w:r>
      <w:r>
        <w:t xml:space="preserve"> NERC Rules of Procedure, Appendix 5C, </w:t>
      </w:r>
      <w:r w:rsidRPr="006F3A94">
        <w:rPr>
          <w:i/>
        </w:rPr>
        <w:t>Procedure for Requesting and Receiving an Exception from the Application of the NERC Definition of Bulk Electric System</w:t>
      </w:r>
      <w:r>
        <w:t xml:space="preserve">, </w:t>
      </w:r>
      <w:proofErr w:type="gramStart"/>
      <w:r>
        <w:t>effective</w:t>
      </w:r>
      <w:proofErr w:type="gramEnd"/>
      <w:r>
        <w:t xml:space="preserve"> July 1, 2014. </w:t>
      </w:r>
    </w:p>
  </w:footnote>
  <w:footnote w:id="30">
    <w:p w:rsidR="002F37AC" w:rsidRDefault="002F37AC">
      <w:pPr>
        <w:pStyle w:val="FootnoteText"/>
      </w:pPr>
      <w:r>
        <w:rPr>
          <w:rStyle w:val="FootnoteReference"/>
        </w:rPr>
        <w:footnoteRef/>
      </w:r>
      <w:r>
        <w:t xml:space="preserve"> </w:t>
      </w:r>
      <w:r w:rsidR="00C66A6C">
        <w:t xml:space="preserve"> </w:t>
      </w:r>
      <w:r>
        <w:t>NERC Petition at 29-30.</w:t>
      </w:r>
    </w:p>
  </w:footnote>
  <w:footnote w:id="31">
    <w:p w:rsidR="002F37AC" w:rsidRDefault="002F37AC">
      <w:pPr>
        <w:pStyle w:val="FootnoteText"/>
      </w:pPr>
      <w:r>
        <w:rPr>
          <w:rStyle w:val="FootnoteReference"/>
        </w:rPr>
        <w:footnoteRef/>
      </w:r>
      <w:r>
        <w:t xml:space="preserve">  </w:t>
      </w:r>
      <w:r w:rsidRPr="00CF4765">
        <w:rPr>
          <w:szCs w:val="26"/>
        </w:rPr>
        <w:t>In Order No. 773, rather than directing such a change, the Commission noted that this issue could be explored by NERC in the development of Phase 2.</w:t>
      </w:r>
      <w:r w:rsidR="00EE38DC">
        <w:rPr>
          <w:szCs w:val="26"/>
        </w:rPr>
        <w:t xml:space="preserve">  </w:t>
      </w:r>
      <w:r>
        <w:t>Order</w:t>
      </w:r>
      <w:r w:rsidR="009F68F6">
        <w:t xml:space="preserve">        </w:t>
      </w:r>
      <w:bookmarkStart w:id="0" w:name="_GoBack"/>
      <w:bookmarkEnd w:id="0"/>
      <w:r>
        <w:t xml:space="preserve"> No. 773, 141 FERC ¶ 61,236 at P 237.</w:t>
      </w:r>
    </w:p>
  </w:footnote>
  <w:footnote w:id="32">
    <w:p w:rsidR="002F37AC" w:rsidRDefault="002F37AC">
      <w:pPr>
        <w:pStyle w:val="FootnoteText"/>
      </w:pPr>
      <w:r>
        <w:rPr>
          <w:rStyle w:val="FootnoteReference"/>
        </w:rPr>
        <w:footnoteRef/>
      </w:r>
      <w:r>
        <w:t xml:space="preserve">  </w:t>
      </w:r>
      <w:proofErr w:type="gramStart"/>
      <w:r>
        <w:t>NERC Petition at 18.</w:t>
      </w:r>
      <w:proofErr w:type="gramEnd"/>
      <w:r>
        <w:t xml:space="preserve"> </w:t>
      </w:r>
    </w:p>
  </w:footnote>
  <w:footnote w:id="33">
    <w:p w:rsidR="002F37AC" w:rsidRDefault="002F37AC">
      <w:pPr>
        <w:pStyle w:val="FootnoteText"/>
      </w:pPr>
      <w:r>
        <w:rPr>
          <w:rStyle w:val="FootnoteReference"/>
        </w:rPr>
        <w:footnoteRef/>
      </w:r>
      <w:r>
        <w:t xml:space="preserve">  </w:t>
      </w:r>
      <w:r w:rsidRPr="00FA1ECB">
        <w:rPr>
          <w:i/>
        </w:rPr>
        <w:t>Id</w:t>
      </w:r>
      <w:r>
        <w:t xml:space="preserve">. </w:t>
      </w:r>
    </w:p>
  </w:footnote>
  <w:footnote w:id="34">
    <w:p w:rsidR="000D21F4" w:rsidRDefault="000D21F4">
      <w:pPr>
        <w:pStyle w:val="FootnoteText"/>
      </w:pPr>
      <w:r>
        <w:rPr>
          <w:rStyle w:val="FootnoteReference"/>
        </w:rPr>
        <w:footnoteRef/>
      </w:r>
      <w:r>
        <w:t xml:space="preserve">  </w:t>
      </w:r>
      <w:proofErr w:type="gramStart"/>
      <w:r>
        <w:t>Exelon Comments at 3.</w:t>
      </w:r>
      <w:proofErr w:type="gramEnd"/>
    </w:p>
  </w:footnote>
  <w:footnote w:id="35">
    <w:p w:rsidR="000D21F4" w:rsidRDefault="000D21F4">
      <w:pPr>
        <w:pStyle w:val="FootnoteText"/>
      </w:pPr>
      <w:r>
        <w:rPr>
          <w:rStyle w:val="FootnoteReference"/>
        </w:rPr>
        <w:footnoteRef/>
      </w:r>
      <w:r>
        <w:t xml:space="preserve">  </w:t>
      </w:r>
      <w:proofErr w:type="gramStart"/>
      <w:r w:rsidRPr="000D21F4">
        <w:rPr>
          <w:i/>
        </w:rPr>
        <w:t>Id.</w:t>
      </w:r>
      <w:r>
        <w:t xml:space="preserve">, </w:t>
      </w:r>
      <w:r w:rsidRPr="000D21F4">
        <w:rPr>
          <w:i/>
        </w:rPr>
        <w:t xml:space="preserve">quoting </w:t>
      </w:r>
      <w:r>
        <w:t xml:space="preserve">NERC Petition, </w:t>
      </w:r>
      <w:proofErr w:type="spellStart"/>
      <w:r>
        <w:t>Exh</w:t>
      </w:r>
      <w:proofErr w:type="spellEnd"/>
      <w:r>
        <w:t>.</w:t>
      </w:r>
      <w:proofErr w:type="gramEnd"/>
      <w:r>
        <w:t xml:space="preserve"> </w:t>
      </w:r>
      <w:proofErr w:type="gramStart"/>
      <w:r>
        <w:t>D at 11.</w:t>
      </w:r>
      <w:proofErr w:type="gramEnd"/>
      <w:r>
        <w:t xml:space="preserve"> </w:t>
      </w:r>
    </w:p>
  </w:footnote>
  <w:footnote w:id="36">
    <w:p w:rsidR="000D21F4" w:rsidRDefault="000D21F4">
      <w:pPr>
        <w:pStyle w:val="FootnoteText"/>
      </w:pPr>
      <w:r>
        <w:rPr>
          <w:rStyle w:val="FootnoteReference"/>
        </w:rPr>
        <w:footnoteRef/>
      </w:r>
      <w:r>
        <w:t xml:space="preserve">  </w:t>
      </w:r>
      <w:proofErr w:type="gramStart"/>
      <w:r>
        <w:t>ELCON Protest at 2.</w:t>
      </w:r>
      <w:proofErr w:type="gramEnd"/>
    </w:p>
  </w:footnote>
  <w:footnote w:id="37">
    <w:p w:rsidR="000D21F4" w:rsidRDefault="000D21F4">
      <w:pPr>
        <w:pStyle w:val="FootnoteText"/>
      </w:pPr>
      <w:r>
        <w:rPr>
          <w:rStyle w:val="FootnoteReference"/>
        </w:rPr>
        <w:footnoteRef/>
      </w:r>
      <w:r>
        <w:t xml:space="preserve">  </w:t>
      </w:r>
      <w:proofErr w:type="gramStart"/>
      <w:r>
        <w:t>ELCON Protest at 6.</w:t>
      </w:r>
      <w:proofErr w:type="gramEnd"/>
    </w:p>
  </w:footnote>
  <w:footnote w:id="38">
    <w:p w:rsidR="002F37AC" w:rsidRDefault="002F37AC">
      <w:pPr>
        <w:pStyle w:val="FootnoteText"/>
      </w:pPr>
      <w:r>
        <w:rPr>
          <w:rStyle w:val="FootnoteReference"/>
        </w:rPr>
        <w:footnoteRef/>
      </w:r>
      <w:r>
        <w:t xml:space="preserve"> </w:t>
      </w:r>
      <w:r w:rsidR="00A810FF">
        <w:t xml:space="preserve"> </w:t>
      </w:r>
      <w:proofErr w:type="gramStart"/>
      <w:r>
        <w:t>ELCON Protest at 10.</w:t>
      </w:r>
      <w:proofErr w:type="gramEnd"/>
    </w:p>
  </w:footnote>
  <w:footnote w:id="39">
    <w:p w:rsidR="00767B7E" w:rsidRDefault="00767B7E">
      <w:pPr>
        <w:pStyle w:val="FootnoteText"/>
      </w:pPr>
      <w:r>
        <w:rPr>
          <w:rStyle w:val="FootnoteReference"/>
        </w:rPr>
        <w:footnoteRef/>
      </w:r>
      <w:r>
        <w:t xml:space="preserve"> </w:t>
      </w:r>
      <w:r w:rsidR="00A810FF">
        <w:t xml:space="preserve"> AWEA Protest </w:t>
      </w:r>
      <w:proofErr w:type="gramStart"/>
      <w:r w:rsidR="00A810FF">
        <w:t>at  1</w:t>
      </w:r>
      <w:proofErr w:type="gramEnd"/>
      <w:r w:rsidR="00A810FF">
        <w:t>-2.</w:t>
      </w:r>
    </w:p>
  </w:footnote>
  <w:footnote w:id="40">
    <w:p w:rsidR="009127C9" w:rsidRDefault="009127C9">
      <w:pPr>
        <w:pStyle w:val="FootnoteText"/>
      </w:pPr>
      <w:r>
        <w:rPr>
          <w:rStyle w:val="FootnoteReference"/>
        </w:rPr>
        <w:footnoteRef/>
      </w:r>
      <w:r>
        <w:t xml:space="preserve">  AWEA Protest at 10-11.</w:t>
      </w:r>
    </w:p>
  </w:footnote>
  <w:footnote w:id="41">
    <w:p w:rsidR="007E19E0" w:rsidRDefault="007E19E0">
      <w:pPr>
        <w:pStyle w:val="FootnoteText"/>
      </w:pPr>
      <w:r>
        <w:rPr>
          <w:rStyle w:val="FootnoteReference"/>
        </w:rPr>
        <w:footnoteRef/>
      </w:r>
      <w:r>
        <w:t xml:space="preserve"> </w:t>
      </w:r>
      <w:r w:rsidR="00A810FF">
        <w:t xml:space="preserve"> </w:t>
      </w:r>
      <w:r>
        <w:t xml:space="preserve">First Wind </w:t>
      </w:r>
      <w:r w:rsidR="00A810FF">
        <w:t>Protest</w:t>
      </w:r>
      <w:r>
        <w:t xml:space="preserve"> at </w:t>
      </w:r>
      <w:r w:rsidR="00A810FF">
        <w:t>2-3</w:t>
      </w:r>
      <w:r>
        <w:t>.</w:t>
      </w:r>
      <w:r w:rsidR="0010268B">
        <w:t xml:space="preserve">  </w:t>
      </w:r>
    </w:p>
  </w:footnote>
  <w:footnote w:id="42">
    <w:p w:rsidR="00104EDB" w:rsidRDefault="00104EDB">
      <w:pPr>
        <w:pStyle w:val="FootnoteText"/>
      </w:pPr>
      <w:r>
        <w:rPr>
          <w:rStyle w:val="FootnoteReference"/>
        </w:rPr>
        <w:footnoteRef/>
      </w:r>
      <w:r>
        <w:t xml:space="preserve"> </w:t>
      </w:r>
      <w:r w:rsidR="00C66A6C">
        <w:t xml:space="preserve"> </w:t>
      </w:r>
      <w:r>
        <w:t>NERC Reply Comments at 6-7.</w:t>
      </w:r>
    </w:p>
  </w:footnote>
  <w:footnote w:id="43">
    <w:p w:rsidR="002F37AC" w:rsidRDefault="002F37AC">
      <w:pPr>
        <w:pStyle w:val="FootnoteText"/>
      </w:pPr>
      <w:r>
        <w:rPr>
          <w:rStyle w:val="FootnoteReference"/>
        </w:rPr>
        <w:footnoteRef/>
      </w:r>
      <w:r>
        <w:t xml:space="preserve"> </w:t>
      </w:r>
      <w:r w:rsidR="00C66A6C">
        <w:t xml:space="preserve"> </w:t>
      </w:r>
      <w:r>
        <w:t>NERC Reply Comments at 8</w:t>
      </w:r>
      <w:r w:rsidR="00597CCE">
        <w:t>, citing</w:t>
      </w:r>
      <w:r w:rsidR="00A810FF">
        <w:t xml:space="preserve"> </w:t>
      </w:r>
      <w:r w:rsidR="00A810FF" w:rsidRPr="00A810FF">
        <w:rPr>
          <w:szCs w:val="26"/>
        </w:rPr>
        <w:t xml:space="preserve">2009 NERC Special Report: </w:t>
      </w:r>
      <w:r w:rsidR="00A810FF" w:rsidRPr="00A810FF">
        <w:rPr>
          <w:i/>
          <w:iCs/>
          <w:szCs w:val="26"/>
        </w:rPr>
        <w:t>Accommodating High Levels of Variable Generation</w:t>
      </w:r>
      <w:r w:rsidR="00A810FF">
        <w:rPr>
          <w:iCs/>
          <w:szCs w:val="26"/>
        </w:rPr>
        <w:t xml:space="preserve"> at 52</w:t>
      </w:r>
      <w:r>
        <w:t>.</w:t>
      </w:r>
    </w:p>
  </w:footnote>
  <w:footnote w:id="44">
    <w:p w:rsidR="009B0877" w:rsidRDefault="009B0877">
      <w:pPr>
        <w:pStyle w:val="FootnoteText"/>
      </w:pPr>
      <w:r>
        <w:rPr>
          <w:rStyle w:val="FootnoteReference"/>
        </w:rPr>
        <w:footnoteRef/>
      </w:r>
      <w:r>
        <w:t xml:space="preserve"> </w:t>
      </w:r>
      <w:r w:rsidR="00C66A6C">
        <w:t xml:space="preserve"> </w:t>
      </w:r>
      <w:r>
        <w:t>Exelon Reply Comments at 3-4.</w:t>
      </w:r>
    </w:p>
  </w:footnote>
  <w:footnote w:id="45">
    <w:p w:rsidR="002F37AC" w:rsidRDefault="002F37AC" w:rsidP="00E738CD">
      <w:pPr>
        <w:pStyle w:val="FootnoteText"/>
      </w:pPr>
      <w:r>
        <w:rPr>
          <w:rStyle w:val="FootnoteReference"/>
        </w:rPr>
        <w:footnoteRef/>
      </w:r>
      <w:r>
        <w:t xml:space="preserve"> </w:t>
      </w:r>
      <w:r w:rsidR="00C66A6C">
        <w:t xml:space="preserve"> </w:t>
      </w:r>
      <w:r>
        <w:t>18 C.F.R. § 385.213(a</w:t>
      </w:r>
      <w:proofErr w:type="gramStart"/>
      <w:r>
        <w:t>)(</w:t>
      </w:r>
      <w:proofErr w:type="gramEnd"/>
      <w:r>
        <w:t>2) (2013).</w:t>
      </w:r>
    </w:p>
  </w:footnote>
  <w:footnote w:id="46">
    <w:p w:rsidR="00C63FA2" w:rsidRDefault="00C63FA2" w:rsidP="00C63FA2">
      <w:pPr>
        <w:pStyle w:val="FootnoteText"/>
      </w:pPr>
      <w:r>
        <w:rPr>
          <w:rStyle w:val="FootnoteReference"/>
        </w:rPr>
        <w:footnoteRef/>
      </w:r>
      <w:r>
        <w:t xml:space="preserve"> </w:t>
      </w:r>
      <w:r w:rsidR="00C66A6C">
        <w:t xml:space="preserve"> </w:t>
      </w:r>
      <w:proofErr w:type="gramStart"/>
      <w:r>
        <w:t>NERC Petition at 22.</w:t>
      </w:r>
      <w:proofErr w:type="gramEnd"/>
      <w:r>
        <w:t xml:space="preserve"> </w:t>
      </w:r>
    </w:p>
  </w:footnote>
  <w:footnote w:id="47">
    <w:p w:rsidR="00A03738" w:rsidRDefault="00B40CEF" w:rsidP="00A03738">
      <w:pPr>
        <w:pStyle w:val="FootnoteText"/>
      </w:pPr>
      <w:r>
        <w:rPr>
          <w:rStyle w:val="FootnoteReference"/>
        </w:rPr>
        <w:footnoteRef/>
      </w:r>
      <w:r>
        <w:t xml:space="preserve"> </w:t>
      </w:r>
      <w:r w:rsidR="00C66A6C">
        <w:t xml:space="preserve"> </w:t>
      </w:r>
      <w:r>
        <w:t xml:space="preserve">NERC Petition, </w:t>
      </w:r>
      <w:proofErr w:type="spellStart"/>
      <w:r>
        <w:t>Exh</w:t>
      </w:r>
      <w:proofErr w:type="spellEnd"/>
      <w:r>
        <w:t xml:space="preserve">. </w:t>
      </w:r>
      <w:proofErr w:type="gramStart"/>
      <w:r>
        <w:t>D at 17.</w:t>
      </w:r>
      <w:proofErr w:type="gramEnd"/>
      <w:r w:rsidR="00A03738">
        <w:t xml:space="preserve"> </w:t>
      </w:r>
    </w:p>
  </w:footnote>
  <w:footnote w:id="48">
    <w:p w:rsidR="00BB31FD" w:rsidRDefault="00BB31FD">
      <w:pPr>
        <w:pStyle w:val="FootnoteText"/>
      </w:pPr>
      <w:r>
        <w:rPr>
          <w:rStyle w:val="FootnoteReference"/>
        </w:rPr>
        <w:footnoteRef/>
      </w:r>
      <w:r>
        <w:t xml:space="preserve"> </w:t>
      </w:r>
      <w:r w:rsidR="00C66A6C">
        <w:t xml:space="preserve"> </w:t>
      </w:r>
      <w:r w:rsidRPr="00A810FF">
        <w:rPr>
          <w:i/>
        </w:rPr>
        <w:t>See</w:t>
      </w:r>
      <w:r>
        <w:t xml:space="preserve"> </w:t>
      </w:r>
      <w:r w:rsidRPr="00A810FF">
        <w:rPr>
          <w:i/>
        </w:rPr>
        <w:t>id</w:t>
      </w:r>
      <w:r>
        <w:t xml:space="preserve">. </w:t>
      </w:r>
      <w:proofErr w:type="gramStart"/>
      <w:r>
        <w:t>at</w:t>
      </w:r>
      <w:proofErr w:type="gramEnd"/>
      <w:r>
        <w:t xml:space="preserve"> 16-17.</w:t>
      </w:r>
      <w:r w:rsidR="002916FC">
        <w:t xml:space="preserve">  </w:t>
      </w:r>
      <w:r w:rsidR="00063A60">
        <w:t xml:space="preserve">In addition, </w:t>
      </w:r>
      <w:r w:rsidR="002916FC">
        <w:t>NERC states that “[t]</w:t>
      </w:r>
      <w:proofErr w:type="gramStart"/>
      <w:r w:rsidR="002916FC" w:rsidRPr="00A03738">
        <w:t>he</w:t>
      </w:r>
      <w:proofErr w:type="gramEnd"/>
      <w:r w:rsidR="002916FC" w:rsidRPr="00A03738">
        <w:t xml:space="preserve"> scenarios and configurations utilized in this analysis represent the majority of cases that will be encountered in the industry. </w:t>
      </w:r>
      <w:r w:rsidR="002916FC">
        <w:t xml:space="preserve"> </w:t>
      </w:r>
      <w:r w:rsidR="002916FC" w:rsidRPr="00A03738">
        <w:t xml:space="preserve">The models used in this analysis establish reasonable bounds and use conservative parameters in the scenarios. </w:t>
      </w:r>
      <w:r w:rsidR="002916FC">
        <w:t xml:space="preserve"> </w:t>
      </w:r>
      <w:r w:rsidR="002916FC" w:rsidRPr="00A03738">
        <w:t xml:space="preserve">However, there may be actual cases that deviate from these modeled scenarios, and therefore, results could be somewhat different than the ranges of results from this analysis. </w:t>
      </w:r>
      <w:r w:rsidR="002916FC">
        <w:t xml:space="preserve"> </w:t>
      </w:r>
      <w:r w:rsidR="002916FC" w:rsidRPr="00A03738">
        <w:t>Such deviations are expected to be rare and can be processed through the companion BES Exception Process.</w:t>
      </w:r>
      <w:r w:rsidR="002916FC">
        <w:t xml:space="preserve">”  </w:t>
      </w:r>
      <w:proofErr w:type="gramStart"/>
      <w:r w:rsidR="002916FC" w:rsidRPr="00377D1B">
        <w:rPr>
          <w:i/>
        </w:rPr>
        <w:t>Id.</w:t>
      </w:r>
      <w:r w:rsidR="002916FC">
        <w:t xml:space="preserve"> at 17.</w:t>
      </w:r>
      <w:proofErr w:type="gramEnd"/>
      <w:r w:rsidR="002916FC">
        <w:t xml:space="preserve">   </w:t>
      </w:r>
    </w:p>
  </w:footnote>
  <w:footnote w:id="49">
    <w:p w:rsidR="00DE0B33" w:rsidRDefault="00DE0B33" w:rsidP="00DE0B33">
      <w:pPr>
        <w:pStyle w:val="FootnoteText"/>
      </w:pPr>
      <w:r>
        <w:rPr>
          <w:rStyle w:val="FootnoteReference"/>
        </w:rPr>
        <w:footnoteRef/>
      </w:r>
      <w:r>
        <w:t xml:space="preserve"> NERC concluded that “[s]</w:t>
      </w:r>
      <w:proofErr w:type="spellStart"/>
      <w:r w:rsidRPr="00DE0B33">
        <w:t>imulations</w:t>
      </w:r>
      <w:proofErr w:type="spellEnd"/>
      <w:r w:rsidRPr="00DE0B33">
        <w:t xml:space="preserve"> of power flows for the cases modeled in this study show there is no power flow reversal into the BES when circuit loop operating voltages are below 50 kV.  This study also finds, for loop voltages above </w:t>
      </w:r>
      <w:r w:rsidR="00416290">
        <w:t xml:space="preserve">       </w:t>
      </w:r>
      <w:r w:rsidRPr="00DE0B33">
        <w:t>50 kV, certain cases result in power flo</w:t>
      </w:r>
      <w:r>
        <w:t xml:space="preserve">w toward the BES.  </w:t>
      </w:r>
      <w:r w:rsidRPr="00DE0B33">
        <w:t>Therefore, the study concludes that low voltage circuit loops operated below 50 kV should not affect the application of Exclusion E1.</w:t>
      </w:r>
      <w:r>
        <w:t xml:space="preserve">”  NERC Petition, </w:t>
      </w:r>
      <w:proofErr w:type="spellStart"/>
      <w:r>
        <w:t>Exh</w:t>
      </w:r>
      <w:proofErr w:type="spellEnd"/>
      <w:r>
        <w:t xml:space="preserve">. </w:t>
      </w:r>
      <w:proofErr w:type="gramStart"/>
      <w:r>
        <w:t>D at 17.</w:t>
      </w:r>
      <w:proofErr w:type="gramEnd"/>
    </w:p>
  </w:footnote>
  <w:footnote w:id="50">
    <w:p w:rsidR="007546D6" w:rsidRDefault="007546D6">
      <w:pPr>
        <w:pStyle w:val="FootnoteText"/>
      </w:pPr>
      <w:r>
        <w:rPr>
          <w:rStyle w:val="FootnoteReference"/>
        </w:rPr>
        <w:footnoteRef/>
      </w:r>
      <w:r>
        <w:t xml:space="preserve"> </w:t>
      </w:r>
      <w:r w:rsidR="00C66A6C">
        <w:t xml:space="preserve"> </w:t>
      </w:r>
      <w:r w:rsidRPr="00A810FF">
        <w:rPr>
          <w:i/>
        </w:rPr>
        <w:t>See</w:t>
      </w:r>
      <w:r>
        <w:t xml:space="preserve"> Order No. 773</w:t>
      </w:r>
      <w:r w:rsidR="0050687B">
        <w:t>,</w:t>
      </w:r>
      <w:r w:rsidR="00A810FF">
        <w:t xml:space="preserve"> 141 FERC ¶ 61,236 at P 199</w:t>
      </w:r>
    </w:p>
  </w:footnote>
  <w:footnote w:id="51">
    <w:p w:rsidR="00DE3551" w:rsidRDefault="00DE3551">
      <w:pPr>
        <w:pStyle w:val="FootnoteText"/>
      </w:pPr>
      <w:r>
        <w:rPr>
          <w:rStyle w:val="FootnoteReference"/>
        </w:rPr>
        <w:footnoteRef/>
      </w:r>
      <w:r>
        <w:t xml:space="preserve"> </w:t>
      </w:r>
      <w:r w:rsidR="00C66A6C">
        <w:t xml:space="preserve"> </w:t>
      </w:r>
      <w:r w:rsidRPr="00A810FF">
        <w:rPr>
          <w:i/>
        </w:rPr>
        <w:t>See</w:t>
      </w:r>
      <w:r>
        <w:t xml:space="preserve"> NERC Petition at </w:t>
      </w:r>
      <w:r w:rsidR="00A810FF">
        <w:t>17.</w:t>
      </w:r>
    </w:p>
  </w:footnote>
  <w:footnote w:id="52">
    <w:p w:rsidR="00E90C16" w:rsidRDefault="00E90C16" w:rsidP="00E90C16">
      <w:pPr>
        <w:pStyle w:val="FootnoteText"/>
      </w:pPr>
      <w:r>
        <w:rPr>
          <w:rStyle w:val="FootnoteReference"/>
        </w:rPr>
        <w:footnoteRef/>
      </w:r>
      <w:r>
        <w:t xml:space="preserve"> </w:t>
      </w:r>
      <w:r w:rsidR="00C66A6C">
        <w:t xml:space="preserve"> </w:t>
      </w:r>
      <w:r w:rsidRPr="001576AF">
        <w:rPr>
          <w:i/>
        </w:rPr>
        <w:t>See</w:t>
      </w:r>
      <w:r>
        <w:t xml:space="preserve"> Order No. 773, </w:t>
      </w:r>
      <w:r w:rsidR="00A810FF">
        <w:t>141 FERC ¶ 61,236 at P 115.</w:t>
      </w:r>
    </w:p>
  </w:footnote>
  <w:footnote w:id="53">
    <w:p w:rsidR="00F66068" w:rsidRDefault="00F66068">
      <w:pPr>
        <w:pStyle w:val="FootnoteText"/>
      </w:pPr>
      <w:r>
        <w:rPr>
          <w:rStyle w:val="FootnoteReference"/>
        </w:rPr>
        <w:footnoteRef/>
      </w:r>
      <w:r>
        <w:t xml:space="preserve"> </w:t>
      </w:r>
      <w:r w:rsidR="00C66A6C">
        <w:t xml:space="preserve"> </w:t>
      </w:r>
      <w:r w:rsidRPr="00A810FF">
        <w:rPr>
          <w:i/>
        </w:rPr>
        <w:t>Id</w:t>
      </w:r>
      <w:r>
        <w:t>.</w:t>
      </w:r>
    </w:p>
  </w:footnote>
  <w:footnote w:id="54">
    <w:p w:rsidR="001F7680" w:rsidRDefault="001F7680" w:rsidP="001F7680">
      <w:pPr>
        <w:pStyle w:val="FootnoteText"/>
      </w:pPr>
      <w:r>
        <w:rPr>
          <w:rStyle w:val="FootnoteReference"/>
        </w:rPr>
        <w:footnoteRef/>
      </w:r>
      <w:r>
        <w:t xml:space="preserve"> </w:t>
      </w:r>
      <w:r w:rsidR="00C66A6C">
        <w:t xml:space="preserve"> </w:t>
      </w:r>
      <w:r>
        <w:t>NERC Reply Commen</w:t>
      </w:r>
      <w:r w:rsidRPr="00ED51C1">
        <w:rPr>
          <w:szCs w:val="26"/>
        </w:rPr>
        <w:t>ts at 8</w:t>
      </w:r>
      <w:r>
        <w:rPr>
          <w:szCs w:val="26"/>
        </w:rPr>
        <w:t>,</w:t>
      </w:r>
      <w:r w:rsidRPr="00ED51C1">
        <w:rPr>
          <w:szCs w:val="26"/>
        </w:rPr>
        <w:t xml:space="preserve"> </w:t>
      </w:r>
      <w:r w:rsidRPr="00ED51C1">
        <w:rPr>
          <w:i/>
          <w:szCs w:val="26"/>
        </w:rPr>
        <w:t>quoting</w:t>
      </w:r>
      <w:r w:rsidRPr="00ED51C1">
        <w:rPr>
          <w:szCs w:val="26"/>
        </w:rPr>
        <w:t xml:space="preserve"> 2009 NERC Special Report:</w:t>
      </w:r>
      <w:r>
        <w:rPr>
          <w:szCs w:val="26"/>
        </w:rPr>
        <w:t xml:space="preserve"> </w:t>
      </w:r>
      <w:r w:rsidRPr="00ED51C1">
        <w:rPr>
          <w:i/>
          <w:iCs/>
          <w:szCs w:val="26"/>
        </w:rPr>
        <w:t>Accommodating High Levels of Variable Generation</w:t>
      </w:r>
      <w:r>
        <w:rPr>
          <w:i/>
          <w:iCs/>
          <w:szCs w:val="26"/>
        </w:rPr>
        <w:t>,</w:t>
      </w:r>
      <w:r w:rsidRPr="00ED51C1">
        <w:rPr>
          <w:i/>
          <w:iCs/>
          <w:szCs w:val="26"/>
        </w:rPr>
        <w:t xml:space="preserve"> </w:t>
      </w:r>
      <w:r w:rsidRPr="00ED51C1">
        <w:rPr>
          <w:iCs/>
          <w:szCs w:val="26"/>
        </w:rPr>
        <w:t>at</w:t>
      </w:r>
      <w:r w:rsidRPr="00ED51C1">
        <w:rPr>
          <w:i/>
          <w:iCs/>
          <w:szCs w:val="26"/>
        </w:rPr>
        <w:t xml:space="preserve"> </w:t>
      </w:r>
      <w:r w:rsidRPr="00ED51C1">
        <w:rPr>
          <w:szCs w:val="26"/>
        </w:rPr>
        <w:t>52.</w:t>
      </w:r>
    </w:p>
  </w:footnote>
  <w:footnote w:id="55">
    <w:p w:rsidR="00B80479" w:rsidRDefault="00B80479" w:rsidP="00B80479">
      <w:pPr>
        <w:pStyle w:val="FootnoteText"/>
      </w:pPr>
      <w:r>
        <w:rPr>
          <w:rStyle w:val="FootnoteReference"/>
        </w:rPr>
        <w:footnoteRef/>
      </w:r>
      <w:r>
        <w:t xml:space="preserve"> </w:t>
      </w:r>
      <w:r w:rsidR="00C66A6C">
        <w:t xml:space="preserve"> </w:t>
      </w:r>
      <w:r w:rsidR="009A1B86">
        <w:t xml:space="preserve">NERC </w:t>
      </w:r>
      <w:r w:rsidR="009A1B86" w:rsidRPr="00ED51C1">
        <w:rPr>
          <w:szCs w:val="26"/>
        </w:rPr>
        <w:t xml:space="preserve">Project 2014-01, Standards Applicability for Dispersed </w:t>
      </w:r>
      <w:proofErr w:type="gramStart"/>
      <w:r w:rsidR="009A1B86" w:rsidRPr="00ED51C1">
        <w:rPr>
          <w:szCs w:val="26"/>
        </w:rPr>
        <w:t>Generation</w:t>
      </w:r>
      <w:r w:rsidR="00EC1434">
        <w:rPr>
          <w:szCs w:val="26"/>
        </w:rPr>
        <w:t xml:space="preserve"> </w:t>
      </w:r>
      <w:r w:rsidR="009A1B86" w:rsidRPr="00ED51C1">
        <w:rPr>
          <w:szCs w:val="26"/>
        </w:rPr>
        <w:t xml:space="preserve"> Resources</w:t>
      </w:r>
      <w:proofErr w:type="gramEnd"/>
      <w:r w:rsidR="009A1B86">
        <w:rPr>
          <w:szCs w:val="26"/>
        </w:rPr>
        <w:t xml:space="preserve">.  </w:t>
      </w:r>
      <w:r w:rsidRPr="00232C32">
        <w:t>See the NERC project web page at</w:t>
      </w:r>
      <w:r w:rsidRPr="005853D6">
        <w:rPr>
          <w:i/>
        </w:rPr>
        <w:t>:</w:t>
      </w:r>
      <w:r w:rsidR="00AA01AB" w:rsidRPr="00AA01AB">
        <w:t xml:space="preserve"> </w:t>
      </w:r>
      <w:hyperlink r:id="rId1" w:history="1">
        <w:r w:rsidR="00232C32" w:rsidRPr="00C009D3">
          <w:rPr>
            <w:rStyle w:val="Hyperlink"/>
            <w:i/>
          </w:rPr>
          <w:t>http://www.nerc.com/pa/Stand/Pages/Project-2014-01-Standards-Applicability-for-Dispersed-Generation-Resources.aspx</w:t>
        </w:r>
      </w:hyperlink>
      <w:r>
        <w:t>.</w:t>
      </w:r>
    </w:p>
  </w:footnote>
  <w:footnote w:id="56">
    <w:p w:rsidR="00C67380" w:rsidRDefault="00C67380" w:rsidP="00C67380">
      <w:pPr>
        <w:pStyle w:val="FootnoteText"/>
      </w:pPr>
      <w:r>
        <w:rPr>
          <w:rStyle w:val="FootnoteReference"/>
        </w:rPr>
        <w:footnoteRef/>
      </w:r>
      <w:r>
        <w:t xml:space="preserve"> </w:t>
      </w:r>
      <w:r w:rsidR="00C66A6C">
        <w:t xml:space="preserve"> </w:t>
      </w:r>
      <w:r w:rsidRPr="00A810FF">
        <w:rPr>
          <w:i/>
        </w:rPr>
        <w:t>Cf</w:t>
      </w:r>
      <w:r>
        <w:t xml:space="preserve">., </w:t>
      </w:r>
      <w:r w:rsidRPr="006F3A94">
        <w:rPr>
          <w:i/>
        </w:rPr>
        <w:t>Generator Requirements at the Transmission Interface</w:t>
      </w:r>
      <w:r>
        <w:t>,</w:t>
      </w:r>
      <w:r w:rsidRPr="001C56A2">
        <w:t xml:space="preserve"> </w:t>
      </w:r>
      <w:r>
        <w:t>Order No. 785</w:t>
      </w:r>
      <w:proofErr w:type="gramStart"/>
      <w:r>
        <w:t xml:space="preserve">, </w:t>
      </w:r>
      <w:r w:rsidR="00296CC0">
        <w:t xml:space="preserve"> </w:t>
      </w:r>
      <w:r>
        <w:t>144</w:t>
      </w:r>
      <w:proofErr w:type="gramEnd"/>
      <w:r>
        <w:t xml:space="preserve"> FERC ¶ 61,221 (2013) (approving NERC proposal addressing applicability of Reliability Standards to interconnection facilities).</w:t>
      </w:r>
    </w:p>
    <w:p w:rsidR="00C67380" w:rsidRDefault="00C6738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AC" w:rsidRDefault="002F37AC" w:rsidP="0025400C">
    <w:pPr>
      <w:pStyle w:val="Header"/>
      <w:spacing w:after="240"/>
    </w:pPr>
    <w:r>
      <w:t>Docket No. RD14-2-000</w:t>
    </w:r>
    <w:r>
      <w:tab/>
    </w:r>
    <w:r w:rsidR="00092C39">
      <w:fldChar w:fldCharType="begin"/>
    </w:r>
    <w:r>
      <w:instrText xml:space="preserve"> PAGE  \* MERGEFORMAT </w:instrText>
    </w:r>
    <w:r w:rsidR="00092C39">
      <w:fldChar w:fldCharType="separate"/>
    </w:r>
    <w:r w:rsidR="001A64A1">
      <w:rPr>
        <w:noProof/>
      </w:rPr>
      <w:t>- 23 -</w:t>
    </w:r>
    <w:r w:rsidR="00092C39">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D2D35E6"/>
    <w:multiLevelType w:val="hybridMultilevel"/>
    <w:tmpl w:val="07BC1932"/>
    <w:lvl w:ilvl="0" w:tplc="3CECB8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34D32B7"/>
    <w:multiLevelType w:val="multilevel"/>
    <w:tmpl w:val="D4DE07D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1440"/>
        </w:tabs>
        <w:ind w:left="720" w:firstLine="0"/>
      </w:pPr>
      <w:rPr>
        <w:rFonts w:hint="default"/>
      </w:rPr>
    </w:lvl>
    <w:lvl w:ilvl="2">
      <w:start w:val="1"/>
      <w:numFmt w:val="decimal"/>
      <w:lvlText w:val="%3."/>
      <w:lvlJc w:val="left"/>
      <w:pPr>
        <w:tabs>
          <w:tab w:val="num" w:pos="2160"/>
        </w:tabs>
        <w:ind w:left="1440" w:firstLine="0"/>
      </w:pPr>
      <w:rPr>
        <w:rFonts w:hint="default"/>
      </w:rPr>
    </w:lvl>
    <w:lvl w:ilvl="3">
      <w:start w:val="1"/>
      <w:numFmt w:val="lowerLetter"/>
      <w:lvlText w:val="%4."/>
      <w:lvlJc w:val="left"/>
      <w:pPr>
        <w:tabs>
          <w:tab w:val="num" w:pos="288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48202536"/>
    <w:multiLevelType w:val="multilevel"/>
    <w:tmpl w:val="0DE8DB66"/>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080"/>
        </w:tabs>
        <w:ind w:left="1080" w:hanging="720"/>
      </w:pPr>
      <w:rPr>
        <w:color w:val="auto"/>
      </w:r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4">
    <w:nsid w:val="5D2E04AB"/>
    <w:multiLevelType w:val="hybridMultilevel"/>
    <w:tmpl w:val="805A764E"/>
    <w:lvl w:ilvl="0" w:tplc="3BB28644">
      <w:start w:val="1"/>
      <w:numFmt w:val="lowerLetter"/>
      <w:lvlText w:val="%1)"/>
      <w:lvlJc w:val="left"/>
      <w:pPr>
        <w:ind w:left="2165" w:hanging="735"/>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15">
    <w:nsid w:val="7E4E4DD3"/>
    <w:multiLevelType w:val="hybridMultilevel"/>
    <w:tmpl w:val="44F87372"/>
    <w:lvl w:ilvl="0" w:tplc="38F0CB5E">
      <w:start w:val="1"/>
      <w:numFmt w:val="decimal"/>
      <w:pStyle w:val="FERCparanumber"/>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1"/>
  </w:num>
  <w:num w:numId="15">
    <w:abstractNumId w:val="14"/>
  </w:num>
  <w:num w:numId="16">
    <w:abstractNumId w:val="13"/>
  </w:num>
  <w:num w:numId="17">
    <w:abstractNumId w:val="13"/>
  </w:num>
  <w:num w:numId="18">
    <w:abstractNumId w:val="1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5"/>
  </w:num>
  <w:num w:numId="22">
    <w:abstractNumId w:val="15"/>
  </w:num>
  <w:num w:numId="23">
    <w:abstractNumId w:val="13"/>
  </w:num>
  <w:num w:numId="24">
    <w:abstractNumId w:val="1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2"/>
  </w:hdrShapeDefaults>
  <w:footnotePr>
    <w:footnote w:id="-1"/>
    <w:footnote w:id="0"/>
    <w:footnote w:id="1"/>
  </w:footnotePr>
  <w:endnotePr>
    <w:endnote w:id="-1"/>
    <w:endnote w:id="0"/>
  </w:endnotePr>
  <w:compat/>
  <w:rsids>
    <w:rsidRoot w:val="00CF2228"/>
    <w:rsid w:val="00000E98"/>
    <w:rsid w:val="00003011"/>
    <w:rsid w:val="000060FC"/>
    <w:rsid w:val="00006E79"/>
    <w:rsid w:val="00007013"/>
    <w:rsid w:val="0001111E"/>
    <w:rsid w:val="00011207"/>
    <w:rsid w:val="00015BA4"/>
    <w:rsid w:val="00015E8A"/>
    <w:rsid w:val="00017BC9"/>
    <w:rsid w:val="00020927"/>
    <w:rsid w:val="000210AC"/>
    <w:rsid w:val="0002233B"/>
    <w:rsid w:val="000306AF"/>
    <w:rsid w:val="00036021"/>
    <w:rsid w:val="00037F72"/>
    <w:rsid w:val="00042BCC"/>
    <w:rsid w:val="00042CD4"/>
    <w:rsid w:val="00044227"/>
    <w:rsid w:val="00044A80"/>
    <w:rsid w:val="00046504"/>
    <w:rsid w:val="000513FB"/>
    <w:rsid w:val="0005205C"/>
    <w:rsid w:val="0005406C"/>
    <w:rsid w:val="00055B09"/>
    <w:rsid w:val="00060AEC"/>
    <w:rsid w:val="00061379"/>
    <w:rsid w:val="00061F05"/>
    <w:rsid w:val="000630E3"/>
    <w:rsid w:val="00063363"/>
    <w:rsid w:val="00063A60"/>
    <w:rsid w:val="00064D88"/>
    <w:rsid w:val="0006707A"/>
    <w:rsid w:val="0006768F"/>
    <w:rsid w:val="00075993"/>
    <w:rsid w:val="0007719D"/>
    <w:rsid w:val="00080272"/>
    <w:rsid w:val="00085B4E"/>
    <w:rsid w:val="0008624A"/>
    <w:rsid w:val="00091CC8"/>
    <w:rsid w:val="00092C39"/>
    <w:rsid w:val="00094059"/>
    <w:rsid w:val="000964CE"/>
    <w:rsid w:val="000973D0"/>
    <w:rsid w:val="000A48BA"/>
    <w:rsid w:val="000B32DC"/>
    <w:rsid w:val="000B3933"/>
    <w:rsid w:val="000B5FB2"/>
    <w:rsid w:val="000C1C41"/>
    <w:rsid w:val="000C4A53"/>
    <w:rsid w:val="000C4E9B"/>
    <w:rsid w:val="000C6EB9"/>
    <w:rsid w:val="000D1D48"/>
    <w:rsid w:val="000D21F4"/>
    <w:rsid w:val="000D49D7"/>
    <w:rsid w:val="000D709F"/>
    <w:rsid w:val="000D70B6"/>
    <w:rsid w:val="000E314D"/>
    <w:rsid w:val="000E5DA1"/>
    <w:rsid w:val="000E6E42"/>
    <w:rsid w:val="000F0F60"/>
    <w:rsid w:val="000F1A65"/>
    <w:rsid w:val="000F282C"/>
    <w:rsid w:val="000F40DE"/>
    <w:rsid w:val="00101744"/>
    <w:rsid w:val="0010268B"/>
    <w:rsid w:val="00104C9E"/>
    <w:rsid w:val="00104EDB"/>
    <w:rsid w:val="00107D5A"/>
    <w:rsid w:val="0011005F"/>
    <w:rsid w:val="00110EA4"/>
    <w:rsid w:val="001128A5"/>
    <w:rsid w:val="001138E0"/>
    <w:rsid w:val="0012116A"/>
    <w:rsid w:val="00121BA4"/>
    <w:rsid w:val="001261DC"/>
    <w:rsid w:val="001278B8"/>
    <w:rsid w:val="00127B80"/>
    <w:rsid w:val="0013289A"/>
    <w:rsid w:val="00134EC0"/>
    <w:rsid w:val="00144766"/>
    <w:rsid w:val="001450B0"/>
    <w:rsid w:val="00145BCC"/>
    <w:rsid w:val="00145BF3"/>
    <w:rsid w:val="001460E5"/>
    <w:rsid w:val="00146A35"/>
    <w:rsid w:val="00146C83"/>
    <w:rsid w:val="00147246"/>
    <w:rsid w:val="00150FF8"/>
    <w:rsid w:val="001541A7"/>
    <w:rsid w:val="001619AF"/>
    <w:rsid w:val="0016302B"/>
    <w:rsid w:val="0016534B"/>
    <w:rsid w:val="00165D1B"/>
    <w:rsid w:val="001701EA"/>
    <w:rsid w:val="00170D8D"/>
    <w:rsid w:val="001722E3"/>
    <w:rsid w:val="00176FE3"/>
    <w:rsid w:val="00177390"/>
    <w:rsid w:val="00183FD6"/>
    <w:rsid w:val="001853F5"/>
    <w:rsid w:val="00185610"/>
    <w:rsid w:val="0019594F"/>
    <w:rsid w:val="001962D4"/>
    <w:rsid w:val="00196908"/>
    <w:rsid w:val="0019747F"/>
    <w:rsid w:val="001A12DE"/>
    <w:rsid w:val="001A3237"/>
    <w:rsid w:val="001A4C5E"/>
    <w:rsid w:val="001A5D72"/>
    <w:rsid w:val="001A64A1"/>
    <w:rsid w:val="001A68C8"/>
    <w:rsid w:val="001B4D9E"/>
    <w:rsid w:val="001C139A"/>
    <w:rsid w:val="001C17A3"/>
    <w:rsid w:val="001C56A2"/>
    <w:rsid w:val="001C5E36"/>
    <w:rsid w:val="001D0604"/>
    <w:rsid w:val="001D1276"/>
    <w:rsid w:val="001D2151"/>
    <w:rsid w:val="001D3568"/>
    <w:rsid w:val="001D6113"/>
    <w:rsid w:val="001D75C1"/>
    <w:rsid w:val="001D7F9B"/>
    <w:rsid w:val="001E1B1A"/>
    <w:rsid w:val="001E31E1"/>
    <w:rsid w:val="001E4A71"/>
    <w:rsid w:val="001F1C20"/>
    <w:rsid w:val="001F3BF1"/>
    <w:rsid w:val="001F7680"/>
    <w:rsid w:val="001F7767"/>
    <w:rsid w:val="001F7F4F"/>
    <w:rsid w:val="001F7FC3"/>
    <w:rsid w:val="00200B82"/>
    <w:rsid w:val="00202422"/>
    <w:rsid w:val="00204512"/>
    <w:rsid w:val="00205687"/>
    <w:rsid w:val="00205E99"/>
    <w:rsid w:val="00206D7D"/>
    <w:rsid w:val="002106AD"/>
    <w:rsid w:val="00215AC5"/>
    <w:rsid w:val="00215DA9"/>
    <w:rsid w:val="00216054"/>
    <w:rsid w:val="00216F00"/>
    <w:rsid w:val="002225F1"/>
    <w:rsid w:val="002246EF"/>
    <w:rsid w:val="002256D1"/>
    <w:rsid w:val="00230C11"/>
    <w:rsid w:val="00232C32"/>
    <w:rsid w:val="00233039"/>
    <w:rsid w:val="0023489A"/>
    <w:rsid w:val="00240066"/>
    <w:rsid w:val="002426C3"/>
    <w:rsid w:val="00243F30"/>
    <w:rsid w:val="00247439"/>
    <w:rsid w:val="00252506"/>
    <w:rsid w:val="0025400C"/>
    <w:rsid w:val="002553AC"/>
    <w:rsid w:val="00255663"/>
    <w:rsid w:val="00262FCF"/>
    <w:rsid w:val="0026424F"/>
    <w:rsid w:val="00264564"/>
    <w:rsid w:val="00265BDE"/>
    <w:rsid w:val="00266808"/>
    <w:rsid w:val="002678A3"/>
    <w:rsid w:val="00271DCF"/>
    <w:rsid w:val="002730C4"/>
    <w:rsid w:val="00273A8C"/>
    <w:rsid w:val="002747B3"/>
    <w:rsid w:val="002756B8"/>
    <w:rsid w:val="00276608"/>
    <w:rsid w:val="00277D1A"/>
    <w:rsid w:val="0028132C"/>
    <w:rsid w:val="00281B3C"/>
    <w:rsid w:val="00282B1D"/>
    <w:rsid w:val="00282D15"/>
    <w:rsid w:val="002837C0"/>
    <w:rsid w:val="00283FBD"/>
    <w:rsid w:val="0028697E"/>
    <w:rsid w:val="002875D8"/>
    <w:rsid w:val="00287814"/>
    <w:rsid w:val="0029028F"/>
    <w:rsid w:val="002916FC"/>
    <w:rsid w:val="00295964"/>
    <w:rsid w:val="00296CC0"/>
    <w:rsid w:val="002A2D59"/>
    <w:rsid w:val="002A5520"/>
    <w:rsid w:val="002A6BA1"/>
    <w:rsid w:val="002B0C7A"/>
    <w:rsid w:val="002B52D8"/>
    <w:rsid w:val="002B6530"/>
    <w:rsid w:val="002C1C5D"/>
    <w:rsid w:val="002C3700"/>
    <w:rsid w:val="002C426C"/>
    <w:rsid w:val="002C4EF3"/>
    <w:rsid w:val="002C5463"/>
    <w:rsid w:val="002D0FBD"/>
    <w:rsid w:val="002D1319"/>
    <w:rsid w:val="002D1796"/>
    <w:rsid w:val="002D52AE"/>
    <w:rsid w:val="002D7D08"/>
    <w:rsid w:val="002E0620"/>
    <w:rsid w:val="002E1E26"/>
    <w:rsid w:val="002E29D8"/>
    <w:rsid w:val="002E4290"/>
    <w:rsid w:val="002E5A11"/>
    <w:rsid w:val="002E6C23"/>
    <w:rsid w:val="002E7495"/>
    <w:rsid w:val="002E770C"/>
    <w:rsid w:val="002F1A47"/>
    <w:rsid w:val="002F37AC"/>
    <w:rsid w:val="002F59AF"/>
    <w:rsid w:val="00301152"/>
    <w:rsid w:val="003023C7"/>
    <w:rsid w:val="00302619"/>
    <w:rsid w:val="00315E60"/>
    <w:rsid w:val="00317A91"/>
    <w:rsid w:val="00320784"/>
    <w:rsid w:val="003234EC"/>
    <w:rsid w:val="003246FA"/>
    <w:rsid w:val="00330344"/>
    <w:rsid w:val="003303B3"/>
    <w:rsid w:val="00334E3E"/>
    <w:rsid w:val="003350BC"/>
    <w:rsid w:val="0033571D"/>
    <w:rsid w:val="00340468"/>
    <w:rsid w:val="003438E6"/>
    <w:rsid w:val="0035446A"/>
    <w:rsid w:val="00354A2C"/>
    <w:rsid w:val="00356443"/>
    <w:rsid w:val="00356DE0"/>
    <w:rsid w:val="003616F2"/>
    <w:rsid w:val="003618AE"/>
    <w:rsid w:val="00365F74"/>
    <w:rsid w:val="00371381"/>
    <w:rsid w:val="003734FE"/>
    <w:rsid w:val="00377D1B"/>
    <w:rsid w:val="00380088"/>
    <w:rsid w:val="00381CE0"/>
    <w:rsid w:val="00381F65"/>
    <w:rsid w:val="00382564"/>
    <w:rsid w:val="00385528"/>
    <w:rsid w:val="003857C8"/>
    <w:rsid w:val="00385BB6"/>
    <w:rsid w:val="0038612C"/>
    <w:rsid w:val="00386BAB"/>
    <w:rsid w:val="00387B47"/>
    <w:rsid w:val="00387FB2"/>
    <w:rsid w:val="00391522"/>
    <w:rsid w:val="00395734"/>
    <w:rsid w:val="00395E13"/>
    <w:rsid w:val="0039737F"/>
    <w:rsid w:val="003A16CB"/>
    <w:rsid w:val="003A1A81"/>
    <w:rsid w:val="003A3A1A"/>
    <w:rsid w:val="003A7663"/>
    <w:rsid w:val="003B0A4C"/>
    <w:rsid w:val="003B0BF6"/>
    <w:rsid w:val="003B1F0B"/>
    <w:rsid w:val="003B6A3B"/>
    <w:rsid w:val="003B708B"/>
    <w:rsid w:val="003C278F"/>
    <w:rsid w:val="003C31A8"/>
    <w:rsid w:val="003D1996"/>
    <w:rsid w:val="003D3C82"/>
    <w:rsid w:val="003D3EF2"/>
    <w:rsid w:val="003D6B75"/>
    <w:rsid w:val="003E36DD"/>
    <w:rsid w:val="003E5C8D"/>
    <w:rsid w:val="003F0247"/>
    <w:rsid w:val="003F0423"/>
    <w:rsid w:val="003F478A"/>
    <w:rsid w:val="003F590E"/>
    <w:rsid w:val="003F5C73"/>
    <w:rsid w:val="003F6EDE"/>
    <w:rsid w:val="004011AC"/>
    <w:rsid w:val="00412DD8"/>
    <w:rsid w:val="00415C41"/>
    <w:rsid w:val="00416290"/>
    <w:rsid w:val="00416BFF"/>
    <w:rsid w:val="004210A2"/>
    <w:rsid w:val="00426D49"/>
    <w:rsid w:val="0043427F"/>
    <w:rsid w:val="00435317"/>
    <w:rsid w:val="00435F5E"/>
    <w:rsid w:val="004401F9"/>
    <w:rsid w:val="004428F5"/>
    <w:rsid w:val="00443B68"/>
    <w:rsid w:val="004457FF"/>
    <w:rsid w:val="00447165"/>
    <w:rsid w:val="004504FE"/>
    <w:rsid w:val="00450972"/>
    <w:rsid w:val="0045406D"/>
    <w:rsid w:val="004561CC"/>
    <w:rsid w:val="00456DF6"/>
    <w:rsid w:val="00461B52"/>
    <w:rsid w:val="0046225D"/>
    <w:rsid w:val="00467306"/>
    <w:rsid w:val="004675D3"/>
    <w:rsid w:val="00471DE5"/>
    <w:rsid w:val="00472AED"/>
    <w:rsid w:val="00472C0E"/>
    <w:rsid w:val="00476E2C"/>
    <w:rsid w:val="00481ABD"/>
    <w:rsid w:val="00481C81"/>
    <w:rsid w:val="00483AF0"/>
    <w:rsid w:val="00484C79"/>
    <w:rsid w:val="00484CF2"/>
    <w:rsid w:val="00491B1B"/>
    <w:rsid w:val="0049353F"/>
    <w:rsid w:val="004943A1"/>
    <w:rsid w:val="00494BF5"/>
    <w:rsid w:val="00495893"/>
    <w:rsid w:val="00495B6D"/>
    <w:rsid w:val="00495D49"/>
    <w:rsid w:val="004A0056"/>
    <w:rsid w:val="004A0C80"/>
    <w:rsid w:val="004A2E84"/>
    <w:rsid w:val="004B4F19"/>
    <w:rsid w:val="004C05CC"/>
    <w:rsid w:val="004C1166"/>
    <w:rsid w:val="004C4FBF"/>
    <w:rsid w:val="004D0548"/>
    <w:rsid w:val="004D723B"/>
    <w:rsid w:val="004D78D4"/>
    <w:rsid w:val="004E021C"/>
    <w:rsid w:val="004E0FFD"/>
    <w:rsid w:val="004E1EEC"/>
    <w:rsid w:val="004E50F6"/>
    <w:rsid w:val="004F0FB4"/>
    <w:rsid w:val="004F1145"/>
    <w:rsid w:val="004F3359"/>
    <w:rsid w:val="004F7573"/>
    <w:rsid w:val="00502A03"/>
    <w:rsid w:val="005042FE"/>
    <w:rsid w:val="00506562"/>
    <w:rsid w:val="0050687B"/>
    <w:rsid w:val="00510866"/>
    <w:rsid w:val="005120DC"/>
    <w:rsid w:val="00512F51"/>
    <w:rsid w:val="00516AB5"/>
    <w:rsid w:val="0052383E"/>
    <w:rsid w:val="00523C2A"/>
    <w:rsid w:val="00525C4E"/>
    <w:rsid w:val="00531C65"/>
    <w:rsid w:val="005334B1"/>
    <w:rsid w:val="0053381C"/>
    <w:rsid w:val="00534E9A"/>
    <w:rsid w:val="0053745E"/>
    <w:rsid w:val="00537E29"/>
    <w:rsid w:val="00542F37"/>
    <w:rsid w:val="0054441E"/>
    <w:rsid w:val="00546996"/>
    <w:rsid w:val="00550BA0"/>
    <w:rsid w:val="00551FCB"/>
    <w:rsid w:val="00553F1D"/>
    <w:rsid w:val="00554A45"/>
    <w:rsid w:val="00555578"/>
    <w:rsid w:val="00556EBF"/>
    <w:rsid w:val="0056269C"/>
    <w:rsid w:val="005648BA"/>
    <w:rsid w:val="005662D9"/>
    <w:rsid w:val="005702D8"/>
    <w:rsid w:val="00570E0E"/>
    <w:rsid w:val="00572737"/>
    <w:rsid w:val="0057509C"/>
    <w:rsid w:val="00576F39"/>
    <w:rsid w:val="00576F77"/>
    <w:rsid w:val="00577AED"/>
    <w:rsid w:val="0058329D"/>
    <w:rsid w:val="005853D6"/>
    <w:rsid w:val="00585DED"/>
    <w:rsid w:val="00587397"/>
    <w:rsid w:val="00597BE5"/>
    <w:rsid w:val="00597CCE"/>
    <w:rsid w:val="005A29C2"/>
    <w:rsid w:val="005A3527"/>
    <w:rsid w:val="005A3FDF"/>
    <w:rsid w:val="005A4BB1"/>
    <w:rsid w:val="005A77EE"/>
    <w:rsid w:val="005B4ABB"/>
    <w:rsid w:val="005B7E3F"/>
    <w:rsid w:val="005C403F"/>
    <w:rsid w:val="005C4D56"/>
    <w:rsid w:val="005C5EC8"/>
    <w:rsid w:val="005C7358"/>
    <w:rsid w:val="005D1FAE"/>
    <w:rsid w:val="005D2C00"/>
    <w:rsid w:val="005D34ED"/>
    <w:rsid w:val="005D36C6"/>
    <w:rsid w:val="005E1AA5"/>
    <w:rsid w:val="005E1FCE"/>
    <w:rsid w:val="005E6FBA"/>
    <w:rsid w:val="005E77AD"/>
    <w:rsid w:val="005F037C"/>
    <w:rsid w:val="005F25F1"/>
    <w:rsid w:val="005F29EC"/>
    <w:rsid w:val="005F492B"/>
    <w:rsid w:val="005F6418"/>
    <w:rsid w:val="005F704B"/>
    <w:rsid w:val="00605573"/>
    <w:rsid w:val="00605E2F"/>
    <w:rsid w:val="0060755E"/>
    <w:rsid w:val="0061075E"/>
    <w:rsid w:val="00614B9A"/>
    <w:rsid w:val="00617427"/>
    <w:rsid w:val="00622D4D"/>
    <w:rsid w:val="00627ED4"/>
    <w:rsid w:val="006330EA"/>
    <w:rsid w:val="00636C6F"/>
    <w:rsid w:val="00637420"/>
    <w:rsid w:val="00640844"/>
    <w:rsid w:val="00640CAA"/>
    <w:rsid w:val="006449BB"/>
    <w:rsid w:val="006449E2"/>
    <w:rsid w:val="00656F31"/>
    <w:rsid w:val="00656F9C"/>
    <w:rsid w:val="006575F9"/>
    <w:rsid w:val="006614F7"/>
    <w:rsid w:val="006630B7"/>
    <w:rsid w:val="0066511C"/>
    <w:rsid w:val="00666626"/>
    <w:rsid w:val="00670812"/>
    <w:rsid w:val="00673F8C"/>
    <w:rsid w:val="00675E4A"/>
    <w:rsid w:val="006760B4"/>
    <w:rsid w:val="00676722"/>
    <w:rsid w:val="00676EFA"/>
    <w:rsid w:val="00677583"/>
    <w:rsid w:val="00680B5A"/>
    <w:rsid w:val="0068394F"/>
    <w:rsid w:val="00686DC3"/>
    <w:rsid w:val="00692769"/>
    <w:rsid w:val="00693007"/>
    <w:rsid w:val="006960C2"/>
    <w:rsid w:val="006A0444"/>
    <w:rsid w:val="006A2AA0"/>
    <w:rsid w:val="006B19A6"/>
    <w:rsid w:val="006C1639"/>
    <w:rsid w:val="006C16F0"/>
    <w:rsid w:val="006C1F9D"/>
    <w:rsid w:val="006C2A33"/>
    <w:rsid w:val="006C44F9"/>
    <w:rsid w:val="006E031B"/>
    <w:rsid w:val="006E1532"/>
    <w:rsid w:val="006E1C49"/>
    <w:rsid w:val="006E28A5"/>
    <w:rsid w:val="006E2D4C"/>
    <w:rsid w:val="006E2E1C"/>
    <w:rsid w:val="006E5AF2"/>
    <w:rsid w:val="006F1185"/>
    <w:rsid w:val="006F3629"/>
    <w:rsid w:val="006F3994"/>
    <w:rsid w:val="006F3A94"/>
    <w:rsid w:val="006F5C82"/>
    <w:rsid w:val="00706F67"/>
    <w:rsid w:val="0070707C"/>
    <w:rsid w:val="00707F34"/>
    <w:rsid w:val="00712AF9"/>
    <w:rsid w:val="0071767E"/>
    <w:rsid w:val="007232DD"/>
    <w:rsid w:val="00723A08"/>
    <w:rsid w:val="007251C1"/>
    <w:rsid w:val="00726AB4"/>
    <w:rsid w:val="00730373"/>
    <w:rsid w:val="00730803"/>
    <w:rsid w:val="00731A9B"/>
    <w:rsid w:val="00731D33"/>
    <w:rsid w:val="00732355"/>
    <w:rsid w:val="00744876"/>
    <w:rsid w:val="00745313"/>
    <w:rsid w:val="00745DCF"/>
    <w:rsid w:val="00750123"/>
    <w:rsid w:val="00751675"/>
    <w:rsid w:val="007544A2"/>
    <w:rsid w:val="007546D6"/>
    <w:rsid w:val="00755061"/>
    <w:rsid w:val="00755DF2"/>
    <w:rsid w:val="007605A6"/>
    <w:rsid w:val="007612C7"/>
    <w:rsid w:val="00761496"/>
    <w:rsid w:val="00763AB9"/>
    <w:rsid w:val="00765527"/>
    <w:rsid w:val="00765D80"/>
    <w:rsid w:val="00766734"/>
    <w:rsid w:val="00766EED"/>
    <w:rsid w:val="007672A3"/>
    <w:rsid w:val="00767B7E"/>
    <w:rsid w:val="0077025B"/>
    <w:rsid w:val="0077456A"/>
    <w:rsid w:val="00774830"/>
    <w:rsid w:val="00775174"/>
    <w:rsid w:val="00780B6B"/>
    <w:rsid w:val="00783780"/>
    <w:rsid w:val="00784577"/>
    <w:rsid w:val="0079394F"/>
    <w:rsid w:val="00796ABE"/>
    <w:rsid w:val="007974D5"/>
    <w:rsid w:val="007A06B0"/>
    <w:rsid w:val="007A1562"/>
    <w:rsid w:val="007A1743"/>
    <w:rsid w:val="007A1DEE"/>
    <w:rsid w:val="007A37FA"/>
    <w:rsid w:val="007A684A"/>
    <w:rsid w:val="007B06D8"/>
    <w:rsid w:val="007B224A"/>
    <w:rsid w:val="007B3D9E"/>
    <w:rsid w:val="007B5B0A"/>
    <w:rsid w:val="007B79A0"/>
    <w:rsid w:val="007C024F"/>
    <w:rsid w:val="007C07A4"/>
    <w:rsid w:val="007C1C72"/>
    <w:rsid w:val="007C7542"/>
    <w:rsid w:val="007D0129"/>
    <w:rsid w:val="007D04B5"/>
    <w:rsid w:val="007D15EE"/>
    <w:rsid w:val="007D4408"/>
    <w:rsid w:val="007D5651"/>
    <w:rsid w:val="007E19E0"/>
    <w:rsid w:val="007E26D4"/>
    <w:rsid w:val="007E5582"/>
    <w:rsid w:val="007E6EC4"/>
    <w:rsid w:val="007E784B"/>
    <w:rsid w:val="007F026A"/>
    <w:rsid w:val="007F0D0E"/>
    <w:rsid w:val="007F5B13"/>
    <w:rsid w:val="00800DA5"/>
    <w:rsid w:val="0080177E"/>
    <w:rsid w:val="0080238F"/>
    <w:rsid w:val="0080457E"/>
    <w:rsid w:val="00813DF7"/>
    <w:rsid w:val="00814337"/>
    <w:rsid w:val="00815BD7"/>
    <w:rsid w:val="00815EF6"/>
    <w:rsid w:val="008161C6"/>
    <w:rsid w:val="00817376"/>
    <w:rsid w:val="008218E9"/>
    <w:rsid w:val="00823B3F"/>
    <w:rsid w:val="0082741E"/>
    <w:rsid w:val="008279A7"/>
    <w:rsid w:val="00831FCD"/>
    <w:rsid w:val="00832487"/>
    <w:rsid w:val="008336A8"/>
    <w:rsid w:val="0083383A"/>
    <w:rsid w:val="00834CCC"/>
    <w:rsid w:val="00837B9B"/>
    <w:rsid w:val="00841F97"/>
    <w:rsid w:val="008437B4"/>
    <w:rsid w:val="00844606"/>
    <w:rsid w:val="008514BF"/>
    <w:rsid w:val="00852557"/>
    <w:rsid w:val="00853073"/>
    <w:rsid w:val="00861ED1"/>
    <w:rsid w:val="00863AF3"/>
    <w:rsid w:val="00864064"/>
    <w:rsid w:val="00872517"/>
    <w:rsid w:val="0087529D"/>
    <w:rsid w:val="008766E7"/>
    <w:rsid w:val="00876A75"/>
    <w:rsid w:val="008776B4"/>
    <w:rsid w:val="008803E8"/>
    <w:rsid w:val="008823F6"/>
    <w:rsid w:val="00882F9A"/>
    <w:rsid w:val="00885696"/>
    <w:rsid w:val="0088645D"/>
    <w:rsid w:val="008869A8"/>
    <w:rsid w:val="0089289D"/>
    <w:rsid w:val="00893545"/>
    <w:rsid w:val="00894683"/>
    <w:rsid w:val="0089574C"/>
    <w:rsid w:val="00896950"/>
    <w:rsid w:val="008A2BA0"/>
    <w:rsid w:val="008A3608"/>
    <w:rsid w:val="008A6112"/>
    <w:rsid w:val="008A6D34"/>
    <w:rsid w:val="008A6F07"/>
    <w:rsid w:val="008A7EBF"/>
    <w:rsid w:val="008B2AF9"/>
    <w:rsid w:val="008C127E"/>
    <w:rsid w:val="008C5E84"/>
    <w:rsid w:val="008C77E6"/>
    <w:rsid w:val="008D3CCE"/>
    <w:rsid w:val="008D6DF8"/>
    <w:rsid w:val="008D7495"/>
    <w:rsid w:val="008E6C4F"/>
    <w:rsid w:val="008E6C5B"/>
    <w:rsid w:val="008F0280"/>
    <w:rsid w:val="008F3326"/>
    <w:rsid w:val="008F35CE"/>
    <w:rsid w:val="008F4F40"/>
    <w:rsid w:val="008F7061"/>
    <w:rsid w:val="00901B84"/>
    <w:rsid w:val="0090464D"/>
    <w:rsid w:val="009052C9"/>
    <w:rsid w:val="009053F4"/>
    <w:rsid w:val="00907891"/>
    <w:rsid w:val="00911681"/>
    <w:rsid w:val="0091237B"/>
    <w:rsid w:val="009127C9"/>
    <w:rsid w:val="0091593A"/>
    <w:rsid w:val="0092158A"/>
    <w:rsid w:val="00921F17"/>
    <w:rsid w:val="00925206"/>
    <w:rsid w:val="00926267"/>
    <w:rsid w:val="00934905"/>
    <w:rsid w:val="00935A61"/>
    <w:rsid w:val="00937667"/>
    <w:rsid w:val="00941982"/>
    <w:rsid w:val="00944A60"/>
    <w:rsid w:val="00944E90"/>
    <w:rsid w:val="009450DA"/>
    <w:rsid w:val="0094647B"/>
    <w:rsid w:val="009468F6"/>
    <w:rsid w:val="009510A3"/>
    <w:rsid w:val="00953402"/>
    <w:rsid w:val="009545B4"/>
    <w:rsid w:val="009558F3"/>
    <w:rsid w:val="00961780"/>
    <w:rsid w:val="00971B1D"/>
    <w:rsid w:val="00972AAC"/>
    <w:rsid w:val="009744AD"/>
    <w:rsid w:val="0097498F"/>
    <w:rsid w:val="0097560B"/>
    <w:rsid w:val="009766EB"/>
    <w:rsid w:val="00976A91"/>
    <w:rsid w:val="009770AA"/>
    <w:rsid w:val="0098384A"/>
    <w:rsid w:val="00987EF7"/>
    <w:rsid w:val="00993132"/>
    <w:rsid w:val="009963AE"/>
    <w:rsid w:val="009A1B86"/>
    <w:rsid w:val="009A1C9E"/>
    <w:rsid w:val="009A2444"/>
    <w:rsid w:val="009A4541"/>
    <w:rsid w:val="009A7D04"/>
    <w:rsid w:val="009B0877"/>
    <w:rsid w:val="009B0E7F"/>
    <w:rsid w:val="009B5CEF"/>
    <w:rsid w:val="009B619E"/>
    <w:rsid w:val="009B7AE7"/>
    <w:rsid w:val="009B7D12"/>
    <w:rsid w:val="009C1EC8"/>
    <w:rsid w:val="009C34B8"/>
    <w:rsid w:val="009C60B1"/>
    <w:rsid w:val="009D2B65"/>
    <w:rsid w:val="009E0976"/>
    <w:rsid w:val="009E1373"/>
    <w:rsid w:val="009E2C53"/>
    <w:rsid w:val="009F1395"/>
    <w:rsid w:val="009F26D6"/>
    <w:rsid w:val="009F444A"/>
    <w:rsid w:val="009F4D3C"/>
    <w:rsid w:val="009F68F6"/>
    <w:rsid w:val="009F6F90"/>
    <w:rsid w:val="009F79B9"/>
    <w:rsid w:val="009F7D94"/>
    <w:rsid w:val="00A0075E"/>
    <w:rsid w:val="00A011AF"/>
    <w:rsid w:val="00A02EDB"/>
    <w:rsid w:val="00A03738"/>
    <w:rsid w:val="00A050F9"/>
    <w:rsid w:val="00A1021A"/>
    <w:rsid w:val="00A1212E"/>
    <w:rsid w:val="00A1336C"/>
    <w:rsid w:val="00A152AE"/>
    <w:rsid w:val="00A236C8"/>
    <w:rsid w:val="00A2517A"/>
    <w:rsid w:val="00A266C2"/>
    <w:rsid w:val="00A30B24"/>
    <w:rsid w:val="00A30BCA"/>
    <w:rsid w:val="00A31D97"/>
    <w:rsid w:val="00A32891"/>
    <w:rsid w:val="00A376E6"/>
    <w:rsid w:val="00A37B9F"/>
    <w:rsid w:val="00A37CCF"/>
    <w:rsid w:val="00A40C40"/>
    <w:rsid w:val="00A4306D"/>
    <w:rsid w:val="00A45077"/>
    <w:rsid w:val="00A4587D"/>
    <w:rsid w:val="00A45ABA"/>
    <w:rsid w:val="00A509AD"/>
    <w:rsid w:val="00A50B62"/>
    <w:rsid w:val="00A51AA5"/>
    <w:rsid w:val="00A52CD6"/>
    <w:rsid w:val="00A54FE6"/>
    <w:rsid w:val="00A55DA2"/>
    <w:rsid w:val="00A60B91"/>
    <w:rsid w:val="00A61A7F"/>
    <w:rsid w:val="00A63412"/>
    <w:rsid w:val="00A64225"/>
    <w:rsid w:val="00A64FFE"/>
    <w:rsid w:val="00A717AE"/>
    <w:rsid w:val="00A717E0"/>
    <w:rsid w:val="00A71DB2"/>
    <w:rsid w:val="00A722CB"/>
    <w:rsid w:val="00A74448"/>
    <w:rsid w:val="00A7447E"/>
    <w:rsid w:val="00A75A54"/>
    <w:rsid w:val="00A810FF"/>
    <w:rsid w:val="00A85234"/>
    <w:rsid w:val="00A864E0"/>
    <w:rsid w:val="00A94C8B"/>
    <w:rsid w:val="00A96723"/>
    <w:rsid w:val="00AA01AB"/>
    <w:rsid w:val="00AA1FE7"/>
    <w:rsid w:val="00AA47F5"/>
    <w:rsid w:val="00AA6A4B"/>
    <w:rsid w:val="00AB01A2"/>
    <w:rsid w:val="00AB16BD"/>
    <w:rsid w:val="00AB1A40"/>
    <w:rsid w:val="00AB2BD5"/>
    <w:rsid w:val="00AB3072"/>
    <w:rsid w:val="00AB350E"/>
    <w:rsid w:val="00AB4C33"/>
    <w:rsid w:val="00AB7F67"/>
    <w:rsid w:val="00AC060A"/>
    <w:rsid w:val="00AC1654"/>
    <w:rsid w:val="00AC372A"/>
    <w:rsid w:val="00AC412D"/>
    <w:rsid w:val="00AC4D29"/>
    <w:rsid w:val="00AC657E"/>
    <w:rsid w:val="00AC7331"/>
    <w:rsid w:val="00AD3BF9"/>
    <w:rsid w:val="00AD5047"/>
    <w:rsid w:val="00AD6D38"/>
    <w:rsid w:val="00AE12C7"/>
    <w:rsid w:val="00AE217F"/>
    <w:rsid w:val="00AE457D"/>
    <w:rsid w:val="00AE47C0"/>
    <w:rsid w:val="00AE55C0"/>
    <w:rsid w:val="00AE599C"/>
    <w:rsid w:val="00AE617C"/>
    <w:rsid w:val="00AE61BE"/>
    <w:rsid w:val="00AF0A6E"/>
    <w:rsid w:val="00AF3E0C"/>
    <w:rsid w:val="00AF6DFA"/>
    <w:rsid w:val="00AF73C3"/>
    <w:rsid w:val="00B02D50"/>
    <w:rsid w:val="00B06834"/>
    <w:rsid w:val="00B070B7"/>
    <w:rsid w:val="00B072C8"/>
    <w:rsid w:val="00B078BD"/>
    <w:rsid w:val="00B1348F"/>
    <w:rsid w:val="00B13E21"/>
    <w:rsid w:val="00B16BCF"/>
    <w:rsid w:val="00B17E5E"/>
    <w:rsid w:val="00B22133"/>
    <w:rsid w:val="00B22A30"/>
    <w:rsid w:val="00B2356A"/>
    <w:rsid w:val="00B2426C"/>
    <w:rsid w:val="00B30196"/>
    <w:rsid w:val="00B3544A"/>
    <w:rsid w:val="00B40CEF"/>
    <w:rsid w:val="00B41A33"/>
    <w:rsid w:val="00B44677"/>
    <w:rsid w:val="00B47977"/>
    <w:rsid w:val="00B51614"/>
    <w:rsid w:val="00B5605C"/>
    <w:rsid w:val="00B61DED"/>
    <w:rsid w:val="00B63C36"/>
    <w:rsid w:val="00B67D09"/>
    <w:rsid w:val="00B70138"/>
    <w:rsid w:val="00B70C77"/>
    <w:rsid w:val="00B763F1"/>
    <w:rsid w:val="00B7677F"/>
    <w:rsid w:val="00B802A1"/>
    <w:rsid w:val="00B80479"/>
    <w:rsid w:val="00B84A39"/>
    <w:rsid w:val="00B86965"/>
    <w:rsid w:val="00B87659"/>
    <w:rsid w:val="00B923EE"/>
    <w:rsid w:val="00B93992"/>
    <w:rsid w:val="00BA0FE6"/>
    <w:rsid w:val="00BA1434"/>
    <w:rsid w:val="00BA23E3"/>
    <w:rsid w:val="00BA6703"/>
    <w:rsid w:val="00BB0D1D"/>
    <w:rsid w:val="00BB31FD"/>
    <w:rsid w:val="00BB7AC9"/>
    <w:rsid w:val="00BC1537"/>
    <w:rsid w:val="00BD2B87"/>
    <w:rsid w:val="00BD38C9"/>
    <w:rsid w:val="00BD6329"/>
    <w:rsid w:val="00BD64F5"/>
    <w:rsid w:val="00BE0FDE"/>
    <w:rsid w:val="00BE140B"/>
    <w:rsid w:val="00BE5080"/>
    <w:rsid w:val="00BF006A"/>
    <w:rsid w:val="00BF2988"/>
    <w:rsid w:val="00BF6ED7"/>
    <w:rsid w:val="00C0003C"/>
    <w:rsid w:val="00C014F6"/>
    <w:rsid w:val="00C01DA2"/>
    <w:rsid w:val="00C04438"/>
    <w:rsid w:val="00C04BFE"/>
    <w:rsid w:val="00C06C1B"/>
    <w:rsid w:val="00C07DDD"/>
    <w:rsid w:val="00C07E8D"/>
    <w:rsid w:val="00C11B80"/>
    <w:rsid w:val="00C11E36"/>
    <w:rsid w:val="00C14E2F"/>
    <w:rsid w:val="00C16CFA"/>
    <w:rsid w:val="00C202E7"/>
    <w:rsid w:val="00C20D04"/>
    <w:rsid w:val="00C21D9F"/>
    <w:rsid w:val="00C2266E"/>
    <w:rsid w:val="00C22E39"/>
    <w:rsid w:val="00C23226"/>
    <w:rsid w:val="00C2391F"/>
    <w:rsid w:val="00C24425"/>
    <w:rsid w:val="00C275A4"/>
    <w:rsid w:val="00C303D9"/>
    <w:rsid w:val="00C315B9"/>
    <w:rsid w:val="00C31BFE"/>
    <w:rsid w:val="00C31E39"/>
    <w:rsid w:val="00C34176"/>
    <w:rsid w:val="00C35CF5"/>
    <w:rsid w:val="00C367F9"/>
    <w:rsid w:val="00C40825"/>
    <w:rsid w:val="00C4261F"/>
    <w:rsid w:val="00C5256F"/>
    <w:rsid w:val="00C532EA"/>
    <w:rsid w:val="00C54098"/>
    <w:rsid w:val="00C608E1"/>
    <w:rsid w:val="00C63FA2"/>
    <w:rsid w:val="00C658BA"/>
    <w:rsid w:val="00C65C95"/>
    <w:rsid w:val="00C664ED"/>
    <w:rsid w:val="00C666F4"/>
    <w:rsid w:val="00C66A6C"/>
    <w:rsid w:val="00C67380"/>
    <w:rsid w:val="00C673F9"/>
    <w:rsid w:val="00C67E23"/>
    <w:rsid w:val="00C7399D"/>
    <w:rsid w:val="00C74E63"/>
    <w:rsid w:val="00C74F94"/>
    <w:rsid w:val="00C75AA3"/>
    <w:rsid w:val="00C7678D"/>
    <w:rsid w:val="00C7695A"/>
    <w:rsid w:val="00C7728C"/>
    <w:rsid w:val="00C802C1"/>
    <w:rsid w:val="00C81038"/>
    <w:rsid w:val="00C822C2"/>
    <w:rsid w:val="00C823A6"/>
    <w:rsid w:val="00C83F9D"/>
    <w:rsid w:val="00C86407"/>
    <w:rsid w:val="00C9313D"/>
    <w:rsid w:val="00C948F4"/>
    <w:rsid w:val="00C966FA"/>
    <w:rsid w:val="00C96AD2"/>
    <w:rsid w:val="00C97AF2"/>
    <w:rsid w:val="00CA12DD"/>
    <w:rsid w:val="00CA199C"/>
    <w:rsid w:val="00CA2513"/>
    <w:rsid w:val="00CA2BC2"/>
    <w:rsid w:val="00CA4DFC"/>
    <w:rsid w:val="00CA622C"/>
    <w:rsid w:val="00CB1209"/>
    <w:rsid w:val="00CB3BBD"/>
    <w:rsid w:val="00CB641A"/>
    <w:rsid w:val="00CB6B5F"/>
    <w:rsid w:val="00CC2BB7"/>
    <w:rsid w:val="00CC56A8"/>
    <w:rsid w:val="00CD24EE"/>
    <w:rsid w:val="00CD2859"/>
    <w:rsid w:val="00CD64FD"/>
    <w:rsid w:val="00CE0BFD"/>
    <w:rsid w:val="00CE4DE3"/>
    <w:rsid w:val="00CE513C"/>
    <w:rsid w:val="00CE5A75"/>
    <w:rsid w:val="00CF15D4"/>
    <w:rsid w:val="00CF2228"/>
    <w:rsid w:val="00CF403E"/>
    <w:rsid w:val="00CF4765"/>
    <w:rsid w:val="00CF5A0B"/>
    <w:rsid w:val="00D00F19"/>
    <w:rsid w:val="00D00F99"/>
    <w:rsid w:val="00D026CF"/>
    <w:rsid w:val="00D05967"/>
    <w:rsid w:val="00D079E9"/>
    <w:rsid w:val="00D1052E"/>
    <w:rsid w:val="00D1062D"/>
    <w:rsid w:val="00D15094"/>
    <w:rsid w:val="00D169AE"/>
    <w:rsid w:val="00D17B23"/>
    <w:rsid w:val="00D17C3F"/>
    <w:rsid w:val="00D2299C"/>
    <w:rsid w:val="00D2376A"/>
    <w:rsid w:val="00D239C7"/>
    <w:rsid w:val="00D23A14"/>
    <w:rsid w:val="00D23DB3"/>
    <w:rsid w:val="00D241EA"/>
    <w:rsid w:val="00D24990"/>
    <w:rsid w:val="00D250D8"/>
    <w:rsid w:val="00D258EC"/>
    <w:rsid w:val="00D26289"/>
    <w:rsid w:val="00D27403"/>
    <w:rsid w:val="00D305C0"/>
    <w:rsid w:val="00D31279"/>
    <w:rsid w:val="00D3301D"/>
    <w:rsid w:val="00D335E5"/>
    <w:rsid w:val="00D33B5E"/>
    <w:rsid w:val="00D349BD"/>
    <w:rsid w:val="00D35EEF"/>
    <w:rsid w:val="00D3663A"/>
    <w:rsid w:val="00D405E9"/>
    <w:rsid w:val="00D43A05"/>
    <w:rsid w:val="00D43BC8"/>
    <w:rsid w:val="00D45EB8"/>
    <w:rsid w:val="00D463C2"/>
    <w:rsid w:val="00D47362"/>
    <w:rsid w:val="00D54FA2"/>
    <w:rsid w:val="00D55B21"/>
    <w:rsid w:val="00D566A9"/>
    <w:rsid w:val="00D615FF"/>
    <w:rsid w:val="00D62F38"/>
    <w:rsid w:val="00D64EFD"/>
    <w:rsid w:val="00D67F2F"/>
    <w:rsid w:val="00D73C44"/>
    <w:rsid w:val="00D745D1"/>
    <w:rsid w:val="00D811FB"/>
    <w:rsid w:val="00D8140E"/>
    <w:rsid w:val="00D83AF9"/>
    <w:rsid w:val="00D92D7F"/>
    <w:rsid w:val="00D93E04"/>
    <w:rsid w:val="00DA0513"/>
    <w:rsid w:val="00DA2267"/>
    <w:rsid w:val="00DA2AA5"/>
    <w:rsid w:val="00DA3624"/>
    <w:rsid w:val="00DA371D"/>
    <w:rsid w:val="00DA455A"/>
    <w:rsid w:val="00DA45AD"/>
    <w:rsid w:val="00DA4EDE"/>
    <w:rsid w:val="00DA7990"/>
    <w:rsid w:val="00DB292C"/>
    <w:rsid w:val="00DB3338"/>
    <w:rsid w:val="00DB674A"/>
    <w:rsid w:val="00DB7789"/>
    <w:rsid w:val="00DC0BF0"/>
    <w:rsid w:val="00DC1EE7"/>
    <w:rsid w:val="00DC2CE0"/>
    <w:rsid w:val="00DC2ED9"/>
    <w:rsid w:val="00DC30CC"/>
    <w:rsid w:val="00DC3F09"/>
    <w:rsid w:val="00DD2C64"/>
    <w:rsid w:val="00DD5B6C"/>
    <w:rsid w:val="00DD6F64"/>
    <w:rsid w:val="00DD7707"/>
    <w:rsid w:val="00DE0986"/>
    <w:rsid w:val="00DE0B33"/>
    <w:rsid w:val="00DE277F"/>
    <w:rsid w:val="00DE3551"/>
    <w:rsid w:val="00DE4647"/>
    <w:rsid w:val="00DE635F"/>
    <w:rsid w:val="00DF0063"/>
    <w:rsid w:val="00DF0B39"/>
    <w:rsid w:val="00DF0CB9"/>
    <w:rsid w:val="00DF1AF4"/>
    <w:rsid w:val="00DF595F"/>
    <w:rsid w:val="00DF5DDB"/>
    <w:rsid w:val="00E04CFE"/>
    <w:rsid w:val="00E16A64"/>
    <w:rsid w:val="00E20B75"/>
    <w:rsid w:val="00E24691"/>
    <w:rsid w:val="00E358A2"/>
    <w:rsid w:val="00E408C4"/>
    <w:rsid w:val="00E4238B"/>
    <w:rsid w:val="00E44066"/>
    <w:rsid w:val="00E518F4"/>
    <w:rsid w:val="00E524EF"/>
    <w:rsid w:val="00E532D3"/>
    <w:rsid w:val="00E53C80"/>
    <w:rsid w:val="00E53CEF"/>
    <w:rsid w:val="00E54A4F"/>
    <w:rsid w:val="00E56F57"/>
    <w:rsid w:val="00E613A8"/>
    <w:rsid w:val="00E62D2D"/>
    <w:rsid w:val="00E671C6"/>
    <w:rsid w:val="00E712D1"/>
    <w:rsid w:val="00E738CD"/>
    <w:rsid w:val="00E73CA7"/>
    <w:rsid w:val="00E7727F"/>
    <w:rsid w:val="00E7774A"/>
    <w:rsid w:val="00E83360"/>
    <w:rsid w:val="00E8346D"/>
    <w:rsid w:val="00E83E2E"/>
    <w:rsid w:val="00E843EE"/>
    <w:rsid w:val="00E90C16"/>
    <w:rsid w:val="00E9151D"/>
    <w:rsid w:val="00E9182F"/>
    <w:rsid w:val="00E92B7B"/>
    <w:rsid w:val="00E93235"/>
    <w:rsid w:val="00E93B37"/>
    <w:rsid w:val="00E9773F"/>
    <w:rsid w:val="00EA1127"/>
    <w:rsid w:val="00EA3B0E"/>
    <w:rsid w:val="00EA3CAD"/>
    <w:rsid w:val="00EB1B75"/>
    <w:rsid w:val="00EB2E2E"/>
    <w:rsid w:val="00EB6D73"/>
    <w:rsid w:val="00EC0650"/>
    <w:rsid w:val="00EC1434"/>
    <w:rsid w:val="00EC26BD"/>
    <w:rsid w:val="00EC39CD"/>
    <w:rsid w:val="00EC6E3A"/>
    <w:rsid w:val="00ED36A1"/>
    <w:rsid w:val="00ED51C1"/>
    <w:rsid w:val="00ED7C7F"/>
    <w:rsid w:val="00EE38DC"/>
    <w:rsid w:val="00EE4898"/>
    <w:rsid w:val="00EF0343"/>
    <w:rsid w:val="00EF07EC"/>
    <w:rsid w:val="00EF38D3"/>
    <w:rsid w:val="00EF79E4"/>
    <w:rsid w:val="00F002B9"/>
    <w:rsid w:val="00F00411"/>
    <w:rsid w:val="00F0072A"/>
    <w:rsid w:val="00F01556"/>
    <w:rsid w:val="00F016B6"/>
    <w:rsid w:val="00F02A81"/>
    <w:rsid w:val="00F03B9F"/>
    <w:rsid w:val="00F0744D"/>
    <w:rsid w:val="00F11FC1"/>
    <w:rsid w:val="00F12F8F"/>
    <w:rsid w:val="00F13C63"/>
    <w:rsid w:val="00F158AD"/>
    <w:rsid w:val="00F171E7"/>
    <w:rsid w:val="00F20575"/>
    <w:rsid w:val="00F20C03"/>
    <w:rsid w:val="00F215B5"/>
    <w:rsid w:val="00F23B13"/>
    <w:rsid w:val="00F23B72"/>
    <w:rsid w:val="00F25860"/>
    <w:rsid w:val="00F2787D"/>
    <w:rsid w:val="00F30BE7"/>
    <w:rsid w:val="00F31058"/>
    <w:rsid w:val="00F32664"/>
    <w:rsid w:val="00F331BD"/>
    <w:rsid w:val="00F37FCB"/>
    <w:rsid w:val="00F426E1"/>
    <w:rsid w:val="00F42719"/>
    <w:rsid w:val="00F476DC"/>
    <w:rsid w:val="00F50502"/>
    <w:rsid w:val="00F5585D"/>
    <w:rsid w:val="00F5769D"/>
    <w:rsid w:val="00F6032E"/>
    <w:rsid w:val="00F610F0"/>
    <w:rsid w:val="00F66068"/>
    <w:rsid w:val="00F702D6"/>
    <w:rsid w:val="00F730B3"/>
    <w:rsid w:val="00F73303"/>
    <w:rsid w:val="00F75236"/>
    <w:rsid w:val="00F816D2"/>
    <w:rsid w:val="00F840E4"/>
    <w:rsid w:val="00F854B1"/>
    <w:rsid w:val="00F905E5"/>
    <w:rsid w:val="00F9087D"/>
    <w:rsid w:val="00F92F6C"/>
    <w:rsid w:val="00F95625"/>
    <w:rsid w:val="00F96041"/>
    <w:rsid w:val="00F9624D"/>
    <w:rsid w:val="00F97367"/>
    <w:rsid w:val="00F9744B"/>
    <w:rsid w:val="00FA1ECB"/>
    <w:rsid w:val="00FA3139"/>
    <w:rsid w:val="00FA69A4"/>
    <w:rsid w:val="00FA7B0C"/>
    <w:rsid w:val="00FB312D"/>
    <w:rsid w:val="00FB47F9"/>
    <w:rsid w:val="00FB561E"/>
    <w:rsid w:val="00FB781F"/>
    <w:rsid w:val="00FB7CBD"/>
    <w:rsid w:val="00FB7F09"/>
    <w:rsid w:val="00FC2A3E"/>
    <w:rsid w:val="00FD24CE"/>
    <w:rsid w:val="00FD671B"/>
    <w:rsid w:val="00FD6DC4"/>
    <w:rsid w:val="00FE2EBA"/>
    <w:rsid w:val="00FF3034"/>
    <w:rsid w:val="00FF5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ne number" w:uiPriority="99"/>
    <w:lsdException w:name="endnote reference" w:uiPriority="99"/>
    <w:lsdException w:name="List Bulle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25400C"/>
    <w:pPr>
      <w:keepNext/>
      <w:keepLines/>
      <w:widowControl/>
      <w:numPr>
        <w:numId w:val="12"/>
      </w:numPr>
      <w:spacing w:after="260"/>
      <w:outlineLvl w:val="0"/>
    </w:pPr>
    <w:rPr>
      <w:b/>
      <w:bCs/>
      <w:kern w:val="32"/>
      <w:szCs w:val="32"/>
      <w:u w:val="single"/>
    </w:rPr>
  </w:style>
  <w:style w:type="paragraph" w:styleId="Heading2">
    <w:name w:val="heading 2"/>
    <w:basedOn w:val="Normal"/>
    <w:next w:val="FERCparanumber"/>
    <w:link w:val="Heading2Char"/>
    <w:qFormat/>
    <w:rsid w:val="0025400C"/>
    <w:pPr>
      <w:keepNext/>
      <w:keepLines/>
      <w:widowControl/>
      <w:numPr>
        <w:ilvl w:val="1"/>
        <w:numId w:val="12"/>
      </w:numPr>
      <w:spacing w:after="260"/>
      <w:outlineLvl w:val="1"/>
    </w:pPr>
    <w:rPr>
      <w:b/>
      <w:bCs/>
      <w:iCs/>
      <w:kern w:val="32"/>
      <w:szCs w:val="28"/>
      <w:u w:val="single"/>
    </w:rPr>
  </w:style>
  <w:style w:type="paragraph" w:styleId="Heading3">
    <w:name w:val="heading 3"/>
    <w:basedOn w:val="Normal"/>
    <w:next w:val="FERCparanumber"/>
    <w:link w:val="Heading3Char"/>
    <w:qFormat/>
    <w:rsid w:val="0025400C"/>
    <w:pPr>
      <w:keepNext/>
      <w:keepLines/>
      <w:widowControl/>
      <w:numPr>
        <w:ilvl w:val="2"/>
        <w:numId w:val="12"/>
      </w:numPr>
      <w:spacing w:after="260"/>
      <w:outlineLvl w:val="2"/>
    </w:pPr>
    <w:rPr>
      <w:b/>
      <w:bCs/>
      <w:kern w:val="32"/>
      <w:szCs w:val="26"/>
      <w:u w:val="single"/>
    </w:rPr>
  </w:style>
  <w:style w:type="paragraph" w:styleId="Heading4">
    <w:name w:val="heading 4"/>
    <w:basedOn w:val="Normal"/>
    <w:next w:val="FERCparanumber"/>
    <w:link w:val="Heading4Char"/>
    <w:qFormat/>
    <w:rsid w:val="0025400C"/>
    <w:pPr>
      <w:keepNext/>
      <w:keepLines/>
      <w:widowControl/>
      <w:numPr>
        <w:ilvl w:val="3"/>
        <w:numId w:val="12"/>
      </w:numPr>
      <w:spacing w:after="260"/>
      <w:outlineLvl w:val="3"/>
    </w:pPr>
    <w:rPr>
      <w:b/>
      <w:bCs/>
      <w:kern w:val="32"/>
      <w:szCs w:val="28"/>
      <w:u w:val="single"/>
    </w:rPr>
  </w:style>
  <w:style w:type="paragraph" w:styleId="Heading5">
    <w:name w:val="heading 5"/>
    <w:basedOn w:val="Normal"/>
    <w:next w:val="FERCparanumber"/>
    <w:link w:val="Heading5Char"/>
    <w:qFormat/>
    <w:rsid w:val="0025400C"/>
    <w:pPr>
      <w:keepNext/>
      <w:keepLines/>
      <w:widowControl/>
      <w:numPr>
        <w:ilvl w:val="4"/>
        <w:numId w:val="12"/>
      </w:numPr>
      <w:spacing w:after="260"/>
      <w:outlineLvl w:val="4"/>
    </w:pPr>
    <w:rPr>
      <w:b/>
      <w:bCs/>
      <w:iCs/>
      <w:kern w:val="32"/>
      <w:szCs w:val="26"/>
      <w:u w:val="single"/>
    </w:rPr>
  </w:style>
  <w:style w:type="paragraph" w:styleId="Heading6">
    <w:name w:val="heading 6"/>
    <w:basedOn w:val="Normal"/>
    <w:next w:val="FERCparanumber"/>
    <w:link w:val="Heading6Char"/>
    <w:qFormat/>
    <w:rsid w:val="0025400C"/>
    <w:pPr>
      <w:keepNext/>
      <w:keepLines/>
      <w:widowControl/>
      <w:numPr>
        <w:ilvl w:val="5"/>
        <w:numId w:val="12"/>
      </w:numPr>
      <w:spacing w:after="260"/>
      <w:outlineLvl w:val="5"/>
    </w:pPr>
    <w:rPr>
      <w:b/>
      <w:bCs/>
      <w:kern w:val="32"/>
      <w:szCs w:val="22"/>
      <w:u w:val="single"/>
    </w:rPr>
  </w:style>
  <w:style w:type="paragraph" w:styleId="Heading7">
    <w:name w:val="heading 7"/>
    <w:basedOn w:val="Normal"/>
    <w:next w:val="FERCparanumber"/>
    <w:link w:val="Heading7Char"/>
    <w:qFormat/>
    <w:rsid w:val="0025400C"/>
    <w:pPr>
      <w:numPr>
        <w:ilvl w:val="6"/>
        <w:numId w:val="12"/>
      </w:numPr>
      <w:spacing w:after="260"/>
      <w:outlineLvl w:val="6"/>
    </w:pPr>
    <w:rPr>
      <w:b/>
      <w:kern w:val="32"/>
      <w:u w:val="single"/>
    </w:rPr>
  </w:style>
  <w:style w:type="paragraph" w:styleId="Heading8">
    <w:name w:val="heading 8"/>
    <w:basedOn w:val="Normal"/>
    <w:next w:val="FERCparanumber"/>
    <w:link w:val="Heading8Char"/>
    <w:qFormat/>
    <w:rsid w:val="0025400C"/>
    <w:pPr>
      <w:keepNext/>
      <w:keepLines/>
      <w:widowControl/>
      <w:numPr>
        <w:ilvl w:val="7"/>
        <w:numId w:val="12"/>
      </w:numPr>
      <w:spacing w:after="260"/>
      <w:outlineLvl w:val="7"/>
    </w:pPr>
    <w:rPr>
      <w:b/>
      <w:iCs/>
      <w:kern w:val="32"/>
      <w:u w:val="single"/>
    </w:rPr>
  </w:style>
  <w:style w:type="paragraph" w:styleId="Heading9">
    <w:name w:val="heading 9"/>
    <w:basedOn w:val="Normal"/>
    <w:next w:val="FERCparanumber"/>
    <w:link w:val="Heading9Char"/>
    <w:qFormat/>
    <w:rsid w:val="0025400C"/>
    <w:pPr>
      <w:keepNext/>
      <w:keepLines/>
      <w:widowControl/>
      <w:numPr>
        <w:ilvl w:val="8"/>
        <w:numId w:val="1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rsid w:val="00301152"/>
    <w:pPr>
      <w:spacing w:after="260"/>
      <w:ind w:firstLine="720"/>
    </w:pPr>
    <w:rPr>
      <w:szCs w:val="20"/>
    </w:rPr>
  </w:style>
  <w:style w:type="character" w:customStyle="1" w:styleId="1">
    <w:name w:val="1"/>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3C31A8"/>
    <w:pPr>
      <w:widowControl/>
      <w:numPr>
        <w:numId w:val="1"/>
      </w:numPr>
      <w:spacing w:after="240"/>
    </w:pPr>
  </w:style>
  <w:style w:type="character" w:customStyle="1" w:styleId="Heading1Char">
    <w:name w:val="Heading 1 Char"/>
    <w:basedOn w:val="DefaultParagraphFont"/>
    <w:link w:val="Heading1"/>
    <w:rsid w:val="0025400C"/>
    <w:rPr>
      <w:b/>
      <w:bCs/>
      <w:kern w:val="32"/>
      <w:sz w:val="26"/>
      <w:szCs w:val="32"/>
      <w:u w:val="single"/>
      <w:lang w:bidi="ar-SA"/>
    </w:rPr>
  </w:style>
  <w:style w:type="character" w:customStyle="1" w:styleId="Heading2Char">
    <w:name w:val="Heading 2 Char"/>
    <w:basedOn w:val="DefaultParagraphFont"/>
    <w:link w:val="Heading2"/>
    <w:rsid w:val="0025400C"/>
    <w:rPr>
      <w:b/>
      <w:bCs/>
      <w:iCs/>
      <w:kern w:val="32"/>
      <w:sz w:val="26"/>
      <w:szCs w:val="28"/>
      <w:u w:val="single"/>
      <w:lang w:bidi="ar-SA"/>
    </w:rPr>
  </w:style>
  <w:style w:type="character" w:customStyle="1" w:styleId="Heading3Char">
    <w:name w:val="Heading 3 Char"/>
    <w:basedOn w:val="DefaultParagraphFont"/>
    <w:link w:val="Heading3"/>
    <w:rsid w:val="0025400C"/>
    <w:rPr>
      <w:b/>
      <w:bCs/>
      <w:kern w:val="32"/>
      <w:sz w:val="26"/>
      <w:szCs w:val="26"/>
      <w:u w:val="single"/>
      <w:lang w:bidi="ar-SA"/>
    </w:rPr>
  </w:style>
  <w:style w:type="character" w:customStyle="1" w:styleId="Heading4Char">
    <w:name w:val="Heading 4 Char"/>
    <w:basedOn w:val="DefaultParagraphFont"/>
    <w:link w:val="Heading4"/>
    <w:rsid w:val="0025400C"/>
    <w:rPr>
      <w:b/>
      <w:bCs/>
      <w:kern w:val="32"/>
      <w:sz w:val="26"/>
      <w:szCs w:val="28"/>
      <w:u w:val="single"/>
      <w:lang w:bidi="ar-SA"/>
    </w:rPr>
  </w:style>
  <w:style w:type="character" w:customStyle="1" w:styleId="Heading5Char">
    <w:name w:val="Heading 5 Char"/>
    <w:basedOn w:val="DefaultParagraphFont"/>
    <w:link w:val="Heading5"/>
    <w:rsid w:val="0025400C"/>
    <w:rPr>
      <w:b/>
      <w:bCs/>
      <w:iCs/>
      <w:kern w:val="32"/>
      <w:sz w:val="26"/>
      <w:szCs w:val="26"/>
      <w:u w:val="single"/>
      <w:lang w:bidi="ar-SA"/>
    </w:rPr>
  </w:style>
  <w:style w:type="character" w:customStyle="1" w:styleId="Heading6Char">
    <w:name w:val="Heading 6 Char"/>
    <w:basedOn w:val="DefaultParagraphFont"/>
    <w:link w:val="Heading6"/>
    <w:rsid w:val="0025400C"/>
    <w:rPr>
      <w:b/>
      <w:bCs/>
      <w:kern w:val="32"/>
      <w:sz w:val="26"/>
      <w:szCs w:val="22"/>
      <w:u w:val="single"/>
      <w:lang w:bidi="ar-SA"/>
    </w:rPr>
  </w:style>
  <w:style w:type="character" w:customStyle="1" w:styleId="Heading7Char">
    <w:name w:val="Heading 7 Char"/>
    <w:basedOn w:val="DefaultParagraphFont"/>
    <w:link w:val="Heading7"/>
    <w:rsid w:val="0025400C"/>
    <w:rPr>
      <w:b/>
      <w:kern w:val="32"/>
      <w:sz w:val="26"/>
      <w:szCs w:val="24"/>
      <w:u w:val="single"/>
      <w:lang w:bidi="ar-SA"/>
    </w:rPr>
  </w:style>
  <w:style w:type="character" w:customStyle="1" w:styleId="Heading8Char">
    <w:name w:val="Heading 8 Char"/>
    <w:basedOn w:val="DefaultParagraphFont"/>
    <w:link w:val="Heading8"/>
    <w:rsid w:val="0025400C"/>
    <w:rPr>
      <w:b/>
      <w:iCs/>
      <w:kern w:val="32"/>
      <w:sz w:val="26"/>
      <w:szCs w:val="24"/>
      <w:u w:val="single"/>
      <w:lang w:bidi="ar-SA"/>
    </w:rPr>
  </w:style>
  <w:style w:type="character" w:customStyle="1" w:styleId="Heading9Char">
    <w:name w:val="Heading 9 Char"/>
    <w:basedOn w:val="DefaultParagraphFont"/>
    <w:link w:val="Heading9"/>
    <w:rsid w:val="0025400C"/>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uiPriority w:val="99"/>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uiPriority w:val="99"/>
    <w:rsid w:val="00301152"/>
    <w:rPr>
      <w:rFonts w:ascii="Courier New" w:hAnsi="Courier New" w:cs="Courier New"/>
      <w:sz w:val="20"/>
      <w:szCs w:val="20"/>
    </w:rPr>
  </w:style>
  <w:style w:type="character" w:customStyle="1" w:styleId="PlainTextChar">
    <w:name w:val="Plain Text Char"/>
    <w:basedOn w:val="DefaultParagraphFont"/>
    <w:link w:val="PlainText"/>
    <w:uiPriority w:val="99"/>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rsid w:val="006449E2"/>
    <w:rPr>
      <w:sz w:val="26"/>
      <w:lang w:bidi="ar-SA"/>
    </w:rPr>
  </w:style>
  <w:style w:type="character" w:customStyle="1" w:styleId="FERCparanumberChar">
    <w:name w:val="FERC paranumber Char"/>
    <w:link w:val="FERCparanumber"/>
    <w:rsid w:val="006449E2"/>
    <w:rPr>
      <w:sz w:val="26"/>
      <w:szCs w:val="24"/>
      <w:lang w:bidi="ar-SA"/>
    </w:rPr>
  </w:style>
  <w:style w:type="character" w:customStyle="1" w:styleId="FERCparanumberChar1">
    <w:name w:val="FERC paranumber Char1"/>
    <w:rsid w:val="0005205C"/>
    <w:rPr>
      <w:sz w:val="26"/>
      <w:szCs w:val="24"/>
      <w:lang w:bidi="ar-SA"/>
    </w:rPr>
  </w:style>
  <w:style w:type="character" w:customStyle="1" w:styleId="fnChar1">
    <w:name w:val="fn Char1"/>
    <w:aliases w:val="Footnote Text Char Char Char2,Footnote Text Char1 Char Char2,Footnote Text Char Char Char Char1,Footnote Text MRP Char1,Footnote Text Char1 Char Char Char1,Footnote Text Char1 Char1 Char1,Footnote Text Char3 Char1,Footnote Text Char1 Char3"/>
    <w:basedOn w:val="DefaultParagraphFont"/>
    <w:uiPriority w:val="99"/>
    <w:locked/>
    <w:rsid w:val="009F1395"/>
    <w:rPr>
      <w:sz w:val="26"/>
    </w:rPr>
  </w:style>
  <w:style w:type="paragraph" w:customStyle="1" w:styleId="Default">
    <w:name w:val="Default"/>
    <w:rsid w:val="008F4F40"/>
    <w:pPr>
      <w:autoSpaceDE w:val="0"/>
      <w:autoSpaceDN w:val="0"/>
      <w:adjustRightInd w:val="0"/>
    </w:pPr>
    <w:rPr>
      <w:color w:val="000000"/>
      <w:sz w:val="24"/>
      <w:szCs w:val="24"/>
      <w:lang w:bidi="ar-SA"/>
    </w:rPr>
  </w:style>
  <w:style w:type="character" w:styleId="FollowedHyperlink">
    <w:name w:val="FollowedHyperlink"/>
    <w:basedOn w:val="DefaultParagraphFont"/>
    <w:uiPriority w:val="99"/>
    <w:semiHidden/>
    <w:unhideWhenUsed/>
    <w:rsid w:val="00F002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ne number" w:uiPriority="99"/>
    <w:lsdException w:name="endnote reference" w:uiPriority="99"/>
    <w:lsdException w:name="List Bulle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25400C"/>
    <w:pPr>
      <w:keepNext/>
      <w:keepLines/>
      <w:widowControl/>
      <w:numPr>
        <w:numId w:val="12"/>
      </w:numPr>
      <w:spacing w:after="260"/>
      <w:outlineLvl w:val="0"/>
    </w:pPr>
    <w:rPr>
      <w:b/>
      <w:bCs/>
      <w:kern w:val="32"/>
      <w:szCs w:val="32"/>
      <w:u w:val="single"/>
    </w:rPr>
  </w:style>
  <w:style w:type="paragraph" w:styleId="Heading2">
    <w:name w:val="heading 2"/>
    <w:basedOn w:val="Normal"/>
    <w:next w:val="FERCparanumber"/>
    <w:link w:val="Heading2Char"/>
    <w:qFormat/>
    <w:rsid w:val="0025400C"/>
    <w:pPr>
      <w:keepNext/>
      <w:keepLines/>
      <w:widowControl/>
      <w:numPr>
        <w:ilvl w:val="1"/>
        <w:numId w:val="12"/>
      </w:numPr>
      <w:spacing w:after="260"/>
      <w:outlineLvl w:val="1"/>
    </w:pPr>
    <w:rPr>
      <w:b/>
      <w:bCs/>
      <w:iCs/>
      <w:kern w:val="32"/>
      <w:szCs w:val="28"/>
      <w:u w:val="single"/>
    </w:rPr>
  </w:style>
  <w:style w:type="paragraph" w:styleId="Heading3">
    <w:name w:val="heading 3"/>
    <w:basedOn w:val="Normal"/>
    <w:next w:val="FERCparanumber"/>
    <w:link w:val="Heading3Char"/>
    <w:qFormat/>
    <w:rsid w:val="0025400C"/>
    <w:pPr>
      <w:keepNext/>
      <w:keepLines/>
      <w:widowControl/>
      <w:numPr>
        <w:ilvl w:val="2"/>
        <w:numId w:val="12"/>
      </w:numPr>
      <w:spacing w:after="260"/>
      <w:outlineLvl w:val="2"/>
    </w:pPr>
    <w:rPr>
      <w:b/>
      <w:bCs/>
      <w:kern w:val="32"/>
      <w:szCs w:val="26"/>
      <w:u w:val="single"/>
    </w:rPr>
  </w:style>
  <w:style w:type="paragraph" w:styleId="Heading4">
    <w:name w:val="heading 4"/>
    <w:basedOn w:val="Normal"/>
    <w:next w:val="FERCparanumber"/>
    <w:link w:val="Heading4Char"/>
    <w:qFormat/>
    <w:rsid w:val="0025400C"/>
    <w:pPr>
      <w:keepNext/>
      <w:keepLines/>
      <w:widowControl/>
      <w:numPr>
        <w:ilvl w:val="3"/>
        <w:numId w:val="12"/>
      </w:numPr>
      <w:spacing w:after="260"/>
      <w:outlineLvl w:val="3"/>
    </w:pPr>
    <w:rPr>
      <w:b/>
      <w:bCs/>
      <w:kern w:val="32"/>
      <w:szCs w:val="28"/>
      <w:u w:val="single"/>
    </w:rPr>
  </w:style>
  <w:style w:type="paragraph" w:styleId="Heading5">
    <w:name w:val="heading 5"/>
    <w:basedOn w:val="Normal"/>
    <w:next w:val="FERCparanumber"/>
    <w:link w:val="Heading5Char"/>
    <w:qFormat/>
    <w:rsid w:val="0025400C"/>
    <w:pPr>
      <w:keepNext/>
      <w:keepLines/>
      <w:widowControl/>
      <w:numPr>
        <w:ilvl w:val="4"/>
        <w:numId w:val="12"/>
      </w:numPr>
      <w:spacing w:after="260"/>
      <w:outlineLvl w:val="4"/>
    </w:pPr>
    <w:rPr>
      <w:b/>
      <w:bCs/>
      <w:iCs/>
      <w:kern w:val="32"/>
      <w:szCs w:val="26"/>
      <w:u w:val="single"/>
    </w:rPr>
  </w:style>
  <w:style w:type="paragraph" w:styleId="Heading6">
    <w:name w:val="heading 6"/>
    <w:basedOn w:val="Normal"/>
    <w:next w:val="FERCparanumber"/>
    <w:link w:val="Heading6Char"/>
    <w:qFormat/>
    <w:rsid w:val="0025400C"/>
    <w:pPr>
      <w:keepNext/>
      <w:keepLines/>
      <w:widowControl/>
      <w:numPr>
        <w:ilvl w:val="5"/>
        <w:numId w:val="12"/>
      </w:numPr>
      <w:spacing w:after="260"/>
      <w:outlineLvl w:val="5"/>
    </w:pPr>
    <w:rPr>
      <w:b/>
      <w:bCs/>
      <w:kern w:val="32"/>
      <w:szCs w:val="22"/>
      <w:u w:val="single"/>
    </w:rPr>
  </w:style>
  <w:style w:type="paragraph" w:styleId="Heading7">
    <w:name w:val="heading 7"/>
    <w:basedOn w:val="Normal"/>
    <w:next w:val="FERCparanumber"/>
    <w:link w:val="Heading7Char"/>
    <w:qFormat/>
    <w:rsid w:val="0025400C"/>
    <w:pPr>
      <w:numPr>
        <w:ilvl w:val="6"/>
        <w:numId w:val="12"/>
      </w:numPr>
      <w:spacing w:after="260"/>
      <w:outlineLvl w:val="6"/>
    </w:pPr>
    <w:rPr>
      <w:b/>
      <w:kern w:val="32"/>
      <w:u w:val="single"/>
    </w:rPr>
  </w:style>
  <w:style w:type="paragraph" w:styleId="Heading8">
    <w:name w:val="heading 8"/>
    <w:basedOn w:val="Normal"/>
    <w:next w:val="FERCparanumber"/>
    <w:link w:val="Heading8Char"/>
    <w:qFormat/>
    <w:rsid w:val="0025400C"/>
    <w:pPr>
      <w:keepNext/>
      <w:keepLines/>
      <w:widowControl/>
      <w:numPr>
        <w:ilvl w:val="7"/>
        <w:numId w:val="12"/>
      </w:numPr>
      <w:spacing w:after="260"/>
      <w:outlineLvl w:val="7"/>
    </w:pPr>
    <w:rPr>
      <w:b/>
      <w:iCs/>
      <w:kern w:val="32"/>
      <w:u w:val="single"/>
    </w:rPr>
  </w:style>
  <w:style w:type="paragraph" w:styleId="Heading9">
    <w:name w:val="heading 9"/>
    <w:basedOn w:val="Normal"/>
    <w:next w:val="FERCparanumber"/>
    <w:link w:val="Heading9Char"/>
    <w:qFormat/>
    <w:rsid w:val="0025400C"/>
    <w:pPr>
      <w:keepNext/>
      <w:keepLines/>
      <w:widowControl/>
      <w:numPr>
        <w:ilvl w:val="8"/>
        <w:numId w:val="1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rsid w:val="00301152"/>
    <w:pPr>
      <w:spacing w:after="260"/>
      <w:ind w:firstLine="720"/>
    </w:pPr>
    <w:rPr>
      <w:szCs w:val="20"/>
    </w:rPr>
  </w:style>
  <w:style w:type="character" w:customStyle="1" w:styleId="1">
    <w:name w:val="1"/>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3C31A8"/>
    <w:pPr>
      <w:widowControl/>
      <w:numPr>
        <w:numId w:val="1"/>
      </w:numPr>
      <w:spacing w:after="240"/>
    </w:pPr>
  </w:style>
  <w:style w:type="character" w:customStyle="1" w:styleId="Heading1Char">
    <w:name w:val="Heading 1 Char"/>
    <w:basedOn w:val="DefaultParagraphFont"/>
    <w:link w:val="Heading1"/>
    <w:rsid w:val="0025400C"/>
    <w:rPr>
      <w:b/>
      <w:bCs/>
      <w:kern w:val="32"/>
      <w:sz w:val="26"/>
      <w:szCs w:val="32"/>
      <w:u w:val="single"/>
      <w:lang w:bidi="ar-SA"/>
    </w:rPr>
  </w:style>
  <w:style w:type="character" w:customStyle="1" w:styleId="Heading2Char">
    <w:name w:val="Heading 2 Char"/>
    <w:basedOn w:val="DefaultParagraphFont"/>
    <w:link w:val="Heading2"/>
    <w:rsid w:val="0025400C"/>
    <w:rPr>
      <w:b/>
      <w:bCs/>
      <w:iCs/>
      <w:kern w:val="32"/>
      <w:sz w:val="26"/>
      <w:szCs w:val="28"/>
      <w:u w:val="single"/>
      <w:lang w:bidi="ar-SA"/>
    </w:rPr>
  </w:style>
  <w:style w:type="character" w:customStyle="1" w:styleId="Heading3Char">
    <w:name w:val="Heading 3 Char"/>
    <w:basedOn w:val="DefaultParagraphFont"/>
    <w:link w:val="Heading3"/>
    <w:rsid w:val="0025400C"/>
    <w:rPr>
      <w:b/>
      <w:bCs/>
      <w:kern w:val="32"/>
      <w:sz w:val="26"/>
      <w:szCs w:val="26"/>
      <w:u w:val="single"/>
      <w:lang w:bidi="ar-SA"/>
    </w:rPr>
  </w:style>
  <w:style w:type="character" w:customStyle="1" w:styleId="Heading4Char">
    <w:name w:val="Heading 4 Char"/>
    <w:basedOn w:val="DefaultParagraphFont"/>
    <w:link w:val="Heading4"/>
    <w:rsid w:val="0025400C"/>
    <w:rPr>
      <w:b/>
      <w:bCs/>
      <w:kern w:val="32"/>
      <w:sz w:val="26"/>
      <w:szCs w:val="28"/>
      <w:u w:val="single"/>
      <w:lang w:bidi="ar-SA"/>
    </w:rPr>
  </w:style>
  <w:style w:type="character" w:customStyle="1" w:styleId="Heading5Char">
    <w:name w:val="Heading 5 Char"/>
    <w:basedOn w:val="DefaultParagraphFont"/>
    <w:link w:val="Heading5"/>
    <w:rsid w:val="0025400C"/>
    <w:rPr>
      <w:b/>
      <w:bCs/>
      <w:iCs/>
      <w:kern w:val="32"/>
      <w:sz w:val="26"/>
      <w:szCs w:val="26"/>
      <w:u w:val="single"/>
      <w:lang w:bidi="ar-SA"/>
    </w:rPr>
  </w:style>
  <w:style w:type="character" w:customStyle="1" w:styleId="Heading6Char">
    <w:name w:val="Heading 6 Char"/>
    <w:basedOn w:val="DefaultParagraphFont"/>
    <w:link w:val="Heading6"/>
    <w:rsid w:val="0025400C"/>
    <w:rPr>
      <w:b/>
      <w:bCs/>
      <w:kern w:val="32"/>
      <w:sz w:val="26"/>
      <w:szCs w:val="22"/>
      <w:u w:val="single"/>
      <w:lang w:bidi="ar-SA"/>
    </w:rPr>
  </w:style>
  <w:style w:type="character" w:customStyle="1" w:styleId="Heading7Char">
    <w:name w:val="Heading 7 Char"/>
    <w:basedOn w:val="DefaultParagraphFont"/>
    <w:link w:val="Heading7"/>
    <w:rsid w:val="0025400C"/>
    <w:rPr>
      <w:b/>
      <w:kern w:val="32"/>
      <w:sz w:val="26"/>
      <w:szCs w:val="24"/>
      <w:u w:val="single"/>
      <w:lang w:bidi="ar-SA"/>
    </w:rPr>
  </w:style>
  <w:style w:type="character" w:customStyle="1" w:styleId="Heading8Char">
    <w:name w:val="Heading 8 Char"/>
    <w:basedOn w:val="DefaultParagraphFont"/>
    <w:link w:val="Heading8"/>
    <w:rsid w:val="0025400C"/>
    <w:rPr>
      <w:b/>
      <w:iCs/>
      <w:kern w:val="32"/>
      <w:sz w:val="26"/>
      <w:szCs w:val="24"/>
      <w:u w:val="single"/>
      <w:lang w:bidi="ar-SA"/>
    </w:rPr>
  </w:style>
  <w:style w:type="character" w:customStyle="1" w:styleId="Heading9Char">
    <w:name w:val="Heading 9 Char"/>
    <w:basedOn w:val="DefaultParagraphFont"/>
    <w:link w:val="Heading9"/>
    <w:rsid w:val="0025400C"/>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uiPriority w:val="99"/>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uiPriority w:val="99"/>
    <w:rsid w:val="00301152"/>
    <w:rPr>
      <w:rFonts w:ascii="Courier New" w:hAnsi="Courier New" w:cs="Courier New"/>
      <w:sz w:val="20"/>
      <w:szCs w:val="20"/>
    </w:rPr>
  </w:style>
  <w:style w:type="character" w:customStyle="1" w:styleId="PlainTextChar">
    <w:name w:val="Plain Text Char"/>
    <w:basedOn w:val="DefaultParagraphFont"/>
    <w:link w:val="PlainText"/>
    <w:uiPriority w:val="99"/>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rsid w:val="006449E2"/>
    <w:rPr>
      <w:sz w:val="26"/>
      <w:lang w:bidi="ar-SA"/>
    </w:rPr>
  </w:style>
  <w:style w:type="character" w:customStyle="1" w:styleId="FERCparanumberChar">
    <w:name w:val="FERC paranumber Char"/>
    <w:link w:val="FERCparanumber"/>
    <w:rsid w:val="006449E2"/>
    <w:rPr>
      <w:sz w:val="26"/>
      <w:szCs w:val="24"/>
      <w:lang w:bidi="ar-SA"/>
    </w:rPr>
  </w:style>
  <w:style w:type="character" w:customStyle="1" w:styleId="FERCparanumberChar1">
    <w:name w:val="FERC paranumber Char1"/>
    <w:rsid w:val="0005205C"/>
    <w:rPr>
      <w:sz w:val="26"/>
      <w:szCs w:val="24"/>
      <w:lang w:bidi="ar-SA"/>
    </w:rPr>
  </w:style>
  <w:style w:type="character" w:customStyle="1" w:styleId="fnChar1">
    <w:name w:val="fn Char1"/>
    <w:aliases w:val="Footnote Text Char Char Char2,Footnote Text Char1 Char Char2,Footnote Text Char Char Char Char1,Footnote Text MRP Char1,Footnote Text Char1 Char Char Char1,Footnote Text Char1 Char1 Char1,Footnote Text Char3 Char1,Footnote Text Char1 Char3"/>
    <w:basedOn w:val="DefaultParagraphFont"/>
    <w:uiPriority w:val="99"/>
    <w:locked/>
    <w:rsid w:val="009F1395"/>
    <w:rPr>
      <w:sz w:val="26"/>
    </w:rPr>
  </w:style>
  <w:style w:type="paragraph" w:customStyle="1" w:styleId="Default">
    <w:name w:val="Default"/>
    <w:rsid w:val="008F4F40"/>
    <w:pPr>
      <w:autoSpaceDE w:val="0"/>
      <w:autoSpaceDN w:val="0"/>
      <w:adjustRightInd w:val="0"/>
    </w:pPr>
    <w:rPr>
      <w:color w:val="000000"/>
      <w:sz w:val="24"/>
      <w:szCs w:val="24"/>
      <w:lang w:bidi="ar-SA"/>
    </w:rPr>
  </w:style>
  <w:style w:type="character" w:styleId="FollowedHyperlink">
    <w:name w:val="FollowedHyperlink"/>
    <w:basedOn w:val="DefaultParagraphFont"/>
    <w:uiPriority w:val="99"/>
    <w:semiHidden/>
    <w:unhideWhenUsed/>
    <w:rsid w:val="00F002B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31757921">
      <w:bodyDiv w:val="1"/>
      <w:marLeft w:val="0"/>
      <w:marRight w:val="0"/>
      <w:marTop w:val="0"/>
      <w:marBottom w:val="0"/>
      <w:divBdr>
        <w:top w:val="none" w:sz="0" w:space="0" w:color="auto"/>
        <w:left w:val="none" w:sz="0" w:space="0" w:color="auto"/>
        <w:bottom w:val="none" w:sz="0" w:space="0" w:color="auto"/>
        <w:right w:val="none" w:sz="0" w:space="0" w:color="auto"/>
      </w:divBdr>
    </w:div>
    <w:div w:id="371464931">
      <w:bodyDiv w:val="1"/>
      <w:marLeft w:val="0"/>
      <w:marRight w:val="0"/>
      <w:marTop w:val="0"/>
      <w:marBottom w:val="0"/>
      <w:divBdr>
        <w:top w:val="none" w:sz="0" w:space="0" w:color="auto"/>
        <w:left w:val="none" w:sz="0" w:space="0" w:color="auto"/>
        <w:bottom w:val="none" w:sz="0" w:space="0" w:color="auto"/>
        <w:right w:val="none" w:sz="0" w:space="0" w:color="auto"/>
      </w:divBdr>
    </w:div>
    <w:div w:id="383871083">
      <w:bodyDiv w:val="1"/>
      <w:marLeft w:val="0"/>
      <w:marRight w:val="0"/>
      <w:marTop w:val="0"/>
      <w:marBottom w:val="0"/>
      <w:divBdr>
        <w:top w:val="none" w:sz="0" w:space="0" w:color="auto"/>
        <w:left w:val="none" w:sz="0" w:space="0" w:color="auto"/>
        <w:bottom w:val="none" w:sz="0" w:space="0" w:color="auto"/>
        <w:right w:val="none" w:sz="0" w:space="0" w:color="auto"/>
      </w:divBdr>
    </w:div>
    <w:div w:id="587351020">
      <w:bodyDiv w:val="1"/>
      <w:marLeft w:val="0"/>
      <w:marRight w:val="0"/>
      <w:marTop w:val="0"/>
      <w:marBottom w:val="0"/>
      <w:divBdr>
        <w:top w:val="none" w:sz="0" w:space="0" w:color="auto"/>
        <w:left w:val="none" w:sz="0" w:space="0" w:color="auto"/>
        <w:bottom w:val="none" w:sz="0" w:space="0" w:color="auto"/>
        <w:right w:val="none" w:sz="0" w:space="0" w:color="auto"/>
      </w:divBdr>
    </w:div>
    <w:div w:id="1111164480">
      <w:bodyDiv w:val="1"/>
      <w:marLeft w:val="0"/>
      <w:marRight w:val="0"/>
      <w:marTop w:val="0"/>
      <w:marBottom w:val="0"/>
      <w:divBdr>
        <w:top w:val="none" w:sz="0" w:space="0" w:color="auto"/>
        <w:left w:val="none" w:sz="0" w:space="0" w:color="auto"/>
        <w:bottom w:val="none" w:sz="0" w:space="0" w:color="auto"/>
        <w:right w:val="none" w:sz="0" w:space="0" w:color="auto"/>
      </w:divBdr>
    </w:div>
    <w:div w:id="1165129559">
      <w:bodyDiv w:val="1"/>
      <w:marLeft w:val="0"/>
      <w:marRight w:val="0"/>
      <w:marTop w:val="0"/>
      <w:marBottom w:val="0"/>
      <w:divBdr>
        <w:top w:val="none" w:sz="0" w:space="0" w:color="auto"/>
        <w:left w:val="none" w:sz="0" w:space="0" w:color="auto"/>
        <w:bottom w:val="none" w:sz="0" w:space="0" w:color="auto"/>
        <w:right w:val="none" w:sz="0" w:space="0" w:color="auto"/>
      </w:divBdr>
    </w:div>
    <w:div w:id="1305895300">
      <w:bodyDiv w:val="1"/>
      <w:marLeft w:val="0"/>
      <w:marRight w:val="0"/>
      <w:marTop w:val="0"/>
      <w:marBottom w:val="0"/>
      <w:divBdr>
        <w:top w:val="none" w:sz="0" w:space="0" w:color="auto"/>
        <w:left w:val="none" w:sz="0" w:space="0" w:color="auto"/>
        <w:bottom w:val="none" w:sz="0" w:space="0" w:color="auto"/>
        <w:right w:val="none" w:sz="0" w:space="0" w:color="auto"/>
      </w:divBdr>
    </w:div>
    <w:div w:id="1789422640">
      <w:bodyDiv w:val="1"/>
      <w:marLeft w:val="0"/>
      <w:marRight w:val="0"/>
      <w:marTop w:val="0"/>
      <w:marBottom w:val="0"/>
      <w:divBdr>
        <w:top w:val="none" w:sz="0" w:space="0" w:color="auto"/>
        <w:left w:val="none" w:sz="0" w:space="0" w:color="auto"/>
        <w:bottom w:val="none" w:sz="0" w:space="0" w:color="auto"/>
        <w:right w:val="none" w:sz="0" w:space="0" w:color="auto"/>
      </w:divBdr>
    </w:div>
    <w:div w:id="20227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pa/Stand/Pages/Project-2014-01-Standards-Applicability-for-Dispersed-Generation-Resour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FE346-563E-4AD5-B0DC-BE2C67355E9A}">
  <ds:schemaRefs>
    <ds:schemaRef ds:uri="http://schemas.microsoft.com/sharepoint/v3/contenttype/forms"/>
  </ds:schemaRefs>
</ds:datastoreItem>
</file>

<file path=customXml/itemProps2.xml><?xml version="1.0" encoding="utf-8"?>
<ds:datastoreItem xmlns:ds="http://schemas.openxmlformats.org/officeDocument/2006/customXml" ds:itemID="{E92146F1-BB36-46C6-944F-9CE48DA1E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19E83D0-222C-4525-91F9-EB7645CD261C}">
  <ds:schemaRefs>
    <ds:schemaRef ds:uri="http://schemas.microsoft.com/office/2006/metadata/properties"/>
  </ds:schemaRefs>
</ds:datastoreItem>
</file>

<file path=customXml/itemProps4.xml><?xml version="1.0" encoding="utf-8"?>
<ds:datastoreItem xmlns:ds="http://schemas.openxmlformats.org/officeDocument/2006/customXml" ds:itemID="{07957D35-9094-4F8E-9FF6-2C2DA1877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7451</Words>
  <Characters>42476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RD14-2-000 North American Electric Reliability Corporation</vt:lpstr>
    </vt:vector>
  </TitlesOfParts>
  <LinksUpToDate>false</LinksUpToDate>
  <CharactersWithSpaces>49828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2014-04-24T15:56:00Z</dcterms:created>
  <dcterms:modified xsi:type="dcterms:W3CDTF">2014-04-24T15:56:00Z</dcterms:modified>
  <dc:identifier/>
  <cp:version/>
</cp:coreProperties>
</file>