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940" w:rsidRDefault="009B2940"/>
    <w:p w:rsidR="006165C2" w:rsidRDefault="006165C2"/>
    <w:p w:rsidR="006165C2" w:rsidRDefault="006165C2"/>
    <w:p w:rsidR="006165C2" w:rsidRDefault="006165C2"/>
    <w:p w:rsidR="006165C2" w:rsidRDefault="006165C2"/>
    <w:p w:rsidR="006165C2" w:rsidRDefault="006165C2"/>
    <w:p w:rsidR="006165C2" w:rsidRDefault="006165C2"/>
    <w:p w:rsidR="006165C2" w:rsidRDefault="006165C2"/>
    <w:p w:rsidR="00665613" w:rsidRDefault="00665613" w:rsidP="00665613">
      <w:pPr>
        <w:spacing w:after="240"/>
        <w:jc w:val="center"/>
        <w:rPr>
          <w:rFonts w:eastAsia="Times New Roman"/>
          <w:b/>
          <w:bCs/>
          <w:sz w:val="48"/>
          <w:szCs w:val="48"/>
        </w:rPr>
      </w:pPr>
      <w:r>
        <w:rPr>
          <w:rFonts w:eastAsia="Times New Roman"/>
          <w:b/>
          <w:bCs/>
          <w:sz w:val="48"/>
          <w:szCs w:val="48"/>
        </w:rPr>
        <w:t>OMB Clearance Request</w:t>
      </w:r>
      <w:r>
        <w:rPr>
          <w:rFonts w:eastAsia="Times New Roman"/>
          <w:b/>
          <w:bCs/>
          <w:sz w:val="48"/>
          <w:szCs w:val="48"/>
        </w:rPr>
        <w:br/>
      </w:r>
      <w:r w:rsidRPr="003B71A4">
        <w:rPr>
          <w:rFonts w:eastAsia="Times New Roman"/>
          <w:b/>
          <w:bCs/>
          <w:sz w:val="48"/>
          <w:szCs w:val="48"/>
        </w:rPr>
        <w:t>Promoting Student Success in Algebra I</w:t>
      </w:r>
    </w:p>
    <w:p w:rsidR="00665613" w:rsidRDefault="00665613" w:rsidP="00665613">
      <w:pPr>
        <w:spacing w:after="240"/>
        <w:jc w:val="center"/>
        <w:rPr>
          <w:rFonts w:eastAsia="Times New Roman"/>
          <w:b/>
          <w:bCs/>
          <w:sz w:val="48"/>
          <w:szCs w:val="48"/>
        </w:rPr>
      </w:pPr>
    </w:p>
    <w:p w:rsidR="00665613" w:rsidRPr="00C01578" w:rsidRDefault="00665613" w:rsidP="00665613">
      <w:pPr>
        <w:spacing w:after="240"/>
        <w:jc w:val="center"/>
        <w:rPr>
          <w:rFonts w:eastAsia="Times New Roman"/>
          <w:b/>
          <w:bCs/>
          <w:sz w:val="48"/>
          <w:szCs w:val="48"/>
        </w:rPr>
      </w:pPr>
      <w:r>
        <w:rPr>
          <w:rFonts w:eastAsia="Times New Roman"/>
          <w:b/>
          <w:bCs/>
          <w:sz w:val="48"/>
          <w:szCs w:val="48"/>
        </w:rPr>
        <w:t>Appendix H: Site Recruitment Materials</w:t>
      </w:r>
    </w:p>
    <w:p w:rsidR="006165C2" w:rsidRDefault="006165C2"/>
    <w:p w:rsidR="006165C2" w:rsidRDefault="006165C2"/>
    <w:p w:rsidR="006165C2" w:rsidRDefault="006165C2">
      <w:r>
        <w:br w:type="page"/>
      </w:r>
    </w:p>
    <w:p w:rsidR="00792845" w:rsidRPr="00792845" w:rsidRDefault="00792845" w:rsidP="00792845">
      <w:pPr>
        <w:spacing w:after="0" w:line="240" w:lineRule="auto"/>
        <w:jc w:val="center"/>
        <w:rPr>
          <w:b/>
          <w:sz w:val="24"/>
          <w:szCs w:val="24"/>
        </w:rPr>
      </w:pPr>
      <w:r w:rsidRPr="00792845">
        <w:rPr>
          <w:b/>
          <w:sz w:val="24"/>
          <w:szCs w:val="24"/>
        </w:rPr>
        <w:lastRenderedPageBreak/>
        <w:t>Email communication to be sent to potential sites:</w:t>
      </w:r>
    </w:p>
    <w:p w:rsidR="00792845" w:rsidRDefault="00792845"/>
    <w:p w:rsidR="00792845" w:rsidRDefault="00792845" w:rsidP="00792845">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Walters, Kirk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XXXX, </w:t>
      </w:r>
      <w:r w:rsidR="00BD382B">
        <w:rPr>
          <w:rFonts w:ascii="Tahoma" w:eastAsia="Times New Roman" w:hAnsi="Tahoma" w:cs="Tahoma"/>
          <w:sz w:val="20"/>
          <w:szCs w:val="20"/>
        </w:rPr>
        <w:t>May 2014</w:t>
      </w:r>
      <w:r>
        <w:rPr>
          <w:rFonts w:ascii="Tahoma" w:eastAsia="Times New Roman" w:hAnsi="Tahoma" w:cs="Tahoma"/>
          <w:sz w:val="20"/>
          <w:szCs w:val="20"/>
        </w:rPr>
        <w:t xml:space="preserve"> </w:t>
      </w:r>
      <w:r>
        <w:rPr>
          <w:rFonts w:ascii="Tahoma" w:eastAsia="Times New Roman" w:hAnsi="Tahoma" w:cs="Tahoma"/>
          <w:sz w:val="20"/>
          <w:szCs w:val="20"/>
        </w:rPr>
        <w:br/>
      </w:r>
      <w:proofErr w:type="gramStart"/>
      <w:r>
        <w:rPr>
          <w:rFonts w:ascii="Tahoma" w:eastAsia="Times New Roman" w:hAnsi="Tahoma" w:cs="Tahoma"/>
          <w:b/>
          <w:bCs/>
          <w:sz w:val="20"/>
          <w:szCs w:val="20"/>
        </w:rPr>
        <w:t>To</w:t>
      </w:r>
      <w:proofErr w:type="gramEnd"/>
      <w:r>
        <w:rPr>
          <w:rFonts w:ascii="Tahoma" w:eastAsia="Times New Roman" w:hAnsi="Tahoma" w:cs="Tahoma"/>
          <w:b/>
          <w:bCs/>
          <w:sz w:val="20"/>
          <w:szCs w:val="20"/>
        </w:rPr>
        <w:t>:</w:t>
      </w:r>
      <w:r>
        <w:rPr>
          <w:rFonts w:ascii="Tahoma" w:eastAsia="Times New Roman" w:hAnsi="Tahoma" w:cs="Tahoma"/>
          <w:sz w:val="20"/>
          <w:szCs w:val="20"/>
        </w:rPr>
        <w:t xml:space="preserve"> XXXX</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Study of Promoting Student Success in Algebra I</w:t>
      </w:r>
    </w:p>
    <w:p w:rsidR="00792845" w:rsidRPr="00792845" w:rsidRDefault="00792845">
      <w:pPr>
        <w:rPr>
          <w:sz w:val="24"/>
          <w:szCs w:val="24"/>
        </w:rPr>
      </w:pPr>
      <w:r w:rsidRPr="00792845">
        <w:rPr>
          <w:sz w:val="24"/>
          <w:szCs w:val="24"/>
        </w:rPr>
        <w:t>[Salutation]</w:t>
      </w:r>
    </w:p>
    <w:p w:rsidR="00792845" w:rsidRPr="00792845" w:rsidRDefault="00792845">
      <w:pPr>
        <w:rPr>
          <w:sz w:val="24"/>
          <w:szCs w:val="24"/>
        </w:rPr>
      </w:pPr>
      <w:r w:rsidRPr="00792845">
        <w:rPr>
          <w:sz w:val="24"/>
          <w:szCs w:val="24"/>
        </w:rPr>
        <w:t xml:space="preserve">The American Institutes of Research, together with the Windwalker Corporation, is conducting a </w:t>
      </w:r>
      <w:r w:rsidR="00BD382B">
        <w:rPr>
          <w:sz w:val="24"/>
          <w:szCs w:val="24"/>
        </w:rPr>
        <w:t>project focused on</w:t>
      </w:r>
      <w:r w:rsidRPr="00792845">
        <w:rPr>
          <w:sz w:val="24"/>
          <w:szCs w:val="24"/>
        </w:rPr>
        <w:t xml:space="preserve"> Algebra I practices that are designed to support the needs of students who are struggling in Algebra I.</w:t>
      </w:r>
      <w:r w:rsidR="00BD382B">
        <w:rPr>
          <w:sz w:val="24"/>
          <w:szCs w:val="24"/>
        </w:rPr>
        <w:t xml:space="preserve"> The purpose of this project</w:t>
      </w:r>
      <w:r>
        <w:rPr>
          <w:sz w:val="24"/>
          <w:szCs w:val="24"/>
        </w:rPr>
        <w:t xml:space="preserve"> is to highlight findings from the most rigorous and relevant research as well as eliciting insight from p</w:t>
      </w:r>
      <w:r w:rsidR="00BE775F">
        <w:rPr>
          <w:sz w:val="24"/>
          <w:szCs w:val="24"/>
        </w:rPr>
        <w:t>ractitioners who are on the forefront of best practices in Algebra instruction.</w:t>
      </w:r>
    </w:p>
    <w:p w:rsidR="00792845" w:rsidRDefault="00792845">
      <w:pPr>
        <w:rPr>
          <w:sz w:val="24"/>
          <w:szCs w:val="24"/>
        </w:rPr>
      </w:pPr>
      <w:r>
        <w:rPr>
          <w:sz w:val="24"/>
          <w:szCs w:val="24"/>
        </w:rPr>
        <w:t>In particular, o</w:t>
      </w:r>
      <w:r w:rsidRPr="00792845">
        <w:rPr>
          <w:sz w:val="24"/>
          <w:szCs w:val="24"/>
        </w:rPr>
        <w:t xml:space="preserve">ur </w:t>
      </w:r>
      <w:r w:rsidR="00BD382B">
        <w:rPr>
          <w:sz w:val="24"/>
          <w:szCs w:val="24"/>
        </w:rPr>
        <w:t>project</w:t>
      </w:r>
      <w:r w:rsidRPr="00792845">
        <w:rPr>
          <w:sz w:val="24"/>
          <w:szCs w:val="24"/>
        </w:rPr>
        <w:t xml:space="preserve"> team is interested in learning from practitioners– teachers, administrators, </w:t>
      </w:r>
      <w:proofErr w:type="gramStart"/>
      <w:r w:rsidRPr="00792845">
        <w:rPr>
          <w:sz w:val="24"/>
          <w:szCs w:val="24"/>
        </w:rPr>
        <w:t>district</w:t>
      </w:r>
      <w:proofErr w:type="gramEnd"/>
      <w:r w:rsidRPr="00792845">
        <w:rPr>
          <w:sz w:val="24"/>
          <w:szCs w:val="24"/>
        </w:rPr>
        <w:t xml:space="preserve"> officials, instructional leaders - about their school or district’s experiences developing and implementing exemplary programs that have fostered improved student outcomes related to Algebra I</w:t>
      </w:r>
      <w:r>
        <w:rPr>
          <w:sz w:val="24"/>
          <w:szCs w:val="24"/>
        </w:rPr>
        <w:t xml:space="preserve">.  </w:t>
      </w:r>
      <w:r w:rsidR="00BD382B">
        <w:rPr>
          <w:sz w:val="24"/>
          <w:szCs w:val="24"/>
        </w:rPr>
        <w:t>Toward this end, our project</w:t>
      </w:r>
      <w:r w:rsidR="00BE775F">
        <w:rPr>
          <w:sz w:val="24"/>
          <w:szCs w:val="24"/>
        </w:rPr>
        <w:t xml:space="preserve"> i</w:t>
      </w:r>
      <w:r w:rsidR="00BD382B">
        <w:rPr>
          <w:sz w:val="24"/>
          <w:szCs w:val="24"/>
        </w:rPr>
        <w:t>ncludes a set of site visits</w:t>
      </w:r>
      <w:r w:rsidR="00BE775F">
        <w:rPr>
          <w:sz w:val="24"/>
          <w:szCs w:val="24"/>
        </w:rPr>
        <w:t xml:space="preserve"> exemplar districts and schools. </w:t>
      </w:r>
      <w:r>
        <w:rPr>
          <w:sz w:val="24"/>
          <w:szCs w:val="24"/>
        </w:rPr>
        <w:t xml:space="preserve">At present, we are in the process of identifying sites, and your [district/school] was nominated because of your promising work in [insert topical area here]. </w:t>
      </w:r>
      <w:r w:rsidR="00BE775F">
        <w:rPr>
          <w:sz w:val="24"/>
          <w:szCs w:val="24"/>
        </w:rPr>
        <w:t xml:space="preserve"> If your [district/school] is selected to participate, we would like to send two researchers to visit your [district/school] for two days to interview administrators, teachers, and [insert other respondents, as appropriate for the topic area].</w:t>
      </w:r>
    </w:p>
    <w:p w:rsidR="00BE775F" w:rsidRDefault="00BE775F">
      <w:pPr>
        <w:rPr>
          <w:sz w:val="24"/>
          <w:szCs w:val="24"/>
        </w:rPr>
      </w:pPr>
      <w:r>
        <w:rPr>
          <w:sz w:val="24"/>
          <w:szCs w:val="24"/>
        </w:rPr>
        <w:t>I am attach</w:t>
      </w:r>
      <w:r w:rsidR="00BD382B">
        <w:rPr>
          <w:sz w:val="24"/>
          <w:szCs w:val="24"/>
        </w:rPr>
        <w:t>ing a short summary of our project</w:t>
      </w:r>
      <w:r>
        <w:rPr>
          <w:sz w:val="24"/>
          <w:szCs w:val="24"/>
        </w:rPr>
        <w:t>, as well as addi</w:t>
      </w:r>
      <w:r w:rsidR="00BD382B">
        <w:rPr>
          <w:sz w:val="24"/>
          <w:szCs w:val="24"/>
        </w:rPr>
        <w:t>tional details on the site visit</w:t>
      </w:r>
      <w:r>
        <w:rPr>
          <w:sz w:val="24"/>
          <w:szCs w:val="24"/>
        </w:rPr>
        <w:t xml:space="preserve"> component.  This may address questions you might have, but I am happy to talk further at your convenience.</w:t>
      </w:r>
    </w:p>
    <w:p w:rsidR="00BE775F" w:rsidRDefault="00BE775F">
      <w:pPr>
        <w:rPr>
          <w:sz w:val="24"/>
          <w:szCs w:val="24"/>
        </w:rPr>
      </w:pPr>
      <w:r>
        <w:rPr>
          <w:sz w:val="24"/>
          <w:szCs w:val="24"/>
        </w:rPr>
        <w:t>Thank you in advance for your consideration.</w:t>
      </w:r>
    </w:p>
    <w:p w:rsidR="00BE775F" w:rsidRDefault="00BE775F">
      <w:pPr>
        <w:rPr>
          <w:sz w:val="24"/>
          <w:szCs w:val="24"/>
        </w:rPr>
      </w:pPr>
    </w:p>
    <w:p w:rsidR="00BE775F" w:rsidRPr="00792845" w:rsidRDefault="00BE775F">
      <w:pPr>
        <w:rPr>
          <w:sz w:val="24"/>
          <w:szCs w:val="24"/>
        </w:rPr>
      </w:pPr>
      <w:r>
        <w:rPr>
          <w:sz w:val="24"/>
          <w:szCs w:val="24"/>
        </w:rPr>
        <w:t>Kirk Walters, PhD</w:t>
      </w:r>
      <w:r>
        <w:rPr>
          <w:sz w:val="24"/>
          <w:szCs w:val="24"/>
        </w:rPr>
        <w:br/>
        <w:t>Study Director</w:t>
      </w:r>
      <w:r>
        <w:rPr>
          <w:sz w:val="24"/>
          <w:szCs w:val="24"/>
        </w:rPr>
        <w:br/>
        <w:t>American Institutes for Research</w:t>
      </w:r>
    </w:p>
    <w:p w:rsidR="00792845" w:rsidRDefault="00792845">
      <w:r>
        <w:br w:type="page"/>
      </w:r>
    </w:p>
    <w:p w:rsidR="00792845" w:rsidRDefault="00792845"/>
    <w:p w:rsidR="006165C2" w:rsidRDefault="006165C2" w:rsidP="006165C2">
      <w:pPr>
        <w:jc w:val="center"/>
      </w:pPr>
      <w:r>
        <w:rPr>
          <w:b/>
          <w:noProof/>
          <w:color w:val="1F497D" w:themeColor="text2"/>
          <w:spacing w:val="40"/>
          <w:sz w:val="48"/>
          <w:szCs w:val="48"/>
        </w:rPr>
        <w:drawing>
          <wp:anchor distT="0" distB="0" distL="114300" distR="114300" simplePos="0" relativeHeight="251659264" behindDoc="0" locked="0" layoutInCell="1" allowOverlap="1" wp14:anchorId="720A4B50" wp14:editId="0FF83779">
            <wp:simplePos x="0" y="0"/>
            <wp:positionH relativeFrom="margin">
              <wp:posOffset>1981200</wp:posOffset>
            </wp:positionH>
            <wp:positionV relativeFrom="page">
              <wp:posOffset>777240</wp:posOffset>
            </wp:positionV>
            <wp:extent cx="1917700" cy="729615"/>
            <wp:effectExtent l="0" t="0" r="6350" b="0"/>
            <wp:wrapNone/>
            <wp:docPr id="3" name="Picture 50" descr="AIR Left_Align Words RGB 3in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IR Left_Align Words RGB 3in 600"/>
                    <pic:cNvPicPr>
                      <a:picLocks noChangeAspect="1" noChangeArrowheads="1"/>
                    </pic:cNvPicPr>
                  </pic:nvPicPr>
                  <pic:blipFill>
                    <a:blip r:embed="rId6"/>
                    <a:stretch>
                      <a:fillRect/>
                    </a:stretch>
                  </pic:blipFill>
                  <pic:spPr bwMode="auto">
                    <a:xfrm>
                      <a:off x="0" y="0"/>
                      <a:ext cx="1917700" cy="729615"/>
                    </a:xfrm>
                    <a:prstGeom prst="rect">
                      <a:avLst/>
                    </a:prstGeom>
                    <a:noFill/>
                  </pic:spPr>
                </pic:pic>
              </a:graphicData>
            </a:graphic>
          </wp:anchor>
        </w:drawing>
      </w:r>
    </w:p>
    <w:p w:rsidR="006165C2" w:rsidRDefault="006165C2"/>
    <w:p w:rsidR="00596FD2" w:rsidRDefault="00596FD2" w:rsidP="00596FD2">
      <w:pPr>
        <w:spacing w:after="0" w:line="240" w:lineRule="auto"/>
        <w:jc w:val="center"/>
        <w:rPr>
          <w:b/>
          <w:sz w:val="24"/>
          <w:szCs w:val="24"/>
        </w:rPr>
      </w:pPr>
      <w:r w:rsidRPr="001E0579">
        <w:rPr>
          <w:b/>
          <w:sz w:val="24"/>
          <w:szCs w:val="24"/>
        </w:rPr>
        <w:t>Promoting Student Success in Algebra I</w:t>
      </w:r>
      <w:r>
        <w:rPr>
          <w:b/>
          <w:sz w:val="24"/>
          <w:szCs w:val="24"/>
        </w:rPr>
        <w:t xml:space="preserve"> Case Studies:  </w:t>
      </w:r>
    </w:p>
    <w:p w:rsidR="00596FD2" w:rsidRDefault="00596FD2" w:rsidP="00596FD2">
      <w:pPr>
        <w:spacing w:after="0" w:line="240" w:lineRule="auto"/>
        <w:jc w:val="center"/>
        <w:rPr>
          <w:b/>
          <w:sz w:val="24"/>
          <w:szCs w:val="24"/>
        </w:rPr>
      </w:pPr>
      <w:r>
        <w:rPr>
          <w:b/>
          <w:sz w:val="24"/>
          <w:szCs w:val="24"/>
        </w:rPr>
        <w:t>Seeking Exemplar Schools and Districts for Algebra I Implementation –</w:t>
      </w:r>
    </w:p>
    <w:p w:rsidR="00596FD2" w:rsidRPr="00BB1EE2" w:rsidRDefault="00596FD2" w:rsidP="00596FD2">
      <w:pPr>
        <w:spacing w:after="0" w:line="240" w:lineRule="auto"/>
        <w:jc w:val="center"/>
        <w:rPr>
          <w:b/>
          <w:i/>
          <w:sz w:val="24"/>
          <w:szCs w:val="24"/>
        </w:rPr>
      </w:pPr>
      <w:r w:rsidRPr="00BB1EE2">
        <w:rPr>
          <w:b/>
          <w:i/>
          <w:sz w:val="24"/>
          <w:szCs w:val="24"/>
        </w:rPr>
        <w:t>Provide Feedback on your Successes to the U.S. Department of Education</w:t>
      </w:r>
    </w:p>
    <w:p w:rsidR="00596FD2" w:rsidRDefault="00596FD2" w:rsidP="00596FD2">
      <w:pPr>
        <w:spacing w:after="0" w:line="240" w:lineRule="auto"/>
      </w:pPr>
    </w:p>
    <w:p w:rsidR="00596FD2" w:rsidRDefault="00596FD2" w:rsidP="00596FD2">
      <w:pPr>
        <w:spacing w:after="0" w:line="240" w:lineRule="auto"/>
      </w:pPr>
      <w:r>
        <w:t>Mathematics education researchers at the American Institutes for Research (AIR) and Windwalker Corporation are working on a new project with the U.S. Department of Education that is designed to equip state and local education agencies with greater knowledge and resources to promote students’ success in Algebra I</w:t>
      </w:r>
      <w:r w:rsidRPr="00F0461D">
        <w:t>,</w:t>
      </w:r>
      <w:r>
        <w:t xml:space="preserve"> with a particular emphasis on helping all students complete the gateway course by the end of ninth grade.</w:t>
      </w:r>
    </w:p>
    <w:p w:rsidR="00596FD2" w:rsidRDefault="00596FD2" w:rsidP="00596FD2">
      <w:pPr>
        <w:spacing w:after="0" w:line="240" w:lineRule="auto"/>
      </w:pPr>
    </w:p>
    <w:p w:rsidR="00596FD2" w:rsidRDefault="00596FD2" w:rsidP="00596FD2">
      <w:pPr>
        <w:spacing w:after="0" w:line="240" w:lineRule="auto"/>
      </w:pPr>
      <w:r>
        <w:t>For this project,</w:t>
      </w:r>
      <w:r w:rsidRPr="00BB1EE2">
        <w:rPr>
          <w:i/>
        </w:rPr>
        <w:t xml:space="preserve"> Promoting </w:t>
      </w:r>
      <w:r>
        <w:rPr>
          <w:i/>
        </w:rPr>
        <w:t xml:space="preserve">Student </w:t>
      </w:r>
      <w:r w:rsidRPr="00BB1EE2">
        <w:rPr>
          <w:i/>
        </w:rPr>
        <w:t>Success in Algebra I</w:t>
      </w:r>
      <w:r>
        <w:t xml:space="preserve">, our research team is interested in learning from practitioners– teachers, administrators, </w:t>
      </w:r>
      <w:proofErr w:type="gramStart"/>
      <w:r>
        <w:t>district</w:t>
      </w:r>
      <w:proofErr w:type="gramEnd"/>
      <w:r>
        <w:t xml:space="preserve"> officials, instructional leaders - about their school or district’s experiences developing and implementing exemplary programs that have fostered improved student outcomes related to Algebra I. We are specifically interested in:</w:t>
      </w:r>
      <w:r>
        <w:br/>
      </w:r>
    </w:p>
    <w:p w:rsidR="00596FD2" w:rsidRPr="000E3092" w:rsidRDefault="00596FD2" w:rsidP="00596FD2">
      <w:pPr>
        <w:pStyle w:val="ListParagraph"/>
        <w:numPr>
          <w:ilvl w:val="0"/>
          <w:numId w:val="2"/>
        </w:numPr>
        <w:spacing w:after="0" w:line="240" w:lineRule="auto"/>
      </w:pPr>
      <w:r>
        <w:rPr>
          <w:rFonts w:cstheme="minorHAnsi"/>
        </w:rPr>
        <w:t>S</w:t>
      </w:r>
      <w:r w:rsidRPr="000E3092">
        <w:rPr>
          <w:rFonts w:cstheme="minorHAnsi"/>
        </w:rPr>
        <w:t xml:space="preserve">trategies, processes, and policies in schools that have made an effort to blend procedural and conceptual foci in </w:t>
      </w:r>
      <w:r>
        <w:rPr>
          <w:rFonts w:cstheme="minorHAnsi"/>
        </w:rPr>
        <w:t>teachers’</w:t>
      </w:r>
      <w:r w:rsidRPr="000E3092">
        <w:rPr>
          <w:rFonts w:cstheme="minorHAnsi"/>
        </w:rPr>
        <w:t xml:space="preserve"> Algebra I instruction</w:t>
      </w:r>
      <w:r>
        <w:rPr>
          <w:rFonts w:cstheme="minorHAnsi"/>
        </w:rPr>
        <w:t>al practices.</w:t>
      </w:r>
    </w:p>
    <w:p w:rsidR="00596FD2" w:rsidRPr="000E3092" w:rsidRDefault="00596FD2" w:rsidP="00596FD2">
      <w:pPr>
        <w:pStyle w:val="ListParagraph"/>
        <w:numPr>
          <w:ilvl w:val="0"/>
          <w:numId w:val="2"/>
        </w:numPr>
        <w:spacing w:after="0" w:line="240" w:lineRule="auto"/>
      </w:pPr>
      <w:r>
        <w:rPr>
          <w:rFonts w:cstheme="minorHAnsi"/>
        </w:rPr>
        <w:t>I</w:t>
      </w:r>
      <w:r w:rsidRPr="00756D11">
        <w:rPr>
          <w:rFonts w:cstheme="minorHAnsi"/>
        </w:rPr>
        <w:t>nnovative practices in terms of professional learning opportunities designed to deepen teachers’ content knowledge, conceptual understanding, and instructional capacity with regard to Algebra I</w:t>
      </w:r>
      <w:r>
        <w:rPr>
          <w:rFonts w:cstheme="minorHAnsi"/>
        </w:rPr>
        <w:t>.</w:t>
      </w:r>
    </w:p>
    <w:p w:rsidR="00596FD2" w:rsidRPr="000E3092" w:rsidRDefault="00596FD2" w:rsidP="00596FD2">
      <w:pPr>
        <w:pStyle w:val="ListParagraph"/>
        <w:numPr>
          <w:ilvl w:val="0"/>
          <w:numId w:val="2"/>
        </w:numPr>
        <w:spacing w:after="0" w:line="240" w:lineRule="auto"/>
      </w:pPr>
      <w:r>
        <w:rPr>
          <w:rFonts w:eastAsia="Times New Roman" w:cstheme="minorHAnsi"/>
        </w:rPr>
        <w:t xml:space="preserve">The </w:t>
      </w:r>
      <w:r w:rsidRPr="00756D11">
        <w:rPr>
          <w:rFonts w:eastAsia="Times New Roman" w:cstheme="minorHAnsi"/>
        </w:rPr>
        <w:t xml:space="preserve">use </w:t>
      </w:r>
      <w:r>
        <w:rPr>
          <w:rFonts w:eastAsia="Times New Roman" w:cstheme="minorHAnsi"/>
        </w:rPr>
        <w:t>of instructional</w:t>
      </w:r>
      <w:r w:rsidRPr="00756D11">
        <w:rPr>
          <w:rFonts w:eastAsia="Times New Roman" w:cstheme="minorHAnsi"/>
        </w:rPr>
        <w:t xml:space="preserve"> coaches to support teachers as they continue to improve their mathematics teaching</w:t>
      </w:r>
      <w:r>
        <w:rPr>
          <w:rFonts w:eastAsia="Times New Roman" w:cstheme="minorHAnsi"/>
        </w:rPr>
        <w:t>.</w:t>
      </w:r>
    </w:p>
    <w:p w:rsidR="00596FD2" w:rsidRPr="000E3092" w:rsidRDefault="00596FD2" w:rsidP="00596FD2">
      <w:pPr>
        <w:pStyle w:val="ListParagraph"/>
        <w:numPr>
          <w:ilvl w:val="0"/>
          <w:numId w:val="2"/>
        </w:numPr>
        <w:spacing w:after="0" w:line="240" w:lineRule="auto"/>
      </w:pPr>
      <w:r>
        <w:rPr>
          <w:rFonts w:cstheme="minorHAnsi"/>
        </w:rPr>
        <w:t>D</w:t>
      </w:r>
      <w:r w:rsidRPr="00756D11">
        <w:rPr>
          <w:rFonts w:cstheme="minorHAnsi"/>
        </w:rPr>
        <w:t>istricts that have developed and implemented a curricular framework that promotes the skills and understanding needed to be successful in Algebra I prior to enrollment in an Algebra I course</w:t>
      </w:r>
      <w:r>
        <w:rPr>
          <w:rFonts w:cstheme="minorHAnsi"/>
        </w:rPr>
        <w:t>.</w:t>
      </w:r>
    </w:p>
    <w:p w:rsidR="00596FD2" w:rsidRDefault="00596FD2" w:rsidP="00596FD2">
      <w:pPr>
        <w:pStyle w:val="ListParagraph"/>
        <w:numPr>
          <w:ilvl w:val="0"/>
          <w:numId w:val="2"/>
        </w:numPr>
        <w:spacing w:after="0" w:line="240" w:lineRule="auto"/>
      </w:pPr>
      <w:r>
        <w:rPr>
          <w:rFonts w:cstheme="minorHAnsi"/>
        </w:rPr>
        <w:t>S</w:t>
      </w:r>
      <w:r w:rsidRPr="00756D11">
        <w:rPr>
          <w:rFonts w:cstheme="minorHAnsi"/>
        </w:rPr>
        <w:t xml:space="preserve">tructures and implementation processes associated with instructional programs in which students receive </w:t>
      </w:r>
      <w:r>
        <w:rPr>
          <w:rFonts w:cstheme="minorHAnsi"/>
        </w:rPr>
        <w:t>a “double-dose” of</w:t>
      </w:r>
      <w:r w:rsidRPr="00756D11">
        <w:rPr>
          <w:rFonts w:cstheme="minorHAnsi"/>
        </w:rPr>
        <w:t xml:space="preserve"> Algebra I instruction.  </w:t>
      </w:r>
    </w:p>
    <w:p w:rsidR="00596FD2" w:rsidRDefault="00596FD2" w:rsidP="00596FD2">
      <w:pPr>
        <w:spacing w:after="0" w:line="240" w:lineRule="auto"/>
      </w:pPr>
    </w:p>
    <w:p w:rsidR="00596FD2" w:rsidRDefault="00596FD2" w:rsidP="00596FD2">
      <w:pPr>
        <w:spacing w:after="0" w:line="240" w:lineRule="auto"/>
      </w:pPr>
      <w:r>
        <w:t xml:space="preserve">To gain insight into these five topic areas, our research team is </w:t>
      </w:r>
      <w:r>
        <w:rPr>
          <w:b/>
        </w:rPr>
        <w:t xml:space="preserve">recruiting 10 exemplar sites (two “sites” per topic area) to participate in on-site data collection activities during </w:t>
      </w:r>
      <w:r w:rsidR="006B00F9">
        <w:rPr>
          <w:b/>
        </w:rPr>
        <w:t>spring-summer 2014</w:t>
      </w:r>
      <w:r>
        <w:rPr>
          <w:b/>
        </w:rPr>
        <w:t xml:space="preserve">. </w:t>
      </w:r>
      <w:r>
        <w:t>These site visits will provide opportunities for practitioners and students to engage with researchers about their experiences with initiatives in these five areas and will inform the development of technical assistance documents designed to support other schools and districts in developing similar initiatives.</w:t>
      </w:r>
    </w:p>
    <w:p w:rsidR="00596FD2" w:rsidRDefault="00596FD2" w:rsidP="00596FD2">
      <w:pPr>
        <w:spacing w:after="0" w:line="240" w:lineRule="auto"/>
        <w:rPr>
          <w:rFonts w:cstheme="minorHAnsi"/>
        </w:rPr>
      </w:pPr>
    </w:p>
    <w:p w:rsidR="00596FD2" w:rsidRDefault="00596FD2">
      <w:pPr>
        <w:rPr>
          <w:rFonts w:cstheme="minorHAnsi"/>
        </w:rPr>
      </w:pPr>
      <w:r>
        <w:rPr>
          <w:rFonts w:cstheme="minorHAnsi"/>
        </w:rPr>
        <w:br w:type="page"/>
      </w:r>
    </w:p>
    <w:p w:rsidR="00596FD2" w:rsidRDefault="00596FD2" w:rsidP="00596FD2">
      <w:pPr>
        <w:spacing w:after="0" w:line="240" w:lineRule="auto"/>
        <w:rPr>
          <w:rFonts w:cstheme="minorHAnsi"/>
        </w:rPr>
      </w:pPr>
      <w:r>
        <w:rPr>
          <w:rFonts w:cstheme="minorHAnsi"/>
        </w:rPr>
        <w:t xml:space="preserve">Participating sites will be chosen from across the United </w:t>
      </w:r>
      <w:proofErr w:type="gramStart"/>
      <w:r>
        <w:rPr>
          <w:rFonts w:cstheme="minorHAnsi"/>
        </w:rPr>
        <w:t>States,</w:t>
      </w:r>
      <w:proofErr w:type="gramEnd"/>
      <w:r>
        <w:rPr>
          <w:rFonts w:cstheme="minorHAnsi"/>
        </w:rPr>
        <w:t xml:space="preserve"> and depending on the specific Algebra I topic area, a </w:t>
      </w:r>
      <w:r w:rsidRPr="006B00F9">
        <w:rPr>
          <w:rFonts w:cstheme="minorHAnsi"/>
          <w:i/>
        </w:rPr>
        <w:t>site</w:t>
      </w:r>
      <w:r>
        <w:rPr>
          <w:rFonts w:cstheme="minorHAnsi"/>
        </w:rPr>
        <w:t xml:space="preserve"> may refer to an interested district, a school, or both a district and schools nested within that district.</w:t>
      </w:r>
      <w:r w:rsidRPr="00EE4560">
        <w:t xml:space="preserve"> </w:t>
      </w:r>
      <w:r>
        <w:t xml:space="preserve">We are currently seeking the following types of sites that are </w:t>
      </w:r>
      <w:r w:rsidRPr="00756D11">
        <w:rPr>
          <w:rFonts w:cstheme="minorHAnsi"/>
        </w:rPr>
        <w:t xml:space="preserve">implementing an exemplary </w:t>
      </w:r>
      <w:r>
        <w:rPr>
          <w:rFonts w:cstheme="minorHAnsi"/>
        </w:rPr>
        <w:t xml:space="preserve">Algebra I </w:t>
      </w:r>
      <w:r w:rsidRPr="00756D11">
        <w:rPr>
          <w:rFonts w:cstheme="minorHAnsi"/>
        </w:rPr>
        <w:t xml:space="preserve">program or initiative in </w:t>
      </w:r>
      <w:r>
        <w:rPr>
          <w:rFonts w:cstheme="minorHAnsi"/>
        </w:rPr>
        <w:t>the five</w:t>
      </w:r>
      <w:r w:rsidRPr="00756D11">
        <w:rPr>
          <w:rFonts w:cstheme="minorHAnsi"/>
        </w:rPr>
        <w:t xml:space="preserve"> topic area</w:t>
      </w:r>
      <w:r>
        <w:rPr>
          <w:rFonts w:cstheme="minorHAnsi"/>
        </w:rPr>
        <w:t>s:</w:t>
      </w:r>
    </w:p>
    <w:p w:rsidR="00596FD2" w:rsidRDefault="00596FD2" w:rsidP="00596FD2">
      <w:pPr>
        <w:spacing w:after="0" w:line="240" w:lineRule="auto"/>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6408"/>
      </w:tblGrid>
      <w:tr w:rsidR="00596FD2" w:rsidRPr="003906B7" w:rsidTr="00616C9A">
        <w:tc>
          <w:tcPr>
            <w:tcW w:w="3168" w:type="dxa"/>
            <w:shd w:val="clear" w:color="auto" w:fill="BFBFBF"/>
          </w:tcPr>
          <w:p w:rsidR="00596FD2" w:rsidRPr="003906B7" w:rsidRDefault="00596FD2" w:rsidP="00616C9A">
            <w:pPr>
              <w:pStyle w:val="ExhibitHeading"/>
            </w:pPr>
            <w:r>
              <w:t xml:space="preserve">Algebra I </w:t>
            </w:r>
            <w:r w:rsidRPr="003906B7">
              <w:t>Topic Area</w:t>
            </w:r>
          </w:p>
        </w:tc>
        <w:tc>
          <w:tcPr>
            <w:tcW w:w="6408" w:type="dxa"/>
            <w:shd w:val="clear" w:color="auto" w:fill="BFBFBF"/>
          </w:tcPr>
          <w:p w:rsidR="00596FD2" w:rsidRPr="003906B7" w:rsidRDefault="00596FD2" w:rsidP="00616C9A">
            <w:pPr>
              <w:pStyle w:val="ExhibitHeading"/>
            </w:pPr>
            <w:r>
              <w:t>Number and Type of Exemplar Sites To Be Selected</w:t>
            </w:r>
          </w:p>
        </w:tc>
      </w:tr>
      <w:tr w:rsidR="00596FD2" w:rsidRPr="003906B7" w:rsidTr="00616C9A">
        <w:tc>
          <w:tcPr>
            <w:tcW w:w="3168" w:type="dxa"/>
          </w:tcPr>
          <w:p w:rsidR="00596FD2" w:rsidRPr="003906B7" w:rsidRDefault="00596FD2" w:rsidP="00616C9A">
            <w:pPr>
              <w:pStyle w:val="ExhibitTextSmall"/>
            </w:pPr>
            <w:r>
              <w:t xml:space="preserve">1). </w:t>
            </w:r>
            <w:r w:rsidRPr="003906B7">
              <w:t>Instructional Practices</w:t>
            </w:r>
          </w:p>
        </w:tc>
        <w:tc>
          <w:tcPr>
            <w:tcW w:w="6408" w:type="dxa"/>
          </w:tcPr>
          <w:p w:rsidR="00596FD2" w:rsidRPr="003906B7" w:rsidRDefault="00596FD2" w:rsidP="00616C9A">
            <w:pPr>
              <w:pStyle w:val="ExhibitTextSmall"/>
            </w:pPr>
            <w:r w:rsidRPr="003906B7">
              <w:t>Two schools</w:t>
            </w:r>
          </w:p>
        </w:tc>
      </w:tr>
      <w:tr w:rsidR="00596FD2" w:rsidRPr="003906B7" w:rsidTr="00616C9A">
        <w:tc>
          <w:tcPr>
            <w:tcW w:w="3168" w:type="dxa"/>
          </w:tcPr>
          <w:p w:rsidR="00596FD2" w:rsidRPr="003906B7" w:rsidRDefault="00596FD2" w:rsidP="00616C9A">
            <w:pPr>
              <w:pStyle w:val="ExhibitTextSmall"/>
            </w:pPr>
            <w:r>
              <w:t xml:space="preserve">2). </w:t>
            </w:r>
            <w:r w:rsidRPr="003906B7">
              <w:t>Professional Development</w:t>
            </w:r>
          </w:p>
        </w:tc>
        <w:tc>
          <w:tcPr>
            <w:tcW w:w="6408" w:type="dxa"/>
          </w:tcPr>
          <w:p w:rsidR="00596FD2" w:rsidRPr="003906B7" w:rsidRDefault="00596FD2" w:rsidP="00616C9A">
            <w:pPr>
              <w:pStyle w:val="ExhibitTextSmall"/>
            </w:pPr>
            <w:r w:rsidRPr="003906B7">
              <w:t xml:space="preserve">Two districts </w:t>
            </w:r>
            <w:r>
              <w:t>(or schools if professional development decisions are made at the school level)</w:t>
            </w:r>
          </w:p>
        </w:tc>
      </w:tr>
      <w:tr w:rsidR="00596FD2" w:rsidRPr="003906B7" w:rsidTr="00616C9A">
        <w:tc>
          <w:tcPr>
            <w:tcW w:w="3168" w:type="dxa"/>
          </w:tcPr>
          <w:p w:rsidR="00596FD2" w:rsidRPr="003906B7" w:rsidRDefault="00596FD2" w:rsidP="00616C9A">
            <w:pPr>
              <w:pStyle w:val="ExhibitTextSmall"/>
            </w:pPr>
            <w:r>
              <w:t xml:space="preserve">3). </w:t>
            </w:r>
            <w:r w:rsidRPr="003906B7">
              <w:t>Instructional Coaching</w:t>
            </w:r>
          </w:p>
        </w:tc>
        <w:tc>
          <w:tcPr>
            <w:tcW w:w="6408" w:type="dxa"/>
          </w:tcPr>
          <w:p w:rsidR="00596FD2" w:rsidRPr="003906B7" w:rsidRDefault="00596FD2" w:rsidP="00616C9A">
            <w:pPr>
              <w:pStyle w:val="ExhibitTextSmall"/>
            </w:pPr>
            <w:r w:rsidRPr="003906B7">
              <w:t>Two districts and two schools nested in those districts</w:t>
            </w:r>
          </w:p>
        </w:tc>
      </w:tr>
      <w:tr w:rsidR="00596FD2" w:rsidRPr="003906B7" w:rsidTr="00616C9A">
        <w:tc>
          <w:tcPr>
            <w:tcW w:w="3168" w:type="dxa"/>
          </w:tcPr>
          <w:p w:rsidR="00596FD2" w:rsidRPr="003906B7" w:rsidRDefault="00596FD2" w:rsidP="00616C9A">
            <w:pPr>
              <w:pStyle w:val="ExhibitTextSmall"/>
            </w:pPr>
            <w:r>
              <w:t xml:space="preserve">4). </w:t>
            </w:r>
            <w:r w:rsidRPr="003906B7">
              <w:t>Curricular Alignment</w:t>
            </w:r>
          </w:p>
        </w:tc>
        <w:tc>
          <w:tcPr>
            <w:tcW w:w="6408" w:type="dxa"/>
          </w:tcPr>
          <w:p w:rsidR="00596FD2" w:rsidRPr="003906B7" w:rsidRDefault="00596FD2" w:rsidP="00616C9A">
            <w:pPr>
              <w:pStyle w:val="ExhibitTextSmall"/>
            </w:pPr>
            <w:r w:rsidRPr="003906B7">
              <w:t>Two districts</w:t>
            </w:r>
          </w:p>
        </w:tc>
      </w:tr>
      <w:tr w:rsidR="00596FD2" w:rsidRPr="003906B7" w:rsidTr="00616C9A">
        <w:tc>
          <w:tcPr>
            <w:tcW w:w="3168" w:type="dxa"/>
          </w:tcPr>
          <w:p w:rsidR="00596FD2" w:rsidRPr="003906B7" w:rsidRDefault="00596FD2" w:rsidP="00FF7D7B">
            <w:pPr>
              <w:pStyle w:val="ExhibitTextSmall"/>
            </w:pPr>
            <w:r>
              <w:t xml:space="preserve">5). </w:t>
            </w:r>
            <w:r w:rsidR="00FF7D7B">
              <w:t>Supplementary</w:t>
            </w:r>
            <w:r w:rsidRPr="003906B7">
              <w:t xml:space="preserve"> Algebra</w:t>
            </w:r>
          </w:p>
        </w:tc>
        <w:tc>
          <w:tcPr>
            <w:tcW w:w="6408" w:type="dxa"/>
          </w:tcPr>
          <w:p w:rsidR="00596FD2" w:rsidRPr="003906B7" w:rsidRDefault="00792845" w:rsidP="00792845">
            <w:pPr>
              <w:pStyle w:val="ExhibitTextSmall"/>
            </w:pPr>
            <w:r>
              <w:t xml:space="preserve">Two schools in two </w:t>
            </w:r>
            <w:r w:rsidR="00596FD2" w:rsidRPr="003906B7">
              <w:t>districts</w:t>
            </w:r>
          </w:p>
        </w:tc>
      </w:tr>
    </w:tbl>
    <w:p w:rsidR="00596FD2" w:rsidRDefault="00596FD2" w:rsidP="00596FD2">
      <w:pPr>
        <w:spacing w:after="0" w:line="240" w:lineRule="auto"/>
      </w:pPr>
    </w:p>
    <w:p w:rsidR="00596FD2" w:rsidRDefault="00596FD2" w:rsidP="00596FD2">
      <w:pPr>
        <w:spacing w:after="0" w:line="240" w:lineRule="auto"/>
        <w:rPr>
          <w:rFonts w:cstheme="minorHAnsi"/>
        </w:rPr>
      </w:pPr>
      <w:r>
        <w:rPr>
          <w:rFonts w:cstheme="minorHAnsi"/>
        </w:rPr>
        <w:t>Particular data collection activities will vary by topic area but generally include:</w:t>
      </w:r>
    </w:p>
    <w:p w:rsidR="006B00F9" w:rsidRDefault="006B00F9" w:rsidP="00596FD2">
      <w:pPr>
        <w:spacing w:after="0" w:line="240" w:lineRule="auto"/>
        <w:rPr>
          <w:rFonts w:cstheme="minorHAnsi"/>
        </w:rPr>
      </w:pPr>
    </w:p>
    <w:p w:rsidR="00596FD2" w:rsidRDefault="00596FD2" w:rsidP="00596FD2">
      <w:pPr>
        <w:pStyle w:val="NoSpacing"/>
        <w:numPr>
          <w:ilvl w:val="0"/>
          <w:numId w:val="3"/>
        </w:numPr>
      </w:pPr>
      <w:r>
        <w:t>S</w:t>
      </w:r>
      <w:r w:rsidRPr="003906B7">
        <w:t>ite vi</w:t>
      </w:r>
      <w:r>
        <w:t>sit interviews and focus groups</w:t>
      </w:r>
    </w:p>
    <w:p w:rsidR="00596FD2" w:rsidRDefault="00596FD2" w:rsidP="00596FD2">
      <w:pPr>
        <w:pStyle w:val="NoSpacing"/>
        <w:numPr>
          <w:ilvl w:val="0"/>
          <w:numId w:val="3"/>
        </w:numPr>
      </w:pPr>
      <w:r>
        <w:t>T</w:t>
      </w:r>
      <w:r w:rsidRPr="003906B7">
        <w:t>elephone intervie</w:t>
      </w:r>
      <w:r>
        <w:t>ws</w:t>
      </w:r>
    </w:p>
    <w:p w:rsidR="00596FD2" w:rsidRDefault="00596FD2" w:rsidP="00596FD2">
      <w:pPr>
        <w:pStyle w:val="NoSpacing"/>
        <w:numPr>
          <w:ilvl w:val="0"/>
          <w:numId w:val="3"/>
        </w:numPr>
      </w:pPr>
      <w:r>
        <w:t>O</w:t>
      </w:r>
      <w:r w:rsidRPr="003906B7">
        <w:t>bservations of classrooms and teacher p</w:t>
      </w:r>
      <w:r>
        <w:t>rofessional learning activities</w:t>
      </w:r>
    </w:p>
    <w:p w:rsidR="00596FD2" w:rsidRDefault="00596FD2" w:rsidP="00596FD2">
      <w:pPr>
        <w:pStyle w:val="NoSpacing"/>
        <w:numPr>
          <w:ilvl w:val="0"/>
          <w:numId w:val="3"/>
        </w:numPr>
      </w:pPr>
      <w:r>
        <w:t>Document data collection</w:t>
      </w:r>
    </w:p>
    <w:p w:rsidR="006B00F9" w:rsidRDefault="006B00F9" w:rsidP="00596FD2">
      <w:pPr>
        <w:spacing w:after="0" w:line="240" w:lineRule="auto"/>
        <w:rPr>
          <w:rFonts w:cstheme="minorHAnsi"/>
        </w:rPr>
      </w:pPr>
    </w:p>
    <w:p w:rsidR="00464424" w:rsidRPr="00464424" w:rsidRDefault="00464424" w:rsidP="00464424">
      <w:pPr>
        <w:spacing w:after="220" w:line="240" w:lineRule="auto"/>
        <w:rPr>
          <w:rFonts w:cstheme="minorHAnsi"/>
        </w:rPr>
      </w:pPr>
      <w:r w:rsidRPr="00464424">
        <w:rPr>
          <w:rFonts w:cstheme="minorHAnsi"/>
        </w:rPr>
        <w:t>Responses to this data collection will be used to summarize findings in an aggregate manner (within a school or district), or will be used to provide examples of implementation in a manner that does not associate responses with a specific site or individual. In the publications, pseudonyms will be used for each site.  The project team</w:t>
      </w:r>
      <w:bookmarkStart w:id="0" w:name="_GoBack"/>
      <w:bookmarkEnd w:id="0"/>
      <w:r w:rsidRPr="00464424">
        <w:rPr>
          <w:rFonts w:cstheme="minorHAnsi"/>
        </w:rPr>
        <w:t xml:space="preserve"> may refer to the generic title of an individual (e.g., "project director," or "eighth grade teacher") but neither the site name nor the individual name will be used.  All efforts will be made to keep the description of the site general enough so that a reader would never be able to determine the true name or identity of the site or individuals at the site.  The contractor will not provide information that associates responses or findings with a subject or district to anyone outside the study team, except as required by law.</w:t>
      </w:r>
    </w:p>
    <w:p w:rsidR="00596FD2" w:rsidRDefault="00596FD2" w:rsidP="00596FD2">
      <w:r>
        <w:t xml:space="preserve">To be considered for this opportunity, and to receive more detailed topic-specific selection criteria, please contact Project Director Kirk Walters at </w:t>
      </w:r>
      <w:hyperlink r:id="rId7" w:history="1">
        <w:r w:rsidRPr="00EB386E">
          <w:rPr>
            <w:rStyle w:val="Hyperlink"/>
          </w:rPr>
          <w:t>kwalters@air.org</w:t>
        </w:r>
      </w:hyperlink>
      <w:r>
        <w:t xml:space="preserve"> or 202.403.5838.</w:t>
      </w:r>
    </w:p>
    <w:sectPr w:rsidR="00596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00FD2"/>
    <w:multiLevelType w:val="hybridMultilevel"/>
    <w:tmpl w:val="BDEC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72663B"/>
    <w:multiLevelType w:val="hybridMultilevel"/>
    <w:tmpl w:val="89E0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442107"/>
    <w:multiLevelType w:val="hybridMultilevel"/>
    <w:tmpl w:val="7D84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5C2"/>
    <w:rsid w:val="00016708"/>
    <w:rsid w:val="00464424"/>
    <w:rsid w:val="00596FD2"/>
    <w:rsid w:val="006165C2"/>
    <w:rsid w:val="00665613"/>
    <w:rsid w:val="006B00F9"/>
    <w:rsid w:val="00792845"/>
    <w:rsid w:val="009415BB"/>
    <w:rsid w:val="0096762F"/>
    <w:rsid w:val="009B2940"/>
    <w:rsid w:val="00BD382B"/>
    <w:rsid w:val="00BE775F"/>
    <w:rsid w:val="00EF3500"/>
    <w:rsid w:val="00FF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4424"/>
    <w:pPr>
      <w:spacing w:after="0" w:line="240" w:lineRule="auto"/>
      <w:outlineLvl w:val="0"/>
    </w:pPr>
    <w:rPr>
      <w:rFonts w:ascii="Times New Roman" w:eastAsia="Calibr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5C2"/>
    <w:rPr>
      <w:color w:val="0000FF" w:themeColor="hyperlink"/>
      <w:u w:val="single"/>
    </w:rPr>
  </w:style>
  <w:style w:type="paragraph" w:styleId="ListParagraph">
    <w:name w:val="List Paragraph"/>
    <w:basedOn w:val="Normal"/>
    <w:uiPriority w:val="34"/>
    <w:qFormat/>
    <w:rsid w:val="00596FD2"/>
    <w:pPr>
      <w:ind w:left="720"/>
      <w:contextualSpacing/>
    </w:pPr>
  </w:style>
  <w:style w:type="paragraph" w:styleId="NoSpacing">
    <w:name w:val="No Spacing"/>
    <w:uiPriority w:val="1"/>
    <w:qFormat/>
    <w:rsid w:val="00596FD2"/>
    <w:pPr>
      <w:spacing w:after="0" w:line="240" w:lineRule="auto"/>
    </w:pPr>
    <w:rPr>
      <w:rFonts w:ascii="Calibri" w:eastAsia="Calibri" w:hAnsi="Calibri" w:cs="Times New Roman"/>
    </w:rPr>
  </w:style>
  <w:style w:type="paragraph" w:customStyle="1" w:styleId="ExhibitHeading">
    <w:name w:val="Exhibit Heading"/>
    <w:basedOn w:val="Normal"/>
    <w:next w:val="BodyText"/>
    <w:rsid w:val="00596FD2"/>
    <w:pPr>
      <w:spacing w:after="0" w:line="240" w:lineRule="auto"/>
    </w:pPr>
    <w:rPr>
      <w:rFonts w:ascii="Franklin Gothic Book" w:eastAsia="Calibri" w:hAnsi="Franklin Gothic Book" w:cs="Times New Roman"/>
      <w:b/>
      <w:sz w:val="20"/>
      <w:szCs w:val="20"/>
    </w:rPr>
  </w:style>
  <w:style w:type="paragraph" w:customStyle="1" w:styleId="ExhibitTextSmall">
    <w:name w:val="Exhibit Text Small"/>
    <w:basedOn w:val="Normal"/>
    <w:link w:val="ExhibitTextSmallChar"/>
    <w:qFormat/>
    <w:rsid w:val="00596FD2"/>
    <w:pPr>
      <w:spacing w:after="0" w:line="240" w:lineRule="auto"/>
    </w:pPr>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596FD2"/>
    <w:rPr>
      <w:rFonts w:ascii="Calibri" w:eastAsia="Calibri" w:hAnsi="Calibri" w:cs="Times New Roman"/>
      <w:sz w:val="20"/>
      <w:szCs w:val="20"/>
    </w:rPr>
  </w:style>
  <w:style w:type="paragraph" w:styleId="BodyText">
    <w:name w:val="Body Text"/>
    <w:basedOn w:val="Normal"/>
    <w:link w:val="BodyTextChar"/>
    <w:uiPriority w:val="99"/>
    <w:semiHidden/>
    <w:unhideWhenUsed/>
    <w:rsid w:val="00596FD2"/>
    <w:pPr>
      <w:spacing w:after="120"/>
    </w:pPr>
  </w:style>
  <w:style w:type="character" w:customStyle="1" w:styleId="BodyTextChar">
    <w:name w:val="Body Text Char"/>
    <w:basedOn w:val="DefaultParagraphFont"/>
    <w:link w:val="BodyText"/>
    <w:uiPriority w:val="99"/>
    <w:semiHidden/>
    <w:rsid w:val="00596FD2"/>
  </w:style>
  <w:style w:type="character" w:customStyle="1" w:styleId="Heading1Char">
    <w:name w:val="Heading 1 Char"/>
    <w:basedOn w:val="DefaultParagraphFont"/>
    <w:link w:val="Heading1"/>
    <w:uiPriority w:val="9"/>
    <w:rsid w:val="00464424"/>
    <w:rPr>
      <w:rFonts w:ascii="Times New Roman" w:eastAsia="Calibri" w:hAnsi="Times New Roman" w:cs="Times New Roman"/>
      <w:b/>
      <w:sz w:val="24"/>
      <w:szCs w:val="24"/>
    </w:rPr>
  </w:style>
  <w:style w:type="paragraph" w:customStyle="1" w:styleId="Style2">
    <w:name w:val="Style2"/>
    <w:basedOn w:val="Normal"/>
    <w:rsid w:val="00464424"/>
    <w:pPr>
      <w:widowControl w:val="0"/>
      <w:spacing w:after="0" w:line="240" w:lineRule="auto"/>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4424"/>
    <w:pPr>
      <w:spacing w:after="0" w:line="240" w:lineRule="auto"/>
      <w:outlineLvl w:val="0"/>
    </w:pPr>
    <w:rPr>
      <w:rFonts w:ascii="Times New Roman" w:eastAsia="Calibr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5C2"/>
    <w:rPr>
      <w:color w:val="0000FF" w:themeColor="hyperlink"/>
      <w:u w:val="single"/>
    </w:rPr>
  </w:style>
  <w:style w:type="paragraph" w:styleId="ListParagraph">
    <w:name w:val="List Paragraph"/>
    <w:basedOn w:val="Normal"/>
    <w:uiPriority w:val="34"/>
    <w:qFormat/>
    <w:rsid w:val="00596FD2"/>
    <w:pPr>
      <w:ind w:left="720"/>
      <w:contextualSpacing/>
    </w:pPr>
  </w:style>
  <w:style w:type="paragraph" w:styleId="NoSpacing">
    <w:name w:val="No Spacing"/>
    <w:uiPriority w:val="1"/>
    <w:qFormat/>
    <w:rsid w:val="00596FD2"/>
    <w:pPr>
      <w:spacing w:after="0" w:line="240" w:lineRule="auto"/>
    </w:pPr>
    <w:rPr>
      <w:rFonts w:ascii="Calibri" w:eastAsia="Calibri" w:hAnsi="Calibri" w:cs="Times New Roman"/>
    </w:rPr>
  </w:style>
  <w:style w:type="paragraph" w:customStyle="1" w:styleId="ExhibitHeading">
    <w:name w:val="Exhibit Heading"/>
    <w:basedOn w:val="Normal"/>
    <w:next w:val="BodyText"/>
    <w:rsid w:val="00596FD2"/>
    <w:pPr>
      <w:spacing w:after="0" w:line="240" w:lineRule="auto"/>
    </w:pPr>
    <w:rPr>
      <w:rFonts w:ascii="Franklin Gothic Book" w:eastAsia="Calibri" w:hAnsi="Franklin Gothic Book" w:cs="Times New Roman"/>
      <w:b/>
      <w:sz w:val="20"/>
      <w:szCs w:val="20"/>
    </w:rPr>
  </w:style>
  <w:style w:type="paragraph" w:customStyle="1" w:styleId="ExhibitTextSmall">
    <w:name w:val="Exhibit Text Small"/>
    <w:basedOn w:val="Normal"/>
    <w:link w:val="ExhibitTextSmallChar"/>
    <w:qFormat/>
    <w:rsid w:val="00596FD2"/>
    <w:pPr>
      <w:spacing w:after="0" w:line="240" w:lineRule="auto"/>
    </w:pPr>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596FD2"/>
    <w:rPr>
      <w:rFonts w:ascii="Calibri" w:eastAsia="Calibri" w:hAnsi="Calibri" w:cs="Times New Roman"/>
      <w:sz w:val="20"/>
      <w:szCs w:val="20"/>
    </w:rPr>
  </w:style>
  <w:style w:type="paragraph" w:styleId="BodyText">
    <w:name w:val="Body Text"/>
    <w:basedOn w:val="Normal"/>
    <w:link w:val="BodyTextChar"/>
    <w:uiPriority w:val="99"/>
    <w:semiHidden/>
    <w:unhideWhenUsed/>
    <w:rsid w:val="00596FD2"/>
    <w:pPr>
      <w:spacing w:after="120"/>
    </w:pPr>
  </w:style>
  <w:style w:type="character" w:customStyle="1" w:styleId="BodyTextChar">
    <w:name w:val="Body Text Char"/>
    <w:basedOn w:val="DefaultParagraphFont"/>
    <w:link w:val="BodyText"/>
    <w:uiPriority w:val="99"/>
    <w:semiHidden/>
    <w:rsid w:val="00596FD2"/>
  </w:style>
  <w:style w:type="character" w:customStyle="1" w:styleId="Heading1Char">
    <w:name w:val="Heading 1 Char"/>
    <w:basedOn w:val="DefaultParagraphFont"/>
    <w:link w:val="Heading1"/>
    <w:uiPriority w:val="9"/>
    <w:rsid w:val="00464424"/>
    <w:rPr>
      <w:rFonts w:ascii="Times New Roman" w:eastAsia="Calibri" w:hAnsi="Times New Roman" w:cs="Times New Roman"/>
      <w:b/>
      <w:sz w:val="24"/>
      <w:szCs w:val="24"/>
    </w:rPr>
  </w:style>
  <w:style w:type="paragraph" w:customStyle="1" w:styleId="Style2">
    <w:name w:val="Style2"/>
    <w:basedOn w:val="Normal"/>
    <w:rsid w:val="00464424"/>
    <w:pPr>
      <w:widowControl w:val="0"/>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9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walters@a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5365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klefloch</dc:creator>
  <cp:lastModifiedBy>Tomakie Washington</cp:lastModifiedBy>
  <cp:revision>2</cp:revision>
  <dcterms:created xsi:type="dcterms:W3CDTF">2014-03-25T19:59:00Z</dcterms:created>
  <dcterms:modified xsi:type="dcterms:W3CDTF">2014-03-25T19:59:00Z</dcterms:modified>
</cp:coreProperties>
</file>