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E23" w:rsidRDefault="00BA3E23" w:rsidP="00B452F7">
      <w:pPr>
        <w:pStyle w:val="Heading1"/>
        <w:spacing w:before="240" w:after="240"/>
        <w:rPr>
          <w:rFonts w:ascii="Lucida Sans" w:hAnsi="Lucida Sans"/>
          <w:caps w:val="0"/>
        </w:rPr>
      </w:pPr>
    </w:p>
    <w:p w:rsidR="00BA3E23" w:rsidRDefault="00BA3E23" w:rsidP="00B452F7">
      <w:pPr>
        <w:pStyle w:val="Heading1"/>
        <w:spacing w:before="240" w:after="240"/>
        <w:rPr>
          <w:rFonts w:ascii="Lucida Sans" w:hAnsi="Lucida Sans"/>
          <w:caps w:val="0"/>
        </w:rPr>
      </w:pPr>
    </w:p>
    <w:p w:rsidR="00BA3E23" w:rsidRDefault="00BA3E23" w:rsidP="00B452F7">
      <w:pPr>
        <w:pStyle w:val="Heading1"/>
        <w:spacing w:before="240" w:after="240"/>
        <w:rPr>
          <w:rFonts w:ascii="Lucida Sans" w:hAnsi="Lucida Sans"/>
          <w:caps w:val="0"/>
        </w:rPr>
      </w:pPr>
    </w:p>
    <w:p w:rsidR="00BA3E23" w:rsidRDefault="00BA3E23" w:rsidP="00B452F7">
      <w:pPr>
        <w:pStyle w:val="Heading1"/>
        <w:spacing w:before="240" w:after="240"/>
        <w:rPr>
          <w:rFonts w:ascii="Lucida Sans" w:hAnsi="Lucida Sans"/>
          <w:caps w:val="0"/>
        </w:rPr>
      </w:pPr>
    </w:p>
    <w:p w:rsidR="00BA3E23" w:rsidRDefault="00BA3E23" w:rsidP="00B452F7">
      <w:pPr>
        <w:pStyle w:val="Heading1"/>
        <w:spacing w:before="240" w:after="240"/>
        <w:rPr>
          <w:rFonts w:ascii="Lucida Sans" w:hAnsi="Lucida Sans"/>
          <w:caps w:val="0"/>
        </w:rPr>
      </w:pPr>
      <w:r>
        <w:rPr>
          <w:rFonts w:ascii="Lucida Sans" w:hAnsi="Lucida Sans"/>
          <w:caps w:val="0"/>
        </w:rPr>
        <w:t xml:space="preserve">Supporting Justification </w:t>
      </w:r>
      <w:proofErr w:type="gramStart"/>
      <w:r>
        <w:rPr>
          <w:rFonts w:ascii="Lucida Sans" w:hAnsi="Lucida Sans"/>
          <w:caps w:val="0"/>
        </w:rPr>
        <w:t>For</w:t>
      </w:r>
      <w:proofErr w:type="gramEnd"/>
      <w:r>
        <w:rPr>
          <w:rFonts w:ascii="Lucida Sans" w:hAnsi="Lucida Sans"/>
          <w:caps w:val="0"/>
        </w:rPr>
        <w:t xml:space="preserve"> OMB Clearance of the Cost Study of Evidence-Based Teen Pregnancy Prevention Programs</w:t>
      </w:r>
    </w:p>
    <w:p w:rsidR="00BA3E23" w:rsidRDefault="00BA3E23" w:rsidP="00BA3E23"/>
    <w:p w:rsidR="00BA3E23" w:rsidRDefault="00BA3E23" w:rsidP="00BA3E23">
      <w:pPr>
        <w:pStyle w:val="Heading1"/>
        <w:spacing w:before="240" w:after="240"/>
        <w:rPr>
          <w:rFonts w:ascii="Lucida Sans" w:hAnsi="Lucida Sans"/>
          <w:caps w:val="0"/>
        </w:rPr>
      </w:pPr>
      <w:r>
        <w:rPr>
          <w:rFonts w:ascii="Lucida Sans" w:hAnsi="Lucida Sans"/>
          <w:caps w:val="0"/>
        </w:rPr>
        <w:t>Part A: Justification for the Collection of the Data</w:t>
      </w:r>
    </w:p>
    <w:p w:rsidR="00480DF6" w:rsidRDefault="00480DF6" w:rsidP="00480DF6">
      <w:bookmarkStart w:id="0" w:name="_GoBack"/>
      <w:bookmarkEnd w:id="0"/>
    </w:p>
    <w:p w:rsidR="00480DF6" w:rsidRPr="00480DF6" w:rsidRDefault="00446CBE" w:rsidP="00480DF6">
      <w:pPr>
        <w:jc w:val="center"/>
      </w:pPr>
      <w:r>
        <w:t>June</w:t>
      </w:r>
      <w:r w:rsidR="000E4766">
        <w:t xml:space="preserve"> </w:t>
      </w:r>
      <w:r w:rsidR="00480DF6">
        <w:t>2014</w:t>
      </w:r>
    </w:p>
    <w:p w:rsidR="00BA3E23" w:rsidRDefault="00BA3E23" w:rsidP="00BA3E23"/>
    <w:p w:rsidR="00BA3E23" w:rsidRDefault="00BA3E23" w:rsidP="00BA3E23"/>
    <w:p w:rsidR="00BA3E23" w:rsidRDefault="00BA3E23" w:rsidP="00BA3E23">
      <w:pPr>
        <w:spacing w:line="240" w:lineRule="auto"/>
        <w:jc w:val="center"/>
      </w:pPr>
      <w:r>
        <w:t>Submitted by:</w:t>
      </w:r>
    </w:p>
    <w:p w:rsidR="00BA3E23" w:rsidRDefault="00BA3E23" w:rsidP="00BA3E23">
      <w:pPr>
        <w:spacing w:line="240" w:lineRule="auto"/>
        <w:jc w:val="center"/>
      </w:pPr>
      <w:r>
        <w:t>Office of Adolescent Health</w:t>
      </w:r>
    </w:p>
    <w:p w:rsidR="00BA3E23" w:rsidRDefault="00BA3E23" w:rsidP="00BA3E23">
      <w:pPr>
        <w:spacing w:line="240" w:lineRule="auto"/>
        <w:jc w:val="center"/>
      </w:pPr>
      <w:r>
        <w:t>U.S. Department of Health and Human Services</w:t>
      </w:r>
    </w:p>
    <w:p w:rsidR="00BA3E23" w:rsidRDefault="000E4766" w:rsidP="00BA3E23">
      <w:pPr>
        <w:spacing w:line="240" w:lineRule="auto"/>
        <w:jc w:val="center"/>
      </w:pPr>
      <w:r>
        <w:t xml:space="preserve">1101 </w:t>
      </w:r>
      <w:proofErr w:type="spellStart"/>
      <w:r>
        <w:t>Wootton</w:t>
      </w:r>
      <w:proofErr w:type="spellEnd"/>
      <w:r>
        <w:t xml:space="preserve"> Parkway</w:t>
      </w:r>
      <w:r w:rsidR="00BA3E23">
        <w:t xml:space="preserve">, Suite </w:t>
      </w:r>
      <w:r>
        <w:t>7</w:t>
      </w:r>
      <w:r w:rsidR="00BA3E23">
        <w:t>00</w:t>
      </w:r>
    </w:p>
    <w:p w:rsidR="00BA3E23" w:rsidRDefault="00BA3E23" w:rsidP="00BA3E23">
      <w:pPr>
        <w:spacing w:line="240" w:lineRule="auto"/>
        <w:jc w:val="center"/>
      </w:pPr>
      <w:r>
        <w:t>Rockville, MD 2085</w:t>
      </w:r>
      <w:r w:rsidR="000E4766">
        <w:t>2</w:t>
      </w:r>
    </w:p>
    <w:p w:rsidR="00BA3E23" w:rsidRDefault="00BA3E23" w:rsidP="00BA3E23">
      <w:pPr>
        <w:jc w:val="center"/>
      </w:pPr>
    </w:p>
    <w:p w:rsidR="00BA3E23" w:rsidRPr="00BA3E23" w:rsidRDefault="00BA3E23" w:rsidP="00BA3E23">
      <w:pPr>
        <w:jc w:val="center"/>
      </w:pPr>
      <w:r>
        <w:t>Project Officer: Amy Farb</w:t>
      </w:r>
    </w:p>
    <w:p w:rsidR="00BA3E23" w:rsidRPr="00BA3E23" w:rsidRDefault="00BA3E23" w:rsidP="00BA3E23"/>
    <w:p w:rsidR="00BA3E23" w:rsidRDefault="00BA3E23" w:rsidP="00BA3E23"/>
    <w:p w:rsidR="00BA3E23" w:rsidRPr="00BA3E23" w:rsidRDefault="00BA3E23" w:rsidP="00BA3E23">
      <w:pPr>
        <w:sectPr w:rsidR="00BA3E23" w:rsidRPr="00BA3E23" w:rsidSect="007C0CD8">
          <w:footerReference w:type="default" r:id="rId12"/>
          <w:endnotePr>
            <w:numFmt w:val="decimal"/>
          </w:endnotePr>
          <w:pgSz w:w="12240" w:h="15840" w:code="1"/>
          <w:pgMar w:top="1440" w:right="1440" w:bottom="576" w:left="1440" w:header="720" w:footer="576" w:gutter="0"/>
          <w:cols w:space="720"/>
          <w:docGrid w:linePitch="326"/>
        </w:sectPr>
      </w:pPr>
    </w:p>
    <w:p w:rsidR="00B452F7" w:rsidRPr="00CF1EE8" w:rsidRDefault="00102072" w:rsidP="00B452F7">
      <w:pPr>
        <w:pStyle w:val="Heading1"/>
        <w:spacing w:before="240" w:after="240"/>
        <w:rPr>
          <w:rFonts w:ascii="Lucida Sans" w:hAnsi="Lucida Sans"/>
          <w:caps w:val="0"/>
        </w:rPr>
      </w:pPr>
      <w:r w:rsidRPr="00663262">
        <w:rPr>
          <w:rFonts w:ascii="Lucida Sans" w:hAnsi="Lucida Sans"/>
        </w:rPr>
        <w:lastRenderedPageBreak/>
        <w:t>introduction</w:t>
      </w:r>
    </w:p>
    <w:p w:rsidR="00E574A9" w:rsidRDefault="00E574A9" w:rsidP="001B2EA6">
      <w:pPr>
        <w:pStyle w:val="NormalSS"/>
      </w:pPr>
      <w:r>
        <w:t>The Office of Adolescent Health (OAH) Teen Pregnancy Prevention (TPP) grant program was launched in spring 2010 as a key early piece of the federal government’s ongoing “evidence and innovation” agenda. The program provides approximately $100 million in annual competitive contracts and grants to public and private entities to fund medically accurate a</w:t>
      </w:r>
      <w:r w:rsidR="00694602">
        <w:t>nd age appropriate programs to</w:t>
      </w:r>
      <w:r>
        <w:t xml:space="preserve"> reduce teen pregnancy. The program features a “tiered-evidence” grant design that reserves most of the funding for grants to replicate programs with existing e</w:t>
      </w:r>
      <w:r w:rsidR="00F34784">
        <w:t>vidence</w:t>
      </w:r>
      <w:r>
        <w:t xml:space="preserve"> of effectiveness (Tier 1). A smaller proportion of funding is reserved to encourage innovation in the field by implementing and rigorously testing promising new programmatic approaches (Tier 2). The first Tier 1 Replication grants were awarded in fall 2010 to 75 state or local organizations, for programming to start in fall 2011.</w:t>
      </w:r>
    </w:p>
    <w:p w:rsidR="00E574A9" w:rsidRDefault="00E574A9" w:rsidP="001B2EA6">
      <w:pPr>
        <w:pStyle w:val="NormalSS"/>
      </w:pPr>
      <w:r>
        <w:t xml:space="preserve">Consistent with the program’s focus on evidence, OAH has undertaken a range of evaluation activities </w:t>
      </w:r>
      <w:r w:rsidR="00D52207">
        <w:t xml:space="preserve">associated with </w:t>
      </w:r>
      <w:r w:rsidR="000E4766">
        <w:t xml:space="preserve">Tier 1 of </w:t>
      </w:r>
      <w:r w:rsidR="00D52207">
        <w:t>the TPP pr</w:t>
      </w:r>
      <w:r w:rsidR="005934EB">
        <w:t>ogram. Nine grantees are</w:t>
      </w:r>
      <w:r w:rsidR="00D52207">
        <w:t xml:space="preserve"> participating in the </w:t>
      </w:r>
      <w:r w:rsidR="005934EB">
        <w:t xml:space="preserve">ongoing </w:t>
      </w:r>
      <w:r w:rsidR="00D52207">
        <w:t>federal TPP Replication Study</w:t>
      </w:r>
      <w:r w:rsidR="002C408B">
        <w:rPr>
          <w:rStyle w:val="FootnoteReference"/>
        </w:rPr>
        <w:footnoteReference w:id="2"/>
      </w:r>
      <w:r w:rsidR="00D52207">
        <w:t>, a large-scale, multi-site random assignment evaluation of three different evidence-based teen pregnancy prevention programs. Other grantees are using a portion of their funding to conduct their own “local” program impact and implementation evaluations. All grantees collect data on a uniform set of performance measures</w:t>
      </w:r>
      <w:r w:rsidR="00CA6C9B">
        <w:rPr>
          <w:rStyle w:val="FootnoteReference"/>
        </w:rPr>
        <w:footnoteReference w:id="3"/>
      </w:r>
      <w:r w:rsidR="00D52207">
        <w:t xml:space="preserve"> and report them to OAH on a semi-annual basis through an o</w:t>
      </w:r>
      <w:r w:rsidR="00D07413">
        <w:t xml:space="preserve">nline system. The </w:t>
      </w:r>
      <w:r w:rsidR="00B35FA5">
        <w:t>burden associated with these ongoing data collection activities has been</w:t>
      </w:r>
      <w:r w:rsidR="00104511">
        <w:t xml:space="preserve"> previously reviewed and approved by OMB.</w:t>
      </w:r>
    </w:p>
    <w:p w:rsidR="00104511" w:rsidRDefault="00B35FA5" w:rsidP="00B35FA5">
      <w:pPr>
        <w:pStyle w:val="NormalSS"/>
      </w:pPr>
      <w:r>
        <w:t xml:space="preserve">With this information collection request, OAH seeks approval for </w:t>
      </w:r>
      <w:r w:rsidR="00D07413">
        <w:t xml:space="preserve">additional </w:t>
      </w:r>
      <w:r>
        <w:t>data collection instruments</w:t>
      </w:r>
      <w:r w:rsidR="00D07413">
        <w:t>,</w:t>
      </w:r>
      <w:r>
        <w:t xml:space="preserve"> to conduct a complimentary cost study of selected TPP grantees. The proposed cost study adds a new and unique contribution to OAH’s portfolio of evaluation activities. The study has three main components: </w:t>
      </w:r>
      <w:r w:rsidR="00104511">
        <w:t xml:space="preserve">(1) a cost analysis to determine the cost of implementing select evidence-based teen pregnancy prevention programs; (2) an economic evaluation to determine the economic impact of select evidence-based teen pregnancy prevention programs; and (3) the development of guidance and tools for OAH </w:t>
      </w:r>
      <w:r w:rsidR="00D07413">
        <w:t>to use to collect and analyze</w:t>
      </w:r>
      <w:r w:rsidR="00104511">
        <w:t xml:space="preserve"> cost data from potential future grantees in a systematic, standardized way.</w:t>
      </w:r>
      <w:r w:rsidR="005934EB">
        <w:t xml:space="preserve"> OAH has contracted with </w:t>
      </w:r>
      <w:proofErr w:type="spellStart"/>
      <w:r w:rsidR="005934EB">
        <w:t>Mathematic</w:t>
      </w:r>
      <w:r w:rsidR="00D07413">
        <w:t>a</w:t>
      </w:r>
      <w:proofErr w:type="spellEnd"/>
      <w:r w:rsidR="00D07413">
        <w:t xml:space="preserve"> Policy Research to conduct this</w:t>
      </w:r>
      <w:r w:rsidR="005934EB">
        <w:t xml:space="preserve"> three-year (2013-2016) study.</w:t>
      </w:r>
    </w:p>
    <w:p w:rsidR="009C424E" w:rsidRDefault="00B35FA5" w:rsidP="001B2EA6">
      <w:pPr>
        <w:pStyle w:val="NormalSS"/>
      </w:pPr>
      <w:r>
        <w:t xml:space="preserve">This information collection request focuses specifically on data collection instruments for </w:t>
      </w:r>
      <w:r w:rsidR="009C424E">
        <w:t>the first two study components: (1) the cost analysis and (2) the economic evaluation. Any data collection instruments developed in support of the third study component (guidance and tools for u</w:t>
      </w:r>
      <w:r w:rsidR="005934EB">
        <w:t>se with future grantees) will be submitted separately in future years of the study.</w:t>
      </w:r>
    </w:p>
    <w:p w:rsidR="00B452F7" w:rsidRPr="004A1FA8" w:rsidRDefault="00B452F7" w:rsidP="00F87995">
      <w:pPr>
        <w:pStyle w:val="NormalSS"/>
        <w:ind w:firstLine="0"/>
      </w:pPr>
    </w:p>
    <w:p w:rsidR="002A59C9" w:rsidRPr="002A59C9" w:rsidRDefault="00B452F7" w:rsidP="00D161EB">
      <w:pPr>
        <w:pStyle w:val="Heading2Black"/>
        <w:tabs>
          <w:tab w:val="clear" w:pos="432"/>
          <w:tab w:val="left" w:pos="540"/>
        </w:tabs>
        <w:ind w:left="540" w:hanging="540"/>
      </w:pPr>
      <w:bookmarkStart w:id="1" w:name="_Toc248719996"/>
      <w:bookmarkStart w:id="2" w:name="_Toc286757398"/>
      <w:bookmarkStart w:id="3" w:name="_Toc297280138"/>
      <w:bookmarkStart w:id="4" w:name="_Toc297282535"/>
      <w:bookmarkStart w:id="5" w:name="_Toc303683926"/>
      <w:bookmarkStart w:id="6" w:name="_Toc315954435"/>
      <w:bookmarkStart w:id="7" w:name="_Toc315958790"/>
      <w:bookmarkStart w:id="8" w:name="_Toc378184768"/>
      <w:r w:rsidRPr="00EF07DC">
        <w:lastRenderedPageBreak/>
        <w:t>A1.</w:t>
      </w:r>
      <w:r w:rsidRPr="00EF07DC">
        <w:tab/>
        <w:t>Circumstances Making the Collection of Information Necessary</w:t>
      </w:r>
      <w:bookmarkEnd w:id="1"/>
      <w:bookmarkEnd w:id="2"/>
      <w:bookmarkEnd w:id="3"/>
      <w:bookmarkEnd w:id="4"/>
      <w:bookmarkEnd w:id="5"/>
      <w:bookmarkEnd w:id="6"/>
      <w:bookmarkEnd w:id="7"/>
      <w:bookmarkEnd w:id="8"/>
    </w:p>
    <w:p w:rsidR="00987EB9" w:rsidRPr="00987EB9" w:rsidRDefault="009F3805" w:rsidP="00B452F7">
      <w:pPr>
        <w:pStyle w:val="Heading3"/>
      </w:pPr>
      <w:bookmarkStart w:id="9" w:name="_Toc286757399"/>
      <w:bookmarkStart w:id="10" w:name="_Toc297280139"/>
      <w:bookmarkStart w:id="11" w:name="_Toc297282536"/>
      <w:bookmarkStart w:id="12" w:name="_Toc303683927"/>
      <w:bookmarkStart w:id="13" w:name="_Toc315954436"/>
      <w:bookmarkStart w:id="14" w:name="_Toc315958791"/>
      <w:bookmarkStart w:id="15" w:name="_Toc378184769"/>
      <w:r>
        <w:t>a</w:t>
      </w:r>
      <w:r w:rsidR="00B452F7" w:rsidRPr="00987EB9">
        <w:t>.</w:t>
      </w:r>
      <w:r>
        <w:tab/>
      </w:r>
      <w:r w:rsidR="00987EB9" w:rsidRPr="00987EB9">
        <w:t>Back</w:t>
      </w:r>
      <w:r w:rsidR="00225A66">
        <w:t>g</w:t>
      </w:r>
      <w:r w:rsidR="00987EB9" w:rsidRPr="00987EB9">
        <w:t>round</w:t>
      </w:r>
    </w:p>
    <w:p w:rsidR="00EF07DC" w:rsidRDefault="00B452F7" w:rsidP="00D161EB">
      <w:pPr>
        <w:pStyle w:val="NormalSScontinued"/>
      </w:pPr>
      <w:r w:rsidRPr="00987EB9">
        <w:tab/>
      </w:r>
      <w:r w:rsidR="00EF07DC" w:rsidRPr="00341B7B">
        <w:t>High rates of teen pregnancy, sexual</w:t>
      </w:r>
      <w:r w:rsidR="00D161EB">
        <w:t>ly transmitted infections</w:t>
      </w:r>
      <w:r w:rsidR="00EF07DC" w:rsidRPr="00341B7B">
        <w:t xml:space="preserve">, and associated sexual risk behaviors remain a troubling issue in the United States. Nationwide, 24 percent </w:t>
      </w:r>
      <w:r w:rsidR="00EF07DC">
        <w:t xml:space="preserve">of high school students </w:t>
      </w:r>
      <w:r w:rsidR="00EF07DC" w:rsidRPr="00341B7B">
        <w:t>report having had fou</w:t>
      </w:r>
      <w:r w:rsidR="00EF07DC">
        <w:t>r or more partners by graduation, and</w:t>
      </w:r>
      <w:r w:rsidR="00EF07DC" w:rsidRPr="00341B7B">
        <w:t xml:space="preserve"> nearly 40 percent of sexu</w:t>
      </w:r>
      <w:r w:rsidR="00EF07DC">
        <w:t>ally active students</w:t>
      </w:r>
      <w:r w:rsidR="00EF07DC" w:rsidRPr="00341B7B">
        <w:t xml:space="preserve"> had not used a condom during their last sexual intercourse. These behaviors increase the risks of pregnancy and STIs, including HIV. Pr</w:t>
      </w:r>
      <w:r w:rsidR="00EF07DC">
        <w:t>eliminary national data for 2012</w:t>
      </w:r>
      <w:r w:rsidR="00EF07DC" w:rsidRPr="00341B7B">
        <w:t xml:space="preserve"> indica</w:t>
      </w:r>
      <w:r w:rsidR="00EF07DC">
        <w:t>te there were approximately 29.4</w:t>
      </w:r>
      <w:r w:rsidR="00EF07DC" w:rsidRPr="00341B7B">
        <w:t xml:space="preserve"> births per 1,000 females</w:t>
      </w:r>
      <w:r w:rsidR="00D161EB">
        <w:t xml:space="preserve"> 15 to 19 years of age</w:t>
      </w:r>
      <w:r w:rsidR="00EF07DC" w:rsidRPr="00341B7B">
        <w:t>, a rate higher than in most other industrialized</w:t>
      </w:r>
      <w:r w:rsidR="00EF07DC">
        <w:t xml:space="preserve"> count</w:t>
      </w:r>
      <w:r w:rsidR="00D161EB">
        <w:t>ries</w:t>
      </w:r>
      <w:r w:rsidR="00EF07DC" w:rsidRPr="00341B7B">
        <w:t>. In addition, estimates suggest that adolescents and young adults account for half of all new STI cases in the United States ev</w:t>
      </w:r>
      <w:r w:rsidR="00D161EB">
        <w:t>ery year</w:t>
      </w:r>
      <w:r w:rsidR="00EF07DC">
        <w:t>.</w:t>
      </w:r>
    </w:p>
    <w:p w:rsidR="00597593" w:rsidRPr="00987EB9" w:rsidRDefault="00D161EB" w:rsidP="00D161EB">
      <w:pPr>
        <w:pStyle w:val="NormalSS"/>
      </w:pPr>
      <w:r>
        <w:t>Although prior studies have identified a range of programs with evidence of effectiveness in reducing these risks, much less is known about program cost and the return on investment. Researchers and policymakers have long recognized that teen pregnancy can have high social, economic, and personal costs, not only for teen parents, but also for their children, families, and communities. For this reason, programs successful in reducing teen pregnancy are generally considered sound public investments, even if they are relatively expensive. However, teen pregnancy prevention programs can vary substantially in intensity and length, ranging from short, one-time clinic or counseling sessions to multicomponent youth development programs delivered over several</w:t>
      </w:r>
      <w:r w:rsidR="00694602">
        <w:t xml:space="preserve"> years</w:t>
      </w:r>
      <w:r>
        <w:t>. The current research literature says little or nothing about the relative costs of these different programmatic approaches, the main drivers of program costs, or how program costs compare to the effectiveness of the programs.</w:t>
      </w:r>
    </w:p>
    <w:p w:rsidR="00B452F7" w:rsidRDefault="009F3805" w:rsidP="00B452F7">
      <w:pPr>
        <w:pStyle w:val="Heading3"/>
      </w:pPr>
      <w:r>
        <w:t>b</w:t>
      </w:r>
      <w:r w:rsidR="00993FE2">
        <w:t>.</w:t>
      </w:r>
      <w:r>
        <w:tab/>
      </w:r>
      <w:r w:rsidR="00B452F7" w:rsidRPr="006F460A">
        <w:t>Legal or Administrative Requirements that Necessitate the Collection</w:t>
      </w:r>
      <w:bookmarkEnd w:id="9"/>
      <w:bookmarkEnd w:id="10"/>
      <w:bookmarkEnd w:id="11"/>
      <w:bookmarkEnd w:id="12"/>
      <w:bookmarkEnd w:id="13"/>
      <w:bookmarkEnd w:id="14"/>
      <w:bookmarkEnd w:id="15"/>
    </w:p>
    <w:p w:rsidR="00987EB9" w:rsidRPr="00597593" w:rsidRDefault="00A75304" w:rsidP="00987EB9">
      <w:pPr>
        <w:pStyle w:val="NormalSScontinued"/>
      </w:pPr>
      <w:r w:rsidRPr="00F37F1C">
        <w:tab/>
      </w:r>
      <w:r w:rsidR="00D161EB" w:rsidRPr="00F37F1C">
        <w:t>The TPP</w:t>
      </w:r>
      <w:r w:rsidR="00987EB9" w:rsidRPr="00F37F1C">
        <w:t xml:space="preserve"> </w:t>
      </w:r>
      <w:r w:rsidR="00F37F1C" w:rsidRPr="00F37F1C">
        <w:t xml:space="preserve">grant program </w:t>
      </w:r>
      <w:r w:rsidR="00987EB9" w:rsidRPr="00F37F1C">
        <w:t xml:space="preserve">was originally authorized under the Consolidated Appropriations Act, 2010 (P.L. 111-117) and currently operates under authority contained in </w:t>
      </w:r>
      <w:r w:rsidR="002C408B">
        <w:t xml:space="preserve">the </w:t>
      </w:r>
      <w:r w:rsidR="001E1485" w:rsidRPr="001E1485">
        <w:t>Consolidated Appropriations Act, 2014. The Act provided approximately $105,000,000 in FY 201</w:t>
      </w:r>
      <w:r w:rsidR="002C408B">
        <w:t xml:space="preserve">4 </w:t>
      </w:r>
      <w:r w:rsidR="00987EB9" w:rsidRPr="00F37F1C">
        <w:t xml:space="preserve">for making competitive contracts and grants to public and private entities to fund medically accurate and age appropriate programs that reduce teen pregnancy, and for the Federal cost associated with administering and evaluating such grants and contracts. </w:t>
      </w:r>
      <w:r w:rsidR="00F37F1C">
        <w:t>The proposed cost study is a key piece of OAH’s broad and ongoing effort to comprehensively evaluate the TPP program as required by the legislation.</w:t>
      </w:r>
    </w:p>
    <w:p w:rsidR="00B452F7" w:rsidRDefault="009F3805" w:rsidP="00B452F7">
      <w:pPr>
        <w:pStyle w:val="Heading3"/>
      </w:pPr>
      <w:bookmarkStart w:id="16" w:name="_Toc286757400"/>
      <w:bookmarkStart w:id="17" w:name="_Toc297280140"/>
      <w:bookmarkStart w:id="18" w:name="_Toc297282537"/>
      <w:bookmarkStart w:id="19" w:name="_Toc303683928"/>
      <w:bookmarkStart w:id="20" w:name="_Toc315954437"/>
      <w:bookmarkStart w:id="21" w:name="_Toc315958792"/>
      <w:bookmarkStart w:id="22" w:name="_Toc378184770"/>
      <w:r>
        <w:t>c</w:t>
      </w:r>
      <w:r w:rsidR="00B452F7" w:rsidRPr="002307EB">
        <w:t>.</w:t>
      </w:r>
      <w:bookmarkEnd w:id="16"/>
      <w:bookmarkEnd w:id="17"/>
      <w:bookmarkEnd w:id="18"/>
      <w:bookmarkEnd w:id="19"/>
      <w:bookmarkEnd w:id="20"/>
      <w:bookmarkEnd w:id="21"/>
      <w:bookmarkEnd w:id="22"/>
      <w:r>
        <w:tab/>
      </w:r>
      <w:r w:rsidR="00987EB9">
        <w:t>Study Objectives</w:t>
      </w:r>
    </w:p>
    <w:p w:rsidR="00D07413" w:rsidRDefault="006C28C6" w:rsidP="006C28C6">
      <w:pPr>
        <w:pStyle w:val="NormalSScontinued"/>
      </w:pPr>
      <w:r>
        <w:tab/>
      </w:r>
      <w:r w:rsidR="00F37F1C">
        <w:t xml:space="preserve">The proposed </w:t>
      </w:r>
      <w:r>
        <w:t>study has three key objectives</w:t>
      </w:r>
      <w:r w:rsidR="00D07413">
        <w:t xml:space="preserve"> (Table A.1)</w:t>
      </w:r>
      <w:r>
        <w:t>. The first is to</w:t>
      </w:r>
      <w:r w:rsidR="00744663">
        <w:t xml:space="preserve"> determine the cost of implementing select evidence-based tee</w:t>
      </w:r>
      <w:r w:rsidR="00D07413">
        <w:t>n pregnancy prevention programs. To carry out this objectiv</w:t>
      </w:r>
      <w:r w:rsidR="00694602">
        <w:t>e, the study team will collect</w:t>
      </w:r>
      <w:r w:rsidR="00D07413">
        <w:t xml:space="preserve"> detailed cost information from a subset of up to 30 OAH TPP Program grantees. For each grantee, the study team will administer three data collection instruments: (1) a Cost Tool used to collect comprehensive information on the cost of implementing of each select program (</w:t>
      </w:r>
      <w:r w:rsidR="00C42227">
        <w:t>Instrument #1</w:t>
      </w:r>
      <w:r w:rsidR="00D07413">
        <w:t>); (2) an Implementation Tool used to collect basic information on the characteristics of the grantee organization and program implementation (</w:t>
      </w:r>
      <w:r w:rsidR="00C42227">
        <w:t>Instrument #2</w:t>
      </w:r>
      <w:r w:rsidR="00D07413">
        <w:t>); and (3) a Staff Time Use survey used to collect information on how program staff allocate their time across different program activities (</w:t>
      </w:r>
      <w:r w:rsidR="00C42227">
        <w:t>Instrument #3</w:t>
      </w:r>
      <w:r w:rsidR="00D07413">
        <w:t xml:space="preserve">). </w:t>
      </w:r>
      <w:r w:rsidR="00DF0164">
        <w:t xml:space="preserve">Data from these instruments will be used to construct </w:t>
      </w:r>
      <w:r w:rsidR="00DF0164">
        <w:lastRenderedPageBreak/>
        <w:t>estimates of total program costs</w:t>
      </w:r>
      <w:r w:rsidR="003B07DB">
        <w:t xml:space="preserve"> (including the cost of start-up)</w:t>
      </w:r>
      <w:r w:rsidR="00DF0164">
        <w:t>, cost per program participant, and the distribution of program costs across different programs and activities.</w:t>
      </w:r>
    </w:p>
    <w:p w:rsidR="00DF0164" w:rsidRDefault="00DF0164" w:rsidP="00DF0164">
      <w:pPr>
        <w:pStyle w:val="NormalSS"/>
      </w:pPr>
      <w:r>
        <w:t>The second study objective is to determine the economic impact of select evidence-based teen pregnancy prevention programs. Among the up to 30 grantees expected to participate in the first component of the study, about half are in the process of conducting program impact evaluations using either randomized controlled trials or rigorous quasi-experimental designs. By com</w:t>
      </w:r>
      <w:r w:rsidR="00446CBE">
        <w:t>bining data from</w:t>
      </w:r>
      <w:r>
        <w:t xml:space="preserve"> these program impact evaluations </w:t>
      </w:r>
      <w:r w:rsidR="00446CBE">
        <w:t>with</w:t>
      </w:r>
      <w:r>
        <w:t xml:space="preserve"> estimates of program costs, the study team </w:t>
      </w:r>
      <w:r w:rsidR="00446CBE">
        <w:t>will</w:t>
      </w:r>
      <w:r>
        <w:t xml:space="preserve"> calculate estimates of </w:t>
      </w:r>
      <w:r w:rsidR="00446CBE">
        <w:t xml:space="preserve">program </w:t>
      </w:r>
      <w:r>
        <w:t>cost-effectiveness for a select number of evidence-based teen pregnancy prevention programs. Importantly, the program impact evaluations are</w:t>
      </w:r>
      <w:r w:rsidR="00F6583D">
        <w:t xml:space="preserve"> being conducted independently of the proposed cost study for which OAH is currently seeking OMB approval. Therefore, to achieve this study objective, the only additional data collection burden involves </w:t>
      </w:r>
      <w:r w:rsidR="003B07DB">
        <w:t xml:space="preserve">obtaining data from these </w:t>
      </w:r>
      <w:r w:rsidR="00F6583D">
        <w:t>ongoing impact evaluations, which the study team will accomplish by admini</w:t>
      </w:r>
      <w:r w:rsidR="007A6709">
        <w:t>stering an Economic Evaluation F</w:t>
      </w:r>
      <w:r w:rsidR="00F6583D">
        <w:t>orm (</w:t>
      </w:r>
      <w:r w:rsidR="00C42227">
        <w:t>Instrument #4</w:t>
      </w:r>
      <w:r w:rsidR="00F6583D">
        <w:t>) to up to 15 OAH TPP Program grantees.</w:t>
      </w:r>
    </w:p>
    <w:p w:rsidR="00446CBE" w:rsidRPr="00DF0164" w:rsidRDefault="00446CBE" w:rsidP="00DF0164">
      <w:pPr>
        <w:pStyle w:val="NormalSS"/>
      </w:pPr>
      <w:r>
        <w:t>The third study objective is to develop guidance and tools for OAH to use in collecting and analyzing cost data from potential future grantees. The plans for this component of the study are still under development, so there is no additional burden requested as part of the current information collection request.</w:t>
      </w:r>
    </w:p>
    <w:p w:rsidR="00744663" w:rsidRPr="00DB1017" w:rsidRDefault="00744663" w:rsidP="00744663">
      <w:pPr>
        <w:pStyle w:val="MarkforTableHeading"/>
      </w:pPr>
      <w:bookmarkStart w:id="23" w:name="_Toc316394553"/>
      <w:r>
        <w:t>Table A.1</w:t>
      </w:r>
      <w:r w:rsidRPr="00DB1017">
        <w:t>.</w:t>
      </w:r>
      <w:r>
        <w:t xml:space="preserve"> </w:t>
      </w:r>
      <w:bookmarkEnd w:id="23"/>
      <w:r w:rsidR="006C28C6">
        <w:t>Overview of Study Objectives and Associated Data Collection Instruments</w:t>
      </w:r>
    </w:p>
    <w:tbl>
      <w:tblPr>
        <w:tblStyle w:val="SMPRTableBlack"/>
        <w:tblW w:w="0" w:type="auto"/>
        <w:tblLook w:val="04A0" w:firstRow="1" w:lastRow="0" w:firstColumn="1" w:lastColumn="0" w:noHBand="0" w:noVBand="1"/>
      </w:tblPr>
      <w:tblGrid>
        <w:gridCol w:w="3160"/>
        <w:gridCol w:w="1670"/>
        <w:gridCol w:w="2362"/>
        <w:gridCol w:w="2269"/>
      </w:tblGrid>
      <w:tr w:rsidR="009B43CE" w:rsidTr="00744663">
        <w:trPr>
          <w:cnfStyle w:val="100000000000" w:firstRow="1" w:lastRow="0" w:firstColumn="0" w:lastColumn="0" w:oddVBand="0" w:evenVBand="0" w:oddHBand="0" w:evenHBand="0" w:firstRowFirstColumn="0" w:firstRowLastColumn="0" w:lastRowFirstColumn="0" w:lastRowLastColumn="0"/>
          <w:trHeight w:val="737"/>
        </w:trPr>
        <w:tc>
          <w:tcPr>
            <w:tcW w:w="0" w:type="auto"/>
            <w:vAlign w:val="bottom"/>
          </w:tcPr>
          <w:p w:rsidR="00744663" w:rsidRDefault="00744663" w:rsidP="00744663">
            <w:pPr>
              <w:pStyle w:val="TableHeaderLeft"/>
            </w:pPr>
            <w:r>
              <w:t>Objective</w:t>
            </w:r>
          </w:p>
        </w:tc>
        <w:tc>
          <w:tcPr>
            <w:tcW w:w="0" w:type="auto"/>
            <w:vAlign w:val="bottom"/>
          </w:tcPr>
          <w:p w:rsidR="00744663" w:rsidRDefault="00744663" w:rsidP="00744663">
            <w:pPr>
              <w:pStyle w:val="TableHeaderCenter"/>
            </w:pPr>
            <w:r>
              <w:t>Approximate Sample Size</w:t>
            </w:r>
          </w:p>
        </w:tc>
        <w:tc>
          <w:tcPr>
            <w:tcW w:w="0" w:type="auto"/>
            <w:vAlign w:val="bottom"/>
          </w:tcPr>
          <w:p w:rsidR="00744663" w:rsidRDefault="009B43CE" w:rsidP="00744663">
            <w:pPr>
              <w:pStyle w:val="TableHeaderCenter"/>
            </w:pPr>
            <w:r>
              <w:t xml:space="preserve">Associated </w:t>
            </w:r>
            <w:r w:rsidR="00744663">
              <w:t>Data Collection Instruments</w:t>
            </w:r>
          </w:p>
        </w:tc>
        <w:tc>
          <w:tcPr>
            <w:tcW w:w="0" w:type="auto"/>
            <w:vAlign w:val="bottom"/>
          </w:tcPr>
          <w:p w:rsidR="00744663" w:rsidRDefault="009B43CE" w:rsidP="00744663">
            <w:pPr>
              <w:pStyle w:val="TableHeaderCenter"/>
            </w:pPr>
            <w:r>
              <w:t>Covered by Current Information Collection Request?</w:t>
            </w:r>
          </w:p>
        </w:tc>
      </w:tr>
      <w:tr w:rsidR="009B43CE" w:rsidTr="00744663">
        <w:trPr>
          <w:trHeight w:val="576"/>
        </w:trPr>
        <w:tc>
          <w:tcPr>
            <w:tcW w:w="0" w:type="auto"/>
          </w:tcPr>
          <w:p w:rsidR="00744663" w:rsidRDefault="00F6583D" w:rsidP="00F6583D">
            <w:pPr>
              <w:pStyle w:val="TableText"/>
              <w:spacing w:before="60" w:after="60"/>
              <w:ind w:left="288" w:hanging="288"/>
            </w:pPr>
            <w:r>
              <w:t>1.</w:t>
            </w:r>
            <w:r>
              <w:tab/>
            </w:r>
            <w:r w:rsidR="00744663">
              <w:t>Determine cost of implementing select evidence-based programs</w:t>
            </w:r>
          </w:p>
        </w:tc>
        <w:tc>
          <w:tcPr>
            <w:tcW w:w="0" w:type="auto"/>
          </w:tcPr>
          <w:p w:rsidR="00744663" w:rsidRDefault="006C28C6" w:rsidP="006C28C6">
            <w:pPr>
              <w:pStyle w:val="TableText"/>
              <w:spacing w:before="60" w:after="60"/>
              <w:jc w:val="center"/>
            </w:pPr>
            <w:r>
              <w:t>30 grantees</w:t>
            </w:r>
          </w:p>
        </w:tc>
        <w:tc>
          <w:tcPr>
            <w:tcW w:w="0" w:type="auto"/>
          </w:tcPr>
          <w:p w:rsidR="00744663" w:rsidRDefault="00D07413" w:rsidP="006C28C6">
            <w:pPr>
              <w:pStyle w:val="TableText"/>
              <w:numPr>
                <w:ilvl w:val="0"/>
                <w:numId w:val="41"/>
              </w:numPr>
              <w:spacing w:before="60" w:after="60"/>
              <w:ind w:left="239" w:hanging="239"/>
            </w:pPr>
            <w:r>
              <w:t>Cost Tool</w:t>
            </w:r>
          </w:p>
          <w:p w:rsidR="009B43CE" w:rsidRDefault="00D07413" w:rsidP="006C28C6">
            <w:pPr>
              <w:pStyle w:val="TableText"/>
              <w:numPr>
                <w:ilvl w:val="0"/>
                <w:numId w:val="41"/>
              </w:numPr>
              <w:spacing w:before="60" w:after="60"/>
              <w:ind w:left="239" w:hanging="239"/>
            </w:pPr>
            <w:r>
              <w:t>Implementation Tool</w:t>
            </w:r>
          </w:p>
          <w:p w:rsidR="009B43CE" w:rsidRDefault="009B43CE" w:rsidP="006C28C6">
            <w:pPr>
              <w:pStyle w:val="TableText"/>
              <w:numPr>
                <w:ilvl w:val="0"/>
                <w:numId w:val="41"/>
              </w:numPr>
              <w:spacing w:before="60" w:after="60"/>
              <w:ind w:left="239" w:hanging="239"/>
            </w:pPr>
            <w:r>
              <w:t>Staff Time Use Survey</w:t>
            </w:r>
          </w:p>
        </w:tc>
        <w:tc>
          <w:tcPr>
            <w:tcW w:w="0" w:type="auto"/>
          </w:tcPr>
          <w:p w:rsidR="00744663" w:rsidRDefault="009B43CE" w:rsidP="006C28C6">
            <w:pPr>
              <w:pStyle w:val="TableText"/>
              <w:spacing w:before="60" w:after="60"/>
              <w:jc w:val="center"/>
            </w:pPr>
            <w:r>
              <w:t>Yes</w:t>
            </w:r>
          </w:p>
        </w:tc>
      </w:tr>
      <w:tr w:rsidR="009B43CE" w:rsidTr="00744663">
        <w:tc>
          <w:tcPr>
            <w:tcW w:w="0" w:type="auto"/>
          </w:tcPr>
          <w:p w:rsidR="00744663" w:rsidRDefault="00F6583D" w:rsidP="00F6583D">
            <w:pPr>
              <w:pStyle w:val="TableText"/>
              <w:spacing w:before="60" w:after="60"/>
              <w:ind w:left="288" w:hanging="288"/>
            </w:pPr>
            <w:r>
              <w:t>2.</w:t>
            </w:r>
            <w:r>
              <w:tab/>
            </w:r>
            <w:r w:rsidR="00744663">
              <w:t>Determine economic impact of select evidence-based programs</w:t>
            </w:r>
          </w:p>
        </w:tc>
        <w:tc>
          <w:tcPr>
            <w:tcW w:w="0" w:type="auto"/>
          </w:tcPr>
          <w:p w:rsidR="00744663" w:rsidRDefault="006C28C6" w:rsidP="006C28C6">
            <w:pPr>
              <w:pStyle w:val="TableText"/>
              <w:spacing w:before="60" w:after="60"/>
              <w:jc w:val="center"/>
            </w:pPr>
            <w:r>
              <w:t>15 grantees</w:t>
            </w:r>
            <w:r w:rsidR="00E76FF3">
              <w:t>*</w:t>
            </w:r>
          </w:p>
        </w:tc>
        <w:tc>
          <w:tcPr>
            <w:tcW w:w="0" w:type="auto"/>
          </w:tcPr>
          <w:p w:rsidR="00744663" w:rsidRDefault="006C28C6" w:rsidP="006C28C6">
            <w:pPr>
              <w:pStyle w:val="TableText"/>
              <w:numPr>
                <w:ilvl w:val="0"/>
                <w:numId w:val="41"/>
              </w:numPr>
              <w:spacing w:before="60" w:after="60"/>
              <w:ind w:left="239" w:hanging="239"/>
            </w:pPr>
            <w:r>
              <w:t>Economic Evaluation Form</w:t>
            </w:r>
          </w:p>
        </w:tc>
        <w:tc>
          <w:tcPr>
            <w:tcW w:w="0" w:type="auto"/>
          </w:tcPr>
          <w:p w:rsidR="00744663" w:rsidRDefault="009B43CE" w:rsidP="006C28C6">
            <w:pPr>
              <w:pStyle w:val="TableText"/>
              <w:spacing w:before="60" w:after="60"/>
              <w:jc w:val="center"/>
            </w:pPr>
            <w:r>
              <w:t>Yes</w:t>
            </w:r>
          </w:p>
        </w:tc>
      </w:tr>
      <w:tr w:rsidR="009B43CE" w:rsidTr="00744663">
        <w:tc>
          <w:tcPr>
            <w:tcW w:w="0" w:type="auto"/>
          </w:tcPr>
          <w:p w:rsidR="00744663" w:rsidRDefault="00F6583D" w:rsidP="00F6583D">
            <w:pPr>
              <w:pStyle w:val="TableText"/>
              <w:spacing w:before="60" w:after="60"/>
              <w:ind w:left="288" w:hanging="288"/>
            </w:pPr>
            <w:r>
              <w:t>3.</w:t>
            </w:r>
            <w:r>
              <w:tab/>
            </w:r>
            <w:r w:rsidR="00744663">
              <w:t>Develop guidance and tools</w:t>
            </w:r>
            <w:r w:rsidR="009B43CE">
              <w:t xml:space="preserve"> to collect cost data from potential future grantees</w:t>
            </w:r>
          </w:p>
        </w:tc>
        <w:tc>
          <w:tcPr>
            <w:tcW w:w="0" w:type="auto"/>
          </w:tcPr>
          <w:p w:rsidR="00744663" w:rsidRDefault="009B43CE" w:rsidP="006C28C6">
            <w:pPr>
              <w:pStyle w:val="TableText"/>
              <w:spacing w:before="60" w:after="60"/>
              <w:jc w:val="center"/>
            </w:pPr>
            <w:r>
              <w:t>To be determined</w:t>
            </w:r>
          </w:p>
        </w:tc>
        <w:tc>
          <w:tcPr>
            <w:tcW w:w="0" w:type="auto"/>
          </w:tcPr>
          <w:p w:rsidR="00744663" w:rsidRDefault="006C28C6" w:rsidP="006C28C6">
            <w:pPr>
              <w:pStyle w:val="TableText"/>
              <w:numPr>
                <w:ilvl w:val="0"/>
                <w:numId w:val="41"/>
              </w:numPr>
              <w:spacing w:before="60" w:after="60"/>
              <w:ind w:left="239" w:hanging="239"/>
            </w:pPr>
            <w:r>
              <w:t>To be determined</w:t>
            </w:r>
          </w:p>
        </w:tc>
        <w:tc>
          <w:tcPr>
            <w:tcW w:w="0" w:type="auto"/>
          </w:tcPr>
          <w:p w:rsidR="00744663" w:rsidRDefault="009B43CE" w:rsidP="006C28C6">
            <w:pPr>
              <w:pStyle w:val="TableText"/>
              <w:spacing w:before="60" w:after="60"/>
              <w:jc w:val="center"/>
            </w:pPr>
            <w:r>
              <w:t>No</w:t>
            </w:r>
          </w:p>
        </w:tc>
      </w:tr>
    </w:tbl>
    <w:p w:rsidR="00F37F1C" w:rsidRPr="00E76FF3" w:rsidRDefault="00E76FF3" w:rsidP="00E76FF3">
      <w:pPr>
        <w:spacing w:line="240" w:lineRule="auto"/>
        <w:ind w:firstLine="0"/>
        <w:rPr>
          <w:rFonts w:asciiTheme="minorHAnsi" w:hAnsiTheme="minorHAnsi"/>
          <w:sz w:val="18"/>
          <w:szCs w:val="18"/>
        </w:rPr>
      </w:pPr>
      <w:r w:rsidRPr="00E76FF3">
        <w:rPr>
          <w:rFonts w:asciiTheme="minorHAnsi" w:hAnsiTheme="minorHAnsi"/>
          <w:sz w:val="18"/>
          <w:szCs w:val="18"/>
        </w:rPr>
        <w:t>*</w:t>
      </w:r>
      <w:r>
        <w:rPr>
          <w:rFonts w:asciiTheme="minorHAnsi" w:hAnsiTheme="minorHAnsi"/>
          <w:sz w:val="18"/>
          <w:szCs w:val="18"/>
        </w:rPr>
        <w:t>The grantees participating in the economic evaluation (study objective 2) will be a sub-set of those participating in the cost analysis (study objective 1).</w:t>
      </w:r>
    </w:p>
    <w:p w:rsidR="00F6583D" w:rsidRDefault="00F6583D" w:rsidP="00F6583D">
      <w:pPr>
        <w:pStyle w:val="NormalSScontinued"/>
      </w:pPr>
      <w:r>
        <w:tab/>
      </w:r>
    </w:p>
    <w:p w:rsidR="00677B13" w:rsidRDefault="00677B13" w:rsidP="005900E1">
      <w:pPr>
        <w:pStyle w:val="BulletBlack"/>
        <w:numPr>
          <w:ilvl w:val="0"/>
          <w:numId w:val="0"/>
        </w:numPr>
        <w:ind w:left="1152" w:hanging="360"/>
      </w:pPr>
    </w:p>
    <w:p w:rsidR="00014827" w:rsidRPr="007C0C17" w:rsidRDefault="00842980" w:rsidP="007C0C17">
      <w:pPr>
        <w:pStyle w:val="Heading2Black"/>
      </w:pPr>
      <w:bookmarkStart w:id="24" w:name="_Toc248719997"/>
      <w:bookmarkStart w:id="25" w:name="_Toc286757401"/>
      <w:bookmarkStart w:id="26" w:name="_Toc297280141"/>
      <w:bookmarkStart w:id="27" w:name="_Toc297282538"/>
      <w:bookmarkStart w:id="28" w:name="_Toc303683929"/>
      <w:bookmarkStart w:id="29" w:name="_Toc315954438"/>
      <w:bookmarkStart w:id="30" w:name="_Toc315958793"/>
      <w:bookmarkStart w:id="31" w:name="_Toc378184771"/>
      <w:r w:rsidRPr="007C0C17">
        <w:t>A2.</w:t>
      </w:r>
      <w:r w:rsidRPr="007C0C17">
        <w:tab/>
        <w:t>Purpose and Use of the Informatio</w:t>
      </w:r>
      <w:bookmarkEnd w:id="24"/>
      <w:bookmarkEnd w:id="25"/>
      <w:bookmarkEnd w:id="26"/>
      <w:bookmarkEnd w:id="27"/>
      <w:bookmarkEnd w:id="28"/>
      <w:bookmarkEnd w:id="29"/>
      <w:bookmarkEnd w:id="30"/>
      <w:bookmarkEnd w:id="31"/>
      <w:r w:rsidR="007C0C17" w:rsidRPr="007C0C17">
        <w:t>n</w:t>
      </w:r>
    </w:p>
    <w:p w:rsidR="00BD62E1" w:rsidRDefault="00BD62E1" w:rsidP="00AC78C4">
      <w:pPr>
        <w:pStyle w:val="NormalSS"/>
      </w:pPr>
      <w:r>
        <w:t>The c</w:t>
      </w:r>
      <w:r w:rsidR="00E972A2">
        <w:t xml:space="preserve">ost data </w:t>
      </w:r>
      <w:r w:rsidR="00014827">
        <w:t xml:space="preserve">will </w:t>
      </w:r>
      <w:r w:rsidR="00E972A2">
        <w:t xml:space="preserve">be used by </w:t>
      </w:r>
      <w:r>
        <w:t xml:space="preserve">OAH to estimate the total and per participant costs of implementing </w:t>
      </w:r>
      <w:r w:rsidR="00606811">
        <w:t xml:space="preserve">selected </w:t>
      </w:r>
      <w:r>
        <w:t>evidence-based teen pregnancy prevention program</w:t>
      </w:r>
      <w:r w:rsidR="00694602">
        <w:t>s</w:t>
      </w:r>
      <w:r>
        <w:t>. These estimates will</w:t>
      </w:r>
      <w:r w:rsidR="00014827">
        <w:t xml:space="preserve"> help OAH bett</w:t>
      </w:r>
      <w:r>
        <w:t>er understand how grantees are using program resources to deliver services</w:t>
      </w:r>
      <w:r w:rsidR="00014827">
        <w:t xml:space="preserve">; </w:t>
      </w:r>
      <w:r>
        <w:t xml:space="preserve">how program costs compare to the number of youth served by the programs; and </w:t>
      </w:r>
      <w:r w:rsidR="00606811">
        <w:t xml:space="preserve">potential </w:t>
      </w:r>
      <w:r>
        <w:t xml:space="preserve"> factors driving program costs and variation in program costs across grantees. </w:t>
      </w:r>
      <w:r w:rsidR="007C0C17">
        <w:t xml:space="preserve">The cost estimates will also </w:t>
      </w:r>
      <w:r w:rsidR="007C0C17">
        <w:lastRenderedPageBreak/>
        <w:t>help OAH and other organizations prepare for possible future funding opportunities, by providing benchmark cost estimates that may be useful in preparing future budgets.</w:t>
      </w:r>
    </w:p>
    <w:p w:rsidR="007C0C17" w:rsidRDefault="007C0C17" w:rsidP="00AC78C4">
      <w:pPr>
        <w:pStyle w:val="NormalSS"/>
      </w:pPr>
      <w:r>
        <w:t>Data from the economic evaluation will be used by OAH to help estimate the agency’s return on program investments. Through the TPP grant program, the federal government has made a major investment in supporting the dissemination and implementation of evidence-based teen pregnancy prevention programs. By calculating estimates of program cost-effectiveness, the proposed cost study will help OAH determine the overall return on this investment. This economic assessment may help inform future federal policy decisions around support for teen pregnancy prevention programs.</w:t>
      </w:r>
    </w:p>
    <w:p w:rsidR="000E0CC8" w:rsidRDefault="000E0CC8" w:rsidP="000E0CC8">
      <w:pPr>
        <w:tabs>
          <w:tab w:val="clear" w:pos="432"/>
        </w:tabs>
        <w:autoSpaceDE w:val="0"/>
        <w:autoSpaceDN w:val="0"/>
        <w:adjustRightInd w:val="0"/>
        <w:spacing w:line="240" w:lineRule="auto"/>
        <w:ind w:firstLine="0"/>
        <w:jc w:val="left"/>
      </w:pPr>
    </w:p>
    <w:p w:rsidR="00322476" w:rsidRDefault="00322476" w:rsidP="00322476">
      <w:pPr>
        <w:pStyle w:val="Heading2Black"/>
        <w:tabs>
          <w:tab w:val="clear" w:pos="432"/>
          <w:tab w:val="left" w:pos="540"/>
        </w:tabs>
        <w:ind w:left="540" w:hanging="540"/>
      </w:pPr>
      <w:bookmarkStart w:id="32" w:name="_Toc248719998"/>
      <w:bookmarkStart w:id="33" w:name="_Toc286757402"/>
      <w:bookmarkStart w:id="34" w:name="_Toc297280142"/>
      <w:bookmarkStart w:id="35" w:name="_Toc297282539"/>
      <w:bookmarkStart w:id="36" w:name="_Toc303683930"/>
      <w:bookmarkStart w:id="37" w:name="_Toc315954439"/>
      <w:bookmarkStart w:id="38" w:name="_Toc315958794"/>
      <w:bookmarkStart w:id="39" w:name="_Toc378184772"/>
      <w:r w:rsidRPr="00606043">
        <w:t>A3.</w:t>
      </w:r>
      <w:r w:rsidRPr="00606043">
        <w:tab/>
        <w:t xml:space="preserve">Use of Technology </w:t>
      </w:r>
      <w:r w:rsidR="002A59C9" w:rsidRPr="00606043">
        <w:t>to Reduce</w:t>
      </w:r>
      <w:r w:rsidRPr="00606043">
        <w:t xml:space="preserve"> Burden</w:t>
      </w:r>
      <w:bookmarkEnd w:id="32"/>
      <w:bookmarkEnd w:id="33"/>
      <w:bookmarkEnd w:id="34"/>
      <w:bookmarkEnd w:id="35"/>
      <w:bookmarkEnd w:id="36"/>
      <w:bookmarkEnd w:id="37"/>
      <w:bookmarkEnd w:id="38"/>
      <w:bookmarkEnd w:id="39"/>
    </w:p>
    <w:p w:rsidR="00AC30FA" w:rsidRDefault="007C0C17" w:rsidP="009F3805">
      <w:pPr>
        <w:pStyle w:val="NormalSScontinued"/>
      </w:pPr>
      <w:r>
        <w:tab/>
        <w:t xml:space="preserve">To help minimize the level of burden on participating grantees, all study data collection instruments will be </w:t>
      </w:r>
      <w:r w:rsidR="007544C7">
        <w:t>administered by telephone or</w:t>
      </w:r>
      <w:r>
        <w:t xml:space="preserve"> in electronic format. </w:t>
      </w:r>
      <w:r w:rsidR="00C42227">
        <w:t>The study Cost Tool (Instrument #1</w:t>
      </w:r>
      <w:r w:rsidR="00606043">
        <w:t>) will be formatted as an electronic spreadsheet and distributed to grantees via e-mail. Respondents will be instructed to enter the requested cost information directly in the spreadsheet and return the completed file by e-mail.</w:t>
      </w:r>
      <w:r w:rsidR="007544C7">
        <w:t xml:space="preserve"> </w:t>
      </w:r>
      <w:r w:rsidR="00C42227">
        <w:t>The Staff Time Use Survey (Instrument #3</w:t>
      </w:r>
      <w:r w:rsidR="00606043">
        <w:t>) will be formatted as web-based survey respondents can access through the Internet. The web-based format will allow respondents to enter data at their own pace and on</w:t>
      </w:r>
      <w:r w:rsidR="00A514C7">
        <w:t xml:space="preserve"> their own schedules. To protect</w:t>
      </w:r>
      <w:r w:rsidR="00606043">
        <w:t xml:space="preserve"> personal identifying information, the study team will assign unique passcodes for each respondent. The </w:t>
      </w:r>
      <w:r w:rsidR="007544C7">
        <w:t xml:space="preserve">study Implementation Tool (Instrument #2) and </w:t>
      </w:r>
      <w:r w:rsidR="00606043">
        <w:t>Economic Evaluation Form (</w:t>
      </w:r>
      <w:r w:rsidR="00382D0E">
        <w:t>Instrument #4</w:t>
      </w:r>
      <w:r w:rsidR="00606043">
        <w:t xml:space="preserve">) will be </w:t>
      </w:r>
      <w:r w:rsidR="007544C7">
        <w:t>administered as semi-structured interviews conducted by telephone.</w:t>
      </w:r>
      <w:bookmarkStart w:id="40" w:name="_Toc248719999"/>
      <w:bookmarkStart w:id="41" w:name="_Toc286757403"/>
      <w:bookmarkStart w:id="42" w:name="_Toc297280143"/>
      <w:bookmarkStart w:id="43" w:name="_Toc297282540"/>
      <w:bookmarkStart w:id="44" w:name="_Toc303683931"/>
      <w:bookmarkStart w:id="45" w:name="_Toc315954440"/>
      <w:bookmarkStart w:id="46" w:name="_Toc315958795"/>
    </w:p>
    <w:p w:rsidR="009F3805" w:rsidRPr="009F3805" w:rsidRDefault="009F3805" w:rsidP="009F3805">
      <w:pPr>
        <w:pStyle w:val="NormalSS"/>
      </w:pPr>
    </w:p>
    <w:p w:rsidR="00B452F7" w:rsidRPr="00A06270" w:rsidRDefault="00B452F7" w:rsidP="00A526E7">
      <w:pPr>
        <w:pStyle w:val="Heading2Black"/>
        <w:tabs>
          <w:tab w:val="clear" w:pos="432"/>
          <w:tab w:val="left" w:pos="540"/>
        </w:tabs>
        <w:ind w:left="540" w:hanging="540"/>
      </w:pPr>
      <w:bookmarkStart w:id="47" w:name="_Toc378184773"/>
      <w:r w:rsidRPr="00AC30FA">
        <w:t>A4.</w:t>
      </w:r>
      <w:r w:rsidRPr="00AC30FA">
        <w:tab/>
        <w:t xml:space="preserve">Efforts to </w:t>
      </w:r>
      <w:bookmarkEnd w:id="40"/>
      <w:bookmarkEnd w:id="41"/>
      <w:bookmarkEnd w:id="42"/>
      <w:bookmarkEnd w:id="43"/>
      <w:bookmarkEnd w:id="44"/>
      <w:bookmarkEnd w:id="45"/>
      <w:bookmarkEnd w:id="46"/>
      <w:r w:rsidR="002A59C9" w:rsidRPr="00AC30FA">
        <w:t>Avoid Duplication</w:t>
      </w:r>
      <w:bookmarkEnd w:id="47"/>
    </w:p>
    <w:p w:rsidR="002A59C9" w:rsidRDefault="009F3805" w:rsidP="00AC30FA">
      <w:pPr>
        <w:pStyle w:val="NormalSS"/>
        <w:ind w:firstLine="0"/>
      </w:pPr>
      <w:bookmarkStart w:id="48" w:name="_Toc248720000"/>
      <w:bookmarkStart w:id="49" w:name="_Toc286757404"/>
      <w:bookmarkStart w:id="50" w:name="_Toc297280144"/>
      <w:bookmarkStart w:id="51" w:name="_Toc297282541"/>
      <w:bookmarkStart w:id="52" w:name="_Toc303683932"/>
      <w:bookmarkStart w:id="53" w:name="_Toc315954441"/>
      <w:bookmarkStart w:id="54" w:name="_Toc315958796"/>
      <w:r>
        <w:tab/>
      </w:r>
      <w:r w:rsidR="006F460A">
        <w:t xml:space="preserve">This study is the first and only ongoing effort to systematically </w:t>
      </w:r>
      <w:r w:rsidR="00481823">
        <w:t xml:space="preserve">collect and analyze </w:t>
      </w:r>
      <w:r w:rsidR="00AC30FA">
        <w:t>cost data for OAH TPP Program grantees</w:t>
      </w:r>
      <w:r w:rsidR="006F460A">
        <w:t xml:space="preserve">. Although OAH currently has information on grantee budgets, these budgets may not reflect </w:t>
      </w:r>
      <w:r w:rsidR="002B3E46">
        <w:t>full</w:t>
      </w:r>
      <w:r w:rsidR="006F460A">
        <w:t xml:space="preserve"> operating</w:t>
      </w:r>
      <w:r w:rsidR="002B3E46">
        <w:t xml:space="preserve"> costs,</w:t>
      </w:r>
      <w:r w:rsidR="006F460A">
        <w:t xml:space="preserve"> and actual cost experience may deviate from </w:t>
      </w:r>
      <w:r w:rsidR="002B3E46">
        <w:t xml:space="preserve">the </w:t>
      </w:r>
      <w:r w:rsidR="006F460A">
        <w:t>original budget. The data collection proposed for</w:t>
      </w:r>
      <w:r w:rsidR="00AC30FA">
        <w:t xml:space="preserve"> this study is thus essential for</w:t>
      </w:r>
      <w:r w:rsidR="006F460A">
        <w:t xml:space="preserve"> </w:t>
      </w:r>
      <w:r w:rsidR="004944D7">
        <w:t>OAH and fe</w:t>
      </w:r>
      <w:r w:rsidR="00AC30FA">
        <w:t>deral policymakers to</w:t>
      </w:r>
      <w:r w:rsidR="004944D7">
        <w:t xml:space="preserve"> </w:t>
      </w:r>
      <w:r w:rsidR="00303178">
        <w:t>understand the c</w:t>
      </w:r>
      <w:r w:rsidR="00AC30FA">
        <w:t>ost and return on investment of TPP Program grantees.</w:t>
      </w:r>
    </w:p>
    <w:p w:rsidR="00B452F7" w:rsidRPr="00A06270" w:rsidRDefault="00B452F7" w:rsidP="00A526E7">
      <w:pPr>
        <w:pStyle w:val="Heading2Black"/>
        <w:tabs>
          <w:tab w:val="clear" w:pos="432"/>
          <w:tab w:val="left" w:pos="540"/>
        </w:tabs>
        <w:ind w:left="540" w:hanging="540"/>
      </w:pPr>
      <w:bookmarkStart w:id="55" w:name="_Toc378184774"/>
      <w:r w:rsidRPr="00AC30FA">
        <w:t>A5.</w:t>
      </w:r>
      <w:r w:rsidRPr="00AC30FA">
        <w:tab/>
      </w:r>
      <w:bookmarkEnd w:id="48"/>
      <w:bookmarkEnd w:id="49"/>
      <w:bookmarkEnd w:id="50"/>
      <w:bookmarkEnd w:id="51"/>
      <w:bookmarkEnd w:id="52"/>
      <w:bookmarkEnd w:id="53"/>
      <w:bookmarkEnd w:id="54"/>
      <w:r w:rsidR="002A59C9" w:rsidRPr="00AC30FA">
        <w:t>Methods to Minimize Burden on Small Entities</w:t>
      </w:r>
      <w:bookmarkEnd w:id="55"/>
    </w:p>
    <w:p w:rsidR="002D074C" w:rsidRPr="00AC30FA" w:rsidRDefault="002D074C" w:rsidP="009F3805">
      <w:pPr>
        <w:pStyle w:val="Default"/>
        <w:spacing w:after="120"/>
        <w:ind w:firstLine="144"/>
        <w:jc w:val="both"/>
        <w:rPr>
          <w:rFonts w:ascii="Garamond" w:hAnsi="Garamond"/>
        </w:rPr>
      </w:pPr>
      <w:bookmarkStart w:id="56" w:name="_Toc248720001"/>
      <w:bookmarkStart w:id="57" w:name="_Toc286757405"/>
      <w:bookmarkStart w:id="58" w:name="_Toc297280145"/>
      <w:bookmarkStart w:id="59" w:name="_Toc297282542"/>
      <w:bookmarkStart w:id="60" w:name="_Toc303683933"/>
      <w:bookmarkStart w:id="61" w:name="_Toc315954442"/>
      <w:bookmarkStart w:id="62" w:name="_Toc315958797"/>
      <w:r w:rsidRPr="00AC30FA">
        <w:rPr>
          <w:rFonts w:ascii="Garamond" w:hAnsi="Garamond"/>
        </w:rPr>
        <w:t>No small entities will be involved in this study</w:t>
      </w:r>
      <w:r w:rsidR="009F0801" w:rsidRPr="00AC30FA">
        <w:rPr>
          <w:rFonts w:ascii="Garamond" w:hAnsi="Garamond"/>
        </w:rPr>
        <w:t xml:space="preserve"> as far as we know</w:t>
      </w:r>
      <w:r w:rsidRPr="00AC30FA">
        <w:rPr>
          <w:rFonts w:ascii="Garamond" w:hAnsi="Garamond"/>
        </w:rPr>
        <w:t>.</w:t>
      </w:r>
      <w:r w:rsidR="002B3E46" w:rsidRPr="00AC30FA">
        <w:rPr>
          <w:rFonts w:ascii="Garamond" w:hAnsi="Garamond"/>
        </w:rPr>
        <w:t xml:space="preserve">  </w:t>
      </w:r>
      <w:r w:rsidR="009F0801" w:rsidRPr="00AC30FA">
        <w:rPr>
          <w:rFonts w:ascii="Garamond" w:hAnsi="Garamond"/>
        </w:rPr>
        <w:t>If any of the program providers or their partners are</w:t>
      </w:r>
      <w:r w:rsidR="00AC30FA">
        <w:rPr>
          <w:rFonts w:ascii="Garamond" w:hAnsi="Garamond"/>
        </w:rPr>
        <w:t xml:space="preserve"> small entities, the study team will reduce the number of S</w:t>
      </w:r>
      <w:r w:rsidR="00694602">
        <w:rPr>
          <w:rFonts w:ascii="Garamond" w:hAnsi="Garamond"/>
        </w:rPr>
        <w:t>taff Time Use Surveys (Instrument #3</w:t>
      </w:r>
      <w:r w:rsidR="00AC30FA">
        <w:rPr>
          <w:rFonts w:ascii="Garamond" w:hAnsi="Garamond"/>
        </w:rPr>
        <w:t>) request</w:t>
      </w:r>
      <w:r w:rsidR="0027568A">
        <w:rPr>
          <w:rFonts w:ascii="Garamond" w:hAnsi="Garamond"/>
        </w:rPr>
        <w:t>ed</w:t>
      </w:r>
      <w:r w:rsidR="00694602">
        <w:rPr>
          <w:rFonts w:ascii="Garamond" w:hAnsi="Garamond"/>
        </w:rPr>
        <w:t xml:space="preserve"> of the site</w:t>
      </w:r>
      <w:r w:rsidR="00AC30FA">
        <w:rPr>
          <w:rFonts w:ascii="Garamond" w:hAnsi="Garamond"/>
        </w:rPr>
        <w:t>.</w:t>
      </w:r>
    </w:p>
    <w:p w:rsidR="002B3E46" w:rsidRDefault="002B3E46" w:rsidP="002B3E46">
      <w:pPr>
        <w:pStyle w:val="Default"/>
        <w:spacing w:after="120"/>
        <w:ind w:firstLine="432"/>
        <w:jc w:val="both"/>
        <w:rPr>
          <w:rFonts w:ascii="Garamond" w:hAnsi="Garamond"/>
          <w:sz w:val="26"/>
          <w:szCs w:val="26"/>
        </w:rPr>
      </w:pPr>
    </w:p>
    <w:p w:rsidR="00303178" w:rsidRPr="00303178" w:rsidRDefault="00B452F7" w:rsidP="00303178">
      <w:pPr>
        <w:pStyle w:val="Heading2Black"/>
        <w:tabs>
          <w:tab w:val="clear" w:pos="432"/>
          <w:tab w:val="left" w:pos="540"/>
        </w:tabs>
        <w:ind w:left="0" w:firstLine="0"/>
      </w:pPr>
      <w:bookmarkStart w:id="63" w:name="_Toc378184775"/>
      <w:r w:rsidRPr="00AC30FA">
        <w:t>A6.</w:t>
      </w:r>
      <w:r w:rsidRPr="00AC30FA">
        <w:tab/>
        <w:t xml:space="preserve">Consequences </w:t>
      </w:r>
      <w:bookmarkEnd w:id="56"/>
      <w:bookmarkEnd w:id="57"/>
      <w:bookmarkEnd w:id="58"/>
      <w:bookmarkEnd w:id="59"/>
      <w:bookmarkEnd w:id="60"/>
      <w:bookmarkEnd w:id="61"/>
      <w:bookmarkEnd w:id="62"/>
      <w:r w:rsidR="002D074C" w:rsidRPr="00AC30FA">
        <w:t>of Not Collecting Data</w:t>
      </w:r>
      <w:bookmarkStart w:id="64" w:name="_Toc248720002"/>
      <w:bookmarkStart w:id="65" w:name="_Toc286757406"/>
      <w:bookmarkStart w:id="66" w:name="_Toc297280146"/>
      <w:bookmarkStart w:id="67" w:name="_Toc297282543"/>
      <w:bookmarkStart w:id="68" w:name="_Toc303683934"/>
      <w:bookmarkStart w:id="69" w:name="_Toc315954443"/>
      <w:bookmarkStart w:id="70" w:name="_Toc315958798"/>
      <w:bookmarkEnd w:id="63"/>
    </w:p>
    <w:p w:rsidR="00F4715B" w:rsidRDefault="009F3805" w:rsidP="00AC30FA">
      <w:pPr>
        <w:pStyle w:val="NormalSS"/>
        <w:ind w:firstLine="0"/>
      </w:pPr>
      <w:r>
        <w:tab/>
      </w:r>
      <w:r w:rsidR="00AC30FA">
        <w:t xml:space="preserve">The current cohort of OAH TPP grantees are currently in the fourth year of projected five-year grant awards. If the proposed cost data are not collected in 2014-2015, it will be too late for OAH and other federal agencies to learn about the cost experience and return on investment of </w:t>
      </w:r>
      <w:r w:rsidR="00955E7B">
        <w:t xml:space="preserve">the </w:t>
      </w:r>
      <w:r w:rsidR="00955E7B">
        <w:lastRenderedPageBreak/>
        <w:t xml:space="preserve">current </w:t>
      </w:r>
      <w:r w:rsidR="00AC30FA">
        <w:t xml:space="preserve">federal TPP Program grantees. </w:t>
      </w:r>
      <w:r w:rsidR="00F4715B">
        <w:t>In addition, the data will not be available to federal, state, and local agencies interested in efficiently implementi</w:t>
      </w:r>
      <w:r w:rsidR="00AC30FA">
        <w:t>ng the same or similar programs in the future.</w:t>
      </w:r>
    </w:p>
    <w:p w:rsidR="00B452F7" w:rsidRPr="00AC30FA" w:rsidRDefault="00B452F7" w:rsidP="00A526E7">
      <w:pPr>
        <w:pStyle w:val="Heading2Black"/>
        <w:tabs>
          <w:tab w:val="clear" w:pos="432"/>
          <w:tab w:val="left" w:pos="540"/>
        </w:tabs>
        <w:ind w:left="540" w:hanging="540"/>
      </w:pPr>
      <w:bookmarkStart w:id="71" w:name="_Toc378184776"/>
      <w:r w:rsidRPr="00AC30FA">
        <w:t>A7.</w:t>
      </w:r>
      <w:r w:rsidRPr="00AC30FA">
        <w:tab/>
        <w:t>Special Circumstances</w:t>
      </w:r>
      <w:bookmarkEnd w:id="64"/>
      <w:bookmarkEnd w:id="65"/>
      <w:bookmarkEnd w:id="66"/>
      <w:bookmarkEnd w:id="67"/>
      <w:bookmarkEnd w:id="68"/>
      <w:bookmarkEnd w:id="69"/>
      <w:bookmarkEnd w:id="70"/>
      <w:bookmarkEnd w:id="71"/>
    </w:p>
    <w:p w:rsidR="002D074C" w:rsidRPr="00AC30FA" w:rsidRDefault="002D074C" w:rsidP="009F3805">
      <w:pPr>
        <w:pStyle w:val="Default"/>
        <w:spacing w:after="120"/>
        <w:ind w:firstLine="144"/>
        <w:jc w:val="both"/>
        <w:rPr>
          <w:rFonts w:ascii="Garamond" w:hAnsi="Garamond"/>
        </w:rPr>
      </w:pPr>
      <w:bookmarkStart w:id="72" w:name="_Toc248720003"/>
      <w:bookmarkStart w:id="73" w:name="_Toc286757407"/>
      <w:bookmarkStart w:id="74" w:name="_Toc297280147"/>
      <w:bookmarkStart w:id="75" w:name="_Toc297282544"/>
      <w:bookmarkStart w:id="76" w:name="_Toc303683935"/>
      <w:bookmarkStart w:id="77" w:name="_Toc315954444"/>
      <w:bookmarkStart w:id="78" w:name="_Toc315958799"/>
      <w:r w:rsidRPr="00AC30FA">
        <w:rPr>
          <w:rFonts w:ascii="Garamond" w:hAnsi="Garamond"/>
        </w:rPr>
        <w:t>There are no special circumstances associated with this information collection.</w:t>
      </w:r>
    </w:p>
    <w:p w:rsidR="006F460A" w:rsidRDefault="006F460A" w:rsidP="00A526E7">
      <w:pPr>
        <w:pStyle w:val="Heading2Black"/>
        <w:tabs>
          <w:tab w:val="clear" w:pos="432"/>
          <w:tab w:val="left" w:pos="540"/>
        </w:tabs>
        <w:ind w:left="540" w:hanging="540"/>
      </w:pPr>
      <w:bookmarkStart w:id="79" w:name="_Toc378184777"/>
    </w:p>
    <w:p w:rsidR="00B452F7" w:rsidRPr="00E36689" w:rsidRDefault="00B452F7" w:rsidP="00A526E7">
      <w:pPr>
        <w:pStyle w:val="Heading2Black"/>
        <w:tabs>
          <w:tab w:val="clear" w:pos="432"/>
          <w:tab w:val="left" w:pos="540"/>
        </w:tabs>
        <w:ind w:left="540" w:hanging="540"/>
      </w:pPr>
      <w:r w:rsidRPr="009F3805">
        <w:t>A8.</w:t>
      </w:r>
      <w:r w:rsidRPr="009F3805">
        <w:tab/>
      </w:r>
      <w:bookmarkEnd w:id="72"/>
      <w:bookmarkEnd w:id="73"/>
      <w:bookmarkEnd w:id="74"/>
      <w:bookmarkEnd w:id="75"/>
      <w:bookmarkEnd w:id="76"/>
      <w:bookmarkEnd w:id="77"/>
      <w:bookmarkEnd w:id="78"/>
      <w:r w:rsidR="002D074C" w:rsidRPr="009F3805">
        <w:t>Federal Register Announcement and Consultation</w:t>
      </w:r>
      <w:bookmarkEnd w:id="79"/>
    </w:p>
    <w:p w:rsidR="002D074C" w:rsidRPr="009F3805" w:rsidRDefault="009F3805" w:rsidP="009F3805">
      <w:pPr>
        <w:pStyle w:val="Heading3NoTOC"/>
      </w:pPr>
      <w:bookmarkStart w:id="80" w:name="_Toc248720004"/>
      <w:bookmarkStart w:id="81" w:name="_Toc286757408"/>
      <w:bookmarkStart w:id="82" w:name="_Toc297280148"/>
      <w:bookmarkStart w:id="83" w:name="_Toc297282545"/>
      <w:bookmarkStart w:id="84" w:name="_Toc303683936"/>
      <w:bookmarkStart w:id="85" w:name="_Toc315954445"/>
      <w:bookmarkStart w:id="86" w:name="_Toc315958800"/>
      <w:r>
        <w:t>a.</w:t>
      </w:r>
      <w:r>
        <w:tab/>
      </w:r>
      <w:r w:rsidR="002D074C" w:rsidRPr="009F3805">
        <w:t>Federal Register Announcement</w:t>
      </w:r>
    </w:p>
    <w:p w:rsidR="00303178" w:rsidRPr="009F3805" w:rsidRDefault="009F3805" w:rsidP="009F3805">
      <w:pPr>
        <w:pStyle w:val="Default"/>
        <w:tabs>
          <w:tab w:val="left" w:pos="270"/>
        </w:tabs>
        <w:jc w:val="both"/>
        <w:rPr>
          <w:rFonts w:ascii="Garamond" w:hAnsi="Garamond"/>
        </w:rPr>
      </w:pPr>
      <w:r>
        <w:rPr>
          <w:rFonts w:ascii="Garamond" w:hAnsi="Garamond"/>
        </w:rPr>
        <w:tab/>
      </w:r>
      <w:r w:rsidR="002D074C" w:rsidRPr="009F3805">
        <w:rPr>
          <w:rFonts w:ascii="Garamond" w:hAnsi="Garamond"/>
        </w:rPr>
        <w:t xml:space="preserve">The 60-day notice to solicit public comments was published in the Federal Register on </w:t>
      </w:r>
      <w:r w:rsidR="008E16D9" w:rsidRPr="008E16D9">
        <w:rPr>
          <w:rFonts w:ascii="Garamond" w:hAnsi="Garamond"/>
        </w:rPr>
        <w:t>March 12, 2014, in Volume 79, Number 48, page 14043, and provided a 60-day period for public comments (</w:t>
      </w:r>
      <w:r w:rsidR="003B3A0E">
        <w:rPr>
          <w:rFonts w:ascii="Garamond" w:hAnsi="Garamond"/>
          <w:bCs/>
          <w:iCs/>
        </w:rPr>
        <w:t>Attachment</w:t>
      </w:r>
      <w:r w:rsidR="008E16D9" w:rsidRPr="008E16D9">
        <w:rPr>
          <w:rFonts w:ascii="Garamond" w:hAnsi="Garamond"/>
          <w:bCs/>
          <w:iCs/>
        </w:rPr>
        <w:t xml:space="preserve"> A</w:t>
      </w:r>
      <w:r w:rsidR="008E16D9" w:rsidRPr="008E16D9">
        <w:rPr>
          <w:rFonts w:ascii="Garamond" w:hAnsi="Garamond"/>
        </w:rPr>
        <w:t>). No public comments were received.</w:t>
      </w:r>
      <w:r w:rsidR="007B288D" w:rsidRPr="000B2985" w:rsidDel="007B288D">
        <w:rPr>
          <w:rFonts w:ascii="Garamond" w:hAnsi="Garamond"/>
        </w:rPr>
        <w:t xml:space="preserve"> </w:t>
      </w:r>
    </w:p>
    <w:p w:rsidR="002D074C" w:rsidRPr="009F3805" w:rsidRDefault="002D074C" w:rsidP="009F3805">
      <w:pPr>
        <w:pStyle w:val="Default"/>
        <w:tabs>
          <w:tab w:val="left" w:pos="270"/>
        </w:tabs>
        <w:ind w:left="360"/>
        <w:jc w:val="both"/>
        <w:rPr>
          <w:rFonts w:ascii="Garamond" w:hAnsi="Garamond"/>
        </w:rPr>
      </w:pPr>
      <w:r w:rsidRPr="009F3805">
        <w:rPr>
          <w:rFonts w:ascii="Garamond" w:hAnsi="Garamond"/>
        </w:rPr>
        <w:t xml:space="preserve">  </w:t>
      </w:r>
    </w:p>
    <w:p w:rsidR="00303178" w:rsidRPr="009F3805" w:rsidRDefault="009F3805" w:rsidP="009F3805">
      <w:pPr>
        <w:pStyle w:val="Heading3NoTOC"/>
      </w:pPr>
      <w:r>
        <w:t>b.</w:t>
      </w:r>
      <w:r>
        <w:tab/>
      </w:r>
      <w:r w:rsidR="002D074C" w:rsidRPr="009F3805">
        <w:t xml:space="preserve">Consultation </w:t>
      </w:r>
      <w:proofErr w:type="gramStart"/>
      <w:r w:rsidR="002D074C" w:rsidRPr="009F3805">
        <w:t>Outside</w:t>
      </w:r>
      <w:proofErr w:type="gramEnd"/>
      <w:r w:rsidR="002D074C" w:rsidRPr="009F3805">
        <w:t xml:space="preserve"> the Agency  </w:t>
      </w:r>
    </w:p>
    <w:p w:rsidR="00303178" w:rsidRPr="009F3805" w:rsidRDefault="009F3805" w:rsidP="009F3805">
      <w:pPr>
        <w:pStyle w:val="NormalSScontinued"/>
      </w:pPr>
      <w:r>
        <w:tab/>
      </w:r>
      <w:r w:rsidR="00303178" w:rsidRPr="009F3805">
        <w:t>OAH receive</w:t>
      </w:r>
      <w:r w:rsidR="007B288D">
        <w:t>d</w:t>
      </w:r>
      <w:r w:rsidR="00303178" w:rsidRPr="009F3805">
        <w:t xml:space="preserve"> consultation on the study from members of a</w:t>
      </w:r>
      <w:r w:rsidR="007B288D">
        <w:t>n</w:t>
      </w:r>
      <w:r w:rsidR="00303178" w:rsidRPr="009F3805">
        <w:t xml:space="preserve"> </w:t>
      </w:r>
      <w:r w:rsidR="007B288D">
        <w:t xml:space="preserve">external </w:t>
      </w:r>
      <w:r w:rsidR="00303178" w:rsidRPr="009F3805">
        <w:t xml:space="preserve">technical working group (TWG). </w:t>
      </w:r>
      <w:r w:rsidR="007B288D">
        <w:t>Members of t</w:t>
      </w:r>
      <w:r w:rsidR="00303178" w:rsidRPr="009F3805">
        <w:t xml:space="preserve">he TWG </w:t>
      </w:r>
      <w:r w:rsidR="007B288D">
        <w:t>(see Table A.2) convened for a one-day meeting in Washington, DC, on April 14, 2014, to</w:t>
      </w:r>
      <w:r w:rsidR="00303178" w:rsidRPr="009F3805">
        <w:t xml:space="preserve"> provide input on the study data collection plans and instruments. The TWG include</w:t>
      </w:r>
      <w:r w:rsidR="007B288D">
        <w:t>d</w:t>
      </w:r>
      <w:r w:rsidR="00E76FF3">
        <w:t xml:space="preserve"> </w:t>
      </w:r>
      <w:r w:rsidR="007B288D">
        <w:t>two</w:t>
      </w:r>
      <w:r w:rsidR="00303178" w:rsidRPr="009F3805">
        <w:t xml:space="preserve"> representative</w:t>
      </w:r>
      <w:r w:rsidR="007B288D">
        <w:t>s</w:t>
      </w:r>
      <w:r w:rsidR="00303178" w:rsidRPr="009F3805">
        <w:t xml:space="preserve"> from TPP grantee site</w:t>
      </w:r>
      <w:r w:rsidR="007B288D">
        <w:t>s</w:t>
      </w:r>
      <w:r w:rsidR="00303178" w:rsidRPr="009F3805">
        <w:t>.</w:t>
      </w:r>
    </w:p>
    <w:p w:rsidR="007B288D" w:rsidRPr="00DB1017" w:rsidRDefault="007B288D" w:rsidP="007B288D">
      <w:pPr>
        <w:pStyle w:val="MarkforTableHeading"/>
      </w:pPr>
      <w:r>
        <w:t>Table A.2</w:t>
      </w:r>
      <w:r w:rsidRPr="00DB1017">
        <w:t>.</w:t>
      </w:r>
      <w:r>
        <w:t xml:space="preserve"> Members of the Cost Study Technical Working Group</w:t>
      </w:r>
    </w:p>
    <w:tbl>
      <w:tblPr>
        <w:tblStyle w:val="SMPRTableBlack"/>
        <w:tblW w:w="0" w:type="auto"/>
        <w:tblLook w:val="04A0" w:firstRow="1" w:lastRow="0" w:firstColumn="1" w:lastColumn="0" w:noHBand="0" w:noVBand="1"/>
      </w:tblPr>
      <w:tblGrid>
        <w:gridCol w:w="1731"/>
        <w:gridCol w:w="6287"/>
      </w:tblGrid>
      <w:tr w:rsidR="007B288D" w:rsidTr="007B288D">
        <w:trPr>
          <w:cnfStyle w:val="100000000000" w:firstRow="1" w:lastRow="0" w:firstColumn="0" w:lastColumn="0" w:oddVBand="0" w:evenVBand="0" w:oddHBand="0" w:evenHBand="0" w:firstRowFirstColumn="0" w:firstRowLastColumn="0" w:lastRowFirstColumn="0" w:lastRowLastColumn="0"/>
          <w:trHeight w:val="737"/>
        </w:trPr>
        <w:tc>
          <w:tcPr>
            <w:tcW w:w="0" w:type="auto"/>
            <w:vAlign w:val="bottom"/>
          </w:tcPr>
          <w:p w:rsidR="007B288D" w:rsidRDefault="007B288D" w:rsidP="007B288D">
            <w:pPr>
              <w:pStyle w:val="TableHeaderLeft"/>
            </w:pPr>
            <w:r>
              <w:t>Name</w:t>
            </w:r>
          </w:p>
        </w:tc>
        <w:tc>
          <w:tcPr>
            <w:tcW w:w="0" w:type="auto"/>
            <w:vAlign w:val="bottom"/>
          </w:tcPr>
          <w:p w:rsidR="008E16D9" w:rsidRDefault="007B288D" w:rsidP="008E16D9">
            <w:pPr>
              <w:pStyle w:val="TableHeaderCenter"/>
              <w:jc w:val="left"/>
            </w:pPr>
            <w:r>
              <w:t>Affiliation</w:t>
            </w:r>
          </w:p>
        </w:tc>
      </w:tr>
      <w:tr w:rsidR="007B288D" w:rsidTr="007B288D">
        <w:trPr>
          <w:trHeight w:val="576"/>
        </w:trPr>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 xml:space="preserve">Phaedra </w:t>
            </w:r>
            <w:proofErr w:type="spellStart"/>
            <w:r w:rsidRPr="007B288D">
              <w:rPr>
                <w:szCs w:val="18"/>
              </w:rPr>
              <w:t>Corso</w:t>
            </w:r>
            <w:proofErr w:type="spellEnd"/>
          </w:p>
        </w:tc>
        <w:tc>
          <w:tcPr>
            <w:tcW w:w="0" w:type="auto"/>
            <w:vAlign w:val="bottom"/>
          </w:tcPr>
          <w:p w:rsidR="008E16D9" w:rsidRDefault="008E16D9" w:rsidP="008E16D9">
            <w:pPr>
              <w:pStyle w:val="TableText"/>
              <w:spacing w:before="60" w:after="60"/>
              <w:rPr>
                <w:szCs w:val="18"/>
              </w:rPr>
            </w:pPr>
            <w:r w:rsidRPr="008E16D9">
              <w:rPr>
                <w:szCs w:val="18"/>
              </w:rPr>
              <w:t>Professor of Health Policy and Management, University of Georgia</w:t>
            </w:r>
          </w:p>
        </w:tc>
      </w:tr>
      <w:tr w:rsidR="007B288D" w:rsidTr="007B288D">
        <w:tc>
          <w:tcPr>
            <w:tcW w:w="0" w:type="auto"/>
            <w:vAlign w:val="bottom"/>
          </w:tcPr>
          <w:p w:rsidR="007B288D" w:rsidRPr="007B288D" w:rsidRDefault="008E16D9" w:rsidP="007B288D">
            <w:pPr>
              <w:pStyle w:val="TableText"/>
              <w:spacing w:before="60" w:after="60"/>
              <w:ind w:left="288" w:hanging="288"/>
              <w:rPr>
                <w:szCs w:val="18"/>
              </w:rPr>
            </w:pPr>
            <w:r w:rsidRPr="008E16D9">
              <w:rPr>
                <w:szCs w:val="18"/>
              </w:rPr>
              <w:t>Max Crowley</w:t>
            </w:r>
          </w:p>
        </w:tc>
        <w:tc>
          <w:tcPr>
            <w:tcW w:w="0" w:type="auto"/>
            <w:vAlign w:val="bottom"/>
          </w:tcPr>
          <w:p w:rsidR="008E16D9" w:rsidRDefault="008E16D9" w:rsidP="008E16D9">
            <w:pPr>
              <w:pStyle w:val="TableText"/>
              <w:spacing w:before="60" w:after="60"/>
              <w:rPr>
                <w:szCs w:val="18"/>
              </w:rPr>
            </w:pPr>
            <w:r w:rsidRPr="008E16D9">
              <w:rPr>
                <w:szCs w:val="18"/>
              </w:rPr>
              <w:t>Center for Child and Family Policy, Duke University</w:t>
            </w:r>
          </w:p>
        </w:tc>
      </w:tr>
      <w:tr w:rsidR="007B288D" w:rsidTr="007B288D">
        <w:tc>
          <w:tcPr>
            <w:tcW w:w="0" w:type="auto"/>
            <w:vAlign w:val="bottom"/>
          </w:tcPr>
          <w:p w:rsidR="007B288D" w:rsidRPr="007B288D" w:rsidRDefault="008E16D9" w:rsidP="007B288D">
            <w:pPr>
              <w:pStyle w:val="TableText"/>
              <w:spacing w:before="60" w:after="60"/>
              <w:ind w:left="288" w:hanging="288"/>
              <w:rPr>
                <w:szCs w:val="18"/>
              </w:rPr>
            </w:pPr>
            <w:r w:rsidRPr="008E16D9">
              <w:rPr>
                <w:szCs w:val="18"/>
              </w:rPr>
              <w:t xml:space="preserve">Emma </w:t>
            </w:r>
            <w:proofErr w:type="spellStart"/>
            <w:r w:rsidRPr="008E16D9">
              <w:rPr>
                <w:szCs w:val="18"/>
              </w:rPr>
              <w:t>García</w:t>
            </w:r>
            <w:proofErr w:type="spellEnd"/>
          </w:p>
        </w:tc>
        <w:tc>
          <w:tcPr>
            <w:tcW w:w="0" w:type="auto"/>
            <w:vAlign w:val="bottom"/>
          </w:tcPr>
          <w:p w:rsidR="008E16D9" w:rsidRDefault="008E16D9" w:rsidP="008E16D9">
            <w:pPr>
              <w:pStyle w:val="TableText"/>
              <w:tabs>
                <w:tab w:val="left" w:pos="915"/>
              </w:tabs>
              <w:spacing w:before="60" w:after="60"/>
              <w:rPr>
                <w:szCs w:val="18"/>
              </w:rPr>
            </w:pPr>
            <w:r w:rsidRPr="008E16D9">
              <w:rPr>
                <w:szCs w:val="18"/>
              </w:rPr>
              <w:t>Economist, Economic Policy Institute</w:t>
            </w:r>
          </w:p>
        </w:tc>
      </w:tr>
      <w:tr w:rsidR="007B288D" w:rsidTr="007B288D">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Ron</w:t>
            </w:r>
            <w:r w:rsidR="008E16D9" w:rsidRPr="008E16D9">
              <w:rPr>
                <w:szCs w:val="18"/>
              </w:rPr>
              <w:t xml:space="preserve"> Haskins</w:t>
            </w:r>
          </w:p>
        </w:tc>
        <w:tc>
          <w:tcPr>
            <w:tcW w:w="0" w:type="auto"/>
            <w:vAlign w:val="bottom"/>
          </w:tcPr>
          <w:p w:rsidR="008E16D9" w:rsidRDefault="008E16D9" w:rsidP="008E16D9">
            <w:pPr>
              <w:pStyle w:val="TableText"/>
              <w:spacing w:before="60" w:after="60"/>
              <w:rPr>
                <w:szCs w:val="18"/>
              </w:rPr>
            </w:pPr>
            <w:r w:rsidRPr="008E16D9">
              <w:rPr>
                <w:szCs w:val="18"/>
              </w:rPr>
              <w:t>Senior Fellow, The Brookings Institution</w:t>
            </w:r>
          </w:p>
        </w:tc>
      </w:tr>
      <w:tr w:rsidR="007B288D" w:rsidTr="007B288D">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Saul Hoffman</w:t>
            </w:r>
          </w:p>
        </w:tc>
        <w:tc>
          <w:tcPr>
            <w:tcW w:w="0" w:type="auto"/>
            <w:vAlign w:val="bottom"/>
          </w:tcPr>
          <w:p w:rsidR="008E16D9" w:rsidRDefault="008E16D9" w:rsidP="008E16D9">
            <w:pPr>
              <w:pStyle w:val="TableText"/>
              <w:spacing w:before="60" w:after="60"/>
              <w:rPr>
                <w:szCs w:val="18"/>
              </w:rPr>
            </w:pPr>
            <w:r w:rsidRPr="008E16D9">
              <w:rPr>
                <w:szCs w:val="18"/>
              </w:rPr>
              <w:t>Professor of Economics, University of Delaware</w:t>
            </w:r>
          </w:p>
        </w:tc>
      </w:tr>
      <w:tr w:rsidR="007B288D" w:rsidTr="007B288D">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Andre</w:t>
            </w:r>
            <w:r w:rsidR="008E16D9" w:rsidRPr="008E16D9">
              <w:rPr>
                <w:szCs w:val="18"/>
              </w:rPr>
              <w:t>a Kane</w:t>
            </w:r>
          </w:p>
        </w:tc>
        <w:tc>
          <w:tcPr>
            <w:tcW w:w="0" w:type="auto"/>
            <w:vAlign w:val="bottom"/>
          </w:tcPr>
          <w:p w:rsidR="008E16D9" w:rsidRDefault="008E16D9" w:rsidP="008E16D9">
            <w:pPr>
              <w:pStyle w:val="TableText"/>
              <w:tabs>
                <w:tab w:val="left" w:pos="1290"/>
              </w:tabs>
              <w:spacing w:before="60" w:after="60"/>
              <w:rPr>
                <w:szCs w:val="18"/>
              </w:rPr>
            </w:pPr>
            <w:r w:rsidRPr="008E16D9">
              <w:rPr>
                <w:szCs w:val="18"/>
              </w:rPr>
              <w:t>Senior Director of Public Policy, The National Campaign</w:t>
            </w:r>
          </w:p>
        </w:tc>
      </w:tr>
      <w:tr w:rsidR="007B288D" w:rsidTr="007B288D">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Lynn</w:t>
            </w:r>
            <w:r w:rsidR="008E16D9" w:rsidRPr="008E16D9">
              <w:rPr>
                <w:szCs w:val="18"/>
              </w:rPr>
              <w:t xml:space="preserve"> </w:t>
            </w:r>
            <w:proofErr w:type="spellStart"/>
            <w:r w:rsidR="008E16D9" w:rsidRPr="008E16D9">
              <w:rPr>
                <w:szCs w:val="18"/>
              </w:rPr>
              <w:t>Karoly</w:t>
            </w:r>
            <w:proofErr w:type="spellEnd"/>
          </w:p>
        </w:tc>
        <w:tc>
          <w:tcPr>
            <w:tcW w:w="0" w:type="auto"/>
            <w:vAlign w:val="bottom"/>
          </w:tcPr>
          <w:p w:rsidR="008E16D9" w:rsidRPr="008E16D9" w:rsidRDefault="008E16D9" w:rsidP="008E16D9">
            <w:pPr>
              <w:pStyle w:val="TableText"/>
              <w:spacing w:before="60" w:after="60"/>
              <w:rPr>
                <w:szCs w:val="18"/>
              </w:rPr>
            </w:pPr>
            <w:r w:rsidRPr="008E16D9">
              <w:rPr>
                <w:szCs w:val="18"/>
              </w:rPr>
              <w:t>Senior Economist, RAND</w:t>
            </w:r>
          </w:p>
        </w:tc>
      </w:tr>
      <w:tr w:rsidR="007B288D" w:rsidTr="007B288D">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Rebec</w:t>
            </w:r>
            <w:r w:rsidR="008E16D9" w:rsidRPr="008E16D9">
              <w:rPr>
                <w:szCs w:val="18"/>
              </w:rPr>
              <w:t>ca Maynard</w:t>
            </w:r>
          </w:p>
        </w:tc>
        <w:tc>
          <w:tcPr>
            <w:tcW w:w="0" w:type="auto"/>
            <w:vAlign w:val="bottom"/>
          </w:tcPr>
          <w:p w:rsidR="008E16D9" w:rsidRDefault="008E16D9" w:rsidP="008E16D9">
            <w:pPr>
              <w:pStyle w:val="TableText"/>
              <w:spacing w:before="60" w:after="60"/>
              <w:rPr>
                <w:szCs w:val="18"/>
              </w:rPr>
            </w:pPr>
            <w:r w:rsidRPr="008E16D9">
              <w:rPr>
                <w:szCs w:val="18"/>
              </w:rPr>
              <w:t>Professor of Education and Social Policy, University of Pennsylvania</w:t>
            </w:r>
          </w:p>
        </w:tc>
      </w:tr>
      <w:tr w:rsidR="007B288D" w:rsidTr="007B288D">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 xml:space="preserve">Adam </w:t>
            </w:r>
            <w:r w:rsidR="008E16D9" w:rsidRPr="008E16D9">
              <w:rPr>
                <w:szCs w:val="18"/>
              </w:rPr>
              <w:t>Thomas</w:t>
            </w:r>
          </w:p>
        </w:tc>
        <w:tc>
          <w:tcPr>
            <w:tcW w:w="0" w:type="auto"/>
            <w:vAlign w:val="bottom"/>
          </w:tcPr>
          <w:p w:rsidR="008E16D9" w:rsidRDefault="008E16D9" w:rsidP="008E16D9">
            <w:pPr>
              <w:pStyle w:val="TableText"/>
              <w:spacing w:before="60" w:after="60"/>
              <w:rPr>
                <w:szCs w:val="18"/>
              </w:rPr>
            </w:pPr>
            <w:r w:rsidRPr="008E16D9">
              <w:rPr>
                <w:szCs w:val="18"/>
              </w:rPr>
              <w:t>McCourt School of Public Policy, Georgetown University</w:t>
            </w:r>
          </w:p>
        </w:tc>
      </w:tr>
      <w:tr w:rsidR="007B288D" w:rsidTr="007B288D">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 xml:space="preserve">Dawn </w:t>
            </w:r>
            <w:proofErr w:type="spellStart"/>
            <w:r w:rsidR="008E16D9" w:rsidRPr="008E16D9">
              <w:rPr>
                <w:szCs w:val="18"/>
              </w:rPr>
              <w:t>Truett</w:t>
            </w:r>
            <w:proofErr w:type="spellEnd"/>
            <w:r w:rsidR="008E16D9" w:rsidRPr="008E16D9">
              <w:rPr>
                <w:szCs w:val="18"/>
              </w:rPr>
              <w:t>*</w:t>
            </w:r>
          </w:p>
        </w:tc>
        <w:tc>
          <w:tcPr>
            <w:tcW w:w="0" w:type="auto"/>
            <w:vAlign w:val="bottom"/>
          </w:tcPr>
          <w:p w:rsidR="008E16D9" w:rsidRDefault="008E16D9" w:rsidP="008E16D9">
            <w:pPr>
              <w:pStyle w:val="TableText"/>
              <w:spacing w:before="60" w:after="60"/>
              <w:rPr>
                <w:szCs w:val="18"/>
              </w:rPr>
            </w:pPr>
            <w:r w:rsidRPr="008E16D9">
              <w:rPr>
                <w:szCs w:val="18"/>
              </w:rPr>
              <w:t>Teen Pregnancy Prevention Program Manager,</w:t>
            </w:r>
            <w:r w:rsidR="007B288D" w:rsidRPr="007B288D">
              <w:rPr>
                <w:color w:val="000000"/>
                <w:szCs w:val="18"/>
              </w:rPr>
              <w:t xml:space="preserve"> </w:t>
            </w:r>
            <w:proofErr w:type="spellStart"/>
            <w:r w:rsidRPr="008E16D9">
              <w:rPr>
                <w:szCs w:val="18"/>
              </w:rPr>
              <w:t>Inspira</w:t>
            </w:r>
            <w:proofErr w:type="spellEnd"/>
            <w:r w:rsidRPr="008E16D9">
              <w:rPr>
                <w:szCs w:val="18"/>
              </w:rPr>
              <w:t xml:space="preserve"> Health Network</w:t>
            </w:r>
          </w:p>
        </w:tc>
      </w:tr>
      <w:tr w:rsidR="007B288D" w:rsidTr="007B288D">
        <w:tc>
          <w:tcPr>
            <w:tcW w:w="0" w:type="auto"/>
            <w:vAlign w:val="bottom"/>
          </w:tcPr>
          <w:p w:rsidR="007B288D" w:rsidRPr="007B288D" w:rsidRDefault="007B288D" w:rsidP="007B288D">
            <w:pPr>
              <w:pStyle w:val="TableText"/>
              <w:spacing w:before="60" w:after="60"/>
              <w:ind w:left="288" w:hanging="288"/>
              <w:rPr>
                <w:szCs w:val="18"/>
              </w:rPr>
            </w:pPr>
            <w:r w:rsidRPr="007B288D">
              <w:rPr>
                <w:szCs w:val="18"/>
              </w:rPr>
              <w:t>Berni</w:t>
            </w:r>
            <w:r w:rsidR="008E16D9" w:rsidRPr="008E16D9">
              <w:rPr>
                <w:szCs w:val="18"/>
              </w:rPr>
              <w:t>ce Tucker*</w:t>
            </w:r>
          </w:p>
        </w:tc>
        <w:tc>
          <w:tcPr>
            <w:tcW w:w="0" w:type="auto"/>
            <w:vAlign w:val="bottom"/>
          </w:tcPr>
          <w:p w:rsidR="008E16D9" w:rsidRDefault="008E16D9" w:rsidP="008E16D9">
            <w:pPr>
              <w:pStyle w:val="TableText"/>
              <w:spacing w:before="60" w:after="60"/>
              <w:rPr>
                <w:szCs w:val="18"/>
              </w:rPr>
            </w:pPr>
            <w:r w:rsidRPr="008E16D9">
              <w:rPr>
                <w:szCs w:val="18"/>
              </w:rPr>
              <w:t>Executive Director, Women Accepting Responsibility</w:t>
            </w:r>
          </w:p>
        </w:tc>
      </w:tr>
    </w:tbl>
    <w:p w:rsidR="008E16D9" w:rsidRDefault="007B288D" w:rsidP="008E16D9">
      <w:pPr>
        <w:ind w:firstLine="0"/>
      </w:pPr>
      <w:r>
        <w:t>*</w:t>
      </w:r>
      <w:r w:rsidR="00C70135">
        <w:t>Representatives from current TPP grantee sites.</w:t>
      </w:r>
    </w:p>
    <w:p w:rsidR="00303178" w:rsidRDefault="00303178" w:rsidP="002D074C">
      <w:pPr>
        <w:pStyle w:val="Default"/>
        <w:ind w:left="360"/>
        <w:jc w:val="both"/>
        <w:rPr>
          <w:rFonts w:ascii="Garamond" w:hAnsi="Garamond"/>
          <w:sz w:val="26"/>
          <w:szCs w:val="26"/>
        </w:rPr>
      </w:pPr>
    </w:p>
    <w:p w:rsidR="00B452F7" w:rsidRPr="00A526E7" w:rsidRDefault="00A526E7" w:rsidP="00A526E7">
      <w:pPr>
        <w:pStyle w:val="Heading2Black"/>
        <w:tabs>
          <w:tab w:val="clear" w:pos="432"/>
          <w:tab w:val="left" w:pos="540"/>
        </w:tabs>
        <w:ind w:left="540" w:hanging="540"/>
      </w:pPr>
      <w:bookmarkStart w:id="87" w:name="_Toc378184778"/>
      <w:r w:rsidRPr="00AC30FA">
        <w:lastRenderedPageBreak/>
        <w:t>A9.</w:t>
      </w:r>
      <w:r w:rsidRPr="00AC30FA">
        <w:tab/>
      </w:r>
      <w:r w:rsidR="00B452F7" w:rsidRPr="00AC30FA">
        <w:t>Payment</w:t>
      </w:r>
      <w:r w:rsidR="002D074C" w:rsidRPr="00AC30FA">
        <w:t>s</w:t>
      </w:r>
      <w:r w:rsidR="00B452F7" w:rsidRPr="00AC30FA">
        <w:t xml:space="preserve"> or Gift</w:t>
      </w:r>
      <w:r w:rsidR="002D074C" w:rsidRPr="00AC30FA">
        <w:t>s</w:t>
      </w:r>
      <w:bookmarkEnd w:id="80"/>
      <w:bookmarkEnd w:id="81"/>
      <w:bookmarkEnd w:id="82"/>
      <w:bookmarkEnd w:id="83"/>
      <w:bookmarkEnd w:id="84"/>
      <w:bookmarkEnd w:id="85"/>
      <w:bookmarkEnd w:id="86"/>
      <w:bookmarkEnd w:id="87"/>
    </w:p>
    <w:p w:rsidR="008E723F" w:rsidRDefault="009F3805" w:rsidP="00AC30FA">
      <w:pPr>
        <w:pStyle w:val="NormalSScontinued"/>
      </w:pPr>
      <w:bookmarkStart w:id="88" w:name="_Toc315954628"/>
      <w:bookmarkStart w:id="89" w:name="_Toc315955851"/>
      <w:bookmarkStart w:id="90" w:name="_Toc315955941"/>
      <w:bookmarkStart w:id="91" w:name="_Toc315956156"/>
      <w:bookmarkStart w:id="92" w:name="_Toc316049882"/>
      <w:r>
        <w:tab/>
      </w:r>
      <w:r w:rsidR="008E723F">
        <w:t>No payments to respondents are proposed for this information collection.</w:t>
      </w:r>
    </w:p>
    <w:p w:rsidR="002D074C" w:rsidRDefault="002D074C" w:rsidP="008E723F">
      <w:pPr>
        <w:pStyle w:val="Default"/>
        <w:ind w:left="360"/>
        <w:jc w:val="both"/>
        <w:rPr>
          <w:rFonts w:ascii="Garamond" w:hAnsi="Garamond"/>
          <w:sz w:val="26"/>
          <w:szCs w:val="26"/>
        </w:rPr>
      </w:pPr>
      <w:r>
        <w:rPr>
          <w:rFonts w:ascii="Garamond" w:hAnsi="Garamond"/>
          <w:sz w:val="26"/>
          <w:szCs w:val="26"/>
        </w:rPr>
        <w:t xml:space="preserve"> </w:t>
      </w:r>
    </w:p>
    <w:p w:rsidR="00B452F7" w:rsidRDefault="00B452F7" w:rsidP="00C12A99">
      <w:pPr>
        <w:pStyle w:val="Heading2"/>
        <w:tabs>
          <w:tab w:val="clear" w:pos="432"/>
          <w:tab w:val="left" w:pos="720"/>
        </w:tabs>
        <w:rPr>
          <w:rFonts w:ascii="Lucida Sans" w:hAnsi="Lucida Sans"/>
          <w:caps w:val="0"/>
        </w:rPr>
      </w:pPr>
      <w:bookmarkStart w:id="93" w:name="_Toc248720005"/>
      <w:bookmarkStart w:id="94" w:name="_Toc286757409"/>
      <w:bookmarkStart w:id="95" w:name="_Toc297280149"/>
      <w:bookmarkStart w:id="96" w:name="_Toc297282546"/>
      <w:bookmarkStart w:id="97" w:name="_Toc303683937"/>
      <w:bookmarkStart w:id="98" w:name="_Toc315954446"/>
      <w:bookmarkStart w:id="99" w:name="_Toc315958801"/>
      <w:bookmarkStart w:id="100" w:name="_Toc378184779"/>
      <w:bookmarkEnd w:id="88"/>
      <w:bookmarkEnd w:id="89"/>
      <w:bookmarkEnd w:id="90"/>
      <w:bookmarkEnd w:id="91"/>
      <w:bookmarkEnd w:id="92"/>
      <w:r w:rsidRPr="009F3805">
        <w:rPr>
          <w:rFonts w:ascii="Lucida Sans" w:hAnsi="Lucida Sans"/>
          <w:caps w:val="0"/>
        </w:rPr>
        <w:t>A10.</w:t>
      </w:r>
      <w:r w:rsidRPr="009F3805">
        <w:rPr>
          <w:rFonts w:ascii="Lucida Sans" w:hAnsi="Lucida Sans"/>
          <w:caps w:val="0"/>
        </w:rPr>
        <w:tab/>
        <w:t xml:space="preserve">Assurance of </w:t>
      </w:r>
      <w:bookmarkEnd w:id="93"/>
      <w:bookmarkEnd w:id="94"/>
      <w:bookmarkEnd w:id="95"/>
      <w:bookmarkEnd w:id="96"/>
      <w:bookmarkEnd w:id="97"/>
      <w:bookmarkEnd w:id="98"/>
      <w:bookmarkEnd w:id="99"/>
      <w:r w:rsidR="002D074C" w:rsidRPr="009F3805">
        <w:rPr>
          <w:rFonts w:ascii="Lucida Sans" w:hAnsi="Lucida Sans"/>
          <w:caps w:val="0"/>
        </w:rPr>
        <w:t>Confidentiality</w:t>
      </w:r>
      <w:bookmarkEnd w:id="100"/>
    </w:p>
    <w:p w:rsidR="00A514C7" w:rsidRDefault="00A514C7" w:rsidP="009F3805">
      <w:pPr>
        <w:pStyle w:val="NormalSScontinued"/>
      </w:pPr>
      <w:r>
        <w:tab/>
        <w:t xml:space="preserve">The cost data will </w:t>
      </w:r>
      <w:r w:rsidR="00694602">
        <w:t xml:space="preserve">be </w:t>
      </w:r>
      <w:r>
        <w:t>reported only in aggregate for each site, without reference to any personal identifying information. For example, reports may show the proportion of total costs attributed to staff salaries, but without naming or referencing individual staff members. The data collection instruments follow a similar approach</w:t>
      </w:r>
      <w:r w:rsidR="00C70135">
        <w:t>--</w:t>
      </w:r>
      <w:r>
        <w:t>for example, asking sites to report salary information by staff title, not personal name.</w:t>
      </w:r>
    </w:p>
    <w:p w:rsidR="009F3805" w:rsidRPr="009F3805" w:rsidRDefault="00A514C7" w:rsidP="009F3805">
      <w:pPr>
        <w:pStyle w:val="NormalSScontinued"/>
      </w:pPr>
      <w:r>
        <w:tab/>
      </w:r>
      <w:r w:rsidR="009F3805">
        <w:t xml:space="preserve">All electronic data will be transmitted and stored according to the level of security necessary for the sensitivity and </w:t>
      </w:r>
      <w:proofErr w:type="spellStart"/>
      <w:r w:rsidR="009F3805">
        <w:t>identifiability</w:t>
      </w:r>
      <w:proofErr w:type="spellEnd"/>
      <w:r w:rsidR="009F3805">
        <w:t xml:space="preserve"> of the data.</w:t>
      </w:r>
      <w:r>
        <w:t xml:space="preserve"> The web-based Staff Time-Use Survey will be password protected, with a unique username and passcode for each respondent. Responses to all data collection instruments will be stored by the evaluation contractor, </w:t>
      </w:r>
      <w:proofErr w:type="spellStart"/>
      <w:r>
        <w:t>Mathematica</w:t>
      </w:r>
      <w:proofErr w:type="spellEnd"/>
      <w:r>
        <w:t>, on secure network servers, with access to limited to project staff on a “need-to-know” basis.</w:t>
      </w:r>
    </w:p>
    <w:p w:rsidR="00C26FC3" w:rsidRDefault="00C26FC3" w:rsidP="00C26FC3">
      <w:pPr>
        <w:pStyle w:val="Default"/>
        <w:spacing w:after="120"/>
        <w:jc w:val="both"/>
        <w:rPr>
          <w:rFonts w:ascii="Garamond" w:hAnsi="Garamond"/>
          <w:sz w:val="26"/>
          <w:szCs w:val="26"/>
        </w:rPr>
      </w:pPr>
      <w:bookmarkStart w:id="101" w:name="_Toc286757410"/>
      <w:bookmarkStart w:id="102" w:name="_Toc297280150"/>
      <w:bookmarkStart w:id="103" w:name="_Toc297282547"/>
      <w:bookmarkStart w:id="104" w:name="_Toc303683938"/>
      <w:bookmarkStart w:id="105" w:name="_Toc315954447"/>
      <w:bookmarkStart w:id="106" w:name="_Toc315958802"/>
    </w:p>
    <w:p w:rsidR="00B452F7" w:rsidRDefault="00B452F7" w:rsidP="00C12A99">
      <w:pPr>
        <w:pStyle w:val="Heading2"/>
        <w:tabs>
          <w:tab w:val="clear" w:pos="432"/>
          <w:tab w:val="left" w:pos="720"/>
        </w:tabs>
        <w:rPr>
          <w:rFonts w:ascii="Lucida Sans" w:hAnsi="Lucida Sans"/>
          <w:caps w:val="0"/>
        </w:rPr>
      </w:pPr>
      <w:bookmarkStart w:id="107" w:name="_Toc378184780"/>
      <w:r w:rsidRPr="000238BC">
        <w:rPr>
          <w:rFonts w:ascii="Lucida Sans" w:hAnsi="Lucida Sans"/>
          <w:caps w:val="0"/>
        </w:rPr>
        <w:t>A11.</w:t>
      </w:r>
      <w:r w:rsidRPr="000238BC">
        <w:rPr>
          <w:rFonts w:ascii="Lucida Sans" w:hAnsi="Lucida Sans"/>
          <w:caps w:val="0"/>
        </w:rPr>
        <w:tab/>
        <w:t>Justification for Sensitive Questions</w:t>
      </w:r>
      <w:bookmarkEnd w:id="101"/>
      <w:bookmarkEnd w:id="102"/>
      <w:bookmarkEnd w:id="103"/>
      <w:bookmarkEnd w:id="104"/>
      <w:bookmarkEnd w:id="105"/>
      <w:bookmarkEnd w:id="106"/>
      <w:bookmarkEnd w:id="107"/>
    </w:p>
    <w:p w:rsidR="00DE15F1" w:rsidRDefault="000238BC" w:rsidP="00DE15F1">
      <w:pPr>
        <w:pStyle w:val="NormalSS"/>
      </w:pPr>
      <w:r>
        <w:t>Calculating accurate estimates of program costs requires collecting information on staff salaries and grantee operating costs. The importance of this information will be explained to study respondents and we will ask sites to report salary information only by staff title, no</w:t>
      </w:r>
      <w:r w:rsidR="00C70135">
        <w:t>t</w:t>
      </w:r>
      <w:r>
        <w:t xml:space="preserve"> personal name.</w:t>
      </w:r>
    </w:p>
    <w:p w:rsidR="00DE15F1" w:rsidRPr="00DE15F1" w:rsidRDefault="00DE15F1" w:rsidP="00DE15F1">
      <w:pPr>
        <w:pStyle w:val="NormalSS"/>
      </w:pPr>
    </w:p>
    <w:p w:rsidR="00322476" w:rsidRPr="00C12A99" w:rsidRDefault="00322476" w:rsidP="00322476">
      <w:pPr>
        <w:pStyle w:val="Heading2"/>
        <w:tabs>
          <w:tab w:val="clear" w:pos="432"/>
          <w:tab w:val="left" w:pos="720"/>
        </w:tabs>
        <w:rPr>
          <w:rFonts w:ascii="Lucida Sans" w:hAnsi="Lucida Sans"/>
          <w:caps w:val="0"/>
        </w:rPr>
      </w:pPr>
      <w:bookmarkStart w:id="108" w:name="_Toc378184781"/>
      <w:bookmarkStart w:id="109" w:name="_Toc303683939"/>
      <w:bookmarkStart w:id="110" w:name="_Toc315954448"/>
      <w:bookmarkStart w:id="111" w:name="_Toc315958803"/>
      <w:r w:rsidRPr="00627321">
        <w:rPr>
          <w:rFonts w:ascii="Lucida Sans" w:hAnsi="Lucida Sans"/>
          <w:caps w:val="0"/>
        </w:rPr>
        <w:t>A12.</w:t>
      </w:r>
      <w:r w:rsidRPr="00627321">
        <w:rPr>
          <w:rFonts w:ascii="Lucida Sans" w:hAnsi="Lucida Sans"/>
          <w:caps w:val="0"/>
        </w:rPr>
        <w:tab/>
        <w:t xml:space="preserve">Estimates of </w:t>
      </w:r>
      <w:r w:rsidR="002D074C" w:rsidRPr="00627321">
        <w:rPr>
          <w:rFonts w:ascii="Lucida Sans" w:hAnsi="Lucida Sans"/>
          <w:caps w:val="0"/>
        </w:rPr>
        <w:t>Hours</w:t>
      </w:r>
      <w:r w:rsidRPr="00627321">
        <w:rPr>
          <w:rFonts w:ascii="Lucida Sans" w:hAnsi="Lucida Sans"/>
          <w:caps w:val="0"/>
        </w:rPr>
        <w:t xml:space="preserve"> Burden</w:t>
      </w:r>
      <w:bookmarkEnd w:id="108"/>
      <w:r w:rsidRPr="00A06270">
        <w:rPr>
          <w:rFonts w:ascii="Lucida Sans" w:hAnsi="Lucida Sans"/>
          <w:caps w:val="0"/>
        </w:rPr>
        <w:t xml:space="preserve"> </w:t>
      </w:r>
      <w:bookmarkEnd w:id="109"/>
      <w:bookmarkEnd w:id="110"/>
      <w:bookmarkEnd w:id="111"/>
    </w:p>
    <w:p w:rsidR="000238BC" w:rsidRPr="009F3805" w:rsidRDefault="000238BC" w:rsidP="000238BC">
      <w:pPr>
        <w:pStyle w:val="Heading3NoTOC"/>
      </w:pPr>
      <w:bookmarkStart w:id="112" w:name="_Toc315954449"/>
      <w:r>
        <w:t>a.</w:t>
      </w:r>
      <w:r>
        <w:tab/>
        <w:t>Annualized Burden Estimates</w:t>
      </w:r>
    </w:p>
    <w:p w:rsidR="007E01DB" w:rsidRDefault="000238BC" w:rsidP="007E01DB">
      <w:pPr>
        <w:pStyle w:val="NormalSS"/>
      </w:pPr>
      <w:r w:rsidRPr="009F3805">
        <w:t> </w:t>
      </w:r>
      <w:r w:rsidR="007E01DB">
        <w:t>Table A.</w:t>
      </w:r>
      <w:r w:rsidR="00C70135">
        <w:t>3</w:t>
      </w:r>
      <w:r w:rsidR="007E01DB">
        <w:t xml:space="preserve"> summarizes the total estimated reporting burden for the Cost Study of Evidence-Based Teen Pregnancy Prevention Programs. We assume that up to 30 grantees wil</w:t>
      </w:r>
      <w:r w:rsidR="00694602">
        <w:t xml:space="preserve">l participate in the cost study </w:t>
      </w:r>
      <w:r w:rsidR="007E01DB">
        <w:t>and up to 15 grantees will participate i</w:t>
      </w:r>
      <w:r w:rsidR="00694602">
        <w:t>n the economic e</w:t>
      </w:r>
      <w:r w:rsidR="007E01DB">
        <w:t xml:space="preserve">valuation. Assuming the maximum number of sites the total annualized burden is estimated to be </w:t>
      </w:r>
      <w:r w:rsidR="002B4B27">
        <w:t>715</w:t>
      </w:r>
      <w:r w:rsidR="007E01DB">
        <w:t xml:space="preserve"> hours.  Figures are estimated as follows:</w:t>
      </w:r>
    </w:p>
    <w:p w:rsidR="007E01DB" w:rsidRPr="00627321" w:rsidRDefault="007E01DB" w:rsidP="00627321">
      <w:pPr>
        <w:pStyle w:val="Bullet"/>
        <w:rPr>
          <w:rFonts w:ascii="Garamond" w:hAnsi="Garamond"/>
        </w:rPr>
      </w:pPr>
      <w:r w:rsidRPr="00627321">
        <w:rPr>
          <w:rFonts w:ascii="Garamond" w:hAnsi="Garamond"/>
          <w:b/>
        </w:rPr>
        <w:t>Cost Tool</w:t>
      </w:r>
      <w:r w:rsidRPr="00627321">
        <w:rPr>
          <w:rFonts w:ascii="Garamond" w:hAnsi="Garamond"/>
        </w:rPr>
        <w:t>.  30 total surveys, or one per grantee</w:t>
      </w:r>
      <w:r w:rsidR="00627321">
        <w:rPr>
          <w:rFonts w:ascii="Garamond" w:hAnsi="Garamond"/>
        </w:rPr>
        <w:t xml:space="preserve"> participating in the cost analysis</w:t>
      </w:r>
      <w:r w:rsidRPr="00627321">
        <w:rPr>
          <w:rFonts w:ascii="Garamond" w:hAnsi="Garamond"/>
        </w:rPr>
        <w:t xml:space="preserve">, are estimated. </w:t>
      </w:r>
      <w:r w:rsidR="002B4B27" w:rsidRPr="00627321">
        <w:rPr>
          <w:rFonts w:ascii="Garamond" w:hAnsi="Garamond"/>
        </w:rPr>
        <w:t xml:space="preserve">Each grantee will complete the survey once and we estimate it will take eight hours. </w:t>
      </w:r>
    </w:p>
    <w:p w:rsidR="007E01DB" w:rsidRPr="00627321" w:rsidRDefault="002B4B27" w:rsidP="00627321">
      <w:pPr>
        <w:pStyle w:val="Bullet"/>
        <w:rPr>
          <w:rFonts w:ascii="Garamond" w:hAnsi="Garamond"/>
        </w:rPr>
      </w:pPr>
      <w:r w:rsidRPr="00627321">
        <w:rPr>
          <w:rFonts w:ascii="Garamond" w:hAnsi="Garamond"/>
          <w:b/>
        </w:rPr>
        <w:t>Implementation Tool</w:t>
      </w:r>
      <w:r w:rsidR="007E01DB" w:rsidRPr="00627321">
        <w:rPr>
          <w:rFonts w:ascii="Garamond" w:hAnsi="Garamond"/>
        </w:rPr>
        <w:t>.  30 staff members</w:t>
      </w:r>
      <w:r w:rsidRPr="00627321">
        <w:rPr>
          <w:rFonts w:ascii="Garamond" w:hAnsi="Garamond"/>
        </w:rPr>
        <w:t>, one per grantee</w:t>
      </w:r>
      <w:r w:rsidR="00627321">
        <w:rPr>
          <w:rFonts w:ascii="Garamond" w:hAnsi="Garamond"/>
        </w:rPr>
        <w:t xml:space="preserve"> participating in the cost analysis</w:t>
      </w:r>
      <w:r w:rsidRPr="00627321">
        <w:rPr>
          <w:rFonts w:ascii="Garamond" w:hAnsi="Garamond"/>
        </w:rPr>
        <w:t>,</w:t>
      </w:r>
      <w:r w:rsidR="007E01DB" w:rsidRPr="00627321">
        <w:rPr>
          <w:rFonts w:ascii="Garamond" w:hAnsi="Garamond"/>
        </w:rPr>
        <w:t xml:space="preserve"> </w:t>
      </w:r>
      <w:r w:rsidRPr="00627321">
        <w:rPr>
          <w:rFonts w:ascii="Garamond" w:hAnsi="Garamond"/>
        </w:rPr>
        <w:t xml:space="preserve">will participate in </w:t>
      </w:r>
      <w:r w:rsidR="008048A0" w:rsidRPr="00627321">
        <w:rPr>
          <w:rFonts w:ascii="Garamond" w:hAnsi="Garamond"/>
        </w:rPr>
        <w:t xml:space="preserve">one, </w:t>
      </w:r>
      <w:r w:rsidRPr="00627321">
        <w:rPr>
          <w:rFonts w:ascii="Garamond" w:hAnsi="Garamond"/>
        </w:rPr>
        <w:t xml:space="preserve">one-hour discussion about program implementation. </w:t>
      </w:r>
    </w:p>
    <w:p w:rsidR="002B4B27" w:rsidRPr="00627321" w:rsidRDefault="002B4B27" w:rsidP="00627321">
      <w:pPr>
        <w:pStyle w:val="Bullet"/>
        <w:rPr>
          <w:rFonts w:ascii="Garamond" w:hAnsi="Garamond"/>
        </w:rPr>
      </w:pPr>
      <w:r w:rsidRPr="00627321">
        <w:rPr>
          <w:rFonts w:ascii="Garamond" w:hAnsi="Garamond"/>
          <w:b/>
        </w:rPr>
        <w:lastRenderedPageBreak/>
        <w:t>Staff Time Use Survey</w:t>
      </w:r>
      <w:r w:rsidRPr="00627321">
        <w:rPr>
          <w:rFonts w:ascii="Garamond" w:hAnsi="Garamond"/>
        </w:rPr>
        <w:t>.  1,200 responses are anticipated: 20 respondents in each of 30 grantees</w:t>
      </w:r>
      <w:r w:rsidR="00627321">
        <w:rPr>
          <w:rFonts w:ascii="Garamond" w:hAnsi="Garamond"/>
        </w:rPr>
        <w:t xml:space="preserve"> participating in the analysis</w:t>
      </w:r>
      <w:r w:rsidRPr="00627321">
        <w:rPr>
          <w:rFonts w:ascii="Garamond" w:hAnsi="Garamond"/>
        </w:rPr>
        <w:t>, administered twice during the one year of data collection.</w:t>
      </w:r>
      <w:r w:rsidR="008048A0" w:rsidRPr="00627321">
        <w:rPr>
          <w:rFonts w:ascii="Garamond" w:hAnsi="Garamond"/>
        </w:rPr>
        <w:t xml:space="preserve"> Each response will take no more than 20 minutes.</w:t>
      </w:r>
    </w:p>
    <w:p w:rsidR="00477312" w:rsidRDefault="002B4B27" w:rsidP="00477312">
      <w:pPr>
        <w:pStyle w:val="Bullet"/>
        <w:rPr>
          <w:rFonts w:ascii="Garamond" w:hAnsi="Garamond"/>
        </w:rPr>
      </w:pPr>
      <w:r w:rsidRPr="00627321">
        <w:rPr>
          <w:rFonts w:ascii="Garamond" w:hAnsi="Garamond"/>
          <w:b/>
        </w:rPr>
        <w:t>Economic Evaluation Form</w:t>
      </w:r>
      <w:r w:rsidR="00627321">
        <w:rPr>
          <w:rFonts w:ascii="Garamond" w:hAnsi="Garamond"/>
        </w:rPr>
        <w:t>. 15 respondents</w:t>
      </w:r>
      <w:r w:rsidRPr="00627321">
        <w:rPr>
          <w:rFonts w:ascii="Garamond" w:hAnsi="Garamond"/>
        </w:rPr>
        <w:t>, one p</w:t>
      </w:r>
      <w:r w:rsidR="00627321">
        <w:rPr>
          <w:rFonts w:ascii="Garamond" w:hAnsi="Garamond"/>
        </w:rPr>
        <w:t>er grantee participating in the economic evaluation</w:t>
      </w:r>
      <w:r w:rsidRPr="00627321">
        <w:rPr>
          <w:rFonts w:ascii="Garamond" w:hAnsi="Garamond"/>
        </w:rPr>
        <w:t xml:space="preserve">, will </w:t>
      </w:r>
      <w:r w:rsidR="005F2A0C">
        <w:rPr>
          <w:rFonts w:ascii="Garamond" w:hAnsi="Garamond"/>
        </w:rPr>
        <w:t>participate in one, one-hour discussion about the ongoing impact evaluations. As a result of these discussions, each respondent may need to conduct up to two hours of follow-up work to provide the requested information and data on the impact evaluations.</w:t>
      </w:r>
    </w:p>
    <w:p w:rsidR="00477312" w:rsidRPr="00477312" w:rsidRDefault="00477312" w:rsidP="00477312">
      <w:pPr>
        <w:pStyle w:val="Bullet"/>
        <w:numPr>
          <w:ilvl w:val="0"/>
          <w:numId w:val="0"/>
        </w:numPr>
        <w:ind w:left="720"/>
        <w:rPr>
          <w:rFonts w:ascii="Garamond" w:hAnsi="Garamond"/>
        </w:rPr>
      </w:pPr>
    </w:p>
    <w:p w:rsidR="008048A0" w:rsidRDefault="008048A0" w:rsidP="008048A0">
      <w:pPr>
        <w:pStyle w:val="MarkforTableHeading"/>
      </w:pPr>
      <w:r>
        <w:t>Table A.</w:t>
      </w:r>
      <w:r w:rsidR="00C70135">
        <w:t>3</w:t>
      </w:r>
      <w:r>
        <w:t xml:space="preserve">. </w:t>
      </w:r>
      <w:r w:rsidRPr="0000170D">
        <w:t>Estimate</w:t>
      </w:r>
      <w:r>
        <w:t xml:space="preserve"> of Burden and Costs for the Cost Study of Evidence-Based Teen Pregnancy Prevention Programs </w:t>
      </w:r>
    </w:p>
    <w:tbl>
      <w:tblPr>
        <w:tblStyle w:val="TableGrid"/>
        <w:tblW w:w="5025"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5"/>
        <w:gridCol w:w="1392"/>
        <w:gridCol w:w="1307"/>
        <w:gridCol w:w="1080"/>
        <w:gridCol w:w="1261"/>
        <w:gridCol w:w="1442"/>
        <w:gridCol w:w="1347"/>
      </w:tblGrid>
      <w:tr w:rsidR="008048A0" w:rsidTr="00446CBE">
        <w:trPr>
          <w:tblHeader/>
        </w:trPr>
        <w:tc>
          <w:tcPr>
            <w:tcW w:w="933" w:type="pct"/>
            <w:tcBorders>
              <w:top w:val="single" w:sz="12" w:space="0" w:color="auto"/>
              <w:bottom w:val="single" w:sz="4" w:space="0" w:color="auto"/>
            </w:tcBorders>
            <w:shd w:val="clear" w:color="auto" w:fill="auto"/>
            <w:vAlign w:val="bottom"/>
          </w:tcPr>
          <w:p w:rsidR="008048A0" w:rsidRPr="00E20DD5" w:rsidRDefault="008048A0" w:rsidP="00446CBE">
            <w:pPr>
              <w:pStyle w:val="TableHeaderLeft"/>
              <w:tabs>
                <w:tab w:val="clear" w:pos="432"/>
              </w:tabs>
              <w:rPr>
                <w:sz w:val="16"/>
                <w:szCs w:val="16"/>
              </w:rPr>
            </w:pPr>
            <w:r w:rsidRPr="00E20DD5">
              <w:rPr>
                <w:sz w:val="16"/>
                <w:szCs w:val="16"/>
              </w:rPr>
              <w:t>Activity/Respondent</w:t>
            </w:r>
          </w:p>
        </w:tc>
        <w:tc>
          <w:tcPr>
            <w:tcW w:w="723" w:type="pct"/>
            <w:tcBorders>
              <w:top w:val="single" w:sz="12" w:space="0" w:color="auto"/>
              <w:bottom w:val="single" w:sz="4" w:space="0" w:color="auto"/>
            </w:tcBorders>
            <w:shd w:val="clear" w:color="auto" w:fill="auto"/>
            <w:vAlign w:val="bottom"/>
          </w:tcPr>
          <w:p w:rsidR="008048A0" w:rsidRPr="00E20DD5" w:rsidRDefault="008048A0" w:rsidP="00446CBE">
            <w:pPr>
              <w:pStyle w:val="TableHeaderCenter"/>
              <w:rPr>
                <w:sz w:val="16"/>
                <w:szCs w:val="16"/>
              </w:rPr>
            </w:pPr>
            <w:r>
              <w:rPr>
                <w:sz w:val="16"/>
                <w:szCs w:val="16"/>
              </w:rPr>
              <w:t xml:space="preserve">Annual </w:t>
            </w:r>
            <w:r w:rsidRPr="00E20DD5">
              <w:rPr>
                <w:sz w:val="16"/>
                <w:szCs w:val="16"/>
              </w:rPr>
              <w:t>Number of Respondents</w:t>
            </w:r>
          </w:p>
        </w:tc>
        <w:tc>
          <w:tcPr>
            <w:tcW w:w="679" w:type="pct"/>
            <w:tcBorders>
              <w:top w:val="single" w:sz="12" w:space="0" w:color="auto"/>
              <w:bottom w:val="single" w:sz="4" w:space="0" w:color="auto"/>
            </w:tcBorders>
            <w:shd w:val="clear" w:color="auto" w:fill="auto"/>
            <w:vAlign w:val="bottom"/>
          </w:tcPr>
          <w:p w:rsidR="008048A0" w:rsidRPr="00E20DD5" w:rsidRDefault="008048A0" w:rsidP="00446CBE">
            <w:pPr>
              <w:pStyle w:val="TableHeaderCenter"/>
              <w:rPr>
                <w:sz w:val="16"/>
                <w:szCs w:val="16"/>
              </w:rPr>
            </w:pPr>
            <w:r w:rsidRPr="00E20DD5">
              <w:rPr>
                <w:sz w:val="16"/>
                <w:szCs w:val="16"/>
              </w:rPr>
              <w:t>Number of Responses Per Respondent</w:t>
            </w:r>
          </w:p>
        </w:tc>
        <w:tc>
          <w:tcPr>
            <w:tcW w:w="561" w:type="pct"/>
            <w:tcBorders>
              <w:top w:val="single" w:sz="12" w:space="0" w:color="auto"/>
              <w:bottom w:val="single" w:sz="4" w:space="0" w:color="auto"/>
            </w:tcBorders>
            <w:shd w:val="clear" w:color="auto" w:fill="auto"/>
            <w:vAlign w:val="bottom"/>
          </w:tcPr>
          <w:p w:rsidR="008048A0" w:rsidRPr="00E20DD5" w:rsidRDefault="008048A0" w:rsidP="00446CBE">
            <w:pPr>
              <w:pStyle w:val="TableHeaderCenter"/>
              <w:jc w:val="both"/>
              <w:rPr>
                <w:sz w:val="16"/>
                <w:szCs w:val="16"/>
              </w:rPr>
            </w:pPr>
            <w:r w:rsidRPr="00E20DD5">
              <w:rPr>
                <w:sz w:val="16"/>
                <w:szCs w:val="16"/>
              </w:rPr>
              <w:t>Average Burden Per Response</w:t>
            </w:r>
            <w:r>
              <w:rPr>
                <w:sz w:val="16"/>
                <w:szCs w:val="16"/>
              </w:rPr>
              <w:t xml:space="preserve"> (Minutes)</w:t>
            </w:r>
          </w:p>
        </w:tc>
        <w:tc>
          <w:tcPr>
            <w:tcW w:w="655" w:type="pct"/>
            <w:tcBorders>
              <w:top w:val="single" w:sz="12" w:space="0" w:color="auto"/>
              <w:bottom w:val="single" w:sz="4" w:space="0" w:color="auto"/>
            </w:tcBorders>
            <w:shd w:val="clear" w:color="auto" w:fill="auto"/>
            <w:vAlign w:val="bottom"/>
          </w:tcPr>
          <w:p w:rsidR="008048A0" w:rsidRPr="00E20DD5" w:rsidRDefault="008048A0" w:rsidP="00446CBE">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Burden Hours</w:t>
            </w:r>
          </w:p>
        </w:tc>
        <w:tc>
          <w:tcPr>
            <w:tcW w:w="749" w:type="pct"/>
            <w:tcBorders>
              <w:top w:val="single" w:sz="12" w:space="0" w:color="auto"/>
              <w:bottom w:val="single" w:sz="4" w:space="0" w:color="auto"/>
            </w:tcBorders>
            <w:vAlign w:val="bottom"/>
          </w:tcPr>
          <w:p w:rsidR="008048A0" w:rsidRPr="00E20DD5" w:rsidRDefault="008048A0" w:rsidP="00446CBE">
            <w:pPr>
              <w:pStyle w:val="TableHeaderCenter"/>
              <w:rPr>
                <w:sz w:val="16"/>
                <w:szCs w:val="16"/>
              </w:rPr>
            </w:pPr>
            <w:r w:rsidRPr="005C33ED">
              <w:rPr>
                <w:sz w:val="16"/>
                <w:szCs w:val="16"/>
              </w:rPr>
              <w:t>Average Hourly Wage</w:t>
            </w:r>
          </w:p>
        </w:tc>
        <w:tc>
          <w:tcPr>
            <w:tcW w:w="700" w:type="pct"/>
            <w:tcBorders>
              <w:top w:val="single" w:sz="12" w:space="0" w:color="auto"/>
              <w:bottom w:val="single" w:sz="4" w:space="0" w:color="auto"/>
            </w:tcBorders>
            <w:vAlign w:val="bottom"/>
          </w:tcPr>
          <w:p w:rsidR="008048A0" w:rsidRPr="00E20DD5" w:rsidRDefault="008048A0" w:rsidP="00446CBE">
            <w:pPr>
              <w:pStyle w:val="TableHeaderCenter"/>
              <w:rPr>
                <w:sz w:val="16"/>
                <w:szCs w:val="16"/>
              </w:rPr>
            </w:pPr>
            <w:r w:rsidRPr="005C33ED">
              <w:rPr>
                <w:sz w:val="16"/>
                <w:szCs w:val="16"/>
              </w:rPr>
              <w:t>Total Annualized Cost</w:t>
            </w:r>
          </w:p>
        </w:tc>
      </w:tr>
      <w:tr w:rsidR="008048A0" w:rsidTr="00446CBE">
        <w:tc>
          <w:tcPr>
            <w:tcW w:w="933" w:type="pct"/>
            <w:tcBorders>
              <w:top w:val="single" w:sz="4" w:space="0" w:color="auto"/>
              <w:bottom w:val="single" w:sz="4" w:space="0" w:color="auto"/>
            </w:tcBorders>
            <w:shd w:val="clear" w:color="auto" w:fill="auto"/>
          </w:tcPr>
          <w:p w:rsidR="008048A0" w:rsidRDefault="008048A0" w:rsidP="00446CBE">
            <w:pPr>
              <w:pStyle w:val="TableText"/>
              <w:spacing w:before="60" w:after="60"/>
            </w:pPr>
            <w:r>
              <w:t>Cost Tool</w:t>
            </w:r>
          </w:p>
        </w:tc>
        <w:tc>
          <w:tcPr>
            <w:tcW w:w="723"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30</w:t>
            </w:r>
          </w:p>
        </w:tc>
        <w:tc>
          <w:tcPr>
            <w:tcW w:w="679"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1</w:t>
            </w:r>
          </w:p>
        </w:tc>
        <w:tc>
          <w:tcPr>
            <w:tcW w:w="561"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480</w:t>
            </w:r>
          </w:p>
        </w:tc>
        <w:tc>
          <w:tcPr>
            <w:tcW w:w="655"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240</w:t>
            </w:r>
          </w:p>
        </w:tc>
        <w:tc>
          <w:tcPr>
            <w:tcW w:w="749" w:type="pct"/>
            <w:tcBorders>
              <w:top w:val="single" w:sz="4" w:space="0" w:color="auto"/>
              <w:bottom w:val="single" w:sz="4" w:space="0" w:color="auto"/>
            </w:tcBorders>
            <w:vAlign w:val="bottom"/>
          </w:tcPr>
          <w:p w:rsidR="008048A0" w:rsidRPr="00E20DD5" w:rsidRDefault="008048A0" w:rsidP="00446CBE">
            <w:pPr>
              <w:pStyle w:val="TableText"/>
              <w:tabs>
                <w:tab w:val="decimal" w:pos="927"/>
              </w:tabs>
              <w:spacing w:after="60"/>
              <w:rPr>
                <w:sz w:val="16"/>
                <w:szCs w:val="16"/>
              </w:rPr>
            </w:pPr>
            <w:r>
              <w:rPr>
                <w:sz w:val="16"/>
                <w:szCs w:val="16"/>
              </w:rPr>
              <w:t>$30.99</w:t>
            </w:r>
          </w:p>
        </w:tc>
        <w:tc>
          <w:tcPr>
            <w:tcW w:w="700" w:type="pct"/>
            <w:tcBorders>
              <w:top w:val="single" w:sz="4" w:space="0" w:color="auto"/>
              <w:bottom w:val="single" w:sz="4" w:space="0" w:color="auto"/>
            </w:tcBorders>
            <w:vAlign w:val="bottom"/>
          </w:tcPr>
          <w:p w:rsidR="008048A0" w:rsidRPr="00E20DD5" w:rsidRDefault="008048A0" w:rsidP="00446CBE">
            <w:pPr>
              <w:pStyle w:val="TableText"/>
              <w:tabs>
                <w:tab w:val="decimal" w:pos="927"/>
              </w:tabs>
              <w:spacing w:after="60"/>
              <w:rPr>
                <w:sz w:val="16"/>
                <w:szCs w:val="16"/>
              </w:rPr>
            </w:pPr>
            <w:r>
              <w:rPr>
                <w:sz w:val="16"/>
                <w:szCs w:val="16"/>
              </w:rPr>
              <w:t>$7,437.60</w:t>
            </w:r>
          </w:p>
        </w:tc>
      </w:tr>
      <w:tr w:rsidR="008048A0" w:rsidTr="00446CBE">
        <w:tc>
          <w:tcPr>
            <w:tcW w:w="933" w:type="pct"/>
            <w:tcBorders>
              <w:top w:val="single" w:sz="4" w:space="0" w:color="auto"/>
              <w:bottom w:val="single" w:sz="4" w:space="0" w:color="auto"/>
            </w:tcBorders>
            <w:shd w:val="clear" w:color="auto" w:fill="auto"/>
          </w:tcPr>
          <w:p w:rsidR="008048A0" w:rsidRPr="00F37494" w:rsidRDefault="008048A0" w:rsidP="00446CBE">
            <w:pPr>
              <w:pStyle w:val="TableText"/>
              <w:spacing w:before="120"/>
              <w:rPr>
                <w:b/>
                <w:sz w:val="16"/>
                <w:szCs w:val="16"/>
              </w:rPr>
            </w:pPr>
            <w:r>
              <w:t>Implementation Tool</w:t>
            </w:r>
            <w:r w:rsidR="00E76FF3">
              <w:t>*</w:t>
            </w:r>
          </w:p>
        </w:tc>
        <w:tc>
          <w:tcPr>
            <w:tcW w:w="723"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30</w:t>
            </w:r>
          </w:p>
        </w:tc>
        <w:tc>
          <w:tcPr>
            <w:tcW w:w="679"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1</w:t>
            </w:r>
          </w:p>
        </w:tc>
        <w:tc>
          <w:tcPr>
            <w:tcW w:w="561" w:type="pct"/>
            <w:tcBorders>
              <w:top w:val="single" w:sz="4" w:space="0" w:color="auto"/>
              <w:bottom w:val="single" w:sz="4" w:space="0" w:color="auto"/>
            </w:tcBorders>
            <w:shd w:val="clear" w:color="auto" w:fill="auto"/>
            <w:vAlign w:val="bottom"/>
          </w:tcPr>
          <w:p w:rsidR="008048A0" w:rsidRDefault="008048A0" w:rsidP="00446CBE">
            <w:pPr>
              <w:pStyle w:val="TableText"/>
              <w:tabs>
                <w:tab w:val="decimal" w:pos="927"/>
              </w:tabs>
              <w:spacing w:after="60"/>
              <w:rPr>
                <w:sz w:val="16"/>
                <w:szCs w:val="16"/>
              </w:rPr>
            </w:pPr>
            <w:r>
              <w:rPr>
                <w:sz w:val="16"/>
                <w:szCs w:val="16"/>
              </w:rPr>
              <w:t>60</w:t>
            </w:r>
          </w:p>
        </w:tc>
        <w:tc>
          <w:tcPr>
            <w:tcW w:w="655"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30</w:t>
            </w:r>
          </w:p>
        </w:tc>
        <w:tc>
          <w:tcPr>
            <w:tcW w:w="749" w:type="pct"/>
            <w:tcBorders>
              <w:top w:val="single" w:sz="4" w:space="0" w:color="auto"/>
              <w:bottom w:val="single" w:sz="4" w:space="0" w:color="auto"/>
            </w:tcBorders>
            <w:vAlign w:val="bottom"/>
          </w:tcPr>
          <w:p w:rsidR="008048A0" w:rsidRPr="005C33ED" w:rsidRDefault="008048A0" w:rsidP="00446CBE">
            <w:pPr>
              <w:pStyle w:val="TableText"/>
              <w:tabs>
                <w:tab w:val="decimal" w:pos="927"/>
              </w:tabs>
              <w:spacing w:after="60"/>
              <w:rPr>
                <w:sz w:val="16"/>
                <w:szCs w:val="16"/>
              </w:rPr>
            </w:pPr>
            <w:r>
              <w:rPr>
                <w:sz w:val="16"/>
                <w:szCs w:val="16"/>
              </w:rPr>
              <w:t>$30.99</w:t>
            </w:r>
          </w:p>
        </w:tc>
        <w:tc>
          <w:tcPr>
            <w:tcW w:w="700" w:type="pct"/>
            <w:tcBorders>
              <w:top w:val="single" w:sz="4" w:space="0" w:color="auto"/>
              <w:bottom w:val="single" w:sz="4" w:space="0" w:color="auto"/>
            </w:tcBorders>
            <w:vAlign w:val="bottom"/>
          </w:tcPr>
          <w:p w:rsidR="008048A0" w:rsidRPr="005C33ED" w:rsidRDefault="008048A0" w:rsidP="00446CBE">
            <w:pPr>
              <w:pStyle w:val="TableText"/>
              <w:tabs>
                <w:tab w:val="decimal" w:pos="927"/>
              </w:tabs>
              <w:spacing w:after="60"/>
              <w:rPr>
                <w:sz w:val="16"/>
                <w:szCs w:val="16"/>
              </w:rPr>
            </w:pPr>
            <w:r>
              <w:rPr>
                <w:sz w:val="16"/>
                <w:szCs w:val="16"/>
              </w:rPr>
              <w:t>$929.70</w:t>
            </w:r>
          </w:p>
        </w:tc>
      </w:tr>
      <w:tr w:rsidR="008048A0" w:rsidTr="00446CBE">
        <w:tc>
          <w:tcPr>
            <w:tcW w:w="933" w:type="pct"/>
            <w:tcBorders>
              <w:top w:val="single" w:sz="4" w:space="0" w:color="auto"/>
              <w:bottom w:val="single" w:sz="4" w:space="0" w:color="auto"/>
            </w:tcBorders>
            <w:shd w:val="clear" w:color="auto" w:fill="auto"/>
          </w:tcPr>
          <w:p w:rsidR="008048A0" w:rsidRPr="00F37494" w:rsidRDefault="008048A0" w:rsidP="00446CBE">
            <w:pPr>
              <w:pStyle w:val="TableText"/>
              <w:spacing w:before="120"/>
              <w:rPr>
                <w:b/>
                <w:sz w:val="16"/>
                <w:szCs w:val="16"/>
              </w:rPr>
            </w:pPr>
            <w:r>
              <w:t>Staff Time Use Survey</w:t>
            </w:r>
          </w:p>
        </w:tc>
        <w:tc>
          <w:tcPr>
            <w:tcW w:w="723"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600</w:t>
            </w:r>
          </w:p>
        </w:tc>
        <w:tc>
          <w:tcPr>
            <w:tcW w:w="679"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2</w:t>
            </w:r>
          </w:p>
        </w:tc>
        <w:tc>
          <w:tcPr>
            <w:tcW w:w="561" w:type="pct"/>
            <w:tcBorders>
              <w:top w:val="single" w:sz="4" w:space="0" w:color="auto"/>
              <w:bottom w:val="single" w:sz="4" w:space="0" w:color="auto"/>
            </w:tcBorders>
            <w:shd w:val="clear" w:color="auto" w:fill="auto"/>
            <w:vAlign w:val="bottom"/>
          </w:tcPr>
          <w:p w:rsidR="008048A0" w:rsidRDefault="008048A0" w:rsidP="00446CBE">
            <w:pPr>
              <w:pStyle w:val="TableText"/>
              <w:tabs>
                <w:tab w:val="decimal" w:pos="927"/>
              </w:tabs>
              <w:spacing w:after="60"/>
              <w:rPr>
                <w:sz w:val="16"/>
                <w:szCs w:val="16"/>
              </w:rPr>
            </w:pPr>
            <w:r>
              <w:rPr>
                <w:sz w:val="16"/>
                <w:szCs w:val="16"/>
              </w:rPr>
              <w:t>20</w:t>
            </w:r>
          </w:p>
        </w:tc>
        <w:tc>
          <w:tcPr>
            <w:tcW w:w="655"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400</w:t>
            </w:r>
          </w:p>
        </w:tc>
        <w:tc>
          <w:tcPr>
            <w:tcW w:w="749" w:type="pct"/>
            <w:tcBorders>
              <w:top w:val="single" w:sz="4" w:space="0" w:color="auto"/>
              <w:bottom w:val="single" w:sz="4" w:space="0" w:color="auto"/>
            </w:tcBorders>
            <w:vAlign w:val="bottom"/>
          </w:tcPr>
          <w:p w:rsidR="008048A0" w:rsidRPr="005C33ED" w:rsidRDefault="008048A0" w:rsidP="00446CBE">
            <w:pPr>
              <w:pStyle w:val="TableText"/>
              <w:tabs>
                <w:tab w:val="decimal" w:pos="927"/>
              </w:tabs>
              <w:spacing w:after="60"/>
              <w:rPr>
                <w:sz w:val="16"/>
                <w:szCs w:val="16"/>
              </w:rPr>
            </w:pPr>
            <w:r>
              <w:rPr>
                <w:sz w:val="16"/>
                <w:szCs w:val="16"/>
              </w:rPr>
              <w:t>$30.99</w:t>
            </w:r>
          </w:p>
        </w:tc>
        <w:tc>
          <w:tcPr>
            <w:tcW w:w="700" w:type="pct"/>
            <w:tcBorders>
              <w:top w:val="single" w:sz="4" w:space="0" w:color="auto"/>
              <w:bottom w:val="single" w:sz="4" w:space="0" w:color="auto"/>
            </w:tcBorders>
            <w:vAlign w:val="bottom"/>
          </w:tcPr>
          <w:p w:rsidR="008048A0" w:rsidRPr="005C33ED" w:rsidRDefault="008048A0" w:rsidP="00446CBE">
            <w:pPr>
              <w:pStyle w:val="TableText"/>
              <w:tabs>
                <w:tab w:val="decimal" w:pos="927"/>
              </w:tabs>
              <w:spacing w:after="60"/>
              <w:rPr>
                <w:sz w:val="16"/>
                <w:szCs w:val="16"/>
              </w:rPr>
            </w:pPr>
            <w:r>
              <w:rPr>
                <w:sz w:val="16"/>
                <w:szCs w:val="16"/>
              </w:rPr>
              <w:t>$12,396.00</w:t>
            </w:r>
          </w:p>
        </w:tc>
      </w:tr>
      <w:tr w:rsidR="008048A0" w:rsidTr="00446CBE">
        <w:tc>
          <w:tcPr>
            <w:tcW w:w="933" w:type="pct"/>
            <w:tcBorders>
              <w:top w:val="single" w:sz="4" w:space="0" w:color="auto"/>
              <w:bottom w:val="single" w:sz="4" w:space="0" w:color="auto"/>
            </w:tcBorders>
            <w:shd w:val="clear" w:color="auto" w:fill="auto"/>
          </w:tcPr>
          <w:p w:rsidR="008048A0" w:rsidRPr="00E76FF3" w:rsidRDefault="008048A0" w:rsidP="00446CBE">
            <w:pPr>
              <w:pStyle w:val="TableText"/>
              <w:spacing w:before="60" w:after="60"/>
              <w:rPr>
                <w:vertAlign w:val="superscript"/>
              </w:rPr>
            </w:pPr>
            <w:r>
              <w:t>Economic Evaluation Form</w:t>
            </w:r>
            <w:r w:rsidR="00E76FF3">
              <w:t>+</w:t>
            </w:r>
          </w:p>
        </w:tc>
        <w:tc>
          <w:tcPr>
            <w:tcW w:w="723"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15</w:t>
            </w:r>
          </w:p>
        </w:tc>
        <w:tc>
          <w:tcPr>
            <w:tcW w:w="679"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1</w:t>
            </w:r>
          </w:p>
        </w:tc>
        <w:tc>
          <w:tcPr>
            <w:tcW w:w="561" w:type="pct"/>
            <w:tcBorders>
              <w:top w:val="single" w:sz="4" w:space="0" w:color="auto"/>
              <w:bottom w:val="single" w:sz="4" w:space="0" w:color="auto"/>
            </w:tcBorders>
            <w:shd w:val="clear" w:color="auto" w:fill="auto"/>
            <w:vAlign w:val="bottom"/>
          </w:tcPr>
          <w:p w:rsidR="008048A0" w:rsidRDefault="008048A0" w:rsidP="00446CBE">
            <w:pPr>
              <w:pStyle w:val="TableText"/>
              <w:tabs>
                <w:tab w:val="decimal" w:pos="927"/>
              </w:tabs>
              <w:spacing w:after="60"/>
              <w:rPr>
                <w:sz w:val="16"/>
                <w:szCs w:val="16"/>
              </w:rPr>
            </w:pPr>
            <w:r>
              <w:rPr>
                <w:sz w:val="16"/>
                <w:szCs w:val="16"/>
              </w:rPr>
              <w:t>180</w:t>
            </w:r>
          </w:p>
        </w:tc>
        <w:tc>
          <w:tcPr>
            <w:tcW w:w="655" w:type="pct"/>
            <w:tcBorders>
              <w:top w:val="single" w:sz="4" w:space="0" w:color="auto"/>
              <w:bottom w:val="single" w:sz="4" w:space="0" w:color="auto"/>
            </w:tcBorders>
            <w:shd w:val="clear" w:color="auto" w:fill="auto"/>
            <w:vAlign w:val="bottom"/>
          </w:tcPr>
          <w:p w:rsidR="008048A0" w:rsidRPr="00E20DD5" w:rsidRDefault="008048A0" w:rsidP="00446CBE">
            <w:pPr>
              <w:pStyle w:val="TableText"/>
              <w:tabs>
                <w:tab w:val="decimal" w:pos="927"/>
              </w:tabs>
              <w:spacing w:after="60"/>
              <w:rPr>
                <w:sz w:val="16"/>
                <w:szCs w:val="16"/>
              </w:rPr>
            </w:pPr>
            <w:r>
              <w:rPr>
                <w:sz w:val="16"/>
                <w:szCs w:val="16"/>
              </w:rPr>
              <w:t>45</w:t>
            </w:r>
          </w:p>
        </w:tc>
        <w:tc>
          <w:tcPr>
            <w:tcW w:w="749" w:type="pct"/>
            <w:tcBorders>
              <w:top w:val="single" w:sz="4" w:space="0" w:color="auto"/>
              <w:bottom w:val="single" w:sz="4" w:space="0" w:color="auto"/>
            </w:tcBorders>
            <w:vAlign w:val="bottom"/>
          </w:tcPr>
          <w:p w:rsidR="008048A0" w:rsidRPr="005C33ED" w:rsidRDefault="008048A0" w:rsidP="00446CBE">
            <w:pPr>
              <w:pStyle w:val="TableText"/>
              <w:tabs>
                <w:tab w:val="decimal" w:pos="927"/>
              </w:tabs>
              <w:spacing w:after="60"/>
              <w:rPr>
                <w:sz w:val="16"/>
                <w:szCs w:val="16"/>
              </w:rPr>
            </w:pPr>
            <w:r>
              <w:rPr>
                <w:sz w:val="16"/>
                <w:szCs w:val="16"/>
              </w:rPr>
              <w:t>$37.71</w:t>
            </w:r>
          </w:p>
        </w:tc>
        <w:tc>
          <w:tcPr>
            <w:tcW w:w="700" w:type="pct"/>
            <w:tcBorders>
              <w:top w:val="single" w:sz="4" w:space="0" w:color="auto"/>
              <w:bottom w:val="single" w:sz="4" w:space="0" w:color="auto"/>
            </w:tcBorders>
            <w:vAlign w:val="bottom"/>
          </w:tcPr>
          <w:p w:rsidR="008048A0" w:rsidRPr="005C33ED" w:rsidRDefault="008048A0" w:rsidP="00446CBE">
            <w:pPr>
              <w:pStyle w:val="TableText"/>
              <w:tabs>
                <w:tab w:val="decimal" w:pos="927"/>
              </w:tabs>
              <w:spacing w:after="60"/>
              <w:rPr>
                <w:sz w:val="16"/>
                <w:szCs w:val="16"/>
              </w:rPr>
            </w:pPr>
            <w:r>
              <w:rPr>
                <w:sz w:val="16"/>
                <w:szCs w:val="16"/>
              </w:rPr>
              <w:t>$1,696.95</w:t>
            </w:r>
          </w:p>
        </w:tc>
      </w:tr>
      <w:tr w:rsidR="008048A0" w:rsidTr="00446CBE">
        <w:tc>
          <w:tcPr>
            <w:tcW w:w="933" w:type="pct"/>
            <w:tcBorders>
              <w:top w:val="single" w:sz="4" w:space="0" w:color="auto"/>
              <w:bottom w:val="single" w:sz="4" w:space="0" w:color="auto"/>
            </w:tcBorders>
            <w:shd w:val="clear" w:color="auto" w:fill="auto"/>
          </w:tcPr>
          <w:p w:rsidR="008048A0" w:rsidRDefault="008048A0" w:rsidP="00446CBE">
            <w:pPr>
              <w:pStyle w:val="TableText"/>
              <w:spacing w:before="60" w:after="60"/>
            </w:pPr>
            <w:r>
              <w:t>Total</w:t>
            </w:r>
          </w:p>
        </w:tc>
        <w:tc>
          <w:tcPr>
            <w:tcW w:w="723" w:type="pct"/>
            <w:tcBorders>
              <w:top w:val="single" w:sz="4" w:space="0" w:color="auto"/>
              <w:bottom w:val="single" w:sz="4" w:space="0" w:color="auto"/>
            </w:tcBorders>
            <w:shd w:val="clear" w:color="auto" w:fill="auto"/>
            <w:vAlign w:val="bottom"/>
          </w:tcPr>
          <w:p w:rsidR="008048A0" w:rsidRDefault="008048A0" w:rsidP="00446CBE">
            <w:pPr>
              <w:pStyle w:val="TableText"/>
              <w:tabs>
                <w:tab w:val="decimal" w:pos="927"/>
              </w:tabs>
              <w:spacing w:after="60"/>
              <w:rPr>
                <w:sz w:val="16"/>
                <w:szCs w:val="16"/>
              </w:rPr>
            </w:pPr>
            <w:r>
              <w:rPr>
                <w:sz w:val="16"/>
                <w:szCs w:val="16"/>
              </w:rPr>
              <w:t>675</w:t>
            </w:r>
          </w:p>
        </w:tc>
        <w:tc>
          <w:tcPr>
            <w:tcW w:w="679" w:type="pct"/>
            <w:tcBorders>
              <w:top w:val="single" w:sz="4" w:space="0" w:color="auto"/>
              <w:bottom w:val="single" w:sz="4" w:space="0" w:color="auto"/>
            </w:tcBorders>
            <w:shd w:val="clear" w:color="auto" w:fill="auto"/>
            <w:vAlign w:val="bottom"/>
          </w:tcPr>
          <w:p w:rsidR="008048A0" w:rsidRDefault="008048A0" w:rsidP="00446CBE">
            <w:pPr>
              <w:pStyle w:val="TableText"/>
              <w:tabs>
                <w:tab w:val="decimal" w:pos="927"/>
              </w:tabs>
              <w:spacing w:after="60"/>
              <w:rPr>
                <w:sz w:val="16"/>
                <w:szCs w:val="16"/>
              </w:rPr>
            </w:pPr>
          </w:p>
        </w:tc>
        <w:tc>
          <w:tcPr>
            <w:tcW w:w="561" w:type="pct"/>
            <w:tcBorders>
              <w:top w:val="single" w:sz="4" w:space="0" w:color="auto"/>
              <w:bottom w:val="single" w:sz="4" w:space="0" w:color="auto"/>
            </w:tcBorders>
            <w:shd w:val="clear" w:color="auto" w:fill="auto"/>
            <w:vAlign w:val="bottom"/>
          </w:tcPr>
          <w:p w:rsidR="008048A0" w:rsidRDefault="008048A0" w:rsidP="00446CBE">
            <w:pPr>
              <w:pStyle w:val="TableText"/>
              <w:tabs>
                <w:tab w:val="decimal" w:pos="927"/>
              </w:tabs>
              <w:spacing w:after="60"/>
              <w:rPr>
                <w:sz w:val="16"/>
                <w:szCs w:val="16"/>
              </w:rPr>
            </w:pPr>
          </w:p>
        </w:tc>
        <w:tc>
          <w:tcPr>
            <w:tcW w:w="655" w:type="pct"/>
            <w:tcBorders>
              <w:top w:val="single" w:sz="4" w:space="0" w:color="auto"/>
              <w:bottom w:val="single" w:sz="4" w:space="0" w:color="auto"/>
            </w:tcBorders>
            <w:shd w:val="clear" w:color="auto" w:fill="auto"/>
            <w:vAlign w:val="bottom"/>
          </w:tcPr>
          <w:p w:rsidR="008048A0" w:rsidRDefault="008048A0" w:rsidP="00446CBE">
            <w:pPr>
              <w:pStyle w:val="TableText"/>
              <w:tabs>
                <w:tab w:val="decimal" w:pos="927"/>
              </w:tabs>
              <w:spacing w:after="60"/>
              <w:rPr>
                <w:sz w:val="16"/>
                <w:szCs w:val="16"/>
              </w:rPr>
            </w:pPr>
            <w:r>
              <w:rPr>
                <w:sz w:val="16"/>
                <w:szCs w:val="16"/>
              </w:rPr>
              <w:t>715</w:t>
            </w:r>
          </w:p>
        </w:tc>
        <w:tc>
          <w:tcPr>
            <w:tcW w:w="749" w:type="pct"/>
            <w:tcBorders>
              <w:top w:val="single" w:sz="4" w:space="0" w:color="auto"/>
              <w:bottom w:val="single" w:sz="4" w:space="0" w:color="auto"/>
            </w:tcBorders>
            <w:vAlign w:val="bottom"/>
          </w:tcPr>
          <w:p w:rsidR="008048A0" w:rsidRPr="005C33ED" w:rsidRDefault="008048A0" w:rsidP="00446CBE">
            <w:pPr>
              <w:pStyle w:val="TableText"/>
              <w:tabs>
                <w:tab w:val="decimal" w:pos="927"/>
              </w:tabs>
              <w:spacing w:after="60"/>
              <w:rPr>
                <w:sz w:val="16"/>
                <w:szCs w:val="16"/>
              </w:rPr>
            </w:pPr>
          </w:p>
        </w:tc>
        <w:tc>
          <w:tcPr>
            <w:tcW w:w="700" w:type="pct"/>
            <w:tcBorders>
              <w:top w:val="single" w:sz="4" w:space="0" w:color="auto"/>
              <w:bottom w:val="single" w:sz="4" w:space="0" w:color="auto"/>
            </w:tcBorders>
            <w:vAlign w:val="bottom"/>
          </w:tcPr>
          <w:p w:rsidR="008048A0" w:rsidRPr="005C33ED" w:rsidRDefault="008048A0" w:rsidP="00446CBE">
            <w:pPr>
              <w:pStyle w:val="TableText"/>
              <w:tabs>
                <w:tab w:val="decimal" w:pos="927"/>
              </w:tabs>
              <w:spacing w:after="60"/>
              <w:rPr>
                <w:sz w:val="16"/>
                <w:szCs w:val="16"/>
              </w:rPr>
            </w:pPr>
            <w:r>
              <w:rPr>
                <w:sz w:val="16"/>
                <w:szCs w:val="16"/>
              </w:rPr>
              <w:t>$22,460.25</w:t>
            </w:r>
          </w:p>
        </w:tc>
      </w:tr>
    </w:tbl>
    <w:p w:rsidR="00E76FF3" w:rsidRDefault="00E76FF3" w:rsidP="00E76FF3">
      <w:pPr>
        <w:pStyle w:val="Heading3NoTOC"/>
        <w:spacing w:after="0"/>
        <w:rPr>
          <w:rFonts w:asciiTheme="minorHAnsi" w:hAnsiTheme="minorHAnsi"/>
          <w:b w:val="0"/>
          <w:sz w:val="18"/>
          <w:szCs w:val="18"/>
        </w:rPr>
      </w:pPr>
      <w:r>
        <w:rPr>
          <w:rFonts w:asciiTheme="minorHAnsi" w:hAnsiTheme="minorHAnsi"/>
          <w:b w:val="0"/>
          <w:sz w:val="18"/>
          <w:szCs w:val="18"/>
        </w:rPr>
        <w:t>* The grantees completing the implementation tool are the same as those completing the cost tool.</w:t>
      </w:r>
    </w:p>
    <w:p w:rsidR="00E76FF3" w:rsidRDefault="00E76FF3" w:rsidP="00E76FF3">
      <w:pPr>
        <w:spacing w:line="240" w:lineRule="auto"/>
        <w:ind w:firstLine="0"/>
        <w:rPr>
          <w:rFonts w:asciiTheme="minorHAnsi" w:hAnsiTheme="minorHAnsi"/>
          <w:sz w:val="18"/>
          <w:szCs w:val="18"/>
        </w:rPr>
      </w:pPr>
      <w:r>
        <w:rPr>
          <w:rFonts w:asciiTheme="minorHAnsi" w:hAnsiTheme="minorHAnsi"/>
          <w:sz w:val="18"/>
          <w:szCs w:val="18"/>
        </w:rPr>
        <w:t>+ The grantees completing the economic evaluation form are a sub-set of those completing the cost tool and implementation tool.</w:t>
      </w:r>
    </w:p>
    <w:p w:rsidR="00E76FF3" w:rsidRPr="00E76FF3" w:rsidRDefault="00E76FF3" w:rsidP="00E76FF3">
      <w:pPr>
        <w:spacing w:line="240" w:lineRule="auto"/>
        <w:ind w:firstLine="0"/>
        <w:rPr>
          <w:rFonts w:asciiTheme="minorHAnsi" w:hAnsiTheme="minorHAnsi"/>
          <w:sz w:val="18"/>
          <w:szCs w:val="18"/>
        </w:rPr>
      </w:pPr>
    </w:p>
    <w:p w:rsidR="000238BC" w:rsidRPr="009F3805" w:rsidRDefault="000238BC" w:rsidP="000238BC">
      <w:pPr>
        <w:pStyle w:val="Heading3NoTOC"/>
      </w:pPr>
      <w:r>
        <w:t>b.</w:t>
      </w:r>
      <w:r>
        <w:tab/>
        <w:t>Estimates of Annualized Costs</w:t>
      </w:r>
      <w:r w:rsidRPr="009F3805">
        <w:t xml:space="preserve">  </w:t>
      </w:r>
    </w:p>
    <w:p w:rsidR="00A30A96" w:rsidRDefault="00A30A96" w:rsidP="00A30A96">
      <w:pPr>
        <w:pStyle w:val="NormalSS"/>
      </w:pPr>
      <w:bookmarkStart w:id="113" w:name="_Toc315958804"/>
      <w:r>
        <w:t>Table A.</w:t>
      </w:r>
      <w:r w:rsidR="00C70135">
        <w:t>3</w:t>
      </w:r>
      <w:r>
        <w:t xml:space="preserve"> also provides the total estimated annualized cost of the burden for the current information collection request of $</w:t>
      </w:r>
      <w:r w:rsidR="002B4B27">
        <w:t>22,460.25</w:t>
      </w:r>
      <w:r>
        <w:t xml:space="preserve">. </w:t>
      </w:r>
      <w:r w:rsidR="00A159BB">
        <w:t xml:space="preserve">The Cost Tool, Implementation Tool, and Staff Time Use Survey will be completed by staff at the grantee organizations and their partners. </w:t>
      </w:r>
      <w:r w:rsidRPr="00260797">
        <w:t xml:space="preserve">The average hourly wage </w:t>
      </w:r>
      <w:r>
        <w:t xml:space="preserve">for </w:t>
      </w:r>
      <w:r w:rsidR="00A159BB">
        <w:t xml:space="preserve">these </w:t>
      </w:r>
      <w:r>
        <w:t xml:space="preserve">staff </w:t>
      </w:r>
      <w:r w:rsidRPr="00260797">
        <w:t>($</w:t>
      </w:r>
      <w:r w:rsidR="00A159BB">
        <w:t>30.99</w:t>
      </w:r>
      <w:r w:rsidRPr="00260797">
        <w:t>) is the average hourly wage of “social and community servi</w:t>
      </w:r>
      <w:r>
        <w:t>ce managers” taken from the U.S.</w:t>
      </w:r>
      <w:r w:rsidRPr="00260797">
        <w:t xml:space="preserve"> Bureau of Labor Statistics, National Compensation Survey, </w:t>
      </w:r>
      <w:r w:rsidR="00A159BB">
        <w:t>2012</w:t>
      </w:r>
      <w:r>
        <w:t xml:space="preserve">.  </w:t>
      </w:r>
      <w:r w:rsidR="00A159BB">
        <w:t xml:space="preserve">The Economic Evaluation Tool will be completed by the evaluator at selected grantees. </w:t>
      </w:r>
      <w:r w:rsidR="00A159BB" w:rsidRPr="00260797">
        <w:t xml:space="preserve">The average hourly wage </w:t>
      </w:r>
      <w:r w:rsidR="00A159BB">
        <w:t xml:space="preserve">for these staff </w:t>
      </w:r>
      <w:r w:rsidR="00A159BB" w:rsidRPr="00260797">
        <w:t>($</w:t>
      </w:r>
      <w:r w:rsidR="00A159BB">
        <w:t>37.71</w:t>
      </w:r>
      <w:r w:rsidR="00A159BB" w:rsidRPr="00260797">
        <w:t>) is the average hourly wage of “</w:t>
      </w:r>
      <w:r w:rsidR="00A159BB">
        <w:t>miscellaneous social scientists and related workers” taken from the U.S.</w:t>
      </w:r>
      <w:r w:rsidR="00A159BB" w:rsidRPr="00260797">
        <w:t xml:space="preserve"> Bureau of Labor Statistics, National Compensation Survey, </w:t>
      </w:r>
      <w:r w:rsidR="00A159BB">
        <w:t xml:space="preserve">2012. </w:t>
      </w:r>
      <w:r>
        <w:t xml:space="preserve">This proposed information collection does not impose an additional financial burden on respondents other than the time spent answering the questions contained in the </w:t>
      </w:r>
      <w:r w:rsidR="00A159BB">
        <w:t>instruments</w:t>
      </w:r>
      <w:r>
        <w:t>.</w:t>
      </w:r>
    </w:p>
    <w:p w:rsidR="00A30A96" w:rsidRPr="008E723F" w:rsidRDefault="00A30A96" w:rsidP="008E723F">
      <w:pPr>
        <w:tabs>
          <w:tab w:val="clear" w:pos="432"/>
        </w:tabs>
        <w:spacing w:line="240" w:lineRule="auto"/>
        <w:ind w:firstLine="0"/>
        <w:jc w:val="left"/>
        <w:rPr>
          <w:rFonts w:ascii="Lucida Sans" w:hAnsi="Lucida Sans"/>
          <w:b/>
        </w:rPr>
      </w:pPr>
    </w:p>
    <w:p w:rsidR="009614C5" w:rsidRPr="00C12A99" w:rsidRDefault="009614C5" w:rsidP="002D074C">
      <w:pPr>
        <w:pStyle w:val="Heading2"/>
        <w:tabs>
          <w:tab w:val="clear" w:pos="432"/>
          <w:tab w:val="left" w:pos="720"/>
        </w:tabs>
        <w:rPr>
          <w:rFonts w:ascii="Lucida Sans" w:hAnsi="Lucida Sans"/>
          <w:caps w:val="0"/>
        </w:rPr>
      </w:pPr>
      <w:bookmarkStart w:id="114" w:name="_Toc378184782"/>
      <w:r w:rsidRPr="00AC30FA">
        <w:rPr>
          <w:rFonts w:ascii="Lucida Sans" w:hAnsi="Lucida Sans"/>
          <w:caps w:val="0"/>
        </w:rPr>
        <w:t>A13.</w:t>
      </w:r>
      <w:r w:rsidRPr="00AC30FA">
        <w:rPr>
          <w:rFonts w:ascii="Lucida Sans" w:hAnsi="Lucida Sans"/>
          <w:caps w:val="0"/>
        </w:rPr>
        <w:tab/>
        <w:t>Estimates of Cost Burden to Respondents</w:t>
      </w:r>
      <w:bookmarkEnd w:id="114"/>
      <w:r w:rsidRPr="00A06270">
        <w:rPr>
          <w:rFonts w:ascii="Lucida Sans" w:hAnsi="Lucida Sans"/>
          <w:caps w:val="0"/>
        </w:rPr>
        <w:t xml:space="preserve"> </w:t>
      </w:r>
      <w:bookmarkEnd w:id="112"/>
      <w:bookmarkEnd w:id="113"/>
    </w:p>
    <w:p w:rsidR="002D074C" w:rsidRPr="00AC30FA" w:rsidRDefault="002D074C" w:rsidP="000238BC">
      <w:pPr>
        <w:pStyle w:val="Default"/>
        <w:ind w:firstLine="144"/>
        <w:jc w:val="both"/>
        <w:rPr>
          <w:rFonts w:ascii="Garamond" w:hAnsi="Garamond"/>
        </w:rPr>
      </w:pPr>
      <w:bookmarkStart w:id="115" w:name="_Toc248720009"/>
      <w:bookmarkStart w:id="116" w:name="_Toc286757413"/>
      <w:bookmarkStart w:id="117" w:name="_Toc297280153"/>
      <w:bookmarkStart w:id="118" w:name="_Toc297282550"/>
      <w:bookmarkStart w:id="119" w:name="_Toc303683941"/>
      <w:bookmarkStart w:id="120" w:name="_Toc315954450"/>
      <w:bookmarkStart w:id="121" w:name="_Toc315958805"/>
      <w:r w:rsidRPr="00AC30FA">
        <w:rPr>
          <w:rFonts w:ascii="Garamond" w:hAnsi="Garamond"/>
        </w:rPr>
        <w:t>There are no start-up costs for respondents.</w:t>
      </w:r>
    </w:p>
    <w:p w:rsidR="008E723F" w:rsidRDefault="008E723F" w:rsidP="00322476">
      <w:pPr>
        <w:pStyle w:val="Heading2"/>
        <w:tabs>
          <w:tab w:val="clear" w:pos="432"/>
          <w:tab w:val="left" w:pos="720"/>
        </w:tabs>
        <w:rPr>
          <w:rFonts w:ascii="Lucida Sans" w:hAnsi="Lucida Sans"/>
          <w:caps w:val="0"/>
        </w:rPr>
      </w:pPr>
      <w:bookmarkStart w:id="122" w:name="_Toc378184783"/>
    </w:p>
    <w:p w:rsidR="00322476" w:rsidRPr="00AC30FA" w:rsidRDefault="00322476" w:rsidP="00322476">
      <w:pPr>
        <w:pStyle w:val="Heading2"/>
        <w:tabs>
          <w:tab w:val="clear" w:pos="432"/>
          <w:tab w:val="left" w:pos="720"/>
        </w:tabs>
        <w:rPr>
          <w:rFonts w:ascii="Lucida Sans" w:hAnsi="Lucida Sans"/>
          <w:caps w:val="0"/>
        </w:rPr>
      </w:pPr>
      <w:r w:rsidRPr="00AC30FA">
        <w:rPr>
          <w:rFonts w:ascii="Lucida Sans" w:hAnsi="Lucida Sans"/>
          <w:caps w:val="0"/>
        </w:rPr>
        <w:t>A14.</w:t>
      </w:r>
      <w:r w:rsidRPr="00AC30FA">
        <w:rPr>
          <w:rFonts w:ascii="Lucida Sans" w:hAnsi="Lucida Sans"/>
          <w:caps w:val="0"/>
        </w:rPr>
        <w:tab/>
        <w:t>Annualized Cost to the Federal Government</w:t>
      </w:r>
      <w:bookmarkEnd w:id="115"/>
      <w:bookmarkEnd w:id="116"/>
      <w:bookmarkEnd w:id="117"/>
      <w:bookmarkEnd w:id="118"/>
      <w:bookmarkEnd w:id="119"/>
      <w:bookmarkEnd w:id="120"/>
      <w:bookmarkEnd w:id="121"/>
      <w:bookmarkEnd w:id="122"/>
    </w:p>
    <w:p w:rsidR="008E723F" w:rsidRPr="00AC30FA" w:rsidRDefault="008E723F" w:rsidP="00BA3E23">
      <w:pPr>
        <w:pStyle w:val="Default"/>
        <w:ind w:firstLine="144"/>
        <w:jc w:val="both"/>
        <w:rPr>
          <w:rFonts w:ascii="Garamond" w:hAnsi="Garamond"/>
        </w:rPr>
      </w:pPr>
      <w:bookmarkStart w:id="123" w:name="_Toc248720010"/>
      <w:bookmarkStart w:id="124" w:name="_Toc286757414"/>
      <w:bookmarkStart w:id="125" w:name="_Toc297280154"/>
      <w:bookmarkStart w:id="126" w:name="_Toc297282551"/>
      <w:bookmarkStart w:id="127" w:name="_Toc303683942"/>
      <w:bookmarkStart w:id="128" w:name="_Toc315954451"/>
      <w:bookmarkStart w:id="129" w:name="_Toc315958806"/>
      <w:r w:rsidRPr="00AC30FA">
        <w:rPr>
          <w:rFonts w:ascii="Garamond" w:hAnsi="Garamond"/>
        </w:rPr>
        <w:t xml:space="preserve">Data collection will be carried out by the evaluation contractor, </w:t>
      </w:r>
      <w:proofErr w:type="spellStart"/>
      <w:r w:rsidRPr="00AC30FA">
        <w:rPr>
          <w:rFonts w:ascii="Garamond" w:hAnsi="Garamond"/>
        </w:rPr>
        <w:t>Mathematica</w:t>
      </w:r>
      <w:proofErr w:type="spellEnd"/>
      <w:r w:rsidRPr="00AC30FA">
        <w:rPr>
          <w:rFonts w:ascii="Garamond" w:hAnsi="Garamond"/>
        </w:rPr>
        <w:t xml:space="preserve"> Policy Research. The total estimated cost to th</w:t>
      </w:r>
      <w:r w:rsidR="00F97A95" w:rsidRPr="00AC30FA">
        <w:rPr>
          <w:rFonts w:ascii="Garamond" w:hAnsi="Garamond"/>
        </w:rPr>
        <w:t xml:space="preserve">e government is $313,000, which covers the cost of developing the data collection plans and instruments; conducting a pilot test of the data collection instrument with </w:t>
      </w:r>
      <w:r w:rsidR="00955E7B">
        <w:rPr>
          <w:rFonts w:ascii="Garamond" w:hAnsi="Garamond"/>
        </w:rPr>
        <w:t>two</w:t>
      </w:r>
      <w:r w:rsidR="00955E7B" w:rsidRPr="00AC30FA">
        <w:rPr>
          <w:rFonts w:ascii="Garamond" w:hAnsi="Garamond"/>
        </w:rPr>
        <w:t xml:space="preserve"> </w:t>
      </w:r>
      <w:r w:rsidR="00F97A95" w:rsidRPr="00AC30FA">
        <w:rPr>
          <w:rFonts w:ascii="Garamond" w:hAnsi="Garamond"/>
        </w:rPr>
        <w:t>site</w:t>
      </w:r>
      <w:r w:rsidR="00955E7B">
        <w:rPr>
          <w:rFonts w:ascii="Garamond" w:hAnsi="Garamond"/>
        </w:rPr>
        <w:t>s</w:t>
      </w:r>
      <w:r w:rsidR="00F97A95" w:rsidRPr="00AC30FA">
        <w:rPr>
          <w:rFonts w:ascii="Garamond" w:hAnsi="Garamond"/>
        </w:rPr>
        <w:t>; and administering the data collection instruments to selected sites.</w:t>
      </w:r>
    </w:p>
    <w:p w:rsidR="008E723F" w:rsidRPr="00AC30FA" w:rsidRDefault="008E723F" w:rsidP="008E723F">
      <w:pPr>
        <w:pStyle w:val="Default"/>
        <w:spacing w:after="120"/>
        <w:jc w:val="both"/>
        <w:rPr>
          <w:sz w:val="26"/>
          <w:szCs w:val="26"/>
        </w:rPr>
      </w:pPr>
    </w:p>
    <w:p w:rsidR="00495FA1" w:rsidRPr="00C12A99" w:rsidRDefault="00495FA1" w:rsidP="00495FA1">
      <w:pPr>
        <w:pStyle w:val="Heading2"/>
        <w:tabs>
          <w:tab w:val="clear" w:pos="432"/>
          <w:tab w:val="left" w:pos="720"/>
        </w:tabs>
        <w:rPr>
          <w:rFonts w:ascii="Lucida Sans" w:hAnsi="Lucida Sans"/>
          <w:caps w:val="0"/>
        </w:rPr>
      </w:pPr>
      <w:bookmarkStart w:id="130" w:name="_Toc378184784"/>
      <w:r w:rsidRPr="00AC30FA">
        <w:rPr>
          <w:rFonts w:ascii="Lucida Sans" w:hAnsi="Lucida Sans"/>
          <w:caps w:val="0"/>
        </w:rPr>
        <w:t>A15.</w:t>
      </w:r>
      <w:r w:rsidRPr="00AC30FA">
        <w:rPr>
          <w:rFonts w:ascii="Lucida Sans" w:hAnsi="Lucida Sans"/>
          <w:caps w:val="0"/>
        </w:rPr>
        <w:tab/>
      </w:r>
      <w:r w:rsidR="002D074C" w:rsidRPr="00AC30FA">
        <w:rPr>
          <w:rFonts w:ascii="Lucida Sans" w:hAnsi="Lucida Sans"/>
          <w:caps w:val="0"/>
        </w:rPr>
        <w:t>Reasons</w:t>
      </w:r>
      <w:r w:rsidRPr="00AC30FA">
        <w:rPr>
          <w:rFonts w:ascii="Lucida Sans" w:hAnsi="Lucida Sans"/>
          <w:caps w:val="0"/>
        </w:rPr>
        <w:t xml:space="preserve"> for Program Changes or Adjustments</w:t>
      </w:r>
      <w:bookmarkEnd w:id="123"/>
      <w:bookmarkEnd w:id="124"/>
      <w:bookmarkEnd w:id="125"/>
      <w:bookmarkEnd w:id="126"/>
      <w:bookmarkEnd w:id="127"/>
      <w:bookmarkEnd w:id="128"/>
      <w:bookmarkEnd w:id="129"/>
      <w:bookmarkEnd w:id="130"/>
    </w:p>
    <w:p w:rsidR="002D074C" w:rsidRPr="00AC30FA" w:rsidRDefault="00F97A95" w:rsidP="007D14BA">
      <w:pPr>
        <w:pStyle w:val="Default"/>
        <w:spacing w:after="120"/>
        <w:ind w:left="288" w:firstLine="144"/>
        <w:jc w:val="both"/>
        <w:rPr>
          <w:rFonts w:ascii="Garamond" w:hAnsi="Garamond"/>
        </w:rPr>
      </w:pPr>
      <w:bookmarkStart w:id="131" w:name="_Toc248720011"/>
      <w:bookmarkStart w:id="132" w:name="_Toc286757415"/>
      <w:bookmarkStart w:id="133" w:name="_Toc297280155"/>
      <w:bookmarkStart w:id="134" w:name="_Toc297282552"/>
      <w:bookmarkStart w:id="135" w:name="_Toc303683943"/>
      <w:bookmarkStart w:id="136" w:name="_Toc315954452"/>
      <w:bookmarkStart w:id="137" w:name="_Toc315958807"/>
      <w:r w:rsidRPr="00AC30FA">
        <w:rPr>
          <w:rFonts w:ascii="Garamond" w:hAnsi="Garamond"/>
        </w:rPr>
        <w:t>This is a new data collection.</w:t>
      </w:r>
    </w:p>
    <w:p w:rsidR="00F97A95" w:rsidRDefault="00F97A95" w:rsidP="00F97A95">
      <w:pPr>
        <w:pStyle w:val="Default"/>
        <w:spacing w:after="120"/>
        <w:jc w:val="both"/>
        <w:rPr>
          <w:rFonts w:ascii="Garamond" w:hAnsi="Garamond"/>
          <w:sz w:val="26"/>
          <w:szCs w:val="26"/>
        </w:rPr>
      </w:pPr>
    </w:p>
    <w:p w:rsidR="00B76C4F" w:rsidRDefault="00495FA1" w:rsidP="00495FA1">
      <w:pPr>
        <w:pStyle w:val="Heading2"/>
        <w:tabs>
          <w:tab w:val="clear" w:pos="432"/>
          <w:tab w:val="left" w:pos="720"/>
        </w:tabs>
        <w:rPr>
          <w:rFonts w:ascii="Lucida Sans" w:hAnsi="Lucida Sans"/>
          <w:caps w:val="0"/>
        </w:rPr>
      </w:pPr>
      <w:bookmarkStart w:id="138" w:name="_Toc378184785"/>
      <w:r w:rsidRPr="00B4531B">
        <w:rPr>
          <w:rFonts w:ascii="Lucida Sans" w:hAnsi="Lucida Sans"/>
          <w:caps w:val="0"/>
        </w:rPr>
        <w:t>A16.</w:t>
      </w:r>
      <w:r w:rsidRPr="00B4531B">
        <w:rPr>
          <w:rFonts w:ascii="Lucida Sans" w:hAnsi="Lucida Sans"/>
          <w:caps w:val="0"/>
        </w:rPr>
        <w:tab/>
        <w:t xml:space="preserve">Plans for Tabulation and Publication </w:t>
      </w:r>
      <w:bookmarkEnd w:id="131"/>
      <w:bookmarkEnd w:id="132"/>
      <w:bookmarkEnd w:id="133"/>
      <w:bookmarkEnd w:id="134"/>
      <w:bookmarkEnd w:id="135"/>
      <w:bookmarkEnd w:id="136"/>
      <w:bookmarkEnd w:id="137"/>
      <w:r w:rsidR="002D074C" w:rsidRPr="00B4531B">
        <w:rPr>
          <w:rFonts w:ascii="Lucida Sans" w:hAnsi="Lucida Sans"/>
          <w:caps w:val="0"/>
        </w:rPr>
        <w:t>of Results</w:t>
      </w:r>
      <w:bookmarkEnd w:id="138"/>
    </w:p>
    <w:p w:rsidR="00495FA1" w:rsidRDefault="00B76C4F" w:rsidP="00B76C4F">
      <w:pPr>
        <w:pStyle w:val="NormalSScontinued"/>
      </w:pPr>
      <w:r>
        <w:tab/>
      </w:r>
      <w:r w:rsidR="00B4531B">
        <w:t>The study will be conducted over a three-year period (2013-2016). Data collection will occur over a 12-month period from fall 2014 through fall 2015. Findings will be presented in a final report scheduled for release in spring 2016. The report will be made available to the public on the OAH website.</w:t>
      </w:r>
      <w:r>
        <w:t xml:space="preserve"> Findings from the report may also be disseminated through peer-reviewed journal articles, professional conference presentations, and special issue briefs.</w:t>
      </w:r>
    </w:p>
    <w:p w:rsidR="00B4531B" w:rsidRDefault="00B4531B" w:rsidP="00B4531B">
      <w:pPr>
        <w:pStyle w:val="NormalSS"/>
      </w:pPr>
      <w:r>
        <w:t>The report will present findings from both the cost analysis and economic evaluation:</w:t>
      </w:r>
    </w:p>
    <w:p w:rsidR="00B4531B" w:rsidRDefault="00B4531B" w:rsidP="00B4531B">
      <w:pPr>
        <w:pStyle w:val="Heading3"/>
      </w:pPr>
      <w:bookmarkStart w:id="139" w:name="_Toc248720012"/>
      <w:bookmarkStart w:id="140" w:name="_Toc286757416"/>
      <w:bookmarkStart w:id="141" w:name="_Toc297280156"/>
      <w:bookmarkStart w:id="142" w:name="_Toc297282553"/>
      <w:bookmarkStart w:id="143" w:name="_Toc303683944"/>
      <w:bookmarkStart w:id="144" w:name="_Toc315954453"/>
      <w:bookmarkStart w:id="145" w:name="_Toc315958808"/>
      <w:r>
        <w:t>1.</w:t>
      </w:r>
      <w:r>
        <w:tab/>
        <w:t>Cost Analysis</w:t>
      </w:r>
    </w:p>
    <w:p w:rsidR="0042531D" w:rsidRDefault="004E4333" w:rsidP="004E4333">
      <w:pPr>
        <w:pStyle w:val="NormalSS"/>
      </w:pPr>
      <w:r>
        <w:t xml:space="preserve">For each site, </w:t>
      </w:r>
      <w:r w:rsidR="0042531D">
        <w:t>four</w:t>
      </w:r>
      <w:r w:rsidR="00C70135">
        <w:t xml:space="preserve"> types of analysis</w:t>
      </w:r>
      <w:r w:rsidR="0042531D">
        <w:t xml:space="preserve"> will be conducted</w:t>
      </w:r>
      <w:r w:rsidR="00C70135">
        <w:t xml:space="preserve">: (1) estimation of the program start-up </w:t>
      </w:r>
      <w:r w:rsidR="0042531D">
        <w:t>costs, (2) estimation of</w:t>
      </w:r>
      <w:r w:rsidR="00C70135">
        <w:t xml:space="preserve"> total steady-state cost</w:t>
      </w:r>
      <w:r w:rsidR="0042531D">
        <w:t>s</w:t>
      </w:r>
      <w:r w:rsidR="00C70135">
        <w:t xml:space="preserve"> for implementing a teen </w:t>
      </w:r>
      <w:r w:rsidR="0042531D">
        <w:t>pregnancy prevention program, (3</w:t>
      </w:r>
      <w:r w:rsidR="00C70135">
        <w:t>) estimation of the co</w:t>
      </w:r>
      <w:r w:rsidR="0042531D">
        <w:t>st per program component, and (4</w:t>
      </w:r>
      <w:r w:rsidR="00C70135">
        <w:t>) estimation of the cost per participant.</w:t>
      </w:r>
    </w:p>
    <w:p w:rsidR="0042531D" w:rsidRDefault="0042531D" w:rsidP="004E4333">
      <w:pPr>
        <w:pStyle w:val="NormalSS"/>
      </w:pPr>
      <w:proofErr w:type="gramStart"/>
      <w:r>
        <w:rPr>
          <w:b/>
        </w:rPr>
        <w:t>Estimating Program Start-Up Costs.</w:t>
      </w:r>
      <w:proofErr w:type="gramEnd"/>
      <w:r>
        <w:rPr>
          <w:b/>
        </w:rPr>
        <w:t xml:space="preserve"> </w:t>
      </w:r>
      <w:r>
        <w:t>Program start-up cost estimates will be based on grantee expenditures from the first grant year. The estimates include expenditures from all agencies involved in start-up, including partnering agencies when involved. Averages, median values, and ranges for total program start-up costs will be reported. The findings will note any likely start-up costs not captured in the estimates, as well as any start-up costs that extended into later years of the grant period.</w:t>
      </w:r>
    </w:p>
    <w:p w:rsidR="0042531D" w:rsidRDefault="008E16D9" w:rsidP="0042531D">
      <w:pPr>
        <w:pStyle w:val="NormalSS"/>
      </w:pPr>
      <w:proofErr w:type="gramStart"/>
      <w:r w:rsidRPr="008E16D9">
        <w:rPr>
          <w:b/>
        </w:rPr>
        <w:t>Estimating Total Steady-State Program Costs</w:t>
      </w:r>
      <w:r w:rsidR="0042531D" w:rsidRPr="007E3B7A">
        <w:rPr>
          <w:b/>
          <w:i/>
        </w:rPr>
        <w:t>.</w:t>
      </w:r>
      <w:proofErr w:type="gramEnd"/>
      <w:r w:rsidR="0042531D">
        <w:t xml:space="preserve"> For each grantee, an estimate of total costs for one program cycle will be calculated by summing the costs of individual resources applicable to each grantee. These estimates will include expenditures from all agencies involved in implementation, including partner agencies. Analysis may require adjustment of some reported costs. For example, salary costs will be adjusted to reflect national averages. Also, grantees may estimate the value of donated office space using commercial rental rates from a different period. In this case, values will be adjusted to the appropriate time frame using a consumer price inflator, such as the Consumer Price Index. Averages, median values, and ranges for total program costs will be reported.</w:t>
      </w:r>
    </w:p>
    <w:p w:rsidR="0042531D" w:rsidRDefault="008E16D9" w:rsidP="0042531D">
      <w:pPr>
        <w:pStyle w:val="NormalSS"/>
      </w:pPr>
      <w:bookmarkStart w:id="146" w:name="_Toc312757087"/>
      <w:proofErr w:type="gramStart"/>
      <w:r w:rsidRPr="008E16D9">
        <w:rPr>
          <w:b/>
        </w:rPr>
        <w:lastRenderedPageBreak/>
        <w:t>Estimating Costs per Program Component</w:t>
      </w:r>
      <w:bookmarkEnd w:id="146"/>
      <w:r w:rsidR="0042531D" w:rsidRPr="007E3B7A">
        <w:rPr>
          <w:b/>
          <w:i/>
        </w:rPr>
        <w:t>.</w:t>
      </w:r>
      <w:proofErr w:type="gramEnd"/>
      <w:r w:rsidR="0042531D">
        <w:t xml:space="preserve"> Estimates of program component costs will be based on staff time allocations and compensation. For each staff position, responses from the staff time use survey (Instrument #3) will be used to multiply the percentage of time that relevant staff members report spending on each program component by the compensation for each position. These values will be summed across staff positions to produce total personnel-related cost per program component.</w:t>
      </w:r>
    </w:p>
    <w:p w:rsidR="0042531D" w:rsidRDefault="0042531D" w:rsidP="0042531D">
      <w:pPr>
        <w:pStyle w:val="NormalSS"/>
      </w:pPr>
      <w:proofErr w:type="spellStart"/>
      <w:r>
        <w:t>Nonpersonnel</w:t>
      </w:r>
      <w:proofErr w:type="spellEnd"/>
      <w:r>
        <w:t xml:space="preserve"> costs that are clearly related to a specific component (for example, travel required to attend a training) will be allocated to the relevant component. Costs that cannot be directly linked to a specific program component will be allocated in the same proportions as personnel-related program component costs.</w:t>
      </w:r>
    </w:p>
    <w:p w:rsidR="004E4333" w:rsidRDefault="008E16D9" w:rsidP="00477312">
      <w:pPr>
        <w:pStyle w:val="NormalSS"/>
      </w:pPr>
      <w:bookmarkStart w:id="147" w:name="_Toc312757088"/>
      <w:proofErr w:type="gramStart"/>
      <w:r w:rsidRPr="008E16D9">
        <w:rPr>
          <w:b/>
        </w:rPr>
        <w:t xml:space="preserve">Estimating Costs per </w:t>
      </w:r>
      <w:bookmarkEnd w:id="147"/>
      <w:r w:rsidRPr="008E16D9">
        <w:rPr>
          <w:b/>
        </w:rPr>
        <w:t>Participant</w:t>
      </w:r>
      <w:r w:rsidR="0042531D">
        <w:t>.</w:t>
      </w:r>
      <w:proofErr w:type="gramEnd"/>
      <w:r w:rsidR="0042531D" w:rsidRPr="000779E7">
        <w:t xml:space="preserve"> Estimates of costs per </w:t>
      </w:r>
      <w:r w:rsidR="0042531D">
        <w:t>youth</w:t>
      </w:r>
      <w:r w:rsidR="0042531D" w:rsidRPr="000779E7">
        <w:t xml:space="preserve"> </w:t>
      </w:r>
      <w:r w:rsidR="0042531D">
        <w:t>are critical to analytic comparisons—whether across grantees or program models. These estimates will differ depending on how a participant is defined and whether dosage of services or length of participation is taken into account. As a basic approach, participants will be defined as any youth who was served by the program during the cost study period. Total program costs would then be divided by the number of participants to produce an estimated cost per parti</w:t>
      </w:r>
      <w:r w:rsidR="003F3F78">
        <w:t>cipant. The results estimates of program costs per participant will be reported separately by site.</w:t>
      </w:r>
    </w:p>
    <w:p w:rsidR="00B4531B" w:rsidRDefault="00B4531B" w:rsidP="00B4531B">
      <w:pPr>
        <w:pStyle w:val="Heading3"/>
      </w:pPr>
      <w:r>
        <w:t>2.</w:t>
      </w:r>
      <w:r>
        <w:tab/>
        <w:t>Economic Evaluation</w:t>
      </w:r>
    </w:p>
    <w:p w:rsidR="005C3D22" w:rsidRDefault="005C3D22" w:rsidP="004E4333">
      <w:pPr>
        <w:pStyle w:val="NormalSS"/>
      </w:pPr>
      <w:r>
        <w:t>The economic evaluation will provide estimates of program cost-effectiveness for the up to 15 participating sites that are conducting ongoing impact evaluations. For each site, data from the ongoing impact evaluations will be combined with the cost estimates produced in the first component of the study to generate estimates of program cost effectiveness measured as the cost per unit of a common outcome measure. This emphasis will lead to such estimates as the cost of program services per teen pregnancy averted, or the cost of program services per youth delaying the onset of sexual activity for a year.</w:t>
      </w:r>
    </w:p>
    <w:p w:rsidR="005C3D22" w:rsidRDefault="005C3D22" w:rsidP="004E4333">
      <w:pPr>
        <w:pStyle w:val="NormalSS"/>
      </w:pPr>
      <w:r>
        <w:t>The estimates will account for differences across grantees in the length of follow-up from program start and/or program end. For example, some grantees may measure outcomes 9 months post program, whereas others may measure outcomes after 12 months. To account for such differences, impact estimates will be extrapolated to a common follow-up length—for example, 6 months for short-term impacts and 12-month for longer-term impacts. Because any extrapolation method will involve assumptions, sensitivity tests of alternative assumptions will also be conducted.</w:t>
      </w:r>
    </w:p>
    <w:p w:rsidR="004E4333" w:rsidRPr="004E4333" w:rsidRDefault="005C3D22" w:rsidP="00E76FF3">
      <w:pPr>
        <w:pStyle w:val="NormalSS"/>
      </w:pPr>
      <w:r>
        <w:t xml:space="preserve">The estimates will account for both start-up and steady-state costs, as well as fixed and variable costs. Frequently, fixed costs are incurred at start-up, but they represent investments in materials or infrastructure that will be used over the life of the project, and should be amortized over their usable life (for example, laptop computers purchased specifically for the project).  Some start-up costs, however, are variable, reflecting the scale and structure of a program, particularly labor hours spent on planning.  These costs should be accounted for separately as start-up costs; by the time the program is fully implemented, these are no longer applicable. For most sites, evaluation sample enrollment began sometime after an initial planning or pilot period during the first grant year. For this reason, the resulting program impact estimates are naturally compared to the ongoing or variable program costs associated with steady-state program implementation (plus the amortized </w:t>
      </w:r>
      <w:r>
        <w:lastRenderedPageBreak/>
        <w:t>value of fixed costs). These costs will include staff salaries and any program materials or supplies provided to program participants that are not re-usable. Sensitivity analysis will be conducted to test different assumptions of how start-up costs are apportioned.</w:t>
      </w:r>
      <w:bookmarkStart w:id="148" w:name="_Toc248720014"/>
      <w:bookmarkStart w:id="149" w:name="_Toc286757418"/>
      <w:bookmarkStart w:id="150" w:name="_Toc297280158"/>
      <w:bookmarkStart w:id="151" w:name="_Toc297282555"/>
      <w:bookmarkStart w:id="152" w:name="_Toc303683946"/>
      <w:bookmarkStart w:id="153" w:name="_Toc315954455"/>
      <w:bookmarkStart w:id="154" w:name="_Toc315958810"/>
      <w:bookmarkEnd w:id="139"/>
      <w:bookmarkEnd w:id="140"/>
      <w:bookmarkEnd w:id="141"/>
      <w:bookmarkEnd w:id="142"/>
      <w:bookmarkEnd w:id="143"/>
      <w:bookmarkEnd w:id="144"/>
      <w:bookmarkEnd w:id="145"/>
    </w:p>
    <w:p w:rsidR="00B452F7" w:rsidRPr="00AC30FA" w:rsidRDefault="00B452F7" w:rsidP="002D074C">
      <w:pPr>
        <w:pStyle w:val="Heading3"/>
        <w:rPr>
          <w:rFonts w:ascii="Lucida Sans" w:hAnsi="Lucida Sans"/>
        </w:rPr>
      </w:pPr>
      <w:bookmarkStart w:id="155" w:name="_Toc378184786"/>
      <w:r w:rsidRPr="00AC30FA">
        <w:rPr>
          <w:rFonts w:ascii="Lucida Sans" w:hAnsi="Lucida Sans"/>
          <w:caps/>
        </w:rPr>
        <w:t>A17.</w:t>
      </w:r>
      <w:r w:rsidRPr="00AC30FA">
        <w:rPr>
          <w:rFonts w:ascii="Lucida Sans" w:hAnsi="Lucida Sans"/>
          <w:caps/>
        </w:rPr>
        <w:tab/>
      </w:r>
      <w:bookmarkEnd w:id="148"/>
      <w:bookmarkEnd w:id="149"/>
      <w:bookmarkEnd w:id="150"/>
      <w:bookmarkEnd w:id="151"/>
      <w:bookmarkEnd w:id="152"/>
      <w:bookmarkEnd w:id="153"/>
      <w:bookmarkEnd w:id="154"/>
      <w:r w:rsidR="001253C4" w:rsidRPr="00AC30FA">
        <w:rPr>
          <w:rFonts w:ascii="Lucida Sans" w:hAnsi="Lucida Sans"/>
        </w:rPr>
        <w:t xml:space="preserve">Display of Expiration Date </w:t>
      </w:r>
      <w:proofErr w:type="gramStart"/>
      <w:r w:rsidR="001253C4" w:rsidRPr="00AC30FA">
        <w:rPr>
          <w:rFonts w:ascii="Lucida Sans" w:hAnsi="Lucida Sans"/>
        </w:rPr>
        <w:t>For</w:t>
      </w:r>
      <w:proofErr w:type="gramEnd"/>
      <w:r w:rsidR="001253C4" w:rsidRPr="00AC30FA">
        <w:rPr>
          <w:rFonts w:ascii="Lucida Sans" w:hAnsi="Lucida Sans"/>
        </w:rPr>
        <w:t xml:space="preserve"> OMB Approval</w:t>
      </w:r>
      <w:bookmarkEnd w:id="155"/>
    </w:p>
    <w:p w:rsidR="002D074C" w:rsidRPr="00AC30FA" w:rsidRDefault="001253C4" w:rsidP="00AC30FA">
      <w:pPr>
        <w:pStyle w:val="NormalSScontinued"/>
      </w:pPr>
      <w:bookmarkStart w:id="156" w:name="_Toc248720015"/>
      <w:bookmarkStart w:id="157" w:name="_Toc286757419"/>
      <w:bookmarkStart w:id="158" w:name="_Toc297280159"/>
      <w:bookmarkStart w:id="159" w:name="_Toc297282556"/>
      <w:bookmarkStart w:id="160" w:name="_Toc303683947"/>
      <w:bookmarkStart w:id="161" w:name="_Toc315954456"/>
      <w:bookmarkStart w:id="162" w:name="_Toc315958811"/>
      <w:r w:rsidRPr="00AC30FA">
        <w:t>The expiration date for OMB approval will be displayed on all data collection instruments.</w:t>
      </w:r>
      <w:r w:rsidR="002D074C" w:rsidRPr="00AC30FA">
        <w:t xml:space="preserve"> </w:t>
      </w:r>
    </w:p>
    <w:p w:rsidR="002D074C" w:rsidRPr="00AC30FA" w:rsidRDefault="002D074C" w:rsidP="002D074C">
      <w:pPr>
        <w:pStyle w:val="Default"/>
        <w:ind w:left="720"/>
        <w:jc w:val="both"/>
        <w:rPr>
          <w:rFonts w:ascii="Garamond" w:hAnsi="Garamond"/>
          <w:sz w:val="26"/>
          <w:szCs w:val="26"/>
        </w:rPr>
      </w:pPr>
    </w:p>
    <w:p w:rsidR="00B452F7" w:rsidRPr="00AC30FA" w:rsidRDefault="00B452F7" w:rsidP="00B452F7">
      <w:pPr>
        <w:pStyle w:val="Heading2"/>
        <w:tabs>
          <w:tab w:val="clear" w:pos="432"/>
          <w:tab w:val="left" w:pos="720"/>
        </w:tabs>
        <w:rPr>
          <w:rFonts w:ascii="Lucida Sans" w:hAnsi="Lucida Sans"/>
        </w:rPr>
      </w:pPr>
      <w:bookmarkStart w:id="163" w:name="_Toc378184787"/>
      <w:r w:rsidRPr="00AC30FA">
        <w:rPr>
          <w:rFonts w:ascii="Lucida Sans" w:hAnsi="Lucida Sans"/>
          <w:caps w:val="0"/>
        </w:rPr>
        <w:t>A18.</w:t>
      </w:r>
      <w:r w:rsidRPr="00AC30FA">
        <w:rPr>
          <w:rFonts w:ascii="Lucida Sans" w:hAnsi="Lucida Sans"/>
          <w:caps w:val="0"/>
        </w:rPr>
        <w:tab/>
      </w:r>
      <w:bookmarkEnd w:id="156"/>
      <w:bookmarkEnd w:id="157"/>
      <w:bookmarkEnd w:id="158"/>
      <w:bookmarkEnd w:id="159"/>
      <w:bookmarkEnd w:id="160"/>
      <w:bookmarkEnd w:id="161"/>
      <w:bookmarkEnd w:id="162"/>
      <w:r w:rsidR="002D074C" w:rsidRPr="00AC30FA">
        <w:rPr>
          <w:rFonts w:ascii="Lucida Sans" w:hAnsi="Lucida Sans"/>
          <w:caps w:val="0"/>
        </w:rPr>
        <w:t>Explanation of Exceptions</w:t>
      </w:r>
      <w:bookmarkEnd w:id="163"/>
    </w:p>
    <w:p w:rsidR="00E33FB4" w:rsidRPr="00477312" w:rsidRDefault="002D074C" w:rsidP="00477312">
      <w:pPr>
        <w:pStyle w:val="NormalSScontinued"/>
        <w:rPr>
          <w:rFonts w:ascii="Lucida Sans" w:hAnsi="Lucida Sans"/>
          <w:sz w:val="22"/>
          <w:szCs w:val="22"/>
        </w:rPr>
      </w:pPr>
      <w:r w:rsidRPr="00AC30FA">
        <w:t xml:space="preserve">There are no exceptions </w:t>
      </w:r>
      <w:r w:rsidR="001253C4" w:rsidRPr="00AC30FA">
        <w:t>to the certification statemen</w:t>
      </w:r>
      <w:r w:rsidR="00BA3E23">
        <w:t>t.</w:t>
      </w:r>
    </w:p>
    <w:sectPr w:rsidR="00E33FB4" w:rsidRPr="00477312" w:rsidSect="003A1506">
      <w:footerReference w:type="default" r:id="rId13"/>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372" w:rsidRDefault="00934372">
      <w:pPr>
        <w:spacing w:line="240" w:lineRule="auto"/>
        <w:ind w:firstLine="0"/>
      </w:pPr>
    </w:p>
  </w:endnote>
  <w:endnote w:type="continuationSeparator" w:id="0">
    <w:p w:rsidR="00934372" w:rsidRDefault="00934372">
      <w:pPr>
        <w:spacing w:line="240" w:lineRule="auto"/>
        <w:ind w:firstLine="0"/>
      </w:pPr>
    </w:p>
  </w:endnote>
  <w:endnote w:type="continuationNotice" w:id="1">
    <w:p w:rsidR="00934372" w:rsidRDefault="00934372">
      <w:pPr>
        <w:spacing w:line="240" w:lineRule="auto"/>
        <w:ind w:firstLine="0"/>
      </w:pPr>
    </w:p>
    <w:p w:rsidR="00934372" w:rsidRDefault="00934372"/>
    <w:p w:rsidR="00934372" w:rsidRDefault="0093437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FC701D">
        <w:rPr>
          <w:noProof/>
          <w:snapToGrid w:val="0"/>
          <w:sz w:val="16"/>
        </w:rPr>
        <w:t>C:\Users\Sherrette.Funn\AppData\Local\Microsoft\Windows\Temporary Internet Files\Content.Outlook\AIS3CB56\Part A - TPP Cost Study.docx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KPBN+TimesNew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FF3" w:rsidRDefault="00E76FF3" w:rsidP="00495FA1">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CE157A">
      <w:rPr>
        <w:rStyle w:val="PageNumber"/>
        <w:noProof/>
      </w:rPr>
      <w:t>1</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38258"/>
      <w:docPartObj>
        <w:docPartGallery w:val="Page Numbers (Bottom of Page)"/>
        <w:docPartUnique/>
      </w:docPartObj>
    </w:sdtPr>
    <w:sdtEndPr/>
    <w:sdtContent>
      <w:p w:rsidR="00E76FF3" w:rsidRDefault="00934372">
        <w:pPr>
          <w:pStyle w:val="Footer"/>
          <w:jc w:val="center"/>
        </w:pPr>
        <w:r>
          <w:fldChar w:fldCharType="begin"/>
        </w:r>
        <w:r>
          <w:instrText xml:space="preserve"> PAGE   \* MERGEFORMAT </w:instrText>
        </w:r>
        <w:r>
          <w:fldChar w:fldCharType="separate"/>
        </w:r>
        <w:r w:rsidR="00CE157A">
          <w:rPr>
            <w:noProof/>
          </w:rPr>
          <w:t>2</w:t>
        </w:r>
        <w:r>
          <w:rPr>
            <w:noProof/>
          </w:rPr>
          <w:fldChar w:fldCharType="end"/>
        </w:r>
      </w:p>
    </w:sdtContent>
  </w:sdt>
  <w:p w:rsidR="00E76FF3" w:rsidRPr="00C818BB" w:rsidRDefault="00E76FF3" w:rsidP="00C818B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372" w:rsidRDefault="00934372">
      <w:pPr>
        <w:spacing w:line="240" w:lineRule="auto"/>
        <w:ind w:firstLine="0"/>
      </w:pPr>
      <w:r>
        <w:separator/>
      </w:r>
    </w:p>
  </w:footnote>
  <w:footnote w:type="continuationSeparator" w:id="0">
    <w:p w:rsidR="00934372" w:rsidRDefault="00934372">
      <w:pPr>
        <w:spacing w:line="240" w:lineRule="auto"/>
        <w:ind w:firstLine="0"/>
      </w:pPr>
      <w:r>
        <w:separator/>
      </w:r>
    </w:p>
    <w:p w:rsidR="00934372" w:rsidRDefault="00934372">
      <w:pPr>
        <w:spacing w:line="240" w:lineRule="auto"/>
        <w:ind w:firstLine="0"/>
        <w:rPr>
          <w:i/>
        </w:rPr>
      </w:pPr>
      <w:r>
        <w:rPr>
          <w:i/>
        </w:rPr>
        <w:t>(</w:t>
      </w:r>
      <w:proofErr w:type="gramStart"/>
      <w:r>
        <w:rPr>
          <w:i/>
        </w:rPr>
        <w:t>continued</w:t>
      </w:r>
      <w:proofErr w:type="gramEnd"/>
      <w:r>
        <w:rPr>
          <w:i/>
        </w:rPr>
        <w:t>)</w:t>
      </w:r>
    </w:p>
  </w:footnote>
  <w:footnote w:type="continuationNotice" w:id="1">
    <w:p w:rsidR="00934372" w:rsidRDefault="00934372">
      <w:pPr>
        <w:pStyle w:val="Footer"/>
      </w:pPr>
    </w:p>
  </w:footnote>
  <w:footnote w:id="2">
    <w:p w:rsidR="00E76FF3" w:rsidRDefault="00E76FF3">
      <w:pPr>
        <w:pStyle w:val="FootnoteText"/>
      </w:pPr>
      <w:r>
        <w:rPr>
          <w:rStyle w:val="FootnoteReference"/>
        </w:rPr>
        <w:footnoteRef/>
      </w:r>
      <w:r>
        <w:t xml:space="preserve"> OMB approval number 0990-0394</w:t>
      </w:r>
    </w:p>
  </w:footnote>
  <w:footnote w:id="3">
    <w:p w:rsidR="00E76FF3" w:rsidRDefault="00E76FF3">
      <w:pPr>
        <w:pStyle w:val="FootnoteText"/>
      </w:pPr>
      <w:r>
        <w:rPr>
          <w:rStyle w:val="FootnoteReference"/>
        </w:rPr>
        <w:footnoteRef/>
      </w:r>
      <w:r>
        <w:t xml:space="preserve"> OMB approval number 0990-0392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746E7C"/>
    <w:lvl w:ilvl="0">
      <w:start w:val="1"/>
      <w:numFmt w:val="decimal"/>
      <w:lvlText w:val="%1."/>
      <w:lvlJc w:val="left"/>
      <w:pPr>
        <w:tabs>
          <w:tab w:val="num" w:pos="1800"/>
        </w:tabs>
        <w:ind w:left="1800" w:hanging="360"/>
      </w:pPr>
    </w:lvl>
  </w:abstractNum>
  <w:abstractNum w:abstractNumId="1">
    <w:nsid w:val="FFFFFF7D"/>
    <w:multiLevelType w:val="singleLevel"/>
    <w:tmpl w:val="48E4BFA6"/>
    <w:lvl w:ilvl="0">
      <w:start w:val="1"/>
      <w:numFmt w:val="decimal"/>
      <w:lvlText w:val="%1."/>
      <w:lvlJc w:val="left"/>
      <w:pPr>
        <w:tabs>
          <w:tab w:val="num" w:pos="1440"/>
        </w:tabs>
        <w:ind w:left="1440" w:hanging="360"/>
      </w:pPr>
    </w:lvl>
  </w:abstractNum>
  <w:abstractNum w:abstractNumId="2">
    <w:nsid w:val="FFFFFF7E"/>
    <w:multiLevelType w:val="singleLevel"/>
    <w:tmpl w:val="56B8588C"/>
    <w:lvl w:ilvl="0">
      <w:start w:val="1"/>
      <w:numFmt w:val="decimal"/>
      <w:lvlText w:val="%1."/>
      <w:lvlJc w:val="left"/>
      <w:pPr>
        <w:tabs>
          <w:tab w:val="num" w:pos="1080"/>
        </w:tabs>
        <w:ind w:left="1080" w:hanging="360"/>
      </w:pPr>
    </w:lvl>
  </w:abstractNum>
  <w:abstractNum w:abstractNumId="3">
    <w:nsid w:val="FFFFFF7F"/>
    <w:multiLevelType w:val="singleLevel"/>
    <w:tmpl w:val="75000496"/>
    <w:lvl w:ilvl="0">
      <w:start w:val="1"/>
      <w:numFmt w:val="decimal"/>
      <w:lvlText w:val="%1."/>
      <w:lvlJc w:val="left"/>
      <w:pPr>
        <w:tabs>
          <w:tab w:val="num" w:pos="720"/>
        </w:tabs>
        <w:ind w:left="720" w:hanging="360"/>
      </w:pPr>
    </w:lvl>
  </w:abstractNum>
  <w:abstractNum w:abstractNumId="4">
    <w:nsid w:val="FFFFFF80"/>
    <w:multiLevelType w:val="singleLevel"/>
    <w:tmpl w:val="2DD800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804E9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02E3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869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8BBF6"/>
    <w:lvl w:ilvl="0">
      <w:start w:val="1"/>
      <w:numFmt w:val="decimal"/>
      <w:lvlText w:val="%1."/>
      <w:lvlJc w:val="left"/>
      <w:pPr>
        <w:tabs>
          <w:tab w:val="num" w:pos="360"/>
        </w:tabs>
        <w:ind w:left="360" w:hanging="360"/>
      </w:pPr>
    </w:lvl>
  </w:abstractNum>
  <w:abstractNum w:abstractNumId="9">
    <w:nsid w:val="FFFFFF89"/>
    <w:multiLevelType w:val="singleLevel"/>
    <w:tmpl w:val="4276F888"/>
    <w:lvl w:ilvl="0">
      <w:start w:val="1"/>
      <w:numFmt w:val="bullet"/>
      <w:lvlText w:val=""/>
      <w:lvlJc w:val="left"/>
      <w:pPr>
        <w:tabs>
          <w:tab w:val="num" w:pos="360"/>
        </w:tabs>
        <w:ind w:left="360" w:hanging="360"/>
      </w:pPr>
      <w:rPr>
        <w:rFonts w:ascii="Symbol" w:hAnsi="Symbol" w:hint="default"/>
      </w:rPr>
    </w:lvl>
  </w:abstractNum>
  <w:abstractNum w:abstractNumId="10">
    <w:nsid w:val="03515784"/>
    <w:multiLevelType w:val="hybridMultilevel"/>
    <w:tmpl w:val="F926C2C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39D5AA5"/>
    <w:multiLevelType w:val="hybridMultilevel"/>
    <w:tmpl w:val="ED2675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6F47EE1"/>
    <w:multiLevelType w:val="hybridMultilevel"/>
    <w:tmpl w:val="98A206FA"/>
    <w:lvl w:ilvl="0" w:tplc="04090001">
      <w:start w:val="1"/>
      <w:numFmt w:val="bullet"/>
      <w:lvlText w:val=""/>
      <w:lvlJc w:val="left"/>
      <w:pPr>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39D1E70"/>
    <w:multiLevelType w:val="hybridMultilevel"/>
    <w:tmpl w:val="59D0E2B0"/>
    <w:lvl w:ilvl="0" w:tplc="04090001">
      <w:start w:val="1"/>
      <w:numFmt w:val="bullet"/>
      <w:lvlText w:val=""/>
      <w:lvlJc w:val="left"/>
      <w:pPr>
        <w:ind w:left="1926" w:hanging="360"/>
      </w:pPr>
      <w:rPr>
        <w:rFonts w:ascii="Symbol" w:hAnsi="Symbol" w:hint="default"/>
      </w:rPr>
    </w:lvl>
    <w:lvl w:ilvl="1" w:tplc="04090003">
      <w:start w:val="1"/>
      <w:numFmt w:val="bullet"/>
      <w:lvlText w:val="o"/>
      <w:lvlJc w:val="left"/>
      <w:pPr>
        <w:ind w:left="264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56E500B"/>
    <w:multiLevelType w:val="hybridMultilevel"/>
    <w:tmpl w:val="DBA604E8"/>
    <w:lvl w:ilvl="0" w:tplc="04090001">
      <w:start w:val="1"/>
      <w:numFmt w:val="bullet"/>
      <w:lvlText w:val=""/>
      <w:lvlJc w:val="left"/>
      <w:pPr>
        <w:ind w:left="144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6A566B5"/>
    <w:multiLevelType w:val="hybridMultilevel"/>
    <w:tmpl w:val="E1B8EC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324E12A8"/>
    <w:multiLevelType w:val="hybridMultilevel"/>
    <w:tmpl w:val="B8BC7540"/>
    <w:lvl w:ilvl="0" w:tplc="04090001">
      <w:start w:val="1"/>
      <w:numFmt w:val="bullet"/>
      <w:lvlText w:val=""/>
      <w:lvlJc w:val="left"/>
      <w:pPr>
        <w:ind w:left="144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73F2A4B"/>
    <w:multiLevelType w:val="hybridMultilevel"/>
    <w:tmpl w:val="BBF667F4"/>
    <w:lvl w:ilvl="0" w:tplc="95B02562">
      <w:start w:val="1"/>
      <w:numFmt w:val="decimal"/>
      <w:lvlText w:val="%1."/>
      <w:lvlJc w:val="left"/>
      <w:pPr>
        <w:ind w:left="720" w:hanging="360"/>
      </w:pPr>
      <w:rPr>
        <w:b/>
        <w:bCs/>
      </w:rPr>
    </w:lvl>
    <w:lvl w:ilvl="1" w:tplc="78D0567A">
      <w:start w:val="1"/>
      <w:numFmt w:val="lowerLetter"/>
      <w:lvlText w:val="%2."/>
      <w:lvlJc w:val="left"/>
      <w:pPr>
        <w:ind w:left="144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4D0231F"/>
    <w:multiLevelType w:val="hybridMultilevel"/>
    <w:tmpl w:val="47887C4C"/>
    <w:lvl w:ilvl="0" w:tplc="04090001">
      <w:start w:val="1"/>
      <w:numFmt w:val="bullet"/>
      <w:lvlText w:val=""/>
      <w:lvlJc w:val="left"/>
      <w:pPr>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nsid w:val="4EFE3204"/>
    <w:multiLevelType w:val="hybridMultilevel"/>
    <w:tmpl w:val="FA28631E"/>
    <w:lvl w:ilvl="0" w:tplc="04090001">
      <w:start w:val="1"/>
      <w:numFmt w:val="bullet"/>
      <w:lvlText w:val=""/>
      <w:lvlJc w:val="left"/>
      <w:pPr>
        <w:ind w:left="25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5EC0AAF"/>
    <w:multiLevelType w:val="hybridMultilevel"/>
    <w:tmpl w:val="026AE5F6"/>
    <w:lvl w:ilvl="0" w:tplc="04090001">
      <w:start w:val="1"/>
      <w:numFmt w:val="bullet"/>
      <w:lvlText w:val=""/>
      <w:lvlJc w:val="left"/>
      <w:pPr>
        <w:ind w:left="21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62A46D5"/>
    <w:multiLevelType w:val="hybridMultilevel"/>
    <w:tmpl w:val="169E1070"/>
    <w:lvl w:ilvl="0" w:tplc="04090001">
      <w:start w:val="1"/>
      <w:numFmt w:val="bullet"/>
      <w:lvlText w:val=""/>
      <w:lvlJc w:val="left"/>
      <w:pPr>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AD97218"/>
    <w:multiLevelType w:val="hybridMultilevel"/>
    <w:tmpl w:val="986AC11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C1F5C01"/>
    <w:multiLevelType w:val="hybridMultilevel"/>
    <w:tmpl w:val="DCF439AA"/>
    <w:lvl w:ilvl="0" w:tplc="04090001">
      <w:start w:val="1"/>
      <w:numFmt w:val="bullet"/>
      <w:lvlText w:val=""/>
      <w:lvlJc w:val="left"/>
      <w:pPr>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0C35734"/>
    <w:multiLevelType w:val="hybridMultilevel"/>
    <w:tmpl w:val="5D7E0B68"/>
    <w:lvl w:ilvl="0" w:tplc="04090001">
      <w:start w:val="1"/>
      <w:numFmt w:val="bullet"/>
      <w:lvlText w:val=""/>
      <w:lvlJc w:val="left"/>
      <w:pPr>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3C13ABC"/>
    <w:multiLevelType w:val="hybridMultilevel"/>
    <w:tmpl w:val="D9FAF0D4"/>
    <w:lvl w:ilvl="0" w:tplc="04090001">
      <w:start w:val="1"/>
      <w:numFmt w:val="bullet"/>
      <w:lvlText w:val=""/>
      <w:lvlJc w:val="left"/>
      <w:pPr>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A767F5F"/>
    <w:multiLevelType w:val="hybridMultilevel"/>
    <w:tmpl w:val="5B5C6EA0"/>
    <w:lvl w:ilvl="0" w:tplc="04090001">
      <w:start w:val="1"/>
      <w:numFmt w:val="bullet"/>
      <w:lvlText w:val=""/>
      <w:lvlJc w:val="left"/>
      <w:pPr>
        <w:ind w:left="21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99170CE"/>
    <w:multiLevelType w:val="hybridMultilevel"/>
    <w:tmpl w:val="BB3C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8"/>
  </w:num>
  <w:num w:numId="3">
    <w:abstractNumId w:val="18"/>
  </w:num>
  <w:num w:numId="4">
    <w:abstractNumId w:val="19"/>
  </w:num>
  <w:num w:numId="5">
    <w:abstractNumId w:val="20"/>
  </w:num>
  <w:num w:numId="6">
    <w:abstractNumId w:val="13"/>
  </w:num>
  <w:num w:numId="7">
    <w:abstractNumId w:val="33"/>
  </w:num>
  <w:num w:numId="8">
    <w:abstractNumId w:val="14"/>
  </w:num>
  <w:num w:numId="9">
    <w:abstractNumId w:val="30"/>
  </w:num>
  <w:num w:numId="10">
    <w:abstractNumId w:val="34"/>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5"/>
  </w:num>
  <w:num w:numId="39">
    <w:abstractNumId w:val="10"/>
  </w:num>
  <w:num w:numId="40">
    <w:abstractNumId w:val="22"/>
  </w:num>
  <w:num w:numId="41">
    <w:abstractNumId w:val="37"/>
  </w:num>
  <w:num w:numId="42">
    <w:abstractNumId w:val="24"/>
    <w:lvlOverride w:ilvl="0">
      <w:startOverride w:val="1"/>
    </w:lvlOverride>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Farb">
    <w15:presenceInfo w15:providerId="Windows Live" w15:userId="bd47968bff3754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144"/>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97"/>
    <w:rsid w:val="000015FB"/>
    <w:rsid w:val="00005F28"/>
    <w:rsid w:val="00006E1F"/>
    <w:rsid w:val="00007CA0"/>
    <w:rsid w:val="0001119F"/>
    <w:rsid w:val="00012372"/>
    <w:rsid w:val="00012863"/>
    <w:rsid w:val="00014827"/>
    <w:rsid w:val="00017DD1"/>
    <w:rsid w:val="00021A62"/>
    <w:rsid w:val="000238BC"/>
    <w:rsid w:val="0002515B"/>
    <w:rsid w:val="000300AF"/>
    <w:rsid w:val="0003023E"/>
    <w:rsid w:val="00034260"/>
    <w:rsid w:val="00037098"/>
    <w:rsid w:val="000414C7"/>
    <w:rsid w:val="00043D7B"/>
    <w:rsid w:val="00046CA3"/>
    <w:rsid w:val="00046E51"/>
    <w:rsid w:val="00047FDC"/>
    <w:rsid w:val="00050610"/>
    <w:rsid w:val="00052499"/>
    <w:rsid w:val="00053968"/>
    <w:rsid w:val="00055773"/>
    <w:rsid w:val="00055985"/>
    <w:rsid w:val="0006171C"/>
    <w:rsid w:val="00063123"/>
    <w:rsid w:val="00063FEF"/>
    <w:rsid w:val="00066AB9"/>
    <w:rsid w:val="00072477"/>
    <w:rsid w:val="000769A1"/>
    <w:rsid w:val="00076CF0"/>
    <w:rsid w:val="000779BD"/>
    <w:rsid w:val="00080DFA"/>
    <w:rsid w:val="000812AE"/>
    <w:rsid w:val="00081D47"/>
    <w:rsid w:val="000824C2"/>
    <w:rsid w:val="00087469"/>
    <w:rsid w:val="00090529"/>
    <w:rsid w:val="000909AC"/>
    <w:rsid w:val="00093D97"/>
    <w:rsid w:val="00093ECC"/>
    <w:rsid w:val="000949E8"/>
    <w:rsid w:val="000A0108"/>
    <w:rsid w:val="000A3212"/>
    <w:rsid w:val="000A4439"/>
    <w:rsid w:val="000A544F"/>
    <w:rsid w:val="000A6FC8"/>
    <w:rsid w:val="000B028F"/>
    <w:rsid w:val="000B2985"/>
    <w:rsid w:val="000B2BD0"/>
    <w:rsid w:val="000B2D78"/>
    <w:rsid w:val="000B3A77"/>
    <w:rsid w:val="000B3DED"/>
    <w:rsid w:val="000B3E92"/>
    <w:rsid w:val="000B7E70"/>
    <w:rsid w:val="000C0118"/>
    <w:rsid w:val="000C15B4"/>
    <w:rsid w:val="000C21AF"/>
    <w:rsid w:val="000C70DC"/>
    <w:rsid w:val="000C72F8"/>
    <w:rsid w:val="000C7DCF"/>
    <w:rsid w:val="000D3D16"/>
    <w:rsid w:val="000D5B33"/>
    <w:rsid w:val="000D709F"/>
    <w:rsid w:val="000E0CC8"/>
    <w:rsid w:val="000E1D9E"/>
    <w:rsid w:val="000E4766"/>
    <w:rsid w:val="000E6D11"/>
    <w:rsid w:val="000F12B5"/>
    <w:rsid w:val="000F3AB1"/>
    <w:rsid w:val="000F79B9"/>
    <w:rsid w:val="001001FA"/>
    <w:rsid w:val="0010161A"/>
    <w:rsid w:val="00102072"/>
    <w:rsid w:val="00104511"/>
    <w:rsid w:val="00105D23"/>
    <w:rsid w:val="00105F7A"/>
    <w:rsid w:val="001073C9"/>
    <w:rsid w:val="00107C74"/>
    <w:rsid w:val="001110F1"/>
    <w:rsid w:val="00111366"/>
    <w:rsid w:val="001139E9"/>
    <w:rsid w:val="00120978"/>
    <w:rsid w:val="00121CD9"/>
    <w:rsid w:val="00123EF4"/>
    <w:rsid w:val="001253C4"/>
    <w:rsid w:val="00125C1D"/>
    <w:rsid w:val="00130424"/>
    <w:rsid w:val="0013282C"/>
    <w:rsid w:val="00132E2F"/>
    <w:rsid w:val="001332C0"/>
    <w:rsid w:val="00135AF5"/>
    <w:rsid w:val="00141646"/>
    <w:rsid w:val="00141705"/>
    <w:rsid w:val="00141A0B"/>
    <w:rsid w:val="00142191"/>
    <w:rsid w:val="001425AF"/>
    <w:rsid w:val="00142AE3"/>
    <w:rsid w:val="00144DA7"/>
    <w:rsid w:val="001453A5"/>
    <w:rsid w:val="00146C2E"/>
    <w:rsid w:val="001510AA"/>
    <w:rsid w:val="0015677A"/>
    <w:rsid w:val="00160306"/>
    <w:rsid w:val="00160E09"/>
    <w:rsid w:val="00162191"/>
    <w:rsid w:val="00162988"/>
    <w:rsid w:val="00181F53"/>
    <w:rsid w:val="00182798"/>
    <w:rsid w:val="0018564C"/>
    <w:rsid w:val="001927D5"/>
    <w:rsid w:val="001933B1"/>
    <w:rsid w:val="001935FB"/>
    <w:rsid w:val="001A07D4"/>
    <w:rsid w:val="001B2EA6"/>
    <w:rsid w:val="001B360E"/>
    <w:rsid w:val="001B57C4"/>
    <w:rsid w:val="001B7611"/>
    <w:rsid w:val="001B7C39"/>
    <w:rsid w:val="001C2881"/>
    <w:rsid w:val="001C5742"/>
    <w:rsid w:val="001C6D08"/>
    <w:rsid w:val="001D11DE"/>
    <w:rsid w:val="001D247C"/>
    <w:rsid w:val="001D3C41"/>
    <w:rsid w:val="001D634E"/>
    <w:rsid w:val="001E045B"/>
    <w:rsid w:val="001E0AB2"/>
    <w:rsid w:val="001E1485"/>
    <w:rsid w:val="001E28CA"/>
    <w:rsid w:val="001E466A"/>
    <w:rsid w:val="001F0573"/>
    <w:rsid w:val="001F3BFA"/>
    <w:rsid w:val="001F5410"/>
    <w:rsid w:val="00200B10"/>
    <w:rsid w:val="00200CC4"/>
    <w:rsid w:val="00204817"/>
    <w:rsid w:val="002050B7"/>
    <w:rsid w:val="002053F3"/>
    <w:rsid w:val="002155CC"/>
    <w:rsid w:val="002170EB"/>
    <w:rsid w:val="00223990"/>
    <w:rsid w:val="0022402B"/>
    <w:rsid w:val="00225A66"/>
    <w:rsid w:val="00236122"/>
    <w:rsid w:val="00237F6F"/>
    <w:rsid w:val="0024030C"/>
    <w:rsid w:val="00243909"/>
    <w:rsid w:val="00243DEE"/>
    <w:rsid w:val="00244098"/>
    <w:rsid w:val="00244706"/>
    <w:rsid w:val="002469F7"/>
    <w:rsid w:val="00247414"/>
    <w:rsid w:val="0025104F"/>
    <w:rsid w:val="0025182E"/>
    <w:rsid w:val="002529B7"/>
    <w:rsid w:val="00252D75"/>
    <w:rsid w:val="00256E80"/>
    <w:rsid w:val="00261326"/>
    <w:rsid w:val="002613D2"/>
    <w:rsid w:val="00263A3A"/>
    <w:rsid w:val="00264716"/>
    <w:rsid w:val="00267B9F"/>
    <w:rsid w:val="00267F6C"/>
    <w:rsid w:val="00270B91"/>
    <w:rsid w:val="00271B2B"/>
    <w:rsid w:val="00272628"/>
    <w:rsid w:val="00274C5E"/>
    <w:rsid w:val="0027568A"/>
    <w:rsid w:val="00280AB2"/>
    <w:rsid w:val="002812A2"/>
    <w:rsid w:val="002814B8"/>
    <w:rsid w:val="002817C5"/>
    <w:rsid w:val="00281C08"/>
    <w:rsid w:val="00282FD0"/>
    <w:rsid w:val="00283765"/>
    <w:rsid w:val="00284557"/>
    <w:rsid w:val="00284910"/>
    <w:rsid w:val="002849EE"/>
    <w:rsid w:val="00287FD7"/>
    <w:rsid w:val="002921C5"/>
    <w:rsid w:val="0029382F"/>
    <w:rsid w:val="002942FB"/>
    <w:rsid w:val="002A0847"/>
    <w:rsid w:val="002A1ADA"/>
    <w:rsid w:val="002A244B"/>
    <w:rsid w:val="002A28C9"/>
    <w:rsid w:val="002A59C9"/>
    <w:rsid w:val="002A5A13"/>
    <w:rsid w:val="002A69E1"/>
    <w:rsid w:val="002A70E7"/>
    <w:rsid w:val="002A7359"/>
    <w:rsid w:val="002B1593"/>
    <w:rsid w:val="002B336E"/>
    <w:rsid w:val="002B3E46"/>
    <w:rsid w:val="002B4B27"/>
    <w:rsid w:val="002B6493"/>
    <w:rsid w:val="002B68A5"/>
    <w:rsid w:val="002B6DA0"/>
    <w:rsid w:val="002C2648"/>
    <w:rsid w:val="002C408B"/>
    <w:rsid w:val="002C413C"/>
    <w:rsid w:val="002C4249"/>
    <w:rsid w:val="002C64E8"/>
    <w:rsid w:val="002C7011"/>
    <w:rsid w:val="002C734A"/>
    <w:rsid w:val="002D074C"/>
    <w:rsid w:val="002D0A34"/>
    <w:rsid w:val="002D279D"/>
    <w:rsid w:val="002D64EF"/>
    <w:rsid w:val="002D6999"/>
    <w:rsid w:val="002E7205"/>
    <w:rsid w:val="002F1E71"/>
    <w:rsid w:val="002F440B"/>
    <w:rsid w:val="002F4CC6"/>
    <w:rsid w:val="002F60A0"/>
    <w:rsid w:val="002F71D4"/>
    <w:rsid w:val="002F7599"/>
    <w:rsid w:val="002F7C83"/>
    <w:rsid w:val="00300CE3"/>
    <w:rsid w:val="00303178"/>
    <w:rsid w:val="00303CF8"/>
    <w:rsid w:val="00303EE3"/>
    <w:rsid w:val="00307036"/>
    <w:rsid w:val="003071A2"/>
    <w:rsid w:val="00310DE3"/>
    <w:rsid w:val="00313671"/>
    <w:rsid w:val="00313E69"/>
    <w:rsid w:val="003142E6"/>
    <w:rsid w:val="00317EDA"/>
    <w:rsid w:val="00320EB3"/>
    <w:rsid w:val="00322476"/>
    <w:rsid w:val="0032261E"/>
    <w:rsid w:val="003257AE"/>
    <w:rsid w:val="00336A60"/>
    <w:rsid w:val="00337D10"/>
    <w:rsid w:val="00342CD8"/>
    <w:rsid w:val="003438A5"/>
    <w:rsid w:val="00343A0C"/>
    <w:rsid w:val="00343DF9"/>
    <w:rsid w:val="00344132"/>
    <w:rsid w:val="003458F9"/>
    <w:rsid w:val="003502E1"/>
    <w:rsid w:val="00350399"/>
    <w:rsid w:val="00350A79"/>
    <w:rsid w:val="00350E63"/>
    <w:rsid w:val="00351299"/>
    <w:rsid w:val="00353544"/>
    <w:rsid w:val="00353E51"/>
    <w:rsid w:val="00354836"/>
    <w:rsid w:val="00354942"/>
    <w:rsid w:val="00354C34"/>
    <w:rsid w:val="0035620F"/>
    <w:rsid w:val="0035674B"/>
    <w:rsid w:val="003607F3"/>
    <w:rsid w:val="00361980"/>
    <w:rsid w:val="00362133"/>
    <w:rsid w:val="0036369D"/>
    <w:rsid w:val="00366F10"/>
    <w:rsid w:val="00372AB1"/>
    <w:rsid w:val="00374549"/>
    <w:rsid w:val="003759DE"/>
    <w:rsid w:val="00375D3D"/>
    <w:rsid w:val="00380FCA"/>
    <w:rsid w:val="00381A96"/>
    <w:rsid w:val="00381B5C"/>
    <w:rsid w:val="00382D0E"/>
    <w:rsid w:val="00383732"/>
    <w:rsid w:val="00386508"/>
    <w:rsid w:val="00390115"/>
    <w:rsid w:val="00390394"/>
    <w:rsid w:val="003911B9"/>
    <w:rsid w:val="003913E9"/>
    <w:rsid w:val="003915E1"/>
    <w:rsid w:val="003921EF"/>
    <w:rsid w:val="00392EDB"/>
    <w:rsid w:val="00393022"/>
    <w:rsid w:val="00394752"/>
    <w:rsid w:val="003A0752"/>
    <w:rsid w:val="003A1506"/>
    <w:rsid w:val="003A1774"/>
    <w:rsid w:val="003A17E0"/>
    <w:rsid w:val="003A26BB"/>
    <w:rsid w:val="003A7629"/>
    <w:rsid w:val="003A78F2"/>
    <w:rsid w:val="003B07DB"/>
    <w:rsid w:val="003B1655"/>
    <w:rsid w:val="003B1FFC"/>
    <w:rsid w:val="003B303A"/>
    <w:rsid w:val="003B3A0E"/>
    <w:rsid w:val="003B7865"/>
    <w:rsid w:val="003C0A5F"/>
    <w:rsid w:val="003C27A1"/>
    <w:rsid w:val="003C301D"/>
    <w:rsid w:val="003C57EB"/>
    <w:rsid w:val="003D7380"/>
    <w:rsid w:val="003D77B2"/>
    <w:rsid w:val="003E0A97"/>
    <w:rsid w:val="003E0D48"/>
    <w:rsid w:val="003E10A4"/>
    <w:rsid w:val="003E4DE6"/>
    <w:rsid w:val="003E59FC"/>
    <w:rsid w:val="003E603E"/>
    <w:rsid w:val="003E64B2"/>
    <w:rsid w:val="003F0419"/>
    <w:rsid w:val="003F3F78"/>
    <w:rsid w:val="003F4726"/>
    <w:rsid w:val="003F68B9"/>
    <w:rsid w:val="00401627"/>
    <w:rsid w:val="00402878"/>
    <w:rsid w:val="0040780A"/>
    <w:rsid w:val="00407BBB"/>
    <w:rsid w:val="00410D8F"/>
    <w:rsid w:val="00410F60"/>
    <w:rsid w:val="004118E0"/>
    <w:rsid w:val="00412D08"/>
    <w:rsid w:val="00414FF6"/>
    <w:rsid w:val="004178CB"/>
    <w:rsid w:val="00417B7A"/>
    <w:rsid w:val="0042039D"/>
    <w:rsid w:val="0042088D"/>
    <w:rsid w:val="0042391D"/>
    <w:rsid w:val="0042461E"/>
    <w:rsid w:val="00424CA6"/>
    <w:rsid w:val="0042531D"/>
    <w:rsid w:val="00425C62"/>
    <w:rsid w:val="00426F0B"/>
    <w:rsid w:val="00427BD3"/>
    <w:rsid w:val="00430B2D"/>
    <w:rsid w:val="004327D3"/>
    <w:rsid w:val="00433671"/>
    <w:rsid w:val="004338D1"/>
    <w:rsid w:val="00435A23"/>
    <w:rsid w:val="00443FB4"/>
    <w:rsid w:val="0044551C"/>
    <w:rsid w:val="00446472"/>
    <w:rsid w:val="00446CBE"/>
    <w:rsid w:val="00446CE2"/>
    <w:rsid w:val="00447176"/>
    <w:rsid w:val="00447C62"/>
    <w:rsid w:val="00450873"/>
    <w:rsid w:val="00455C7B"/>
    <w:rsid w:val="004570C9"/>
    <w:rsid w:val="004602FA"/>
    <w:rsid w:val="00463045"/>
    <w:rsid w:val="00463304"/>
    <w:rsid w:val="00464147"/>
    <w:rsid w:val="00465AC4"/>
    <w:rsid w:val="00474405"/>
    <w:rsid w:val="0047478B"/>
    <w:rsid w:val="00474F9D"/>
    <w:rsid w:val="00475483"/>
    <w:rsid w:val="0047665A"/>
    <w:rsid w:val="00476CB1"/>
    <w:rsid w:val="00477312"/>
    <w:rsid w:val="00480DF6"/>
    <w:rsid w:val="00481823"/>
    <w:rsid w:val="00484CED"/>
    <w:rsid w:val="00490847"/>
    <w:rsid w:val="00491BB8"/>
    <w:rsid w:val="00492B73"/>
    <w:rsid w:val="004944D7"/>
    <w:rsid w:val="00494DE9"/>
    <w:rsid w:val="00495FA1"/>
    <w:rsid w:val="004A0392"/>
    <w:rsid w:val="004A071B"/>
    <w:rsid w:val="004A46CC"/>
    <w:rsid w:val="004A4FAA"/>
    <w:rsid w:val="004B0D54"/>
    <w:rsid w:val="004B2EBD"/>
    <w:rsid w:val="004C0DC0"/>
    <w:rsid w:val="004C62D3"/>
    <w:rsid w:val="004D62CD"/>
    <w:rsid w:val="004E4333"/>
    <w:rsid w:val="004E7D79"/>
    <w:rsid w:val="004F02A3"/>
    <w:rsid w:val="004F0B74"/>
    <w:rsid w:val="004F1792"/>
    <w:rsid w:val="004F3E29"/>
    <w:rsid w:val="004F493C"/>
    <w:rsid w:val="004F75BF"/>
    <w:rsid w:val="004F7785"/>
    <w:rsid w:val="00500333"/>
    <w:rsid w:val="00504706"/>
    <w:rsid w:val="00510B68"/>
    <w:rsid w:val="005120C6"/>
    <w:rsid w:val="00514703"/>
    <w:rsid w:val="00517880"/>
    <w:rsid w:val="00522397"/>
    <w:rsid w:val="0052399F"/>
    <w:rsid w:val="00525772"/>
    <w:rsid w:val="00527078"/>
    <w:rsid w:val="005300CB"/>
    <w:rsid w:val="00531424"/>
    <w:rsid w:val="00532E4B"/>
    <w:rsid w:val="00537F22"/>
    <w:rsid w:val="00542523"/>
    <w:rsid w:val="00552B70"/>
    <w:rsid w:val="00554B66"/>
    <w:rsid w:val="00557FE1"/>
    <w:rsid w:val="005604DC"/>
    <w:rsid w:val="00561A67"/>
    <w:rsid w:val="00561BF5"/>
    <w:rsid w:val="00563636"/>
    <w:rsid w:val="005637D0"/>
    <w:rsid w:val="0056487B"/>
    <w:rsid w:val="00566D7A"/>
    <w:rsid w:val="00570642"/>
    <w:rsid w:val="0057680D"/>
    <w:rsid w:val="00576C4F"/>
    <w:rsid w:val="005811B3"/>
    <w:rsid w:val="00581870"/>
    <w:rsid w:val="00581EE2"/>
    <w:rsid w:val="00582CD2"/>
    <w:rsid w:val="00583141"/>
    <w:rsid w:val="00583850"/>
    <w:rsid w:val="00584664"/>
    <w:rsid w:val="0058753C"/>
    <w:rsid w:val="005900E1"/>
    <w:rsid w:val="005910D9"/>
    <w:rsid w:val="00591AE6"/>
    <w:rsid w:val="00592986"/>
    <w:rsid w:val="00592CEF"/>
    <w:rsid w:val="00592E1A"/>
    <w:rsid w:val="005934EB"/>
    <w:rsid w:val="005944EC"/>
    <w:rsid w:val="00597593"/>
    <w:rsid w:val="00597607"/>
    <w:rsid w:val="00597C9C"/>
    <w:rsid w:val="00597FEB"/>
    <w:rsid w:val="005A19C0"/>
    <w:rsid w:val="005A307A"/>
    <w:rsid w:val="005A3631"/>
    <w:rsid w:val="005A3D02"/>
    <w:rsid w:val="005A4E2C"/>
    <w:rsid w:val="005A52EB"/>
    <w:rsid w:val="005A66CB"/>
    <w:rsid w:val="005B0472"/>
    <w:rsid w:val="005B5CDB"/>
    <w:rsid w:val="005C1962"/>
    <w:rsid w:val="005C228F"/>
    <w:rsid w:val="005C272F"/>
    <w:rsid w:val="005C3D22"/>
    <w:rsid w:val="005C412B"/>
    <w:rsid w:val="005C4821"/>
    <w:rsid w:val="005D01A8"/>
    <w:rsid w:val="005D0BE4"/>
    <w:rsid w:val="005E1375"/>
    <w:rsid w:val="005E66FB"/>
    <w:rsid w:val="005E7695"/>
    <w:rsid w:val="005F138C"/>
    <w:rsid w:val="005F162C"/>
    <w:rsid w:val="005F2A0C"/>
    <w:rsid w:val="005F430F"/>
    <w:rsid w:val="005F4706"/>
    <w:rsid w:val="005F53E1"/>
    <w:rsid w:val="005F7128"/>
    <w:rsid w:val="00600494"/>
    <w:rsid w:val="006019FB"/>
    <w:rsid w:val="00606043"/>
    <w:rsid w:val="00606811"/>
    <w:rsid w:val="00606C43"/>
    <w:rsid w:val="0060779A"/>
    <w:rsid w:val="00607DA4"/>
    <w:rsid w:val="00610848"/>
    <w:rsid w:val="006150A8"/>
    <w:rsid w:val="00623C63"/>
    <w:rsid w:val="0062522C"/>
    <w:rsid w:val="00626C58"/>
    <w:rsid w:val="00627321"/>
    <w:rsid w:val="00630712"/>
    <w:rsid w:val="00631F7C"/>
    <w:rsid w:val="0063223D"/>
    <w:rsid w:val="00635EC3"/>
    <w:rsid w:val="00636860"/>
    <w:rsid w:val="00636D8E"/>
    <w:rsid w:val="00637A61"/>
    <w:rsid w:val="0064008B"/>
    <w:rsid w:val="00641AC0"/>
    <w:rsid w:val="006447D1"/>
    <w:rsid w:val="006456D3"/>
    <w:rsid w:val="00645FA6"/>
    <w:rsid w:val="0064737F"/>
    <w:rsid w:val="00651DD2"/>
    <w:rsid w:val="00656171"/>
    <w:rsid w:val="006571CE"/>
    <w:rsid w:val="00663262"/>
    <w:rsid w:val="00666769"/>
    <w:rsid w:val="00670448"/>
    <w:rsid w:val="006714AC"/>
    <w:rsid w:val="00671E2B"/>
    <w:rsid w:val="00672F90"/>
    <w:rsid w:val="00673026"/>
    <w:rsid w:val="00673EC3"/>
    <w:rsid w:val="0067684B"/>
    <w:rsid w:val="00677B13"/>
    <w:rsid w:val="00677BF6"/>
    <w:rsid w:val="00682BCD"/>
    <w:rsid w:val="006848B3"/>
    <w:rsid w:val="0068692D"/>
    <w:rsid w:val="00690B57"/>
    <w:rsid w:val="00694602"/>
    <w:rsid w:val="006955A6"/>
    <w:rsid w:val="00695769"/>
    <w:rsid w:val="006959AF"/>
    <w:rsid w:val="006A3DE8"/>
    <w:rsid w:val="006A5367"/>
    <w:rsid w:val="006A53E4"/>
    <w:rsid w:val="006A64FE"/>
    <w:rsid w:val="006A65E7"/>
    <w:rsid w:val="006A7614"/>
    <w:rsid w:val="006B0652"/>
    <w:rsid w:val="006B237A"/>
    <w:rsid w:val="006B2B5D"/>
    <w:rsid w:val="006B371A"/>
    <w:rsid w:val="006B3853"/>
    <w:rsid w:val="006B43E8"/>
    <w:rsid w:val="006B6AB2"/>
    <w:rsid w:val="006C28C6"/>
    <w:rsid w:val="006C5B99"/>
    <w:rsid w:val="006C5F78"/>
    <w:rsid w:val="006D1537"/>
    <w:rsid w:val="006D267F"/>
    <w:rsid w:val="006D413F"/>
    <w:rsid w:val="006D4428"/>
    <w:rsid w:val="006D44FA"/>
    <w:rsid w:val="006D67B8"/>
    <w:rsid w:val="006D6B4E"/>
    <w:rsid w:val="006E124F"/>
    <w:rsid w:val="006E1453"/>
    <w:rsid w:val="006E2AEF"/>
    <w:rsid w:val="006E3DE1"/>
    <w:rsid w:val="006E441E"/>
    <w:rsid w:val="006E5F91"/>
    <w:rsid w:val="006E6990"/>
    <w:rsid w:val="006F0138"/>
    <w:rsid w:val="006F053F"/>
    <w:rsid w:val="006F0832"/>
    <w:rsid w:val="006F168E"/>
    <w:rsid w:val="006F4151"/>
    <w:rsid w:val="006F460A"/>
    <w:rsid w:val="006F7D71"/>
    <w:rsid w:val="00702D34"/>
    <w:rsid w:val="0070350F"/>
    <w:rsid w:val="00705E2C"/>
    <w:rsid w:val="00707664"/>
    <w:rsid w:val="00710220"/>
    <w:rsid w:val="00711CA6"/>
    <w:rsid w:val="0071244B"/>
    <w:rsid w:val="00712A21"/>
    <w:rsid w:val="00717B10"/>
    <w:rsid w:val="00720A3E"/>
    <w:rsid w:val="00720F11"/>
    <w:rsid w:val="007214EF"/>
    <w:rsid w:val="00723C00"/>
    <w:rsid w:val="00726DD4"/>
    <w:rsid w:val="00730583"/>
    <w:rsid w:val="00730892"/>
    <w:rsid w:val="00731A4C"/>
    <w:rsid w:val="007420CE"/>
    <w:rsid w:val="00742342"/>
    <w:rsid w:val="00742C8C"/>
    <w:rsid w:val="00744663"/>
    <w:rsid w:val="00744CFB"/>
    <w:rsid w:val="0074653C"/>
    <w:rsid w:val="00747001"/>
    <w:rsid w:val="0074778F"/>
    <w:rsid w:val="00747B99"/>
    <w:rsid w:val="007525FD"/>
    <w:rsid w:val="007544C7"/>
    <w:rsid w:val="00754E03"/>
    <w:rsid w:val="00763A57"/>
    <w:rsid w:val="00763DD2"/>
    <w:rsid w:val="00764608"/>
    <w:rsid w:val="0077348C"/>
    <w:rsid w:val="00773734"/>
    <w:rsid w:val="007761AF"/>
    <w:rsid w:val="0078127B"/>
    <w:rsid w:val="00783C08"/>
    <w:rsid w:val="00784BA2"/>
    <w:rsid w:val="007863F7"/>
    <w:rsid w:val="007906CE"/>
    <w:rsid w:val="007949AA"/>
    <w:rsid w:val="007959C1"/>
    <w:rsid w:val="007A3B18"/>
    <w:rsid w:val="007A5803"/>
    <w:rsid w:val="007A6709"/>
    <w:rsid w:val="007B2015"/>
    <w:rsid w:val="007B288D"/>
    <w:rsid w:val="007B2F7F"/>
    <w:rsid w:val="007B3B27"/>
    <w:rsid w:val="007B4A42"/>
    <w:rsid w:val="007B55BB"/>
    <w:rsid w:val="007B5799"/>
    <w:rsid w:val="007B6D9E"/>
    <w:rsid w:val="007B705F"/>
    <w:rsid w:val="007C0C17"/>
    <w:rsid w:val="007C0CD8"/>
    <w:rsid w:val="007C1E2F"/>
    <w:rsid w:val="007C20F7"/>
    <w:rsid w:val="007C21D9"/>
    <w:rsid w:val="007C3668"/>
    <w:rsid w:val="007C39E6"/>
    <w:rsid w:val="007C4167"/>
    <w:rsid w:val="007C49AA"/>
    <w:rsid w:val="007C5524"/>
    <w:rsid w:val="007D14BA"/>
    <w:rsid w:val="007D1991"/>
    <w:rsid w:val="007D4181"/>
    <w:rsid w:val="007D4918"/>
    <w:rsid w:val="007D4EE1"/>
    <w:rsid w:val="007D64C8"/>
    <w:rsid w:val="007D7689"/>
    <w:rsid w:val="007D7CC3"/>
    <w:rsid w:val="007E01DB"/>
    <w:rsid w:val="007E1553"/>
    <w:rsid w:val="007E4637"/>
    <w:rsid w:val="007E4B90"/>
    <w:rsid w:val="007E5A52"/>
    <w:rsid w:val="007E6625"/>
    <w:rsid w:val="007E778C"/>
    <w:rsid w:val="007F0DA1"/>
    <w:rsid w:val="007F1C0F"/>
    <w:rsid w:val="007F2742"/>
    <w:rsid w:val="007F3E0A"/>
    <w:rsid w:val="007F42E6"/>
    <w:rsid w:val="007F5658"/>
    <w:rsid w:val="007F58E6"/>
    <w:rsid w:val="007F686C"/>
    <w:rsid w:val="007F76BA"/>
    <w:rsid w:val="0080445A"/>
    <w:rsid w:val="008044C5"/>
    <w:rsid w:val="008048A0"/>
    <w:rsid w:val="00806376"/>
    <w:rsid w:val="00812122"/>
    <w:rsid w:val="008131E2"/>
    <w:rsid w:val="00813568"/>
    <w:rsid w:val="00815170"/>
    <w:rsid w:val="00815ABB"/>
    <w:rsid w:val="008169DF"/>
    <w:rsid w:val="00816DF1"/>
    <w:rsid w:val="00821DD9"/>
    <w:rsid w:val="0082459D"/>
    <w:rsid w:val="0082563D"/>
    <w:rsid w:val="00833128"/>
    <w:rsid w:val="0083518E"/>
    <w:rsid w:val="0084082C"/>
    <w:rsid w:val="00840E7C"/>
    <w:rsid w:val="008421A1"/>
    <w:rsid w:val="00842395"/>
    <w:rsid w:val="00842980"/>
    <w:rsid w:val="008432EE"/>
    <w:rsid w:val="0084533E"/>
    <w:rsid w:val="008500AA"/>
    <w:rsid w:val="00850CF2"/>
    <w:rsid w:val="00851DFB"/>
    <w:rsid w:val="00854DF8"/>
    <w:rsid w:val="00855573"/>
    <w:rsid w:val="0085587C"/>
    <w:rsid w:val="008572C5"/>
    <w:rsid w:val="00857845"/>
    <w:rsid w:val="0086314C"/>
    <w:rsid w:val="0086519F"/>
    <w:rsid w:val="00865D38"/>
    <w:rsid w:val="008663FA"/>
    <w:rsid w:val="008670AA"/>
    <w:rsid w:val="008714C0"/>
    <w:rsid w:val="00873713"/>
    <w:rsid w:val="00874265"/>
    <w:rsid w:val="00883BD4"/>
    <w:rsid w:val="008840EE"/>
    <w:rsid w:val="00887A63"/>
    <w:rsid w:val="00890519"/>
    <w:rsid w:val="00892C57"/>
    <w:rsid w:val="00893B1D"/>
    <w:rsid w:val="00894485"/>
    <w:rsid w:val="00895A2A"/>
    <w:rsid w:val="0089648C"/>
    <w:rsid w:val="008972B7"/>
    <w:rsid w:val="008A0A4C"/>
    <w:rsid w:val="008A3B53"/>
    <w:rsid w:val="008B032B"/>
    <w:rsid w:val="008B1F5A"/>
    <w:rsid w:val="008B29CA"/>
    <w:rsid w:val="008B43D6"/>
    <w:rsid w:val="008B56AB"/>
    <w:rsid w:val="008C0EA3"/>
    <w:rsid w:val="008C1C20"/>
    <w:rsid w:val="008C4666"/>
    <w:rsid w:val="008C5369"/>
    <w:rsid w:val="008D0DC0"/>
    <w:rsid w:val="008D129A"/>
    <w:rsid w:val="008D4A08"/>
    <w:rsid w:val="008D5B53"/>
    <w:rsid w:val="008D69D4"/>
    <w:rsid w:val="008E12AE"/>
    <w:rsid w:val="008E16D9"/>
    <w:rsid w:val="008E27F1"/>
    <w:rsid w:val="008E4AC2"/>
    <w:rsid w:val="008E5D22"/>
    <w:rsid w:val="008E602B"/>
    <w:rsid w:val="008E6ADD"/>
    <w:rsid w:val="008E723F"/>
    <w:rsid w:val="008E7CC2"/>
    <w:rsid w:val="008F0865"/>
    <w:rsid w:val="008F08F9"/>
    <w:rsid w:val="008F312B"/>
    <w:rsid w:val="008F5A8F"/>
    <w:rsid w:val="009009D0"/>
    <w:rsid w:val="00902B68"/>
    <w:rsid w:val="00903CAA"/>
    <w:rsid w:val="00912344"/>
    <w:rsid w:val="00914642"/>
    <w:rsid w:val="009156D2"/>
    <w:rsid w:val="00917BF4"/>
    <w:rsid w:val="0092134D"/>
    <w:rsid w:val="00921995"/>
    <w:rsid w:val="00921E84"/>
    <w:rsid w:val="00922E4A"/>
    <w:rsid w:val="00924E73"/>
    <w:rsid w:val="0092569A"/>
    <w:rsid w:val="00931BDB"/>
    <w:rsid w:val="009328E9"/>
    <w:rsid w:val="00934372"/>
    <w:rsid w:val="00936037"/>
    <w:rsid w:val="009373F2"/>
    <w:rsid w:val="00941C6D"/>
    <w:rsid w:val="00943E70"/>
    <w:rsid w:val="00944D67"/>
    <w:rsid w:val="00945642"/>
    <w:rsid w:val="00945D20"/>
    <w:rsid w:val="00952494"/>
    <w:rsid w:val="009527CF"/>
    <w:rsid w:val="00952FE4"/>
    <w:rsid w:val="00955CD5"/>
    <w:rsid w:val="00955E7B"/>
    <w:rsid w:val="0095662D"/>
    <w:rsid w:val="009567A3"/>
    <w:rsid w:val="00956F27"/>
    <w:rsid w:val="0095754B"/>
    <w:rsid w:val="009603FE"/>
    <w:rsid w:val="009614C5"/>
    <w:rsid w:val="009672E4"/>
    <w:rsid w:val="00972701"/>
    <w:rsid w:val="009771B8"/>
    <w:rsid w:val="00980DB0"/>
    <w:rsid w:val="00984B0B"/>
    <w:rsid w:val="009869F5"/>
    <w:rsid w:val="00987EB9"/>
    <w:rsid w:val="0099086B"/>
    <w:rsid w:val="00993FE2"/>
    <w:rsid w:val="009947B7"/>
    <w:rsid w:val="00994D49"/>
    <w:rsid w:val="00994EDD"/>
    <w:rsid w:val="00997375"/>
    <w:rsid w:val="0099777A"/>
    <w:rsid w:val="009A1591"/>
    <w:rsid w:val="009A533D"/>
    <w:rsid w:val="009B0C3A"/>
    <w:rsid w:val="009B1422"/>
    <w:rsid w:val="009B1BB1"/>
    <w:rsid w:val="009B20BD"/>
    <w:rsid w:val="009B4174"/>
    <w:rsid w:val="009B43CE"/>
    <w:rsid w:val="009B5834"/>
    <w:rsid w:val="009B61A1"/>
    <w:rsid w:val="009C05FB"/>
    <w:rsid w:val="009C0EAF"/>
    <w:rsid w:val="009C1CD7"/>
    <w:rsid w:val="009C1F87"/>
    <w:rsid w:val="009C424E"/>
    <w:rsid w:val="009C4947"/>
    <w:rsid w:val="009C635D"/>
    <w:rsid w:val="009C67C5"/>
    <w:rsid w:val="009D384A"/>
    <w:rsid w:val="009E12D5"/>
    <w:rsid w:val="009E2337"/>
    <w:rsid w:val="009E3661"/>
    <w:rsid w:val="009E37C1"/>
    <w:rsid w:val="009E7AC4"/>
    <w:rsid w:val="009E7E04"/>
    <w:rsid w:val="009E7EE8"/>
    <w:rsid w:val="009F0801"/>
    <w:rsid w:val="009F0F58"/>
    <w:rsid w:val="009F2FF5"/>
    <w:rsid w:val="009F3745"/>
    <w:rsid w:val="009F3805"/>
    <w:rsid w:val="00A01202"/>
    <w:rsid w:val="00A0718C"/>
    <w:rsid w:val="00A10ACD"/>
    <w:rsid w:val="00A12721"/>
    <w:rsid w:val="00A129F1"/>
    <w:rsid w:val="00A12CA0"/>
    <w:rsid w:val="00A159BB"/>
    <w:rsid w:val="00A15CB1"/>
    <w:rsid w:val="00A2348D"/>
    <w:rsid w:val="00A24B36"/>
    <w:rsid w:val="00A25D78"/>
    <w:rsid w:val="00A26CF0"/>
    <w:rsid w:val="00A274D2"/>
    <w:rsid w:val="00A30A96"/>
    <w:rsid w:val="00A31BC3"/>
    <w:rsid w:val="00A3304F"/>
    <w:rsid w:val="00A35599"/>
    <w:rsid w:val="00A356E7"/>
    <w:rsid w:val="00A36752"/>
    <w:rsid w:val="00A36A20"/>
    <w:rsid w:val="00A37976"/>
    <w:rsid w:val="00A41708"/>
    <w:rsid w:val="00A42745"/>
    <w:rsid w:val="00A43B1C"/>
    <w:rsid w:val="00A467CE"/>
    <w:rsid w:val="00A514C7"/>
    <w:rsid w:val="00A526E7"/>
    <w:rsid w:val="00A5366E"/>
    <w:rsid w:val="00A55276"/>
    <w:rsid w:val="00A553D5"/>
    <w:rsid w:val="00A56BB5"/>
    <w:rsid w:val="00A56C6B"/>
    <w:rsid w:val="00A60FFF"/>
    <w:rsid w:val="00A61A2C"/>
    <w:rsid w:val="00A6306A"/>
    <w:rsid w:val="00A63890"/>
    <w:rsid w:val="00A678FC"/>
    <w:rsid w:val="00A71192"/>
    <w:rsid w:val="00A71B7A"/>
    <w:rsid w:val="00A72CF0"/>
    <w:rsid w:val="00A75304"/>
    <w:rsid w:val="00A80A4F"/>
    <w:rsid w:val="00A82430"/>
    <w:rsid w:val="00A861B4"/>
    <w:rsid w:val="00A91891"/>
    <w:rsid w:val="00A93305"/>
    <w:rsid w:val="00A93365"/>
    <w:rsid w:val="00A95F45"/>
    <w:rsid w:val="00A9613A"/>
    <w:rsid w:val="00A973B2"/>
    <w:rsid w:val="00AA24F9"/>
    <w:rsid w:val="00AA58D6"/>
    <w:rsid w:val="00AA5D4C"/>
    <w:rsid w:val="00AA7BDA"/>
    <w:rsid w:val="00AB045A"/>
    <w:rsid w:val="00AB0F92"/>
    <w:rsid w:val="00AB1C94"/>
    <w:rsid w:val="00AB567E"/>
    <w:rsid w:val="00AC08A8"/>
    <w:rsid w:val="00AC30FA"/>
    <w:rsid w:val="00AC3943"/>
    <w:rsid w:val="00AC4317"/>
    <w:rsid w:val="00AC5EBF"/>
    <w:rsid w:val="00AC6981"/>
    <w:rsid w:val="00AC78C4"/>
    <w:rsid w:val="00AD4163"/>
    <w:rsid w:val="00AE2447"/>
    <w:rsid w:val="00AE27E2"/>
    <w:rsid w:val="00AE3A26"/>
    <w:rsid w:val="00AF1B2F"/>
    <w:rsid w:val="00AF2648"/>
    <w:rsid w:val="00AF4256"/>
    <w:rsid w:val="00AF5560"/>
    <w:rsid w:val="00B02725"/>
    <w:rsid w:val="00B05085"/>
    <w:rsid w:val="00B064A0"/>
    <w:rsid w:val="00B07C07"/>
    <w:rsid w:val="00B10ED8"/>
    <w:rsid w:val="00B13000"/>
    <w:rsid w:val="00B14B07"/>
    <w:rsid w:val="00B14DB4"/>
    <w:rsid w:val="00B20019"/>
    <w:rsid w:val="00B21550"/>
    <w:rsid w:val="00B24137"/>
    <w:rsid w:val="00B31F6A"/>
    <w:rsid w:val="00B31FEF"/>
    <w:rsid w:val="00B325E1"/>
    <w:rsid w:val="00B3588C"/>
    <w:rsid w:val="00B35FA5"/>
    <w:rsid w:val="00B43736"/>
    <w:rsid w:val="00B452F7"/>
    <w:rsid w:val="00B4531B"/>
    <w:rsid w:val="00B46DBA"/>
    <w:rsid w:val="00B51F17"/>
    <w:rsid w:val="00B528FB"/>
    <w:rsid w:val="00B559AA"/>
    <w:rsid w:val="00B564BC"/>
    <w:rsid w:val="00B62E57"/>
    <w:rsid w:val="00B63270"/>
    <w:rsid w:val="00B6337A"/>
    <w:rsid w:val="00B64400"/>
    <w:rsid w:val="00B6478F"/>
    <w:rsid w:val="00B6506D"/>
    <w:rsid w:val="00B65228"/>
    <w:rsid w:val="00B70CD9"/>
    <w:rsid w:val="00B71319"/>
    <w:rsid w:val="00B714B7"/>
    <w:rsid w:val="00B76C4F"/>
    <w:rsid w:val="00B77F33"/>
    <w:rsid w:val="00B82337"/>
    <w:rsid w:val="00B82E71"/>
    <w:rsid w:val="00B83493"/>
    <w:rsid w:val="00B83E0C"/>
    <w:rsid w:val="00B85A58"/>
    <w:rsid w:val="00B8685B"/>
    <w:rsid w:val="00B940DD"/>
    <w:rsid w:val="00B9441E"/>
    <w:rsid w:val="00B95847"/>
    <w:rsid w:val="00B966ED"/>
    <w:rsid w:val="00B96D09"/>
    <w:rsid w:val="00B96FD5"/>
    <w:rsid w:val="00BA268A"/>
    <w:rsid w:val="00BA3D8F"/>
    <w:rsid w:val="00BA3E23"/>
    <w:rsid w:val="00BA65A5"/>
    <w:rsid w:val="00BB32CF"/>
    <w:rsid w:val="00BB6193"/>
    <w:rsid w:val="00BB6A0B"/>
    <w:rsid w:val="00BB71B5"/>
    <w:rsid w:val="00BB756B"/>
    <w:rsid w:val="00BC15E4"/>
    <w:rsid w:val="00BC2E43"/>
    <w:rsid w:val="00BC5019"/>
    <w:rsid w:val="00BD01A4"/>
    <w:rsid w:val="00BD02D5"/>
    <w:rsid w:val="00BD1A05"/>
    <w:rsid w:val="00BD1B80"/>
    <w:rsid w:val="00BD5FBC"/>
    <w:rsid w:val="00BD62E1"/>
    <w:rsid w:val="00BE1707"/>
    <w:rsid w:val="00BE335A"/>
    <w:rsid w:val="00BE37BD"/>
    <w:rsid w:val="00BF187B"/>
    <w:rsid w:val="00BF4CFC"/>
    <w:rsid w:val="00BF51D5"/>
    <w:rsid w:val="00C02961"/>
    <w:rsid w:val="00C02B5E"/>
    <w:rsid w:val="00C057EF"/>
    <w:rsid w:val="00C07274"/>
    <w:rsid w:val="00C11AED"/>
    <w:rsid w:val="00C12A99"/>
    <w:rsid w:val="00C14296"/>
    <w:rsid w:val="00C14D3E"/>
    <w:rsid w:val="00C16B6E"/>
    <w:rsid w:val="00C2333D"/>
    <w:rsid w:val="00C2452C"/>
    <w:rsid w:val="00C2695D"/>
    <w:rsid w:val="00C26FC3"/>
    <w:rsid w:val="00C304BA"/>
    <w:rsid w:val="00C32246"/>
    <w:rsid w:val="00C36A39"/>
    <w:rsid w:val="00C41693"/>
    <w:rsid w:val="00C41802"/>
    <w:rsid w:val="00C41A36"/>
    <w:rsid w:val="00C42227"/>
    <w:rsid w:val="00C4260B"/>
    <w:rsid w:val="00C43792"/>
    <w:rsid w:val="00C4386E"/>
    <w:rsid w:val="00C450AE"/>
    <w:rsid w:val="00C47AA1"/>
    <w:rsid w:val="00C510A3"/>
    <w:rsid w:val="00C53387"/>
    <w:rsid w:val="00C545BD"/>
    <w:rsid w:val="00C5467E"/>
    <w:rsid w:val="00C546B7"/>
    <w:rsid w:val="00C56ED2"/>
    <w:rsid w:val="00C64F11"/>
    <w:rsid w:val="00C6623A"/>
    <w:rsid w:val="00C673E2"/>
    <w:rsid w:val="00C70000"/>
    <w:rsid w:val="00C70135"/>
    <w:rsid w:val="00C70B6C"/>
    <w:rsid w:val="00C70D8A"/>
    <w:rsid w:val="00C73034"/>
    <w:rsid w:val="00C734E5"/>
    <w:rsid w:val="00C74089"/>
    <w:rsid w:val="00C758F5"/>
    <w:rsid w:val="00C75ECC"/>
    <w:rsid w:val="00C818BB"/>
    <w:rsid w:val="00C90E85"/>
    <w:rsid w:val="00C92E5D"/>
    <w:rsid w:val="00C93509"/>
    <w:rsid w:val="00C94FE6"/>
    <w:rsid w:val="00C96BCC"/>
    <w:rsid w:val="00C9777C"/>
    <w:rsid w:val="00CA0455"/>
    <w:rsid w:val="00CA0979"/>
    <w:rsid w:val="00CA1840"/>
    <w:rsid w:val="00CA287D"/>
    <w:rsid w:val="00CA28E1"/>
    <w:rsid w:val="00CA4A39"/>
    <w:rsid w:val="00CA4C69"/>
    <w:rsid w:val="00CA58CB"/>
    <w:rsid w:val="00CA5BC7"/>
    <w:rsid w:val="00CA6C9B"/>
    <w:rsid w:val="00CB137C"/>
    <w:rsid w:val="00CB46BD"/>
    <w:rsid w:val="00CB4E54"/>
    <w:rsid w:val="00CB575A"/>
    <w:rsid w:val="00CB5985"/>
    <w:rsid w:val="00CB63B3"/>
    <w:rsid w:val="00CB6AA7"/>
    <w:rsid w:val="00CB7D81"/>
    <w:rsid w:val="00CC15E2"/>
    <w:rsid w:val="00CC215D"/>
    <w:rsid w:val="00CC3F2F"/>
    <w:rsid w:val="00CC41B6"/>
    <w:rsid w:val="00CC4A3E"/>
    <w:rsid w:val="00CC602E"/>
    <w:rsid w:val="00CC62E0"/>
    <w:rsid w:val="00CD0EB5"/>
    <w:rsid w:val="00CD1933"/>
    <w:rsid w:val="00CD47FC"/>
    <w:rsid w:val="00CD6D27"/>
    <w:rsid w:val="00CD6F65"/>
    <w:rsid w:val="00CE157A"/>
    <w:rsid w:val="00CE16E0"/>
    <w:rsid w:val="00CF1131"/>
    <w:rsid w:val="00CF3DCD"/>
    <w:rsid w:val="00CF3E4E"/>
    <w:rsid w:val="00CF52C2"/>
    <w:rsid w:val="00CF5581"/>
    <w:rsid w:val="00CF71AC"/>
    <w:rsid w:val="00D03929"/>
    <w:rsid w:val="00D03A88"/>
    <w:rsid w:val="00D07413"/>
    <w:rsid w:val="00D0799D"/>
    <w:rsid w:val="00D11C16"/>
    <w:rsid w:val="00D1214E"/>
    <w:rsid w:val="00D14FDB"/>
    <w:rsid w:val="00D150CA"/>
    <w:rsid w:val="00D15D3F"/>
    <w:rsid w:val="00D161EB"/>
    <w:rsid w:val="00D16E85"/>
    <w:rsid w:val="00D20BD0"/>
    <w:rsid w:val="00D228C4"/>
    <w:rsid w:val="00D2311D"/>
    <w:rsid w:val="00D2341C"/>
    <w:rsid w:val="00D27605"/>
    <w:rsid w:val="00D309A8"/>
    <w:rsid w:val="00D31952"/>
    <w:rsid w:val="00D352F3"/>
    <w:rsid w:val="00D3638A"/>
    <w:rsid w:val="00D36521"/>
    <w:rsid w:val="00D416DB"/>
    <w:rsid w:val="00D42C39"/>
    <w:rsid w:val="00D4325B"/>
    <w:rsid w:val="00D44F28"/>
    <w:rsid w:val="00D451FE"/>
    <w:rsid w:val="00D47003"/>
    <w:rsid w:val="00D477FD"/>
    <w:rsid w:val="00D47AB2"/>
    <w:rsid w:val="00D50E23"/>
    <w:rsid w:val="00D52207"/>
    <w:rsid w:val="00D531A3"/>
    <w:rsid w:val="00D5403A"/>
    <w:rsid w:val="00D564DA"/>
    <w:rsid w:val="00D56ACE"/>
    <w:rsid w:val="00D6183B"/>
    <w:rsid w:val="00D61BF4"/>
    <w:rsid w:val="00D6218B"/>
    <w:rsid w:val="00D627AE"/>
    <w:rsid w:val="00D62AA3"/>
    <w:rsid w:val="00D62DF9"/>
    <w:rsid w:val="00D67274"/>
    <w:rsid w:val="00D77566"/>
    <w:rsid w:val="00D90DB4"/>
    <w:rsid w:val="00D94283"/>
    <w:rsid w:val="00DA371A"/>
    <w:rsid w:val="00DA39C5"/>
    <w:rsid w:val="00DA621C"/>
    <w:rsid w:val="00DA70B4"/>
    <w:rsid w:val="00DB1017"/>
    <w:rsid w:val="00DB3842"/>
    <w:rsid w:val="00DB4896"/>
    <w:rsid w:val="00DB4CA9"/>
    <w:rsid w:val="00DB5458"/>
    <w:rsid w:val="00DB5A55"/>
    <w:rsid w:val="00DB6227"/>
    <w:rsid w:val="00DB625D"/>
    <w:rsid w:val="00DB730C"/>
    <w:rsid w:val="00DB783D"/>
    <w:rsid w:val="00DC0081"/>
    <w:rsid w:val="00DC05C1"/>
    <w:rsid w:val="00DE15F1"/>
    <w:rsid w:val="00DE1B99"/>
    <w:rsid w:val="00DE1DED"/>
    <w:rsid w:val="00DE2506"/>
    <w:rsid w:val="00DE264C"/>
    <w:rsid w:val="00DE5628"/>
    <w:rsid w:val="00DE58B8"/>
    <w:rsid w:val="00DE5CA6"/>
    <w:rsid w:val="00DE6AD2"/>
    <w:rsid w:val="00DE6E1C"/>
    <w:rsid w:val="00DF0164"/>
    <w:rsid w:val="00DF3DD0"/>
    <w:rsid w:val="00DF4385"/>
    <w:rsid w:val="00E008D5"/>
    <w:rsid w:val="00E03491"/>
    <w:rsid w:val="00E03E1D"/>
    <w:rsid w:val="00E04753"/>
    <w:rsid w:val="00E0544B"/>
    <w:rsid w:val="00E0740D"/>
    <w:rsid w:val="00E12C39"/>
    <w:rsid w:val="00E13871"/>
    <w:rsid w:val="00E16A37"/>
    <w:rsid w:val="00E24A0B"/>
    <w:rsid w:val="00E25796"/>
    <w:rsid w:val="00E263D4"/>
    <w:rsid w:val="00E27A1D"/>
    <w:rsid w:val="00E3155F"/>
    <w:rsid w:val="00E33FB4"/>
    <w:rsid w:val="00E35802"/>
    <w:rsid w:val="00E358CB"/>
    <w:rsid w:val="00E36FE2"/>
    <w:rsid w:val="00E375F1"/>
    <w:rsid w:val="00E40AD3"/>
    <w:rsid w:val="00E40C31"/>
    <w:rsid w:val="00E51C2D"/>
    <w:rsid w:val="00E51F41"/>
    <w:rsid w:val="00E55A7B"/>
    <w:rsid w:val="00E5691B"/>
    <w:rsid w:val="00E574A9"/>
    <w:rsid w:val="00E601F3"/>
    <w:rsid w:val="00E61505"/>
    <w:rsid w:val="00E6158B"/>
    <w:rsid w:val="00E63ACD"/>
    <w:rsid w:val="00E67378"/>
    <w:rsid w:val="00E673D2"/>
    <w:rsid w:val="00E70037"/>
    <w:rsid w:val="00E701E0"/>
    <w:rsid w:val="00E710F0"/>
    <w:rsid w:val="00E72220"/>
    <w:rsid w:val="00E74213"/>
    <w:rsid w:val="00E76CD9"/>
    <w:rsid w:val="00E76FF3"/>
    <w:rsid w:val="00E77579"/>
    <w:rsid w:val="00E80549"/>
    <w:rsid w:val="00E85272"/>
    <w:rsid w:val="00E869EE"/>
    <w:rsid w:val="00E91E19"/>
    <w:rsid w:val="00E95106"/>
    <w:rsid w:val="00E95F26"/>
    <w:rsid w:val="00E96691"/>
    <w:rsid w:val="00E972A2"/>
    <w:rsid w:val="00EA023E"/>
    <w:rsid w:val="00EA0EBF"/>
    <w:rsid w:val="00EA3C91"/>
    <w:rsid w:val="00EA5ECF"/>
    <w:rsid w:val="00EA7C6B"/>
    <w:rsid w:val="00EB5FBA"/>
    <w:rsid w:val="00EB77FF"/>
    <w:rsid w:val="00EC072D"/>
    <w:rsid w:val="00EC0B2E"/>
    <w:rsid w:val="00EC412A"/>
    <w:rsid w:val="00EC7FF3"/>
    <w:rsid w:val="00ED1CC5"/>
    <w:rsid w:val="00ED47C6"/>
    <w:rsid w:val="00ED74EC"/>
    <w:rsid w:val="00ED79BB"/>
    <w:rsid w:val="00ED7D65"/>
    <w:rsid w:val="00EE0957"/>
    <w:rsid w:val="00EE0E4E"/>
    <w:rsid w:val="00EE2B8D"/>
    <w:rsid w:val="00EE3CBB"/>
    <w:rsid w:val="00EF0715"/>
    <w:rsid w:val="00EF07DC"/>
    <w:rsid w:val="00EF0B95"/>
    <w:rsid w:val="00EF143D"/>
    <w:rsid w:val="00EF1732"/>
    <w:rsid w:val="00EF3ABF"/>
    <w:rsid w:val="00EF636A"/>
    <w:rsid w:val="00EF6795"/>
    <w:rsid w:val="00EF6A56"/>
    <w:rsid w:val="00EF776D"/>
    <w:rsid w:val="00EF7F86"/>
    <w:rsid w:val="00F02B9E"/>
    <w:rsid w:val="00F03412"/>
    <w:rsid w:val="00F057EC"/>
    <w:rsid w:val="00F11AA3"/>
    <w:rsid w:val="00F11FE7"/>
    <w:rsid w:val="00F142BF"/>
    <w:rsid w:val="00F1508D"/>
    <w:rsid w:val="00F178A1"/>
    <w:rsid w:val="00F27465"/>
    <w:rsid w:val="00F30518"/>
    <w:rsid w:val="00F30F6D"/>
    <w:rsid w:val="00F31F97"/>
    <w:rsid w:val="00F336F6"/>
    <w:rsid w:val="00F34784"/>
    <w:rsid w:val="00F35860"/>
    <w:rsid w:val="00F36C1D"/>
    <w:rsid w:val="00F37F1C"/>
    <w:rsid w:val="00F40E54"/>
    <w:rsid w:val="00F42C01"/>
    <w:rsid w:val="00F45261"/>
    <w:rsid w:val="00F45E82"/>
    <w:rsid w:val="00F4715B"/>
    <w:rsid w:val="00F5243D"/>
    <w:rsid w:val="00F570F0"/>
    <w:rsid w:val="00F5755F"/>
    <w:rsid w:val="00F62807"/>
    <w:rsid w:val="00F647CA"/>
    <w:rsid w:val="00F65414"/>
    <w:rsid w:val="00F6583D"/>
    <w:rsid w:val="00F65E64"/>
    <w:rsid w:val="00F67510"/>
    <w:rsid w:val="00F678B0"/>
    <w:rsid w:val="00F7051A"/>
    <w:rsid w:val="00F70FCC"/>
    <w:rsid w:val="00F731D3"/>
    <w:rsid w:val="00F77EDE"/>
    <w:rsid w:val="00F82081"/>
    <w:rsid w:val="00F82163"/>
    <w:rsid w:val="00F86BB2"/>
    <w:rsid w:val="00F87995"/>
    <w:rsid w:val="00F87F69"/>
    <w:rsid w:val="00F96808"/>
    <w:rsid w:val="00F968DD"/>
    <w:rsid w:val="00F97A95"/>
    <w:rsid w:val="00FA2139"/>
    <w:rsid w:val="00FA289F"/>
    <w:rsid w:val="00FA63D5"/>
    <w:rsid w:val="00FA7F74"/>
    <w:rsid w:val="00FB0335"/>
    <w:rsid w:val="00FB2EFB"/>
    <w:rsid w:val="00FB38B9"/>
    <w:rsid w:val="00FB3929"/>
    <w:rsid w:val="00FB585C"/>
    <w:rsid w:val="00FB6B35"/>
    <w:rsid w:val="00FB6B9E"/>
    <w:rsid w:val="00FC0EF5"/>
    <w:rsid w:val="00FC2F53"/>
    <w:rsid w:val="00FC5611"/>
    <w:rsid w:val="00FC5F8C"/>
    <w:rsid w:val="00FC701D"/>
    <w:rsid w:val="00FC79B6"/>
    <w:rsid w:val="00FD1CCB"/>
    <w:rsid w:val="00FD1F90"/>
    <w:rsid w:val="00FD4842"/>
    <w:rsid w:val="00FD7B8F"/>
    <w:rsid w:val="00FE01C1"/>
    <w:rsid w:val="00FE130F"/>
    <w:rsid w:val="00FE2767"/>
    <w:rsid w:val="00FE3EA5"/>
    <w:rsid w:val="00FF0DCF"/>
    <w:rsid w:val="00FF2B36"/>
    <w:rsid w:val="00FF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A1"/>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9E7E04"/>
    <w:pPr>
      <w:tabs>
        <w:tab w:val="left" w:pos="990"/>
        <w:tab w:val="left" w:pos="1620"/>
        <w:tab w:val="right" w:leader="dot" w:pos="9360"/>
      </w:tabs>
      <w:spacing w:after="240"/>
      <w:ind w:left="990" w:right="810" w:hanging="990"/>
    </w:pPr>
    <w:rPr>
      <w:rFonts w:ascii="Lucida Sans" w:hAnsi="Lucida Sans"/>
      <w:sz w:val="22"/>
    </w:rPr>
  </w:style>
  <w:style w:type="paragraph" w:styleId="TOC3">
    <w:name w:val="toc 3"/>
    <w:next w:val="Normal"/>
    <w:autoRedefine/>
    <w:uiPriority w:val="39"/>
    <w:qFormat/>
    <w:rsid w:val="00F86BB2"/>
    <w:pPr>
      <w:tabs>
        <w:tab w:val="left" w:pos="2070"/>
        <w:tab w:val="right" w:leader="dot" w:pos="9360"/>
      </w:tabs>
      <w:ind w:left="1628" w:right="1080" w:hanging="634"/>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tabs>
        <w:tab w:val="num" w:pos="778"/>
      </w:tabs>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uiPriority w:val="99"/>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8"/>
      </w:numPr>
      <w:ind w:left="720" w:hanging="288"/>
    </w:pPr>
  </w:style>
  <w:style w:type="paragraph" w:customStyle="1" w:styleId="BulletBlueLastSS">
    <w:name w:val="Bullet_Blue (Last SS)"/>
    <w:basedOn w:val="BulletBlackLastSS"/>
    <w:next w:val="NormalSS"/>
    <w:uiPriority w:val="99"/>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uiPriority w:val="99"/>
    <w:locked/>
    <w:rsid w:val="00B452F7"/>
    <w:rPr>
      <w:b/>
      <w:caps/>
    </w:rPr>
  </w:style>
  <w:style w:type="character" w:customStyle="1" w:styleId="Heading2Char">
    <w:name w:val="Heading 2 Char"/>
    <w:basedOn w:val="DefaultParagraphFont"/>
    <w:link w:val="Heading2"/>
    <w:uiPriority w:val="99"/>
    <w:locked/>
    <w:rsid w:val="00B452F7"/>
    <w:rPr>
      <w:b/>
      <w:caps/>
    </w:rPr>
  </w:style>
  <w:style w:type="character" w:customStyle="1" w:styleId="Heading3Char">
    <w:name w:val="Heading 3 Char"/>
    <w:basedOn w:val="DefaultParagraphFont"/>
    <w:link w:val="Heading3"/>
    <w:uiPriority w:val="99"/>
    <w:locked/>
    <w:rsid w:val="00B452F7"/>
    <w:rPr>
      <w:b/>
    </w:rPr>
  </w:style>
  <w:style w:type="character" w:customStyle="1" w:styleId="FooterChar">
    <w:name w:val="Footer Char"/>
    <w:basedOn w:val="DefaultParagraphFont"/>
    <w:link w:val="Footer"/>
    <w:uiPriority w:val="99"/>
    <w:locked/>
    <w:rsid w:val="00B452F7"/>
  </w:style>
  <w:style w:type="character" w:customStyle="1" w:styleId="FootnoteTextChar">
    <w:name w:val="Footnote Text Char"/>
    <w:aliases w:val="F1 Char"/>
    <w:basedOn w:val="DefaultParagraphFont"/>
    <w:link w:val="FootnoteText"/>
    <w:uiPriority w:val="99"/>
    <w:locked/>
    <w:rsid w:val="00B452F7"/>
    <w:rPr>
      <w:sz w:val="20"/>
    </w:rPr>
  </w:style>
  <w:style w:type="paragraph" w:customStyle="1" w:styleId="NormalSS12">
    <w:name w:val="NormalSS 12"/>
    <w:basedOn w:val="NormalSS"/>
    <w:uiPriority w:val="99"/>
    <w:rsid w:val="00B452F7"/>
  </w:style>
  <w:style w:type="paragraph" w:styleId="NormalWeb">
    <w:name w:val="Normal (Web)"/>
    <w:basedOn w:val="Normal"/>
    <w:uiPriority w:val="99"/>
    <w:rsid w:val="00B452F7"/>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unhideWhenUsed/>
    <w:rsid w:val="006B3853"/>
    <w:rPr>
      <w:sz w:val="16"/>
      <w:szCs w:val="16"/>
    </w:rPr>
  </w:style>
  <w:style w:type="paragraph" w:styleId="CommentText">
    <w:name w:val="annotation text"/>
    <w:basedOn w:val="Normal"/>
    <w:link w:val="CommentTextChar"/>
    <w:uiPriority w:val="99"/>
    <w:semiHidden/>
    <w:unhideWhenUsed/>
    <w:rsid w:val="006B3853"/>
    <w:pPr>
      <w:spacing w:line="240" w:lineRule="auto"/>
    </w:pPr>
    <w:rPr>
      <w:sz w:val="20"/>
      <w:szCs w:val="20"/>
    </w:rPr>
  </w:style>
  <w:style w:type="character" w:customStyle="1" w:styleId="CommentTextChar">
    <w:name w:val="Comment Text Char"/>
    <w:basedOn w:val="DefaultParagraphFont"/>
    <w:link w:val="CommentText"/>
    <w:uiPriority w:val="99"/>
    <w:semiHidden/>
    <w:rsid w:val="006B3853"/>
    <w:rPr>
      <w:sz w:val="20"/>
      <w:szCs w:val="20"/>
    </w:rPr>
  </w:style>
  <w:style w:type="paragraph" w:styleId="CommentSubject">
    <w:name w:val="annotation subject"/>
    <w:basedOn w:val="CommentText"/>
    <w:next w:val="CommentText"/>
    <w:link w:val="CommentSubjectChar"/>
    <w:uiPriority w:val="99"/>
    <w:semiHidden/>
    <w:unhideWhenUsed/>
    <w:rsid w:val="006B3853"/>
    <w:rPr>
      <w:b/>
      <w:bCs/>
    </w:rPr>
  </w:style>
  <w:style w:type="character" w:customStyle="1" w:styleId="CommentSubjectChar">
    <w:name w:val="Comment Subject Char"/>
    <w:basedOn w:val="CommentTextChar"/>
    <w:link w:val="CommentSubject"/>
    <w:uiPriority w:val="99"/>
    <w:semiHidden/>
    <w:rsid w:val="006B3853"/>
    <w:rPr>
      <w:b/>
      <w:bCs/>
      <w:sz w:val="20"/>
      <w:szCs w:val="20"/>
    </w:rPr>
  </w:style>
  <w:style w:type="paragraph" w:customStyle="1" w:styleId="OMBHeading3">
    <w:name w:val="OMB Heading 3"/>
    <w:basedOn w:val="Heading3"/>
    <w:uiPriority w:val="99"/>
    <w:rsid w:val="009E37C1"/>
    <w:pPr>
      <w:tabs>
        <w:tab w:val="clear" w:pos="432"/>
      </w:tabs>
      <w:spacing w:before="240" w:after="120"/>
      <w:ind w:left="720" w:hanging="720"/>
      <w:jc w:val="left"/>
    </w:pPr>
    <w:rPr>
      <w:rFonts w:ascii="Times New Roman" w:hAnsi="Times New Roman"/>
      <w:i/>
      <w:szCs w:val="20"/>
      <w:lang w:val="en-CA"/>
    </w:rPr>
  </w:style>
  <w:style w:type="paragraph" w:customStyle="1" w:styleId="Default">
    <w:name w:val="Default"/>
    <w:basedOn w:val="Normal"/>
    <w:rsid w:val="002A59C9"/>
    <w:pPr>
      <w:tabs>
        <w:tab w:val="clear" w:pos="432"/>
      </w:tabs>
      <w:autoSpaceDE w:val="0"/>
      <w:autoSpaceDN w:val="0"/>
      <w:spacing w:line="240" w:lineRule="auto"/>
      <w:ind w:firstLine="0"/>
      <w:jc w:val="left"/>
    </w:pPr>
    <w:rPr>
      <w:rFonts w:ascii="ELKPBN+TimesNewRoman" w:eastAsiaTheme="minorHAnsi" w:hAnsi="ELKPBN+TimesNewRoman"/>
      <w:color w:val="000000"/>
    </w:rPr>
  </w:style>
  <w:style w:type="character" w:styleId="Hyperlink">
    <w:name w:val="Hyperlink"/>
    <w:basedOn w:val="DefaultParagraphFont"/>
    <w:uiPriority w:val="99"/>
    <w:rsid w:val="008E723F"/>
    <w:rPr>
      <w:rFonts w:cs="Times New Roman"/>
      <w:color w:val="0000FF"/>
      <w:u w:val="single"/>
    </w:rPr>
  </w:style>
  <w:style w:type="paragraph" w:customStyle="1" w:styleId="Bullet">
    <w:name w:val="Bullet"/>
    <w:qFormat/>
    <w:rsid w:val="00677B13"/>
    <w:pPr>
      <w:numPr>
        <w:numId w:val="38"/>
      </w:numPr>
      <w:tabs>
        <w:tab w:val="left" w:pos="360"/>
      </w:tabs>
      <w:spacing w:after="180"/>
      <w:ind w:left="720" w:right="360" w:hanging="288"/>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A1"/>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9E7E04"/>
    <w:pPr>
      <w:tabs>
        <w:tab w:val="left" w:pos="990"/>
        <w:tab w:val="left" w:pos="1620"/>
        <w:tab w:val="right" w:leader="dot" w:pos="9360"/>
      </w:tabs>
      <w:spacing w:after="240"/>
      <w:ind w:left="990" w:right="810" w:hanging="990"/>
    </w:pPr>
    <w:rPr>
      <w:rFonts w:ascii="Lucida Sans" w:hAnsi="Lucida Sans"/>
      <w:sz w:val="22"/>
    </w:rPr>
  </w:style>
  <w:style w:type="paragraph" w:styleId="TOC3">
    <w:name w:val="toc 3"/>
    <w:next w:val="Normal"/>
    <w:autoRedefine/>
    <w:uiPriority w:val="39"/>
    <w:qFormat/>
    <w:rsid w:val="00F86BB2"/>
    <w:pPr>
      <w:tabs>
        <w:tab w:val="left" w:pos="2070"/>
        <w:tab w:val="right" w:leader="dot" w:pos="9360"/>
      </w:tabs>
      <w:ind w:left="1628" w:right="1080" w:hanging="634"/>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tabs>
        <w:tab w:val="num" w:pos="778"/>
      </w:tabs>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uiPriority w:val="99"/>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8"/>
      </w:numPr>
      <w:ind w:left="720" w:hanging="288"/>
    </w:pPr>
  </w:style>
  <w:style w:type="paragraph" w:customStyle="1" w:styleId="BulletBlueLastSS">
    <w:name w:val="Bullet_Blue (Last SS)"/>
    <w:basedOn w:val="BulletBlackLastSS"/>
    <w:next w:val="NormalSS"/>
    <w:uiPriority w:val="99"/>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uiPriority w:val="99"/>
    <w:locked/>
    <w:rsid w:val="00B452F7"/>
    <w:rPr>
      <w:b/>
      <w:caps/>
    </w:rPr>
  </w:style>
  <w:style w:type="character" w:customStyle="1" w:styleId="Heading2Char">
    <w:name w:val="Heading 2 Char"/>
    <w:basedOn w:val="DefaultParagraphFont"/>
    <w:link w:val="Heading2"/>
    <w:uiPriority w:val="99"/>
    <w:locked/>
    <w:rsid w:val="00B452F7"/>
    <w:rPr>
      <w:b/>
      <w:caps/>
    </w:rPr>
  </w:style>
  <w:style w:type="character" w:customStyle="1" w:styleId="Heading3Char">
    <w:name w:val="Heading 3 Char"/>
    <w:basedOn w:val="DefaultParagraphFont"/>
    <w:link w:val="Heading3"/>
    <w:uiPriority w:val="99"/>
    <w:locked/>
    <w:rsid w:val="00B452F7"/>
    <w:rPr>
      <w:b/>
    </w:rPr>
  </w:style>
  <w:style w:type="character" w:customStyle="1" w:styleId="FooterChar">
    <w:name w:val="Footer Char"/>
    <w:basedOn w:val="DefaultParagraphFont"/>
    <w:link w:val="Footer"/>
    <w:uiPriority w:val="99"/>
    <w:locked/>
    <w:rsid w:val="00B452F7"/>
  </w:style>
  <w:style w:type="character" w:customStyle="1" w:styleId="FootnoteTextChar">
    <w:name w:val="Footnote Text Char"/>
    <w:aliases w:val="F1 Char"/>
    <w:basedOn w:val="DefaultParagraphFont"/>
    <w:link w:val="FootnoteText"/>
    <w:uiPriority w:val="99"/>
    <w:locked/>
    <w:rsid w:val="00B452F7"/>
    <w:rPr>
      <w:sz w:val="20"/>
    </w:rPr>
  </w:style>
  <w:style w:type="paragraph" w:customStyle="1" w:styleId="NormalSS12">
    <w:name w:val="NormalSS 12"/>
    <w:basedOn w:val="NormalSS"/>
    <w:uiPriority w:val="99"/>
    <w:rsid w:val="00B452F7"/>
  </w:style>
  <w:style w:type="paragraph" w:styleId="NormalWeb">
    <w:name w:val="Normal (Web)"/>
    <w:basedOn w:val="Normal"/>
    <w:uiPriority w:val="99"/>
    <w:rsid w:val="00B452F7"/>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unhideWhenUsed/>
    <w:rsid w:val="006B3853"/>
    <w:rPr>
      <w:sz w:val="16"/>
      <w:szCs w:val="16"/>
    </w:rPr>
  </w:style>
  <w:style w:type="paragraph" w:styleId="CommentText">
    <w:name w:val="annotation text"/>
    <w:basedOn w:val="Normal"/>
    <w:link w:val="CommentTextChar"/>
    <w:uiPriority w:val="99"/>
    <w:semiHidden/>
    <w:unhideWhenUsed/>
    <w:rsid w:val="006B3853"/>
    <w:pPr>
      <w:spacing w:line="240" w:lineRule="auto"/>
    </w:pPr>
    <w:rPr>
      <w:sz w:val="20"/>
      <w:szCs w:val="20"/>
    </w:rPr>
  </w:style>
  <w:style w:type="character" w:customStyle="1" w:styleId="CommentTextChar">
    <w:name w:val="Comment Text Char"/>
    <w:basedOn w:val="DefaultParagraphFont"/>
    <w:link w:val="CommentText"/>
    <w:uiPriority w:val="99"/>
    <w:semiHidden/>
    <w:rsid w:val="006B3853"/>
    <w:rPr>
      <w:sz w:val="20"/>
      <w:szCs w:val="20"/>
    </w:rPr>
  </w:style>
  <w:style w:type="paragraph" w:styleId="CommentSubject">
    <w:name w:val="annotation subject"/>
    <w:basedOn w:val="CommentText"/>
    <w:next w:val="CommentText"/>
    <w:link w:val="CommentSubjectChar"/>
    <w:uiPriority w:val="99"/>
    <w:semiHidden/>
    <w:unhideWhenUsed/>
    <w:rsid w:val="006B3853"/>
    <w:rPr>
      <w:b/>
      <w:bCs/>
    </w:rPr>
  </w:style>
  <w:style w:type="character" w:customStyle="1" w:styleId="CommentSubjectChar">
    <w:name w:val="Comment Subject Char"/>
    <w:basedOn w:val="CommentTextChar"/>
    <w:link w:val="CommentSubject"/>
    <w:uiPriority w:val="99"/>
    <w:semiHidden/>
    <w:rsid w:val="006B3853"/>
    <w:rPr>
      <w:b/>
      <w:bCs/>
      <w:sz w:val="20"/>
      <w:szCs w:val="20"/>
    </w:rPr>
  </w:style>
  <w:style w:type="paragraph" w:customStyle="1" w:styleId="OMBHeading3">
    <w:name w:val="OMB Heading 3"/>
    <w:basedOn w:val="Heading3"/>
    <w:uiPriority w:val="99"/>
    <w:rsid w:val="009E37C1"/>
    <w:pPr>
      <w:tabs>
        <w:tab w:val="clear" w:pos="432"/>
      </w:tabs>
      <w:spacing w:before="240" w:after="120"/>
      <w:ind w:left="720" w:hanging="720"/>
      <w:jc w:val="left"/>
    </w:pPr>
    <w:rPr>
      <w:rFonts w:ascii="Times New Roman" w:hAnsi="Times New Roman"/>
      <w:i/>
      <w:szCs w:val="20"/>
      <w:lang w:val="en-CA"/>
    </w:rPr>
  </w:style>
  <w:style w:type="paragraph" w:customStyle="1" w:styleId="Default">
    <w:name w:val="Default"/>
    <w:basedOn w:val="Normal"/>
    <w:rsid w:val="002A59C9"/>
    <w:pPr>
      <w:tabs>
        <w:tab w:val="clear" w:pos="432"/>
      </w:tabs>
      <w:autoSpaceDE w:val="0"/>
      <w:autoSpaceDN w:val="0"/>
      <w:spacing w:line="240" w:lineRule="auto"/>
      <w:ind w:firstLine="0"/>
      <w:jc w:val="left"/>
    </w:pPr>
    <w:rPr>
      <w:rFonts w:ascii="ELKPBN+TimesNewRoman" w:eastAsiaTheme="minorHAnsi" w:hAnsi="ELKPBN+TimesNewRoman"/>
      <w:color w:val="000000"/>
    </w:rPr>
  </w:style>
  <w:style w:type="character" w:styleId="Hyperlink">
    <w:name w:val="Hyperlink"/>
    <w:basedOn w:val="DefaultParagraphFont"/>
    <w:uiPriority w:val="99"/>
    <w:rsid w:val="008E723F"/>
    <w:rPr>
      <w:rFonts w:cs="Times New Roman"/>
      <w:color w:val="0000FF"/>
      <w:u w:val="single"/>
    </w:rPr>
  </w:style>
  <w:style w:type="paragraph" w:customStyle="1" w:styleId="Bullet">
    <w:name w:val="Bullet"/>
    <w:qFormat/>
    <w:rsid w:val="00677B13"/>
    <w:pPr>
      <w:numPr>
        <w:numId w:val="38"/>
      </w:numPr>
      <w:tabs>
        <w:tab w:val="left" w:pos="360"/>
      </w:tabs>
      <w:spacing w:after="180"/>
      <w:ind w:left="720" w:right="360" w:hanging="288"/>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36222">
      <w:bodyDiv w:val="1"/>
      <w:marLeft w:val="0"/>
      <w:marRight w:val="0"/>
      <w:marTop w:val="0"/>
      <w:marBottom w:val="0"/>
      <w:divBdr>
        <w:top w:val="none" w:sz="0" w:space="0" w:color="auto"/>
        <w:left w:val="none" w:sz="0" w:space="0" w:color="auto"/>
        <w:bottom w:val="none" w:sz="0" w:space="0" w:color="auto"/>
        <w:right w:val="none" w:sz="0" w:space="0" w:color="auto"/>
      </w:divBdr>
    </w:div>
    <w:div w:id="1447849143">
      <w:bodyDiv w:val="1"/>
      <w:marLeft w:val="0"/>
      <w:marRight w:val="0"/>
      <w:marTop w:val="0"/>
      <w:marBottom w:val="0"/>
      <w:divBdr>
        <w:top w:val="none" w:sz="0" w:space="0" w:color="auto"/>
        <w:left w:val="none" w:sz="0" w:space="0" w:color="auto"/>
        <w:bottom w:val="none" w:sz="0" w:space="0" w:color="auto"/>
        <w:right w:val="none" w:sz="0" w:space="0" w:color="auto"/>
      </w:divBdr>
    </w:div>
    <w:div w:id="1551964857">
      <w:bodyDiv w:val="1"/>
      <w:marLeft w:val="0"/>
      <w:marRight w:val="0"/>
      <w:marTop w:val="0"/>
      <w:marBottom w:val="0"/>
      <w:divBdr>
        <w:top w:val="none" w:sz="0" w:space="0" w:color="auto"/>
        <w:left w:val="none" w:sz="0" w:space="0" w:color="auto"/>
        <w:bottom w:val="none" w:sz="0" w:space="0" w:color="auto"/>
        <w:right w:val="none" w:sz="0" w:space="0" w:color="auto"/>
      </w:divBdr>
    </w:div>
    <w:div w:id="1688288151">
      <w:bodyDiv w:val="1"/>
      <w:marLeft w:val="0"/>
      <w:marRight w:val="0"/>
      <w:marTop w:val="0"/>
      <w:marBottom w:val="0"/>
      <w:divBdr>
        <w:top w:val="none" w:sz="0" w:space="0" w:color="auto"/>
        <w:left w:val="none" w:sz="0" w:space="0" w:color="auto"/>
        <w:bottom w:val="none" w:sz="0" w:space="0" w:color="auto"/>
        <w:right w:val="none" w:sz="0" w:space="0" w:color="auto"/>
      </w:divBdr>
    </w:div>
    <w:div w:id="1892688475">
      <w:bodyDiv w:val="1"/>
      <w:marLeft w:val="0"/>
      <w:marRight w:val="0"/>
      <w:marTop w:val="0"/>
      <w:marBottom w:val="0"/>
      <w:divBdr>
        <w:top w:val="none" w:sz="0" w:space="0" w:color="auto"/>
        <w:left w:val="none" w:sz="0" w:space="0" w:color="auto"/>
        <w:bottom w:val="none" w:sz="0" w:space="0" w:color="auto"/>
        <w:right w:val="none" w:sz="0" w:space="0" w:color="auto"/>
      </w:divBdr>
    </w:div>
    <w:div w:id="194468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033941648F7840B40450A26AE2BDE9" ma:contentTypeVersion="0" ma:contentTypeDescription="Create a new document." ma:contentTypeScope="" ma:versionID="62392b69f5d8b6b9ecb11209566ea4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9472-6207-41D1-8EF9-ABCA8888B890}">
  <ds:schemaRefs>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EE99E85D-8077-4840-AB32-69AB02BF45B2}">
  <ds:schemaRefs>
    <ds:schemaRef ds:uri="http://schemas.microsoft.com/sharepoint/v3/contenttype/forms"/>
  </ds:schemaRefs>
</ds:datastoreItem>
</file>

<file path=customXml/itemProps3.xml><?xml version="1.0" encoding="utf-8"?>
<ds:datastoreItem xmlns:ds="http://schemas.openxmlformats.org/officeDocument/2006/customXml" ds:itemID="{58670C83-C5C8-412A-BFFE-49072A37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D4EA5C-2A92-4E58-9ABD-CE803B15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3805</Words>
  <Characters>21689</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 Part A: Justification for the Collection of Follow-up Data</vt:lpstr>
    </vt:vector>
  </TitlesOfParts>
  <Company>Mathematica, Inc</Company>
  <LinksUpToDate>false</LinksUpToDate>
  <CharactersWithSpaces>25444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A: Justification for the Collection of Follow-up Data</dc:title>
  <dc:creator>Barbara Collette</dc:creator>
  <cp:lastModifiedBy>Funn, Sherrette (OS/ASA/OCIO/OEA)</cp:lastModifiedBy>
  <cp:revision>2</cp:revision>
  <cp:lastPrinted>2014-06-19T19:22:00Z</cp:lastPrinted>
  <dcterms:created xsi:type="dcterms:W3CDTF">2014-06-19T19:46:00Z</dcterms:created>
  <dcterms:modified xsi:type="dcterms:W3CDTF">2014-06-19T19:46:00Z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