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459E4" w14:textId="77777777" w:rsidR="00532F17" w:rsidRPr="00575E09" w:rsidRDefault="00532F17" w:rsidP="35BE6F9A">
      <w:pPr>
        <w:widowControl w:val="0"/>
        <w:tabs>
          <w:tab w:val="center" w:pos="4680"/>
        </w:tabs>
        <w:jc w:val="center"/>
        <w:outlineLvl w:val="0"/>
        <w:rPr>
          <w:b/>
          <w:szCs w:val="24"/>
        </w:rPr>
      </w:pPr>
      <w:r w:rsidRPr="00575E09">
        <w:rPr>
          <w:b/>
          <w:szCs w:val="24"/>
        </w:rPr>
        <w:t>Supporting Statement for Request of Information Collection Approval</w:t>
      </w:r>
    </w:p>
    <w:p w14:paraId="7B7459E5" w14:textId="3775FD6D" w:rsidR="00532F17" w:rsidRPr="00575E09" w:rsidRDefault="00532F17" w:rsidP="35BE6F9A">
      <w:pPr>
        <w:widowControl w:val="0"/>
        <w:tabs>
          <w:tab w:val="center" w:pos="4680"/>
        </w:tabs>
        <w:jc w:val="center"/>
        <w:outlineLvl w:val="0"/>
        <w:rPr>
          <w:b/>
          <w:szCs w:val="24"/>
        </w:rPr>
      </w:pPr>
      <w:r w:rsidRPr="00575E09">
        <w:rPr>
          <w:b/>
          <w:szCs w:val="24"/>
        </w:rPr>
        <w:t xml:space="preserve"> </w:t>
      </w:r>
      <w:r w:rsidR="00466E5F" w:rsidRPr="00575E09">
        <w:rPr>
          <w:b/>
          <w:szCs w:val="24"/>
        </w:rPr>
        <w:t>o</w:t>
      </w:r>
      <w:r w:rsidRPr="00575E09">
        <w:rPr>
          <w:b/>
          <w:szCs w:val="24"/>
        </w:rPr>
        <w:t xml:space="preserve">f the Low Income Home Energy Assistance </w:t>
      </w:r>
      <w:r w:rsidR="00466E5F" w:rsidRPr="00575E09">
        <w:rPr>
          <w:b/>
          <w:szCs w:val="24"/>
        </w:rPr>
        <w:t>Program</w:t>
      </w:r>
      <w:r w:rsidR="00EA31E6" w:rsidRPr="00575E09">
        <w:rPr>
          <w:b/>
          <w:szCs w:val="24"/>
        </w:rPr>
        <w:t xml:space="preserve"> (LIHEAP)</w:t>
      </w:r>
      <w:r w:rsidR="00466E5F" w:rsidRPr="00575E09">
        <w:rPr>
          <w:b/>
          <w:szCs w:val="24"/>
        </w:rPr>
        <w:t xml:space="preserve"> </w:t>
      </w:r>
      <w:r w:rsidR="002D01FC" w:rsidRPr="00575E09">
        <w:rPr>
          <w:b/>
          <w:szCs w:val="24"/>
        </w:rPr>
        <w:t>Plan</w:t>
      </w:r>
    </w:p>
    <w:p w14:paraId="7B7459E7" w14:textId="1A26C2E4" w:rsidR="00532F17" w:rsidRPr="00575E09" w:rsidRDefault="007A2D13" w:rsidP="007A2D13">
      <w:pPr>
        <w:widowControl w:val="0"/>
        <w:tabs>
          <w:tab w:val="center" w:pos="4680"/>
        </w:tabs>
        <w:jc w:val="center"/>
        <w:outlineLvl w:val="0"/>
        <w:rPr>
          <w:szCs w:val="24"/>
        </w:rPr>
      </w:pPr>
      <w:r w:rsidRPr="00575E09">
        <w:rPr>
          <w:b/>
          <w:szCs w:val="24"/>
        </w:rPr>
        <w:t>Revised June 23, 2014</w:t>
      </w:r>
    </w:p>
    <w:p w14:paraId="7B7459E8" w14:textId="77777777" w:rsidR="00833632" w:rsidRPr="00575E09" w:rsidRDefault="00833632" w:rsidP="35BE6F9A">
      <w:pPr>
        <w:widowControl w:val="0"/>
        <w:tabs>
          <w:tab w:val="left" w:pos="918"/>
          <w:tab w:val="left" w:pos="1188"/>
        </w:tabs>
        <w:outlineLvl w:val="0"/>
        <w:rPr>
          <w:b/>
          <w:szCs w:val="24"/>
        </w:rPr>
      </w:pPr>
    </w:p>
    <w:p w14:paraId="7B7459E9" w14:textId="77777777" w:rsidR="00532F17" w:rsidRPr="00575E09" w:rsidRDefault="00532F17" w:rsidP="35BE6F9A">
      <w:pPr>
        <w:widowControl w:val="0"/>
        <w:tabs>
          <w:tab w:val="left" w:pos="918"/>
          <w:tab w:val="left" w:pos="1188"/>
        </w:tabs>
        <w:outlineLvl w:val="0"/>
        <w:rPr>
          <w:szCs w:val="24"/>
        </w:rPr>
      </w:pPr>
      <w:r w:rsidRPr="00575E09">
        <w:rPr>
          <w:b/>
          <w:szCs w:val="24"/>
        </w:rPr>
        <w:t>A.  Justification</w:t>
      </w:r>
    </w:p>
    <w:p w14:paraId="7B7459EA" w14:textId="77777777" w:rsidR="00532F17" w:rsidRPr="00575E09" w:rsidRDefault="00532F17" w:rsidP="35BE6F9A">
      <w:pPr>
        <w:widowControl w:val="0"/>
        <w:tabs>
          <w:tab w:val="left" w:pos="918"/>
          <w:tab w:val="left" w:pos="1188"/>
        </w:tabs>
        <w:rPr>
          <w:szCs w:val="24"/>
        </w:rPr>
      </w:pPr>
    </w:p>
    <w:p w14:paraId="7B7459EB" w14:textId="77777777" w:rsidR="00532F17" w:rsidRPr="00575E09" w:rsidRDefault="00532F17" w:rsidP="35BE6F9A">
      <w:pPr>
        <w:widowControl w:val="0"/>
        <w:tabs>
          <w:tab w:val="left" w:pos="540"/>
          <w:tab w:val="left" w:pos="821"/>
        </w:tabs>
        <w:ind w:left="544" w:hanging="544"/>
        <w:rPr>
          <w:b/>
          <w:szCs w:val="24"/>
        </w:rPr>
      </w:pPr>
      <w:r w:rsidRPr="00575E09">
        <w:rPr>
          <w:b/>
          <w:szCs w:val="24"/>
        </w:rPr>
        <w:t>1.</w:t>
      </w:r>
      <w:r w:rsidRPr="00575E09">
        <w:rPr>
          <w:b/>
          <w:szCs w:val="24"/>
        </w:rPr>
        <w:tab/>
        <w:t>Circumstances Making the Collection of Information Necessary</w:t>
      </w:r>
    </w:p>
    <w:p w14:paraId="7B7459EC" w14:textId="77777777" w:rsidR="00532F17" w:rsidRPr="00575E09" w:rsidRDefault="00532F17" w:rsidP="35BE6F9A">
      <w:pPr>
        <w:widowControl w:val="0"/>
        <w:tabs>
          <w:tab w:val="left" w:pos="918"/>
          <w:tab w:val="left" w:pos="1188"/>
        </w:tabs>
        <w:rPr>
          <w:szCs w:val="24"/>
        </w:rPr>
      </w:pPr>
    </w:p>
    <w:p w14:paraId="7B7459ED" w14:textId="77777777" w:rsidR="00F63424" w:rsidRPr="00575E09" w:rsidRDefault="00F63424" w:rsidP="35BE6F9A">
      <w:pPr>
        <w:widowControl w:val="0"/>
        <w:tabs>
          <w:tab w:val="left" w:pos="918"/>
          <w:tab w:val="left" w:pos="1188"/>
        </w:tabs>
        <w:rPr>
          <w:spacing w:val="-4"/>
          <w:szCs w:val="24"/>
        </w:rPr>
      </w:pPr>
      <w:r w:rsidRPr="00575E09">
        <w:rPr>
          <w:spacing w:val="-4"/>
          <w:szCs w:val="24"/>
        </w:rPr>
        <w:t xml:space="preserve">The Low Income Home Energy Assistance Program (LIHEAP) block grant (42 U.S.C. 8621) was established under Title XXVI of the Omnibus Budget Reconciliation Act of 1981, Public Law 97-35.  The Office of Community Services (OCS) within the U.S. Department of Health and Human Services (HHS), Administration for Children and Families (ACF) administers LIHEAP at the </w:t>
      </w:r>
      <w:r w:rsidR="00784541" w:rsidRPr="00575E09">
        <w:rPr>
          <w:spacing w:val="-4"/>
          <w:szCs w:val="24"/>
        </w:rPr>
        <w:t>f</w:t>
      </w:r>
      <w:r w:rsidRPr="00575E09">
        <w:rPr>
          <w:spacing w:val="-4"/>
          <w:szCs w:val="24"/>
        </w:rPr>
        <w:t xml:space="preserve">ederal level.  </w:t>
      </w:r>
    </w:p>
    <w:p w14:paraId="7B7459EE" w14:textId="77777777" w:rsidR="00F63424" w:rsidRPr="00575E09" w:rsidRDefault="00F63424" w:rsidP="35BE6F9A">
      <w:pPr>
        <w:widowControl w:val="0"/>
        <w:tabs>
          <w:tab w:val="left" w:pos="918"/>
          <w:tab w:val="left" w:pos="1188"/>
        </w:tabs>
        <w:rPr>
          <w:spacing w:val="-4"/>
          <w:szCs w:val="24"/>
        </w:rPr>
      </w:pPr>
    </w:p>
    <w:p w14:paraId="7B7459EF" w14:textId="4D0A8DB7" w:rsidR="00FB3108" w:rsidRPr="00575E09" w:rsidRDefault="00E0350D" w:rsidP="35BE6F9A">
      <w:pPr>
        <w:widowControl w:val="0"/>
        <w:tabs>
          <w:tab w:val="left" w:pos="918"/>
          <w:tab w:val="left" w:pos="1188"/>
        </w:tabs>
        <w:spacing w:before="240"/>
        <w:rPr>
          <w:szCs w:val="24"/>
          <w:lang w:val="en"/>
        </w:rPr>
      </w:pPr>
      <w:r w:rsidRPr="00575E09">
        <w:rPr>
          <w:szCs w:val="24"/>
          <w:lang w:val="en"/>
        </w:rPr>
        <w:t>Section 2605(c)(</w:t>
      </w:r>
      <w:r w:rsidR="000D35F0" w:rsidRPr="00575E09">
        <w:rPr>
          <w:szCs w:val="24"/>
          <w:lang w:val="en"/>
        </w:rPr>
        <w:t>1</w:t>
      </w:r>
      <w:r w:rsidRPr="00575E09">
        <w:rPr>
          <w:szCs w:val="24"/>
          <w:lang w:val="en"/>
        </w:rPr>
        <w:t xml:space="preserve">) of the Omnibus Budget Reconciliation Act of 1981, as amended, </w:t>
      </w:r>
      <w:r w:rsidR="008A35D7" w:rsidRPr="00575E09">
        <w:rPr>
          <w:szCs w:val="24"/>
          <w:lang w:val="en"/>
        </w:rPr>
        <w:t xml:space="preserve">(LIHEAP statute) </w:t>
      </w:r>
      <w:r w:rsidRPr="00575E09">
        <w:rPr>
          <w:szCs w:val="24"/>
          <w:lang w:val="en"/>
        </w:rPr>
        <w:t xml:space="preserve">provides that </w:t>
      </w:r>
      <w:r w:rsidR="000D35F0" w:rsidRPr="00575E09">
        <w:rPr>
          <w:szCs w:val="24"/>
          <w:lang w:val="en"/>
        </w:rPr>
        <w:t xml:space="preserve">“as part of the annual application required…, the chief executive officer of each state shall prepare and furnish to the Secretary, </w:t>
      </w:r>
      <w:r w:rsidR="000D35F0" w:rsidRPr="00575E09">
        <w:rPr>
          <w:b/>
          <w:i/>
          <w:szCs w:val="24"/>
          <w:lang w:val="en"/>
        </w:rPr>
        <w:t>in such format as the Secretary may require</w:t>
      </w:r>
      <w:r w:rsidR="000D35F0" w:rsidRPr="00575E09">
        <w:rPr>
          <w:szCs w:val="24"/>
          <w:lang w:val="en"/>
        </w:rPr>
        <w:t>, a plan” which addresses several statutorily required data elements</w:t>
      </w:r>
      <w:r w:rsidR="008A35D7" w:rsidRPr="00575E09">
        <w:rPr>
          <w:szCs w:val="24"/>
          <w:lang w:val="en"/>
        </w:rPr>
        <w:t xml:space="preserve"> (emphasis added)</w:t>
      </w:r>
      <w:r w:rsidR="000D35F0" w:rsidRPr="00575E09">
        <w:rPr>
          <w:szCs w:val="24"/>
          <w:lang w:val="en"/>
        </w:rPr>
        <w:t xml:space="preserve">.  [see also Section 2604(d)(4) regarding the Plan requirement for tribes].  </w:t>
      </w:r>
      <w:r w:rsidR="6C159498" w:rsidRPr="00575E09">
        <w:rPr>
          <w:szCs w:val="24"/>
          <w:lang w:val="en"/>
        </w:rPr>
        <w:t xml:space="preserve">Section 2605(c)(3) of the LIHEAP statute requires the Secretary to make available each fiscal year a model plan for use in the next fiscal year. </w:t>
      </w:r>
      <w:r w:rsidRPr="00575E09">
        <w:rPr>
          <w:szCs w:val="24"/>
          <w:lang w:val="en"/>
        </w:rPr>
        <w:t xml:space="preserve"> </w:t>
      </w:r>
      <w:r w:rsidR="000D35F0" w:rsidRPr="00575E09">
        <w:rPr>
          <w:szCs w:val="24"/>
          <w:lang w:val="en"/>
        </w:rPr>
        <w:t>The regulations require that s</w:t>
      </w:r>
      <w:r w:rsidRPr="00575E09">
        <w:rPr>
          <w:szCs w:val="24"/>
          <w:lang w:val="en"/>
        </w:rPr>
        <w:t>tates</w:t>
      </w:r>
      <w:r w:rsidR="005F3F2E" w:rsidRPr="00575E09">
        <w:rPr>
          <w:szCs w:val="24"/>
          <w:lang w:val="en"/>
        </w:rPr>
        <w:t xml:space="preserve"> and </w:t>
      </w:r>
      <w:r w:rsidR="000D35F0" w:rsidRPr="00575E09">
        <w:rPr>
          <w:szCs w:val="24"/>
          <w:lang w:val="en"/>
        </w:rPr>
        <w:t>t</w:t>
      </w:r>
      <w:r w:rsidRPr="00575E09">
        <w:rPr>
          <w:szCs w:val="24"/>
          <w:lang w:val="en"/>
        </w:rPr>
        <w:t>erritories</w:t>
      </w:r>
      <w:r w:rsidR="005F3F2E" w:rsidRPr="00575E09">
        <w:rPr>
          <w:szCs w:val="24"/>
          <w:lang w:val="en"/>
        </w:rPr>
        <w:t xml:space="preserve"> (45 C.F.R. § 96.10(c)(2))</w:t>
      </w:r>
      <w:r w:rsidRPr="00575E09">
        <w:rPr>
          <w:szCs w:val="24"/>
          <w:lang w:val="en"/>
        </w:rPr>
        <w:t xml:space="preserve"> and </w:t>
      </w:r>
      <w:r w:rsidR="000D35F0" w:rsidRPr="00575E09">
        <w:rPr>
          <w:szCs w:val="24"/>
          <w:lang w:val="en"/>
        </w:rPr>
        <w:t>t</w:t>
      </w:r>
      <w:r w:rsidRPr="00575E09">
        <w:rPr>
          <w:szCs w:val="24"/>
          <w:lang w:val="en"/>
        </w:rPr>
        <w:t>ribes/</w:t>
      </w:r>
      <w:r w:rsidR="000D35F0" w:rsidRPr="00575E09">
        <w:rPr>
          <w:szCs w:val="24"/>
          <w:lang w:val="en"/>
        </w:rPr>
        <w:t>t</w:t>
      </w:r>
      <w:r w:rsidRPr="00575E09">
        <w:rPr>
          <w:szCs w:val="24"/>
          <w:lang w:val="en"/>
        </w:rPr>
        <w:t>ribal organizations</w:t>
      </w:r>
      <w:r w:rsidR="7F628FD6" w:rsidRPr="00575E09">
        <w:rPr>
          <w:szCs w:val="24"/>
          <w:lang w:val="en"/>
        </w:rPr>
        <w:t xml:space="preserve"> (45 C.F.R. § 96.42(e))</w:t>
      </w:r>
      <w:r w:rsidRPr="00575E09">
        <w:rPr>
          <w:szCs w:val="24"/>
          <w:lang w:val="en"/>
        </w:rPr>
        <w:t xml:space="preserve"> that wish to administer a Low Income Home Energy Assistance Program (LIHEAP) must submit an application for funds each year</w:t>
      </w:r>
      <w:r w:rsidR="003B1D4C" w:rsidRPr="00575E09">
        <w:rPr>
          <w:szCs w:val="24"/>
          <w:lang w:val="en"/>
        </w:rPr>
        <w:t xml:space="preserve"> </w:t>
      </w:r>
      <w:r w:rsidR="003B1D4C" w:rsidRPr="00575E09">
        <w:rPr>
          <w:b/>
          <w:szCs w:val="24"/>
          <w:lang w:val="en"/>
        </w:rPr>
        <w:t>by September 1</w:t>
      </w:r>
      <w:r w:rsidR="7F628FD6" w:rsidRPr="00575E09">
        <w:rPr>
          <w:szCs w:val="24"/>
          <w:lang w:val="en"/>
        </w:rPr>
        <w:t xml:space="preserve">.  Indian tribes and tribal organizations </w:t>
      </w:r>
      <w:r w:rsidRPr="00575E09">
        <w:rPr>
          <w:rStyle w:val="Strong"/>
          <w:b w:val="0"/>
          <w:szCs w:val="24"/>
          <w:lang w:val="en"/>
        </w:rPr>
        <w:t>must</w:t>
      </w:r>
      <w:r w:rsidRPr="00575E09">
        <w:rPr>
          <w:szCs w:val="24"/>
          <w:lang w:val="en"/>
        </w:rPr>
        <w:t xml:space="preserve"> submit their LIHEAP Plans by </w:t>
      </w:r>
      <w:r w:rsidR="003B1D4C" w:rsidRPr="00575E09">
        <w:rPr>
          <w:szCs w:val="24"/>
          <w:lang w:val="en"/>
        </w:rPr>
        <w:t>the required deadline</w:t>
      </w:r>
      <w:r w:rsidR="5B3418D1" w:rsidRPr="00575E09">
        <w:rPr>
          <w:rStyle w:val="Strong"/>
          <w:b w:val="0"/>
          <w:bCs w:val="0"/>
          <w:lang w:val="en"/>
        </w:rPr>
        <w:t>,</w:t>
      </w:r>
      <w:r w:rsidR="5B3418D1" w:rsidRPr="00575E09">
        <w:rPr>
          <w:rStyle w:val="Strong"/>
          <w:szCs w:val="24"/>
          <w:lang w:val="en"/>
        </w:rPr>
        <w:t xml:space="preserve"> </w:t>
      </w:r>
      <w:r w:rsidR="7F628FD6" w:rsidRPr="00575E09">
        <w:rPr>
          <w:szCs w:val="24"/>
          <w:lang w:val="en"/>
        </w:rPr>
        <w:t xml:space="preserve">unless the State(s) in which the tribe or organization is located agrees in writing to a specific later submission date. </w:t>
      </w:r>
    </w:p>
    <w:p w14:paraId="7B7459F0" w14:textId="77777777" w:rsidR="00FB3108" w:rsidRPr="00575E09" w:rsidRDefault="00FB3108" w:rsidP="35BE6F9A">
      <w:pPr>
        <w:widowControl w:val="0"/>
        <w:tabs>
          <w:tab w:val="left" w:pos="918"/>
          <w:tab w:val="left" w:pos="1188"/>
        </w:tabs>
        <w:rPr>
          <w:color w:val="2D261A"/>
          <w:szCs w:val="24"/>
          <w:lang w:val="en"/>
        </w:rPr>
      </w:pPr>
    </w:p>
    <w:p w14:paraId="7B7459F1" w14:textId="768E6F4C" w:rsidR="00967AE1" w:rsidRPr="00575E09" w:rsidRDefault="00967AE1" w:rsidP="35BE6F9A">
      <w:pPr>
        <w:widowControl w:val="0"/>
        <w:tabs>
          <w:tab w:val="left" w:pos="918"/>
          <w:tab w:val="left" w:pos="1188"/>
        </w:tabs>
      </w:pPr>
      <w:r w:rsidRPr="00575E09">
        <w:t xml:space="preserve">In addition to the Plan, each grantee </w:t>
      </w:r>
      <w:r w:rsidR="00585AD6" w:rsidRPr="00575E09">
        <w:t xml:space="preserve">also </w:t>
      </w:r>
      <w:r w:rsidRPr="00575E09">
        <w:t>submit</w:t>
      </w:r>
      <w:r w:rsidR="00585AD6" w:rsidRPr="00575E09">
        <w:t>s</w:t>
      </w:r>
      <w:r w:rsidRPr="00575E09">
        <w:t xml:space="preserve"> a Program Integrity Assessment Supplement (PIAS), as part of their application. The proposed new model plan will combine the content of these two forms into one form, eliminating duplicative questions and streamlining the submission process. The proposed new format of the </w:t>
      </w:r>
      <w:r w:rsidR="000D35F0" w:rsidRPr="00575E09">
        <w:t>P</w:t>
      </w:r>
      <w:r w:rsidR="2785B921" w:rsidRPr="00575E09">
        <w:t>lan is also a departure from the previously approved version. In general:</w:t>
      </w:r>
    </w:p>
    <w:p w14:paraId="7B7459F2" w14:textId="77777777" w:rsidR="00967AE1" w:rsidRPr="00575E09" w:rsidRDefault="00967AE1" w:rsidP="35BE6F9A">
      <w:pPr>
        <w:widowControl w:val="0"/>
        <w:tabs>
          <w:tab w:val="left" w:pos="918"/>
          <w:tab w:val="left" w:pos="1188"/>
        </w:tabs>
      </w:pPr>
    </w:p>
    <w:p w14:paraId="7B7459F3" w14:textId="2BDECC96" w:rsidR="00967AE1" w:rsidRPr="00575E09" w:rsidRDefault="00967AE1" w:rsidP="35BE6F9A">
      <w:pPr>
        <w:pStyle w:val="ListParagraph"/>
        <w:widowControl w:val="0"/>
        <w:numPr>
          <w:ilvl w:val="0"/>
          <w:numId w:val="49"/>
        </w:numPr>
        <w:tabs>
          <w:tab w:val="left" w:pos="918"/>
          <w:tab w:val="left" w:pos="1188"/>
        </w:tabs>
      </w:pPr>
      <w:r w:rsidRPr="00575E09">
        <w:t xml:space="preserve">The new model plan will become an electronic form, to be submitted through the On-Line Data Collection System (OLDC), which is already being used by all LIHEAP grantees to submit other required </w:t>
      </w:r>
      <w:r w:rsidR="000D35F0" w:rsidRPr="00575E09">
        <w:t>ACF</w:t>
      </w:r>
      <w:r w:rsidRPr="00575E09">
        <w:t xml:space="preserve"> form</w:t>
      </w:r>
      <w:r w:rsidR="000D35F0" w:rsidRPr="00575E09">
        <w:t>(</w:t>
      </w:r>
      <w:r w:rsidRPr="00575E09">
        <w:t>s</w:t>
      </w:r>
      <w:r w:rsidR="000D35F0" w:rsidRPr="00575E09">
        <w:t>)</w:t>
      </w:r>
      <w:r w:rsidRPr="00575E09">
        <w:t xml:space="preserve">; </w:t>
      </w:r>
    </w:p>
    <w:p w14:paraId="7B7459F4" w14:textId="1D5B5343" w:rsidR="00967AE1" w:rsidRPr="00575E09" w:rsidRDefault="00967AE1" w:rsidP="35BE6F9A">
      <w:pPr>
        <w:pStyle w:val="ListParagraph"/>
        <w:widowControl w:val="0"/>
        <w:numPr>
          <w:ilvl w:val="0"/>
          <w:numId w:val="49"/>
        </w:numPr>
        <w:tabs>
          <w:tab w:val="left" w:pos="918"/>
          <w:tab w:val="left" w:pos="1188"/>
        </w:tabs>
      </w:pPr>
      <w:r w:rsidRPr="00575E09">
        <w:t xml:space="preserve">The new </w:t>
      </w:r>
      <w:r w:rsidR="000D35F0" w:rsidRPr="00575E09">
        <w:t>P</w:t>
      </w:r>
      <w:r w:rsidRPr="00575E09">
        <w:t xml:space="preserve">lan will also provide grantees the option to respond to many questions by selecting one or more check-box responses, rather than providing a free-form text response. Grantees will still have the ability to enter free form text if none of the provided options are applicable; </w:t>
      </w:r>
    </w:p>
    <w:p w14:paraId="7B7459F5" w14:textId="5395F0BA" w:rsidR="00967AE1" w:rsidRPr="00575E09" w:rsidRDefault="00967AE1" w:rsidP="35BE6F9A">
      <w:pPr>
        <w:pStyle w:val="ListParagraph"/>
        <w:widowControl w:val="0"/>
        <w:numPr>
          <w:ilvl w:val="0"/>
          <w:numId w:val="49"/>
        </w:numPr>
        <w:tabs>
          <w:tab w:val="left" w:pos="918"/>
          <w:tab w:val="left" w:pos="1188"/>
        </w:tabs>
      </w:pPr>
      <w:r w:rsidRPr="00575E09">
        <w:t xml:space="preserve">This new re-formatting will reduce the time grantees will spend on completing the form. It will also provide </w:t>
      </w:r>
      <w:r w:rsidR="000D35F0" w:rsidRPr="00575E09">
        <w:t>ACF</w:t>
      </w:r>
      <w:r w:rsidRPr="00575E09">
        <w:t xml:space="preserve"> with the ability to collect and analyze consistent data across all grantees in a streamlined manner; </w:t>
      </w:r>
      <w:r w:rsidR="008830F6" w:rsidRPr="00575E09">
        <w:t>and</w:t>
      </w:r>
    </w:p>
    <w:p w14:paraId="7B7459F6" w14:textId="6B1E4696" w:rsidR="00F63424" w:rsidRPr="00575E09" w:rsidRDefault="00967AE1" w:rsidP="35BE6F9A">
      <w:pPr>
        <w:pStyle w:val="ListParagraph"/>
        <w:widowControl w:val="0"/>
        <w:numPr>
          <w:ilvl w:val="0"/>
          <w:numId w:val="49"/>
        </w:numPr>
        <w:tabs>
          <w:tab w:val="left" w:pos="918"/>
          <w:tab w:val="left" w:pos="1188"/>
        </w:tabs>
        <w:rPr>
          <w:szCs w:val="24"/>
        </w:rPr>
      </w:pPr>
      <w:r w:rsidRPr="00575E09">
        <w:t xml:space="preserve">This will improve the information provided by </w:t>
      </w:r>
      <w:r w:rsidR="000D35F0" w:rsidRPr="00575E09">
        <w:t>ACF</w:t>
      </w:r>
      <w:r w:rsidRPr="00575E09">
        <w:t xml:space="preserve"> in the annual LIHEAP Report to Congress and other related reports to the </w:t>
      </w:r>
      <w:r w:rsidR="000D35F0" w:rsidRPr="00575E09">
        <w:t xml:space="preserve">HHS </w:t>
      </w:r>
      <w:r w:rsidRPr="00575E09">
        <w:t>and the Office of Management and Budget</w:t>
      </w:r>
      <w:r w:rsidR="00DC1AEF" w:rsidRPr="00575E09">
        <w:t>.</w:t>
      </w:r>
      <w:r w:rsidR="00F63424" w:rsidRPr="00575E09">
        <w:rPr>
          <w:spacing w:val="-4"/>
          <w:szCs w:val="24"/>
        </w:rPr>
        <w:t xml:space="preserve">  </w:t>
      </w:r>
    </w:p>
    <w:p w14:paraId="7B7459F7" w14:textId="77777777" w:rsidR="00F63424" w:rsidRPr="00575E09" w:rsidRDefault="00F63424" w:rsidP="35BE6F9A">
      <w:pPr>
        <w:rPr>
          <w:szCs w:val="24"/>
        </w:rPr>
      </w:pPr>
    </w:p>
    <w:p w14:paraId="7B7459F8" w14:textId="61BEB47C" w:rsidR="00CF4E51" w:rsidRPr="00575E09" w:rsidRDefault="00F63424" w:rsidP="35BE6F9A">
      <w:pPr>
        <w:pStyle w:val="Level1"/>
        <w:tabs>
          <w:tab w:val="left" w:pos="720"/>
        </w:tabs>
        <w:rPr>
          <w:szCs w:val="24"/>
        </w:rPr>
      </w:pPr>
      <w:r w:rsidRPr="00575E09">
        <w:rPr>
          <w:szCs w:val="24"/>
        </w:rPr>
        <w:t xml:space="preserve">The purpose of this Supporting Statement is to request authorization for </w:t>
      </w:r>
      <w:r w:rsidR="00FB3108" w:rsidRPr="00575E09">
        <w:rPr>
          <w:szCs w:val="24"/>
        </w:rPr>
        <w:t xml:space="preserve">the </w:t>
      </w:r>
      <w:r w:rsidR="000D35F0" w:rsidRPr="00575E09">
        <w:rPr>
          <w:szCs w:val="24"/>
        </w:rPr>
        <w:t>revised</w:t>
      </w:r>
      <w:r w:rsidR="00FB3108" w:rsidRPr="00575E09">
        <w:rPr>
          <w:szCs w:val="24"/>
        </w:rPr>
        <w:t xml:space="preserve"> LIHEAP  Plan as a requirement for all LIHEAP Grantees to submit in order to </w:t>
      </w:r>
      <w:r w:rsidR="00F746DB" w:rsidRPr="00575E09">
        <w:rPr>
          <w:szCs w:val="24"/>
        </w:rPr>
        <w:t>qualify</w:t>
      </w:r>
      <w:r w:rsidR="00FB3108" w:rsidRPr="00575E09">
        <w:rPr>
          <w:szCs w:val="24"/>
        </w:rPr>
        <w:t xml:space="preserve"> for federal funds.</w:t>
      </w:r>
    </w:p>
    <w:p w14:paraId="7B7459F9" w14:textId="77777777" w:rsidR="00967AE1" w:rsidRPr="00575E09" w:rsidRDefault="00967AE1" w:rsidP="35BE6F9A">
      <w:pPr>
        <w:rPr>
          <w:b/>
          <w:szCs w:val="24"/>
        </w:rPr>
      </w:pPr>
    </w:p>
    <w:p w14:paraId="7B7459FA" w14:textId="77777777" w:rsidR="00532F17" w:rsidRPr="00575E09" w:rsidRDefault="00532F17" w:rsidP="35BE6F9A">
      <w:pPr>
        <w:rPr>
          <w:b/>
          <w:szCs w:val="24"/>
        </w:rPr>
      </w:pPr>
      <w:r w:rsidRPr="00575E09">
        <w:rPr>
          <w:b/>
          <w:szCs w:val="24"/>
        </w:rPr>
        <w:t>2.</w:t>
      </w:r>
      <w:r w:rsidRPr="00575E09">
        <w:rPr>
          <w:b/>
          <w:szCs w:val="24"/>
        </w:rPr>
        <w:tab/>
        <w:t>Purpose and Use of the Information Collection</w:t>
      </w:r>
    </w:p>
    <w:p w14:paraId="7B7459FB" w14:textId="77777777" w:rsidR="001C4B98" w:rsidRPr="00575E09" w:rsidRDefault="001C4B98" w:rsidP="35BE6F9A">
      <w:pPr>
        <w:widowControl w:val="0"/>
        <w:tabs>
          <w:tab w:val="left" w:pos="548"/>
          <w:tab w:val="left" w:pos="814"/>
        </w:tabs>
        <w:ind w:left="548" w:hanging="548"/>
        <w:rPr>
          <w:b/>
          <w:szCs w:val="24"/>
        </w:rPr>
      </w:pPr>
    </w:p>
    <w:p w14:paraId="7B7459FC" w14:textId="6FDA600B" w:rsidR="00A37F84" w:rsidRPr="00575E09" w:rsidRDefault="000D35F0" w:rsidP="35BE6F9A">
      <w:r w:rsidRPr="00575E09">
        <w:rPr>
          <w:szCs w:val="24"/>
        </w:rPr>
        <w:t xml:space="preserve">ACF </w:t>
      </w:r>
      <w:r w:rsidR="000C6129" w:rsidRPr="00575E09">
        <w:rPr>
          <w:szCs w:val="24"/>
        </w:rPr>
        <w:t xml:space="preserve">is seeking authorization to </w:t>
      </w:r>
      <w:r w:rsidR="00892E57" w:rsidRPr="00575E09">
        <w:rPr>
          <w:color w:val="2D261A"/>
          <w:szCs w:val="24"/>
          <w:lang w:val="en"/>
        </w:rPr>
        <w:t xml:space="preserve">provide LIHEAP grantees with a </w:t>
      </w:r>
      <w:r w:rsidRPr="00575E09">
        <w:rPr>
          <w:color w:val="2D261A"/>
          <w:szCs w:val="24"/>
          <w:lang w:val="en"/>
        </w:rPr>
        <w:t>revised</w:t>
      </w:r>
      <w:r w:rsidR="00892E57" w:rsidRPr="00575E09">
        <w:rPr>
          <w:color w:val="2D261A"/>
          <w:szCs w:val="24"/>
          <w:lang w:val="en"/>
        </w:rPr>
        <w:t xml:space="preserve"> Plan </w:t>
      </w:r>
      <w:r w:rsidR="00967AE1" w:rsidRPr="00575E09">
        <w:t xml:space="preserve">to ensure that data are reported </w:t>
      </w:r>
      <w:r w:rsidR="0052424A" w:rsidRPr="00575E09">
        <w:t xml:space="preserve">as </w:t>
      </w:r>
      <w:r w:rsidR="00967AE1" w:rsidRPr="00575E09">
        <w:t>consistent</w:t>
      </w:r>
      <w:r w:rsidR="0052424A" w:rsidRPr="00575E09">
        <w:t>ly and accurately as possible</w:t>
      </w:r>
      <w:r w:rsidR="00967AE1" w:rsidRPr="00575E09">
        <w:t xml:space="preserve"> by all grantees</w:t>
      </w:r>
      <w:r w:rsidRPr="00575E09">
        <w:t xml:space="preserve">.  </w:t>
      </w:r>
      <w:r w:rsidR="00967AE1" w:rsidRPr="00575E09">
        <w:t xml:space="preserve"> OCS will now require that the new version of the </w:t>
      </w:r>
      <w:r w:rsidRPr="00575E09">
        <w:t>P</w:t>
      </w:r>
      <w:r w:rsidR="00967AE1" w:rsidRPr="00575E09">
        <w:t xml:space="preserve">lan be used by all grantees. Grantees will no longer have the option of submitting their annual application </w:t>
      </w:r>
      <w:r w:rsidR="0052424A" w:rsidRPr="00575E09">
        <w:t>by mail or other methods.  This is consistent with reporting requirements of other ACF forms, such as the SF-425 Federal Financial Report which is required of all LIHEAP grantees</w:t>
      </w:r>
      <w:r w:rsidR="00967AE1" w:rsidRPr="00575E09">
        <w:t xml:space="preserve">. </w:t>
      </w:r>
    </w:p>
    <w:p w14:paraId="7B7459FD" w14:textId="77777777" w:rsidR="00A37F84" w:rsidRPr="00575E09" w:rsidRDefault="00A37F84" w:rsidP="35BE6F9A"/>
    <w:p w14:paraId="7B7459FE" w14:textId="27A386F3" w:rsidR="00B0087E" w:rsidRPr="00575E09" w:rsidRDefault="00967AE1" w:rsidP="35BE6F9A">
      <w:r w:rsidRPr="00575E09">
        <w:t xml:space="preserve">Additionally, grantees will no longer have the option to submit an abbreviated model plan. All entries from each grantee's first submission of the </w:t>
      </w:r>
      <w:r w:rsidR="0052424A" w:rsidRPr="00575E09">
        <w:t>P</w:t>
      </w:r>
      <w:r w:rsidRPr="00575E09">
        <w:t>lan in OLDC will be saved and re-populated into the form for the following fiscal year's applications. Thus, after the first year, grantees will only need to make updates to the prior year's entries.</w:t>
      </w:r>
    </w:p>
    <w:p w14:paraId="7B7459FF" w14:textId="77777777" w:rsidR="00B0087E" w:rsidRPr="00575E09" w:rsidRDefault="00B0087E" w:rsidP="35BE6F9A"/>
    <w:p w14:paraId="7B745A00" w14:textId="77777777" w:rsidR="00532F17" w:rsidRPr="00575E09" w:rsidRDefault="00532F17" w:rsidP="35BE6F9A">
      <w:pPr>
        <w:widowControl w:val="0"/>
        <w:tabs>
          <w:tab w:val="left" w:pos="548"/>
          <w:tab w:val="left" w:pos="814"/>
        </w:tabs>
        <w:ind w:left="548" w:hanging="548"/>
        <w:rPr>
          <w:b/>
          <w:szCs w:val="24"/>
        </w:rPr>
      </w:pPr>
      <w:r w:rsidRPr="00575E09">
        <w:rPr>
          <w:b/>
          <w:szCs w:val="24"/>
        </w:rPr>
        <w:t>3.</w:t>
      </w:r>
      <w:r w:rsidRPr="00575E09">
        <w:rPr>
          <w:b/>
          <w:szCs w:val="24"/>
        </w:rPr>
        <w:tab/>
        <w:t>Use of Information Technology and Burden Reduction</w:t>
      </w:r>
    </w:p>
    <w:p w14:paraId="7B745A01" w14:textId="77777777" w:rsidR="00532F17" w:rsidRPr="00575E09" w:rsidRDefault="00532F17" w:rsidP="35BE6F9A">
      <w:pPr>
        <w:widowControl w:val="0"/>
        <w:tabs>
          <w:tab w:val="left" w:pos="548"/>
          <w:tab w:val="left" w:pos="814"/>
        </w:tabs>
        <w:rPr>
          <w:szCs w:val="24"/>
        </w:rPr>
      </w:pPr>
    </w:p>
    <w:p w14:paraId="7B745A02" w14:textId="477CE2FB" w:rsidR="0055462B" w:rsidRPr="00575E09" w:rsidRDefault="003A4C12" w:rsidP="35BE6F9A">
      <w:pPr>
        <w:widowControl w:val="0"/>
        <w:tabs>
          <w:tab w:val="left" w:pos="548"/>
          <w:tab w:val="left" w:pos="814"/>
        </w:tabs>
        <w:rPr>
          <w:color w:val="000000" w:themeColor="text1"/>
        </w:rPr>
      </w:pPr>
      <w:r w:rsidRPr="00575E09">
        <w:rPr>
          <w:szCs w:val="24"/>
        </w:rPr>
        <w:t xml:space="preserve">LIHEAP </w:t>
      </w:r>
      <w:r w:rsidR="00647E3A" w:rsidRPr="00575E09">
        <w:rPr>
          <w:szCs w:val="24"/>
        </w:rPr>
        <w:t>Plans (a</w:t>
      </w:r>
      <w:r w:rsidRPr="00575E09">
        <w:rPr>
          <w:szCs w:val="24"/>
        </w:rPr>
        <w:t>pplications</w:t>
      </w:r>
      <w:r w:rsidR="00647E3A" w:rsidRPr="00575E09">
        <w:rPr>
          <w:szCs w:val="24"/>
        </w:rPr>
        <w:t>)</w:t>
      </w:r>
      <w:r w:rsidR="001B3171" w:rsidRPr="00575E09">
        <w:rPr>
          <w:szCs w:val="24"/>
        </w:rPr>
        <w:t xml:space="preserve"> will be collected </w:t>
      </w:r>
      <w:r w:rsidR="005E0CB4" w:rsidRPr="00575E09">
        <w:rPr>
          <w:szCs w:val="24"/>
        </w:rPr>
        <w:t xml:space="preserve">by OCS </w:t>
      </w:r>
      <w:r w:rsidR="001B3171" w:rsidRPr="00575E09">
        <w:rPr>
          <w:szCs w:val="24"/>
        </w:rPr>
        <w:t>using the ACF On-Line Data Collection System (OLDC), which is a web-based reporting tool.</w:t>
      </w:r>
      <w:r w:rsidR="00647E3A" w:rsidRPr="00575E09">
        <w:rPr>
          <w:szCs w:val="24"/>
        </w:rPr>
        <w:t xml:space="preserve">  Grantees are already trained an familiar with this web-based</w:t>
      </w:r>
      <w:r w:rsidR="001B3171" w:rsidRPr="00575E09">
        <w:rPr>
          <w:color w:val="000000" w:themeColor="text1"/>
        </w:rPr>
        <w:t xml:space="preserve"> </w:t>
      </w:r>
      <w:r w:rsidR="00647E3A" w:rsidRPr="00575E09">
        <w:rPr>
          <w:color w:val="000000" w:themeColor="text1"/>
        </w:rPr>
        <w:t>tool as it is the same tool LIHEAP grantees have been using to report the annual SF-425 Federal Financial Report.  ACF intends to have OLDC become the central reporting tool for all LIHEAP forms which will create administrative ease for both federal staff and grantee staff in accessing prior data as well as tracking the submission, review, and approval of submitted forms by both parties.  This tool significantly reduces the possibility of lost and incomplete documents, as it has validated checks programmed to minimize incomplete submission of data.  This tool also significantly increases the transparency of the submission and review process.</w:t>
      </w:r>
      <w:r w:rsidR="001B3171" w:rsidRPr="00575E09">
        <w:rPr>
          <w:color w:val="000000" w:themeColor="text1"/>
        </w:rPr>
        <w:t xml:space="preserve"> </w:t>
      </w:r>
    </w:p>
    <w:p w14:paraId="5A8D8C2C" w14:textId="77777777" w:rsidR="000110CA" w:rsidRPr="00575E09" w:rsidRDefault="000110CA" w:rsidP="35BE6F9A">
      <w:pPr>
        <w:widowControl w:val="0"/>
        <w:tabs>
          <w:tab w:val="left" w:pos="548"/>
          <w:tab w:val="left" w:pos="814"/>
        </w:tabs>
        <w:rPr>
          <w:color w:val="000000" w:themeColor="text1"/>
        </w:rPr>
      </w:pPr>
    </w:p>
    <w:p w14:paraId="03475C83" w14:textId="17FBB0BC" w:rsidR="000110CA" w:rsidRPr="00575E09" w:rsidRDefault="000110CA" w:rsidP="35BE6F9A">
      <w:pPr>
        <w:widowControl w:val="0"/>
        <w:tabs>
          <w:tab w:val="left" w:pos="548"/>
          <w:tab w:val="left" w:pos="814"/>
        </w:tabs>
        <w:rPr>
          <w:color w:val="000000" w:themeColor="text1"/>
        </w:rPr>
      </w:pPr>
      <w:r w:rsidRPr="00575E09">
        <w:rPr>
          <w:color w:val="000000" w:themeColor="text1"/>
        </w:rPr>
        <w:t>In early June, ACF completed user testing of the new Plan in OLDC with a group of fewer than ten LIHEAP grantees.  As a result of the user testing, ACF has made some minor IT adjustments to how the Plan functions in OLDC, and has identified some systems training issues to present to LIHEAP grantees via webinar this July. The Plan is ready to be made fully available in OLDC to LIHEAP grantees (respondents) by Ju</w:t>
      </w:r>
      <w:r w:rsidR="00F26B20" w:rsidRPr="00575E09">
        <w:rPr>
          <w:color w:val="000000" w:themeColor="text1"/>
        </w:rPr>
        <w:t>ly</w:t>
      </w:r>
      <w:r w:rsidRPr="00575E09">
        <w:rPr>
          <w:color w:val="000000" w:themeColor="text1"/>
        </w:rPr>
        <w:t xml:space="preserve"> </w:t>
      </w:r>
      <w:r w:rsidR="00F26B20" w:rsidRPr="00575E09">
        <w:rPr>
          <w:color w:val="000000" w:themeColor="text1"/>
        </w:rPr>
        <w:t>1</w:t>
      </w:r>
      <w:r w:rsidRPr="00575E09">
        <w:rPr>
          <w:color w:val="000000" w:themeColor="text1"/>
        </w:rPr>
        <w:t>, 2014 (pending OMB clearance).</w:t>
      </w:r>
    </w:p>
    <w:p w14:paraId="093F5979" w14:textId="77777777" w:rsidR="000110CA" w:rsidRPr="00575E09" w:rsidRDefault="000110CA" w:rsidP="35BE6F9A">
      <w:pPr>
        <w:widowControl w:val="0"/>
        <w:tabs>
          <w:tab w:val="left" w:pos="548"/>
          <w:tab w:val="left" w:pos="814"/>
        </w:tabs>
        <w:rPr>
          <w:color w:val="000000" w:themeColor="text1"/>
        </w:rPr>
      </w:pPr>
    </w:p>
    <w:p w14:paraId="420B05C6" w14:textId="53376B1C" w:rsidR="000110CA" w:rsidRPr="00575E09" w:rsidRDefault="000110CA" w:rsidP="000110CA">
      <w:pPr>
        <w:rPr>
          <w:color w:val="000000" w:themeColor="text1"/>
          <w:szCs w:val="24"/>
        </w:rPr>
      </w:pPr>
      <w:r w:rsidRPr="00575E09">
        <w:rPr>
          <w:color w:val="000000" w:themeColor="text1"/>
          <w:szCs w:val="24"/>
        </w:rPr>
        <w:t xml:space="preserve">The OLDC System Contingency Plan relies on replicating transactional data in real time to a standby database in an alternate location in addition to a standard backup of the database that is stored through the Iron Mountain service. The Contingency Plan specifies a warm swap and brings the OLDC back on line within one day by using the standby database or a tape recovered from Iron </w:t>
      </w:r>
      <w:r w:rsidR="00D71205" w:rsidRPr="00575E09">
        <w:rPr>
          <w:color w:val="000000" w:themeColor="text1"/>
          <w:szCs w:val="24"/>
        </w:rPr>
        <w:t>Mountain</w:t>
      </w:r>
      <w:r w:rsidRPr="00575E09">
        <w:rPr>
          <w:color w:val="000000" w:themeColor="text1"/>
          <w:szCs w:val="24"/>
        </w:rPr>
        <w:t xml:space="preserve">. The ACF Office of Information Services is responsible for operations, backups and recovery and tests the database recovery on an annual basis. A copy of the OLDC application is maintained on a standby server and once the database is recovered and the application connects to the database, operations can be restored.  In the event of a systems failure, another alternative would also be for LIHEAP grantees to email, fax, or mail their </w:t>
      </w:r>
      <w:r w:rsidRPr="00575E09">
        <w:rPr>
          <w:color w:val="000000" w:themeColor="text1"/>
          <w:szCs w:val="24"/>
        </w:rPr>
        <w:lastRenderedPageBreak/>
        <w:t>LIHEAP Plan to ACF.  The form was originally developed in MS Word and can be sent electronically to grantees.  Additionally, ACF is authorized to grant extensions beyond September 1</w:t>
      </w:r>
      <w:r w:rsidRPr="00575E09">
        <w:rPr>
          <w:color w:val="000000" w:themeColor="text1"/>
          <w:szCs w:val="24"/>
          <w:vertAlign w:val="superscript"/>
        </w:rPr>
        <w:t>st</w:t>
      </w:r>
      <w:r w:rsidRPr="00575E09">
        <w:rPr>
          <w:color w:val="000000" w:themeColor="text1"/>
          <w:szCs w:val="24"/>
        </w:rPr>
        <w:t xml:space="preserve"> for grantees to submit their LIHEAP Plan late, if needed, such as due to a systems failure.</w:t>
      </w:r>
    </w:p>
    <w:p w14:paraId="5E582CFB" w14:textId="77777777" w:rsidR="000110CA" w:rsidRPr="00575E09" w:rsidRDefault="000110CA" w:rsidP="35BE6F9A">
      <w:pPr>
        <w:widowControl w:val="0"/>
        <w:tabs>
          <w:tab w:val="left" w:pos="548"/>
          <w:tab w:val="left" w:pos="814"/>
        </w:tabs>
        <w:rPr>
          <w:color w:val="FF0000"/>
          <w:szCs w:val="24"/>
        </w:rPr>
      </w:pPr>
    </w:p>
    <w:p w14:paraId="7692539A" w14:textId="5E7C657C" w:rsidR="00B30536" w:rsidRPr="00575E09" w:rsidRDefault="00B30536" w:rsidP="35BE6F9A">
      <w:pPr>
        <w:widowControl w:val="0"/>
        <w:tabs>
          <w:tab w:val="left" w:pos="548"/>
          <w:tab w:val="left" w:pos="814"/>
        </w:tabs>
        <w:rPr>
          <w:color w:val="000000" w:themeColor="text1"/>
          <w:szCs w:val="24"/>
        </w:rPr>
      </w:pPr>
      <w:r w:rsidRPr="00575E09">
        <w:rPr>
          <w:color w:val="000000" w:themeColor="text1"/>
          <w:szCs w:val="24"/>
        </w:rPr>
        <w:t>ACF developed and is implementing a Training and Technical Assistance (T&amp;TA) Strategy for helping LIHEAP grantees be aware of the Plan changes and understand the new requirements.  Between April 8 and June 20, 2014, ACF staff presented on the proposed LIHEAP Plan changes and that its submission will be through OLDC.  These presentations were part of four regional grantee training meetings that ACF held on LIHEAP.  The two-day meetings were held in New York City, Seattle, Phoenix, and Kansas City, MO.  All but two of the state LIHEAP grantees participated, in addition to all of the territories, the District of Columbia, and more than half  of the tribal grantees. Additionally, ACF staff provided a webinar in late May about the SF-424 requirement that is part of the Plan.  ACF will also hold a webinar on the new Plan and how to complete it in OLDC in July.  ACF records its LIHEAP webinars and posts them to an ACF sponsored web site that has a secure area for grantee training materials.  ACF staff will also provide one-on-one technical assistance to grantees on the Plan and OLDC as needed or requested.</w:t>
      </w:r>
    </w:p>
    <w:p w14:paraId="7B745A03" w14:textId="77777777" w:rsidR="001B3171" w:rsidRPr="00575E09" w:rsidRDefault="001B3171" w:rsidP="35BE6F9A">
      <w:pPr>
        <w:widowControl w:val="0"/>
        <w:tabs>
          <w:tab w:val="left" w:pos="548"/>
          <w:tab w:val="left" w:pos="814"/>
        </w:tabs>
        <w:rPr>
          <w:szCs w:val="24"/>
        </w:rPr>
      </w:pPr>
    </w:p>
    <w:p w14:paraId="7B745A04" w14:textId="77777777" w:rsidR="00532F17" w:rsidRPr="00575E09" w:rsidRDefault="00532F17" w:rsidP="35BE6F9A">
      <w:pPr>
        <w:widowControl w:val="0"/>
        <w:numPr>
          <w:ilvl w:val="0"/>
          <w:numId w:val="13"/>
        </w:numPr>
        <w:tabs>
          <w:tab w:val="clear" w:pos="915"/>
          <w:tab w:val="num" w:pos="540"/>
        </w:tabs>
        <w:ind w:left="540" w:hanging="540"/>
        <w:rPr>
          <w:b/>
          <w:szCs w:val="24"/>
        </w:rPr>
      </w:pPr>
      <w:r w:rsidRPr="00575E09">
        <w:rPr>
          <w:b/>
          <w:szCs w:val="24"/>
        </w:rPr>
        <w:t>Efforts to Identify Duplication and Use of Similar Information</w:t>
      </w:r>
    </w:p>
    <w:p w14:paraId="7B745A05" w14:textId="77777777" w:rsidR="00532F17" w:rsidRPr="00575E09" w:rsidRDefault="00532F17" w:rsidP="35BE6F9A">
      <w:pPr>
        <w:widowControl w:val="0"/>
        <w:tabs>
          <w:tab w:val="left" w:pos="548"/>
          <w:tab w:val="left" w:pos="814"/>
        </w:tabs>
        <w:ind w:left="360"/>
        <w:rPr>
          <w:szCs w:val="24"/>
        </w:rPr>
      </w:pPr>
    </w:p>
    <w:p w14:paraId="7B241F1C" w14:textId="77777777" w:rsidR="00647E3A" w:rsidRPr="00575E09" w:rsidRDefault="003A4C12" w:rsidP="35BE6F9A">
      <w:pPr>
        <w:keepLines/>
        <w:tabs>
          <w:tab w:val="left" w:pos="-720"/>
        </w:tabs>
        <w:suppressAutoHyphens/>
      </w:pPr>
      <w:r w:rsidRPr="00575E09">
        <w:t>The proposed new model plan will combine the content of these two forms into one form, eliminating duplicative questions and streamlining the submission process.</w:t>
      </w:r>
      <w:r w:rsidR="008F5FE3" w:rsidRPr="00575E09">
        <w:rPr>
          <w:szCs w:val="24"/>
        </w:rPr>
        <w:t xml:space="preserve"> </w:t>
      </w:r>
      <w:r w:rsidR="00647E3A" w:rsidRPr="00575E09">
        <w:t>There is no similar source of information used which can be modified for the purpose of collecting required state plan information for the Low Income Home Energy Assistance Program from one year to the next.</w:t>
      </w:r>
    </w:p>
    <w:p w14:paraId="7B745A06" w14:textId="77777777" w:rsidR="00D439CF" w:rsidRPr="00575E09" w:rsidRDefault="00D439CF" w:rsidP="35BE6F9A">
      <w:pPr>
        <w:widowControl w:val="0"/>
        <w:tabs>
          <w:tab w:val="left" w:pos="548"/>
          <w:tab w:val="left" w:pos="814"/>
        </w:tabs>
        <w:rPr>
          <w:szCs w:val="24"/>
        </w:rPr>
      </w:pPr>
    </w:p>
    <w:p w14:paraId="7B745A07" w14:textId="77777777" w:rsidR="00526CF0" w:rsidRPr="00575E09" w:rsidRDefault="00526CF0" w:rsidP="35BE6F9A">
      <w:pPr>
        <w:widowControl w:val="0"/>
        <w:tabs>
          <w:tab w:val="left" w:pos="548"/>
          <w:tab w:val="left" w:pos="814"/>
        </w:tabs>
        <w:rPr>
          <w:szCs w:val="24"/>
        </w:rPr>
      </w:pPr>
    </w:p>
    <w:p w14:paraId="7B745A08" w14:textId="77777777" w:rsidR="00532F17" w:rsidRPr="00575E09" w:rsidRDefault="00532F17" w:rsidP="35BE6F9A">
      <w:pPr>
        <w:widowControl w:val="0"/>
        <w:tabs>
          <w:tab w:val="left" w:pos="548"/>
          <w:tab w:val="left" w:pos="814"/>
        </w:tabs>
        <w:ind w:left="548" w:hanging="548"/>
        <w:rPr>
          <w:b/>
          <w:szCs w:val="24"/>
        </w:rPr>
      </w:pPr>
      <w:r w:rsidRPr="00575E09">
        <w:rPr>
          <w:b/>
          <w:szCs w:val="24"/>
        </w:rPr>
        <w:t>5.</w:t>
      </w:r>
      <w:r w:rsidRPr="00575E09">
        <w:rPr>
          <w:b/>
          <w:szCs w:val="24"/>
        </w:rPr>
        <w:tab/>
        <w:t>Impact on Small Businesses or Other Small Entities</w:t>
      </w:r>
    </w:p>
    <w:p w14:paraId="7B745A09" w14:textId="77777777" w:rsidR="00EF78FA" w:rsidRPr="00575E09" w:rsidRDefault="00EF78FA" w:rsidP="35BE6F9A">
      <w:pPr>
        <w:widowControl w:val="0"/>
        <w:tabs>
          <w:tab w:val="left" w:pos="548"/>
          <w:tab w:val="left" w:pos="814"/>
        </w:tabs>
        <w:rPr>
          <w:szCs w:val="24"/>
        </w:rPr>
      </w:pPr>
    </w:p>
    <w:p w14:paraId="7B745A0A" w14:textId="77777777" w:rsidR="0053499B" w:rsidRPr="00575E09" w:rsidRDefault="000E0685" w:rsidP="35BE6F9A">
      <w:pPr>
        <w:widowControl w:val="0"/>
        <w:tabs>
          <w:tab w:val="left" w:pos="548"/>
          <w:tab w:val="left" w:pos="814"/>
        </w:tabs>
        <w:outlineLvl w:val="0"/>
        <w:rPr>
          <w:szCs w:val="24"/>
        </w:rPr>
      </w:pPr>
      <w:r w:rsidRPr="00575E09">
        <w:rPr>
          <w:szCs w:val="24"/>
        </w:rPr>
        <w:t>There is no impact on small businesses or other small entities.</w:t>
      </w:r>
    </w:p>
    <w:p w14:paraId="7B745A0B" w14:textId="77777777" w:rsidR="000E0685" w:rsidRPr="00575E09" w:rsidRDefault="000E0685" w:rsidP="35BE6F9A">
      <w:pPr>
        <w:widowControl w:val="0"/>
        <w:tabs>
          <w:tab w:val="left" w:pos="548"/>
          <w:tab w:val="left" w:pos="814"/>
        </w:tabs>
        <w:outlineLvl w:val="0"/>
        <w:rPr>
          <w:szCs w:val="24"/>
        </w:rPr>
      </w:pPr>
    </w:p>
    <w:p w14:paraId="7B745A0C" w14:textId="77777777" w:rsidR="00532F17" w:rsidRPr="00575E09" w:rsidRDefault="00573C9E" w:rsidP="35BE6F9A">
      <w:pPr>
        <w:widowControl w:val="0"/>
        <w:tabs>
          <w:tab w:val="left" w:pos="548"/>
          <w:tab w:val="left" w:pos="814"/>
        </w:tabs>
        <w:ind w:left="548" w:hanging="548"/>
        <w:rPr>
          <w:b/>
          <w:szCs w:val="24"/>
        </w:rPr>
      </w:pPr>
      <w:r w:rsidRPr="00575E09">
        <w:rPr>
          <w:b/>
          <w:szCs w:val="24"/>
        </w:rPr>
        <w:t>6.</w:t>
      </w:r>
      <w:r w:rsidRPr="00575E09">
        <w:rPr>
          <w:b/>
          <w:szCs w:val="24"/>
        </w:rPr>
        <w:tab/>
        <w:t>Consequences of Collecting</w:t>
      </w:r>
      <w:r w:rsidR="00532F17" w:rsidRPr="00575E09">
        <w:rPr>
          <w:b/>
          <w:szCs w:val="24"/>
        </w:rPr>
        <w:t xml:space="preserve"> the Information Less Frequently</w:t>
      </w:r>
    </w:p>
    <w:p w14:paraId="7B745A0D" w14:textId="77777777" w:rsidR="00532F17" w:rsidRPr="00575E09" w:rsidRDefault="00532F17" w:rsidP="35BE6F9A">
      <w:pPr>
        <w:widowControl w:val="0"/>
        <w:tabs>
          <w:tab w:val="left" w:pos="548"/>
          <w:tab w:val="left" w:pos="814"/>
        </w:tabs>
        <w:outlineLvl w:val="0"/>
        <w:rPr>
          <w:szCs w:val="24"/>
        </w:rPr>
      </w:pPr>
    </w:p>
    <w:p w14:paraId="7B745A0E" w14:textId="4573A577" w:rsidR="00532F17" w:rsidRPr="00575E09" w:rsidRDefault="35BE6F9A" w:rsidP="35BE6F9A">
      <w:pPr>
        <w:tabs>
          <w:tab w:val="left" w:pos="-720"/>
        </w:tabs>
        <w:suppressAutoHyphens/>
      </w:pPr>
      <w:r w:rsidRPr="00575E09">
        <w:t xml:space="preserve">The information requirements are an annual activity which is required by law for the receipt of Federal block grant funds.  [42 U.S.C. § 8624(c)].  Under the LIHEAP statute, ACF must make a model plan available to grantees.  It provides grantees an optional management tool that may alleviate the burden of preparing additional information to complete plans.  This model encompasses the content of the information statutorily required for a complete plan.  Without this information collection, we would not be able to issue grants to States, Tribes, and Territories which in turn would be unable to provide assistance to </w:t>
      </w:r>
      <w:r w:rsidR="00647E3A" w:rsidRPr="00575E09">
        <w:rPr>
          <w:szCs w:val="24"/>
        </w:rPr>
        <w:t xml:space="preserve"> </w:t>
      </w:r>
      <w:r w:rsidR="0059393D" w:rsidRPr="00575E09">
        <w:rPr>
          <w:szCs w:val="24"/>
        </w:rPr>
        <w:t>low-income households</w:t>
      </w:r>
      <w:r w:rsidR="79FBE289" w:rsidRPr="00575E09">
        <w:rPr>
          <w:szCs w:val="24"/>
        </w:rPr>
        <w:t xml:space="preserve"> to help with their home utility services</w:t>
      </w:r>
      <w:r w:rsidR="00A77267" w:rsidRPr="00575E09">
        <w:rPr>
          <w:szCs w:val="24"/>
        </w:rPr>
        <w:t>.</w:t>
      </w:r>
      <w:r w:rsidR="79FBE289" w:rsidRPr="00575E09">
        <w:rPr>
          <w:szCs w:val="24"/>
        </w:rPr>
        <w:t xml:space="preserve"> LIHEAP is typically administered as a seasonal program with peak need being in the winter months to provide assistance with home heating bills; therefore, the collection of this data prior to the winter ensures that </w:t>
      </w:r>
      <w:r w:rsidR="00647E3A" w:rsidRPr="00575E09">
        <w:rPr>
          <w:szCs w:val="24"/>
        </w:rPr>
        <w:t>ACF</w:t>
      </w:r>
      <w:r w:rsidR="004B7C2B" w:rsidRPr="00575E09">
        <w:rPr>
          <w:szCs w:val="24"/>
        </w:rPr>
        <w:t xml:space="preserve"> can timely provide grant funding for the assistance to be available as soon as possible after the appropriation is made available by Congress.</w:t>
      </w:r>
    </w:p>
    <w:p w14:paraId="396A5414" w14:textId="77777777" w:rsidR="00647E3A" w:rsidRPr="00575E09" w:rsidRDefault="00647E3A" w:rsidP="35BE6F9A">
      <w:pPr>
        <w:tabs>
          <w:tab w:val="left" w:pos="-720"/>
        </w:tabs>
        <w:suppressAutoHyphens/>
        <w:ind w:left="1440" w:hanging="720"/>
      </w:pPr>
    </w:p>
    <w:p w14:paraId="7B745A0F" w14:textId="77777777" w:rsidR="00217E6D" w:rsidRPr="00575E09" w:rsidRDefault="00217E6D" w:rsidP="35BE6F9A">
      <w:pPr>
        <w:widowControl w:val="0"/>
        <w:tabs>
          <w:tab w:val="left" w:pos="548"/>
          <w:tab w:val="left" w:pos="814"/>
        </w:tabs>
        <w:rPr>
          <w:szCs w:val="24"/>
        </w:rPr>
      </w:pPr>
    </w:p>
    <w:p w14:paraId="7B745A10" w14:textId="77777777" w:rsidR="00532F17" w:rsidRPr="00575E09" w:rsidRDefault="00532F17" w:rsidP="35BE6F9A">
      <w:pPr>
        <w:widowControl w:val="0"/>
        <w:tabs>
          <w:tab w:val="left" w:pos="548"/>
          <w:tab w:val="left" w:pos="814"/>
        </w:tabs>
        <w:ind w:left="548" w:hanging="548"/>
        <w:rPr>
          <w:b/>
          <w:szCs w:val="24"/>
        </w:rPr>
      </w:pPr>
      <w:r w:rsidRPr="00575E09">
        <w:rPr>
          <w:b/>
          <w:szCs w:val="24"/>
        </w:rPr>
        <w:t>7.</w:t>
      </w:r>
      <w:r w:rsidRPr="00575E09">
        <w:rPr>
          <w:b/>
          <w:szCs w:val="24"/>
        </w:rPr>
        <w:tab/>
        <w:t>Special Circumstances Relating to the Guidelines of 5 CFR 1320.5</w:t>
      </w:r>
    </w:p>
    <w:p w14:paraId="7B745A11" w14:textId="77777777" w:rsidR="00532F17" w:rsidRPr="00575E09" w:rsidRDefault="00532F17" w:rsidP="35BE6F9A">
      <w:pPr>
        <w:widowControl w:val="0"/>
        <w:tabs>
          <w:tab w:val="left" w:pos="548"/>
          <w:tab w:val="left" w:pos="814"/>
        </w:tabs>
        <w:rPr>
          <w:szCs w:val="24"/>
        </w:rPr>
      </w:pPr>
    </w:p>
    <w:p w14:paraId="7B745A12" w14:textId="77777777" w:rsidR="00724A40" w:rsidRPr="00575E09" w:rsidRDefault="00724A40" w:rsidP="35BE6F9A">
      <w:pPr>
        <w:widowControl w:val="0"/>
        <w:tabs>
          <w:tab w:val="left" w:pos="548"/>
          <w:tab w:val="left" w:pos="814"/>
        </w:tabs>
        <w:rPr>
          <w:szCs w:val="24"/>
        </w:rPr>
      </w:pPr>
      <w:r w:rsidRPr="00575E09">
        <w:rPr>
          <w:szCs w:val="24"/>
        </w:rPr>
        <w:t>No special circumstances apply to this data collection.</w:t>
      </w:r>
    </w:p>
    <w:p w14:paraId="7B745A13" w14:textId="77777777" w:rsidR="00532F17" w:rsidRPr="00575E09" w:rsidRDefault="00532F17" w:rsidP="35BE6F9A">
      <w:pPr>
        <w:widowControl w:val="0"/>
        <w:tabs>
          <w:tab w:val="left" w:pos="548"/>
          <w:tab w:val="left" w:pos="814"/>
        </w:tabs>
        <w:rPr>
          <w:szCs w:val="24"/>
        </w:rPr>
      </w:pPr>
    </w:p>
    <w:p w14:paraId="7B745A14" w14:textId="77777777" w:rsidR="00532F17" w:rsidRPr="00575E09" w:rsidRDefault="00532F17" w:rsidP="35BE6F9A">
      <w:pPr>
        <w:widowControl w:val="0"/>
        <w:tabs>
          <w:tab w:val="left" w:pos="548"/>
          <w:tab w:val="left" w:pos="814"/>
        </w:tabs>
        <w:ind w:left="548" w:hanging="548"/>
        <w:rPr>
          <w:b/>
          <w:szCs w:val="24"/>
        </w:rPr>
      </w:pPr>
      <w:r w:rsidRPr="00575E09">
        <w:rPr>
          <w:b/>
          <w:szCs w:val="24"/>
        </w:rPr>
        <w:t>8.</w:t>
      </w:r>
      <w:r w:rsidRPr="00575E09">
        <w:rPr>
          <w:b/>
          <w:szCs w:val="24"/>
        </w:rPr>
        <w:tab/>
        <w:t xml:space="preserve">Comments in Response to the </w:t>
      </w:r>
      <w:r w:rsidRPr="00575E09">
        <w:rPr>
          <w:b/>
          <w:i/>
          <w:szCs w:val="24"/>
        </w:rPr>
        <w:t>Federal Register</w:t>
      </w:r>
      <w:r w:rsidRPr="00575E09">
        <w:rPr>
          <w:b/>
          <w:szCs w:val="24"/>
        </w:rPr>
        <w:t xml:space="preserve"> Notice and Efforts to Consult Outside the Agency</w:t>
      </w:r>
    </w:p>
    <w:p w14:paraId="7B745A15" w14:textId="77777777" w:rsidR="00532F17" w:rsidRPr="00575E09" w:rsidRDefault="00532F17" w:rsidP="35BE6F9A">
      <w:pPr>
        <w:widowControl w:val="0"/>
        <w:tabs>
          <w:tab w:val="left" w:pos="548"/>
          <w:tab w:val="left" w:pos="814"/>
        </w:tabs>
        <w:rPr>
          <w:szCs w:val="24"/>
        </w:rPr>
      </w:pPr>
    </w:p>
    <w:p w14:paraId="7B745A16" w14:textId="6AC7DE05" w:rsidR="00D17486" w:rsidRPr="00575E09" w:rsidRDefault="008D4518" w:rsidP="35BE6F9A">
      <w:pPr>
        <w:widowControl w:val="0"/>
        <w:tabs>
          <w:tab w:val="left" w:pos="548"/>
          <w:tab w:val="left" w:pos="814"/>
        </w:tabs>
        <w:rPr>
          <w:szCs w:val="24"/>
        </w:rPr>
      </w:pPr>
      <w:r w:rsidRPr="00575E09">
        <w:rPr>
          <w:szCs w:val="24"/>
        </w:rPr>
        <w:t>A 60-d</w:t>
      </w:r>
      <w:r w:rsidR="00F0015C" w:rsidRPr="00575E09">
        <w:rPr>
          <w:szCs w:val="24"/>
        </w:rPr>
        <w:t xml:space="preserve">ay notice was published </w:t>
      </w:r>
      <w:r w:rsidR="00A3013A" w:rsidRPr="00575E09">
        <w:rPr>
          <w:szCs w:val="24"/>
        </w:rPr>
        <w:t xml:space="preserve">in volume 79 of the </w:t>
      </w:r>
      <w:r w:rsidR="00A3013A" w:rsidRPr="00575E09">
        <w:rPr>
          <w:i/>
          <w:szCs w:val="24"/>
        </w:rPr>
        <w:t>Federal Register</w:t>
      </w:r>
      <w:r w:rsidR="00A3013A" w:rsidRPr="00575E09">
        <w:rPr>
          <w:szCs w:val="24"/>
        </w:rPr>
        <w:t xml:space="preserve"> </w:t>
      </w:r>
      <w:r w:rsidR="00F0015C" w:rsidRPr="00575E09">
        <w:rPr>
          <w:szCs w:val="24"/>
        </w:rPr>
        <w:t>o</w:t>
      </w:r>
      <w:r w:rsidRPr="00575E09">
        <w:rPr>
          <w:szCs w:val="24"/>
        </w:rPr>
        <w:t>n</w:t>
      </w:r>
      <w:r w:rsidR="00F0015C" w:rsidRPr="00575E09">
        <w:rPr>
          <w:szCs w:val="24"/>
        </w:rPr>
        <w:t xml:space="preserve"> page</w:t>
      </w:r>
      <w:r w:rsidR="00F449AA" w:rsidRPr="00575E09">
        <w:rPr>
          <w:szCs w:val="24"/>
        </w:rPr>
        <w:t xml:space="preserve">s </w:t>
      </w:r>
      <w:r w:rsidR="000D4224" w:rsidRPr="00575E09">
        <w:rPr>
          <w:szCs w:val="24"/>
        </w:rPr>
        <w:t>4346 -4347 (2 pages)</w:t>
      </w:r>
      <w:r w:rsidR="00F0015C" w:rsidRPr="00575E09">
        <w:rPr>
          <w:szCs w:val="24"/>
        </w:rPr>
        <w:t xml:space="preserve"> </w:t>
      </w:r>
      <w:r w:rsidRPr="00575E09">
        <w:rPr>
          <w:szCs w:val="24"/>
        </w:rPr>
        <w:t xml:space="preserve">on </w:t>
      </w:r>
      <w:r w:rsidR="000D4224" w:rsidRPr="00575E09">
        <w:rPr>
          <w:szCs w:val="24"/>
        </w:rPr>
        <w:t>January 27, 2014</w:t>
      </w:r>
      <w:r w:rsidR="00BB6CDA" w:rsidRPr="00575E09">
        <w:rPr>
          <w:szCs w:val="24"/>
        </w:rPr>
        <w:t xml:space="preserve"> (see Attachment 2</w:t>
      </w:r>
      <w:r w:rsidR="00A3013A" w:rsidRPr="00575E09">
        <w:rPr>
          <w:szCs w:val="24"/>
        </w:rPr>
        <w:t>, 79 FR 4346</w:t>
      </w:r>
      <w:r w:rsidR="00BB6CDA" w:rsidRPr="00575E09">
        <w:rPr>
          <w:szCs w:val="24"/>
        </w:rPr>
        <w:t>).</w:t>
      </w:r>
      <w:r w:rsidR="00A0351F" w:rsidRPr="00575E09">
        <w:rPr>
          <w:szCs w:val="24"/>
        </w:rPr>
        <w:t xml:space="preserve">  OCS received </w:t>
      </w:r>
      <w:r w:rsidR="00C87FE5" w:rsidRPr="00575E09">
        <w:rPr>
          <w:szCs w:val="24"/>
        </w:rPr>
        <w:t>one</w:t>
      </w:r>
      <w:r w:rsidR="000D4224" w:rsidRPr="00575E09">
        <w:rPr>
          <w:szCs w:val="24"/>
        </w:rPr>
        <w:t xml:space="preserve"> comment</w:t>
      </w:r>
      <w:r w:rsidR="425CC20B" w:rsidRPr="00575E09">
        <w:rPr>
          <w:szCs w:val="24"/>
        </w:rPr>
        <w:t xml:space="preserve"> in response to this notice of the proposed new information collection</w:t>
      </w:r>
      <w:r w:rsidR="00D17486" w:rsidRPr="00575E09">
        <w:rPr>
          <w:szCs w:val="24"/>
        </w:rPr>
        <w:t xml:space="preserve"> from the New York State Office of Temporary and Disability Assistance (OTDA)</w:t>
      </w:r>
      <w:r w:rsidR="00C309C0" w:rsidRPr="00575E09">
        <w:rPr>
          <w:szCs w:val="24"/>
        </w:rPr>
        <w:t>.</w:t>
      </w:r>
      <w:r w:rsidR="00D17486" w:rsidRPr="00575E09">
        <w:rPr>
          <w:szCs w:val="24"/>
        </w:rPr>
        <w:t xml:space="preserve">  They are concerned about the level of detail that states would be required to provide each year and the potential to limit flexibility in designing and implementing their LIHEAP program.  In particular,</w:t>
      </w:r>
      <w:r w:rsidR="0058171D" w:rsidRPr="00575E09">
        <w:rPr>
          <w:szCs w:val="24"/>
        </w:rPr>
        <w:t xml:space="preserve"> New York raised the following issues:</w:t>
      </w:r>
    </w:p>
    <w:p w14:paraId="7B745A17" w14:textId="77777777" w:rsidR="00D17486" w:rsidRPr="00575E09" w:rsidRDefault="00D17486" w:rsidP="35BE6F9A">
      <w:pPr>
        <w:widowControl w:val="0"/>
        <w:tabs>
          <w:tab w:val="left" w:pos="548"/>
          <w:tab w:val="left" w:pos="814"/>
        </w:tabs>
        <w:rPr>
          <w:szCs w:val="24"/>
        </w:rPr>
      </w:pPr>
    </w:p>
    <w:tbl>
      <w:tblPr>
        <w:tblStyle w:val="TableGrid"/>
        <w:tblW w:w="0" w:type="auto"/>
        <w:tblLook w:val="04A0" w:firstRow="1" w:lastRow="0" w:firstColumn="1" w:lastColumn="0" w:noHBand="0" w:noVBand="1"/>
      </w:tblPr>
      <w:tblGrid>
        <w:gridCol w:w="4788"/>
        <w:gridCol w:w="4788"/>
      </w:tblGrid>
      <w:tr w:rsidR="0058171D" w:rsidRPr="00575E09" w14:paraId="7B745A1A" w14:textId="77777777" w:rsidTr="35BE6F9A">
        <w:tc>
          <w:tcPr>
            <w:tcW w:w="4788" w:type="dxa"/>
            <w:shd w:val="pct10" w:color="auto" w:fill="auto"/>
          </w:tcPr>
          <w:p w14:paraId="7B745A18" w14:textId="77777777" w:rsidR="0058171D" w:rsidRPr="00575E09" w:rsidRDefault="0058171D" w:rsidP="35BE6F9A">
            <w:pPr>
              <w:widowControl w:val="0"/>
              <w:tabs>
                <w:tab w:val="left" w:pos="548"/>
                <w:tab w:val="left" w:pos="814"/>
              </w:tabs>
              <w:jc w:val="center"/>
              <w:rPr>
                <w:b/>
                <w:szCs w:val="24"/>
              </w:rPr>
            </w:pPr>
            <w:r w:rsidRPr="00575E09">
              <w:rPr>
                <w:b/>
                <w:szCs w:val="24"/>
              </w:rPr>
              <w:t>Comment</w:t>
            </w:r>
          </w:p>
        </w:tc>
        <w:tc>
          <w:tcPr>
            <w:tcW w:w="4788" w:type="dxa"/>
            <w:shd w:val="pct10" w:color="auto" w:fill="auto"/>
          </w:tcPr>
          <w:p w14:paraId="7B745A19" w14:textId="77777777" w:rsidR="0058171D" w:rsidRPr="00575E09" w:rsidRDefault="0058171D" w:rsidP="35BE6F9A">
            <w:pPr>
              <w:widowControl w:val="0"/>
              <w:tabs>
                <w:tab w:val="left" w:pos="548"/>
                <w:tab w:val="left" w:pos="814"/>
              </w:tabs>
              <w:jc w:val="center"/>
              <w:rPr>
                <w:b/>
                <w:szCs w:val="24"/>
              </w:rPr>
            </w:pPr>
            <w:r w:rsidRPr="00575E09">
              <w:rPr>
                <w:b/>
                <w:szCs w:val="24"/>
              </w:rPr>
              <w:t>ACF Response</w:t>
            </w:r>
          </w:p>
        </w:tc>
      </w:tr>
      <w:tr w:rsidR="0058171D" w:rsidRPr="00575E09" w14:paraId="7B745A1D" w14:textId="77777777" w:rsidTr="35BE6F9A">
        <w:tc>
          <w:tcPr>
            <w:tcW w:w="4788" w:type="dxa"/>
          </w:tcPr>
          <w:p w14:paraId="7B745A1B" w14:textId="77777777" w:rsidR="0058171D" w:rsidRPr="00575E09" w:rsidRDefault="0058171D" w:rsidP="35BE6F9A">
            <w:pPr>
              <w:widowControl w:val="0"/>
              <w:tabs>
                <w:tab w:val="left" w:pos="548"/>
                <w:tab w:val="left" w:pos="814"/>
              </w:tabs>
              <w:rPr>
                <w:szCs w:val="24"/>
              </w:rPr>
            </w:pPr>
            <w:r w:rsidRPr="00575E09">
              <w:rPr>
                <w:szCs w:val="24"/>
              </w:rPr>
              <w:t>The new format does not provide an opportunity for states to provide additional information or to clarify their responses in regards to some questions in the Model Plan, specifically regarding Question 2.1 and 1.1.  A possible resolution is adding a “comment/additional information” field after each question set.</w:t>
            </w:r>
          </w:p>
        </w:tc>
        <w:tc>
          <w:tcPr>
            <w:tcW w:w="4788" w:type="dxa"/>
          </w:tcPr>
          <w:p w14:paraId="7B745A1C" w14:textId="77777777" w:rsidR="0058171D" w:rsidRPr="00575E09" w:rsidRDefault="00C32DB6" w:rsidP="35BE6F9A">
            <w:pPr>
              <w:widowControl w:val="0"/>
              <w:tabs>
                <w:tab w:val="left" w:pos="548"/>
                <w:tab w:val="left" w:pos="814"/>
              </w:tabs>
              <w:rPr>
                <w:szCs w:val="24"/>
              </w:rPr>
            </w:pPr>
            <w:r w:rsidRPr="00575E09">
              <w:rPr>
                <w:szCs w:val="24"/>
              </w:rPr>
              <w:t>For Question</w:t>
            </w:r>
            <w:r w:rsidR="006747D1" w:rsidRPr="00575E09">
              <w:rPr>
                <w:szCs w:val="24"/>
              </w:rPr>
              <w:t>s</w:t>
            </w:r>
            <w:r w:rsidRPr="00575E09">
              <w:rPr>
                <w:szCs w:val="24"/>
              </w:rPr>
              <w:t xml:space="preserve"> 2.1</w:t>
            </w:r>
            <w:r w:rsidR="006747D1" w:rsidRPr="00575E09">
              <w:rPr>
                <w:szCs w:val="24"/>
              </w:rPr>
              <w:t>, 3.1, 4.1, and 5.1, ACF has revised the form to allow grantees to access pull-down menus to select household size in order to list more than one eligibility threshold.  Additionally, a general note has been added at the beginning of the questions letting grantees know they can attach a supplemental statement clarifying their responses to any of the questions in the plan.</w:t>
            </w:r>
          </w:p>
        </w:tc>
      </w:tr>
      <w:tr w:rsidR="0058171D" w:rsidRPr="00575E09" w14:paraId="7B745A20" w14:textId="77777777" w:rsidTr="35BE6F9A">
        <w:tc>
          <w:tcPr>
            <w:tcW w:w="4788" w:type="dxa"/>
          </w:tcPr>
          <w:p w14:paraId="7B745A1E" w14:textId="77777777" w:rsidR="0058171D" w:rsidRPr="00575E09" w:rsidRDefault="0058171D" w:rsidP="35BE6F9A">
            <w:pPr>
              <w:widowControl w:val="0"/>
              <w:tabs>
                <w:tab w:val="left" w:pos="548"/>
                <w:tab w:val="left" w:pos="814"/>
              </w:tabs>
              <w:rPr>
                <w:szCs w:val="24"/>
              </w:rPr>
            </w:pPr>
            <w:r w:rsidRPr="00575E09">
              <w:rPr>
                <w:szCs w:val="24"/>
              </w:rPr>
              <w:t>As states are required to submit their LIHEAP plans well in advance of their final federal allocation season, it is important to include a section in the Model Plan that allows them to explain their intent should additional federal funds becomes available/unavailable prior to or during the heating and/or cooling season.</w:t>
            </w:r>
          </w:p>
        </w:tc>
        <w:tc>
          <w:tcPr>
            <w:tcW w:w="4788" w:type="dxa"/>
          </w:tcPr>
          <w:p w14:paraId="7B745A1F" w14:textId="3C5D013A" w:rsidR="0058171D" w:rsidRPr="00575E09" w:rsidRDefault="6E499951" w:rsidP="35BE6F9A">
            <w:pPr>
              <w:widowControl w:val="0"/>
              <w:tabs>
                <w:tab w:val="left" w:pos="548"/>
                <w:tab w:val="left" w:pos="814"/>
              </w:tabs>
              <w:rPr>
                <w:szCs w:val="24"/>
              </w:rPr>
            </w:pPr>
            <w:r w:rsidRPr="00575E09">
              <w:rPr>
                <w:szCs w:val="24"/>
              </w:rPr>
              <w:t>This concern is addressed by emphasizing that grantees can attach an additional narrative statement, if they wish.</w:t>
            </w:r>
          </w:p>
        </w:tc>
      </w:tr>
      <w:tr w:rsidR="0058171D" w:rsidRPr="00575E09" w14:paraId="7B745A23" w14:textId="77777777" w:rsidTr="35BE6F9A">
        <w:tc>
          <w:tcPr>
            <w:tcW w:w="4788" w:type="dxa"/>
          </w:tcPr>
          <w:p w14:paraId="7B745A21" w14:textId="77777777" w:rsidR="0058171D" w:rsidRPr="00575E09" w:rsidRDefault="0058171D" w:rsidP="35BE6F9A">
            <w:pPr>
              <w:widowControl w:val="0"/>
              <w:tabs>
                <w:tab w:val="left" w:pos="548"/>
                <w:tab w:val="left" w:pos="814"/>
              </w:tabs>
              <w:rPr>
                <w:szCs w:val="24"/>
              </w:rPr>
            </w:pPr>
            <w:r w:rsidRPr="00575E09">
              <w:rPr>
                <w:szCs w:val="24"/>
              </w:rPr>
              <w:t>States should be addressing whether LIHEAP funds are used to enhance participation and benefits for Supplemental Nutrition Assistance Program (SNAP) recipients in section 2.6</w:t>
            </w:r>
            <w:r w:rsidR="00C32DB6" w:rsidRPr="00575E09">
              <w:rPr>
                <w:szCs w:val="24"/>
              </w:rPr>
              <w:t xml:space="preserve"> instead of section 1.7</w:t>
            </w:r>
            <w:r w:rsidRPr="00575E09">
              <w:rPr>
                <w:szCs w:val="24"/>
              </w:rPr>
              <w:t>.</w:t>
            </w:r>
            <w:r w:rsidR="00C32DB6" w:rsidRPr="00575E09">
              <w:rPr>
                <w:szCs w:val="24"/>
              </w:rPr>
              <w:t xml:space="preserve">  New York’s benefit matrix includes three levels of low flat payments ($21, $30, $35) </w:t>
            </w:r>
            <w:r w:rsidR="009D3438" w:rsidRPr="00575E09">
              <w:rPr>
                <w:szCs w:val="24"/>
              </w:rPr>
              <w:t xml:space="preserve">for those households whose heat is included in the rent, amounts </w:t>
            </w:r>
            <w:r w:rsidR="00C32DB6" w:rsidRPr="00575E09">
              <w:rPr>
                <w:szCs w:val="24"/>
              </w:rPr>
              <w:t xml:space="preserve">which </w:t>
            </w:r>
            <w:r w:rsidR="009D3438" w:rsidRPr="00575E09">
              <w:rPr>
                <w:szCs w:val="24"/>
              </w:rPr>
              <w:t>NY</w:t>
            </w:r>
            <w:r w:rsidR="00C32DB6" w:rsidRPr="00575E09">
              <w:rPr>
                <w:szCs w:val="24"/>
              </w:rPr>
              <w:t xml:space="preserve"> do</w:t>
            </w:r>
            <w:r w:rsidR="009D3438" w:rsidRPr="00575E09">
              <w:rPr>
                <w:szCs w:val="24"/>
              </w:rPr>
              <w:t>es</w:t>
            </w:r>
            <w:r w:rsidR="00C32DB6" w:rsidRPr="00575E09">
              <w:rPr>
                <w:szCs w:val="24"/>
              </w:rPr>
              <w:t xml:space="preserve"> not consider “nominal.”</w:t>
            </w:r>
            <w:r w:rsidRPr="00575E09">
              <w:rPr>
                <w:szCs w:val="24"/>
              </w:rPr>
              <w:t xml:space="preserve">  </w:t>
            </w:r>
          </w:p>
        </w:tc>
        <w:tc>
          <w:tcPr>
            <w:tcW w:w="4788" w:type="dxa"/>
          </w:tcPr>
          <w:p w14:paraId="7B745A22" w14:textId="77777777" w:rsidR="0058171D" w:rsidRPr="00575E09" w:rsidRDefault="00E75020" w:rsidP="35BE6F9A">
            <w:pPr>
              <w:widowControl w:val="0"/>
              <w:tabs>
                <w:tab w:val="left" w:pos="548"/>
                <w:tab w:val="left" w:pos="814"/>
              </w:tabs>
              <w:rPr>
                <w:szCs w:val="24"/>
              </w:rPr>
            </w:pPr>
            <w:r w:rsidRPr="00575E09">
              <w:rPr>
                <w:szCs w:val="24"/>
              </w:rPr>
              <w:t xml:space="preserve">Due to recent changes in the Farm Bill regarding the connection between SNAP and LIHEAP benefits, ACF has added a direct question regarding SNAP households in question 1.7.  ACF believes this data is necessary to accurate assess how states are implementing their programs in light of the Farm Bill changes and recent executive agency guidance.  Question 2.6 does not distinguish SNAP households from other households.  One minor change was made to Question 1.7 to delete the word “minimal” from the line about </w:t>
            </w:r>
            <w:r w:rsidRPr="00575E09">
              <w:rPr>
                <w:szCs w:val="24"/>
              </w:rPr>
              <w:lastRenderedPageBreak/>
              <w:t>“Amount of Assistance”.</w:t>
            </w:r>
          </w:p>
        </w:tc>
      </w:tr>
      <w:tr w:rsidR="0058171D" w:rsidRPr="00575E09" w14:paraId="7B745A26" w14:textId="77777777" w:rsidTr="35BE6F9A">
        <w:tc>
          <w:tcPr>
            <w:tcW w:w="4788" w:type="dxa"/>
          </w:tcPr>
          <w:p w14:paraId="7B745A24" w14:textId="77777777" w:rsidR="0058171D" w:rsidRPr="00575E09" w:rsidRDefault="0058171D" w:rsidP="35BE6F9A">
            <w:pPr>
              <w:widowControl w:val="0"/>
              <w:tabs>
                <w:tab w:val="left" w:pos="548"/>
                <w:tab w:val="left" w:pos="814"/>
              </w:tabs>
              <w:rPr>
                <w:szCs w:val="24"/>
              </w:rPr>
            </w:pPr>
            <w:r w:rsidRPr="00575E09">
              <w:rPr>
                <w:szCs w:val="24"/>
              </w:rPr>
              <w:lastRenderedPageBreak/>
              <w:t xml:space="preserve">It should be enough for states to describe their fair hearing procedures for individuals whose claims for assistance under Assurance 13 are denied or are not acted upon with reasonable promptness.  States should not have to report the number of fair hearings held or the number of decisions overturned.  </w:t>
            </w:r>
          </w:p>
        </w:tc>
        <w:tc>
          <w:tcPr>
            <w:tcW w:w="4788" w:type="dxa"/>
          </w:tcPr>
          <w:p w14:paraId="7B745A25" w14:textId="77777777" w:rsidR="0058171D" w:rsidRPr="00575E09" w:rsidRDefault="007E059F" w:rsidP="35BE6F9A">
            <w:pPr>
              <w:widowControl w:val="0"/>
              <w:tabs>
                <w:tab w:val="left" w:pos="548"/>
                <w:tab w:val="left" w:pos="814"/>
              </w:tabs>
              <w:rPr>
                <w:szCs w:val="24"/>
              </w:rPr>
            </w:pPr>
            <w:r w:rsidRPr="00575E09">
              <w:rPr>
                <w:szCs w:val="24"/>
              </w:rPr>
              <w:t>In</w:t>
            </w:r>
            <w:r w:rsidR="0047099D" w:rsidRPr="00575E09">
              <w:rPr>
                <w:szCs w:val="24"/>
              </w:rPr>
              <w:t xml:space="preserve"> conducting monitoring reviews of grantees, it has come to the attention of ACF, that some states are not properly setting statewide policies, monitoring or providing the fair hearing process at a neutral level.  </w:t>
            </w:r>
            <w:r w:rsidRPr="00575E09">
              <w:rPr>
                <w:szCs w:val="24"/>
              </w:rPr>
              <w:t xml:space="preserve">ACF added two questions </w:t>
            </w:r>
            <w:r w:rsidR="0047099D" w:rsidRPr="00575E09">
              <w:rPr>
                <w:szCs w:val="24"/>
              </w:rPr>
              <w:t>to address the extent to which states are involved with the fair hearing process.  Questions 12.1 and 12.2 have been revised to reflect that they are asking about state level fair hearings and state level decisions overturning local agency determinations.</w:t>
            </w:r>
          </w:p>
        </w:tc>
      </w:tr>
      <w:tr w:rsidR="0058171D" w:rsidRPr="00575E09" w14:paraId="7B745A29" w14:textId="77777777" w:rsidTr="35BE6F9A">
        <w:tc>
          <w:tcPr>
            <w:tcW w:w="4788" w:type="dxa"/>
          </w:tcPr>
          <w:p w14:paraId="7B745A27" w14:textId="77777777" w:rsidR="0058171D" w:rsidRPr="00575E09" w:rsidRDefault="0058171D" w:rsidP="35BE6F9A">
            <w:pPr>
              <w:widowControl w:val="0"/>
              <w:tabs>
                <w:tab w:val="left" w:pos="548"/>
                <w:tab w:val="left" w:pos="814"/>
              </w:tabs>
              <w:rPr>
                <w:szCs w:val="24"/>
              </w:rPr>
            </w:pPr>
            <w:r w:rsidRPr="00575E09">
              <w:rPr>
                <w:szCs w:val="24"/>
              </w:rPr>
              <w:t>It is not necessary to meet the requirements of Assurance 12 for states to provide a summary of the comments received at the hearing or to describe the changes made to the state’s LIHEAP plan in response to comments received.</w:t>
            </w:r>
            <w:r w:rsidR="009D3438" w:rsidRPr="00575E09">
              <w:rPr>
                <w:szCs w:val="24"/>
              </w:rPr>
              <w:t xml:space="preserve">  It should be sufficient to just explain what opportunities for public comment were offered.</w:t>
            </w:r>
          </w:p>
        </w:tc>
        <w:tc>
          <w:tcPr>
            <w:tcW w:w="4788" w:type="dxa"/>
          </w:tcPr>
          <w:p w14:paraId="7B745A28" w14:textId="77777777" w:rsidR="0058171D" w:rsidRPr="00575E09" w:rsidRDefault="007E059F" w:rsidP="35BE6F9A">
            <w:pPr>
              <w:widowControl w:val="0"/>
              <w:tabs>
                <w:tab w:val="left" w:pos="548"/>
                <w:tab w:val="left" w:pos="814"/>
              </w:tabs>
              <w:rPr>
                <w:szCs w:val="24"/>
              </w:rPr>
            </w:pPr>
            <w:r w:rsidRPr="00575E09">
              <w:rPr>
                <w:szCs w:val="24"/>
              </w:rPr>
              <w:t xml:space="preserve">ACF added these questions to Section 11 because it found that the responses in prior years’ plans regarding public participation and public hearings to be minimal and not very useful. The responses have not addressed the intent of the public comment, i.e., the effect such comment did or did not have on the plan prior to submission to ACF.  ACF has revised question 11.5 to add an instruction indicating that grantees can attach the hearing minutes/transcript in lieu of writing a summary, if they wish.   </w:t>
            </w:r>
          </w:p>
        </w:tc>
      </w:tr>
    </w:tbl>
    <w:p w14:paraId="7B745A2A" w14:textId="77777777" w:rsidR="0058171D" w:rsidRPr="00575E09" w:rsidRDefault="0058171D" w:rsidP="35BE6F9A">
      <w:pPr>
        <w:widowControl w:val="0"/>
        <w:tabs>
          <w:tab w:val="left" w:pos="548"/>
          <w:tab w:val="left" w:pos="814"/>
        </w:tabs>
        <w:rPr>
          <w:szCs w:val="24"/>
        </w:rPr>
      </w:pPr>
    </w:p>
    <w:p w14:paraId="7B745A34" w14:textId="77777777" w:rsidR="00D17486" w:rsidRPr="00575E09" w:rsidRDefault="00D17486" w:rsidP="35BE6F9A">
      <w:pPr>
        <w:widowControl w:val="0"/>
        <w:tabs>
          <w:tab w:val="left" w:pos="548"/>
          <w:tab w:val="left" w:pos="814"/>
        </w:tabs>
        <w:rPr>
          <w:color w:val="000000" w:themeColor="text1"/>
          <w:szCs w:val="24"/>
        </w:rPr>
      </w:pPr>
    </w:p>
    <w:p w14:paraId="7B745A35" w14:textId="77777777" w:rsidR="00532F17" w:rsidRPr="00575E09" w:rsidRDefault="00532F17" w:rsidP="35BE6F9A">
      <w:pPr>
        <w:pStyle w:val="Level1"/>
        <w:tabs>
          <w:tab w:val="left" w:pos="544"/>
        </w:tabs>
        <w:ind w:left="544"/>
        <w:rPr>
          <w:szCs w:val="24"/>
        </w:rPr>
      </w:pPr>
    </w:p>
    <w:p w14:paraId="7B745A36" w14:textId="77777777" w:rsidR="00532F17" w:rsidRPr="00575E09" w:rsidRDefault="00532F17" w:rsidP="35BE6F9A">
      <w:pPr>
        <w:widowControl w:val="0"/>
        <w:tabs>
          <w:tab w:val="left" w:pos="544"/>
          <w:tab w:val="left" w:pos="814"/>
        </w:tabs>
        <w:ind w:left="544" w:hanging="544"/>
        <w:rPr>
          <w:b/>
          <w:szCs w:val="24"/>
        </w:rPr>
      </w:pPr>
      <w:r w:rsidRPr="00575E09">
        <w:rPr>
          <w:b/>
          <w:szCs w:val="24"/>
        </w:rPr>
        <w:t xml:space="preserve"> 9.</w:t>
      </w:r>
      <w:r w:rsidRPr="00575E09">
        <w:rPr>
          <w:b/>
          <w:szCs w:val="24"/>
        </w:rPr>
        <w:tab/>
        <w:t xml:space="preserve">Explanation of Any Payment or Gift to Respondents. </w:t>
      </w:r>
    </w:p>
    <w:p w14:paraId="7B745A37" w14:textId="77777777" w:rsidR="00532F17" w:rsidRPr="00575E09" w:rsidRDefault="00532F17" w:rsidP="35BE6F9A">
      <w:pPr>
        <w:widowControl w:val="0"/>
        <w:tabs>
          <w:tab w:val="left" w:pos="544"/>
          <w:tab w:val="left" w:pos="814"/>
        </w:tabs>
        <w:rPr>
          <w:szCs w:val="24"/>
        </w:rPr>
      </w:pPr>
    </w:p>
    <w:p w14:paraId="7B745A38" w14:textId="77777777" w:rsidR="00532F17" w:rsidRPr="00575E09" w:rsidRDefault="00952125" w:rsidP="35BE6F9A">
      <w:pPr>
        <w:widowControl w:val="0"/>
        <w:tabs>
          <w:tab w:val="left" w:pos="544"/>
          <w:tab w:val="left" w:pos="814"/>
        </w:tabs>
        <w:rPr>
          <w:szCs w:val="24"/>
        </w:rPr>
      </w:pPr>
      <w:r w:rsidRPr="00575E09">
        <w:rPr>
          <w:szCs w:val="24"/>
        </w:rPr>
        <w:t>No payments or gifts of any kind will be provided to respondents.</w:t>
      </w:r>
    </w:p>
    <w:p w14:paraId="7B745A39" w14:textId="77777777" w:rsidR="00952125" w:rsidRPr="00575E09" w:rsidRDefault="00952125" w:rsidP="35BE6F9A">
      <w:pPr>
        <w:widowControl w:val="0"/>
        <w:tabs>
          <w:tab w:val="left" w:pos="544"/>
          <w:tab w:val="left" w:pos="814"/>
        </w:tabs>
        <w:rPr>
          <w:szCs w:val="24"/>
        </w:rPr>
      </w:pPr>
    </w:p>
    <w:p w14:paraId="7B745A3A" w14:textId="77777777" w:rsidR="00532F17" w:rsidRPr="00575E09" w:rsidRDefault="00532F17" w:rsidP="35BE6F9A">
      <w:pPr>
        <w:widowControl w:val="0"/>
        <w:tabs>
          <w:tab w:val="left" w:pos="544"/>
          <w:tab w:val="left" w:pos="814"/>
        </w:tabs>
        <w:ind w:left="544" w:hanging="544"/>
        <w:rPr>
          <w:b/>
          <w:szCs w:val="24"/>
        </w:rPr>
      </w:pPr>
      <w:r w:rsidRPr="00575E09">
        <w:rPr>
          <w:b/>
          <w:szCs w:val="24"/>
        </w:rPr>
        <w:t>10.</w:t>
      </w:r>
      <w:r w:rsidRPr="00575E09">
        <w:rPr>
          <w:b/>
          <w:szCs w:val="24"/>
        </w:rPr>
        <w:tab/>
        <w:t>Assurance of Confidentiality Provided to Respondents</w:t>
      </w:r>
    </w:p>
    <w:p w14:paraId="7B745A3B" w14:textId="77777777" w:rsidR="00532F17" w:rsidRPr="00575E09" w:rsidRDefault="00532F17" w:rsidP="35BE6F9A">
      <w:pPr>
        <w:widowControl w:val="0"/>
        <w:tabs>
          <w:tab w:val="left" w:pos="544"/>
          <w:tab w:val="left" w:pos="814"/>
        </w:tabs>
        <w:rPr>
          <w:szCs w:val="24"/>
        </w:rPr>
      </w:pPr>
    </w:p>
    <w:p w14:paraId="7B745A3D" w14:textId="7D8127A7" w:rsidR="00532F17" w:rsidRPr="00575E09" w:rsidRDefault="004B7C2B" w:rsidP="35BE6F9A">
      <w:pPr>
        <w:widowControl w:val="0"/>
        <w:tabs>
          <w:tab w:val="left" w:pos="544"/>
          <w:tab w:val="left" w:pos="814"/>
        </w:tabs>
        <w:rPr>
          <w:szCs w:val="24"/>
        </w:rPr>
      </w:pPr>
      <w:r w:rsidRPr="00575E09">
        <w:t>There is no assurance of confidentiality that is applicable to this information collection.</w:t>
      </w:r>
      <w:r w:rsidRPr="00575E09" w:rsidDel="004B7C2B">
        <w:rPr>
          <w:szCs w:val="24"/>
        </w:rPr>
        <w:t xml:space="preserve"> </w:t>
      </w:r>
    </w:p>
    <w:p w14:paraId="1148DFDA" w14:textId="77777777" w:rsidR="00B30536" w:rsidRPr="00575E09" w:rsidRDefault="00B30536" w:rsidP="35BE6F9A">
      <w:pPr>
        <w:widowControl w:val="0"/>
        <w:tabs>
          <w:tab w:val="left" w:pos="544"/>
          <w:tab w:val="left" w:pos="814"/>
        </w:tabs>
        <w:rPr>
          <w:szCs w:val="24"/>
        </w:rPr>
      </w:pPr>
    </w:p>
    <w:p w14:paraId="7B745A3E" w14:textId="77777777" w:rsidR="00532F17" w:rsidRPr="00575E09" w:rsidRDefault="00532F17" w:rsidP="35BE6F9A">
      <w:pPr>
        <w:widowControl w:val="0"/>
        <w:tabs>
          <w:tab w:val="left" w:pos="544"/>
          <w:tab w:val="left" w:pos="814"/>
        </w:tabs>
        <w:ind w:left="544" w:hanging="544"/>
        <w:rPr>
          <w:b/>
          <w:szCs w:val="24"/>
        </w:rPr>
      </w:pPr>
      <w:r w:rsidRPr="00575E09">
        <w:rPr>
          <w:b/>
          <w:szCs w:val="24"/>
        </w:rPr>
        <w:t>11.</w:t>
      </w:r>
      <w:r w:rsidRPr="00575E09">
        <w:rPr>
          <w:b/>
          <w:szCs w:val="24"/>
        </w:rPr>
        <w:tab/>
        <w:t>Justification for Sensitive Questions</w:t>
      </w:r>
    </w:p>
    <w:p w14:paraId="7B745A3F" w14:textId="77777777" w:rsidR="00532F17" w:rsidRPr="00575E09" w:rsidRDefault="00532F17" w:rsidP="35BE6F9A">
      <w:pPr>
        <w:widowControl w:val="0"/>
        <w:tabs>
          <w:tab w:val="left" w:pos="544"/>
          <w:tab w:val="left" w:pos="814"/>
        </w:tabs>
        <w:ind w:left="544"/>
        <w:rPr>
          <w:szCs w:val="24"/>
        </w:rPr>
      </w:pPr>
    </w:p>
    <w:p w14:paraId="7B745A40" w14:textId="77777777" w:rsidR="00532F17" w:rsidRPr="00575E09" w:rsidRDefault="00952125" w:rsidP="35BE6F9A">
      <w:pPr>
        <w:widowControl w:val="0"/>
        <w:tabs>
          <w:tab w:val="left" w:pos="544"/>
          <w:tab w:val="left" w:pos="814"/>
        </w:tabs>
        <w:rPr>
          <w:szCs w:val="24"/>
        </w:rPr>
      </w:pPr>
      <w:r w:rsidRPr="00575E09">
        <w:rPr>
          <w:szCs w:val="24"/>
        </w:rPr>
        <w:t>No sensitive questions are asked in this data collection.</w:t>
      </w:r>
    </w:p>
    <w:p w14:paraId="7B745A41" w14:textId="77777777" w:rsidR="00952125" w:rsidRPr="00575E09" w:rsidRDefault="00952125" w:rsidP="35BE6F9A">
      <w:pPr>
        <w:widowControl w:val="0"/>
        <w:tabs>
          <w:tab w:val="left" w:pos="544"/>
          <w:tab w:val="left" w:pos="814"/>
        </w:tabs>
        <w:rPr>
          <w:szCs w:val="24"/>
        </w:rPr>
      </w:pPr>
    </w:p>
    <w:p w14:paraId="7B745A42" w14:textId="77777777" w:rsidR="00532F17" w:rsidRPr="00575E09" w:rsidRDefault="00532F17" w:rsidP="35BE6F9A">
      <w:pPr>
        <w:widowControl w:val="0"/>
        <w:tabs>
          <w:tab w:val="left" w:pos="544"/>
          <w:tab w:val="left" w:pos="814"/>
        </w:tabs>
        <w:ind w:left="544" w:hanging="544"/>
        <w:rPr>
          <w:b/>
          <w:szCs w:val="24"/>
        </w:rPr>
      </w:pPr>
      <w:r w:rsidRPr="00575E09">
        <w:rPr>
          <w:b/>
          <w:szCs w:val="24"/>
        </w:rPr>
        <w:t>12.</w:t>
      </w:r>
      <w:r w:rsidRPr="00575E09">
        <w:rPr>
          <w:b/>
          <w:szCs w:val="24"/>
        </w:rPr>
        <w:tab/>
        <w:t>Estimates of Annualized Hours Burden</w:t>
      </w:r>
    </w:p>
    <w:p w14:paraId="7B745A43" w14:textId="77777777" w:rsidR="0094533B" w:rsidRPr="00575E09" w:rsidRDefault="0094533B" w:rsidP="35BE6F9A">
      <w:pPr>
        <w:pStyle w:val="Level1"/>
        <w:tabs>
          <w:tab w:val="left" w:pos="544"/>
        </w:tabs>
        <w:ind w:left="544"/>
        <w:jc w:val="center"/>
        <w:outlineLvl w:val="0"/>
        <w:rPr>
          <w:szCs w:val="24"/>
        </w:rPr>
      </w:pPr>
    </w:p>
    <w:p w14:paraId="05C622AE" w14:textId="7ED85865" w:rsidR="003F6D20" w:rsidRPr="00575E09" w:rsidRDefault="00692356" w:rsidP="35BE6F9A">
      <w:pPr>
        <w:widowControl w:val="0"/>
        <w:tabs>
          <w:tab w:val="left" w:pos="0"/>
          <w:tab w:val="left" w:pos="814"/>
        </w:tabs>
      </w:pPr>
      <w:r w:rsidRPr="00575E09">
        <w:t>If all current grantees choose to apply for funds, there will be approximately 210 respondents (one information collection of all directly funded LIHEAP grantees).  The burden will be much higher in the first year as it will involve responding to all questions</w:t>
      </w:r>
      <w:r w:rsidR="003F6D20" w:rsidRPr="00575E09">
        <w:t xml:space="preserve">—including the Program Integrity Assessment questions which are now merged into the Plan document as opposed to </w:t>
      </w:r>
      <w:r w:rsidR="003F6D20" w:rsidRPr="00575E09">
        <w:lastRenderedPageBreak/>
        <w:t xml:space="preserve">being </w:t>
      </w:r>
      <w:r w:rsidR="00647E3A" w:rsidRPr="00575E09">
        <w:t xml:space="preserve">a </w:t>
      </w:r>
      <w:r w:rsidR="003F6D20" w:rsidRPr="00575E09">
        <w:t>separate attachment</w:t>
      </w:r>
      <w:r w:rsidRPr="00575E09">
        <w:t xml:space="preserve">.  </w:t>
      </w:r>
    </w:p>
    <w:p w14:paraId="68D2C005" w14:textId="77777777" w:rsidR="003F6D20" w:rsidRPr="00575E09" w:rsidRDefault="003F6D20" w:rsidP="35BE6F9A">
      <w:pPr>
        <w:widowControl w:val="0"/>
        <w:tabs>
          <w:tab w:val="left" w:pos="0"/>
          <w:tab w:val="left" w:pos="814"/>
        </w:tabs>
      </w:pPr>
    </w:p>
    <w:p w14:paraId="66C1A157" w14:textId="1D2D2AE1" w:rsidR="00692356" w:rsidRPr="00575E09" w:rsidRDefault="00692356" w:rsidP="35BE6F9A">
      <w:pPr>
        <w:widowControl w:val="0"/>
        <w:tabs>
          <w:tab w:val="left" w:pos="0"/>
          <w:tab w:val="left" w:pos="814"/>
        </w:tabs>
      </w:pPr>
      <w:r w:rsidRPr="00575E09">
        <w:t xml:space="preserve">The burden in all subsequent years will be far less than the initial burden—and our previously approved burden estimate.  The reason for the significant burden reduction is that we have eliminated the distinction between a detailed and an abbreviated plan, as previously approved.  Instead, we have built the full plan into our web-based system (OLDC).  The system will pre-populate the data from the prior year into the next year’s plan.  Grantees will merely need to update the pre-populated data from year-to-year if they make changes to their program.  </w:t>
      </w:r>
    </w:p>
    <w:p w14:paraId="3F9B9196" w14:textId="77777777" w:rsidR="00692356" w:rsidRPr="00575E09" w:rsidRDefault="00692356" w:rsidP="35BE6F9A">
      <w:pPr>
        <w:tabs>
          <w:tab w:val="left" w:pos="-720"/>
        </w:tabs>
        <w:suppressAutoHyphens/>
      </w:pPr>
    </w:p>
    <w:p w14:paraId="29A5257A" w14:textId="064C5493" w:rsidR="00692356" w:rsidRPr="00575E09" w:rsidRDefault="00692356" w:rsidP="35BE6F9A">
      <w:pPr>
        <w:tabs>
          <w:tab w:val="left" w:pos="-720"/>
        </w:tabs>
        <w:suppressAutoHyphens/>
      </w:pPr>
      <w:r w:rsidRPr="00575E09">
        <w:t>The current OMB inventory for this collection is 336 hours.  OMB approval for the current information collection expires on April 30, 2014, approval number 0970</w:t>
      </w:r>
      <w:r w:rsidRPr="00575E09">
        <w:noBreakHyphen/>
        <w:t>0075.</w:t>
      </w:r>
    </w:p>
    <w:p w14:paraId="39553523" w14:textId="77777777" w:rsidR="00692356" w:rsidRPr="00575E09" w:rsidRDefault="00692356" w:rsidP="35BE6F9A">
      <w:pPr>
        <w:tabs>
          <w:tab w:val="left" w:pos="-720"/>
        </w:tabs>
        <w:suppressAutoHyphens/>
      </w:pPr>
    </w:p>
    <w:p w14:paraId="25C1765D" w14:textId="77777777" w:rsidR="00692356" w:rsidRPr="00575E09" w:rsidRDefault="00692356" w:rsidP="35BE6F9A">
      <w:pPr>
        <w:tabs>
          <w:tab w:val="left" w:pos="-720"/>
        </w:tabs>
        <w:suppressAutoHyphens/>
      </w:pPr>
      <w:r w:rsidRPr="00575E09">
        <w:t>The breakdown in burden hours is as follows:</w:t>
      </w:r>
    </w:p>
    <w:p w14:paraId="14E4603A" w14:textId="77777777" w:rsidR="00692356" w:rsidRPr="00575E09" w:rsidRDefault="00692356" w:rsidP="35BE6F9A">
      <w:pPr>
        <w:tabs>
          <w:tab w:val="left" w:pos="-720"/>
        </w:tabs>
        <w:suppressAutoHyphens/>
      </w:pPr>
    </w:p>
    <w:p w14:paraId="0A39A19A" w14:textId="77777777" w:rsidR="00692356" w:rsidRPr="00575E09" w:rsidRDefault="00692356" w:rsidP="35BE6F9A">
      <w:pPr>
        <w:tabs>
          <w:tab w:val="left" w:pos="-720"/>
        </w:tabs>
        <w:suppressAutoHyphens/>
      </w:pPr>
      <w:r w:rsidRPr="00575E09">
        <w:t>ANNUAL BURDEN ESTIMATES</w:t>
      </w:r>
    </w:p>
    <w:tbl>
      <w:tblPr>
        <w:tblW w:w="9900" w:type="dxa"/>
        <w:tblInd w:w="120" w:type="dxa"/>
        <w:tblLayout w:type="fixed"/>
        <w:tblCellMar>
          <w:left w:w="120" w:type="dxa"/>
          <w:right w:w="120" w:type="dxa"/>
        </w:tblCellMar>
        <w:tblLook w:val="04A0" w:firstRow="1" w:lastRow="0" w:firstColumn="1" w:lastColumn="0" w:noHBand="0" w:noVBand="1"/>
      </w:tblPr>
      <w:tblGrid>
        <w:gridCol w:w="2070"/>
        <w:gridCol w:w="2070"/>
        <w:gridCol w:w="2070"/>
        <w:gridCol w:w="1890"/>
        <w:gridCol w:w="1800"/>
      </w:tblGrid>
      <w:tr w:rsidR="00692356" w:rsidRPr="00575E09" w14:paraId="1189E656" w14:textId="77777777" w:rsidTr="35BE6F9A">
        <w:tc>
          <w:tcPr>
            <w:tcW w:w="2070" w:type="dxa"/>
            <w:tcBorders>
              <w:top w:val="double" w:sz="6" w:space="0" w:color="auto"/>
              <w:left w:val="double" w:sz="6" w:space="0" w:color="auto"/>
              <w:bottom w:val="nil"/>
              <w:right w:val="nil"/>
            </w:tcBorders>
            <w:hideMark/>
          </w:tcPr>
          <w:p w14:paraId="5FF959D9" w14:textId="77777777" w:rsidR="00692356" w:rsidRPr="00575E09" w:rsidRDefault="00692356" w:rsidP="35BE6F9A">
            <w:pPr>
              <w:tabs>
                <w:tab w:val="left" w:pos="-720"/>
              </w:tabs>
              <w:suppressAutoHyphens/>
              <w:spacing w:before="90" w:after="54"/>
              <w:rPr>
                <w:szCs w:val="24"/>
              </w:rPr>
            </w:pPr>
            <w:r w:rsidRPr="00575E09">
              <w:fldChar w:fldCharType="begin"/>
            </w:r>
            <w:r w:rsidRPr="00575E09">
              <w:instrText xml:space="preserve">PRIVATE </w:instrText>
            </w:r>
            <w:r w:rsidRPr="00575E09">
              <w:fldChar w:fldCharType="end"/>
            </w:r>
            <w:r w:rsidRPr="00575E09">
              <w:t>INSTRUMENT</w:t>
            </w:r>
          </w:p>
        </w:tc>
        <w:tc>
          <w:tcPr>
            <w:tcW w:w="2070" w:type="dxa"/>
            <w:tcBorders>
              <w:top w:val="double" w:sz="6" w:space="0" w:color="auto"/>
              <w:left w:val="single" w:sz="6" w:space="0" w:color="auto"/>
              <w:bottom w:val="nil"/>
              <w:right w:val="nil"/>
            </w:tcBorders>
            <w:hideMark/>
          </w:tcPr>
          <w:p w14:paraId="7BF8CFEA" w14:textId="77777777" w:rsidR="00692356" w:rsidRPr="00575E09" w:rsidRDefault="00692356" w:rsidP="35BE6F9A">
            <w:pPr>
              <w:tabs>
                <w:tab w:val="left" w:pos="-720"/>
              </w:tabs>
              <w:suppressAutoHyphens/>
              <w:spacing w:before="90"/>
              <w:rPr>
                <w:szCs w:val="24"/>
              </w:rPr>
            </w:pPr>
            <w:r w:rsidRPr="00575E09">
              <w:t>NUMBER OF</w:t>
            </w:r>
          </w:p>
          <w:p w14:paraId="134D4E67" w14:textId="77777777" w:rsidR="00692356" w:rsidRPr="00575E09" w:rsidRDefault="00692356" w:rsidP="35BE6F9A">
            <w:pPr>
              <w:tabs>
                <w:tab w:val="left" w:pos="-720"/>
              </w:tabs>
              <w:suppressAutoHyphens/>
              <w:spacing w:after="54"/>
              <w:rPr>
                <w:szCs w:val="24"/>
              </w:rPr>
            </w:pPr>
            <w:r w:rsidRPr="00575E09">
              <w:t>RESPONDENTS</w:t>
            </w:r>
          </w:p>
        </w:tc>
        <w:tc>
          <w:tcPr>
            <w:tcW w:w="2070" w:type="dxa"/>
            <w:tcBorders>
              <w:top w:val="double" w:sz="6" w:space="0" w:color="auto"/>
              <w:left w:val="single" w:sz="6" w:space="0" w:color="auto"/>
              <w:bottom w:val="nil"/>
              <w:right w:val="nil"/>
            </w:tcBorders>
            <w:hideMark/>
          </w:tcPr>
          <w:p w14:paraId="17C58BC7" w14:textId="77777777" w:rsidR="00692356" w:rsidRPr="00575E09" w:rsidRDefault="00692356" w:rsidP="35BE6F9A">
            <w:pPr>
              <w:tabs>
                <w:tab w:val="left" w:pos="-720"/>
              </w:tabs>
              <w:suppressAutoHyphens/>
              <w:spacing w:before="90"/>
              <w:rPr>
                <w:szCs w:val="24"/>
              </w:rPr>
            </w:pPr>
            <w:r w:rsidRPr="00575E09">
              <w:t xml:space="preserve">NUMBER OF </w:t>
            </w:r>
          </w:p>
          <w:p w14:paraId="10901A47" w14:textId="77777777" w:rsidR="00692356" w:rsidRPr="00575E09" w:rsidRDefault="00692356" w:rsidP="35BE6F9A">
            <w:pPr>
              <w:tabs>
                <w:tab w:val="left" w:pos="-720"/>
              </w:tabs>
              <w:suppressAutoHyphens/>
            </w:pPr>
            <w:r w:rsidRPr="00575E09">
              <w:t>RESPONSES</w:t>
            </w:r>
          </w:p>
          <w:p w14:paraId="034CC620" w14:textId="77777777" w:rsidR="00692356" w:rsidRPr="00575E09" w:rsidRDefault="00692356" w:rsidP="35BE6F9A">
            <w:pPr>
              <w:tabs>
                <w:tab w:val="left" w:pos="-720"/>
              </w:tabs>
              <w:suppressAutoHyphens/>
              <w:spacing w:after="54"/>
              <w:rPr>
                <w:szCs w:val="24"/>
              </w:rPr>
            </w:pPr>
            <w:r w:rsidRPr="00575E09">
              <w:t>PER RESPONDENT</w:t>
            </w:r>
          </w:p>
        </w:tc>
        <w:tc>
          <w:tcPr>
            <w:tcW w:w="1890" w:type="dxa"/>
            <w:tcBorders>
              <w:top w:val="double" w:sz="6" w:space="0" w:color="auto"/>
              <w:left w:val="single" w:sz="6" w:space="0" w:color="auto"/>
              <w:bottom w:val="nil"/>
              <w:right w:val="nil"/>
            </w:tcBorders>
          </w:tcPr>
          <w:p w14:paraId="3359732C" w14:textId="77777777" w:rsidR="00692356" w:rsidRPr="00575E09" w:rsidRDefault="00692356" w:rsidP="35BE6F9A">
            <w:pPr>
              <w:tabs>
                <w:tab w:val="left" w:pos="-720"/>
              </w:tabs>
              <w:suppressAutoHyphens/>
              <w:spacing w:before="90"/>
              <w:rPr>
                <w:szCs w:val="24"/>
              </w:rPr>
            </w:pPr>
            <w:r w:rsidRPr="00575E09">
              <w:t>AVERAGE</w:t>
            </w:r>
          </w:p>
          <w:p w14:paraId="09A425A6" w14:textId="77777777" w:rsidR="00692356" w:rsidRPr="00575E09" w:rsidRDefault="00692356" w:rsidP="35BE6F9A">
            <w:pPr>
              <w:tabs>
                <w:tab w:val="left" w:pos="-720"/>
              </w:tabs>
              <w:suppressAutoHyphens/>
            </w:pPr>
            <w:r w:rsidRPr="00575E09">
              <w:t>BURDEN HOURS PER</w:t>
            </w:r>
          </w:p>
          <w:p w14:paraId="7945006E" w14:textId="77777777" w:rsidR="00692356" w:rsidRPr="00575E09" w:rsidRDefault="00692356" w:rsidP="35BE6F9A">
            <w:pPr>
              <w:tabs>
                <w:tab w:val="left" w:pos="-720"/>
              </w:tabs>
              <w:suppressAutoHyphens/>
            </w:pPr>
            <w:r w:rsidRPr="00575E09">
              <w:t>RESPONSE</w:t>
            </w:r>
          </w:p>
          <w:p w14:paraId="672E85D4" w14:textId="77777777" w:rsidR="00692356" w:rsidRPr="00575E09" w:rsidRDefault="00692356" w:rsidP="35BE6F9A">
            <w:pPr>
              <w:tabs>
                <w:tab w:val="left" w:pos="-720"/>
              </w:tabs>
              <w:suppressAutoHyphens/>
              <w:spacing w:after="54"/>
              <w:rPr>
                <w:szCs w:val="24"/>
              </w:rPr>
            </w:pPr>
          </w:p>
        </w:tc>
        <w:tc>
          <w:tcPr>
            <w:tcW w:w="1800" w:type="dxa"/>
            <w:tcBorders>
              <w:top w:val="double" w:sz="6" w:space="0" w:color="auto"/>
              <w:left w:val="single" w:sz="6" w:space="0" w:color="auto"/>
              <w:bottom w:val="nil"/>
              <w:right w:val="double" w:sz="6" w:space="0" w:color="auto"/>
            </w:tcBorders>
          </w:tcPr>
          <w:p w14:paraId="7ED0F83E" w14:textId="77777777" w:rsidR="00692356" w:rsidRPr="00575E09" w:rsidRDefault="00692356" w:rsidP="35BE6F9A">
            <w:pPr>
              <w:tabs>
                <w:tab w:val="left" w:pos="-720"/>
              </w:tabs>
              <w:suppressAutoHyphens/>
              <w:spacing w:before="90"/>
              <w:rPr>
                <w:szCs w:val="24"/>
              </w:rPr>
            </w:pPr>
            <w:r w:rsidRPr="00575E09">
              <w:t>TOTAL</w:t>
            </w:r>
          </w:p>
          <w:p w14:paraId="31D067BF" w14:textId="77777777" w:rsidR="00692356" w:rsidRPr="00575E09" w:rsidRDefault="00692356" w:rsidP="35BE6F9A">
            <w:pPr>
              <w:tabs>
                <w:tab w:val="left" w:pos="-720"/>
              </w:tabs>
              <w:suppressAutoHyphens/>
            </w:pPr>
            <w:r w:rsidRPr="00575E09">
              <w:t>BURDEN</w:t>
            </w:r>
          </w:p>
          <w:p w14:paraId="2328E2BB" w14:textId="77777777" w:rsidR="00692356" w:rsidRPr="00575E09" w:rsidRDefault="00692356" w:rsidP="35BE6F9A">
            <w:pPr>
              <w:tabs>
                <w:tab w:val="left" w:pos="-720"/>
              </w:tabs>
              <w:suppressAutoHyphens/>
            </w:pPr>
            <w:r w:rsidRPr="00575E09">
              <w:t>HOURS</w:t>
            </w:r>
          </w:p>
          <w:p w14:paraId="728ED953" w14:textId="77777777" w:rsidR="00692356" w:rsidRPr="00575E09" w:rsidRDefault="00692356" w:rsidP="35BE6F9A">
            <w:pPr>
              <w:tabs>
                <w:tab w:val="left" w:pos="-720"/>
              </w:tabs>
              <w:suppressAutoHyphens/>
              <w:spacing w:after="54"/>
            </w:pPr>
          </w:p>
          <w:p w14:paraId="6D344A99" w14:textId="77777777" w:rsidR="00692356" w:rsidRPr="00575E09" w:rsidRDefault="00692356" w:rsidP="35BE6F9A">
            <w:pPr>
              <w:tabs>
                <w:tab w:val="left" w:pos="-720"/>
              </w:tabs>
              <w:suppressAutoHyphens/>
              <w:spacing w:after="54"/>
            </w:pPr>
          </w:p>
          <w:p w14:paraId="0A1EBCC2" w14:textId="77777777" w:rsidR="00692356" w:rsidRPr="00575E09" w:rsidRDefault="00692356" w:rsidP="35BE6F9A">
            <w:pPr>
              <w:tabs>
                <w:tab w:val="left" w:pos="-720"/>
              </w:tabs>
              <w:suppressAutoHyphens/>
              <w:spacing w:after="54"/>
            </w:pPr>
          </w:p>
          <w:p w14:paraId="583C049D" w14:textId="77777777" w:rsidR="00692356" w:rsidRPr="00575E09" w:rsidRDefault="00692356" w:rsidP="35BE6F9A">
            <w:pPr>
              <w:tabs>
                <w:tab w:val="left" w:pos="-720"/>
              </w:tabs>
              <w:suppressAutoHyphens/>
              <w:spacing w:after="54"/>
              <w:rPr>
                <w:szCs w:val="24"/>
              </w:rPr>
            </w:pPr>
          </w:p>
        </w:tc>
      </w:tr>
      <w:tr w:rsidR="00692356" w:rsidRPr="00575E09" w14:paraId="04C7E58D" w14:textId="77777777" w:rsidTr="35BE6F9A">
        <w:tc>
          <w:tcPr>
            <w:tcW w:w="2070" w:type="dxa"/>
            <w:tcBorders>
              <w:top w:val="single" w:sz="6" w:space="0" w:color="auto"/>
              <w:left w:val="double" w:sz="6" w:space="0" w:color="auto"/>
              <w:bottom w:val="nil"/>
              <w:right w:val="nil"/>
            </w:tcBorders>
            <w:hideMark/>
          </w:tcPr>
          <w:p w14:paraId="6E6C7145" w14:textId="25024BD8" w:rsidR="00692356" w:rsidRPr="00575E09" w:rsidRDefault="00692356" w:rsidP="35BE6F9A">
            <w:pPr>
              <w:tabs>
                <w:tab w:val="left" w:pos="-720"/>
              </w:tabs>
              <w:suppressAutoHyphens/>
              <w:spacing w:after="54"/>
              <w:rPr>
                <w:szCs w:val="24"/>
              </w:rPr>
            </w:pPr>
            <w:r w:rsidRPr="00575E09">
              <w:t>PLAN</w:t>
            </w:r>
            <w:r w:rsidR="003F6D20" w:rsidRPr="00575E09">
              <w:t xml:space="preserve"> (first year-FY 2015)</w:t>
            </w:r>
          </w:p>
        </w:tc>
        <w:tc>
          <w:tcPr>
            <w:tcW w:w="2070" w:type="dxa"/>
            <w:tcBorders>
              <w:top w:val="single" w:sz="6" w:space="0" w:color="auto"/>
              <w:left w:val="single" w:sz="6" w:space="0" w:color="auto"/>
              <w:bottom w:val="nil"/>
              <w:right w:val="nil"/>
            </w:tcBorders>
            <w:hideMark/>
          </w:tcPr>
          <w:p w14:paraId="5142635E" w14:textId="5F0B2D40" w:rsidR="00692356" w:rsidRPr="00575E09" w:rsidRDefault="003F6D20" w:rsidP="35BE6F9A">
            <w:pPr>
              <w:tabs>
                <w:tab w:val="left" w:pos="-720"/>
              </w:tabs>
              <w:suppressAutoHyphens/>
              <w:spacing w:before="90" w:after="54"/>
              <w:rPr>
                <w:szCs w:val="24"/>
              </w:rPr>
            </w:pPr>
            <w:r w:rsidRPr="00575E09">
              <w:t>210</w:t>
            </w:r>
          </w:p>
        </w:tc>
        <w:tc>
          <w:tcPr>
            <w:tcW w:w="2070" w:type="dxa"/>
            <w:tcBorders>
              <w:top w:val="single" w:sz="6" w:space="0" w:color="auto"/>
              <w:left w:val="single" w:sz="6" w:space="0" w:color="auto"/>
              <w:bottom w:val="nil"/>
              <w:right w:val="nil"/>
            </w:tcBorders>
            <w:hideMark/>
          </w:tcPr>
          <w:p w14:paraId="7AEAFE5D" w14:textId="77777777" w:rsidR="00692356" w:rsidRPr="00575E09" w:rsidRDefault="00692356" w:rsidP="35BE6F9A">
            <w:pPr>
              <w:tabs>
                <w:tab w:val="left" w:pos="-720"/>
              </w:tabs>
              <w:suppressAutoHyphens/>
              <w:spacing w:before="90" w:after="54"/>
              <w:rPr>
                <w:szCs w:val="24"/>
              </w:rPr>
            </w:pPr>
            <w:r w:rsidRPr="00575E09">
              <w:t>1</w:t>
            </w:r>
          </w:p>
        </w:tc>
        <w:tc>
          <w:tcPr>
            <w:tcW w:w="1890" w:type="dxa"/>
            <w:tcBorders>
              <w:top w:val="single" w:sz="6" w:space="0" w:color="auto"/>
              <w:left w:val="single" w:sz="6" w:space="0" w:color="auto"/>
              <w:bottom w:val="nil"/>
              <w:right w:val="nil"/>
            </w:tcBorders>
            <w:hideMark/>
          </w:tcPr>
          <w:p w14:paraId="242D213C" w14:textId="57FA091F" w:rsidR="00692356" w:rsidRPr="00575E09" w:rsidRDefault="007A2D13" w:rsidP="35BE6F9A">
            <w:pPr>
              <w:tabs>
                <w:tab w:val="left" w:pos="-720"/>
              </w:tabs>
              <w:suppressAutoHyphens/>
              <w:spacing w:before="90" w:after="54"/>
              <w:rPr>
                <w:szCs w:val="24"/>
              </w:rPr>
            </w:pPr>
            <w:r w:rsidRPr="00575E09">
              <w:rPr>
                <w:szCs w:val="24"/>
              </w:rPr>
              <w:t>4</w:t>
            </w:r>
          </w:p>
        </w:tc>
        <w:tc>
          <w:tcPr>
            <w:tcW w:w="1800" w:type="dxa"/>
            <w:tcBorders>
              <w:top w:val="single" w:sz="6" w:space="0" w:color="auto"/>
              <w:left w:val="single" w:sz="6" w:space="0" w:color="auto"/>
              <w:bottom w:val="nil"/>
              <w:right w:val="double" w:sz="6" w:space="0" w:color="auto"/>
            </w:tcBorders>
            <w:hideMark/>
          </w:tcPr>
          <w:p w14:paraId="7260C08D" w14:textId="0846A623" w:rsidR="00692356" w:rsidRPr="00575E09" w:rsidRDefault="007A2D13" w:rsidP="35BE6F9A">
            <w:pPr>
              <w:tabs>
                <w:tab w:val="left" w:pos="-720"/>
              </w:tabs>
              <w:suppressAutoHyphens/>
              <w:spacing w:before="90" w:after="54"/>
              <w:rPr>
                <w:szCs w:val="24"/>
              </w:rPr>
            </w:pPr>
            <w:r w:rsidRPr="00575E09">
              <w:t>840</w:t>
            </w:r>
          </w:p>
        </w:tc>
      </w:tr>
      <w:tr w:rsidR="00692356" w:rsidRPr="00575E09" w14:paraId="5B62D513" w14:textId="77777777" w:rsidTr="35BE6F9A">
        <w:tc>
          <w:tcPr>
            <w:tcW w:w="2070" w:type="dxa"/>
            <w:tcBorders>
              <w:top w:val="single" w:sz="6" w:space="0" w:color="auto"/>
              <w:left w:val="double" w:sz="6" w:space="0" w:color="auto"/>
              <w:bottom w:val="double" w:sz="6" w:space="0" w:color="auto"/>
              <w:right w:val="nil"/>
            </w:tcBorders>
          </w:tcPr>
          <w:p w14:paraId="2AAB842F" w14:textId="71F90153" w:rsidR="00692356" w:rsidRPr="00575E09" w:rsidRDefault="00692356" w:rsidP="35BE6F9A">
            <w:pPr>
              <w:tabs>
                <w:tab w:val="left" w:pos="-720"/>
              </w:tabs>
              <w:suppressAutoHyphens/>
              <w:spacing w:before="90"/>
            </w:pPr>
            <w:r w:rsidRPr="00575E09">
              <w:t>PLAN</w:t>
            </w:r>
            <w:r w:rsidR="003F6D20" w:rsidRPr="00575E09">
              <w:t xml:space="preserve"> (future years)</w:t>
            </w:r>
          </w:p>
          <w:p w14:paraId="10FAD9AA" w14:textId="77777777" w:rsidR="00692356" w:rsidRPr="00575E09" w:rsidRDefault="00692356" w:rsidP="35BE6F9A">
            <w:pPr>
              <w:tabs>
                <w:tab w:val="left" w:pos="-720"/>
              </w:tabs>
              <w:suppressAutoHyphens/>
              <w:spacing w:after="54"/>
              <w:rPr>
                <w:szCs w:val="24"/>
              </w:rPr>
            </w:pPr>
          </w:p>
        </w:tc>
        <w:tc>
          <w:tcPr>
            <w:tcW w:w="2070" w:type="dxa"/>
            <w:tcBorders>
              <w:top w:val="single" w:sz="6" w:space="0" w:color="auto"/>
              <w:left w:val="single" w:sz="6" w:space="0" w:color="auto"/>
              <w:bottom w:val="double" w:sz="6" w:space="0" w:color="auto"/>
              <w:right w:val="nil"/>
            </w:tcBorders>
            <w:hideMark/>
          </w:tcPr>
          <w:p w14:paraId="027D1964" w14:textId="6168BC0C" w:rsidR="00692356" w:rsidRPr="00575E09" w:rsidRDefault="003F6D20" w:rsidP="35BE6F9A">
            <w:pPr>
              <w:tabs>
                <w:tab w:val="left" w:pos="-720"/>
              </w:tabs>
              <w:suppressAutoHyphens/>
              <w:spacing w:before="90" w:after="54"/>
              <w:rPr>
                <w:szCs w:val="24"/>
              </w:rPr>
            </w:pPr>
            <w:r w:rsidRPr="00575E09">
              <w:t>210</w:t>
            </w:r>
          </w:p>
        </w:tc>
        <w:tc>
          <w:tcPr>
            <w:tcW w:w="2070" w:type="dxa"/>
            <w:tcBorders>
              <w:top w:val="single" w:sz="6" w:space="0" w:color="auto"/>
              <w:left w:val="single" w:sz="6" w:space="0" w:color="auto"/>
              <w:bottom w:val="double" w:sz="6" w:space="0" w:color="auto"/>
              <w:right w:val="nil"/>
            </w:tcBorders>
            <w:hideMark/>
          </w:tcPr>
          <w:p w14:paraId="1443C183" w14:textId="77777777" w:rsidR="00692356" w:rsidRPr="00575E09" w:rsidRDefault="00692356" w:rsidP="35BE6F9A">
            <w:pPr>
              <w:tabs>
                <w:tab w:val="left" w:pos="-720"/>
              </w:tabs>
              <w:suppressAutoHyphens/>
              <w:spacing w:before="90" w:after="54"/>
              <w:rPr>
                <w:szCs w:val="24"/>
              </w:rPr>
            </w:pPr>
            <w:r w:rsidRPr="00575E09">
              <w:t>1</w:t>
            </w:r>
          </w:p>
        </w:tc>
        <w:tc>
          <w:tcPr>
            <w:tcW w:w="1890" w:type="dxa"/>
            <w:tcBorders>
              <w:top w:val="single" w:sz="6" w:space="0" w:color="auto"/>
              <w:left w:val="single" w:sz="6" w:space="0" w:color="auto"/>
              <w:bottom w:val="double" w:sz="6" w:space="0" w:color="auto"/>
              <w:right w:val="nil"/>
            </w:tcBorders>
            <w:hideMark/>
          </w:tcPr>
          <w:p w14:paraId="2EEE0C6E" w14:textId="48DF0D4A" w:rsidR="00692356" w:rsidRPr="00575E09" w:rsidRDefault="007A2D13" w:rsidP="35BE6F9A">
            <w:pPr>
              <w:tabs>
                <w:tab w:val="left" w:pos="-720"/>
              </w:tabs>
              <w:suppressAutoHyphens/>
              <w:spacing w:before="90" w:after="54"/>
              <w:rPr>
                <w:szCs w:val="24"/>
              </w:rPr>
            </w:pPr>
            <w:r w:rsidRPr="00575E09">
              <w:rPr>
                <w:szCs w:val="24"/>
              </w:rPr>
              <w:t>1</w:t>
            </w:r>
          </w:p>
        </w:tc>
        <w:tc>
          <w:tcPr>
            <w:tcW w:w="1800" w:type="dxa"/>
            <w:tcBorders>
              <w:top w:val="single" w:sz="6" w:space="0" w:color="auto"/>
              <w:left w:val="single" w:sz="6" w:space="0" w:color="auto"/>
              <w:bottom w:val="double" w:sz="6" w:space="0" w:color="auto"/>
              <w:right w:val="double" w:sz="6" w:space="0" w:color="auto"/>
            </w:tcBorders>
            <w:hideMark/>
          </w:tcPr>
          <w:p w14:paraId="7D5FB2FF" w14:textId="156EC451" w:rsidR="00692356" w:rsidRPr="00575E09" w:rsidRDefault="007A2D13" w:rsidP="35BE6F9A">
            <w:pPr>
              <w:tabs>
                <w:tab w:val="left" w:pos="-720"/>
              </w:tabs>
              <w:suppressAutoHyphens/>
              <w:spacing w:before="90" w:after="54"/>
              <w:rPr>
                <w:szCs w:val="24"/>
              </w:rPr>
            </w:pPr>
            <w:r w:rsidRPr="00575E09">
              <w:t>210</w:t>
            </w:r>
          </w:p>
        </w:tc>
      </w:tr>
    </w:tbl>
    <w:p w14:paraId="31BD1A2A" w14:textId="3053C162" w:rsidR="00692356" w:rsidRPr="00575E09" w:rsidRDefault="00692356" w:rsidP="35BE6F9A">
      <w:pPr>
        <w:tabs>
          <w:tab w:val="left" w:pos="-720"/>
        </w:tabs>
        <w:suppressAutoHyphens/>
      </w:pPr>
      <w:r w:rsidRPr="00575E09">
        <w:t xml:space="preserve">Estimated Total Annual Burden Hours: </w:t>
      </w:r>
      <w:r w:rsidR="007A2D13" w:rsidRPr="00575E09">
        <w:tab/>
        <w:t>First year of collection:  840</w:t>
      </w:r>
    </w:p>
    <w:p w14:paraId="414221B6" w14:textId="50D68D2C" w:rsidR="003F6D20" w:rsidRPr="00575E09" w:rsidRDefault="003F6D20" w:rsidP="35BE6F9A">
      <w:pPr>
        <w:tabs>
          <w:tab w:val="left" w:pos="-720"/>
        </w:tabs>
        <w:suppressAutoHyphens/>
      </w:pPr>
      <w:r w:rsidRPr="00575E09">
        <w:tab/>
      </w:r>
      <w:r w:rsidRPr="00575E09">
        <w:tab/>
      </w:r>
      <w:r w:rsidRPr="00575E09">
        <w:tab/>
      </w:r>
      <w:r w:rsidRPr="00575E09">
        <w:tab/>
      </w:r>
      <w:r w:rsidRPr="00575E09">
        <w:tab/>
      </w:r>
      <w:r w:rsidRPr="00575E09">
        <w:tab/>
        <w:t xml:space="preserve">Remaining years of collection:  </w:t>
      </w:r>
      <w:r w:rsidR="007A2D13" w:rsidRPr="00575E09">
        <w:t>2</w:t>
      </w:r>
      <w:r w:rsidRPr="00575E09">
        <w:t>10</w:t>
      </w:r>
    </w:p>
    <w:p w14:paraId="3EA1908B" w14:textId="77777777" w:rsidR="00692356" w:rsidRPr="00575E09" w:rsidRDefault="00692356" w:rsidP="35BE6F9A">
      <w:pPr>
        <w:widowControl w:val="0"/>
        <w:tabs>
          <w:tab w:val="left" w:pos="0"/>
          <w:tab w:val="left" w:pos="814"/>
        </w:tabs>
      </w:pPr>
    </w:p>
    <w:p w14:paraId="0AFC3BEB" w14:textId="6C946C2A" w:rsidR="00692356" w:rsidRPr="00575E09" w:rsidRDefault="003F6D20" w:rsidP="35BE6F9A">
      <w:pPr>
        <w:tabs>
          <w:tab w:val="left" w:pos="-720"/>
          <w:tab w:val="left" w:pos="0"/>
          <w:tab w:val="left" w:pos="720"/>
          <w:tab w:val="left" w:pos="1440"/>
        </w:tabs>
        <w:suppressAutoHyphens/>
      </w:pPr>
      <w:r w:rsidRPr="00575E09">
        <w:t>In the first year of the information collection clearance,</w:t>
      </w:r>
      <w:r w:rsidR="00692356" w:rsidRPr="00575E09">
        <w:t xml:space="preserve"> we estimate that it will take </w:t>
      </w:r>
      <w:r w:rsidR="007A2D13" w:rsidRPr="00575E09">
        <w:t>four</w:t>
      </w:r>
      <w:r w:rsidR="00692356" w:rsidRPr="00575E09">
        <w:t xml:space="preserve"> hour</w:t>
      </w:r>
      <w:r w:rsidRPr="00575E09">
        <w:t>s</w:t>
      </w:r>
      <w:r w:rsidR="00692356" w:rsidRPr="00575E09">
        <w:t xml:space="preserve"> to complete. </w:t>
      </w:r>
      <w:r w:rsidRPr="00575E09">
        <w:t>As</w:t>
      </w:r>
      <w:r w:rsidR="00692356" w:rsidRPr="00575E09">
        <w:t xml:space="preserve"> the Model Plan is available electronically, and much of the plan only calls for check marks at appropriate places, we expect that the entire task would be performed by a professional staff member at a cost of $</w:t>
      </w:r>
      <w:r w:rsidR="003267CD" w:rsidRPr="00575E09">
        <w:t>70, assuming an equivalent hourly rate of a GS-12 employee after factoring in benefits</w:t>
      </w:r>
      <w:r w:rsidR="00692356" w:rsidRPr="00575E09">
        <w:t xml:space="preserve">.  The total cost for the </w:t>
      </w:r>
      <w:r w:rsidRPr="00575E09">
        <w:t>210</w:t>
      </w:r>
      <w:r w:rsidR="00692356" w:rsidRPr="00575E09">
        <w:t xml:space="preserve"> respondents we estimate would use the Plan each year would be $</w:t>
      </w:r>
      <w:r w:rsidR="003267CD" w:rsidRPr="00575E09">
        <w:t>5</w:t>
      </w:r>
      <w:r w:rsidRPr="00575E09">
        <w:t>8</w:t>
      </w:r>
      <w:r w:rsidR="00692356" w:rsidRPr="00575E09">
        <w:t>,</w:t>
      </w:r>
      <w:r w:rsidR="003267CD" w:rsidRPr="00575E09">
        <w:t>8</w:t>
      </w:r>
      <w:r w:rsidR="00692356" w:rsidRPr="00575E09">
        <w:t>00 (</w:t>
      </w:r>
      <w:r w:rsidR="007A2D13" w:rsidRPr="00575E09">
        <w:t>4</w:t>
      </w:r>
      <w:r w:rsidRPr="00575E09">
        <w:t>x 210</w:t>
      </w:r>
      <w:r w:rsidR="00692356" w:rsidRPr="00575E09">
        <w:t xml:space="preserve"> x $</w:t>
      </w:r>
      <w:r w:rsidR="003267CD" w:rsidRPr="00575E09">
        <w:t>7</w:t>
      </w:r>
      <w:r w:rsidR="00692356" w:rsidRPr="00575E09">
        <w:t xml:space="preserve">0).  </w:t>
      </w:r>
    </w:p>
    <w:p w14:paraId="09934B64" w14:textId="77777777" w:rsidR="00692356" w:rsidRPr="00575E09" w:rsidRDefault="00692356" w:rsidP="35BE6F9A">
      <w:pPr>
        <w:tabs>
          <w:tab w:val="left" w:pos="-720"/>
        </w:tabs>
        <w:suppressAutoHyphens/>
      </w:pPr>
    </w:p>
    <w:p w14:paraId="72BFE476" w14:textId="53C207C2" w:rsidR="00692356" w:rsidRPr="00575E09" w:rsidRDefault="003F6D20" w:rsidP="35BE6F9A">
      <w:pPr>
        <w:tabs>
          <w:tab w:val="left" w:pos="-720"/>
          <w:tab w:val="left" w:pos="0"/>
          <w:tab w:val="left" w:pos="720"/>
          <w:tab w:val="left" w:pos="1440"/>
        </w:tabs>
        <w:suppressAutoHyphens/>
      </w:pPr>
      <w:r w:rsidRPr="00575E09">
        <w:t xml:space="preserve">In the second and third years of the information collection clearance, we estimate it will take </w:t>
      </w:r>
      <w:r w:rsidR="007A2D13" w:rsidRPr="00575E09">
        <w:t>one hour</w:t>
      </w:r>
      <w:r w:rsidR="00692356" w:rsidRPr="00575E09">
        <w:t xml:space="preserve"> per response including the time for reviewing previous applications, gathering the data needed and reviewing the completed plan.  We estimate the cost, bas</w:t>
      </w:r>
      <w:r w:rsidR="003267CD" w:rsidRPr="00575E09">
        <w:t>ed on an hourly labor cost of $7</w:t>
      </w:r>
      <w:r w:rsidR="00692356" w:rsidRPr="00575E09">
        <w:t>0, to be $</w:t>
      </w:r>
      <w:r w:rsidR="003267CD" w:rsidRPr="00575E09">
        <w:t>14</w:t>
      </w:r>
      <w:r w:rsidRPr="00575E09">
        <w:t>,</w:t>
      </w:r>
      <w:r w:rsidR="003267CD" w:rsidRPr="00575E09">
        <w:t>7</w:t>
      </w:r>
      <w:r w:rsidRPr="00575E09">
        <w:t>00</w:t>
      </w:r>
      <w:r w:rsidR="00692356" w:rsidRPr="00575E09">
        <w:t xml:space="preserve"> (</w:t>
      </w:r>
      <w:r w:rsidR="007A2D13" w:rsidRPr="00575E09">
        <w:t>1</w:t>
      </w:r>
      <w:r w:rsidR="00692356" w:rsidRPr="00575E09">
        <w:t xml:space="preserve"> x $</w:t>
      </w:r>
      <w:r w:rsidR="003267CD" w:rsidRPr="00575E09">
        <w:t>7</w:t>
      </w:r>
      <w:r w:rsidR="00692356" w:rsidRPr="00575E09">
        <w:t xml:space="preserve">0 x </w:t>
      </w:r>
      <w:r w:rsidRPr="00575E09">
        <w:t>210</w:t>
      </w:r>
      <w:r w:rsidR="00692356" w:rsidRPr="00575E09">
        <w:t xml:space="preserve"> respondents). </w:t>
      </w:r>
    </w:p>
    <w:p w14:paraId="7B745A44" w14:textId="7BFFAAEA" w:rsidR="00CE394D" w:rsidRPr="00575E09" w:rsidRDefault="00692356" w:rsidP="35BE6F9A">
      <w:pPr>
        <w:widowControl w:val="0"/>
        <w:tabs>
          <w:tab w:val="left" w:pos="0"/>
          <w:tab w:val="left" w:pos="814"/>
        </w:tabs>
        <w:rPr>
          <w:szCs w:val="24"/>
        </w:rPr>
      </w:pPr>
      <w:r w:rsidRPr="00575E09">
        <w:t xml:space="preserve">      </w:t>
      </w:r>
      <w:r w:rsidR="00CE394D" w:rsidRPr="00575E09">
        <w:rPr>
          <w:szCs w:val="24"/>
        </w:rPr>
        <w:tab/>
      </w:r>
      <w:r w:rsidR="00CE394D" w:rsidRPr="00575E09">
        <w:rPr>
          <w:szCs w:val="24"/>
        </w:rPr>
        <w:tab/>
      </w:r>
    </w:p>
    <w:p w14:paraId="7B745A45" w14:textId="77777777" w:rsidR="00532F17" w:rsidRPr="00575E09" w:rsidRDefault="00532F17" w:rsidP="35BE6F9A">
      <w:pPr>
        <w:widowControl w:val="0"/>
        <w:tabs>
          <w:tab w:val="left" w:pos="544"/>
          <w:tab w:val="left" w:pos="814"/>
        </w:tabs>
        <w:ind w:left="540" w:hanging="540"/>
        <w:rPr>
          <w:b/>
          <w:szCs w:val="24"/>
        </w:rPr>
      </w:pPr>
      <w:r w:rsidRPr="00575E09">
        <w:rPr>
          <w:b/>
          <w:szCs w:val="24"/>
        </w:rPr>
        <w:t>13.</w:t>
      </w:r>
      <w:r w:rsidRPr="00575E09">
        <w:rPr>
          <w:b/>
          <w:szCs w:val="24"/>
        </w:rPr>
        <w:tab/>
        <w:t>Estimates of Other Total Annual Cost Burden to Respondents and Record Keepers/Capital Costs</w:t>
      </w:r>
    </w:p>
    <w:p w14:paraId="7B745A46" w14:textId="77777777" w:rsidR="00480B99" w:rsidRPr="00575E09" w:rsidRDefault="00480B99" w:rsidP="35BE6F9A">
      <w:pPr>
        <w:widowControl w:val="0"/>
        <w:tabs>
          <w:tab w:val="left" w:pos="544"/>
          <w:tab w:val="left" w:pos="814"/>
        </w:tabs>
        <w:ind w:left="540" w:hanging="540"/>
        <w:rPr>
          <w:b/>
          <w:szCs w:val="24"/>
        </w:rPr>
      </w:pPr>
    </w:p>
    <w:p w14:paraId="7B745A48" w14:textId="29E0B816" w:rsidR="00666006" w:rsidRPr="00575E09" w:rsidRDefault="00883A83" w:rsidP="35BE6F9A">
      <w:pPr>
        <w:widowControl w:val="0"/>
        <w:tabs>
          <w:tab w:val="left" w:pos="544"/>
          <w:tab w:val="left" w:pos="814"/>
        </w:tabs>
      </w:pPr>
      <w:r w:rsidRPr="00575E09">
        <w:t>There are no additional annual direct costs to respondents as a result of this information collection.</w:t>
      </w:r>
    </w:p>
    <w:p w14:paraId="3C225DD2" w14:textId="77777777" w:rsidR="003A7149" w:rsidRPr="00575E09" w:rsidRDefault="003A7149" w:rsidP="35BE6F9A">
      <w:pPr>
        <w:widowControl w:val="0"/>
        <w:tabs>
          <w:tab w:val="left" w:pos="544"/>
          <w:tab w:val="left" w:pos="814"/>
        </w:tabs>
        <w:rPr>
          <w:szCs w:val="24"/>
        </w:rPr>
      </w:pPr>
    </w:p>
    <w:p w14:paraId="7B745A49" w14:textId="77777777" w:rsidR="00B344B2" w:rsidRPr="00575E09" w:rsidRDefault="00532F17" w:rsidP="35BE6F9A">
      <w:pPr>
        <w:widowControl w:val="0"/>
        <w:numPr>
          <w:ilvl w:val="0"/>
          <w:numId w:val="1"/>
        </w:numPr>
        <w:tabs>
          <w:tab w:val="clear" w:pos="540"/>
          <w:tab w:val="left" w:pos="544"/>
          <w:tab w:val="left" w:pos="814"/>
        </w:tabs>
        <w:jc w:val="both"/>
        <w:rPr>
          <w:szCs w:val="24"/>
        </w:rPr>
      </w:pPr>
      <w:r w:rsidRPr="00575E09">
        <w:rPr>
          <w:b/>
          <w:szCs w:val="24"/>
        </w:rPr>
        <w:t>Annualized Cost to the Federal Government</w:t>
      </w:r>
    </w:p>
    <w:p w14:paraId="7B745A4A" w14:textId="77777777" w:rsidR="007A7FB0" w:rsidRPr="00575E09" w:rsidRDefault="007A7FB0" w:rsidP="35BE6F9A">
      <w:pPr>
        <w:widowControl w:val="0"/>
        <w:tabs>
          <w:tab w:val="left" w:pos="-734"/>
          <w:tab w:val="left" w:pos="544"/>
          <w:tab w:val="left" w:pos="814"/>
        </w:tabs>
        <w:rPr>
          <w:szCs w:val="24"/>
        </w:rPr>
      </w:pPr>
    </w:p>
    <w:p w14:paraId="03E21649" w14:textId="77777777" w:rsidR="00883A83" w:rsidRPr="00575E09" w:rsidRDefault="00883A83" w:rsidP="35BE6F9A">
      <w:pPr>
        <w:tabs>
          <w:tab w:val="left" w:pos="-720"/>
          <w:tab w:val="left" w:pos="0"/>
          <w:tab w:val="left" w:pos="720"/>
        </w:tabs>
        <w:suppressAutoHyphens/>
      </w:pPr>
      <w:r w:rsidRPr="00575E09">
        <w:t>An initial start-up cost to the federal government of $22,000 covers our agency’s IT staff time for building the Plan into the OLDC system.</w:t>
      </w:r>
    </w:p>
    <w:p w14:paraId="56ED3799" w14:textId="77777777" w:rsidR="00883A83" w:rsidRPr="00575E09" w:rsidRDefault="00883A83" w:rsidP="35BE6F9A">
      <w:pPr>
        <w:tabs>
          <w:tab w:val="left" w:pos="-720"/>
          <w:tab w:val="left" w:pos="0"/>
          <w:tab w:val="left" w:pos="720"/>
        </w:tabs>
        <w:suppressAutoHyphens/>
      </w:pPr>
    </w:p>
    <w:p w14:paraId="31E8B891" w14:textId="73766C3F" w:rsidR="001B269F" w:rsidRPr="00575E09" w:rsidRDefault="00883A83" w:rsidP="35BE6F9A">
      <w:pPr>
        <w:tabs>
          <w:tab w:val="left" w:pos="-720"/>
          <w:tab w:val="left" w:pos="0"/>
          <w:tab w:val="left" w:pos="720"/>
        </w:tabs>
        <w:suppressAutoHyphens/>
      </w:pPr>
      <w:r w:rsidRPr="00575E09">
        <w:t>Annual costs to the federal government for this collection are</w:t>
      </w:r>
      <w:r w:rsidR="001B269F" w:rsidRPr="00575E09">
        <w:t xml:space="preserve"> estimate</w:t>
      </w:r>
      <w:r w:rsidRPr="00575E09">
        <w:t>d based on</w:t>
      </w:r>
      <w:r w:rsidR="001B269F" w:rsidRPr="00575E09">
        <w:t xml:space="preserve"> an avera</w:t>
      </w:r>
      <w:r w:rsidRPr="00575E09">
        <w:t>ge total of 4 hours for f</w:t>
      </w:r>
      <w:r w:rsidR="001B269F" w:rsidRPr="00575E09">
        <w:t xml:space="preserve">ederal staff to review each Plan </w:t>
      </w:r>
      <w:r w:rsidRPr="00575E09">
        <w:t xml:space="preserve">in the first year of the collection </w:t>
      </w:r>
      <w:r w:rsidR="001B269F" w:rsidRPr="00575E09">
        <w:t xml:space="preserve">and </w:t>
      </w:r>
      <w:r w:rsidRPr="00575E09">
        <w:t xml:space="preserve">to </w:t>
      </w:r>
      <w:r w:rsidR="001B269F" w:rsidRPr="00575E09">
        <w:t xml:space="preserve">make any necessary follow-up contacts with grantees to obtain additional information.  We estimate that it will take an average of 1.5 hours to review each Plan </w:t>
      </w:r>
      <w:r w:rsidRPr="00575E09">
        <w:t xml:space="preserve">in the subsequent years as the system will flag updated information making it readily apparent to staff what needs to be reviewed. </w:t>
      </w:r>
    </w:p>
    <w:p w14:paraId="47FD5A88" w14:textId="77777777" w:rsidR="001B269F" w:rsidRPr="00575E09" w:rsidRDefault="001B269F" w:rsidP="35BE6F9A">
      <w:pPr>
        <w:tabs>
          <w:tab w:val="left" w:pos="-720"/>
        </w:tabs>
        <w:suppressAutoHyphens/>
        <w:ind w:left="1440" w:hanging="720"/>
      </w:pPr>
    </w:p>
    <w:p w14:paraId="5D86F4A9" w14:textId="6D730697" w:rsidR="001B269F" w:rsidRPr="00575E09" w:rsidRDefault="001B269F" w:rsidP="35BE6F9A">
      <w:pPr>
        <w:tabs>
          <w:tab w:val="left" w:pos="-720"/>
          <w:tab w:val="left" w:pos="0"/>
          <w:tab w:val="left" w:pos="720"/>
        </w:tabs>
        <w:suppressAutoHyphens/>
      </w:pPr>
      <w:r w:rsidRPr="00575E09">
        <w:t>A GS-13 employee generally reviews each report and a GS 13 may also do second review.  A GS-14 or GS-15 employee generally makes final decisions when there are questions about the adequacy of information.  At an average salary rate of $</w:t>
      </w:r>
      <w:r w:rsidR="009223FC" w:rsidRPr="00575E09">
        <w:t>85</w:t>
      </w:r>
      <w:r w:rsidRPr="00575E09">
        <w:t xml:space="preserve"> per hour</w:t>
      </w:r>
      <w:r w:rsidR="009223FC" w:rsidRPr="00575E09">
        <w:t xml:space="preserve"> including benefits</w:t>
      </w:r>
      <w:r w:rsidRPr="00575E09">
        <w:t xml:space="preserve">, assuming 4 hours each for </w:t>
      </w:r>
      <w:r w:rsidR="00883A83" w:rsidRPr="00575E09">
        <w:t>210</w:t>
      </w:r>
      <w:r w:rsidRPr="00575E09">
        <w:t xml:space="preserve"> appli</w:t>
      </w:r>
      <w:r w:rsidR="00883A83" w:rsidRPr="00575E09">
        <w:t>cations and 1.5 hours each for 210 applications, the f</w:t>
      </w:r>
      <w:r w:rsidRPr="00575E09">
        <w:t>ederal salary costs each year will be about $</w:t>
      </w:r>
      <w:r w:rsidR="009223FC" w:rsidRPr="00575E09">
        <w:t>98</w:t>
      </w:r>
      <w:r w:rsidR="00883A83" w:rsidRPr="00575E09">
        <w:t>,</w:t>
      </w:r>
      <w:r w:rsidR="009223FC" w:rsidRPr="00575E09">
        <w:t>175</w:t>
      </w:r>
      <w:r w:rsidRPr="00575E09">
        <w:t xml:space="preserve"> ([4 hours x </w:t>
      </w:r>
      <w:r w:rsidR="00883A83" w:rsidRPr="00575E09">
        <w:t>210</w:t>
      </w:r>
      <w:r w:rsidRPr="00575E09">
        <w:t xml:space="preserve"> applications] + [1.5 hours x </w:t>
      </w:r>
      <w:r w:rsidR="00883A83" w:rsidRPr="00575E09">
        <w:t>210</w:t>
      </w:r>
      <w:r w:rsidR="009223FC" w:rsidRPr="00575E09">
        <w:t xml:space="preserve"> applications] x $85</w:t>
      </w:r>
      <w:r w:rsidRPr="00575E09">
        <w:t>).</w:t>
      </w:r>
    </w:p>
    <w:p w14:paraId="7B745A4C" w14:textId="77777777" w:rsidR="000050FA" w:rsidRPr="00575E09" w:rsidRDefault="000050FA" w:rsidP="35BE6F9A">
      <w:pPr>
        <w:widowControl w:val="0"/>
        <w:tabs>
          <w:tab w:val="left" w:pos="-734"/>
          <w:tab w:val="left" w:pos="544"/>
          <w:tab w:val="left" w:pos="814"/>
        </w:tabs>
        <w:rPr>
          <w:szCs w:val="24"/>
        </w:rPr>
      </w:pPr>
    </w:p>
    <w:p w14:paraId="7B745A4D" w14:textId="77777777" w:rsidR="00532F17" w:rsidRPr="00575E09" w:rsidRDefault="00532F17" w:rsidP="35BE6F9A">
      <w:pPr>
        <w:widowControl w:val="0"/>
        <w:tabs>
          <w:tab w:val="left" w:pos="-734"/>
          <w:tab w:val="left" w:pos="544"/>
          <w:tab w:val="left" w:pos="814"/>
        </w:tabs>
        <w:ind w:left="544" w:hanging="544"/>
        <w:rPr>
          <w:b/>
          <w:szCs w:val="24"/>
        </w:rPr>
      </w:pPr>
      <w:r w:rsidRPr="00575E09">
        <w:rPr>
          <w:b/>
          <w:szCs w:val="24"/>
        </w:rPr>
        <w:t>15.</w:t>
      </w:r>
      <w:r w:rsidRPr="00575E09">
        <w:rPr>
          <w:b/>
          <w:szCs w:val="24"/>
        </w:rPr>
        <w:tab/>
        <w:t>Explanation of Program Changes or Adjustments</w:t>
      </w:r>
    </w:p>
    <w:p w14:paraId="7B745A4E" w14:textId="77777777" w:rsidR="00532F17" w:rsidRPr="00575E09" w:rsidRDefault="00532F17" w:rsidP="35BE6F9A">
      <w:pPr>
        <w:widowControl w:val="0"/>
        <w:tabs>
          <w:tab w:val="left" w:pos="-734"/>
          <w:tab w:val="left" w:pos="544"/>
          <w:tab w:val="left" w:pos="814"/>
        </w:tabs>
        <w:rPr>
          <w:szCs w:val="24"/>
        </w:rPr>
      </w:pPr>
    </w:p>
    <w:p w14:paraId="74AE16FC" w14:textId="440DB777" w:rsidR="003A7149" w:rsidRPr="00575E09" w:rsidRDefault="00087BDC" w:rsidP="35BE6F9A">
      <w:pPr>
        <w:widowControl w:val="0"/>
        <w:tabs>
          <w:tab w:val="left" w:pos="-734"/>
          <w:tab w:val="left" w:pos="544"/>
          <w:tab w:val="left" w:pos="814"/>
        </w:tabs>
        <w:rPr>
          <w:szCs w:val="24"/>
        </w:rPr>
      </w:pPr>
      <w:r w:rsidRPr="00575E09">
        <w:rPr>
          <w:szCs w:val="24"/>
        </w:rPr>
        <w:t xml:space="preserve">This is </w:t>
      </w:r>
      <w:r w:rsidR="0052424A" w:rsidRPr="00575E09">
        <w:rPr>
          <w:szCs w:val="24"/>
        </w:rPr>
        <w:t xml:space="preserve">a revised information collection which improves the flow of the questions, provides more closed-ended questions to improve consistency in how grantees interpret the questions, and merges the questions from the Program Integrity Assessment </w:t>
      </w:r>
      <w:r w:rsidR="003A7149" w:rsidRPr="00575E09">
        <w:rPr>
          <w:szCs w:val="24"/>
        </w:rPr>
        <w:t xml:space="preserve">(PIA) </w:t>
      </w:r>
      <w:r w:rsidR="0052424A" w:rsidRPr="00575E09">
        <w:rPr>
          <w:szCs w:val="24"/>
        </w:rPr>
        <w:t xml:space="preserve">into the Plan as one seamless document.  </w:t>
      </w:r>
      <w:r w:rsidR="003A7149" w:rsidRPr="00575E09">
        <w:rPr>
          <w:szCs w:val="24"/>
        </w:rPr>
        <w:t xml:space="preserve">The PIA questions were largely incorporated in Sections 10, 15 and 17 of the new Plan.  The order of the PIA questions was changed to follow the flow of the Plan questions.  ACF largely kept the PIA questions as previously worded; however, ACF developed answer choices for all PIA questions.  These appear as check box or pull-down options in OLDC.  The answer choices were derived from the most common answers reported on previous PIA submissions by LIHEAP grantees.  Every answer choice includes an “other” field which, if selected, requires the grantee to provide a brief description of what they do. </w:t>
      </w:r>
      <w:r w:rsidR="008839D6" w:rsidRPr="00575E09">
        <w:rPr>
          <w:szCs w:val="24"/>
        </w:rPr>
        <w:t xml:space="preserve"> In addition to incorporating the PIA questions, ACF added new questions to the Plan.  Attached is a document with the new questions highlighted.  </w:t>
      </w:r>
      <w:r w:rsidR="00F26B20" w:rsidRPr="00575E09">
        <w:rPr>
          <w:szCs w:val="24"/>
        </w:rPr>
        <w:t xml:space="preserve">Some of the new questions flesh out broader questions that were in the old plan, such as in Section 9. Other new questions are a result of the most common inquiries we received about the program from our federal and external stakeholders.  </w:t>
      </w:r>
    </w:p>
    <w:p w14:paraId="0F40B98B" w14:textId="77777777" w:rsidR="003A7149" w:rsidRPr="00575E09" w:rsidRDefault="003A7149" w:rsidP="35BE6F9A">
      <w:pPr>
        <w:widowControl w:val="0"/>
        <w:tabs>
          <w:tab w:val="left" w:pos="-734"/>
          <w:tab w:val="left" w:pos="544"/>
          <w:tab w:val="left" w:pos="814"/>
        </w:tabs>
        <w:rPr>
          <w:szCs w:val="24"/>
        </w:rPr>
      </w:pPr>
    </w:p>
    <w:p w14:paraId="7F247117" w14:textId="55B4AC3E" w:rsidR="0052424A" w:rsidRPr="00575E09" w:rsidRDefault="0052424A" w:rsidP="35BE6F9A">
      <w:pPr>
        <w:widowControl w:val="0"/>
        <w:tabs>
          <w:tab w:val="left" w:pos="-734"/>
          <w:tab w:val="left" w:pos="544"/>
          <w:tab w:val="left" w:pos="814"/>
        </w:tabs>
        <w:rPr>
          <w:szCs w:val="24"/>
        </w:rPr>
      </w:pPr>
      <w:r w:rsidRPr="00575E09">
        <w:rPr>
          <w:szCs w:val="24"/>
        </w:rPr>
        <w:t xml:space="preserve">These revisions should significantly improve the data quality which will enable ACF to conduct more accurate analysis and provide national level conclusions in its Annual Report to Congress about the variances in how each grantee administers their program.  </w:t>
      </w:r>
    </w:p>
    <w:p w14:paraId="6A7EC937" w14:textId="77777777" w:rsidR="0052424A" w:rsidRPr="00575E09" w:rsidRDefault="0052424A" w:rsidP="35BE6F9A">
      <w:pPr>
        <w:widowControl w:val="0"/>
        <w:tabs>
          <w:tab w:val="left" w:pos="-734"/>
          <w:tab w:val="left" w:pos="544"/>
          <w:tab w:val="left" w:pos="814"/>
        </w:tabs>
        <w:rPr>
          <w:szCs w:val="24"/>
        </w:rPr>
      </w:pPr>
    </w:p>
    <w:p w14:paraId="7B745A4F" w14:textId="44DF770D" w:rsidR="00087BDC" w:rsidRPr="00575E09" w:rsidRDefault="0052424A" w:rsidP="35BE6F9A">
      <w:pPr>
        <w:widowControl w:val="0"/>
        <w:tabs>
          <w:tab w:val="left" w:pos="-734"/>
          <w:tab w:val="left" w:pos="544"/>
          <w:tab w:val="left" w:pos="814"/>
        </w:tabs>
        <w:rPr>
          <w:szCs w:val="24"/>
        </w:rPr>
      </w:pPr>
      <w:r w:rsidRPr="00575E09">
        <w:rPr>
          <w:szCs w:val="24"/>
        </w:rPr>
        <w:t>No demographic changes have occurred.</w:t>
      </w:r>
    </w:p>
    <w:p w14:paraId="1CFA2EBB" w14:textId="77777777" w:rsidR="0052424A" w:rsidRPr="00575E09" w:rsidRDefault="0052424A" w:rsidP="35BE6F9A">
      <w:pPr>
        <w:widowControl w:val="0"/>
        <w:tabs>
          <w:tab w:val="left" w:pos="-734"/>
          <w:tab w:val="left" w:pos="544"/>
          <w:tab w:val="left" w:pos="814"/>
        </w:tabs>
        <w:rPr>
          <w:szCs w:val="24"/>
        </w:rPr>
      </w:pPr>
    </w:p>
    <w:p w14:paraId="5E475235" w14:textId="004BEF1F" w:rsidR="0052424A" w:rsidRPr="00575E09" w:rsidRDefault="0052424A" w:rsidP="35BE6F9A">
      <w:pPr>
        <w:widowControl w:val="0"/>
        <w:tabs>
          <w:tab w:val="left" w:pos="-734"/>
          <w:tab w:val="left" w:pos="544"/>
          <w:tab w:val="left" w:pos="814"/>
        </w:tabs>
        <w:rPr>
          <w:szCs w:val="24"/>
        </w:rPr>
      </w:pPr>
      <w:r w:rsidRPr="00575E09">
        <w:rPr>
          <w:szCs w:val="24"/>
        </w:rPr>
        <w:t xml:space="preserve">Burden estimates have been revised to reflect the merging of the two documents and the reduced </w:t>
      </w:r>
      <w:r w:rsidRPr="00575E09">
        <w:rPr>
          <w:szCs w:val="24"/>
        </w:rPr>
        <w:lastRenderedPageBreak/>
        <w:t>burden by the improved format and electronic features (such as pre-population of prior year data).</w:t>
      </w:r>
    </w:p>
    <w:p w14:paraId="7B745A50" w14:textId="77777777" w:rsidR="00532F17" w:rsidRPr="00575E09" w:rsidRDefault="00532F17" w:rsidP="35BE6F9A">
      <w:pPr>
        <w:widowControl w:val="0"/>
        <w:tabs>
          <w:tab w:val="left" w:pos="-734"/>
          <w:tab w:val="left" w:pos="544"/>
          <w:tab w:val="left" w:pos="814"/>
        </w:tabs>
        <w:spacing w:line="215" w:lineRule="exact"/>
        <w:ind w:left="544"/>
        <w:rPr>
          <w:szCs w:val="24"/>
        </w:rPr>
      </w:pPr>
    </w:p>
    <w:p w14:paraId="7B745A51" w14:textId="77777777" w:rsidR="00532F17" w:rsidRPr="00575E09" w:rsidRDefault="00532F17" w:rsidP="35BE6F9A">
      <w:pPr>
        <w:widowControl w:val="0"/>
        <w:tabs>
          <w:tab w:val="left" w:pos="-734"/>
          <w:tab w:val="left" w:pos="544"/>
          <w:tab w:val="left" w:pos="814"/>
        </w:tabs>
        <w:ind w:left="547" w:hanging="547"/>
        <w:rPr>
          <w:b/>
          <w:szCs w:val="24"/>
        </w:rPr>
      </w:pPr>
      <w:r w:rsidRPr="00575E09">
        <w:rPr>
          <w:b/>
          <w:szCs w:val="24"/>
        </w:rPr>
        <w:t>16.</w:t>
      </w:r>
      <w:r w:rsidRPr="00575E09">
        <w:rPr>
          <w:b/>
          <w:szCs w:val="24"/>
        </w:rPr>
        <w:tab/>
        <w:t>Plans for Tabulation and Publication and Project Time Schedule</w:t>
      </w:r>
    </w:p>
    <w:p w14:paraId="7B745A52" w14:textId="77777777" w:rsidR="00532F17" w:rsidRPr="00575E09" w:rsidRDefault="00532F17" w:rsidP="35BE6F9A">
      <w:pPr>
        <w:widowControl w:val="0"/>
        <w:tabs>
          <w:tab w:val="left" w:pos="-734"/>
          <w:tab w:val="left" w:pos="547"/>
          <w:tab w:val="left" w:pos="1080"/>
        </w:tabs>
        <w:rPr>
          <w:szCs w:val="24"/>
        </w:rPr>
      </w:pPr>
    </w:p>
    <w:p w14:paraId="7B745A53" w14:textId="7029F65D" w:rsidR="00445C63" w:rsidRPr="00575E09" w:rsidRDefault="004B7C2B" w:rsidP="35BE6F9A">
      <w:pPr>
        <w:widowControl w:val="0"/>
        <w:tabs>
          <w:tab w:val="left" w:pos="-734"/>
          <w:tab w:val="left" w:pos="547"/>
          <w:tab w:val="left" w:pos="1080"/>
        </w:tabs>
        <w:rPr>
          <w:szCs w:val="24"/>
        </w:rPr>
      </w:pPr>
      <w:r w:rsidRPr="00575E09">
        <w:rPr>
          <w:szCs w:val="24"/>
        </w:rPr>
        <w:t xml:space="preserve">The OLDC system will generate a PDF file of the Plan that will be published on the LIHEAP Clearinghouse web site (a federally funded site) during the winter following the Plan due date, typically the following January.  </w:t>
      </w:r>
    </w:p>
    <w:p w14:paraId="7B745A54" w14:textId="77777777" w:rsidR="009A5B14" w:rsidRPr="00575E09" w:rsidRDefault="009A5B14" w:rsidP="35BE6F9A">
      <w:pPr>
        <w:widowControl w:val="0"/>
        <w:tabs>
          <w:tab w:val="left" w:pos="-734"/>
          <w:tab w:val="left" w:pos="547"/>
          <w:tab w:val="left" w:pos="1080"/>
        </w:tabs>
        <w:rPr>
          <w:szCs w:val="24"/>
        </w:rPr>
      </w:pPr>
    </w:p>
    <w:p w14:paraId="7B745A55" w14:textId="77777777" w:rsidR="00532F17" w:rsidRPr="00575E09" w:rsidRDefault="00532F17" w:rsidP="35BE6F9A">
      <w:pPr>
        <w:widowControl w:val="0"/>
        <w:tabs>
          <w:tab w:val="left" w:pos="-734"/>
          <w:tab w:val="left" w:pos="544"/>
          <w:tab w:val="left" w:pos="814"/>
        </w:tabs>
        <w:ind w:left="562" w:hanging="562"/>
        <w:rPr>
          <w:b/>
          <w:szCs w:val="24"/>
        </w:rPr>
      </w:pPr>
      <w:r w:rsidRPr="00575E09">
        <w:rPr>
          <w:b/>
          <w:szCs w:val="24"/>
        </w:rPr>
        <w:t>17.</w:t>
      </w:r>
      <w:r w:rsidRPr="00575E09">
        <w:rPr>
          <w:b/>
          <w:szCs w:val="24"/>
        </w:rPr>
        <w:tab/>
        <w:t>Reason(s) Display of OMB Expiration Date is Inappropriate</w:t>
      </w:r>
    </w:p>
    <w:p w14:paraId="7B745A56" w14:textId="77777777" w:rsidR="00532F17" w:rsidRPr="00575E09" w:rsidRDefault="00532F17" w:rsidP="35BE6F9A">
      <w:pPr>
        <w:widowControl w:val="0"/>
        <w:tabs>
          <w:tab w:val="left" w:pos="-734"/>
          <w:tab w:val="left" w:pos="544"/>
          <w:tab w:val="left" w:pos="814"/>
        </w:tabs>
        <w:rPr>
          <w:szCs w:val="24"/>
        </w:rPr>
      </w:pPr>
    </w:p>
    <w:p w14:paraId="7B745A57" w14:textId="14DD3860" w:rsidR="00532F17" w:rsidRPr="00575E09" w:rsidRDefault="00E72385" w:rsidP="35BE6F9A">
      <w:pPr>
        <w:widowControl w:val="0"/>
        <w:tabs>
          <w:tab w:val="left" w:pos="-734"/>
          <w:tab w:val="left" w:pos="544"/>
          <w:tab w:val="left" w:pos="814"/>
        </w:tabs>
        <w:rPr>
          <w:szCs w:val="24"/>
        </w:rPr>
      </w:pPr>
      <w:r w:rsidRPr="00575E09">
        <w:rPr>
          <w:szCs w:val="24"/>
        </w:rPr>
        <w:fldChar w:fldCharType="begin"/>
      </w:r>
      <w:r w:rsidR="00532F17" w:rsidRPr="00575E09">
        <w:rPr>
          <w:szCs w:val="24"/>
        </w:rPr>
        <w:instrText xml:space="preserve"> ADVANCE \u 4</w:instrText>
      </w:r>
      <w:r w:rsidRPr="00575E09">
        <w:rPr>
          <w:szCs w:val="24"/>
        </w:rPr>
        <w:fldChar w:fldCharType="end"/>
      </w:r>
      <w:r w:rsidR="004B7C2B" w:rsidRPr="00575E09">
        <w:t xml:space="preserve"> The OMB approval number and expiration date will be clearly displayed</w:t>
      </w:r>
      <w:r w:rsidR="00647E3A" w:rsidRPr="00575E09">
        <w:t xml:space="preserve"> on the front page of the </w:t>
      </w:r>
      <w:r w:rsidR="004B7C2B" w:rsidRPr="00575E09">
        <w:t>Plan and action transmittals relating to application requirements.  The information required in section 1320.8(3) in the regulation also will be displayed on the front page of the document.</w:t>
      </w:r>
    </w:p>
    <w:p w14:paraId="7B745A58" w14:textId="77777777" w:rsidR="00F27C24" w:rsidRPr="00575E09" w:rsidRDefault="00F27C24" w:rsidP="35BE6F9A">
      <w:pPr>
        <w:widowControl w:val="0"/>
        <w:tabs>
          <w:tab w:val="left" w:pos="-734"/>
          <w:tab w:val="left" w:pos="544"/>
          <w:tab w:val="left" w:pos="814"/>
        </w:tabs>
        <w:rPr>
          <w:szCs w:val="24"/>
        </w:rPr>
      </w:pPr>
    </w:p>
    <w:p w14:paraId="7B745A59" w14:textId="77777777" w:rsidR="00532F17" w:rsidRPr="00575E09" w:rsidRDefault="00532F17" w:rsidP="35BE6F9A">
      <w:pPr>
        <w:widowControl w:val="0"/>
        <w:tabs>
          <w:tab w:val="left" w:pos="-734"/>
          <w:tab w:val="left" w:pos="544"/>
          <w:tab w:val="left" w:pos="814"/>
        </w:tabs>
        <w:rPr>
          <w:b/>
          <w:szCs w:val="24"/>
        </w:rPr>
      </w:pPr>
      <w:r w:rsidRPr="00575E09">
        <w:rPr>
          <w:b/>
          <w:szCs w:val="24"/>
        </w:rPr>
        <w:t>18.</w:t>
      </w:r>
      <w:r w:rsidRPr="00575E09">
        <w:rPr>
          <w:b/>
          <w:szCs w:val="24"/>
        </w:rPr>
        <w:tab/>
        <w:t>Exceptions to Certification for Paperwork Reduction Act Submission</w:t>
      </w:r>
    </w:p>
    <w:p w14:paraId="7B745A5A" w14:textId="77777777" w:rsidR="00532F17" w:rsidRPr="00575E09" w:rsidRDefault="00532F17" w:rsidP="35BE6F9A">
      <w:pPr>
        <w:widowControl w:val="0"/>
        <w:tabs>
          <w:tab w:val="left" w:pos="-734"/>
          <w:tab w:val="left" w:pos="544"/>
          <w:tab w:val="left" w:pos="814"/>
        </w:tabs>
        <w:rPr>
          <w:szCs w:val="24"/>
        </w:rPr>
      </w:pPr>
    </w:p>
    <w:p w14:paraId="7B745A5B" w14:textId="77777777" w:rsidR="00B45E24" w:rsidRPr="00575E09" w:rsidRDefault="00B45E24" w:rsidP="35BE6F9A">
      <w:pPr>
        <w:widowControl w:val="0"/>
        <w:tabs>
          <w:tab w:val="left" w:pos="-734"/>
          <w:tab w:val="left" w:pos="544"/>
          <w:tab w:val="left" w:pos="814"/>
        </w:tabs>
        <w:rPr>
          <w:szCs w:val="24"/>
        </w:rPr>
      </w:pPr>
      <w:r w:rsidRPr="00575E09">
        <w:rPr>
          <w:szCs w:val="24"/>
        </w:rPr>
        <w:t>None.</w:t>
      </w:r>
    </w:p>
    <w:p w14:paraId="7B745A5C" w14:textId="77777777" w:rsidR="00532F17" w:rsidRPr="00575E09" w:rsidRDefault="00532F17" w:rsidP="35BE6F9A">
      <w:pPr>
        <w:widowControl w:val="0"/>
        <w:tabs>
          <w:tab w:val="left" w:pos="-734"/>
          <w:tab w:val="left" w:pos="544"/>
          <w:tab w:val="left" w:pos="814"/>
        </w:tabs>
        <w:ind w:left="562" w:hanging="562"/>
        <w:rPr>
          <w:szCs w:val="24"/>
        </w:rPr>
      </w:pPr>
    </w:p>
    <w:p w14:paraId="7B745A5D" w14:textId="77777777" w:rsidR="00170EE7" w:rsidRPr="00575E09" w:rsidRDefault="00532F17" w:rsidP="35BE6F9A">
      <w:pPr>
        <w:widowControl w:val="0"/>
        <w:tabs>
          <w:tab w:val="left" w:pos="918"/>
          <w:tab w:val="left" w:pos="1188"/>
        </w:tabs>
        <w:rPr>
          <w:b/>
          <w:szCs w:val="24"/>
        </w:rPr>
      </w:pPr>
      <w:r w:rsidRPr="00575E09">
        <w:rPr>
          <w:b/>
          <w:szCs w:val="24"/>
        </w:rPr>
        <w:t>B.  Collection of Information Employing Statistical Methods</w:t>
      </w:r>
      <w:r w:rsidR="0014562B" w:rsidRPr="00575E09">
        <w:rPr>
          <w:b/>
          <w:szCs w:val="24"/>
        </w:rPr>
        <w:t xml:space="preserve"> </w:t>
      </w:r>
    </w:p>
    <w:p w14:paraId="7B745A5E" w14:textId="77777777" w:rsidR="00170EE7" w:rsidRPr="00575E09" w:rsidRDefault="00170EE7" w:rsidP="35BE6F9A">
      <w:pPr>
        <w:widowControl w:val="0"/>
        <w:tabs>
          <w:tab w:val="left" w:pos="918"/>
          <w:tab w:val="left" w:pos="1188"/>
        </w:tabs>
        <w:rPr>
          <w:b/>
          <w:szCs w:val="24"/>
        </w:rPr>
      </w:pPr>
    </w:p>
    <w:p w14:paraId="7B745A5F" w14:textId="77777777" w:rsidR="006D6E9D" w:rsidRPr="00F42D85" w:rsidRDefault="00445C63" w:rsidP="35BE6F9A">
      <w:pPr>
        <w:widowControl w:val="0"/>
        <w:tabs>
          <w:tab w:val="left" w:pos="918"/>
          <w:tab w:val="left" w:pos="1188"/>
        </w:tabs>
        <w:rPr>
          <w:szCs w:val="24"/>
        </w:rPr>
      </w:pPr>
      <w:r w:rsidRPr="00575E09">
        <w:rPr>
          <w:szCs w:val="24"/>
        </w:rPr>
        <w:t>None.</w:t>
      </w:r>
      <w:r w:rsidR="006D6E9D" w:rsidRPr="00F42D85">
        <w:rPr>
          <w:szCs w:val="24"/>
        </w:rPr>
        <w:t xml:space="preserve"> </w:t>
      </w:r>
      <w:bookmarkStart w:id="0" w:name="_GoBack"/>
      <w:bookmarkEnd w:id="0"/>
    </w:p>
    <w:sectPr w:rsidR="006D6E9D" w:rsidRPr="00F42D85" w:rsidSect="000810FA">
      <w:headerReference w:type="even" r:id="rId11"/>
      <w:headerReference w:type="default" r:id="rId12"/>
      <w:footerReference w:type="even" r:id="rId13"/>
      <w:endnotePr>
        <w:numFmt w:val="lowerLetter"/>
      </w:endnotePr>
      <w:pgSz w:w="12240" w:h="15840" w:code="1"/>
      <w:pgMar w:top="1440" w:right="1440" w:bottom="1440" w:left="1440"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45A62" w14:textId="77777777" w:rsidR="000156B3" w:rsidRDefault="000156B3">
      <w:r>
        <w:separator/>
      </w:r>
    </w:p>
  </w:endnote>
  <w:endnote w:type="continuationSeparator" w:id="0">
    <w:p w14:paraId="7B745A63" w14:textId="77777777" w:rsidR="000156B3" w:rsidRDefault="0001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A68" w14:textId="77777777" w:rsidR="00E52408" w:rsidRDefault="00E72385" w:rsidP="00532F17">
    <w:pPr>
      <w:pStyle w:val="Footer"/>
      <w:framePr w:wrap="around" w:vAnchor="text" w:hAnchor="margin" w:xAlign="right" w:y="1"/>
      <w:rPr>
        <w:rStyle w:val="PageNumber"/>
      </w:rPr>
    </w:pPr>
    <w:r>
      <w:rPr>
        <w:rStyle w:val="PageNumber"/>
      </w:rPr>
      <w:fldChar w:fldCharType="begin"/>
    </w:r>
    <w:r w:rsidR="00E52408">
      <w:rPr>
        <w:rStyle w:val="PageNumber"/>
      </w:rPr>
      <w:instrText xml:space="preserve">PAGE  </w:instrText>
    </w:r>
    <w:r>
      <w:rPr>
        <w:rStyle w:val="PageNumber"/>
      </w:rPr>
      <w:fldChar w:fldCharType="separate"/>
    </w:r>
    <w:r w:rsidR="00E52408">
      <w:rPr>
        <w:rStyle w:val="PageNumber"/>
        <w:noProof/>
      </w:rPr>
      <w:t>12</w:t>
    </w:r>
    <w:r>
      <w:rPr>
        <w:rStyle w:val="PageNumber"/>
      </w:rPr>
      <w:fldChar w:fldCharType="end"/>
    </w:r>
  </w:p>
  <w:p w14:paraId="7B745A69" w14:textId="77777777" w:rsidR="00E52408" w:rsidRDefault="00E52408" w:rsidP="00532F17">
    <w:pPr>
      <w:widowControl w:val="0"/>
      <w:tabs>
        <w:tab w:val="left" w:pos="346"/>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45A60" w14:textId="77777777" w:rsidR="000156B3" w:rsidRDefault="000156B3">
      <w:r>
        <w:separator/>
      </w:r>
    </w:p>
  </w:footnote>
  <w:footnote w:type="continuationSeparator" w:id="0">
    <w:p w14:paraId="7B745A61" w14:textId="77777777" w:rsidR="000156B3" w:rsidRDefault="00015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A64" w14:textId="77777777" w:rsidR="00E52408" w:rsidRDefault="00E52408" w:rsidP="00532F17">
    <w:pPr>
      <w:framePr w:w="9360" w:h="210" w:hRule="exact" w:wrap="notBeside" w:vAnchor="page" w:hAnchor="text" w:y="1008"/>
      <w:widowControl w:val="0"/>
      <w:tabs>
        <w:tab w:val="left" w:pos="346"/>
      </w:tabs>
      <w:spacing w:line="0" w:lineRule="atLeast"/>
      <w:ind w:right="360"/>
      <w:jc w:val="right"/>
      <w:rPr>
        <w:vanish/>
      </w:rPr>
    </w:pPr>
    <w:r>
      <w:rPr>
        <w:rFonts w:ascii="Arial" w:hAnsi="Arial"/>
        <w:color w:val="000000"/>
        <w:sz w:val="18"/>
      </w:rPr>
      <w:pgNum/>
    </w:r>
  </w:p>
  <w:p w14:paraId="7B745A65" w14:textId="77777777" w:rsidR="00E52408" w:rsidRDefault="00E52408" w:rsidP="00532F17">
    <w:pPr>
      <w:widowControl w:val="0"/>
      <w:tabs>
        <w:tab w:val="left" w:pos="34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A66" w14:textId="77777777" w:rsidR="00E52408" w:rsidRPr="007651D5" w:rsidRDefault="00E72385" w:rsidP="00532F17">
    <w:pPr>
      <w:pStyle w:val="Header"/>
      <w:framePr w:wrap="around" w:vAnchor="text" w:hAnchor="margin" w:xAlign="right" w:y="1"/>
      <w:rPr>
        <w:rStyle w:val="PageNumber"/>
        <w:sz w:val="18"/>
        <w:szCs w:val="16"/>
      </w:rPr>
    </w:pPr>
    <w:r w:rsidRPr="007651D5">
      <w:rPr>
        <w:rStyle w:val="PageNumber"/>
        <w:sz w:val="18"/>
        <w:szCs w:val="16"/>
      </w:rPr>
      <w:fldChar w:fldCharType="begin"/>
    </w:r>
    <w:r w:rsidR="00E52408" w:rsidRPr="007651D5">
      <w:rPr>
        <w:rStyle w:val="PageNumber"/>
        <w:sz w:val="18"/>
        <w:szCs w:val="16"/>
      </w:rPr>
      <w:instrText xml:space="preserve">PAGE  </w:instrText>
    </w:r>
    <w:r w:rsidRPr="007651D5">
      <w:rPr>
        <w:rStyle w:val="PageNumber"/>
        <w:sz w:val="18"/>
        <w:szCs w:val="16"/>
      </w:rPr>
      <w:fldChar w:fldCharType="separate"/>
    </w:r>
    <w:r w:rsidR="00575E09">
      <w:rPr>
        <w:rStyle w:val="PageNumber"/>
        <w:noProof/>
        <w:sz w:val="18"/>
        <w:szCs w:val="16"/>
      </w:rPr>
      <w:t>8</w:t>
    </w:r>
    <w:r w:rsidRPr="007651D5">
      <w:rPr>
        <w:rStyle w:val="PageNumber"/>
        <w:sz w:val="18"/>
        <w:szCs w:val="16"/>
      </w:rPr>
      <w:fldChar w:fldCharType="end"/>
    </w:r>
  </w:p>
  <w:p w14:paraId="7B745A67" w14:textId="77777777" w:rsidR="00E52408" w:rsidRPr="00946166" w:rsidRDefault="00E52408" w:rsidP="00532F17">
    <w:pPr>
      <w:pStyle w:val="Header"/>
      <w:ind w:right="360"/>
      <w:rPr>
        <w:rFonts w:ascii="Arial" w:hAnsi="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1765"/>
    <w:multiLevelType w:val="hybridMultilevel"/>
    <w:tmpl w:val="7D7439C8"/>
    <w:lvl w:ilvl="0" w:tplc="04090001">
      <w:start w:val="1"/>
      <w:numFmt w:val="bullet"/>
      <w:lvlText w:val=""/>
      <w:lvlJc w:val="left"/>
      <w:pPr>
        <w:tabs>
          <w:tab w:val="num" w:pos="908"/>
        </w:tabs>
        <w:ind w:left="908" w:hanging="360"/>
      </w:pPr>
      <w:rPr>
        <w:rFonts w:ascii="Symbol" w:hAnsi="Symbol" w:hint="default"/>
      </w:rPr>
    </w:lvl>
    <w:lvl w:ilvl="1" w:tplc="04090003" w:tentative="1">
      <w:start w:val="1"/>
      <w:numFmt w:val="bullet"/>
      <w:lvlText w:val="o"/>
      <w:lvlJc w:val="left"/>
      <w:pPr>
        <w:tabs>
          <w:tab w:val="num" w:pos="1628"/>
        </w:tabs>
        <w:ind w:left="1628" w:hanging="360"/>
      </w:pPr>
      <w:rPr>
        <w:rFonts w:ascii="Courier New" w:hAnsi="Courier New" w:cs="Courier New"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1">
    <w:nsid w:val="00630692"/>
    <w:multiLevelType w:val="hybridMultilevel"/>
    <w:tmpl w:val="D6BA49D0"/>
    <w:lvl w:ilvl="0" w:tplc="A2AAEFA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B6AF7"/>
    <w:multiLevelType w:val="hybridMultilevel"/>
    <w:tmpl w:val="93A00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F0370"/>
    <w:multiLevelType w:val="hybridMultilevel"/>
    <w:tmpl w:val="C67CFFC8"/>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4">
    <w:nsid w:val="086D7968"/>
    <w:multiLevelType w:val="hybridMultilevel"/>
    <w:tmpl w:val="D180BD6A"/>
    <w:lvl w:ilvl="0" w:tplc="FDF65DE2">
      <w:start w:val="1"/>
      <w:numFmt w:val="bullet"/>
      <w:lvlText w:val="•"/>
      <w:lvlJc w:val="left"/>
      <w:pPr>
        <w:tabs>
          <w:tab w:val="num" w:pos="720"/>
        </w:tabs>
        <w:ind w:left="720" w:hanging="360"/>
      </w:pPr>
      <w:rPr>
        <w:rFonts w:ascii="Arial" w:hAnsi="Arial" w:hint="default"/>
      </w:rPr>
    </w:lvl>
    <w:lvl w:ilvl="1" w:tplc="023AE1F6">
      <w:start w:val="1"/>
      <w:numFmt w:val="bullet"/>
      <w:lvlText w:val="•"/>
      <w:lvlJc w:val="left"/>
      <w:pPr>
        <w:tabs>
          <w:tab w:val="num" w:pos="1440"/>
        </w:tabs>
        <w:ind w:left="1440" w:hanging="360"/>
      </w:pPr>
      <w:rPr>
        <w:rFonts w:ascii="Arial" w:hAnsi="Arial" w:hint="default"/>
      </w:rPr>
    </w:lvl>
    <w:lvl w:ilvl="2" w:tplc="5016C6DC" w:tentative="1">
      <w:start w:val="1"/>
      <w:numFmt w:val="bullet"/>
      <w:lvlText w:val="•"/>
      <w:lvlJc w:val="left"/>
      <w:pPr>
        <w:tabs>
          <w:tab w:val="num" w:pos="2160"/>
        </w:tabs>
        <w:ind w:left="2160" w:hanging="360"/>
      </w:pPr>
      <w:rPr>
        <w:rFonts w:ascii="Arial" w:hAnsi="Arial" w:hint="default"/>
      </w:rPr>
    </w:lvl>
    <w:lvl w:ilvl="3" w:tplc="6F6CE776" w:tentative="1">
      <w:start w:val="1"/>
      <w:numFmt w:val="bullet"/>
      <w:lvlText w:val="•"/>
      <w:lvlJc w:val="left"/>
      <w:pPr>
        <w:tabs>
          <w:tab w:val="num" w:pos="2880"/>
        </w:tabs>
        <w:ind w:left="2880" w:hanging="360"/>
      </w:pPr>
      <w:rPr>
        <w:rFonts w:ascii="Arial" w:hAnsi="Arial" w:hint="default"/>
      </w:rPr>
    </w:lvl>
    <w:lvl w:ilvl="4" w:tplc="3D7E8964" w:tentative="1">
      <w:start w:val="1"/>
      <w:numFmt w:val="bullet"/>
      <w:lvlText w:val="•"/>
      <w:lvlJc w:val="left"/>
      <w:pPr>
        <w:tabs>
          <w:tab w:val="num" w:pos="3600"/>
        </w:tabs>
        <w:ind w:left="3600" w:hanging="360"/>
      </w:pPr>
      <w:rPr>
        <w:rFonts w:ascii="Arial" w:hAnsi="Arial" w:hint="default"/>
      </w:rPr>
    </w:lvl>
    <w:lvl w:ilvl="5" w:tplc="3ACC331C" w:tentative="1">
      <w:start w:val="1"/>
      <w:numFmt w:val="bullet"/>
      <w:lvlText w:val="•"/>
      <w:lvlJc w:val="left"/>
      <w:pPr>
        <w:tabs>
          <w:tab w:val="num" w:pos="4320"/>
        </w:tabs>
        <w:ind w:left="4320" w:hanging="360"/>
      </w:pPr>
      <w:rPr>
        <w:rFonts w:ascii="Arial" w:hAnsi="Arial" w:hint="default"/>
      </w:rPr>
    </w:lvl>
    <w:lvl w:ilvl="6" w:tplc="274E4B1A" w:tentative="1">
      <w:start w:val="1"/>
      <w:numFmt w:val="bullet"/>
      <w:lvlText w:val="•"/>
      <w:lvlJc w:val="left"/>
      <w:pPr>
        <w:tabs>
          <w:tab w:val="num" w:pos="5040"/>
        </w:tabs>
        <w:ind w:left="5040" w:hanging="360"/>
      </w:pPr>
      <w:rPr>
        <w:rFonts w:ascii="Arial" w:hAnsi="Arial" w:hint="default"/>
      </w:rPr>
    </w:lvl>
    <w:lvl w:ilvl="7" w:tplc="88BE7730" w:tentative="1">
      <w:start w:val="1"/>
      <w:numFmt w:val="bullet"/>
      <w:lvlText w:val="•"/>
      <w:lvlJc w:val="left"/>
      <w:pPr>
        <w:tabs>
          <w:tab w:val="num" w:pos="5760"/>
        </w:tabs>
        <w:ind w:left="5760" w:hanging="360"/>
      </w:pPr>
      <w:rPr>
        <w:rFonts w:ascii="Arial" w:hAnsi="Arial" w:hint="default"/>
      </w:rPr>
    </w:lvl>
    <w:lvl w:ilvl="8" w:tplc="CA2A271A" w:tentative="1">
      <w:start w:val="1"/>
      <w:numFmt w:val="bullet"/>
      <w:lvlText w:val="•"/>
      <w:lvlJc w:val="left"/>
      <w:pPr>
        <w:tabs>
          <w:tab w:val="num" w:pos="6480"/>
        </w:tabs>
        <w:ind w:left="6480" w:hanging="360"/>
      </w:pPr>
      <w:rPr>
        <w:rFonts w:ascii="Arial" w:hAnsi="Arial" w:hint="default"/>
      </w:rPr>
    </w:lvl>
  </w:abstractNum>
  <w:abstractNum w:abstractNumId="5">
    <w:nsid w:val="0DD255C3"/>
    <w:multiLevelType w:val="hybridMultilevel"/>
    <w:tmpl w:val="CB7E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A13D4"/>
    <w:multiLevelType w:val="hybridMultilevel"/>
    <w:tmpl w:val="E49CB9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11871"/>
    <w:multiLevelType w:val="hybridMultilevel"/>
    <w:tmpl w:val="AC94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66851"/>
    <w:multiLevelType w:val="hybridMultilevel"/>
    <w:tmpl w:val="8D14CE3C"/>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9">
    <w:nsid w:val="2B5C3616"/>
    <w:multiLevelType w:val="hybridMultilevel"/>
    <w:tmpl w:val="4B4293C4"/>
    <w:lvl w:ilvl="0" w:tplc="04090001">
      <w:start w:val="1"/>
      <w:numFmt w:val="bullet"/>
      <w:lvlText w:val=""/>
      <w:lvlJc w:val="left"/>
      <w:pPr>
        <w:tabs>
          <w:tab w:val="num" w:pos="904"/>
        </w:tabs>
        <w:ind w:left="904" w:hanging="360"/>
      </w:pPr>
      <w:rPr>
        <w:rFonts w:ascii="Symbol" w:hAnsi="Symbol" w:hint="default"/>
      </w:rPr>
    </w:lvl>
    <w:lvl w:ilvl="1" w:tplc="E6E6934C">
      <w:start w:val="13"/>
      <w:numFmt w:val="decimal"/>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B952807"/>
    <w:multiLevelType w:val="hybridMultilevel"/>
    <w:tmpl w:val="BFBABE1A"/>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C451A7F"/>
    <w:multiLevelType w:val="hybridMultilevel"/>
    <w:tmpl w:val="6BFA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D2142"/>
    <w:multiLevelType w:val="hybridMultilevel"/>
    <w:tmpl w:val="5158F91C"/>
    <w:lvl w:ilvl="0" w:tplc="3BC2E6D8">
      <w:start w:val="1"/>
      <w:numFmt w:val="bullet"/>
      <w:lvlText w:val="•"/>
      <w:lvlJc w:val="left"/>
      <w:pPr>
        <w:tabs>
          <w:tab w:val="num" w:pos="720"/>
        </w:tabs>
        <w:ind w:left="720" w:hanging="360"/>
      </w:pPr>
      <w:rPr>
        <w:rFonts w:ascii="Arial" w:hAnsi="Arial" w:hint="default"/>
      </w:rPr>
    </w:lvl>
    <w:lvl w:ilvl="1" w:tplc="6E4CFA28">
      <w:start w:val="1"/>
      <w:numFmt w:val="bullet"/>
      <w:lvlText w:val="•"/>
      <w:lvlJc w:val="left"/>
      <w:pPr>
        <w:tabs>
          <w:tab w:val="num" w:pos="1440"/>
        </w:tabs>
        <w:ind w:left="1440" w:hanging="360"/>
      </w:pPr>
      <w:rPr>
        <w:rFonts w:ascii="Arial" w:hAnsi="Arial" w:hint="default"/>
      </w:rPr>
    </w:lvl>
    <w:lvl w:ilvl="2" w:tplc="7B4A398A" w:tentative="1">
      <w:start w:val="1"/>
      <w:numFmt w:val="bullet"/>
      <w:lvlText w:val="•"/>
      <w:lvlJc w:val="left"/>
      <w:pPr>
        <w:tabs>
          <w:tab w:val="num" w:pos="2160"/>
        </w:tabs>
        <w:ind w:left="2160" w:hanging="360"/>
      </w:pPr>
      <w:rPr>
        <w:rFonts w:ascii="Arial" w:hAnsi="Arial" w:hint="default"/>
      </w:rPr>
    </w:lvl>
    <w:lvl w:ilvl="3" w:tplc="D5EA1208" w:tentative="1">
      <w:start w:val="1"/>
      <w:numFmt w:val="bullet"/>
      <w:lvlText w:val="•"/>
      <w:lvlJc w:val="left"/>
      <w:pPr>
        <w:tabs>
          <w:tab w:val="num" w:pos="2880"/>
        </w:tabs>
        <w:ind w:left="2880" w:hanging="360"/>
      </w:pPr>
      <w:rPr>
        <w:rFonts w:ascii="Arial" w:hAnsi="Arial" w:hint="default"/>
      </w:rPr>
    </w:lvl>
    <w:lvl w:ilvl="4" w:tplc="09FC429E" w:tentative="1">
      <w:start w:val="1"/>
      <w:numFmt w:val="bullet"/>
      <w:lvlText w:val="•"/>
      <w:lvlJc w:val="left"/>
      <w:pPr>
        <w:tabs>
          <w:tab w:val="num" w:pos="3600"/>
        </w:tabs>
        <w:ind w:left="3600" w:hanging="360"/>
      </w:pPr>
      <w:rPr>
        <w:rFonts w:ascii="Arial" w:hAnsi="Arial" w:hint="default"/>
      </w:rPr>
    </w:lvl>
    <w:lvl w:ilvl="5" w:tplc="205826F2" w:tentative="1">
      <w:start w:val="1"/>
      <w:numFmt w:val="bullet"/>
      <w:lvlText w:val="•"/>
      <w:lvlJc w:val="left"/>
      <w:pPr>
        <w:tabs>
          <w:tab w:val="num" w:pos="4320"/>
        </w:tabs>
        <w:ind w:left="4320" w:hanging="360"/>
      </w:pPr>
      <w:rPr>
        <w:rFonts w:ascii="Arial" w:hAnsi="Arial" w:hint="default"/>
      </w:rPr>
    </w:lvl>
    <w:lvl w:ilvl="6" w:tplc="6EF05328" w:tentative="1">
      <w:start w:val="1"/>
      <w:numFmt w:val="bullet"/>
      <w:lvlText w:val="•"/>
      <w:lvlJc w:val="left"/>
      <w:pPr>
        <w:tabs>
          <w:tab w:val="num" w:pos="5040"/>
        </w:tabs>
        <w:ind w:left="5040" w:hanging="360"/>
      </w:pPr>
      <w:rPr>
        <w:rFonts w:ascii="Arial" w:hAnsi="Arial" w:hint="default"/>
      </w:rPr>
    </w:lvl>
    <w:lvl w:ilvl="7" w:tplc="8BC212E8" w:tentative="1">
      <w:start w:val="1"/>
      <w:numFmt w:val="bullet"/>
      <w:lvlText w:val="•"/>
      <w:lvlJc w:val="left"/>
      <w:pPr>
        <w:tabs>
          <w:tab w:val="num" w:pos="5760"/>
        </w:tabs>
        <w:ind w:left="5760" w:hanging="360"/>
      </w:pPr>
      <w:rPr>
        <w:rFonts w:ascii="Arial" w:hAnsi="Arial" w:hint="default"/>
      </w:rPr>
    </w:lvl>
    <w:lvl w:ilvl="8" w:tplc="AD96D762" w:tentative="1">
      <w:start w:val="1"/>
      <w:numFmt w:val="bullet"/>
      <w:lvlText w:val="•"/>
      <w:lvlJc w:val="left"/>
      <w:pPr>
        <w:tabs>
          <w:tab w:val="num" w:pos="6480"/>
        </w:tabs>
        <w:ind w:left="6480" w:hanging="360"/>
      </w:pPr>
      <w:rPr>
        <w:rFonts w:ascii="Arial" w:hAnsi="Arial" w:hint="default"/>
      </w:rPr>
    </w:lvl>
  </w:abstractNum>
  <w:abstractNum w:abstractNumId="13">
    <w:nsid w:val="2F7C5985"/>
    <w:multiLevelType w:val="hybridMultilevel"/>
    <w:tmpl w:val="1B7A7E12"/>
    <w:lvl w:ilvl="0" w:tplc="04090001">
      <w:start w:val="1"/>
      <w:numFmt w:val="bullet"/>
      <w:lvlText w:val=""/>
      <w:lvlJc w:val="left"/>
      <w:pPr>
        <w:tabs>
          <w:tab w:val="num" w:pos="904"/>
        </w:tabs>
        <w:ind w:left="90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
    <w:nsid w:val="32D96338"/>
    <w:multiLevelType w:val="hybridMultilevel"/>
    <w:tmpl w:val="6DC6A3BC"/>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15">
    <w:nsid w:val="33A02FFE"/>
    <w:multiLevelType w:val="hybridMultilevel"/>
    <w:tmpl w:val="A32E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291453"/>
    <w:multiLevelType w:val="hybridMultilevel"/>
    <w:tmpl w:val="230ABA48"/>
    <w:lvl w:ilvl="0" w:tplc="04090001">
      <w:start w:val="1"/>
      <w:numFmt w:val="bullet"/>
      <w:lvlText w:val=""/>
      <w:lvlJc w:val="left"/>
      <w:pPr>
        <w:tabs>
          <w:tab w:val="num" w:pos="908"/>
        </w:tabs>
        <w:ind w:left="908" w:hanging="360"/>
      </w:pPr>
      <w:rPr>
        <w:rFonts w:ascii="Symbol" w:hAnsi="Symbol" w:hint="default"/>
      </w:rPr>
    </w:lvl>
    <w:lvl w:ilvl="1" w:tplc="3092CB2C">
      <w:start w:val="1"/>
      <w:numFmt w:val="bullet"/>
      <w:lvlText w:val=""/>
      <w:lvlJc w:val="left"/>
      <w:pPr>
        <w:tabs>
          <w:tab w:val="num" w:pos="-892"/>
        </w:tabs>
        <w:ind w:left="1269" w:hanging="1"/>
      </w:pPr>
      <w:rPr>
        <w:rFonts w:ascii="Wingdings" w:hAnsi="Wingdings" w:cs="Times New Roman"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17">
    <w:nsid w:val="3758704E"/>
    <w:multiLevelType w:val="hybridMultilevel"/>
    <w:tmpl w:val="6C0EE742"/>
    <w:lvl w:ilvl="0" w:tplc="5D527102">
      <w:start w:val="1"/>
      <w:numFmt w:val="bullet"/>
      <w:lvlText w:val="•"/>
      <w:lvlJc w:val="left"/>
      <w:pPr>
        <w:tabs>
          <w:tab w:val="num" w:pos="720"/>
        </w:tabs>
        <w:ind w:left="720" w:hanging="360"/>
      </w:pPr>
      <w:rPr>
        <w:rFonts w:ascii="Arial" w:hAnsi="Arial" w:hint="default"/>
      </w:rPr>
    </w:lvl>
    <w:lvl w:ilvl="1" w:tplc="DA1ABD3E">
      <w:start w:val="1"/>
      <w:numFmt w:val="bullet"/>
      <w:lvlText w:val="•"/>
      <w:lvlJc w:val="left"/>
      <w:pPr>
        <w:tabs>
          <w:tab w:val="num" w:pos="1440"/>
        </w:tabs>
        <w:ind w:left="1440" w:hanging="360"/>
      </w:pPr>
      <w:rPr>
        <w:rFonts w:ascii="Arial" w:hAnsi="Arial" w:hint="default"/>
      </w:rPr>
    </w:lvl>
    <w:lvl w:ilvl="2" w:tplc="84BCB6F0" w:tentative="1">
      <w:start w:val="1"/>
      <w:numFmt w:val="bullet"/>
      <w:lvlText w:val="•"/>
      <w:lvlJc w:val="left"/>
      <w:pPr>
        <w:tabs>
          <w:tab w:val="num" w:pos="2160"/>
        </w:tabs>
        <w:ind w:left="2160" w:hanging="360"/>
      </w:pPr>
      <w:rPr>
        <w:rFonts w:ascii="Arial" w:hAnsi="Arial" w:hint="default"/>
      </w:rPr>
    </w:lvl>
    <w:lvl w:ilvl="3" w:tplc="C89EDB9E" w:tentative="1">
      <w:start w:val="1"/>
      <w:numFmt w:val="bullet"/>
      <w:lvlText w:val="•"/>
      <w:lvlJc w:val="left"/>
      <w:pPr>
        <w:tabs>
          <w:tab w:val="num" w:pos="2880"/>
        </w:tabs>
        <w:ind w:left="2880" w:hanging="360"/>
      </w:pPr>
      <w:rPr>
        <w:rFonts w:ascii="Arial" w:hAnsi="Arial" w:hint="default"/>
      </w:rPr>
    </w:lvl>
    <w:lvl w:ilvl="4" w:tplc="B70E1FA0" w:tentative="1">
      <w:start w:val="1"/>
      <w:numFmt w:val="bullet"/>
      <w:lvlText w:val="•"/>
      <w:lvlJc w:val="left"/>
      <w:pPr>
        <w:tabs>
          <w:tab w:val="num" w:pos="3600"/>
        </w:tabs>
        <w:ind w:left="3600" w:hanging="360"/>
      </w:pPr>
      <w:rPr>
        <w:rFonts w:ascii="Arial" w:hAnsi="Arial" w:hint="default"/>
      </w:rPr>
    </w:lvl>
    <w:lvl w:ilvl="5" w:tplc="8CB6BC4E" w:tentative="1">
      <w:start w:val="1"/>
      <w:numFmt w:val="bullet"/>
      <w:lvlText w:val="•"/>
      <w:lvlJc w:val="left"/>
      <w:pPr>
        <w:tabs>
          <w:tab w:val="num" w:pos="4320"/>
        </w:tabs>
        <w:ind w:left="4320" w:hanging="360"/>
      </w:pPr>
      <w:rPr>
        <w:rFonts w:ascii="Arial" w:hAnsi="Arial" w:hint="default"/>
      </w:rPr>
    </w:lvl>
    <w:lvl w:ilvl="6" w:tplc="A88C70F4" w:tentative="1">
      <w:start w:val="1"/>
      <w:numFmt w:val="bullet"/>
      <w:lvlText w:val="•"/>
      <w:lvlJc w:val="left"/>
      <w:pPr>
        <w:tabs>
          <w:tab w:val="num" w:pos="5040"/>
        </w:tabs>
        <w:ind w:left="5040" w:hanging="360"/>
      </w:pPr>
      <w:rPr>
        <w:rFonts w:ascii="Arial" w:hAnsi="Arial" w:hint="default"/>
      </w:rPr>
    </w:lvl>
    <w:lvl w:ilvl="7" w:tplc="BA54B59C" w:tentative="1">
      <w:start w:val="1"/>
      <w:numFmt w:val="bullet"/>
      <w:lvlText w:val="•"/>
      <w:lvlJc w:val="left"/>
      <w:pPr>
        <w:tabs>
          <w:tab w:val="num" w:pos="5760"/>
        </w:tabs>
        <w:ind w:left="5760" w:hanging="360"/>
      </w:pPr>
      <w:rPr>
        <w:rFonts w:ascii="Arial" w:hAnsi="Arial" w:hint="default"/>
      </w:rPr>
    </w:lvl>
    <w:lvl w:ilvl="8" w:tplc="A04C083C" w:tentative="1">
      <w:start w:val="1"/>
      <w:numFmt w:val="bullet"/>
      <w:lvlText w:val="•"/>
      <w:lvlJc w:val="left"/>
      <w:pPr>
        <w:tabs>
          <w:tab w:val="num" w:pos="6480"/>
        </w:tabs>
        <w:ind w:left="6480" w:hanging="360"/>
      </w:pPr>
      <w:rPr>
        <w:rFonts w:ascii="Arial" w:hAnsi="Arial" w:hint="default"/>
      </w:rPr>
    </w:lvl>
  </w:abstractNum>
  <w:abstractNum w:abstractNumId="18">
    <w:nsid w:val="37643CAF"/>
    <w:multiLevelType w:val="hybridMultilevel"/>
    <w:tmpl w:val="69A435A2"/>
    <w:lvl w:ilvl="0" w:tplc="B3D0D5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20">
    <w:nsid w:val="3D361320"/>
    <w:multiLevelType w:val="hybridMultilevel"/>
    <w:tmpl w:val="CA44308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FBE3064"/>
    <w:multiLevelType w:val="hybridMultilevel"/>
    <w:tmpl w:val="65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FB49DA"/>
    <w:multiLevelType w:val="hybridMultilevel"/>
    <w:tmpl w:val="C748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44B35"/>
    <w:multiLevelType w:val="hybridMultilevel"/>
    <w:tmpl w:val="D0FE3CA0"/>
    <w:lvl w:ilvl="0" w:tplc="15222722">
      <w:start w:val="1"/>
      <w:numFmt w:val="bullet"/>
      <w:lvlText w:val="•"/>
      <w:lvlJc w:val="left"/>
      <w:pPr>
        <w:tabs>
          <w:tab w:val="num" w:pos="720"/>
        </w:tabs>
        <w:ind w:left="720" w:hanging="360"/>
      </w:pPr>
      <w:rPr>
        <w:rFonts w:ascii="Arial" w:hAnsi="Arial" w:hint="default"/>
      </w:rPr>
    </w:lvl>
    <w:lvl w:ilvl="1" w:tplc="C71AAF3A">
      <w:start w:val="1"/>
      <w:numFmt w:val="bullet"/>
      <w:lvlText w:val="•"/>
      <w:lvlJc w:val="left"/>
      <w:pPr>
        <w:tabs>
          <w:tab w:val="num" w:pos="1440"/>
        </w:tabs>
        <w:ind w:left="1440" w:hanging="360"/>
      </w:pPr>
      <w:rPr>
        <w:rFonts w:ascii="Arial" w:hAnsi="Arial" w:hint="default"/>
      </w:rPr>
    </w:lvl>
    <w:lvl w:ilvl="2" w:tplc="D51AF9CE" w:tentative="1">
      <w:start w:val="1"/>
      <w:numFmt w:val="bullet"/>
      <w:lvlText w:val="•"/>
      <w:lvlJc w:val="left"/>
      <w:pPr>
        <w:tabs>
          <w:tab w:val="num" w:pos="2160"/>
        </w:tabs>
        <w:ind w:left="2160" w:hanging="360"/>
      </w:pPr>
      <w:rPr>
        <w:rFonts w:ascii="Arial" w:hAnsi="Arial" w:hint="default"/>
      </w:rPr>
    </w:lvl>
    <w:lvl w:ilvl="3" w:tplc="01A8FC7C" w:tentative="1">
      <w:start w:val="1"/>
      <w:numFmt w:val="bullet"/>
      <w:lvlText w:val="•"/>
      <w:lvlJc w:val="left"/>
      <w:pPr>
        <w:tabs>
          <w:tab w:val="num" w:pos="2880"/>
        </w:tabs>
        <w:ind w:left="2880" w:hanging="360"/>
      </w:pPr>
      <w:rPr>
        <w:rFonts w:ascii="Arial" w:hAnsi="Arial" w:hint="default"/>
      </w:rPr>
    </w:lvl>
    <w:lvl w:ilvl="4" w:tplc="C8865290" w:tentative="1">
      <w:start w:val="1"/>
      <w:numFmt w:val="bullet"/>
      <w:lvlText w:val="•"/>
      <w:lvlJc w:val="left"/>
      <w:pPr>
        <w:tabs>
          <w:tab w:val="num" w:pos="3600"/>
        </w:tabs>
        <w:ind w:left="3600" w:hanging="360"/>
      </w:pPr>
      <w:rPr>
        <w:rFonts w:ascii="Arial" w:hAnsi="Arial" w:hint="default"/>
      </w:rPr>
    </w:lvl>
    <w:lvl w:ilvl="5" w:tplc="DFEAA712" w:tentative="1">
      <w:start w:val="1"/>
      <w:numFmt w:val="bullet"/>
      <w:lvlText w:val="•"/>
      <w:lvlJc w:val="left"/>
      <w:pPr>
        <w:tabs>
          <w:tab w:val="num" w:pos="4320"/>
        </w:tabs>
        <w:ind w:left="4320" w:hanging="360"/>
      </w:pPr>
      <w:rPr>
        <w:rFonts w:ascii="Arial" w:hAnsi="Arial" w:hint="default"/>
      </w:rPr>
    </w:lvl>
    <w:lvl w:ilvl="6" w:tplc="EA28C09C" w:tentative="1">
      <w:start w:val="1"/>
      <w:numFmt w:val="bullet"/>
      <w:lvlText w:val="•"/>
      <w:lvlJc w:val="left"/>
      <w:pPr>
        <w:tabs>
          <w:tab w:val="num" w:pos="5040"/>
        </w:tabs>
        <w:ind w:left="5040" w:hanging="360"/>
      </w:pPr>
      <w:rPr>
        <w:rFonts w:ascii="Arial" w:hAnsi="Arial" w:hint="default"/>
      </w:rPr>
    </w:lvl>
    <w:lvl w:ilvl="7" w:tplc="AA26E7F6" w:tentative="1">
      <w:start w:val="1"/>
      <w:numFmt w:val="bullet"/>
      <w:lvlText w:val="•"/>
      <w:lvlJc w:val="left"/>
      <w:pPr>
        <w:tabs>
          <w:tab w:val="num" w:pos="5760"/>
        </w:tabs>
        <w:ind w:left="5760" w:hanging="360"/>
      </w:pPr>
      <w:rPr>
        <w:rFonts w:ascii="Arial" w:hAnsi="Arial" w:hint="default"/>
      </w:rPr>
    </w:lvl>
    <w:lvl w:ilvl="8" w:tplc="6978B696" w:tentative="1">
      <w:start w:val="1"/>
      <w:numFmt w:val="bullet"/>
      <w:lvlText w:val="•"/>
      <w:lvlJc w:val="left"/>
      <w:pPr>
        <w:tabs>
          <w:tab w:val="num" w:pos="6480"/>
        </w:tabs>
        <w:ind w:left="6480" w:hanging="360"/>
      </w:pPr>
      <w:rPr>
        <w:rFonts w:ascii="Arial" w:hAnsi="Arial" w:hint="default"/>
      </w:rPr>
    </w:lvl>
  </w:abstractNum>
  <w:abstractNum w:abstractNumId="24">
    <w:nsid w:val="47250982"/>
    <w:multiLevelType w:val="hybridMultilevel"/>
    <w:tmpl w:val="4D8C8984"/>
    <w:lvl w:ilvl="0" w:tplc="F7865EA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FE7ACA"/>
    <w:multiLevelType w:val="hybridMultilevel"/>
    <w:tmpl w:val="E2B6DCB0"/>
    <w:lvl w:ilvl="0" w:tplc="CA8E3FE4">
      <w:start w:val="1"/>
      <w:numFmt w:val="bullet"/>
      <w:lvlText w:val="•"/>
      <w:lvlJc w:val="left"/>
      <w:pPr>
        <w:tabs>
          <w:tab w:val="num" w:pos="720"/>
        </w:tabs>
        <w:ind w:left="720" w:hanging="360"/>
      </w:pPr>
      <w:rPr>
        <w:rFonts w:ascii="Arial" w:hAnsi="Arial" w:hint="default"/>
      </w:rPr>
    </w:lvl>
    <w:lvl w:ilvl="1" w:tplc="91722F32">
      <w:start w:val="1"/>
      <w:numFmt w:val="bullet"/>
      <w:lvlText w:val="•"/>
      <w:lvlJc w:val="left"/>
      <w:pPr>
        <w:tabs>
          <w:tab w:val="num" w:pos="1440"/>
        </w:tabs>
        <w:ind w:left="1440" w:hanging="360"/>
      </w:pPr>
      <w:rPr>
        <w:rFonts w:ascii="Arial" w:hAnsi="Arial" w:hint="default"/>
      </w:rPr>
    </w:lvl>
    <w:lvl w:ilvl="2" w:tplc="E86C03B2" w:tentative="1">
      <w:start w:val="1"/>
      <w:numFmt w:val="bullet"/>
      <w:lvlText w:val="•"/>
      <w:lvlJc w:val="left"/>
      <w:pPr>
        <w:tabs>
          <w:tab w:val="num" w:pos="2160"/>
        </w:tabs>
        <w:ind w:left="2160" w:hanging="360"/>
      </w:pPr>
      <w:rPr>
        <w:rFonts w:ascii="Arial" w:hAnsi="Arial" w:hint="default"/>
      </w:rPr>
    </w:lvl>
    <w:lvl w:ilvl="3" w:tplc="2D3E040A" w:tentative="1">
      <w:start w:val="1"/>
      <w:numFmt w:val="bullet"/>
      <w:lvlText w:val="•"/>
      <w:lvlJc w:val="left"/>
      <w:pPr>
        <w:tabs>
          <w:tab w:val="num" w:pos="2880"/>
        </w:tabs>
        <w:ind w:left="2880" w:hanging="360"/>
      </w:pPr>
      <w:rPr>
        <w:rFonts w:ascii="Arial" w:hAnsi="Arial" w:hint="default"/>
      </w:rPr>
    </w:lvl>
    <w:lvl w:ilvl="4" w:tplc="69101EDA" w:tentative="1">
      <w:start w:val="1"/>
      <w:numFmt w:val="bullet"/>
      <w:lvlText w:val="•"/>
      <w:lvlJc w:val="left"/>
      <w:pPr>
        <w:tabs>
          <w:tab w:val="num" w:pos="3600"/>
        </w:tabs>
        <w:ind w:left="3600" w:hanging="360"/>
      </w:pPr>
      <w:rPr>
        <w:rFonts w:ascii="Arial" w:hAnsi="Arial" w:hint="default"/>
      </w:rPr>
    </w:lvl>
    <w:lvl w:ilvl="5" w:tplc="FD80B65E" w:tentative="1">
      <w:start w:val="1"/>
      <w:numFmt w:val="bullet"/>
      <w:lvlText w:val="•"/>
      <w:lvlJc w:val="left"/>
      <w:pPr>
        <w:tabs>
          <w:tab w:val="num" w:pos="4320"/>
        </w:tabs>
        <w:ind w:left="4320" w:hanging="360"/>
      </w:pPr>
      <w:rPr>
        <w:rFonts w:ascii="Arial" w:hAnsi="Arial" w:hint="default"/>
      </w:rPr>
    </w:lvl>
    <w:lvl w:ilvl="6" w:tplc="A7AA9516" w:tentative="1">
      <w:start w:val="1"/>
      <w:numFmt w:val="bullet"/>
      <w:lvlText w:val="•"/>
      <w:lvlJc w:val="left"/>
      <w:pPr>
        <w:tabs>
          <w:tab w:val="num" w:pos="5040"/>
        </w:tabs>
        <w:ind w:left="5040" w:hanging="360"/>
      </w:pPr>
      <w:rPr>
        <w:rFonts w:ascii="Arial" w:hAnsi="Arial" w:hint="default"/>
      </w:rPr>
    </w:lvl>
    <w:lvl w:ilvl="7" w:tplc="1674E6C2" w:tentative="1">
      <w:start w:val="1"/>
      <w:numFmt w:val="bullet"/>
      <w:lvlText w:val="•"/>
      <w:lvlJc w:val="left"/>
      <w:pPr>
        <w:tabs>
          <w:tab w:val="num" w:pos="5760"/>
        </w:tabs>
        <w:ind w:left="5760" w:hanging="360"/>
      </w:pPr>
      <w:rPr>
        <w:rFonts w:ascii="Arial" w:hAnsi="Arial" w:hint="default"/>
      </w:rPr>
    </w:lvl>
    <w:lvl w:ilvl="8" w:tplc="5D308514" w:tentative="1">
      <w:start w:val="1"/>
      <w:numFmt w:val="bullet"/>
      <w:lvlText w:val="•"/>
      <w:lvlJc w:val="left"/>
      <w:pPr>
        <w:tabs>
          <w:tab w:val="num" w:pos="6480"/>
        </w:tabs>
        <w:ind w:left="6480" w:hanging="360"/>
      </w:pPr>
      <w:rPr>
        <w:rFonts w:ascii="Arial" w:hAnsi="Arial" w:hint="default"/>
      </w:rPr>
    </w:lvl>
  </w:abstractNum>
  <w:abstractNum w:abstractNumId="26">
    <w:nsid w:val="51B26BB2"/>
    <w:multiLevelType w:val="hybridMultilevel"/>
    <w:tmpl w:val="9F805820"/>
    <w:lvl w:ilvl="0" w:tplc="3848A8B4">
      <w:start w:val="1"/>
      <w:numFmt w:val="bullet"/>
      <w:lvlText w:val="•"/>
      <w:lvlJc w:val="left"/>
      <w:pPr>
        <w:tabs>
          <w:tab w:val="num" w:pos="720"/>
        </w:tabs>
        <w:ind w:left="720" w:hanging="360"/>
      </w:pPr>
      <w:rPr>
        <w:rFonts w:ascii="Arial" w:hAnsi="Arial" w:hint="default"/>
      </w:rPr>
    </w:lvl>
    <w:lvl w:ilvl="1" w:tplc="A1A26574">
      <w:start w:val="1"/>
      <w:numFmt w:val="bullet"/>
      <w:lvlText w:val="•"/>
      <w:lvlJc w:val="left"/>
      <w:pPr>
        <w:tabs>
          <w:tab w:val="num" w:pos="1440"/>
        </w:tabs>
        <w:ind w:left="1440" w:hanging="360"/>
      </w:pPr>
      <w:rPr>
        <w:rFonts w:ascii="Arial" w:hAnsi="Arial" w:hint="default"/>
      </w:rPr>
    </w:lvl>
    <w:lvl w:ilvl="2" w:tplc="A5148E08" w:tentative="1">
      <w:start w:val="1"/>
      <w:numFmt w:val="bullet"/>
      <w:lvlText w:val="•"/>
      <w:lvlJc w:val="left"/>
      <w:pPr>
        <w:tabs>
          <w:tab w:val="num" w:pos="2160"/>
        </w:tabs>
        <w:ind w:left="2160" w:hanging="360"/>
      </w:pPr>
      <w:rPr>
        <w:rFonts w:ascii="Arial" w:hAnsi="Arial" w:hint="default"/>
      </w:rPr>
    </w:lvl>
    <w:lvl w:ilvl="3" w:tplc="651A32E8" w:tentative="1">
      <w:start w:val="1"/>
      <w:numFmt w:val="bullet"/>
      <w:lvlText w:val="•"/>
      <w:lvlJc w:val="left"/>
      <w:pPr>
        <w:tabs>
          <w:tab w:val="num" w:pos="2880"/>
        </w:tabs>
        <w:ind w:left="2880" w:hanging="360"/>
      </w:pPr>
      <w:rPr>
        <w:rFonts w:ascii="Arial" w:hAnsi="Arial" w:hint="default"/>
      </w:rPr>
    </w:lvl>
    <w:lvl w:ilvl="4" w:tplc="67C4552E" w:tentative="1">
      <w:start w:val="1"/>
      <w:numFmt w:val="bullet"/>
      <w:lvlText w:val="•"/>
      <w:lvlJc w:val="left"/>
      <w:pPr>
        <w:tabs>
          <w:tab w:val="num" w:pos="3600"/>
        </w:tabs>
        <w:ind w:left="3600" w:hanging="360"/>
      </w:pPr>
      <w:rPr>
        <w:rFonts w:ascii="Arial" w:hAnsi="Arial" w:hint="default"/>
      </w:rPr>
    </w:lvl>
    <w:lvl w:ilvl="5" w:tplc="2B4A3EF8" w:tentative="1">
      <w:start w:val="1"/>
      <w:numFmt w:val="bullet"/>
      <w:lvlText w:val="•"/>
      <w:lvlJc w:val="left"/>
      <w:pPr>
        <w:tabs>
          <w:tab w:val="num" w:pos="4320"/>
        </w:tabs>
        <w:ind w:left="4320" w:hanging="360"/>
      </w:pPr>
      <w:rPr>
        <w:rFonts w:ascii="Arial" w:hAnsi="Arial" w:hint="default"/>
      </w:rPr>
    </w:lvl>
    <w:lvl w:ilvl="6" w:tplc="F92EE910" w:tentative="1">
      <w:start w:val="1"/>
      <w:numFmt w:val="bullet"/>
      <w:lvlText w:val="•"/>
      <w:lvlJc w:val="left"/>
      <w:pPr>
        <w:tabs>
          <w:tab w:val="num" w:pos="5040"/>
        </w:tabs>
        <w:ind w:left="5040" w:hanging="360"/>
      </w:pPr>
      <w:rPr>
        <w:rFonts w:ascii="Arial" w:hAnsi="Arial" w:hint="default"/>
      </w:rPr>
    </w:lvl>
    <w:lvl w:ilvl="7" w:tplc="B8B22604" w:tentative="1">
      <w:start w:val="1"/>
      <w:numFmt w:val="bullet"/>
      <w:lvlText w:val="•"/>
      <w:lvlJc w:val="left"/>
      <w:pPr>
        <w:tabs>
          <w:tab w:val="num" w:pos="5760"/>
        </w:tabs>
        <w:ind w:left="5760" w:hanging="360"/>
      </w:pPr>
      <w:rPr>
        <w:rFonts w:ascii="Arial" w:hAnsi="Arial" w:hint="default"/>
      </w:rPr>
    </w:lvl>
    <w:lvl w:ilvl="8" w:tplc="E98424BA" w:tentative="1">
      <w:start w:val="1"/>
      <w:numFmt w:val="bullet"/>
      <w:lvlText w:val="•"/>
      <w:lvlJc w:val="left"/>
      <w:pPr>
        <w:tabs>
          <w:tab w:val="num" w:pos="6480"/>
        </w:tabs>
        <w:ind w:left="6480" w:hanging="360"/>
      </w:pPr>
      <w:rPr>
        <w:rFonts w:ascii="Arial" w:hAnsi="Arial" w:hint="default"/>
      </w:rPr>
    </w:lvl>
  </w:abstractNum>
  <w:abstractNum w:abstractNumId="27">
    <w:nsid w:val="51C070AB"/>
    <w:multiLevelType w:val="hybridMultilevel"/>
    <w:tmpl w:val="3ADA490A"/>
    <w:lvl w:ilvl="0" w:tplc="57D4DBE6">
      <w:start w:val="1"/>
      <w:numFmt w:val="bullet"/>
      <w:lvlText w:val="•"/>
      <w:lvlJc w:val="left"/>
      <w:pPr>
        <w:tabs>
          <w:tab w:val="num" w:pos="720"/>
        </w:tabs>
        <w:ind w:left="720" w:hanging="360"/>
      </w:pPr>
      <w:rPr>
        <w:rFonts w:ascii="Arial" w:hAnsi="Arial"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28">
    <w:nsid w:val="54A45846"/>
    <w:multiLevelType w:val="hybridMultilevel"/>
    <w:tmpl w:val="7FE2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B253C8"/>
    <w:multiLevelType w:val="hybridMultilevel"/>
    <w:tmpl w:val="0890CDD2"/>
    <w:lvl w:ilvl="0" w:tplc="FD74D648">
      <w:start w:val="4"/>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211509"/>
    <w:multiLevelType w:val="hybridMultilevel"/>
    <w:tmpl w:val="37924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11A7837"/>
    <w:multiLevelType w:val="hybridMultilevel"/>
    <w:tmpl w:val="735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213CB0"/>
    <w:multiLevelType w:val="hybridMultilevel"/>
    <w:tmpl w:val="DE1452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63BF5961"/>
    <w:multiLevelType w:val="hybridMultilevel"/>
    <w:tmpl w:val="BBAA1786"/>
    <w:lvl w:ilvl="0" w:tplc="B3D0D5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D405A"/>
    <w:multiLevelType w:val="hybridMultilevel"/>
    <w:tmpl w:val="E3585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0A0F4A"/>
    <w:multiLevelType w:val="hybridMultilevel"/>
    <w:tmpl w:val="83945E86"/>
    <w:lvl w:ilvl="0" w:tplc="A5FC5D50">
      <w:start w:val="1"/>
      <w:numFmt w:val="bullet"/>
      <w:lvlText w:val="•"/>
      <w:lvlJc w:val="left"/>
      <w:pPr>
        <w:tabs>
          <w:tab w:val="num" w:pos="720"/>
        </w:tabs>
        <w:ind w:left="720" w:hanging="360"/>
      </w:pPr>
      <w:rPr>
        <w:rFonts w:ascii="Arial" w:hAnsi="Arial" w:hint="default"/>
      </w:rPr>
    </w:lvl>
    <w:lvl w:ilvl="1" w:tplc="4948D752">
      <w:start w:val="1"/>
      <w:numFmt w:val="bullet"/>
      <w:lvlText w:val="•"/>
      <w:lvlJc w:val="left"/>
      <w:pPr>
        <w:tabs>
          <w:tab w:val="num" w:pos="1440"/>
        </w:tabs>
        <w:ind w:left="1440" w:hanging="360"/>
      </w:pPr>
      <w:rPr>
        <w:rFonts w:ascii="Arial" w:hAnsi="Arial" w:hint="default"/>
      </w:rPr>
    </w:lvl>
    <w:lvl w:ilvl="2" w:tplc="F8403496" w:tentative="1">
      <w:start w:val="1"/>
      <w:numFmt w:val="bullet"/>
      <w:lvlText w:val="•"/>
      <w:lvlJc w:val="left"/>
      <w:pPr>
        <w:tabs>
          <w:tab w:val="num" w:pos="2160"/>
        </w:tabs>
        <w:ind w:left="2160" w:hanging="360"/>
      </w:pPr>
      <w:rPr>
        <w:rFonts w:ascii="Arial" w:hAnsi="Arial" w:hint="default"/>
      </w:rPr>
    </w:lvl>
    <w:lvl w:ilvl="3" w:tplc="C944D5F4" w:tentative="1">
      <w:start w:val="1"/>
      <w:numFmt w:val="bullet"/>
      <w:lvlText w:val="•"/>
      <w:lvlJc w:val="left"/>
      <w:pPr>
        <w:tabs>
          <w:tab w:val="num" w:pos="2880"/>
        </w:tabs>
        <w:ind w:left="2880" w:hanging="360"/>
      </w:pPr>
      <w:rPr>
        <w:rFonts w:ascii="Arial" w:hAnsi="Arial" w:hint="default"/>
      </w:rPr>
    </w:lvl>
    <w:lvl w:ilvl="4" w:tplc="7968FE6E" w:tentative="1">
      <w:start w:val="1"/>
      <w:numFmt w:val="bullet"/>
      <w:lvlText w:val="•"/>
      <w:lvlJc w:val="left"/>
      <w:pPr>
        <w:tabs>
          <w:tab w:val="num" w:pos="3600"/>
        </w:tabs>
        <w:ind w:left="3600" w:hanging="360"/>
      </w:pPr>
      <w:rPr>
        <w:rFonts w:ascii="Arial" w:hAnsi="Arial" w:hint="default"/>
      </w:rPr>
    </w:lvl>
    <w:lvl w:ilvl="5" w:tplc="769A7E5C" w:tentative="1">
      <w:start w:val="1"/>
      <w:numFmt w:val="bullet"/>
      <w:lvlText w:val="•"/>
      <w:lvlJc w:val="left"/>
      <w:pPr>
        <w:tabs>
          <w:tab w:val="num" w:pos="4320"/>
        </w:tabs>
        <w:ind w:left="4320" w:hanging="360"/>
      </w:pPr>
      <w:rPr>
        <w:rFonts w:ascii="Arial" w:hAnsi="Arial" w:hint="default"/>
      </w:rPr>
    </w:lvl>
    <w:lvl w:ilvl="6" w:tplc="19EA7C30" w:tentative="1">
      <w:start w:val="1"/>
      <w:numFmt w:val="bullet"/>
      <w:lvlText w:val="•"/>
      <w:lvlJc w:val="left"/>
      <w:pPr>
        <w:tabs>
          <w:tab w:val="num" w:pos="5040"/>
        </w:tabs>
        <w:ind w:left="5040" w:hanging="360"/>
      </w:pPr>
      <w:rPr>
        <w:rFonts w:ascii="Arial" w:hAnsi="Arial" w:hint="default"/>
      </w:rPr>
    </w:lvl>
    <w:lvl w:ilvl="7" w:tplc="B20AD458" w:tentative="1">
      <w:start w:val="1"/>
      <w:numFmt w:val="bullet"/>
      <w:lvlText w:val="•"/>
      <w:lvlJc w:val="left"/>
      <w:pPr>
        <w:tabs>
          <w:tab w:val="num" w:pos="5760"/>
        </w:tabs>
        <w:ind w:left="5760" w:hanging="360"/>
      </w:pPr>
      <w:rPr>
        <w:rFonts w:ascii="Arial" w:hAnsi="Arial" w:hint="default"/>
      </w:rPr>
    </w:lvl>
    <w:lvl w:ilvl="8" w:tplc="AF4687BC" w:tentative="1">
      <w:start w:val="1"/>
      <w:numFmt w:val="bullet"/>
      <w:lvlText w:val="•"/>
      <w:lvlJc w:val="left"/>
      <w:pPr>
        <w:tabs>
          <w:tab w:val="num" w:pos="6480"/>
        </w:tabs>
        <w:ind w:left="6480" w:hanging="360"/>
      </w:pPr>
      <w:rPr>
        <w:rFonts w:ascii="Arial" w:hAnsi="Arial" w:hint="default"/>
      </w:rPr>
    </w:lvl>
  </w:abstractNum>
  <w:abstractNum w:abstractNumId="36">
    <w:nsid w:val="6A59323A"/>
    <w:multiLevelType w:val="hybridMultilevel"/>
    <w:tmpl w:val="4CC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EE5846"/>
    <w:multiLevelType w:val="hybridMultilevel"/>
    <w:tmpl w:val="9E243B5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9">
    <w:nsid w:val="70FA7CF1"/>
    <w:multiLevelType w:val="hybridMultilevel"/>
    <w:tmpl w:val="F798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D5C5C"/>
    <w:multiLevelType w:val="hybridMultilevel"/>
    <w:tmpl w:val="DC96ECB4"/>
    <w:lvl w:ilvl="0" w:tplc="3D008934">
      <w:start w:val="1"/>
      <w:numFmt w:val="bullet"/>
      <w:lvlText w:val="•"/>
      <w:lvlJc w:val="left"/>
      <w:pPr>
        <w:tabs>
          <w:tab w:val="num" w:pos="720"/>
        </w:tabs>
        <w:ind w:left="720" w:hanging="360"/>
      </w:pPr>
      <w:rPr>
        <w:rFonts w:ascii="Arial" w:hAnsi="Arial" w:hint="default"/>
      </w:rPr>
    </w:lvl>
    <w:lvl w:ilvl="1" w:tplc="2E16556E" w:tentative="1">
      <w:start w:val="1"/>
      <w:numFmt w:val="bullet"/>
      <w:lvlText w:val="•"/>
      <w:lvlJc w:val="left"/>
      <w:pPr>
        <w:tabs>
          <w:tab w:val="num" w:pos="1440"/>
        </w:tabs>
        <w:ind w:left="1440" w:hanging="360"/>
      </w:pPr>
      <w:rPr>
        <w:rFonts w:ascii="Arial" w:hAnsi="Arial" w:hint="default"/>
      </w:rPr>
    </w:lvl>
    <w:lvl w:ilvl="2" w:tplc="D95AE17C" w:tentative="1">
      <w:start w:val="1"/>
      <w:numFmt w:val="bullet"/>
      <w:lvlText w:val="•"/>
      <w:lvlJc w:val="left"/>
      <w:pPr>
        <w:tabs>
          <w:tab w:val="num" w:pos="2160"/>
        </w:tabs>
        <w:ind w:left="2160" w:hanging="360"/>
      </w:pPr>
      <w:rPr>
        <w:rFonts w:ascii="Arial" w:hAnsi="Arial" w:hint="default"/>
      </w:rPr>
    </w:lvl>
    <w:lvl w:ilvl="3" w:tplc="09D454CE" w:tentative="1">
      <w:start w:val="1"/>
      <w:numFmt w:val="bullet"/>
      <w:lvlText w:val="•"/>
      <w:lvlJc w:val="left"/>
      <w:pPr>
        <w:tabs>
          <w:tab w:val="num" w:pos="2880"/>
        </w:tabs>
        <w:ind w:left="2880" w:hanging="360"/>
      </w:pPr>
      <w:rPr>
        <w:rFonts w:ascii="Arial" w:hAnsi="Arial" w:hint="default"/>
      </w:rPr>
    </w:lvl>
    <w:lvl w:ilvl="4" w:tplc="DA408260" w:tentative="1">
      <w:start w:val="1"/>
      <w:numFmt w:val="bullet"/>
      <w:lvlText w:val="•"/>
      <w:lvlJc w:val="left"/>
      <w:pPr>
        <w:tabs>
          <w:tab w:val="num" w:pos="3600"/>
        </w:tabs>
        <w:ind w:left="3600" w:hanging="360"/>
      </w:pPr>
      <w:rPr>
        <w:rFonts w:ascii="Arial" w:hAnsi="Arial" w:hint="default"/>
      </w:rPr>
    </w:lvl>
    <w:lvl w:ilvl="5" w:tplc="1D5A8A3E" w:tentative="1">
      <w:start w:val="1"/>
      <w:numFmt w:val="bullet"/>
      <w:lvlText w:val="•"/>
      <w:lvlJc w:val="left"/>
      <w:pPr>
        <w:tabs>
          <w:tab w:val="num" w:pos="4320"/>
        </w:tabs>
        <w:ind w:left="4320" w:hanging="360"/>
      </w:pPr>
      <w:rPr>
        <w:rFonts w:ascii="Arial" w:hAnsi="Arial" w:hint="default"/>
      </w:rPr>
    </w:lvl>
    <w:lvl w:ilvl="6" w:tplc="D264FE66" w:tentative="1">
      <w:start w:val="1"/>
      <w:numFmt w:val="bullet"/>
      <w:lvlText w:val="•"/>
      <w:lvlJc w:val="left"/>
      <w:pPr>
        <w:tabs>
          <w:tab w:val="num" w:pos="5040"/>
        </w:tabs>
        <w:ind w:left="5040" w:hanging="360"/>
      </w:pPr>
      <w:rPr>
        <w:rFonts w:ascii="Arial" w:hAnsi="Arial" w:hint="default"/>
      </w:rPr>
    </w:lvl>
    <w:lvl w:ilvl="7" w:tplc="5B08D4B0" w:tentative="1">
      <w:start w:val="1"/>
      <w:numFmt w:val="bullet"/>
      <w:lvlText w:val="•"/>
      <w:lvlJc w:val="left"/>
      <w:pPr>
        <w:tabs>
          <w:tab w:val="num" w:pos="5760"/>
        </w:tabs>
        <w:ind w:left="5760" w:hanging="360"/>
      </w:pPr>
      <w:rPr>
        <w:rFonts w:ascii="Arial" w:hAnsi="Arial" w:hint="default"/>
      </w:rPr>
    </w:lvl>
    <w:lvl w:ilvl="8" w:tplc="22E86B82" w:tentative="1">
      <w:start w:val="1"/>
      <w:numFmt w:val="bullet"/>
      <w:lvlText w:val="•"/>
      <w:lvlJc w:val="left"/>
      <w:pPr>
        <w:tabs>
          <w:tab w:val="num" w:pos="6480"/>
        </w:tabs>
        <w:ind w:left="6480" w:hanging="360"/>
      </w:pPr>
      <w:rPr>
        <w:rFonts w:ascii="Arial" w:hAnsi="Arial" w:hint="default"/>
      </w:rPr>
    </w:lvl>
  </w:abstractNum>
  <w:abstractNum w:abstractNumId="41">
    <w:nsid w:val="73E61C0E"/>
    <w:multiLevelType w:val="hybridMultilevel"/>
    <w:tmpl w:val="08C49650"/>
    <w:lvl w:ilvl="0" w:tplc="141AA0D8">
      <w:start w:val="1"/>
      <w:numFmt w:val="bullet"/>
      <w:lvlText w:val="•"/>
      <w:lvlJc w:val="left"/>
      <w:pPr>
        <w:tabs>
          <w:tab w:val="num" w:pos="720"/>
        </w:tabs>
        <w:ind w:left="720" w:hanging="360"/>
      </w:pPr>
      <w:rPr>
        <w:rFonts w:ascii="Arial" w:hAnsi="Arial" w:hint="default"/>
      </w:rPr>
    </w:lvl>
    <w:lvl w:ilvl="1" w:tplc="E59A0286">
      <w:start w:val="1"/>
      <w:numFmt w:val="bullet"/>
      <w:lvlText w:val="•"/>
      <w:lvlJc w:val="left"/>
      <w:pPr>
        <w:tabs>
          <w:tab w:val="num" w:pos="1440"/>
        </w:tabs>
        <w:ind w:left="1440" w:hanging="360"/>
      </w:pPr>
      <w:rPr>
        <w:rFonts w:ascii="Arial" w:hAnsi="Arial" w:hint="default"/>
      </w:rPr>
    </w:lvl>
    <w:lvl w:ilvl="2" w:tplc="28BCF94C" w:tentative="1">
      <w:start w:val="1"/>
      <w:numFmt w:val="bullet"/>
      <w:lvlText w:val="•"/>
      <w:lvlJc w:val="left"/>
      <w:pPr>
        <w:tabs>
          <w:tab w:val="num" w:pos="2160"/>
        </w:tabs>
        <w:ind w:left="2160" w:hanging="360"/>
      </w:pPr>
      <w:rPr>
        <w:rFonts w:ascii="Arial" w:hAnsi="Arial" w:hint="default"/>
      </w:rPr>
    </w:lvl>
    <w:lvl w:ilvl="3" w:tplc="6E645ADA" w:tentative="1">
      <w:start w:val="1"/>
      <w:numFmt w:val="bullet"/>
      <w:lvlText w:val="•"/>
      <w:lvlJc w:val="left"/>
      <w:pPr>
        <w:tabs>
          <w:tab w:val="num" w:pos="2880"/>
        </w:tabs>
        <w:ind w:left="2880" w:hanging="360"/>
      </w:pPr>
      <w:rPr>
        <w:rFonts w:ascii="Arial" w:hAnsi="Arial" w:hint="default"/>
      </w:rPr>
    </w:lvl>
    <w:lvl w:ilvl="4" w:tplc="F532422C" w:tentative="1">
      <w:start w:val="1"/>
      <w:numFmt w:val="bullet"/>
      <w:lvlText w:val="•"/>
      <w:lvlJc w:val="left"/>
      <w:pPr>
        <w:tabs>
          <w:tab w:val="num" w:pos="3600"/>
        </w:tabs>
        <w:ind w:left="3600" w:hanging="360"/>
      </w:pPr>
      <w:rPr>
        <w:rFonts w:ascii="Arial" w:hAnsi="Arial" w:hint="default"/>
      </w:rPr>
    </w:lvl>
    <w:lvl w:ilvl="5" w:tplc="F7B449A6" w:tentative="1">
      <w:start w:val="1"/>
      <w:numFmt w:val="bullet"/>
      <w:lvlText w:val="•"/>
      <w:lvlJc w:val="left"/>
      <w:pPr>
        <w:tabs>
          <w:tab w:val="num" w:pos="4320"/>
        </w:tabs>
        <w:ind w:left="4320" w:hanging="360"/>
      </w:pPr>
      <w:rPr>
        <w:rFonts w:ascii="Arial" w:hAnsi="Arial" w:hint="default"/>
      </w:rPr>
    </w:lvl>
    <w:lvl w:ilvl="6" w:tplc="D74C2922" w:tentative="1">
      <w:start w:val="1"/>
      <w:numFmt w:val="bullet"/>
      <w:lvlText w:val="•"/>
      <w:lvlJc w:val="left"/>
      <w:pPr>
        <w:tabs>
          <w:tab w:val="num" w:pos="5040"/>
        </w:tabs>
        <w:ind w:left="5040" w:hanging="360"/>
      </w:pPr>
      <w:rPr>
        <w:rFonts w:ascii="Arial" w:hAnsi="Arial" w:hint="default"/>
      </w:rPr>
    </w:lvl>
    <w:lvl w:ilvl="7" w:tplc="5ADE5866" w:tentative="1">
      <w:start w:val="1"/>
      <w:numFmt w:val="bullet"/>
      <w:lvlText w:val="•"/>
      <w:lvlJc w:val="left"/>
      <w:pPr>
        <w:tabs>
          <w:tab w:val="num" w:pos="5760"/>
        </w:tabs>
        <w:ind w:left="5760" w:hanging="360"/>
      </w:pPr>
      <w:rPr>
        <w:rFonts w:ascii="Arial" w:hAnsi="Arial" w:hint="default"/>
      </w:rPr>
    </w:lvl>
    <w:lvl w:ilvl="8" w:tplc="AF807128" w:tentative="1">
      <w:start w:val="1"/>
      <w:numFmt w:val="bullet"/>
      <w:lvlText w:val="•"/>
      <w:lvlJc w:val="left"/>
      <w:pPr>
        <w:tabs>
          <w:tab w:val="num" w:pos="6480"/>
        </w:tabs>
        <w:ind w:left="6480" w:hanging="360"/>
      </w:pPr>
      <w:rPr>
        <w:rFonts w:ascii="Arial" w:hAnsi="Arial" w:hint="default"/>
      </w:rPr>
    </w:lvl>
  </w:abstractNum>
  <w:abstractNum w:abstractNumId="42">
    <w:nsid w:val="77E606DF"/>
    <w:multiLevelType w:val="hybridMultilevel"/>
    <w:tmpl w:val="ECCC0F86"/>
    <w:lvl w:ilvl="0" w:tplc="E38AAD82">
      <w:start w:val="14"/>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8400087"/>
    <w:multiLevelType w:val="hybridMultilevel"/>
    <w:tmpl w:val="B6BA7F24"/>
    <w:lvl w:ilvl="0" w:tplc="E82C73EC">
      <w:start w:val="1"/>
      <w:numFmt w:val="bullet"/>
      <w:lvlText w:val="•"/>
      <w:lvlJc w:val="left"/>
      <w:pPr>
        <w:tabs>
          <w:tab w:val="num" w:pos="720"/>
        </w:tabs>
        <w:ind w:left="720" w:hanging="360"/>
      </w:pPr>
      <w:rPr>
        <w:rFonts w:ascii="Arial" w:hAnsi="Arial" w:hint="default"/>
      </w:rPr>
    </w:lvl>
    <w:lvl w:ilvl="1" w:tplc="A00A18FC">
      <w:start w:val="1"/>
      <w:numFmt w:val="bullet"/>
      <w:lvlText w:val="•"/>
      <w:lvlJc w:val="left"/>
      <w:pPr>
        <w:tabs>
          <w:tab w:val="num" w:pos="1440"/>
        </w:tabs>
        <w:ind w:left="1440" w:hanging="360"/>
      </w:pPr>
      <w:rPr>
        <w:rFonts w:ascii="Arial" w:hAnsi="Arial" w:hint="default"/>
      </w:rPr>
    </w:lvl>
    <w:lvl w:ilvl="2" w:tplc="D6BC830A" w:tentative="1">
      <w:start w:val="1"/>
      <w:numFmt w:val="bullet"/>
      <w:lvlText w:val="•"/>
      <w:lvlJc w:val="left"/>
      <w:pPr>
        <w:tabs>
          <w:tab w:val="num" w:pos="2160"/>
        </w:tabs>
        <w:ind w:left="2160" w:hanging="360"/>
      </w:pPr>
      <w:rPr>
        <w:rFonts w:ascii="Arial" w:hAnsi="Arial" w:hint="default"/>
      </w:rPr>
    </w:lvl>
    <w:lvl w:ilvl="3" w:tplc="A0AA176E" w:tentative="1">
      <w:start w:val="1"/>
      <w:numFmt w:val="bullet"/>
      <w:lvlText w:val="•"/>
      <w:lvlJc w:val="left"/>
      <w:pPr>
        <w:tabs>
          <w:tab w:val="num" w:pos="2880"/>
        </w:tabs>
        <w:ind w:left="2880" w:hanging="360"/>
      </w:pPr>
      <w:rPr>
        <w:rFonts w:ascii="Arial" w:hAnsi="Arial" w:hint="default"/>
      </w:rPr>
    </w:lvl>
    <w:lvl w:ilvl="4" w:tplc="2A9CFD98" w:tentative="1">
      <w:start w:val="1"/>
      <w:numFmt w:val="bullet"/>
      <w:lvlText w:val="•"/>
      <w:lvlJc w:val="left"/>
      <w:pPr>
        <w:tabs>
          <w:tab w:val="num" w:pos="3600"/>
        </w:tabs>
        <w:ind w:left="3600" w:hanging="360"/>
      </w:pPr>
      <w:rPr>
        <w:rFonts w:ascii="Arial" w:hAnsi="Arial" w:hint="default"/>
      </w:rPr>
    </w:lvl>
    <w:lvl w:ilvl="5" w:tplc="5EC8745E" w:tentative="1">
      <w:start w:val="1"/>
      <w:numFmt w:val="bullet"/>
      <w:lvlText w:val="•"/>
      <w:lvlJc w:val="left"/>
      <w:pPr>
        <w:tabs>
          <w:tab w:val="num" w:pos="4320"/>
        </w:tabs>
        <w:ind w:left="4320" w:hanging="360"/>
      </w:pPr>
      <w:rPr>
        <w:rFonts w:ascii="Arial" w:hAnsi="Arial" w:hint="default"/>
      </w:rPr>
    </w:lvl>
    <w:lvl w:ilvl="6" w:tplc="BF48BFEA" w:tentative="1">
      <w:start w:val="1"/>
      <w:numFmt w:val="bullet"/>
      <w:lvlText w:val="•"/>
      <w:lvlJc w:val="left"/>
      <w:pPr>
        <w:tabs>
          <w:tab w:val="num" w:pos="5040"/>
        </w:tabs>
        <w:ind w:left="5040" w:hanging="360"/>
      </w:pPr>
      <w:rPr>
        <w:rFonts w:ascii="Arial" w:hAnsi="Arial" w:hint="default"/>
      </w:rPr>
    </w:lvl>
    <w:lvl w:ilvl="7" w:tplc="2F3205C0" w:tentative="1">
      <w:start w:val="1"/>
      <w:numFmt w:val="bullet"/>
      <w:lvlText w:val="•"/>
      <w:lvlJc w:val="left"/>
      <w:pPr>
        <w:tabs>
          <w:tab w:val="num" w:pos="5760"/>
        </w:tabs>
        <w:ind w:left="5760" w:hanging="360"/>
      </w:pPr>
      <w:rPr>
        <w:rFonts w:ascii="Arial" w:hAnsi="Arial" w:hint="default"/>
      </w:rPr>
    </w:lvl>
    <w:lvl w:ilvl="8" w:tplc="19B80DC0" w:tentative="1">
      <w:start w:val="1"/>
      <w:numFmt w:val="bullet"/>
      <w:lvlText w:val="•"/>
      <w:lvlJc w:val="left"/>
      <w:pPr>
        <w:tabs>
          <w:tab w:val="num" w:pos="6480"/>
        </w:tabs>
        <w:ind w:left="6480" w:hanging="360"/>
      </w:pPr>
      <w:rPr>
        <w:rFonts w:ascii="Arial" w:hAnsi="Arial" w:hint="default"/>
      </w:rPr>
    </w:lvl>
  </w:abstractNum>
  <w:abstractNum w:abstractNumId="44">
    <w:nsid w:val="7BF007F3"/>
    <w:multiLevelType w:val="hybridMultilevel"/>
    <w:tmpl w:val="32C28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663692"/>
    <w:multiLevelType w:val="hybridMultilevel"/>
    <w:tmpl w:val="600E6A5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42"/>
  </w:num>
  <w:num w:numId="2">
    <w:abstractNumId w:val="3"/>
  </w:num>
  <w:num w:numId="3">
    <w:abstractNumId w:val="8"/>
  </w:num>
  <w:num w:numId="4">
    <w:abstractNumId w:val="16"/>
  </w:num>
  <w:num w:numId="5">
    <w:abstractNumId w:val="13"/>
  </w:num>
  <w:num w:numId="6">
    <w:abstractNumId w:val="19"/>
  </w:num>
  <w:num w:numId="7">
    <w:abstractNumId w:val="9"/>
  </w:num>
  <w:num w:numId="8">
    <w:abstractNumId w:val="45"/>
  </w:num>
  <w:num w:numId="9">
    <w:abstractNumId w:val="1"/>
  </w:num>
  <w:num w:numId="10">
    <w:abstractNumId w:val="2"/>
  </w:num>
  <w:num w:numId="11">
    <w:abstractNumId w:val="32"/>
  </w:num>
  <w:num w:numId="12">
    <w:abstractNumId w:val="0"/>
  </w:num>
  <w:num w:numId="13">
    <w:abstractNumId w:val="29"/>
  </w:num>
  <w:num w:numId="14">
    <w:abstractNumId w:val="38"/>
  </w:num>
  <w:num w:numId="15">
    <w:abstractNumId w:val="20"/>
  </w:num>
  <w:num w:numId="16">
    <w:abstractNumId w:val="10"/>
  </w:num>
  <w:num w:numId="17">
    <w:abstractNumId w:val="21"/>
  </w:num>
  <w:num w:numId="18">
    <w:abstractNumId w:val="15"/>
  </w:num>
  <w:num w:numId="19">
    <w:abstractNumId w:val="27"/>
  </w:num>
  <w:num w:numId="20">
    <w:abstractNumId w:val="14"/>
  </w:num>
  <w:num w:numId="21">
    <w:abstractNumId w:val="34"/>
  </w:num>
  <w:num w:numId="22">
    <w:abstractNumId w:val="35"/>
  </w:num>
  <w:num w:numId="23">
    <w:abstractNumId w:val="25"/>
  </w:num>
  <w:num w:numId="24">
    <w:abstractNumId w:val="43"/>
  </w:num>
  <w:num w:numId="25">
    <w:abstractNumId w:val="28"/>
  </w:num>
  <w:num w:numId="26">
    <w:abstractNumId w:val="12"/>
  </w:num>
  <w:num w:numId="27">
    <w:abstractNumId w:val="22"/>
  </w:num>
  <w:num w:numId="28">
    <w:abstractNumId w:val="17"/>
  </w:num>
  <w:num w:numId="29">
    <w:abstractNumId w:val="31"/>
  </w:num>
  <w:num w:numId="30">
    <w:abstractNumId w:val="4"/>
  </w:num>
  <w:num w:numId="31">
    <w:abstractNumId w:val="7"/>
  </w:num>
  <w:num w:numId="32">
    <w:abstractNumId w:val="6"/>
  </w:num>
  <w:num w:numId="33">
    <w:abstractNumId w:val="26"/>
  </w:num>
  <w:num w:numId="34">
    <w:abstractNumId w:val="23"/>
  </w:num>
  <w:num w:numId="35">
    <w:abstractNumId w:val="41"/>
  </w:num>
  <w:num w:numId="36">
    <w:abstractNumId w:val="36"/>
  </w:num>
  <w:num w:numId="37">
    <w:abstractNumId w:val="40"/>
  </w:num>
  <w:num w:numId="38">
    <w:abstractNumId w:val="30"/>
  </w:num>
  <w:num w:numId="39">
    <w:abstractNumId w:val="24"/>
  </w:num>
  <w:num w:numId="40">
    <w:abstractNumId w:val="33"/>
  </w:num>
  <w:num w:numId="41">
    <w:abstractNumId w:val="18"/>
  </w:num>
  <w:num w:numId="42">
    <w:abstractNumId w:val="37"/>
  </w:num>
  <w:num w:numId="43">
    <w:abstractNumId w:val="11"/>
  </w:num>
  <w:num w:numId="44">
    <w:abstractNumId w:val="39"/>
  </w:num>
  <w:num w:numId="45">
    <w:abstractNumId w:val="5"/>
  </w:num>
  <w:num w:numId="4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17"/>
    <w:rsid w:val="00000783"/>
    <w:rsid w:val="000050FA"/>
    <w:rsid w:val="00005C6C"/>
    <w:rsid w:val="00006DC1"/>
    <w:rsid w:val="00010380"/>
    <w:rsid w:val="000110CA"/>
    <w:rsid w:val="000156B3"/>
    <w:rsid w:val="000253CF"/>
    <w:rsid w:val="000367D5"/>
    <w:rsid w:val="000448E3"/>
    <w:rsid w:val="00045E2E"/>
    <w:rsid w:val="00063E2A"/>
    <w:rsid w:val="000810FA"/>
    <w:rsid w:val="00083254"/>
    <w:rsid w:val="00087BDC"/>
    <w:rsid w:val="000947B0"/>
    <w:rsid w:val="0009542E"/>
    <w:rsid w:val="0009650F"/>
    <w:rsid w:val="000B36E1"/>
    <w:rsid w:val="000C6129"/>
    <w:rsid w:val="000C65CF"/>
    <w:rsid w:val="000D35F0"/>
    <w:rsid w:val="000D4224"/>
    <w:rsid w:val="000D44F1"/>
    <w:rsid w:val="000D594E"/>
    <w:rsid w:val="000E0685"/>
    <w:rsid w:val="000F7665"/>
    <w:rsid w:val="000F7CEC"/>
    <w:rsid w:val="001011B3"/>
    <w:rsid w:val="00101E17"/>
    <w:rsid w:val="00111C27"/>
    <w:rsid w:val="001120D7"/>
    <w:rsid w:val="00112DE7"/>
    <w:rsid w:val="0012461C"/>
    <w:rsid w:val="00130ACA"/>
    <w:rsid w:val="00142A92"/>
    <w:rsid w:val="00143E5C"/>
    <w:rsid w:val="00144DDC"/>
    <w:rsid w:val="0014562B"/>
    <w:rsid w:val="00147073"/>
    <w:rsid w:val="00153BEA"/>
    <w:rsid w:val="001633D9"/>
    <w:rsid w:val="001673E4"/>
    <w:rsid w:val="00170EE7"/>
    <w:rsid w:val="00176763"/>
    <w:rsid w:val="00176B4F"/>
    <w:rsid w:val="00181489"/>
    <w:rsid w:val="0018278A"/>
    <w:rsid w:val="00195144"/>
    <w:rsid w:val="001B00C4"/>
    <w:rsid w:val="001B1990"/>
    <w:rsid w:val="001B269F"/>
    <w:rsid w:val="001B3171"/>
    <w:rsid w:val="001B787A"/>
    <w:rsid w:val="001C4B98"/>
    <w:rsid w:val="001E2638"/>
    <w:rsid w:val="001F1DD7"/>
    <w:rsid w:val="001F2D21"/>
    <w:rsid w:val="00200645"/>
    <w:rsid w:val="00204247"/>
    <w:rsid w:val="0021012D"/>
    <w:rsid w:val="00217E6D"/>
    <w:rsid w:val="002201EA"/>
    <w:rsid w:val="00225A8B"/>
    <w:rsid w:val="00226F8F"/>
    <w:rsid w:val="00227962"/>
    <w:rsid w:val="002376A2"/>
    <w:rsid w:val="00282E23"/>
    <w:rsid w:val="00285DE9"/>
    <w:rsid w:val="00290CB7"/>
    <w:rsid w:val="00291D2B"/>
    <w:rsid w:val="0029347B"/>
    <w:rsid w:val="002A45A2"/>
    <w:rsid w:val="002A69C6"/>
    <w:rsid w:val="002B569E"/>
    <w:rsid w:val="002C4996"/>
    <w:rsid w:val="002D01FC"/>
    <w:rsid w:val="002D7A1F"/>
    <w:rsid w:val="002E0D17"/>
    <w:rsid w:val="002F0B65"/>
    <w:rsid w:val="002F7D24"/>
    <w:rsid w:val="003028E1"/>
    <w:rsid w:val="00305326"/>
    <w:rsid w:val="0030636D"/>
    <w:rsid w:val="003117CB"/>
    <w:rsid w:val="0031349D"/>
    <w:rsid w:val="00314274"/>
    <w:rsid w:val="00320DE9"/>
    <w:rsid w:val="003232B3"/>
    <w:rsid w:val="003267CD"/>
    <w:rsid w:val="00342217"/>
    <w:rsid w:val="003527F0"/>
    <w:rsid w:val="00361117"/>
    <w:rsid w:val="003636E6"/>
    <w:rsid w:val="0036619D"/>
    <w:rsid w:val="003662C8"/>
    <w:rsid w:val="00367CF1"/>
    <w:rsid w:val="00372DBF"/>
    <w:rsid w:val="00383CD5"/>
    <w:rsid w:val="00384315"/>
    <w:rsid w:val="00394AD2"/>
    <w:rsid w:val="00396295"/>
    <w:rsid w:val="003968F9"/>
    <w:rsid w:val="003A4C12"/>
    <w:rsid w:val="003A7149"/>
    <w:rsid w:val="003B1D4C"/>
    <w:rsid w:val="003B41A1"/>
    <w:rsid w:val="003B7E43"/>
    <w:rsid w:val="003D3682"/>
    <w:rsid w:val="003D506D"/>
    <w:rsid w:val="003D57DC"/>
    <w:rsid w:val="003F6D20"/>
    <w:rsid w:val="00411405"/>
    <w:rsid w:val="00416FC6"/>
    <w:rsid w:val="00433FCE"/>
    <w:rsid w:val="0044499C"/>
    <w:rsid w:val="00445C63"/>
    <w:rsid w:val="00446EDE"/>
    <w:rsid w:val="00460FEB"/>
    <w:rsid w:val="00466E5F"/>
    <w:rsid w:val="0047099D"/>
    <w:rsid w:val="004717A5"/>
    <w:rsid w:val="0047290A"/>
    <w:rsid w:val="00480B99"/>
    <w:rsid w:val="00483456"/>
    <w:rsid w:val="00485132"/>
    <w:rsid w:val="00487812"/>
    <w:rsid w:val="004965C5"/>
    <w:rsid w:val="004A0B6F"/>
    <w:rsid w:val="004A73AF"/>
    <w:rsid w:val="004B015A"/>
    <w:rsid w:val="004B7C2B"/>
    <w:rsid w:val="004D1B1D"/>
    <w:rsid w:val="004D1BBA"/>
    <w:rsid w:val="004D461E"/>
    <w:rsid w:val="004F53F6"/>
    <w:rsid w:val="00504BA6"/>
    <w:rsid w:val="00506111"/>
    <w:rsid w:val="00522E8F"/>
    <w:rsid w:val="0052424A"/>
    <w:rsid w:val="00524895"/>
    <w:rsid w:val="00526CF0"/>
    <w:rsid w:val="0053186D"/>
    <w:rsid w:val="00531CAD"/>
    <w:rsid w:val="00532906"/>
    <w:rsid w:val="00532F17"/>
    <w:rsid w:val="0053499B"/>
    <w:rsid w:val="005505BE"/>
    <w:rsid w:val="00552163"/>
    <w:rsid w:val="00552DD9"/>
    <w:rsid w:val="00553A6B"/>
    <w:rsid w:val="0055462B"/>
    <w:rsid w:val="00555BEB"/>
    <w:rsid w:val="00573C9E"/>
    <w:rsid w:val="00575E09"/>
    <w:rsid w:val="00580AA5"/>
    <w:rsid w:val="0058171D"/>
    <w:rsid w:val="00585AD6"/>
    <w:rsid w:val="0059195D"/>
    <w:rsid w:val="0059393D"/>
    <w:rsid w:val="00596B6C"/>
    <w:rsid w:val="005C189F"/>
    <w:rsid w:val="005C2DD6"/>
    <w:rsid w:val="005D3DEC"/>
    <w:rsid w:val="005E0CB4"/>
    <w:rsid w:val="005E5313"/>
    <w:rsid w:val="005F3F2E"/>
    <w:rsid w:val="00607559"/>
    <w:rsid w:val="00620121"/>
    <w:rsid w:val="00621A41"/>
    <w:rsid w:val="006360D1"/>
    <w:rsid w:val="006477C4"/>
    <w:rsid w:val="00647E3A"/>
    <w:rsid w:val="006611A1"/>
    <w:rsid w:val="00666006"/>
    <w:rsid w:val="00666DA5"/>
    <w:rsid w:val="00672857"/>
    <w:rsid w:val="006747D1"/>
    <w:rsid w:val="00675B9F"/>
    <w:rsid w:val="00681782"/>
    <w:rsid w:val="006824DC"/>
    <w:rsid w:val="00692356"/>
    <w:rsid w:val="00694E07"/>
    <w:rsid w:val="006A7915"/>
    <w:rsid w:val="006B0806"/>
    <w:rsid w:val="006C164A"/>
    <w:rsid w:val="006C7238"/>
    <w:rsid w:val="006D6E9D"/>
    <w:rsid w:val="006E7B63"/>
    <w:rsid w:val="006F6B86"/>
    <w:rsid w:val="007013A9"/>
    <w:rsid w:val="00703898"/>
    <w:rsid w:val="0071026A"/>
    <w:rsid w:val="00712F85"/>
    <w:rsid w:val="00724A40"/>
    <w:rsid w:val="00726FB9"/>
    <w:rsid w:val="00740AFC"/>
    <w:rsid w:val="00744A33"/>
    <w:rsid w:val="00745B5E"/>
    <w:rsid w:val="007564C5"/>
    <w:rsid w:val="007651D5"/>
    <w:rsid w:val="00772632"/>
    <w:rsid w:val="007768D5"/>
    <w:rsid w:val="00784541"/>
    <w:rsid w:val="00796627"/>
    <w:rsid w:val="007A09FE"/>
    <w:rsid w:val="007A2D13"/>
    <w:rsid w:val="007A5231"/>
    <w:rsid w:val="007A69BC"/>
    <w:rsid w:val="007A7FB0"/>
    <w:rsid w:val="007B4446"/>
    <w:rsid w:val="007B681E"/>
    <w:rsid w:val="007D1E4E"/>
    <w:rsid w:val="007D2E90"/>
    <w:rsid w:val="007E059F"/>
    <w:rsid w:val="007E1C0F"/>
    <w:rsid w:val="007E4E27"/>
    <w:rsid w:val="007E608C"/>
    <w:rsid w:val="00813CEA"/>
    <w:rsid w:val="0082158E"/>
    <w:rsid w:val="00833632"/>
    <w:rsid w:val="008368A6"/>
    <w:rsid w:val="008376B8"/>
    <w:rsid w:val="008401CF"/>
    <w:rsid w:val="008510C2"/>
    <w:rsid w:val="00856E31"/>
    <w:rsid w:val="008643BF"/>
    <w:rsid w:val="008653EE"/>
    <w:rsid w:val="00871071"/>
    <w:rsid w:val="00873950"/>
    <w:rsid w:val="00874674"/>
    <w:rsid w:val="00881575"/>
    <w:rsid w:val="008830F6"/>
    <w:rsid w:val="008839D6"/>
    <w:rsid w:val="00883A83"/>
    <w:rsid w:val="00884ED3"/>
    <w:rsid w:val="00887904"/>
    <w:rsid w:val="00887C39"/>
    <w:rsid w:val="00892E57"/>
    <w:rsid w:val="008960C0"/>
    <w:rsid w:val="008A0F2B"/>
    <w:rsid w:val="008A1894"/>
    <w:rsid w:val="008A35D7"/>
    <w:rsid w:val="008D3315"/>
    <w:rsid w:val="008D4518"/>
    <w:rsid w:val="008E4F7A"/>
    <w:rsid w:val="008F2588"/>
    <w:rsid w:val="008F5FE3"/>
    <w:rsid w:val="00905F63"/>
    <w:rsid w:val="0091116B"/>
    <w:rsid w:val="00911785"/>
    <w:rsid w:val="00914194"/>
    <w:rsid w:val="00920611"/>
    <w:rsid w:val="009223A5"/>
    <w:rsid w:val="009223FC"/>
    <w:rsid w:val="00940CCC"/>
    <w:rsid w:val="00941376"/>
    <w:rsid w:val="0094533B"/>
    <w:rsid w:val="009477E7"/>
    <w:rsid w:val="00950A9F"/>
    <w:rsid w:val="00952125"/>
    <w:rsid w:val="009529D5"/>
    <w:rsid w:val="00953E07"/>
    <w:rsid w:val="00967AE1"/>
    <w:rsid w:val="00980852"/>
    <w:rsid w:val="00990112"/>
    <w:rsid w:val="009A0DEF"/>
    <w:rsid w:val="009A5B14"/>
    <w:rsid w:val="009B1651"/>
    <w:rsid w:val="009B3F1A"/>
    <w:rsid w:val="009B564F"/>
    <w:rsid w:val="009C7AEE"/>
    <w:rsid w:val="009D13CE"/>
    <w:rsid w:val="009D3438"/>
    <w:rsid w:val="009E5531"/>
    <w:rsid w:val="009F7E6D"/>
    <w:rsid w:val="00A011A9"/>
    <w:rsid w:val="00A0351F"/>
    <w:rsid w:val="00A03A08"/>
    <w:rsid w:val="00A063C1"/>
    <w:rsid w:val="00A16977"/>
    <w:rsid w:val="00A26449"/>
    <w:rsid w:val="00A3013A"/>
    <w:rsid w:val="00A32D8F"/>
    <w:rsid w:val="00A37F84"/>
    <w:rsid w:val="00A41AF5"/>
    <w:rsid w:val="00A41C2D"/>
    <w:rsid w:val="00A43E54"/>
    <w:rsid w:val="00A51D31"/>
    <w:rsid w:val="00A64252"/>
    <w:rsid w:val="00A77267"/>
    <w:rsid w:val="00A77FC7"/>
    <w:rsid w:val="00A80865"/>
    <w:rsid w:val="00A8125C"/>
    <w:rsid w:val="00A82844"/>
    <w:rsid w:val="00A84493"/>
    <w:rsid w:val="00A910D5"/>
    <w:rsid w:val="00A959B8"/>
    <w:rsid w:val="00A978B5"/>
    <w:rsid w:val="00AB0F7B"/>
    <w:rsid w:val="00AB2445"/>
    <w:rsid w:val="00AE2E70"/>
    <w:rsid w:val="00B0087E"/>
    <w:rsid w:val="00B035FF"/>
    <w:rsid w:val="00B04082"/>
    <w:rsid w:val="00B17222"/>
    <w:rsid w:val="00B30536"/>
    <w:rsid w:val="00B3242F"/>
    <w:rsid w:val="00B32E83"/>
    <w:rsid w:val="00B33306"/>
    <w:rsid w:val="00B344B2"/>
    <w:rsid w:val="00B43456"/>
    <w:rsid w:val="00B45E24"/>
    <w:rsid w:val="00B565FD"/>
    <w:rsid w:val="00B56DE2"/>
    <w:rsid w:val="00B6266A"/>
    <w:rsid w:val="00B638EB"/>
    <w:rsid w:val="00B71E85"/>
    <w:rsid w:val="00B74203"/>
    <w:rsid w:val="00B755BF"/>
    <w:rsid w:val="00B76968"/>
    <w:rsid w:val="00BA1C9C"/>
    <w:rsid w:val="00BB477C"/>
    <w:rsid w:val="00BB6CDA"/>
    <w:rsid w:val="00BC1A73"/>
    <w:rsid w:val="00BC4B72"/>
    <w:rsid w:val="00BD6DDA"/>
    <w:rsid w:val="00BE5297"/>
    <w:rsid w:val="00BE7AFA"/>
    <w:rsid w:val="00BF5A9A"/>
    <w:rsid w:val="00C0102E"/>
    <w:rsid w:val="00C06847"/>
    <w:rsid w:val="00C309C0"/>
    <w:rsid w:val="00C32DB6"/>
    <w:rsid w:val="00C41DD2"/>
    <w:rsid w:val="00C50D24"/>
    <w:rsid w:val="00C515AA"/>
    <w:rsid w:val="00C534AD"/>
    <w:rsid w:val="00C567EA"/>
    <w:rsid w:val="00C61BE4"/>
    <w:rsid w:val="00C6619F"/>
    <w:rsid w:val="00C70501"/>
    <w:rsid w:val="00C834DC"/>
    <w:rsid w:val="00C86F36"/>
    <w:rsid w:val="00C87FE5"/>
    <w:rsid w:val="00C92770"/>
    <w:rsid w:val="00CB0315"/>
    <w:rsid w:val="00CB6877"/>
    <w:rsid w:val="00CC1189"/>
    <w:rsid w:val="00CC5F99"/>
    <w:rsid w:val="00CD4667"/>
    <w:rsid w:val="00CE394D"/>
    <w:rsid w:val="00CF4860"/>
    <w:rsid w:val="00CF4E51"/>
    <w:rsid w:val="00CF70F3"/>
    <w:rsid w:val="00D1603B"/>
    <w:rsid w:val="00D17337"/>
    <w:rsid w:val="00D17486"/>
    <w:rsid w:val="00D20B78"/>
    <w:rsid w:val="00D234AE"/>
    <w:rsid w:val="00D30DE3"/>
    <w:rsid w:val="00D35112"/>
    <w:rsid w:val="00D42A49"/>
    <w:rsid w:val="00D439CF"/>
    <w:rsid w:val="00D52914"/>
    <w:rsid w:val="00D547FA"/>
    <w:rsid w:val="00D55796"/>
    <w:rsid w:val="00D71205"/>
    <w:rsid w:val="00D7209C"/>
    <w:rsid w:val="00D8011D"/>
    <w:rsid w:val="00D809E4"/>
    <w:rsid w:val="00D8793F"/>
    <w:rsid w:val="00DA1DD6"/>
    <w:rsid w:val="00DA5C46"/>
    <w:rsid w:val="00DA6339"/>
    <w:rsid w:val="00DB47FC"/>
    <w:rsid w:val="00DC1AEF"/>
    <w:rsid w:val="00DD05F0"/>
    <w:rsid w:val="00DD7A5B"/>
    <w:rsid w:val="00DE044A"/>
    <w:rsid w:val="00DE081D"/>
    <w:rsid w:val="00DF71B4"/>
    <w:rsid w:val="00E0350D"/>
    <w:rsid w:val="00E07D9E"/>
    <w:rsid w:val="00E20A86"/>
    <w:rsid w:val="00E30105"/>
    <w:rsid w:val="00E41A32"/>
    <w:rsid w:val="00E52408"/>
    <w:rsid w:val="00E530F7"/>
    <w:rsid w:val="00E5397D"/>
    <w:rsid w:val="00E57CFE"/>
    <w:rsid w:val="00E67826"/>
    <w:rsid w:val="00E71051"/>
    <w:rsid w:val="00E72385"/>
    <w:rsid w:val="00E723F1"/>
    <w:rsid w:val="00E743D7"/>
    <w:rsid w:val="00E75020"/>
    <w:rsid w:val="00E75196"/>
    <w:rsid w:val="00E8735C"/>
    <w:rsid w:val="00E94D61"/>
    <w:rsid w:val="00EA0D53"/>
    <w:rsid w:val="00EA31E6"/>
    <w:rsid w:val="00EB01D4"/>
    <w:rsid w:val="00EC4213"/>
    <w:rsid w:val="00EC59DC"/>
    <w:rsid w:val="00ED19FD"/>
    <w:rsid w:val="00ED7FD8"/>
    <w:rsid w:val="00EE3691"/>
    <w:rsid w:val="00EF2EB8"/>
    <w:rsid w:val="00EF78FA"/>
    <w:rsid w:val="00F0015C"/>
    <w:rsid w:val="00F01C17"/>
    <w:rsid w:val="00F03F87"/>
    <w:rsid w:val="00F136EA"/>
    <w:rsid w:val="00F24287"/>
    <w:rsid w:val="00F26B20"/>
    <w:rsid w:val="00F27C24"/>
    <w:rsid w:val="00F3100D"/>
    <w:rsid w:val="00F34EDC"/>
    <w:rsid w:val="00F359A0"/>
    <w:rsid w:val="00F42D85"/>
    <w:rsid w:val="00F43915"/>
    <w:rsid w:val="00F449AA"/>
    <w:rsid w:val="00F54EBB"/>
    <w:rsid w:val="00F62AF7"/>
    <w:rsid w:val="00F63424"/>
    <w:rsid w:val="00F64286"/>
    <w:rsid w:val="00F72446"/>
    <w:rsid w:val="00F746DB"/>
    <w:rsid w:val="00F818E1"/>
    <w:rsid w:val="00F81A1E"/>
    <w:rsid w:val="00F834A3"/>
    <w:rsid w:val="00F85205"/>
    <w:rsid w:val="00F933D8"/>
    <w:rsid w:val="00F94A27"/>
    <w:rsid w:val="00F94C70"/>
    <w:rsid w:val="00F96295"/>
    <w:rsid w:val="00FB3108"/>
    <w:rsid w:val="00FB39B5"/>
    <w:rsid w:val="00FC6ED2"/>
    <w:rsid w:val="00FD511B"/>
    <w:rsid w:val="00FD5748"/>
    <w:rsid w:val="00FE0691"/>
    <w:rsid w:val="00FE3DC6"/>
    <w:rsid w:val="00FE5A29"/>
    <w:rsid w:val="00FE70AB"/>
    <w:rsid w:val="2785B921"/>
    <w:rsid w:val="35BE6F9A"/>
    <w:rsid w:val="3F8EC38D"/>
    <w:rsid w:val="425CC20B"/>
    <w:rsid w:val="5B3418D1"/>
    <w:rsid w:val="6C159498"/>
    <w:rsid w:val="6E499951"/>
    <w:rsid w:val="79FBE289"/>
    <w:rsid w:val="7F628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459E4"/>
  <w15:docId w15:val="{EE1EE7CA-2D45-4273-A672-E55C99D3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F17"/>
    <w:rPr>
      <w:sz w:val="24"/>
    </w:rPr>
  </w:style>
  <w:style w:type="paragraph" w:styleId="Heading4">
    <w:name w:val="heading 4"/>
    <w:basedOn w:val="Normal"/>
    <w:link w:val="Heading4Char"/>
    <w:uiPriority w:val="9"/>
    <w:semiHidden/>
    <w:unhideWhenUsed/>
    <w:qFormat/>
    <w:rsid w:val="0009650F"/>
    <w:pPr>
      <w:spacing w:before="100" w:beforeAutospacing="1" w:after="100" w:afterAutospacing="1"/>
      <w:outlineLvl w:val="3"/>
    </w:pPr>
    <w:rPr>
      <w:rFonts w:eastAsiaTheme="min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F17"/>
    <w:pPr>
      <w:tabs>
        <w:tab w:val="center" w:pos="4320"/>
        <w:tab w:val="right" w:pos="8640"/>
      </w:tabs>
    </w:pPr>
  </w:style>
  <w:style w:type="paragraph" w:customStyle="1" w:styleId="Level1">
    <w:name w:val="Level 1"/>
    <w:basedOn w:val="Normal"/>
    <w:rsid w:val="00532F17"/>
    <w:pPr>
      <w:widowControl w:val="0"/>
    </w:pPr>
  </w:style>
  <w:style w:type="paragraph" w:styleId="Footer">
    <w:name w:val="footer"/>
    <w:basedOn w:val="Normal"/>
    <w:rsid w:val="00532F17"/>
    <w:pPr>
      <w:tabs>
        <w:tab w:val="center" w:pos="4320"/>
        <w:tab w:val="right" w:pos="8640"/>
      </w:tabs>
    </w:pPr>
  </w:style>
  <w:style w:type="character" w:styleId="Hyperlink">
    <w:name w:val="Hyperlink"/>
    <w:basedOn w:val="DefaultParagraphFont"/>
    <w:rsid w:val="00532F17"/>
    <w:rPr>
      <w:color w:val="0000FF"/>
      <w:u w:val="single"/>
    </w:rPr>
  </w:style>
  <w:style w:type="character" w:styleId="PageNumber">
    <w:name w:val="page number"/>
    <w:basedOn w:val="DefaultParagraphFont"/>
    <w:rsid w:val="00532F17"/>
  </w:style>
  <w:style w:type="paragraph" w:styleId="BalloonText">
    <w:name w:val="Balloon Text"/>
    <w:basedOn w:val="Normal"/>
    <w:link w:val="BalloonTextChar"/>
    <w:rsid w:val="00694E07"/>
    <w:rPr>
      <w:rFonts w:ascii="Tahoma" w:hAnsi="Tahoma" w:cs="Tahoma"/>
      <w:sz w:val="16"/>
      <w:szCs w:val="16"/>
    </w:rPr>
  </w:style>
  <w:style w:type="character" w:customStyle="1" w:styleId="BalloonTextChar">
    <w:name w:val="Balloon Text Char"/>
    <w:basedOn w:val="DefaultParagraphFont"/>
    <w:link w:val="BalloonText"/>
    <w:rsid w:val="00694E07"/>
    <w:rPr>
      <w:rFonts w:ascii="Tahoma" w:hAnsi="Tahoma" w:cs="Tahoma"/>
      <w:sz w:val="16"/>
      <w:szCs w:val="16"/>
    </w:rPr>
  </w:style>
  <w:style w:type="paragraph" w:styleId="ListParagraph">
    <w:name w:val="List Paragraph"/>
    <w:basedOn w:val="Normal"/>
    <w:uiPriority w:val="34"/>
    <w:qFormat/>
    <w:rsid w:val="00694E07"/>
    <w:pPr>
      <w:ind w:left="720"/>
    </w:pPr>
  </w:style>
  <w:style w:type="character" w:styleId="CommentReference">
    <w:name w:val="annotation reference"/>
    <w:basedOn w:val="DefaultParagraphFont"/>
    <w:rsid w:val="00580AA5"/>
    <w:rPr>
      <w:sz w:val="16"/>
      <w:szCs w:val="16"/>
    </w:rPr>
  </w:style>
  <w:style w:type="paragraph" w:styleId="CommentText">
    <w:name w:val="annotation text"/>
    <w:basedOn w:val="Normal"/>
    <w:link w:val="CommentTextChar"/>
    <w:rsid w:val="00580AA5"/>
    <w:rPr>
      <w:sz w:val="20"/>
    </w:rPr>
  </w:style>
  <w:style w:type="character" w:customStyle="1" w:styleId="CommentTextChar">
    <w:name w:val="Comment Text Char"/>
    <w:basedOn w:val="DefaultParagraphFont"/>
    <w:link w:val="CommentText"/>
    <w:rsid w:val="00580AA5"/>
  </w:style>
  <w:style w:type="paragraph" w:styleId="CommentSubject">
    <w:name w:val="annotation subject"/>
    <w:basedOn w:val="CommentText"/>
    <w:next w:val="CommentText"/>
    <w:link w:val="CommentSubjectChar"/>
    <w:rsid w:val="00580AA5"/>
    <w:rPr>
      <w:b/>
      <w:bCs/>
    </w:rPr>
  </w:style>
  <w:style w:type="character" w:customStyle="1" w:styleId="CommentSubjectChar">
    <w:name w:val="Comment Subject Char"/>
    <w:basedOn w:val="CommentTextChar"/>
    <w:link w:val="CommentSubject"/>
    <w:rsid w:val="00580AA5"/>
    <w:rPr>
      <w:b/>
      <w:bCs/>
    </w:rPr>
  </w:style>
  <w:style w:type="paragraph" w:styleId="NormalWeb">
    <w:name w:val="Normal (Web)"/>
    <w:basedOn w:val="Normal"/>
    <w:uiPriority w:val="99"/>
    <w:unhideWhenUsed/>
    <w:rsid w:val="00305326"/>
    <w:pPr>
      <w:spacing w:before="100" w:beforeAutospacing="1" w:after="100" w:afterAutospacing="1"/>
    </w:pPr>
    <w:rPr>
      <w:szCs w:val="24"/>
    </w:rPr>
  </w:style>
  <w:style w:type="paragraph" w:styleId="NoSpacing">
    <w:name w:val="No Spacing"/>
    <w:uiPriority w:val="1"/>
    <w:qFormat/>
    <w:rsid w:val="001C4B98"/>
    <w:rPr>
      <w:rFonts w:ascii="Calibri" w:hAnsi="Calibri"/>
      <w:sz w:val="22"/>
      <w:szCs w:val="22"/>
    </w:rPr>
  </w:style>
  <w:style w:type="table" w:styleId="TableGrid">
    <w:name w:val="Table Grid"/>
    <w:basedOn w:val="TableNormal"/>
    <w:rsid w:val="007A7F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32E8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32E83"/>
    <w:rPr>
      <w:rFonts w:ascii="Consolas" w:eastAsiaTheme="minorHAnsi" w:hAnsi="Consolas" w:cstheme="minorBidi"/>
      <w:sz w:val="21"/>
      <w:szCs w:val="21"/>
    </w:rPr>
  </w:style>
  <w:style w:type="character" w:customStyle="1" w:styleId="Heading4Char">
    <w:name w:val="Heading 4 Char"/>
    <w:basedOn w:val="DefaultParagraphFont"/>
    <w:link w:val="Heading4"/>
    <w:uiPriority w:val="9"/>
    <w:semiHidden/>
    <w:rsid w:val="0009650F"/>
    <w:rPr>
      <w:rFonts w:eastAsiaTheme="minorEastAsia"/>
      <w:b/>
      <w:bCs/>
      <w:sz w:val="24"/>
      <w:szCs w:val="24"/>
    </w:rPr>
  </w:style>
  <w:style w:type="paragraph" w:styleId="FootnoteText">
    <w:name w:val="footnote text"/>
    <w:basedOn w:val="Normal"/>
    <w:link w:val="FootnoteTextChar"/>
    <w:rsid w:val="00990112"/>
    <w:rPr>
      <w:sz w:val="20"/>
    </w:rPr>
  </w:style>
  <w:style w:type="character" w:customStyle="1" w:styleId="FootnoteTextChar">
    <w:name w:val="Footnote Text Char"/>
    <w:basedOn w:val="DefaultParagraphFont"/>
    <w:link w:val="FootnoteText"/>
    <w:rsid w:val="00990112"/>
  </w:style>
  <w:style w:type="character" w:styleId="FootnoteReference">
    <w:name w:val="footnote reference"/>
    <w:basedOn w:val="DefaultParagraphFont"/>
    <w:rsid w:val="00990112"/>
    <w:rPr>
      <w:vertAlign w:val="superscript"/>
    </w:rPr>
  </w:style>
  <w:style w:type="paragraph" w:styleId="Quote">
    <w:name w:val="Quote"/>
    <w:basedOn w:val="Normal"/>
    <w:next w:val="Normal"/>
    <w:link w:val="QuoteChar"/>
    <w:uiPriority w:val="29"/>
    <w:qFormat/>
    <w:rsid w:val="007013A9"/>
    <w:rPr>
      <w:i/>
      <w:iCs/>
      <w:color w:val="000000" w:themeColor="text1"/>
    </w:rPr>
  </w:style>
  <w:style w:type="character" w:customStyle="1" w:styleId="QuoteChar">
    <w:name w:val="Quote Char"/>
    <w:basedOn w:val="DefaultParagraphFont"/>
    <w:link w:val="Quote"/>
    <w:uiPriority w:val="29"/>
    <w:rsid w:val="007013A9"/>
    <w:rPr>
      <w:i/>
      <w:iCs/>
      <w:color w:val="000000" w:themeColor="text1"/>
      <w:sz w:val="24"/>
    </w:rPr>
  </w:style>
  <w:style w:type="paragraph" w:styleId="Revision">
    <w:name w:val="Revision"/>
    <w:hidden/>
    <w:uiPriority w:val="99"/>
    <w:semiHidden/>
    <w:rsid w:val="007E608C"/>
    <w:rPr>
      <w:sz w:val="24"/>
    </w:rPr>
  </w:style>
  <w:style w:type="character" w:styleId="Strong">
    <w:name w:val="Strong"/>
    <w:basedOn w:val="DefaultParagraphFont"/>
    <w:uiPriority w:val="22"/>
    <w:qFormat/>
    <w:rsid w:val="00E03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111">
      <w:bodyDiv w:val="1"/>
      <w:marLeft w:val="0"/>
      <w:marRight w:val="0"/>
      <w:marTop w:val="0"/>
      <w:marBottom w:val="0"/>
      <w:divBdr>
        <w:top w:val="none" w:sz="0" w:space="0" w:color="auto"/>
        <w:left w:val="none" w:sz="0" w:space="0" w:color="auto"/>
        <w:bottom w:val="none" w:sz="0" w:space="0" w:color="auto"/>
        <w:right w:val="none" w:sz="0" w:space="0" w:color="auto"/>
      </w:divBdr>
    </w:div>
    <w:div w:id="199513709">
      <w:bodyDiv w:val="1"/>
      <w:marLeft w:val="0"/>
      <w:marRight w:val="0"/>
      <w:marTop w:val="0"/>
      <w:marBottom w:val="0"/>
      <w:divBdr>
        <w:top w:val="none" w:sz="0" w:space="0" w:color="auto"/>
        <w:left w:val="none" w:sz="0" w:space="0" w:color="auto"/>
        <w:bottom w:val="none" w:sz="0" w:space="0" w:color="auto"/>
        <w:right w:val="none" w:sz="0" w:space="0" w:color="auto"/>
      </w:divBdr>
      <w:divsChild>
        <w:div w:id="450636890">
          <w:marLeft w:val="0"/>
          <w:marRight w:val="0"/>
          <w:marTop w:val="0"/>
          <w:marBottom w:val="0"/>
          <w:divBdr>
            <w:top w:val="none" w:sz="0" w:space="0" w:color="auto"/>
            <w:left w:val="none" w:sz="0" w:space="0" w:color="auto"/>
            <w:bottom w:val="none" w:sz="0" w:space="0" w:color="auto"/>
            <w:right w:val="none" w:sz="0" w:space="0" w:color="auto"/>
          </w:divBdr>
          <w:divsChild>
            <w:div w:id="749546249">
              <w:marLeft w:val="0"/>
              <w:marRight w:val="0"/>
              <w:marTop w:val="0"/>
              <w:marBottom w:val="0"/>
              <w:divBdr>
                <w:top w:val="none" w:sz="0" w:space="0" w:color="auto"/>
                <w:left w:val="none" w:sz="0" w:space="0" w:color="auto"/>
                <w:bottom w:val="none" w:sz="0" w:space="0" w:color="auto"/>
                <w:right w:val="none" w:sz="0" w:space="0" w:color="auto"/>
              </w:divBdr>
              <w:divsChild>
                <w:div w:id="572548908">
                  <w:marLeft w:val="0"/>
                  <w:marRight w:val="0"/>
                  <w:marTop w:val="0"/>
                  <w:marBottom w:val="30"/>
                  <w:divBdr>
                    <w:top w:val="none" w:sz="0" w:space="0" w:color="auto"/>
                    <w:left w:val="none" w:sz="0" w:space="0" w:color="auto"/>
                    <w:bottom w:val="none" w:sz="0" w:space="0" w:color="auto"/>
                    <w:right w:val="none" w:sz="0" w:space="0" w:color="auto"/>
                  </w:divBdr>
                  <w:divsChild>
                    <w:div w:id="113330115">
                      <w:marLeft w:val="0"/>
                      <w:marRight w:val="0"/>
                      <w:marTop w:val="0"/>
                      <w:marBottom w:val="0"/>
                      <w:divBdr>
                        <w:top w:val="none" w:sz="0" w:space="0" w:color="auto"/>
                        <w:left w:val="none" w:sz="0" w:space="0" w:color="auto"/>
                        <w:bottom w:val="none" w:sz="0" w:space="0" w:color="auto"/>
                        <w:right w:val="none" w:sz="0" w:space="0" w:color="auto"/>
                      </w:divBdr>
                      <w:divsChild>
                        <w:div w:id="470905357">
                          <w:marLeft w:val="300"/>
                          <w:marRight w:val="0"/>
                          <w:marTop w:val="0"/>
                          <w:marBottom w:val="0"/>
                          <w:divBdr>
                            <w:top w:val="none" w:sz="0" w:space="0" w:color="auto"/>
                            <w:left w:val="none" w:sz="0" w:space="0" w:color="auto"/>
                            <w:bottom w:val="none" w:sz="0" w:space="0" w:color="auto"/>
                            <w:right w:val="none" w:sz="0" w:space="0" w:color="auto"/>
                          </w:divBdr>
                          <w:divsChild>
                            <w:div w:id="63651915">
                              <w:marLeft w:val="0"/>
                              <w:marRight w:val="0"/>
                              <w:marTop w:val="0"/>
                              <w:marBottom w:val="0"/>
                              <w:divBdr>
                                <w:top w:val="none" w:sz="0" w:space="0" w:color="auto"/>
                                <w:left w:val="none" w:sz="0" w:space="0" w:color="auto"/>
                                <w:bottom w:val="none" w:sz="0" w:space="0" w:color="auto"/>
                                <w:right w:val="none" w:sz="0" w:space="0" w:color="auto"/>
                              </w:divBdr>
                              <w:divsChild>
                                <w:div w:id="1718965054">
                                  <w:marLeft w:val="0"/>
                                  <w:marRight w:val="0"/>
                                  <w:marTop w:val="0"/>
                                  <w:marBottom w:val="240"/>
                                  <w:divBdr>
                                    <w:top w:val="none" w:sz="0" w:space="0" w:color="auto"/>
                                    <w:left w:val="none" w:sz="0" w:space="0" w:color="auto"/>
                                    <w:bottom w:val="none" w:sz="0" w:space="0" w:color="auto"/>
                                    <w:right w:val="none" w:sz="0" w:space="0" w:color="auto"/>
                                  </w:divBdr>
                                  <w:divsChild>
                                    <w:div w:id="1589340277">
                                      <w:marLeft w:val="0"/>
                                      <w:marRight w:val="0"/>
                                      <w:marTop w:val="0"/>
                                      <w:marBottom w:val="0"/>
                                      <w:divBdr>
                                        <w:top w:val="none" w:sz="0" w:space="0" w:color="auto"/>
                                        <w:left w:val="none" w:sz="0" w:space="0" w:color="auto"/>
                                        <w:bottom w:val="none" w:sz="0" w:space="0" w:color="auto"/>
                                        <w:right w:val="none" w:sz="0" w:space="0" w:color="auto"/>
                                      </w:divBdr>
                                      <w:divsChild>
                                        <w:div w:id="1603338729">
                                          <w:marLeft w:val="0"/>
                                          <w:marRight w:val="0"/>
                                          <w:marTop w:val="0"/>
                                          <w:marBottom w:val="0"/>
                                          <w:divBdr>
                                            <w:top w:val="none" w:sz="0" w:space="0" w:color="auto"/>
                                            <w:left w:val="none" w:sz="0" w:space="0" w:color="auto"/>
                                            <w:bottom w:val="none" w:sz="0" w:space="0" w:color="auto"/>
                                            <w:right w:val="none" w:sz="0" w:space="0" w:color="auto"/>
                                          </w:divBdr>
                                          <w:divsChild>
                                            <w:div w:id="1340691147">
                                              <w:marLeft w:val="0"/>
                                              <w:marRight w:val="0"/>
                                              <w:marTop w:val="0"/>
                                              <w:marBottom w:val="0"/>
                                              <w:divBdr>
                                                <w:top w:val="none" w:sz="0" w:space="0" w:color="auto"/>
                                                <w:left w:val="none" w:sz="0" w:space="0" w:color="auto"/>
                                                <w:bottom w:val="none" w:sz="0" w:space="0" w:color="auto"/>
                                                <w:right w:val="none" w:sz="0" w:space="0" w:color="auto"/>
                                              </w:divBdr>
                                              <w:divsChild>
                                                <w:div w:id="1633318355">
                                                  <w:marLeft w:val="0"/>
                                                  <w:marRight w:val="0"/>
                                                  <w:marTop w:val="0"/>
                                                  <w:marBottom w:val="0"/>
                                                  <w:divBdr>
                                                    <w:top w:val="none" w:sz="0" w:space="0" w:color="auto"/>
                                                    <w:left w:val="none" w:sz="0" w:space="0" w:color="auto"/>
                                                    <w:bottom w:val="none" w:sz="0" w:space="0" w:color="auto"/>
                                                    <w:right w:val="none" w:sz="0" w:space="0" w:color="auto"/>
                                                  </w:divBdr>
                                                  <w:divsChild>
                                                    <w:div w:id="1061176851">
                                                      <w:marLeft w:val="0"/>
                                                      <w:marRight w:val="0"/>
                                                      <w:marTop w:val="0"/>
                                                      <w:marBottom w:val="0"/>
                                                      <w:divBdr>
                                                        <w:top w:val="none" w:sz="0" w:space="0" w:color="auto"/>
                                                        <w:left w:val="none" w:sz="0" w:space="0" w:color="auto"/>
                                                        <w:bottom w:val="none" w:sz="0" w:space="0" w:color="auto"/>
                                                        <w:right w:val="none" w:sz="0" w:space="0" w:color="auto"/>
                                                      </w:divBdr>
                                                      <w:divsChild>
                                                        <w:div w:id="7091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5552122">
      <w:bodyDiv w:val="1"/>
      <w:marLeft w:val="0"/>
      <w:marRight w:val="0"/>
      <w:marTop w:val="0"/>
      <w:marBottom w:val="0"/>
      <w:divBdr>
        <w:top w:val="none" w:sz="0" w:space="0" w:color="auto"/>
        <w:left w:val="none" w:sz="0" w:space="0" w:color="auto"/>
        <w:bottom w:val="none" w:sz="0" w:space="0" w:color="auto"/>
        <w:right w:val="none" w:sz="0" w:space="0" w:color="auto"/>
      </w:divBdr>
      <w:divsChild>
        <w:div w:id="1688367964">
          <w:marLeft w:val="1008"/>
          <w:marRight w:val="0"/>
          <w:marTop w:val="53"/>
          <w:marBottom w:val="0"/>
          <w:divBdr>
            <w:top w:val="none" w:sz="0" w:space="0" w:color="auto"/>
            <w:left w:val="none" w:sz="0" w:space="0" w:color="auto"/>
            <w:bottom w:val="none" w:sz="0" w:space="0" w:color="auto"/>
            <w:right w:val="none" w:sz="0" w:space="0" w:color="auto"/>
          </w:divBdr>
        </w:div>
        <w:div w:id="2020959760">
          <w:marLeft w:val="1008"/>
          <w:marRight w:val="0"/>
          <w:marTop w:val="53"/>
          <w:marBottom w:val="0"/>
          <w:divBdr>
            <w:top w:val="none" w:sz="0" w:space="0" w:color="auto"/>
            <w:left w:val="none" w:sz="0" w:space="0" w:color="auto"/>
            <w:bottom w:val="none" w:sz="0" w:space="0" w:color="auto"/>
            <w:right w:val="none" w:sz="0" w:space="0" w:color="auto"/>
          </w:divBdr>
        </w:div>
      </w:divsChild>
    </w:div>
    <w:div w:id="455293125">
      <w:bodyDiv w:val="1"/>
      <w:marLeft w:val="0"/>
      <w:marRight w:val="0"/>
      <w:marTop w:val="0"/>
      <w:marBottom w:val="0"/>
      <w:divBdr>
        <w:top w:val="none" w:sz="0" w:space="0" w:color="auto"/>
        <w:left w:val="none" w:sz="0" w:space="0" w:color="auto"/>
        <w:bottom w:val="none" w:sz="0" w:space="0" w:color="auto"/>
        <w:right w:val="none" w:sz="0" w:space="0" w:color="auto"/>
      </w:divBdr>
    </w:div>
    <w:div w:id="472602778">
      <w:bodyDiv w:val="1"/>
      <w:marLeft w:val="0"/>
      <w:marRight w:val="0"/>
      <w:marTop w:val="0"/>
      <w:marBottom w:val="0"/>
      <w:divBdr>
        <w:top w:val="none" w:sz="0" w:space="0" w:color="auto"/>
        <w:left w:val="none" w:sz="0" w:space="0" w:color="auto"/>
        <w:bottom w:val="none" w:sz="0" w:space="0" w:color="auto"/>
        <w:right w:val="none" w:sz="0" w:space="0" w:color="auto"/>
      </w:divBdr>
    </w:div>
    <w:div w:id="563029888">
      <w:bodyDiv w:val="1"/>
      <w:marLeft w:val="0"/>
      <w:marRight w:val="0"/>
      <w:marTop w:val="0"/>
      <w:marBottom w:val="0"/>
      <w:divBdr>
        <w:top w:val="none" w:sz="0" w:space="0" w:color="auto"/>
        <w:left w:val="none" w:sz="0" w:space="0" w:color="auto"/>
        <w:bottom w:val="none" w:sz="0" w:space="0" w:color="auto"/>
        <w:right w:val="none" w:sz="0" w:space="0" w:color="auto"/>
      </w:divBdr>
    </w:div>
    <w:div w:id="577175766">
      <w:bodyDiv w:val="1"/>
      <w:marLeft w:val="0"/>
      <w:marRight w:val="0"/>
      <w:marTop w:val="0"/>
      <w:marBottom w:val="0"/>
      <w:divBdr>
        <w:top w:val="none" w:sz="0" w:space="0" w:color="auto"/>
        <w:left w:val="none" w:sz="0" w:space="0" w:color="auto"/>
        <w:bottom w:val="none" w:sz="0" w:space="0" w:color="auto"/>
        <w:right w:val="none" w:sz="0" w:space="0" w:color="auto"/>
      </w:divBdr>
    </w:div>
    <w:div w:id="589043540">
      <w:bodyDiv w:val="1"/>
      <w:marLeft w:val="0"/>
      <w:marRight w:val="0"/>
      <w:marTop w:val="0"/>
      <w:marBottom w:val="0"/>
      <w:divBdr>
        <w:top w:val="none" w:sz="0" w:space="0" w:color="auto"/>
        <w:left w:val="none" w:sz="0" w:space="0" w:color="auto"/>
        <w:bottom w:val="none" w:sz="0" w:space="0" w:color="auto"/>
        <w:right w:val="none" w:sz="0" w:space="0" w:color="auto"/>
      </w:divBdr>
      <w:divsChild>
        <w:div w:id="116319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633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15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8391576">
      <w:bodyDiv w:val="1"/>
      <w:marLeft w:val="0"/>
      <w:marRight w:val="0"/>
      <w:marTop w:val="0"/>
      <w:marBottom w:val="0"/>
      <w:divBdr>
        <w:top w:val="none" w:sz="0" w:space="0" w:color="auto"/>
        <w:left w:val="none" w:sz="0" w:space="0" w:color="auto"/>
        <w:bottom w:val="none" w:sz="0" w:space="0" w:color="auto"/>
        <w:right w:val="none" w:sz="0" w:space="0" w:color="auto"/>
      </w:divBdr>
    </w:div>
    <w:div w:id="706031181">
      <w:bodyDiv w:val="1"/>
      <w:marLeft w:val="0"/>
      <w:marRight w:val="0"/>
      <w:marTop w:val="0"/>
      <w:marBottom w:val="0"/>
      <w:divBdr>
        <w:top w:val="none" w:sz="0" w:space="0" w:color="auto"/>
        <w:left w:val="none" w:sz="0" w:space="0" w:color="auto"/>
        <w:bottom w:val="none" w:sz="0" w:space="0" w:color="auto"/>
        <w:right w:val="none" w:sz="0" w:space="0" w:color="auto"/>
      </w:divBdr>
    </w:div>
    <w:div w:id="921642430">
      <w:bodyDiv w:val="1"/>
      <w:marLeft w:val="0"/>
      <w:marRight w:val="0"/>
      <w:marTop w:val="0"/>
      <w:marBottom w:val="0"/>
      <w:divBdr>
        <w:top w:val="none" w:sz="0" w:space="0" w:color="auto"/>
        <w:left w:val="none" w:sz="0" w:space="0" w:color="auto"/>
        <w:bottom w:val="none" w:sz="0" w:space="0" w:color="auto"/>
        <w:right w:val="none" w:sz="0" w:space="0" w:color="auto"/>
      </w:divBdr>
      <w:divsChild>
        <w:div w:id="1961564673">
          <w:marLeft w:val="1008"/>
          <w:marRight w:val="0"/>
          <w:marTop w:val="62"/>
          <w:marBottom w:val="0"/>
          <w:divBdr>
            <w:top w:val="none" w:sz="0" w:space="0" w:color="auto"/>
            <w:left w:val="none" w:sz="0" w:space="0" w:color="auto"/>
            <w:bottom w:val="none" w:sz="0" w:space="0" w:color="auto"/>
            <w:right w:val="none" w:sz="0" w:space="0" w:color="auto"/>
          </w:divBdr>
        </w:div>
        <w:div w:id="926035739">
          <w:marLeft w:val="1008"/>
          <w:marRight w:val="0"/>
          <w:marTop w:val="62"/>
          <w:marBottom w:val="0"/>
          <w:divBdr>
            <w:top w:val="none" w:sz="0" w:space="0" w:color="auto"/>
            <w:left w:val="none" w:sz="0" w:space="0" w:color="auto"/>
            <w:bottom w:val="none" w:sz="0" w:space="0" w:color="auto"/>
            <w:right w:val="none" w:sz="0" w:space="0" w:color="auto"/>
          </w:divBdr>
        </w:div>
        <w:div w:id="1235360024">
          <w:marLeft w:val="1008"/>
          <w:marRight w:val="0"/>
          <w:marTop w:val="62"/>
          <w:marBottom w:val="0"/>
          <w:divBdr>
            <w:top w:val="none" w:sz="0" w:space="0" w:color="auto"/>
            <w:left w:val="none" w:sz="0" w:space="0" w:color="auto"/>
            <w:bottom w:val="none" w:sz="0" w:space="0" w:color="auto"/>
            <w:right w:val="none" w:sz="0" w:space="0" w:color="auto"/>
          </w:divBdr>
        </w:div>
      </w:divsChild>
    </w:div>
    <w:div w:id="986201544">
      <w:bodyDiv w:val="1"/>
      <w:marLeft w:val="0"/>
      <w:marRight w:val="0"/>
      <w:marTop w:val="0"/>
      <w:marBottom w:val="0"/>
      <w:divBdr>
        <w:top w:val="none" w:sz="0" w:space="0" w:color="auto"/>
        <w:left w:val="none" w:sz="0" w:space="0" w:color="auto"/>
        <w:bottom w:val="none" w:sz="0" w:space="0" w:color="auto"/>
        <w:right w:val="none" w:sz="0" w:space="0" w:color="auto"/>
      </w:divBdr>
      <w:divsChild>
        <w:div w:id="142819484">
          <w:marLeft w:val="547"/>
          <w:marRight w:val="0"/>
          <w:marTop w:val="91"/>
          <w:marBottom w:val="0"/>
          <w:divBdr>
            <w:top w:val="none" w:sz="0" w:space="0" w:color="auto"/>
            <w:left w:val="none" w:sz="0" w:space="0" w:color="auto"/>
            <w:bottom w:val="none" w:sz="0" w:space="0" w:color="auto"/>
            <w:right w:val="none" w:sz="0" w:space="0" w:color="auto"/>
          </w:divBdr>
        </w:div>
        <w:div w:id="459349290">
          <w:marLeft w:val="547"/>
          <w:marRight w:val="0"/>
          <w:marTop w:val="91"/>
          <w:marBottom w:val="0"/>
          <w:divBdr>
            <w:top w:val="none" w:sz="0" w:space="0" w:color="auto"/>
            <w:left w:val="none" w:sz="0" w:space="0" w:color="auto"/>
            <w:bottom w:val="none" w:sz="0" w:space="0" w:color="auto"/>
            <w:right w:val="none" w:sz="0" w:space="0" w:color="auto"/>
          </w:divBdr>
        </w:div>
        <w:div w:id="1008675145">
          <w:marLeft w:val="547"/>
          <w:marRight w:val="0"/>
          <w:marTop w:val="91"/>
          <w:marBottom w:val="0"/>
          <w:divBdr>
            <w:top w:val="none" w:sz="0" w:space="0" w:color="auto"/>
            <w:left w:val="none" w:sz="0" w:space="0" w:color="auto"/>
            <w:bottom w:val="none" w:sz="0" w:space="0" w:color="auto"/>
            <w:right w:val="none" w:sz="0" w:space="0" w:color="auto"/>
          </w:divBdr>
        </w:div>
        <w:div w:id="1669676478">
          <w:marLeft w:val="547"/>
          <w:marRight w:val="0"/>
          <w:marTop w:val="91"/>
          <w:marBottom w:val="0"/>
          <w:divBdr>
            <w:top w:val="none" w:sz="0" w:space="0" w:color="auto"/>
            <w:left w:val="none" w:sz="0" w:space="0" w:color="auto"/>
            <w:bottom w:val="none" w:sz="0" w:space="0" w:color="auto"/>
            <w:right w:val="none" w:sz="0" w:space="0" w:color="auto"/>
          </w:divBdr>
        </w:div>
      </w:divsChild>
    </w:div>
    <w:div w:id="1049262866">
      <w:bodyDiv w:val="1"/>
      <w:marLeft w:val="0"/>
      <w:marRight w:val="0"/>
      <w:marTop w:val="0"/>
      <w:marBottom w:val="0"/>
      <w:divBdr>
        <w:top w:val="none" w:sz="0" w:space="0" w:color="auto"/>
        <w:left w:val="none" w:sz="0" w:space="0" w:color="auto"/>
        <w:bottom w:val="none" w:sz="0" w:space="0" w:color="auto"/>
        <w:right w:val="none" w:sz="0" w:space="0" w:color="auto"/>
      </w:divBdr>
      <w:divsChild>
        <w:div w:id="1857034477">
          <w:marLeft w:val="1008"/>
          <w:marRight w:val="0"/>
          <w:marTop w:val="53"/>
          <w:marBottom w:val="0"/>
          <w:divBdr>
            <w:top w:val="none" w:sz="0" w:space="0" w:color="auto"/>
            <w:left w:val="none" w:sz="0" w:space="0" w:color="auto"/>
            <w:bottom w:val="none" w:sz="0" w:space="0" w:color="auto"/>
            <w:right w:val="none" w:sz="0" w:space="0" w:color="auto"/>
          </w:divBdr>
        </w:div>
      </w:divsChild>
    </w:div>
    <w:div w:id="1130824597">
      <w:bodyDiv w:val="1"/>
      <w:marLeft w:val="0"/>
      <w:marRight w:val="0"/>
      <w:marTop w:val="0"/>
      <w:marBottom w:val="0"/>
      <w:divBdr>
        <w:top w:val="none" w:sz="0" w:space="0" w:color="auto"/>
        <w:left w:val="none" w:sz="0" w:space="0" w:color="auto"/>
        <w:bottom w:val="none" w:sz="0" w:space="0" w:color="auto"/>
        <w:right w:val="none" w:sz="0" w:space="0" w:color="auto"/>
      </w:divBdr>
      <w:divsChild>
        <w:div w:id="229968605">
          <w:marLeft w:val="1008"/>
          <w:marRight w:val="0"/>
          <w:marTop w:val="62"/>
          <w:marBottom w:val="0"/>
          <w:divBdr>
            <w:top w:val="none" w:sz="0" w:space="0" w:color="auto"/>
            <w:left w:val="none" w:sz="0" w:space="0" w:color="auto"/>
            <w:bottom w:val="none" w:sz="0" w:space="0" w:color="auto"/>
            <w:right w:val="none" w:sz="0" w:space="0" w:color="auto"/>
          </w:divBdr>
        </w:div>
      </w:divsChild>
    </w:div>
    <w:div w:id="1288388813">
      <w:bodyDiv w:val="1"/>
      <w:marLeft w:val="0"/>
      <w:marRight w:val="0"/>
      <w:marTop w:val="0"/>
      <w:marBottom w:val="0"/>
      <w:divBdr>
        <w:top w:val="none" w:sz="0" w:space="0" w:color="auto"/>
        <w:left w:val="none" w:sz="0" w:space="0" w:color="auto"/>
        <w:bottom w:val="none" w:sz="0" w:space="0" w:color="auto"/>
        <w:right w:val="none" w:sz="0" w:space="0" w:color="auto"/>
      </w:divBdr>
      <w:divsChild>
        <w:div w:id="108285672">
          <w:marLeft w:val="0"/>
          <w:marRight w:val="0"/>
          <w:marTop w:val="0"/>
          <w:marBottom w:val="0"/>
          <w:divBdr>
            <w:top w:val="none" w:sz="0" w:space="0" w:color="auto"/>
            <w:left w:val="none" w:sz="0" w:space="0" w:color="auto"/>
            <w:bottom w:val="none" w:sz="0" w:space="0" w:color="auto"/>
            <w:right w:val="none" w:sz="0" w:space="0" w:color="auto"/>
          </w:divBdr>
        </w:div>
      </w:divsChild>
    </w:div>
    <w:div w:id="1309047825">
      <w:bodyDiv w:val="1"/>
      <w:marLeft w:val="0"/>
      <w:marRight w:val="0"/>
      <w:marTop w:val="0"/>
      <w:marBottom w:val="0"/>
      <w:divBdr>
        <w:top w:val="none" w:sz="0" w:space="0" w:color="auto"/>
        <w:left w:val="none" w:sz="0" w:space="0" w:color="auto"/>
        <w:bottom w:val="none" w:sz="0" w:space="0" w:color="auto"/>
        <w:right w:val="none" w:sz="0" w:space="0" w:color="auto"/>
      </w:divBdr>
    </w:div>
    <w:div w:id="1404713729">
      <w:bodyDiv w:val="1"/>
      <w:marLeft w:val="0"/>
      <w:marRight w:val="0"/>
      <w:marTop w:val="0"/>
      <w:marBottom w:val="0"/>
      <w:divBdr>
        <w:top w:val="none" w:sz="0" w:space="0" w:color="auto"/>
        <w:left w:val="none" w:sz="0" w:space="0" w:color="auto"/>
        <w:bottom w:val="none" w:sz="0" w:space="0" w:color="auto"/>
        <w:right w:val="none" w:sz="0" w:space="0" w:color="auto"/>
      </w:divBdr>
      <w:divsChild>
        <w:div w:id="980572351">
          <w:marLeft w:val="1008"/>
          <w:marRight w:val="0"/>
          <w:marTop w:val="53"/>
          <w:marBottom w:val="0"/>
          <w:divBdr>
            <w:top w:val="none" w:sz="0" w:space="0" w:color="auto"/>
            <w:left w:val="none" w:sz="0" w:space="0" w:color="auto"/>
            <w:bottom w:val="none" w:sz="0" w:space="0" w:color="auto"/>
            <w:right w:val="none" w:sz="0" w:space="0" w:color="auto"/>
          </w:divBdr>
        </w:div>
        <w:div w:id="789780946">
          <w:marLeft w:val="1008"/>
          <w:marRight w:val="0"/>
          <w:marTop w:val="53"/>
          <w:marBottom w:val="0"/>
          <w:divBdr>
            <w:top w:val="none" w:sz="0" w:space="0" w:color="auto"/>
            <w:left w:val="none" w:sz="0" w:space="0" w:color="auto"/>
            <w:bottom w:val="none" w:sz="0" w:space="0" w:color="auto"/>
            <w:right w:val="none" w:sz="0" w:space="0" w:color="auto"/>
          </w:divBdr>
        </w:div>
        <w:div w:id="825322001">
          <w:marLeft w:val="1008"/>
          <w:marRight w:val="0"/>
          <w:marTop w:val="53"/>
          <w:marBottom w:val="0"/>
          <w:divBdr>
            <w:top w:val="none" w:sz="0" w:space="0" w:color="auto"/>
            <w:left w:val="none" w:sz="0" w:space="0" w:color="auto"/>
            <w:bottom w:val="none" w:sz="0" w:space="0" w:color="auto"/>
            <w:right w:val="none" w:sz="0" w:space="0" w:color="auto"/>
          </w:divBdr>
        </w:div>
        <w:div w:id="969213497">
          <w:marLeft w:val="1008"/>
          <w:marRight w:val="0"/>
          <w:marTop w:val="53"/>
          <w:marBottom w:val="0"/>
          <w:divBdr>
            <w:top w:val="none" w:sz="0" w:space="0" w:color="auto"/>
            <w:left w:val="none" w:sz="0" w:space="0" w:color="auto"/>
            <w:bottom w:val="none" w:sz="0" w:space="0" w:color="auto"/>
            <w:right w:val="none" w:sz="0" w:space="0" w:color="auto"/>
          </w:divBdr>
        </w:div>
        <w:div w:id="1500198434">
          <w:marLeft w:val="1008"/>
          <w:marRight w:val="0"/>
          <w:marTop w:val="53"/>
          <w:marBottom w:val="0"/>
          <w:divBdr>
            <w:top w:val="none" w:sz="0" w:space="0" w:color="auto"/>
            <w:left w:val="none" w:sz="0" w:space="0" w:color="auto"/>
            <w:bottom w:val="none" w:sz="0" w:space="0" w:color="auto"/>
            <w:right w:val="none" w:sz="0" w:space="0" w:color="auto"/>
          </w:divBdr>
        </w:div>
      </w:divsChild>
    </w:div>
    <w:div w:id="1546524269">
      <w:bodyDiv w:val="1"/>
      <w:marLeft w:val="0"/>
      <w:marRight w:val="0"/>
      <w:marTop w:val="0"/>
      <w:marBottom w:val="0"/>
      <w:divBdr>
        <w:top w:val="none" w:sz="0" w:space="0" w:color="auto"/>
        <w:left w:val="none" w:sz="0" w:space="0" w:color="auto"/>
        <w:bottom w:val="none" w:sz="0" w:space="0" w:color="auto"/>
        <w:right w:val="none" w:sz="0" w:space="0" w:color="auto"/>
      </w:divBdr>
      <w:divsChild>
        <w:div w:id="1330524500">
          <w:marLeft w:val="1008"/>
          <w:marRight w:val="0"/>
          <w:marTop w:val="62"/>
          <w:marBottom w:val="0"/>
          <w:divBdr>
            <w:top w:val="none" w:sz="0" w:space="0" w:color="auto"/>
            <w:left w:val="none" w:sz="0" w:space="0" w:color="auto"/>
            <w:bottom w:val="none" w:sz="0" w:space="0" w:color="auto"/>
            <w:right w:val="none" w:sz="0" w:space="0" w:color="auto"/>
          </w:divBdr>
        </w:div>
        <w:div w:id="966810915">
          <w:marLeft w:val="1008"/>
          <w:marRight w:val="0"/>
          <w:marTop w:val="62"/>
          <w:marBottom w:val="0"/>
          <w:divBdr>
            <w:top w:val="none" w:sz="0" w:space="0" w:color="auto"/>
            <w:left w:val="none" w:sz="0" w:space="0" w:color="auto"/>
            <w:bottom w:val="none" w:sz="0" w:space="0" w:color="auto"/>
            <w:right w:val="none" w:sz="0" w:space="0" w:color="auto"/>
          </w:divBdr>
        </w:div>
        <w:div w:id="403188661">
          <w:marLeft w:val="1008"/>
          <w:marRight w:val="0"/>
          <w:marTop w:val="62"/>
          <w:marBottom w:val="0"/>
          <w:divBdr>
            <w:top w:val="none" w:sz="0" w:space="0" w:color="auto"/>
            <w:left w:val="none" w:sz="0" w:space="0" w:color="auto"/>
            <w:bottom w:val="none" w:sz="0" w:space="0" w:color="auto"/>
            <w:right w:val="none" w:sz="0" w:space="0" w:color="auto"/>
          </w:divBdr>
        </w:div>
      </w:divsChild>
    </w:div>
    <w:div w:id="15536859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9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257341">
      <w:bodyDiv w:val="1"/>
      <w:marLeft w:val="0"/>
      <w:marRight w:val="0"/>
      <w:marTop w:val="0"/>
      <w:marBottom w:val="0"/>
      <w:divBdr>
        <w:top w:val="none" w:sz="0" w:space="0" w:color="auto"/>
        <w:left w:val="none" w:sz="0" w:space="0" w:color="auto"/>
        <w:bottom w:val="none" w:sz="0" w:space="0" w:color="auto"/>
        <w:right w:val="none" w:sz="0" w:space="0" w:color="auto"/>
      </w:divBdr>
    </w:div>
    <w:div w:id="1648196342">
      <w:bodyDiv w:val="1"/>
      <w:marLeft w:val="0"/>
      <w:marRight w:val="0"/>
      <w:marTop w:val="0"/>
      <w:marBottom w:val="0"/>
      <w:divBdr>
        <w:top w:val="none" w:sz="0" w:space="0" w:color="auto"/>
        <w:left w:val="none" w:sz="0" w:space="0" w:color="auto"/>
        <w:bottom w:val="none" w:sz="0" w:space="0" w:color="auto"/>
        <w:right w:val="none" w:sz="0" w:space="0" w:color="auto"/>
      </w:divBdr>
      <w:divsChild>
        <w:div w:id="305016040">
          <w:marLeft w:val="300"/>
          <w:marRight w:val="300"/>
          <w:marTop w:val="0"/>
          <w:marBottom w:val="0"/>
          <w:divBdr>
            <w:top w:val="none" w:sz="0" w:space="0" w:color="auto"/>
            <w:left w:val="none" w:sz="0" w:space="0" w:color="auto"/>
            <w:bottom w:val="none" w:sz="0" w:space="0" w:color="auto"/>
            <w:right w:val="none" w:sz="0" w:space="0" w:color="auto"/>
          </w:divBdr>
          <w:divsChild>
            <w:div w:id="1416321945">
              <w:marLeft w:val="0"/>
              <w:marRight w:val="0"/>
              <w:marTop w:val="0"/>
              <w:marBottom w:val="0"/>
              <w:divBdr>
                <w:top w:val="none" w:sz="0" w:space="0" w:color="auto"/>
                <w:left w:val="none" w:sz="0" w:space="0" w:color="auto"/>
                <w:bottom w:val="none" w:sz="0" w:space="0" w:color="auto"/>
                <w:right w:val="none" w:sz="0" w:space="0" w:color="auto"/>
              </w:divBdr>
              <w:divsChild>
                <w:div w:id="1030644176">
                  <w:marLeft w:val="300"/>
                  <w:marRight w:val="300"/>
                  <w:marTop w:val="0"/>
                  <w:marBottom w:val="0"/>
                  <w:divBdr>
                    <w:top w:val="none" w:sz="0" w:space="0" w:color="auto"/>
                    <w:left w:val="none" w:sz="0" w:space="0" w:color="auto"/>
                    <w:bottom w:val="none" w:sz="0" w:space="0" w:color="auto"/>
                    <w:right w:val="none" w:sz="0" w:space="0" w:color="auto"/>
                  </w:divBdr>
                  <w:divsChild>
                    <w:div w:id="2084983008">
                      <w:marLeft w:val="0"/>
                      <w:marRight w:val="0"/>
                      <w:marTop w:val="0"/>
                      <w:marBottom w:val="0"/>
                      <w:divBdr>
                        <w:top w:val="none" w:sz="0" w:space="0" w:color="auto"/>
                        <w:left w:val="none" w:sz="0" w:space="0" w:color="auto"/>
                        <w:bottom w:val="none" w:sz="0" w:space="0" w:color="auto"/>
                        <w:right w:val="none" w:sz="0" w:space="0" w:color="auto"/>
                      </w:divBdr>
                      <w:divsChild>
                        <w:div w:id="1446269043">
                          <w:marLeft w:val="0"/>
                          <w:marRight w:val="0"/>
                          <w:marTop w:val="0"/>
                          <w:marBottom w:val="0"/>
                          <w:divBdr>
                            <w:top w:val="none" w:sz="0" w:space="0" w:color="auto"/>
                            <w:left w:val="none" w:sz="0" w:space="0" w:color="auto"/>
                            <w:bottom w:val="none" w:sz="0" w:space="0" w:color="auto"/>
                            <w:right w:val="none" w:sz="0" w:space="0" w:color="auto"/>
                          </w:divBdr>
                          <w:divsChild>
                            <w:div w:id="184058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1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7622">
      <w:bodyDiv w:val="1"/>
      <w:marLeft w:val="0"/>
      <w:marRight w:val="0"/>
      <w:marTop w:val="0"/>
      <w:marBottom w:val="0"/>
      <w:divBdr>
        <w:top w:val="none" w:sz="0" w:space="0" w:color="auto"/>
        <w:left w:val="none" w:sz="0" w:space="0" w:color="auto"/>
        <w:bottom w:val="none" w:sz="0" w:space="0" w:color="auto"/>
        <w:right w:val="none" w:sz="0" w:space="0" w:color="auto"/>
      </w:divBdr>
    </w:div>
    <w:div w:id="1779906732">
      <w:bodyDiv w:val="1"/>
      <w:marLeft w:val="0"/>
      <w:marRight w:val="0"/>
      <w:marTop w:val="0"/>
      <w:marBottom w:val="0"/>
      <w:divBdr>
        <w:top w:val="none" w:sz="0" w:space="0" w:color="auto"/>
        <w:left w:val="none" w:sz="0" w:space="0" w:color="auto"/>
        <w:bottom w:val="none" w:sz="0" w:space="0" w:color="auto"/>
        <w:right w:val="none" w:sz="0" w:space="0" w:color="auto"/>
      </w:divBdr>
    </w:div>
    <w:div w:id="1794400601">
      <w:bodyDiv w:val="1"/>
      <w:marLeft w:val="0"/>
      <w:marRight w:val="0"/>
      <w:marTop w:val="0"/>
      <w:marBottom w:val="0"/>
      <w:divBdr>
        <w:top w:val="none" w:sz="0" w:space="0" w:color="auto"/>
        <w:left w:val="none" w:sz="0" w:space="0" w:color="auto"/>
        <w:bottom w:val="none" w:sz="0" w:space="0" w:color="auto"/>
        <w:right w:val="none" w:sz="0" w:space="0" w:color="auto"/>
      </w:divBdr>
      <w:divsChild>
        <w:div w:id="1576355801">
          <w:marLeft w:val="300"/>
          <w:marRight w:val="300"/>
          <w:marTop w:val="0"/>
          <w:marBottom w:val="0"/>
          <w:divBdr>
            <w:top w:val="none" w:sz="0" w:space="0" w:color="auto"/>
            <w:left w:val="none" w:sz="0" w:space="0" w:color="auto"/>
            <w:bottom w:val="none" w:sz="0" w:space="0" w:color="auto"/>
            <w:right w:val="none" w:sz="0" w:space="0" w:color="auto"/>
          </w:divBdr>
          <w:divsChild>
            <w:div w:id="1910378766">
              <w:marLeft w:val="0"/>
              <w:marRight w:val="0"/>
              <w:marTop w:val="0"/>
              <w:marBottom w:val="0"/>
              <w:divBdr>
                <w:top w:val="none" w:sz="0" w:space="0" w:color="auto"/>
                <w:left w:val="none" w:sz="0" w:space="0" w:color="auto"/>
                <w:bottom w:val="none" w:sz="0" w:space="0" w:color="auto"/>
                <w:right w:val="none" w:sz="0" w:space="0" w:color="auto"/>
              </w:divBdr>
              <w:divsChild>
                <w:div w:id="563099811">
                  <w:marLeft w:val="300"/>
                  <w:marRight w:val="300"/>
                  <w:marTop w:val="0"/>
                  <w:marBottom w:val="0"/>
                  <w:divBdr>
                    <w:top w:val="none" w:sz="0" w:space="0" w:color="auto"/>
                    <w:left w:val="none" w:sz="0" w:space="0" w:color="auto"/>
                    <w:bottom w:val="none" w:sz="0" w:space="0" w:color="auto"/>
                    <w:right w:val="none" w:sz="0" w:space="0" w:color="auto"/>
                  </w:divBdr>
                  <w:divsChild>
                    <w:div w:id="1465080953">
                      <w:marLeft w:val="0"/>
                      <w:marRight w:val="0"/>
                      <w:marTop w:val="0"/>
                      <w:marBottom w:val="0"/>
                      <w:divBdr>
                        <w:top w:val="none" w:sz="0" w:space="0" w:color="auto"/>
                        <w:left w:val="none" w:sz="0" w:space="0" w:color="auto"/>
                        <w:bottom w:val="none" w:sz="0" w:space="0" w:color="auto"/>
                        <w:right w:val="none" w:sz="0" w:space="0" w:color="auto"/>
                      </w:divBdr>
                      <w:divsChild>
                        <w:div w:id="10100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1116">
      <w:bodyDiv w:val="1"/>
      <w:marLeft w:val="0"/>
      <w:marRight w:val="0"/>
      <w:marTop w:val="0"/>
      <w:marBottom w:val="0"/>
      <w:divBdr>
        <w:top w:val="none" w:sz="0" w:space="0" w:color="auto"/>
        <w:left w:val="none" w:sz="0" w:space="0" w:color="auto"/>
        <w:bottom w:val="none" w:sz="0" w:space="0" w:color="auto"/>
        <w:right w:val="none" w:sz="0" w:space="0" w:color="auto"/>
      </w:divBdr>
      <w:divsChild>
        <w:div w:id="1427573914">
          <w:marLeft w:val="1008"/>
          <w:marRight w:val="0"/>
          <w:marTop w:val="62"/>
          <w:marBottom w:val="0"/>
          <w:divBdr>
            <w:top w:val="none" w:sz="0" w:space="0" w:color="auto"/>
            <w:left w:val="none" w:sz="0" w:space="0" w:color="auto"/>
            <w:bottom w:val="none" w:sz="0" w:space="0" w:color="auto"/>
            <w:right w:val="none" w:sz="0" w:space="0" w:color="auto"/>
          </w:divBdr>
        </w:div>
      </w:divsChild>
    </w:div>
    <w:div w:id="1869485436">
      <w:bodyDiv w:val="1"/>
      <w:marLeft w:val="0"/>
      <w:marRight w:val="0"/>
      <w:marTop w:val="0"/>
      <w:marBottom w:val="0"/>
      <w:divBdr>
        <w:top w:val="none" w:sz="0" w:space="0" w:color="auto"/>
        <w:left w:val="none" w:sz="0" w:space="0" w:color="auto"/>
        <w:bottom w:val="none" w:sz="0" w:space="0" w:color="auto"/>
        <w:right w:val="none" w:sz="0" w:space="0" w:color="auto"/>
      </w:divBdr>
      <w:divsChild>
        <w:div w:id="196693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641584">
      <w:bodyDiv w:val="1"/>
      <w:marLeft w:val="0"/>
      <w:marRight w:val="0"/>
      <w:marTop w:val="0"/>
      <w:marBottom w:val="0"/>
      <w:divBdr>
        <w:top w:val="none" w:sz="0" w:space="0" w:color="auto"/>
        <w:left w:val="none" w:sz="0" w:space="0" w:color="auto"/>
        <w:bottom w:val="none" w:sz="0" w:space="0" w:color="auto"/>
        <w:right w:val="none" w:sz="0" w:space="0" w:color="auto"/>
      </w:divBdr>
    </w:div>
    <w:div w:id="1951400636">
      <w:bodyDiv w:val="1"/>
      <w:marLeft w:val="0"/>
      <w:marRight w:val="0"/>
      <w:marTop w:val="0"/>
      <w:marBottom w:val="0"/>
      <w:divBdr>
        <w:top w:val="none" w:sz="0" w:space="0" w:color="auto"/>
        <w:left w:val="none" w:sz="0" w:space="0" w:color="auto"/>
        <w:bottom w:val="none" w:sz="0" w:space="0" w:color="auto"/>
        <w:right w:val="none" w:sz="0" w:space="0" w:color="auto"/>
      </w:divBdr>
      <w:divsChild>
        <w:div w:id="314650580">
          <w:marLeft w:val="547"/>
          <w:marRight w:val="0"/>
          <w:marTop w:val="106"/>
          <w:marBottom w:val="0"/>
          <w:divBdr>
            <w:top w:val="none" w:sz="0" w:space="0" w:color="auto"/>
            <w:left w:val="none" w:sz="0" w:space="0" w:color="auto"/>
            <w:bottom w:val="none" w:sz="0" w:space="0" w:color="auto"/>
            <w:right w:val="none" w:sz="0" w:space="0" w:color="auto"/>
          </w:divBdr>
        </w:div>
        <w:div w:id="1432705143">
          <w:marLeft w:val="547"/>
          <w:marRight w:val="0"/>
          <w:marTop w:val="106"/>
          <w:marBottom w:val="0"/>
          <w:divBdr>
            <w:top w:val="none" w:sz="0" w:space="0" w:color="auto"/>
            <w:left w:val="none" w:sz="0" w:space="0" w:color="auto"/>
            <w:bottom w:val="none" w:sz="0" w:space="0" w:color="auto"/>
            <w:right w:val="none" w:sz="0" w:space="0" w:color="auto"/>
          </w:divBdr>
        </w:div>
        <w:div w:id="1028871627">
          <w:marLeft w:val="547"/>
          <w:marRight w:val="0"/>
          <w:marTop w:val="106"/>
          <w:marBottom w:val="0"/>
          <w:divBdr>
            <w:top w:val="none" w:sz="0" w:space="0" w:color="auto"/>
            <w:left w:val="none" w:sz="0" w:space="0" w:color="auto"/>
            <w:bottom w:val="none" w:sz="0" w:space="0" w:color="auto"/>
            <w:right w:val="none" w:sz="0" w:space="0" w:color="auto"/>
          </w:divBdr>
        </w:div>
      </w:divsChild>
    </w:div>
    <w:div w:id="1979261694">
      <w:bodyDiv w:val="1"/>
      <w:marLeft w:val="0"/>
      <w:marRight w:val="0"/>
      <w:marTop w:val="0"/>
      <w:marBottom w:val="0"/>
      <w:divBdr>
        <w:top w:val="none" w:sz="0" w:space="0" w:color="auto"/>
        <w:left w:val="none" w:sz="0" w:space="0" w:color="auto"/>
        <w:bottom w:val="none" w:sz="0" w:space="0" w:color="auto"/>
        <w:right w:val="none" w:sz="0" w:space="0" w:color="auto"/>
      </w:divBdr>
      <w:divsChild>
        <w:div w:id="1327781870">
          <w:marLeft w:val="1008"/>
          <w:marRight w:val="0"/>
          <w:marTop w:val="62"/>
          <w:marBottom w:val="0"/>
          <w:divBdr>
            <w:top w:val="none" w:sz="0" w:space="0" w:color="auto"/>
            <w:left w:val="none" w:sz="0" w:space="0" w:color="auto"/>
            <w:bottom w:val="none" w:sz="0" w:space="0" w:color="auto"/>
            <w:right w:val="none" w:sz="0" w:space="0" w:color="auto"/>
          </w:divBdr>
        </w:div>
      </w:divsChild>
    </w:div>
    <w:div w:id="2131895756">
      <w:bodyDiv w:val="1"/>
      <w:marLeft w:val="0"/>
      <w:marRight w:val="0"/>
      <w:marTop w:val="0"/>
      <w:marBottom w:val="0"/>
      <w:divBdr>
        <w:top w:val="none" w:sz="0" w:space="0" w:color="auto"/>
        <w:left w:val="none" w:sz="0" w:space="0" w:color="auto"/>
        <w:bottom w:val="none" w:sz="0" w:space="0" w:color="auto"/>
        <w:right w:val="none" w:sz="0" w:space="0" w:color="auto"/>
      </w:divBdr>
    </w:div>
    <w:div w:id="2138602237">
      <w:bodyDiv w:val="1"/>
      <w:marLeft w:val="0"/>
      <w:marRight w:val="0"/>
      <w:marTop w:val="0"/>
      <w:marBottom w:val="0"/>
      <w:divBdr>
        <w:top w:val="none" w:sz="0" w:space="0" w:color="auto"/>
        <w:left w:val="none" w:sz="0" w:space="0" w:color="auto"/>
        <w:bottom w:val="none" w:sz="0" w:space="0" w:color="auto"/>
        <w:right w:val="none" w:sz="0" w:space="0" w:color="auto"/>
      </w:divBdr>
      <w:divsChild>
        <w:div w:id="1468083924">
          <w:marLeft w:val="1008"/>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016358897E44D8EF4E18EE077498F" ma:contentTypeVersion="0" ma:contentTypeDescription="Create a new document." ma:contentTypeScope="" ma:versionID="1a845aa11400d5628e03228675a787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02610-7256-4B59-9020-75C03D1D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6EEB3D-9EC6-4C04-B81A-7507745440CE}">
  <ds:schemaRefs>
    <ds:schemaRef ds:uri="http://schemas.microsoft.com/sharepoint/v3/contenttype/forms"/>
  </ds:schemaRefs>
</ds:datastoreItem>
</file>

<file path=customXml/itemProps3.xml><?xml version="1.0" encoding="utf-8"?>
<ds:datastoreItem xmlns:ds="http://schemas.openxmlformats.org/officeDocument/2006/customXml" ds:itemID="{6F88343E-02A1-45E2-BFDD-2DC0C5533B9D}">
  <ds:schemaRef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C94FEA0-D2ED-4ECA-8B3D-73EB0B0B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3084</Words>
  <Characters>17584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Request of Information Collection Approval</vt:lpstr>
    </vt:vector>
  </TitlesOfParts>
  <Company>DHHS/OS</Company>
  <LinksUpToDate>false</LinksUpToDate>
  <CharactersWithSpaces>20627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of Information Collection Approval</dc:title>
  <dc:creator>thairston</dc:creator>
  <cp:lastModifiedBy>Aykan, Hakan</cp:lastModifiedBy>
  <cp:revision>11</cp:revision>
  <cp:lastPrinted>2014-03-25T19:30:00Z</cp:lastPrinted>
  <dcterms:created xsi:type="dcterms:W3CDTF">2014-06-23T10:24:00Z</dcterms:created>
  <dcterms:modified xsi:type="dcterms:W3CDTF">2014-06-23T15:08:00Z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0x010100C3E016358897E44D8EF4E18EE077498F</vt:lpwstr>
  </property>
</Properties>
</file>