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71" w:rsidRDefault="006D0771" w:rsidP="006D0771">
      <w:pPr>
        <w:jc w:val="center"/>
        <w:rPr>
          <w:sz w:val="28"/>
          <w:szCs w:val="28"/>
        </w:rPr>
      </w:pPr>
    </w:p>
    <w:p w:rsidR="006D0771" w:rsidRDefault="006D0771" w:rsidP="006D0771">
      <w:pPr>
        <w:jc w:val="center"/>
        <w:rPr>
          <w:sz w:val="28"/>
          <w:szCs w:val="28"/>
        </w:rPr>
      </w:pPr>
    </w:p>
    <w:p w:rsidR="006D0771" w:rsidRDefault="006D0771" w:rsidP="006D0771">
      <w:pPr>
        <w:jc w:val="center"/>
        <w:rPr>
          <w:sz w:val="28"/>
          <w:szCs w:val="28"/>
        </w:rPr>
      </w:pPr>
    </w:p>
    <w:p w:rsidR="006D0771" w:rsidRDefault="006D0771" w:rsidP="006D0771">
      <w:pPr>
        <w:jc w:val="center"/>
        <w:rPr>
          <w:sz w:val="28"/>
          <w:szCs w:val="28"/>
        </w:rPr>
      </w:pPr>
      <w:r>
        <w:rPr>
          <w:b/>
          <w:sz w:val="28"/>
          <w:szCs w:val="28"/>
        </w:rPr>
        <w:t>PRA Clearance Package</w:t>
      </w:r>
    </w:p>
    <w:p w:rsidR="006D0771" w:rsidRDefault="006D0771" w:rsidP="006D0771">
      <w:pPr>
        <w:jc w:val="center"/>
        <w:rPr>
          <w:sz w:val="28"/>
          <w:szCs w:val="28"/>
        </w:rPr>
      </w:pPr>
    </w:p>
    <w:p w:rsidR="006D0771" w:rsidRDefault="006D0771" w:rsidP="006D0771">
      <w:pPr>
        <w:jc w:val="center"/>
        <w:rPr>
          <w:sz w:val="28"/>
          <w:szCs w:val="28"/>
        </w:rPr>
      </w:pPr>
    </w:p>
    <w:p w:rsidR="006D0771" w:rsidRDefault="006D0771" w:rsidP="006D0771">
      <w:pPr>
        <w:jc w:val="center"/>
        <w:rPr>
          <w:sz w:val="28"/>
          <w:szCs w:val="28"/>
        </w:rPr>
      </w:pPr>
    </w:p>
    <w:p w:rsidR="006D0771" w:rsidRDefault="006D0771" w:rsidP="006D0771">
      <w:pPr>
        <w:spacing w:after="0"/>
        <w:jc w:val="center"/>
        <w:rPr>
          <w:sz w:val="28"/>
          <w:szCs w:val="28"/>
        </w:rPr>
      </w:pPr>
      <w:r>
        <w:rPr>
          <w:sz w:val="28"/>
          <w:szCs w:val="28"/>
        </w:rPr>
        <w:t xml:space="preserve">Prospective Evaluation of Evidence-Based Community </w:t>
      </w:r>
    </w:p>
    <w:p w:rsidR="006D0771" w:rsidRDefault="006D0771" w:rsidP="006D0771">
      <w:pPr>
        <w:jc w:val="center"/>
        <w:rPr>
          <w:sz w:val="28"/>
          <w:szCs w:val="28"/>
        </w:rPr>
      </w:pPr>
      <w:r>
        <w:rPr>
          <w:sz w:val="28"/>
          <w:szCs w:val="28"/>
        </w:rPr>
        <w:t>Wellness and Prevention Programs</w:t>
      </w:r>
    </w:p>
    <w:p w:rsidR="006D0771" w:rsidRPr="00E41110" w:rsidRDefault="006D0771" w:rsidP="006D0771">
      <w:pPr>
        <w:jc w:val="center"/>
        <w:rPr>
          <w:sz w:val="28"/>
          <w:szCs w:val="28"/>
        </w:rPr>
      </w:pPr>
    </w:p>
    <w:p w:rsidR="006D0771" w:rsidRPr="00F63C6A" w:rsidRDefault="00F63C6A" w:rsidP="006D0771">
      <w:pPr>
        <w:jc w:val="center"/>
        <w:rPr>
          <w:sz w:val="24"/>
          <w:szCs w:val="24"/>
        </w:rPr>
      </w:pPr>
      <w:r w:rsidRPr="00F63C6A">
        <w:rPr>
          <w:sz w:val="24"/>
          <w:szCs w:val="24"/>
        </w:rPr>
        <w:t>Part B. Collections of Information Employing Statistical Methods</w:t>
      </w:r>
    </w:p>
    <w:p w:rsidR="006D0771" w:rsidRDefault="006D0771" w:rsidP="006D0771">
      <w:pPr>
        <w:jc w:val="center"/>
        <w:rPr>
          <w:sz w:val="28"/>
          <w:szCs w:val="28"/>
        </w:rPr>
      </w:pPr>
    </w:p>
    <w:p w:rsidR="006D0771" w:rsidRDefault="006D0771" w:rsidP="006D0771">
      <w:pPr>
        <w:jc w:val="center"/>
        <w:rPr>
          <w:sz w:val="28"/>
          <w:szCs w:val="28"/>
        </w:rPr>
      </w:pPr>
    </w:p>
    <w:p w:rsidR="006D0771" w:rsidRDefault="006D0771" w:rsidP="006D0771">
      <w:pPr>
        <w:jc w:val="center"/>
        <w:rPr>
          <w:sz w:val="28"/>
          <w:szCs w:val="28"/>
        </w:rPr>
      </w:pPr>
    </w:p>
    <w:p w:rsidR="006D0771" w:rsidRDefault="006D0771" w:rsidP="006D0771">
      <w:pPr>
        <w:jc w:val="center"/>
        <w:rPr>
          <w:sz w:val="28"/>
          <w:szCs w:val="28"/>
        </w:rPr>
      </w:pPr>
    </w:p>
    <w:p w:rsidR="006D0771" w:rsidRDefault="006D0771" w:rsidP="006D0771">
      <w:pPr>
        <w:jc w:val="center"/>
        <w:rPr>
          <w:sz w:val="28"/>
          <w:szCs w:val="28"/>
        </w:rPr>
      </w:pPr>
    </w:p>
    <w:p w:rsidR="006D0771" w:rsidRDefault="006D0771" w:rsidP="006D0771">
      <w:pPr>
        <w:jc w:val="center"/>
        <w:rPr>
          <w:sz w:val="28"/>
          <w:szCs w:val="28"/>
        </w:rPr>
      </w:pPr>
    </w:p>
    <w:p w:rsidR="006D0771" w:rsidRDefault="006D0771" w:rsidP="006D0771">
      <w:pPr>
        <w:jc w:val="center"/>
        <w:rPr>
          <w:sz w:val="28"/>
          <w:szCs w:val="28"/>
        </w:rPr>
      </w:pPr>
    </w:p>
    <w:p w:rsidR="006D0771" w:rsidRPr="00C4006D" w:rsidRDefault="006D0771" w:rsidP="006D0771">
      <w:pPr>
        <w:jc w:val="center"/>
        <w:rPr>
          <w:i/>
          <w:sz w:val="28"/>
          <w:szCs w:val="28"/>
        </w:rPr>
      </w:pPr>
      <w:r w:rsidRPr="009954D6">
        <w:rPr>
          <w:sz w:val="28"/>
          <w:szCs w:val="28"/>
        </w:rPr>
        <w:t>Version:</w:t>
      </w:r>
      <w:r w:rsidR="006F77DD">
        <w:rPr>
          <w:sz w:val="28"/>
          <w:szCs w:val="28"/>
        </w:rPr>
        <w:t xml:space="preserve">September </w:t>
      </w:r>
      <w:r w:rsidR="00690077">
        <w:rPr>
          <w:sz w:val="28"/>
          <w:szCs w:val="28"/>
        </w:rPr>
        <w:t>5</w:t>
      </w:r>
      <w:r w:rsidR="00EF2B7D" w:rsidRPr="009954D6">
        <w:rPr>
          <w:sz w:val="28"/>
          <w:szCs w:val="28"/>
        </w:rPr>
        <w:t>, 2014</w:t>
      </w:r>
    </w:p>
    <w:p w:rsidR="006D0771" w:rsidRDefault="006D0771" w:rsidP="006D0771">
      <w:pPr>
        <w:jc w:val="center"/>
        <w:rPr>
          <w:sz w:val="28"/>
          <w:szCs w:val="28"/>
        </w:rPr>
      </w:pPr>
    </w:p>
    <w:p w:rsidR="00532F05" w:rsidRDefault="006D0771" w:rsidP="006D0771">
      <w:pPr>
        <w:spacing w:after="0"/>
        <w:jc w:val="center"/>
      </w:pPr>
      <w:r w:rsidRPr="0046425E">
        <w:rPr>
          <w:sz w:val="28"/>
          <w:szCs w:val="28"/>
        </w:rPr>
        <w:t>Centers for Medicare &amp; Medicaid Services</w:t>
      </w:r>
    </w:p>
    <w:p w:rsidR="00BB750D" w:rsidRDefault="00BB750D" w:rsidP="00BB750D">
      <w:pPr>
        <w:pStyle w:val="Heading1"/>
        <w:spacing w:before="0" w:line="240" w:lineRule="auto"/>
      </w:pPr>
    </w:p>
    <w:p w:rsidR="00726DD8" w:rsidRDefault="00726DD8">
      <w:pPr>
        <w:rPr>
          <w:rFonts w:asciiTheme="majorHAnsi" w:eastAsiaTheme="majorEastAsia" w:hAnsiTheme="majorHAnsi" w:cstheme="majorBidi"/>
          <w:b/>
          <w:bCs/>
          <w:sz w:val="28"/>
          <w:szCs w:val="28"/>
        </w:rPr>
      </w:pPr>
      <w:r>
        <w:br w:type="page"/>
      </w:r>
    </w:p>
    <w:sdt>
      <w:sdtPr>
        <w:rPr>
          <w:rFonts w:ascii="Times New Roman" w:eastAsiaTheme="minorEastAsia" w:hAnsi="Times New Roman" w:cstheme="minorBidi"/>
          <w:b w:val="0"/>
          <w:bCs w:val="0"/>
          <w:sz w:val="22"/>
          <w:szCs w:val="22"/>
          <w:lang w:bidi="ar-SA"/>
        </w:rPr>
        <w:id w:val="-1791424493"/>
        <w:docPartObj>
          <w:docPartGallery w:val="Table of Contents"/>
          <w:docPartUnique/>
        </w:docPartObj>
      </w:sdtPr>
      <w:sdtEndPr>
        <w:rPr>
          <w:noProof/>
        </w:rPr>
      </w:sdtEndPr>
      <w:sdtContent>
        <w:p w:rsidR="00726DD8" w:rsidRPr="00726DD8" w:rsidRDefault="00726DD8">
          <w:pPr>
            <w:pStyle w:val="TOCHeading"/>
            <w:rPr>
              <w:u w:val="single"/>
            </w:rPr>
          </w:pPr>
          <w:r w:rsidRPr="00726DD8">
            <w:rPr>
              <w:u w:val="single"/>
            </w:rPr>
            <w:t>Table of Contents</w:t>
          </w:r>
        </w:p>
        <w:p w:rsidR="00246577" w:rsidRDefault="00246577" w:rsidP="00A51851">
          <w:pPr>
            <w:pStyle w:val="TOC1"/>
          </w:pPr>
        </w:p>
        <w:p w:rsidR="00FA2B4B" w:rsidRDefault="00726DD8">
          <w:pPr>
            <w:pStyle w:val="TOC1"/>
            <w:rPr>
              <w:rFonts w:asciiTheme="minorHAnsi" w:hAnsiTheme="minorHAnsi"/>
              <w:b w:val="0"/>
            </w:rPr>
          </w:pPr>
          <w:r>
            <w:fldChar w:fldCharType="begin"/>
          </w:r>
          <w:r>
            <w:instrText xml:space="preserve"> TOC \o "1-3" \h \z \u </w:instrText>
          </w:r>
          <w:r>
            <w:fldChar w:fldCharType="separate"/>
          </w:r>
          <w:hyperlink w:anchor="_Toc366155201" w:history="1">
            <w:r w:rsidR="00FA2B4B" w:rsidRPr="00A15A90">
              <w:rPr>
                <w:rStyle w:val="Hyperlink"/>
              </w:rPr>
              <w:t>Part B. Collections of Information Employing Statistical Methods</w:t>
            </w:r>
            <w:r w:rsidR="00FA2B4B">
              <w:rPr>
                <w:webHidden/>
              </w:rPr>
              <w:tab/>
            </w:r>
            <w:r w:rsidR="00FA2B4B">
              <w:rPr>
                <w:webHidden/>
              </w:rPr>
              <w:fldChar w:fldCharType="begin"/>
            </w:r>
            <w:r w:rsidR="00FA2B4B">
              <w:rPr>
                <w:webHidden/>
              </w:rPr>
              <w:instrText xml:space="preserve"> PAGEREF _Toc366155201 \h </w:instrText>
            </w:r>
            <w:r w:rsidR="00FA2B4B">
              <w:rPr>
                <w:webHidden/>
              </w:rPr>
            </w:r>
            <w:r w:rsidR="00FA2B4B">
              <w:rPr>
                <w:webHidden/>
              </w:rPr>
              <w:fldChar w:fldCharType="separate"/>
            </w:r>
            <w:r w:rsidR="003347AA">
              <w:rPr>
                <w:webHidden/>
              </w:rPr>
              <w:t>3</w:t>
            </w:r>
            <w:r w:rsidR="00FA2B4B">
              <w:rPr>
                <w:webHidden/>
              </w:rPr>
              <w:fldChar w:fldCharType="end"/>
            </w:r>
          </w:hyperlink>
        </w:p>
        <w:p w:rsidR="00FA2B4B" w:rsidRDefault="00570081">
          <w:pPr>
            <w:pStyle w:val="TOC2"/>
            <w:tabs>
              <w:tab w:val="left" w:pos="660"/>
              <w:tab w:val="right" w:leader="dot" w:pos="9350"/>
            </w:tabs>
            <w:rPr>
              <w:rFonts w:asciiTheme="minorHAnsi" w:hAnsiTheme="minorHAnsi"/>
              <w:noProof/>
            </w:rPr>
          </w:pPr>
          <w:hyperlink w:anchor="_Toc366155202" w:history="1">
            <w:r w:rsidR="00FA2B4B" w:rsidRPr="00A15A90">
              <w:rPr>
                <w:rStyle w:val="Hyperlink"/>
                <w:noProof/>
              </w:rPr>
              <w:t>1.</w:t>
            </w:r>
            <w:r w:rsidR="00FA2B4B">
              <w:rPr>
                <w:rFonts w:asciiTheme="minorHAnsi" w:hAnsiTheme="minorHAnsi"/>
                <w:noProof/>
              </w:rPr>
              <w:tab/>
            </w:r>
            <w:r w:rsidR="00FA2B4B" w:rsidRPr="00A15A90">
              <w:rPr>
                <w:rStyle w:val="Hyperlink"/>
                <w:noProof/>
              </w:rPr>
              <w:t>Respondent Universe and Sampling Methods</w:t>
            </w:r>
            <w:r w:rsidR="00FA2B4B">
              <w:rPr>
                <w:noProof/>
                <w:webHidden/>
              </w:rPr>
              <w:tab/>
            </w:r>
            <w:r w:rsidR="00FA2B4B">
              <w:rPr>
                <w:noProof/>
                <w:webHidden/>
              </w:rPr>
              <w:fldChar w:fldCharType="begin"/>
            </w:r>
            <w:r w:rsidR="00FA2B4B">
              <w:rPr>
                <w:noProof/>
                <w:webHidden/>
              </w:rPr>
              <w:instrText xml:space="preserve"> PAGEREF _Toc366155202 \h </w:instrText>
            </w:r>
            <w:r w:rsidR="00FA2B4B">
              <w:rPr>
                <w:noProof/>
                <w:webHidden/>
              </w:rPr>
            </w:r>
            <w:r w:rsidR="00FA2B4B">
              <w:rPr>
                <w:noProof/>
                <w:webHidden/>
              </w:rPr>
              <w:fldChar w:fldCharType="separate"/>
            </w:r>
            <w:r w:rsidR="003347AA">
              <w:rPr>
                <w:noProof/>
                <w:webHidden/>
              </w:rPr>
              <w:t>3</w:t>
            </w:r>
            <w:r w:rsidR="00FA2B4B">
              <w:rPr>
                <w:noProof/>
                <w:webHidden/>
              </w:rPr>
              <w:fldChar w:fldCharType="end"/>
            </w:r>
          </w:hyperlink>
        </w:p>
        <w:p w:rsidR="00FA2B4B" w:rsidRDefault="003347AA">
          <w:pPr>
            <w:pStyle w:val="TOC2"/>
            <w:tabs>
              <w:tab w:val="left" w:pos="660"/>
              <w:tab w:val="right" w:leader="dot" w:pos="9350"/>
            </w:tabs>
            <w:rPr>
              <w:rFonts w:asciiTheme="minorHAnsi" w:hAnsiTheme="minorHAnsi"/>
              <w:noProof/>
            </w:rPr>
          </w:pPr>
          <w:hyperlink w:anchor="_Toc366155203" w:history="1">
            <w:r w:rsidR="00FA2B4B" w:rsidRPr="00A15A90">
              <w:rPr>
                <w:rStyle w:val="Hyperlink"/>
                <w:noProof/>
              </w:rPr>
              <w:t>2.</w:t>
            </w:r>
            <w:r w:rsidR="00FA2B4B">
              <w:rPr>
                <w:rFonts w:asciiTheme="minorHAnsi" w:hAnsiTheme="minorHAnsi"/>
                <w:noProof/>
              </w:rPr>
              <w:tab/>
            </w:r>
            <w:r w:rsidR="00FA2B4B" w:rsidRPr="00A15A90">
              <w:rPr>
                <w:rStyle w:val="Hyperlink"/>
                <w:noProof/>
              </w:rPr>
              <w:t>Information Collection Procedures</w:t>
            </w:r>
            <w:r w:rsidR="00FA2B4B">
              <w:rPr>
                <w:noProof/>
                <w:webHidden/>
              </w:rPr>
              <w:tab/>
            </w:r>
            <w:r w:rsidR="00FA2B4B">
              <w:rPr>
                <w:noProof/>
                <w:webHidden/>
              </w:rPr>
              <w:fldChar w:fldCharType="begin"/>
            </w:r>
            <w:r w:rsidR="00FA2B4B">
              <w:rPr>
                <w:noProof/>
                <w:webHidden/>
              </w:rPr>
              <w:instrText xml:space="preserve"> PAGEREF _Toc366155203 \h </w:instrText>
            </w:r>
            <w:r w:rsidR="00FA2B4B">
              <w:rPr>
                <w:noProof/>
                <w:webHidden/>
              </w:rPr>
            </w:r>
            <w:r w:rsidR="00FA2B4B">
              <w:rPr>
                <w:noProof/>
                <w:webHidden/>
              </w:rPr>
              <w:fldChar w:fldCharType="separate"/>
            </w:r>
            <w:r>
              <w:rPr>
                <w:noProof/>
                <w:webHidden/>
              </w:rPr>
              <w:t>8</w:t>
            </w:r>
            <w:r w:rsidR="00FA2B4B">
              <w:rPr>
                <w:noProof/>
                <w:webHidden/>
              </w:rPr>
              <w:fldChar w:fldCharType="end"/>
            </w:r>
          </w:hyperlink>
        </w:p>
        <w:p w:rsidR="00FA2B4B" w:rsidRDefault="003347AA">
          <w:pPr>
            <w:pStyle w:val="TOC2"/>
            <w:tabs>
              <w:tab w:val="left" w:pos="660"/>
              <w:tab w:val="right" w:leader="dot" w:pos="9350"/>
            </w:tabs>
            <w:rPr>
              <w:rFonts w:asciiTheme="minorHAnsi" w:hAnsiTheme="minorHAnsi"/>
              <w:noProof/>
            </w:rPr>
          </w:pPr>
          <w:hyperlink w:anchor="_Toc366155204" w:history="1">
            <w:r w:rsidR="00FA2B4B" w:rsidRPr="00A15A90">
              <w:rPr>
                <w:rStyle w:val="Hyperlink"/>
                <w:noProof/>
              </w:rPr>
              <w:t>3.</w:t>
            </w:r>
            <w:r w:rsidR="00FA2B4B">
              <w:rPr>
                <w:rFonts w:asciiTheme="minorHAnsi" w:hAnsiTheme="minorHAnsi"/>
                <w:noProof/>
              </w:rPr>
              <w:tab/>
            </w:r>
            <w:r w:rsidR="00FA2B4B" w:rsidRPr="00A15A90">
              <w:rPr>
                <w:rStyle w:val="Hyperlink"/>
                <w:noProof/>
              </w:rPr>
              <w:t>Methods to Maximize Response Rates</w:t>
            </w:r>
            <w:r w:rsidR="00FA2B4B">
              <w:rPr>
                <w:noProof/>
                <w:webHidden/>
              </w:rPr>
              <w:tab/>
            </w:r>
            <w:r w:rsidR="00FA2B4B">
              <w:rPr>
                <w:noProof/>
                <w:webHidden/>
              </w:rPr>
              <w:fldChar w:fldCharType="begin"/>
            </w:r>
            <w:r w:rsidR="00FA2B4B">
              <w:rPr>
                <w:noProof/>
                <w:webHidden/>
              </w:rPr>
              <w:instrText xml:space="preserve"> PAGEREF _Toc366155204 \h </w:instrText>
            </w:r>
            <w:r w:rsidR="00FA2B4B">
              <w:rPr>
                <w:noProof/>
                <w:webHidden/>
              </w:rPr>
            </w:r>
            <w:r w:rsidR="00FA2B4B">
              <w:rPr>
                <w:noProof/>
                <w:webHidden/>
              </w:rPr>
              <w:fldChar w:fldCharType="separate"/>
            </w:r>
            <w:r>
              <w:rPr>
                <w:noProof/>
                <w:webHidden/>
              </w:rPr>
              <w:t>9</w:t>
            </w:r>
            <w:r w:rsidR="00FA2B4B">
              <w:rPr>
                <w:noProof/>
                <w:webHidden/>
              </w:rPr>
              <w:fldChar w:fldCharType="end"/>
            </w:r>
          </w:hyperlink>
        </w:p>
        <w:p w:rsidR="00FA2B4B" w:rsidRDefault="003347AA">
          <w:pPr>
            <w:pStyle w:val="TOC2"/>
            <w:tabs>
              <w:tab w:val="left" w:pos="660"/>
              <w:tab w:val="right" w:leader="dot" w:pos="9350"/>
            </w:tabs>
            <w:rPr>
              <w:rFonts w:asciiTheme="minorHAnsi" w:hAnsiTheme="minorHAnsi"/>
              <w:noProof/>
            </w:rPr>
          </w:pPr>
          <w:hyperlink w:anchor="_Toc366155205" w:history="1">
            <w:r w:rsidR="00FA2B4B" w:rsidRPr="00A15A90">
              <w:rPr>
                <w:rStyle w:val="Hyperlink"/>
                <w:noProof/>
              </w:rPr>
              <w:t>4.</w:t>
            </w:r>
            <w:r w:rsidR="00FA2B4B">
              <w:rPr>
                <w:rFonts w:asciiTheme="minorHAnsi" w:hAnsiTheme="minorHAnsi"/>
                <w:noProof/>
              </w:rPr>
              <w:tab/>
            </w:r>
            <w:r w:rsidR="00FA2B4B" w:rsidRPr="00A15A90">
              <w:rPr>
                <w:rStyle w:val="Hyperlink"/>
                <w:noProof/>
              </w:rPr>
              <w:t>Tests of Procedures</w:t>
            </w:r>
            <w:r w:rsidR="00FA2B4B">
              <w:rPr>
                <w:noProof/>
                <w:webHidden/>
              </w:rPr>
              <w:tab/>
            </w:r>
            <w:r w:rsidR="00FA2B4B">
              <w:rPr>
                <w:noProof/>
                <w:webHidden/>
              </w:rPr>
              <w:fldChar w:fldCharType="begin"/>
            </w:r>
            <w:r w:rsidR="00FA2B4B">
              <w:rPr>
                <w:noProof/>
                <w:webHidden/>
              </w:rPr>
              <w:instrText xml:space="preserve"> PAGEREF _Toc366155205 \h </w:instrText>
            </w:r>
            <w:r w:rsidR="00FA2B4B">
              <w:rPr>
                <w:noProof/>
                <w:webHidden/>
              </w:rPr>
            </w:r>
            <w:r w:rsidR="00FA2B4B">
              <w:rPr>
                <w:noProof/>
                <w:webHidden/>
              </w:rPr>
              <w:fldChar w:fldCharType="separate"/>
            </w:r>
            <w:r>
              <w:rPr>
                <w:noProof/>
                <w:webHidden/>
              </w:rPr>
              <w:t>10</w:t>
            </w:r>
            <w:r w:rsidR="00FA2B4B">
              <w:rPr>
                <w:noProof/>
                <w:webHidden/>
              </w:rPr>
              <w:fldChar w:fldCharType="end"/>
            </w:r>
          </w:hyperlink>
        </w:p>
        <w:p w:rsidR="00FA2B4B" w:rsidRDefault="003347AA">
          <w:pPr>
            <w:pStyle w:val="TOC2"/>
            <w:tabs>
              <w:tab w:val="left" w:pos="660"/>
              <w:tab w:val="right" w:leader="dot" w:pos="9350"/>
            </w:tabs>
            <w:rPr>
              <w:rFonts w:asciiTheme="minorHAnsi" w:hAnsiTheme="minorHAnsi"/>
              <w:noProof/>
            </w:rPr>
          </w:pPr>
          <w:hyperlink w:anchor="_Toc366155206" w:history="1">
            <w:r w:rsidR="00FA2B4B" w:rsidRPr="00A15A90">
              <w:rPr>
                <w:rStyle w:val="Hyperlink"/>
                <w:noProof/>
              </w:rPr>
              <w:t>5.</w:t>
            </w:r>
            <w:r w:rsidR="00FA2B4B">
              <w:rPr>
                <w:rFonts w:asciiTheme="minorHAnsi" w:hAnsiTheme="minorHAnsi"/>
                <w:noProof/>
              </w:rPr>
              <w:tab/>
            </w:r>
            <w:r w:rsidR="00FA2B4B" w:rsidRPr="00A15A90">
              <w:rPr>
                <w:rStyle w:val="Hyperlink"/>
                <w:noProof/>
              </w:rPr>
              <w:t>Statistical Consultants</w:t>
            </w:r>
            <w:r w:rsidR="00FA2B4B">
              <w:rPr>
                <w:noProof/>
                <w:webHidden/>
              </w:rPr>
              <w:tab/>
            </w:r>
            <w:r w:rsidR="00FA2B4B">
              <w:rPr>
                <w:noProof/>
                <w:webHidden/>
              </w:rPr>
              <w:fldChar w:fldCharType="begin"/>
            </w:r>
            <w:r w:rsidR="00FA2B4B">
              <w:rPr>
                <w:noProof/>
                <w:webHidden/>
              </w:rPr>
              <w:instrText xml:space="preserve"> PAGEREF _Toc366155206 \h </w:instrText>
            </w:r>
            <w:r w:rsidR="00FA2B4B">
              <w:rPr>
                <w:noProof/>
                <w:webHidden/>
              </w:rPr>
            </w:r>
            <w:r w:rsidR="00FA2B4B">
              <w:rPr>
                <w:noProof/>
                <w:webHidden/>
              </w:rPr>
              <w:fldChar w:fldCharType="separate"/>
            </w:r>
            <w:r>
              <w:rPr>
                <w:noProof/>
                <w:webHidden/>
              </w:rPr>
              <w:t>11</w:t>
            </w:r>
            <w:r w:rsidR="00FA2B4B">
              <w:rPr>
                <w:noProof/>
                <w:webHidden/>
              </w:rPr>
              <w:fldChar w:fldCharType="end"/>
            </w:r>
          </w:hyperlink>
        </w:p>
        <w:p w:rsidR="00FA2B4B" w:rsidRDefault="003347AA">
          <w:pPr>
            <w:pStyle w:val="TOC2"/>
            <w:tabs>
              <w:tab w:val="right" w:leader="dot" w:pos="9350"/>
            </w:tabs>
            <w:rPr>
              <w:rFonts w:asciiTheme="minorHAnsi" w:hAnsiTheme="minorHAnsi"/>
              <w:noProof/>
            </w:rPr>
          </w:pPr>
          <w:hyperlink w:anchor="_Toc366155207" w:history="1">
            <w:r w:rsidR="00FA2B4B" w:rsidRPr="00A15A90">
              <w:rPr>
                <w:rStyle w:val="Hyperlink"/>
                <w:noProof/>
              </w:rPr>
              <w:t>List of Attachments</w:t>
            </w:r>
            <w:r w:rsidR="00FA2B4B">
              <w:rPr>
                <w:noProof/>
                <w:webHidden/>
              </w:rPr>
              <w:tab/>
            </w:r>
            <w:r w:rsidR="00FA2B4B">
              <w:rPr>
                <w:noProof/>
                <w:webHidden/>
              </w:rPr>
              <w:fldChar w:fldCharType="begin"/>
            </w:r>
            <w:r w:rsidR="00FA2B4B">
              <w:rPr>
                <w:noProof/>
                <w:webHidden/>
              </w:rPr>
              <w:instrText xml:space="preserve"> PAGEREF _Toc366155207 \h </w:instrText>
            </w:r>
            <w:r w:rsidR="00FA2B4B">
              <w:rPr>
                <w:noProof/>
                <w:webHidden/>
              </w:rPr>
            </w:r>
            <w:r w:rsidR="00FA2B4B">
              <w:rPr>
                <w:noProof/>
                <w:webHidden/>
              </w:rPr>
              <w:fldChar w:fldCharType="separate"/>
            </w:r>
            <w:r>
              <w:rPr>
                <w:noProof/>
                <w:webHidden/>
              </w:rPr>
              <w:t>11</w:t>
            </w:r>
            <w:r w:rsidR="00FA2B4B">
              <w:rPr>
                <w:noProof/>
                <w:webHidden/>
              </w:rPr>
              <w:fldChar w:fldCharType="end"/>
            </w:r>
          </w:hyperlink>
        </w:p>
        <w:p w:rsidR="00726DD8" w:rsidRDefault="00726DD8">
          <w:r>
            <w:rPr>
              <w:b/>
              <w:bCs/>
              <w:noProof/>
            </w:rPr>
            <w:fldChar w:fldCharType="end"/>
          </w:r>
        </w:p>
      </w:sdtContent>
    </w:sdt>
    <w:p w:rsidR="00726DD8" w:rsidRDefault="00726DD8">
      <w:pPr>
        <w:rPr>
          <w:rFonts w:asciiTheme="majorHAnsi" w:eastAsiaTheme="majorEastAsia" w:hAnsiTheme="majorHAnsi" w:cstheme="majorBidi"/>
          <w:b/>
          <w:bCs/>
          <w:sz w:val="28"/>
          <w:szCs w:val="28"/>
        </w:rPr>
      </w:pPr>
    </w:p>
    <w:p w:rsidR="00D31002" w:rsidRDefault="00D31002" w:rsidP="00CB6612">
      <w:pPr>
        <w:pStyle w:val="Heading1"/>
        <w:spacing w:before="0" w:line="240" w:lineRule="auto"/>
        <w:sectPr w:rsidR="00D31002">
          <w:headerReference w:type="default" r:id="rId9"/>
          <w:footerReference w:type="default" r:id="rId10"/>
          <w:pgSz w:w="12240" w:h="15840"/>
          <w:pgMar w:top="1440" w:right="1440" w:bottom="1440" w:left="1440" w:header="720" w:footer="720" w:gutter="0"/>
          <w:cols w:space="720"/>
          <w:docGrid w:linePitch="360"/>
        </w:sectPr>
      </w:pPr>
    </w:p>
    <w:p w:rsidR="002A2553" w:rsidRPr="00FE1831" w:rsidRDefault="00520503" w:rsidP="00FE1831">
      <w:pPr>
        <w:pStyle w:val="Heading1"/>
      </w:pPr>
      <w:bookmarkStart w:id="0" w:name="_Toc366155201"/>
      <w:r>
        <w:lastRenderedPageBreak/>
        <w:t xml:space="preserve">Part B. </w:t>
      </w:r>
      <w:r w:rsidR="002A2553" w:rsidRPr="002A2553">
        <w:t>Collections of Information Employing Statistical Methods</w:t>
      </w:r>
      <w:bookmarkEnd w:id="0"/>
    </w:p>
    <w:p w:rsidR="002A2553" w:rsidRPr="00A07D7A" w:rsidRDefault="00955B57" w:rsidP="00B92C18">
      <w:pPr>
        <w:pStyle w:val="Heading2"/>
        <w:numPr>
          <w:ilvl w:val="0"/>
          <w:numId w:val="12"/>
        </w:numPr>
      </w:pPr>
      <w:bookmarkStart w:id="1" w:name="_Toc366155202"/>
      <w:r>
        <w:t>Respondent Universe and Sampling M</w:t>
      </w:r>
      <w:r w:rsidR="002A2553" w:rsidRPr="00A07D7A">
        <w:t>ethods</w:t>
      </w:r>
      <w:bookmarkEnd w:id="1"/>
      <w:r w:rsidR="002A2553" w:rsidRPr="00A07D7A">
        <w:tab/>
      </w:r>
    </w:p>
    <w:p w:rsidR="00C47F53" w:rsidRPr="0072513F" w:rsidRDefault="00AB6725" w:rsidP="0072513F">
      <w:pPr>
        <w:rPr>
          <w:b/>
          <w:i/>
        </w:rPr>
      </w:pPr>
      <w:r>
        <w:t>At this time, eight wellness programs will be included in the evaluation</w:t>
      </w:r>
      <w:r w:rsidR="00283347">
        <w:t>.</w:t>
      </w:r>
      <w:r>
        <w:t xml:space="preserve"> The selected wellness programs include: the Chronic Disease Self-Management Program (</w:t>
      </w:r>
      <w:r>
        <w:rPr>
          <w:rFonts w:eastAsiaTheme="minorHAnsi"/>
        </w:rPr>
        <w:t xml:space="preserve">CDSMP), the Diabetes Self-management Program (DSMP), EnhanceFitness, EnhanceWellness, Fit &amp; Strong!, A Matter of Balance, Stepping On, and Walk with Ease. </w:t>
      </w:r>
      <w:r w:rsidR="002A674A">
        <w:t xml:space="preserve"> </w:t>
      </w:r>
      <w:r w:rsidR="00283347">
        <w:t xml:space="preserve">Sites that implement the programs will </w:t>
      </w:r>
      <w:r w:rsidR="00B07C7B">
        <w:t>enroll</w:t>
      </w:r>
      <w:r w:rsidR="002A674A">
        <w:t xml:space="preserve"> </w:t>
      </w:r>
      <w:r w:rsidR="00C47F53">
        <w:t xml:space="preserve">new </w:t>
      </w:r>
      <w:r w:rsidR="007B31A3">
        <w:t xml:space="preserve">participants </w:t>
      </w:r>
      <w:r w:rsidR="00B07C7B">
        <w:t>and</w:t>
      </w:r>
      <w:r w:rsidR="002A674A">
        <w:t xml:space="preserve"> </w:t>
      </w:r>
      <w:r w:rsidR="00283347">
        <w:t xml:space="preserve">identify </w:t>
      </w:r>
      <w:r w:rsidR="007B31A3">
        <w:t>Medicare b</w:t>
      </w:r>
      <w:r w:rsidR="00690077">
        <w:t>eneficiaries</w:t>
      </w:r>
      <w:r w:rsidR="00283347">
        <w:t>; these individuals will be asked to complete a baseline survey as well as a 6 month and 12 month followup</w:t>
      </w:r>
      <w:r w:rsidR="00C47F53">
        <w:t>.</w:t>
      </w:r>
      <w:r w:rsidR="002A674A">
        <w:t xml:space="preserve"> </w:t>
      </w:r>
      <w:r w:rsidR="00C47F53">
        <w:t xml:space="preserve">A national survey of Medicare beneficiaries aged 65 or older will also be conducted to provide estimates of readiness and potential demand for </w:t>
      </w:r>
      <w:r w:rsidR="007B31A3">
        <w:t>wellness programs</w:t>
      </w:r>
      <w:r w:rsidR="00C47F53">
        <w:t>.</w:t>
      </w:r>
      <w:r w:rsidR="002A674A">
        <w:t xml:space="preserve"> </w:t>
      </w:r>
      <w:r w:rsidR="00283347">
        <w:t xml:space="preserve">This </w:t>
      </w:r>
      <w:r w:rsidR="00C47F53">
        <w:t xml:space="preserve">national sample will </w:t>
      </w:r>
      <w:r w:rsidR="00283347">
        <w:t xml:space="preserve">also </w:t>
      </w:r>
      <w:r w:rsidR="00C47F53">
        <w:t xml:space="preserve">be used to identify control samples, one for each of the </w:t>
      </w:r>
      <w:r w:rsidR="00842D90">
        <w:t xml:space="preserve">8 </w:t>
      </w:r>
      <w:r w:rsidR="00C47F53">
        <w:t xml:space="preserve">“treatment” samples selected from the identified </w:t>
      </w:r>
      <w:r w:rsidR="007B31A3">
        <w:t xml:space="preserve">wellness </w:t>
      </w:r>
      <w:r w:rsidR="00C47F53">
        <w:t>programs.</w:t>
      </w:r>
      <w:r w:rsidR="002A674A">
        <w:t xml:space="preserve"> </w:t>
      </w:r>
      <w:r w:rsidR="00C47F53">
        <w:t>The control samples will be determined through the development of models predicting propensity to participate in a wellness program, using data from the national survey as well as claims data.</w:t>
      </w:r>
      <w:r w:rsidR="002A674A">
        <w:t xml:space="preserve"> </w:t>
      </w:r>
    </w:p>
    <w:p w:rsidR="00D92F51" w:rsidRPr="00F0148B" w:rsidRDefault="00C47F53" w:rsidP="00C47F53">
      <w:r w:rsidRPr="00F26E47">
        <w:rPr>
          <w:rFonts w:cs="Times New Roman"/>
        </w:rPr>
        <w:t xml:space="preserve">The national survey and the program participant surveys will include a baseline, a 6-month follow-up, and a 12-month follow-up. </w:t>
      </w:r>
      <w:r w:rsidR="00BB4742" w:rsidRPr="00F26E47">
        <w:rPr>
          <w:rFonts w:cs="Times New Roman"/>
        </w:rPr>
        <w:t xml:space="preserve">For </w:t>
      </w:r>
      <w:r w:rsidRPr="00F26E47">
        <w:rPr>
          <w:rFonts w:cs="Times New Roman"/>
        </w:rPr>
        <w:t>the participant</w:t>
      </w:r>
      <w:r w:rsidR="00BB4742" w:rsidRPr="00F26E47">
        <w:rPr>
          <w:rFonts w:cs="Times New Roman"/>
        </w:rPr>
        <w:t>s</w:t>
      </w:r>
      <w:r w:rsidRPr="00F26E47">
        <w:rPr>
          <w:rFonts w:cs="Times New Roman"/>
        </w:rPr>
        <w:t>,</w:t>
      </w:r>
      <w:r w:rsidR="002A674A">
        <w:rPr>
          <w:rFonts w:cs="Times New Roman"/>
        </w:rPr>
        <w:t xml:space="preserve"> </w:t>
      </w:r>
      <w:r w:rsidRPr="00F26E47">
        <w:rPr>
          <w:rFonts w:cs="Times New Roman"/>
        </w:rPr>
        <w:t>the 6-month sample</w:t>
      </w:r>
      <w:r w:rsidR="006D7A26" w:rsidRPr="00F26E47">
        <w:rPr>
          <w:rFonts w:cs="Times New Roman"/>
        </w:rPr>
        <w:t xml:space="preserve"> will include both wellness program completers and non-completers; whereas, </w:t>
      </w:r>
      <w:r w:rsidRPr="00F26E47">
        <w:rPr>
          <w:rFonts w:cs="Times New Roman"/>
        </w:rPr>
        <w:t>the 12-month sample</w:t>
      </w:r>
      <w:r w:rsidR="00DB35F6" w:rsidRPr="00F26E47">
        <w:rPr>
          <w:rFonts w:cs="Times New Roman"/>
        </w:rPr>
        <w:t xml:space="preserve"> will </w:t>
      </w:r>
      <w:r w:rsidR="006D7A26" w:rsidRPr="00F26E47">
        <w:rPr>
          <w:rFonts w:cs="Times New Roman"/>
        </w:rPr>
        <w:t>include only the program completers who also submitted their 6-month follow-up data</w:t>
      </w:r>
      <w:r w:rsidRPr="00F26E47">
        <w:rPr>
          <w:rFonts w:cs="Times New Roman"/>
        </w:rPr>
        <w:t xml:space="preserve">. </w:t>
      </w:r>
      <w:r w:rsidR="00787E5A">
        <w:t xml:space="preserve">The </w:t>
      </w:r>
      <w:r w:rsidR="00787E5A" w:rsidRPr="00BC19E1">
        <w:t xml:space="preserve">six-month follow-up survey of wellness program </w:t>
      </w:r>
      <w:r w:rsidR="00787E5A">
        <w:t>participants also includes questions to identify those participants who indicate that they stopped participation.</w:t>
      </w:r>
      <w:r w:rsidR="00EC5759">
        <w:t xml:space="preserve"> </w:t>
      </w:r>
      <w:r w:rsidR="002604F9" w:rsidRPr="00EF2B7D">
        <w:t>This information will be used to identify samples for the average</w:t>
      </w:r>
      <w:r w:rsidR="00EC5759" w:rsidRPr="00EF2B7D">
        <w:t xml:space="preserve"> treatment effect on</w:t>
      </w:r>
      <w:r w:rsidR="002604F9" w:rsidRPr="00EF2B7D">
        <w:t xml:space="preserve"> the treated (ATT) analysis (where only program completers will be compared with the matched control group) and the complier average causal effect analysis (where characteristics of the non-completers will be matched with those from the control group</w:t>
      </w:r>
      <w:r w:rsidR="00EF2B7D">
        <w:t>.</w:t>
      </w:r>
      <w:r w:rsidRPr="00987A42">
        <w:rPr>
          <w:rFonts w:cs="Times New Roman"/>
        </w:rPr>
        <w:t xml:space="preserve"> </w:t>
      </w:r>
      <w:r w:rsidR="00B6288C" w:rsidRPr="00EF2B7D">
        <w:rPr>
          <w:rFonts w:cs="Times New Roman"/>
        </w:rPr>
        <w:t>Data on</w:t>
      </w:r>
      <w:r w:rsidR="00EC5759" w:rsidRPr="00EF2B7D">
        <w:rPr>
          <w:rFonts w:cs="Times New Roman"/>
        </w:rPr>
        <w:t xml:space="preserve"> reasons why non-completers dropped out of a wellness program will also be </w:t>
      </w:r>
      <w:r w:rsidR="003C47D1" w:rsidRPr="00EF2B7D">
        <w:rPr>
          <w:rFonts w:cs="Times New Roman"/>
        </w:rPr>
        <w:t>collected</w:t>
      </w:r>
      <w:r w:rsidR="00EC5759" w:rsidRPr="00EF2B7D">
        <w:rPr>
          <w:rFonts w:cs="Times New Roman"/>
        </w:rPr>
        <w:t>.</w:t>
      </w:r>
      <w:r w:rsidR="002A674A">
        <w:rPr>
          <w:rFonts w:cs="Times New Roman"/>
        </w:rPr>
        <w:t xml:space="preserve"> </w:t>
      </w:r>
      <w:r w:rsidR="00283347">
        <w:rPr>
          <w:rFonts w:cs="Times New Roman"/>
        </w:rPr>
        <w:t xml:space="preserve">A final component of </w:t>
      </w:r>
      <w:r w:rsidRPr="00987A42">
        <w:rPr>
          <w:rFonts w:cs="Times New Roman"/>
        </w:rPr>
        <w:t xml:space="preserve">the data collection effort </w:t>
      </w:r>
      <w:r w:rsidR="00283347">
        <w:rPr>
          <w:rFonts w:cs="Times New Roman"/>
        </w:rPr>
        <w:t xml:space="preserve">includes </w:t>
      </w:r>
      <w:r w:rsidRPr="00987A42">
        <w:rPr>
          <w:rFonts w:cs="Times New Roman"/>
        </w:rPr>
        <w:t>unstructu</w:t>
      </w:r>
      <w:r>
        <w:rPr>
          <w:rFonts w:cs="Times New Roman"/>
        </w:rPr>
        <w:t>red</w:t>
      </w:r>
      <w:r w:rsidR="00283347">
        <w:rPr>
          <w:rFonts w:cs="Times New Roman"/>
        </w:rPr>
        <w:t>,</w:t>
      </w:r>
      <w:r>
        <w:rPr>
          <w:rFonts w:cs="Times New Roman"/>
        </w:rPr>
        <w:t xml:space="preserve"> in-depth interviews with program staff.</w:t>
      </w:r>
    </w:p>
    <w:p w:rsidR="002C77E6" w:rsidRPr="005579E1" w:rsidRDefault="00F0148B" w:rsidP="005579E1">
      <w:pPr>
        <w:pStyle w:val="Heading4"/>
      </w:pPr>
      <w:r w:rsidRPr="005579E1">
        <w:t xml:space="preserve">Wellness </w:t>
      </w:r>
      <w:r w:rsidR="004F0B9C" w:rsidRPr="005579E1">
        <w:t xml:space="preserve">Program </w:t>
      </w:r>
      <w:r w:rsidRPr="005579E1">
        <w:t xml:space="preserve">Participant </w:t>
      </w:r>
      <w:r w:rsidR="004F0B9C" w:rsidRPr="005579E1">
        <w:t>Sample</w:t>
      </w:r>
    </w:p>
    <w:p w:rsidR="00C47F53" w:rsidRPr="0072513F" w:rsidRDefault="00C47F53" w:rsidP="0072513F">
      <w:pPr>
        <w:rPr>
          <w:rFonts w:eastAsiaTheme="majorEastAsia"/>
        </w:rPr>
      </w:pPr>
      <w:r>
        <w:rPr>
          <w:rFonts w:eastAsiaTheme="majorEastAsia"/>
        </w:rPr>
        <w:t>As part of the overall evaluation study, CMS will sel</w:t>
      </w:r>
      <w:r w:rsidR="007B31A3">
        <w:rPr>
          <w:rFonts w:eastAsiaTheme="majorEastAsia"/>
        </w:rPr>
        <w:t>ect and formally contract with wellness evaluation partners</w:t>
      </w:r>
      <w:r>
        <w:rPr>
          <w:rFonts w:eastAsiaTheme="majorEastAsia"/>
        </w:rPr>
        <w:t>.</w:t>
      </w:r>
      <w:r w:rsidR="002A674A">
        <w:rPr>
          <w:rFonts w:eastAsiaTheme="majorEastAsia"/>
        </w:rPr>
        <w:t xml:space="preserve"> </w:t>
      </w:r>
      <w:r>
        <w:rPr>
          <w:rFonts w:eastAsiaTheme="majorEastAsia"/>
        </w:rPr>
        <w:t xml:space="preserve">At this time, </w:t>
      </w:r>
      <w:r w:rsidR="00AB6725">
        <w:rPr>
          <w:rFonts w:eastAsiaTheme="majorEastAsia"/>
        </w:rPr>
        <w:t xml:space="preserve">the included wellness programs are </w:t>
      </w:r>
      <w:r w:rsidR="00AB6725">
        <w:rPr>
          <w:rFonts w:eastAsiaTheme="minorHAnsi"/>
        </w:rPr>
        <w:t xml:space="preserve">CDSMP, DSMP, EnhanceFitness, EnhanceWellness, Fit &amp; Strong!, A Matter of Balance, Stepping On, and Walk with Ease. </w:t>
      </w:r>
      <w:r>
        <w:rPr>
          <w:rFonts w:eastAsiaTheme="majorEastAsia"/>
        </w:rPr>
        <w:t>The selection criteria for the wellness evaluation partners include</w:t>
      </w:r>
      <w:r w:rsidR="00AB6725">
        <w:rPr>
          <w:rFonts w:eastAsiaTheme="majorEastAsia"/>
        </w:rPr>
        <w:t>d</w:t>
      </w:r>
      <w:r>
        <w:rPr>
          <w:rFonts w:eastAsiaTheme="majorEastAsia"/>
        </w:rPr>
        <w:t>:</w:t>
      </w:r>
    </w:p>
    <w:p w:rsidR="00C47F53" w:rsidRDefault="00C47F53" w:rsidP="00C47F53">
      <w:pPr>
        <w:pStyle w:val="BulletList"/>
        <w:numPr>
          <w:ilvl w:val="0"/>
          <w:numId w:val="13"/>
        </w:numPr>
        <w:rPr>
          <w:rFonts w:eastAsiaTheme="majorEastAsia" w:cs="Times New Roman"/>
          <w:bCs/>
          <w:iCs/>
        </w:rPr>
      </w:pPr>
      <w:r>
        <w:rPr>
          <w:rFonts w:eastAsiaTheme="majorEastAsia" w:cs="Times New Roman"/>
          <w:bCs/>
          <w:iCs/>
        </w:rPr>
        <w:t>Offering</w:t>
      </w:r>
      <w:r w:rsidR="002A674A">
        <w:rPr>
          <w:rFonts w:eastAsiaTheme="majorEastAsia" w:cs="Times New Roman"/>
          <w:bCs/>
          <w:iCs/>
        </w:rPr>
        <w:t xml:space="preserve"> </w:t>
      </w:r>
      <w:r>
        <w:rPr>
          <w:rFonts w:eastAsiaTheme="majorEastAsia" w:cs="Times New Roman"/>
          <w:bCs/>
          <w:iCs/>
        </w:rPr>
        <w:t>an evidence-based wellness program</w:t>
      </w:r>
    </w:p>
    <w:p w:rsidR="00C47F53" w:rsidRDefault="00C47F53" w:rsidP="00C47F53">
      <w:pPr>
        <w:pStyle w:val="BulletList"/>
        <w:numPr>
          <w:ilvl w:val="0"/>
          <w:numId w:val="13"/>
        </w:numPr>
        <w:rPr>
          <w:rFonts w:eastAsiaTheme="majorEastAsia" w:cs="Times New Roman"/>
          <w:bCs/>
          <w:iCs/>
        </w:rPr>
      </w:pPr>
      <w:r>
        <w:rPr>
          <w:rFonts w:eastAsiaTheme="majorEastAsia" w:cs="Times New Roman"/>
          <w:bCs/>
          <w:iCs/>
        </w:rPr>
        <w:t>Being in operation</w:t>
      </w:r>
      <w:r w:rsidR="002A674A">
        <w:rPr>
          <w:rFonts w:eastAsiaTheme="majorEastAsia" w:cs="Times New Roman"/>
          <w:bCs/>
          <w:iCs/>
        </w:rPr>
        <w:t xml:space="preserve"> </w:t>
      </w:r>
      <w:r>
        <w:rPr>
          <w:rFonts w:eastAsiaTheme="majorEastAsia" w:cs="Times New Roman"/>
          <w:bCs/>
          <w:iCs/>
        </w:rPr>
        <w:t>for at least one</w:t>
      </w:r>
      <w:r w:rsidR="002A674A">
        <w:rPr>
          <w:rFonts w:eastAsiaTheme="majorEastAsia" w:cs="Times New Roman"/>
          <w:bCs/>
          <w:iCs/>
        </w:rPr>
        <w:t xml:space="preserve"> </w:t>
      </w:r>
      <w:r>
        <w:rPr>
          <w:rFonts w:eastAsiaTheme="majorEastAsia" w:cs="Times New Roman"/>
          <w:bCs/>
          <w:iCs/>
        </w:rPr>
        <w:t>year</w:t>
      </w:r>
    </w:p>
    <w:p w:rsidR="00C47F53" w:rsidRDefault="00C47F53" w:rsidP="00C47F53">
      <w:pPr>
        <w:pStyle w:val="BulletList"/>
        <w:numPr>
          <w:ilvl w:val="0"/>
          <w:numId w:val="13"/>
        </w:numPr>
        <w:rPr>
          <w:rFonts w:eastAsiaTheme="majorEastAsia" w:cs="Times New Roman"/>
          <w:bCs/>
          <w:iCs/>
        </w:rPr>
      </w:pPr>
      <w:r>
        <w:rPr>
          <w:rFonts w:eastAsiaTheme="majorEastAsia" w:cs="Times New Roman"/>
          <w:bCs/>
          <w:iCs/>
        </w:rPr>
        <w:t xml:space="preserve">Having an established sustainability plan or funding stream </w:t>
      </w:r>
    </w:p>
    <w:p w:rsidR="00C47F53" w:rsidRDefault="00C47F53" w:rsidP="00C47F53">
      <w:pPr>
        <w:pStyle w:val="BulletList"/>
        <w:numPr>
          <w:ilvl w:val="0"/>
          <w:numId w:val="13"/>
        </w:numPr>
        <w:rPr>
          <w:rFonts w:eastAsiaTheme="majorEastAsia" w:cs="Times New Roman"/>
          <w:bCs/>
          <w:iCs/>
        </w:rPr>
      </w:pPr>
      <w:r>
        <w:rPr>
          <w:rFonts w:eastAsiaTheme="majorEastAsia" w:cs="Times New Roman"/>
          <w:bCs/>
          <w:iCs/>
        </w:rPr>
        <w:t>Having a demonstrated capability to enroll a sufficient number of Medicare beneficiaries as new participants within a one year period</w:t>
      </w:r>
      <w:r w:rsidR="002A674A">
        <w:rPr>
          <w:rFonts w:eastAsiaTheme="majorEastAsia" w:cs="Times New Roman"/>
          <w:bCs/>
          <w:iCs/>
        </w:rPr>
        <w:t xml:space="preserve"> </w:t>
      </w:r>
    </w:p>
    <w:p w:rsidR="00C47F53" w:rsidRDefault="00C47F53" w:rsidP="00C47F53">
      <w:pPr>
        <w:pStyle w:val="BulletList"/>
        <w:numPr>
          <w:ilvl w:val="0"/>
          <w:numId w:val="13"/>
        </w:numPr>
        <w:rPr>
          <w:rFonts w:eastAsiaTheme="majorEastAsia" w:cs="Times New Roman"/>
          <w:bCs/>
          <w:iCs/>
        </w:rPr>
      </w:pPr>
      <w:r>
        <w:rPr>
          <w:rFonts w:eastAsiaTheme="majorEastAsia" w:cs="Times New Roman"/>
          <w:bCs/>
          <w:iCs/>
        </w:rPr>
        <w:t>Being willing and able to support data collection and reporting</w:t>
      </w:r>
    </w:p>
    <w:p w:rsidR="00C47F53" w:rsidRDefault="00C47F53" w:rsidP="00C47F53">
      <w:pPr>
        <w:pStyle w:val="BulletList"/>
        <w:numPr>
          <w:ilvl w:val="0"/>
          <w:numId w:val="0"/>
        </w:numPr>
        <w:rPr>
          <w:rFonts w:eastAsiaTheme="majorEastAsia" w:cs="Times New Roman"/>
          <w:bCs/>
          <w:iCs/>
        </w:rPr>
      </w:pPr>
    </w:p>
    <w:p w:rsidR="00C80FBE" w:rsidRDefault="00C47F53" w:rsidP="0072513F">
      <w:pPr>
        <w:rPr>
          <w:rFonts w:eastAsiaTheme="majorEastAsia"/>
        </w:rPr>
      </w:pPr>
      <w:r>
        <w:rPr>
          <w:rFonts w:eastAsiaTheme="majorEastAsia"/>
        </w:rPr>
        <w:t>Wellness evaluation partners will (1) provide access to Medicare beneficiaries who may participate in the Program Participant Survey and (2) participate in the in-depth interviews about program operations and costs.</w:t>
      </w:r>
      <w:r w:rsidR="002A674A">
        <w:rPr>
          <w:rFonts w:eastAsiaTheme="majorEastAsia"/>
        </w:rPr>
        <w:t xml:space="preserve"> </w:t>
      </w:r>
      <w:r w:rsidR="009578B3">
        <w:rPr>
          <w:rFonts w:eastAsiaTheme="majorEastAsia"/>
        </w:rPr>
        <w:t>Refer to Exhibit 4 for sample size assumptions.</w:t>
      </w:r>
    </w:p>
    <w:p w:rsidR="00C47F53" w:rsidRPr="0072513F" w:rsidRDefault="00C47F53" w:rsidP="0072513F">
      <w:pPr>
        <w:rPr>
          <w:rFonts w:eastAsiaTheme="majorEastAsia"/>
        </w:rPr>
      </w:pPr>
      <w:r>
        <w:rPr>
          <w:rFonts w:eastAsiaTheme="majorEastAsia"/>
        </w:rPr>
        <w:lastRenderedPageBreak/>
        <w:t>Of course, programs will vary in the number of enrollees, program completion rate</w:t>
      </w:r>
      <w:r w:rsidR="007B31A3">
        <w:rPr>
          <w:rFonts w:eastAsiaTheme="majorEastAsia"/>
        </w:rPr>
        <w:t>s</w:t>
      </w:r>
      <w:r>
        <w:rPr>
          <w:rFonts w:eastAsiaTheme="majorEastAsia"/>
        </w:rPr>
        <w:t>, and survey response rate</w:t>
      </w:r>
      <w:r w:rsidR="007B31A3">
        <w:rPr>
          <w:rFonts w:eastAsiaTheme="majorEastAsia"/>
        </w:rPr>
        <w:t>s</w:t>
      </w:r>
      <w:r>
        <w:rPr>
          <w:rFonts w:eastAsiaTheme="majorEastAsia"/>
        </w:rPr>
        <w:t xml:space="preserve">. For discussion purposes we have assumed that the largest program will have complete data for 1,500 enrollees, and the smallest </w:t>
      </w:r>
      <w:r w:rsidR="007B31A3">
        <w:rPr>
          <w:rFonts w:eastAsiaTheme="majorEastAsia"/>
        </w:rPr>
        <w:t xml:space="preserve">program will have complete data for </w:t>
      </w:r>
      <w:r>
        <w:rPr>
          <w:rFonts w:eastAsiaTheme="majorEastAsia"/>
        </w:rPr>
        <w:t xml:space="preserve">300 enrollees. </w:t>
      </w:r>
      <w:r w:rsidR="007B31A3">
        <w:rPr>
          <w:rFonts w:eastAsiaTheme="majorEastAsia"/>
        </w:rPr>
        <w:t>Exhibit</w:t>
      </w:r>
      <w:r w:rsidR="00FE626E">
        <w:rPr>
          <w:rFonts w:eastAsiaTheme="majorEastAsia"/>
        </w:rPr>
        <w:t xml:space="preserve"> 3</w:t>
      </w:r>
      <w:r>
        <w:rPr>
          <w:rFonts w:eastAsiaTheme="majorEastAsia"/>
        </w:rPr>
        <w:t xml:space="preserve"> shows the 95 percent confidence interval half-widths for estimates of proportions for program sample sizes ranging between 300 and 1,500.</w:t>
      </w:r>
    </w:p>
    <w:p w:rsidR="00EB38AF" w:rsidRPr="00EF4078" w:rsidRDefault="00EF4078" w:rsidP="00EF4078">
      <w:r>
        <w:rPr>
          <w:b/>
        </w:rPr>
        <w:t>Exhibit 3</w:t>
      </w:r>
      <w:r w:rsidR="00295B7D" w:rsidRPr="00EB38AF">
        <w:t>. 95 percent confidence interval half-widths for estimates of proportions given expected wellness program achieved sample sizes</w:t>
      </w:r>
    </w:p>
    <w:tbl>
      <w:tblPr>
        <w:tblStyle w:val="TableGrid"/>
        <w:tblW w:w="0" w:type="auto"/>
        <w:tblLook w:val="04A0" w:firstRow="1" w:lastRow="0" w:firstColumn="1" w:lastColumn="0" w:noHBand="0" w:noVBand="1"/>
      </w:tblPr>
      <w:tblGrid>
        <w:gridCol w:w="2394"/>
        <w:gridCol w:w="2394"/>
        <w:gridCol w:w="2394"/>
      </w:tblGrid>
      <w:tr w:rsidR="00295B7D" w:rsidRPr="00EF4078" w:rsidTr="00EF4078">
        <w:tc>
          <w:tcPr>
            <w:tcW w:w="2394" w:type="dxa"/>
            <w:tcBorders>
              <w:bottom w:val="single" w:sz="12" w:space="0" w:color="auto"/>
            </w:tcBorders>
            <w:shd w:val="clear" w:color="auto" w:fill="C6D9F1" w:themeFill="text2" w:themeFillTint="33"/>
            <w:vAlign w:val="bottom"/>
          </w:tcPr>
          <w:p w:rsidR="00295B7D" w:rsidRPr="00EF4078" w:rsidRDefault="00295B7D" w:rsidP="00EB38AF">
            <w:pPr>
              <w:jc w:val="center"/>
              <w:rPr>
                <w:rFonts w:cs="Times New Roman"/>
                <w:b/>
                <w:sz w:val="20"/>
                <w:szCs w:val="20"/>
              </w:rPr>
            </w:pPr>
            <w:r w:rsidRPr="00EF4078">
              <w:rPr>
                <w:rFonts w:cs="Times New Roman"/>
                <w:b/>
                <w:sz w:val="20"/>
                <w:szCs w:val="20"/>
              </w:rPr>
              <w:t>Estimate</w:t>
            </w:r>
          </w:p>
        </w:tc>
        <w:tc>
          <w:tcPr>
            <w:tcW w:w="2394" w:type="dxa"/>
            <w:tcBorders>
              <w:bottom w:val="single" w:sz="12" w:space="0" w:color="auto"/>
            </w:tcBorders>
            <w:shd w:val="clear" w:color="auto" w:fill="C6D9F1" w:themeFill="text2" w:themeFillTint="33"/>
            <w:vAlign w:val="bottom"/>
          </w:tcPr>
          <w:p w:rsidR="00295B7D" w:rsidRPr="00EF4078" w:rsidRDefault="00295B7D" w:rsidP="00EB38AF">
            <w:pPr>
              <w:jc w:val="center"/>
              <w:rPr>
                <w:rFonts w:cs="Times New Roman"/>
                <w:b/>
                <w:sz w:val="20"/>
                <w:szCs w:val="20"/>
              </w:rPr>
            </w:pPr>
            <w:r w:rsidRPr="00EF4078">
              <w:rPr>
                <w:rFonts w:cs="Times New Roman"/>
                <w:b/>
                <w:sz w:val="20"/>
                <w:szCs w:val="20"/>
              </w:rPr>
              <w:t>Achieved Sample Size</w:t>
            </w:r>
          </w:p>
        </w:tc>
        <w:tc>
          <w:tcPr>
            <w:tcW w:w="2394" w:type="dxa"/>
            <w:tcBorders>
              <w:bottom w:val="single" w:sz="12" w:space="0" w:color="auto"/>
            </w:tcBorders>
            <w:shd w:val="clear" w:color="auto" w:fill="C6D9F1" w:themeFill="text2" w:themeFillTint="33"/>
            <w:vAlign w:val="bottom"/>
          </w:tcPr>
          <w:p w:rsidR="00295B7D" w:rsidRPr="00EF4078" w:rsidRDefault="00295B7D" w:rsidP="00EB38AF">
            <w:pPr>
              <w:jc w:val="center"/>
              <w:rPr>
                <w:rFonts w:cs="Times New Roman"/>
                <w:b/>
                <w:sz w:val="20"/>
                <w:szCs w:val="20"/>
              </w:rPr>
            </w:pPr>
            <w:r w:rsidRPr="00EF4078">
              <w:rPr>
                <w:rFonts w:cs="Times New Roman"/>
                <w:b/>
                <w:sz w:val="20"/>
                <w:szCs w:val="20"/>
              </w:rPr>
              <w:t>95 percent confidence interval half-width</w:t>
            </w:r>
          </w:p>
        </w:tc>
      </w:tr>
      <w:tr w:rsidR="00295B7D" w:rsidRPr="00EF4078" w:rsidTr="00EF4078">
        <w:tc>
          <w:tcPr>
            <w:tcW w:w="2394" w:type="dxa"/>
            <w:tcBorders>
              <w:top w:val="single" w:sz="12" w:space="0" w:color="auto"/>
            </w:tcBorders>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0.5</w:t>
            </w:r>
          </w:p>
        </w:tc>
        <w:tc>
          <w:tcPr>
            <w:tcW w:w="2394" w:type="dxa"/>
            <w:tcBorders>
              <w:top w:val="single" w:sz="12" w:space="0" w:color="auto"/>
            </w:tcBorders>
            <w:vAlign w:val="bottom"/>
          </w:tcPr>
          <w:p w:rsidR="00295B7D" w:rsidRPr="00EF4078" w:rsidRDefault="00295B7D" w:rsidP="002A674A">
            <w:pPr>
              <w:tabs>
                <w:tab w:val="decimal" w:pos="1218"/>
              </w:tabs>
              <w:rPr>
                <w:rFonts w:cs="Times New Roman"/>
                <w:color w:val="000000"/>
                <w:sz w:val="20"/>
                <w:szCs w:val="20"/>
              </w:rPr>
            </w:pPr>
            <w:r w:rsidRPr="00EF4078">
              <w:rPr>
                <w:rFonts w:cs="Times New Roman"/>
                <w:color w:val="000000"/>
                <w:sz w:val="20"/>
                <w:szCs w:val="20"/>
              </w:rPr>
              <w:t>300</w:t>
            </w:r>
          </w:p>
        </w:tc>
        <w:tc>
          <w:tcPr>
            <w:tcW w:w="2394" w:type="dxa"/>
            <w:tcBorders>
              <w:top w:val="single" w:sz="12" w:space="0" w:color="auto"/>
            </w:tcBorders>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0.06</w:t>
            </w:r>
          </w:p>
        </w:tc>
      </w:tr>
      <w:tr w:rsidR="00295B7D" w:rsidRPr="00EF4078" w:rsidTr="00295B7D">
        <w:tc>
          <w:tcPr>
            <w:tcW w:w="2394" w:type="dxa"/>
            <w:vAlign w:val="bottom"/>
          </w:tcPr>
          <w:p w:rsidR="00295B7D" w:rsidRPr="00EF4078" w:rsidRDefault="00295B7D" w:rsidP="00295B7D">
            <w:pPr>
              <w:jc w:val="center"/>
              <w:rPr>
                <w:rFonts w:cs="Times New Roman"/>
                <w:color w:val="000000"/>
                <w:sz w:val="20"/>
                <w:szCs w:val="20"/>
              </w:rPr>
            </w:pPr>
          </w:p>
        </w:tc>
        <w:tc>
          <w:tcPr>
            <w:tcW w:w="2394" w:type="dxa"/>
            <w:vAlign w:val="bottom"/>
          </w:tcPr>
          <w:p w:rsidR="00295B7D" w:rsidRPr="00EF4078" w:rsidRDefault="00295B7D" w:rsidP="002A674A">
            <w:pPr>
              <w:tabs>
                <w:tab w:val="decimal" w:pos="1218"/>
              </w:tabs>
              <w:rPr>
                <w:rFonts w:cs="Times New Roman"/>
                <w:color w:val="000000"/>
                <w:sz w:val="20"/>
                <w:szCs w:val="20"/>
              </w:rPr>
            </w:pPr>
            <w:r w:rsidRPr="00EF4078">
              <w:rPr>
                <w:rFonts w:cs="Times New Roman"/>
                <w:color w:val="000000"/>
                <w:sz w:val="20"/>
                <w:szCs w:val="20"/>
              </w:rPr>
              <w:t>600</w:t>
            </w:r>
          </w:p>
        </w:tc>
        <w:tc>
          <w:tcPr>
            <w:tcW w:w="2394" w:type="dxa"/>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0.04</w:t>
            </w:r>
          </w:p>
        </w:tc>
      </w:tr>
      <w:tr w:rsidR="00295B7D" w:rsidRPr="00EF4078" w:rsidTr="00295B7D">
        <w:tc>
          <w:tcPr>
            <w:tcW w:w="2394" w:type="dxa"/>
            <w:vAlign w:val="bottom"/>
          </w:tcPr>
          <w:p w:rsidR="00295B7D" w:rsidRPr="00EF4078" w:rsidRDefault="00295B7D" w:rsidP="00295B7D">
            <w:pPr>
              <w:jc w:val="center"/>
              <w:rPr>
                <w:rFonts w:cs="Times New Roman"/>
                <w:color w:val="000000"/>
                <w:sz w:val="20"/>
                <w:szCs w:val="20"/>
              </w:rPr>
            </w:pPr>
          </w:p>
        </w:tc>
        <w:tc>
          <w:tcPr>
            <w:tcW w:w="2394" w:type="dxa"/>
            <w:vAlign w:val="bottom"/>
          </w:tcPr>
          <w:p w:rsidR="00295B7D" w:rsidRPr="00EF4078" w:rsidRDefault="00295B7D" w:rsidP="002A674A">
            <w:pPr>
              <w:tabs>
                <w:tab w:val="decimal" w:pos="1218"/>
              </w:tabs>
              <w:rPr>
                <w:rFonts w:cs="Times New Roman"/>
                <w:color w:val="000000"/>
                <w:sz w:val="20"/>
                <w:szCs w:val="20"/>
              </w:rPr>
            </w:pPr>
            <w:r w:rsidRPr="00EF4078">
              <w:rPr>
                <w:rFonts w:cs="Times New Roman"/>
                <w:color w:val="000000"/>
                <w:sz w:val="20"/>
                <w:szCs w:val="20"/>
              </w:rPr>
              <w:t>900</w:t>
            </w:r>
          </w:p>
        </w:tc>
        <w:tc>
          <w:tcPr>
            <w:tcW w:w="2394" w:type="dxa"/>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0.03</w:t>
            </w:r>
          </w:p>
        </w:tc>
      </w:tr>
      <w:tr w:rsidR="00295B7D" w:rsidRPr="00EF4078" w:rsidTr="00295B7D">
        <w:tc>
          <w:tcPr>
            <w:tcW w:w="2394" w:type="dxa"/>
            <w:vAlign w:val="bottom"/>
          </w:tcPr>
          <w:p w:rsidR="00295B7D" w:rsidRPr="00EF4078" w:rsidRDefault="00295B7D" w:rsidP="00295B7D">
            <w:pPr>
              <w:jc w:val="center"/>
              <w:rPr>
                <w:rFonts w:cs="Times New Roman"/>
                <w:color w:val="000000"/>
                <w:sz w:val="20"/>
                <w:szCs w:val="20"/>
              </w:rPr>
            </w:pPr>
          </w:p>
        </w:tc>
        <w:tc>
          <w:tcPr>
            <w:tcW w:w="2394" w:type="dxa"/>
            <w:vAlign w:val="bottom"/>
          </w:tcPr>
          <w:p w:rsidR="00295B7D" w:rsidRPr="00EF4078" w:rsidRDefault="00295B7D" w:rsidP="002A674A">
            <w:pPr>
              <w:tabs>
                <w:tab w:val="decimal" w:pos="1218"/>
              </w:tabs>
              <w:rPr>
                <w:rFonts w:cs="Times New Roman"/>
                <w:color w:val="000000"/>
                <w:sz w:val="20"/>
                <w:szCs w:val="20"/>
              </w:rPr>
            </w:pPr>
            <w:r w:rsidRPr="00EF4078">
              <w:rPr>
                <w:rFonts w:cs="Times New Roman"/>
                <w:color w:val="000000"/>
                <w:sz w:val="20"/>
                <w:szCs w:val="20"/>
              </w:rPr>
              <w:t>1,200</w:t>
            </w:r>
          </w:p>
        </w:tc>
        <w:tc>
          <w:tcPr>
            <w:tcW w:w="2394" w:type="dxa"/>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0.03</w:t>
            </w:r>
          </w:p>
        </w:tc>
      </w:tr>
      <w:tr w:rsidR="00295B7D" w:rsidRPr="00EF4078" w:rsidTr="00295B7D">
        <w:tc>
          <w:tcPr>
            <w:tcW w:w="2394" w:type="dxa"/>
            <w:vAlign w:val="bottom"/>
          </w:tcPr>
          <w:p w:rsidR="00295B7D" w:rsidRPr="00EF4078" w:rsidRDefault="00295B7D" w:rsidP="00295B7D">
            <w:pPr>
              <w:jc w:val="center"/>
              <w:rPr>
                <w:rFonts w:cs="Times New Roman"/>
                <w:color w:val="000000"/>
                <w:sz w:val="20"/>
                <w:szCs w:val="20"/>
              </w:rPr>
            </w:pPr>
          </w:p>
        </w:tc>
        <w:tc>
          <w:tcPr>
            <w:tcW w:w="2394" w:type="dxa"/>
            <w:vAlign w:val="bottom"/>
          </w:tcPr>
          <w:p w:rsidR="00295B7D" w:rsidRPr="00EF4078" w:rsidRDefault="00295B7D" w:rsidP="002A674A">
            <w:pPr>
              <w:tabs>
                <w:tab w:val="decimal" w:pos="1218"/>
              </w:tabs>
              <w:rPr>
                <w:rFonts w:cs="Times New Roman"/>
                <w:color w:val="000000"/>
                <w:sz w:val="20"/>
                <w:szCs w:val="20"/>
              </w:rPr>
            </w:pPr>
            <w:r w:rsidRPr="00EF4078">
              <w:rPr>
                <w:rFonts w:cs="Times New Roman"/>
                <w:color w:val="000000"/>
                <w:sz w:val="20"/>
                <w:szCs w:val="20"/>
              </w:rPr>
              <w:t>1,500</w:t>
            </w:r>
          </w:p>
        </w:tc>
        <w:tc>
          <w:tcPr>
            <w:tcW w:w="2394" w:type="dxa"/>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0.03</w:t>
            </w:r>
          </w:p>
        </w:tc>
      </w:tr>
      <w:tr w:rsidR="00295B7D" w:rsidRPr="00EF4078" w:rsidTr="00295B7D">
        <w:tc>
          <w:tcPr>
            <w:tcW w:w="2394" w:type="dxa"/>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0.7</w:t>
            </w:r>
          </w:p>
        </w:tc>
        <w:tc>
          <w:tcPr>
            <w:tcW w:w="2394" w:type="dxa"/>
            <w:vAlign w:val="bottom"/>
          </w:tcPr>
          <w:p w:rsidR="00295B7D" w:rsidRPr="00EF4078" w:rsidRDefault="00295B7D" w:rsidP="002A674A">
            <w:pPr>
              <w:tabs>
                <w:tab w:val="decimal" w:pos="1218"/>
              </w:tabs>
              <w:rPr>
                <w:rFonts w:cs="Times New Roman"/>
                <w:color w:val="000000"/>
                <w:sz w:val="20"/>
                <w:szCs w:val="20"/>
              </w:rPr>
            </w:pPr>
            <w:r w:rsidRPr="00EF4078">
              <w:rPr>
                <w:rFonts w:cs="Times New Roman"/>
                <w:color w:val="000000"/>
                <w:sz w:val="20"/>
                <w:szCs w:val="20"/>
              </w:rPr>
              <w:t>300</w:t>
            </w:r>
          </w:p>
        </w:tc>
        <w:tc>
          <w:tcPr>
            <w:tcW w:w="2394" w:type="dxa"/>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0.05</w:t>
            </w:r>
          </w:p>
        </w:tc>
      </w:tr>
      <w:tr w:rsidR="00295B7D" w:rsidRPr="00EF4078" w:rsidTr="00295B7D">
        <w:tc>
          <w:tcPr>
            <w:tcW w:w="2394" w:type="dxa"/>
            <w:vAlign w:val="bottom"/>
          </w:tcPr>
          <w:p w:rsidR="00295B7D" w:rsidRPr="00EF4078" w:rsidRDefault="00295B7D" w:rsidP="00295B7D">
            <w:pPr>
              <w:jc w:val="center"/>
              <w:rPr>
                <w:rFonts w:cs="Times New Roman"/>
                <w:color w:val="000000"/>
                <w:sz w:val="20"/>
                <w:szCs w:val="20"/>
              </w:rPr>
            </w:pPr>
          </w:p>
        </w:tc>
        <w:tc>
          <w:tcPr>
            <w:tcW w:w="2394" w:type="dxa"/>
            <w:vAlign w:val="bottom"/>
          </w:tcPr>
          <w:p w:rsidR="00295B7D" w:rsidRPr="00EF4078" w:rsidRDefault="00295B7D" w:rsidP="002A674A">
            <w:pPr>
              <w:tabs>
                <w:tab w:val="decimal" w:pos="1218"/>
              </w:tabs>
              <w:rPr>
                <w:rFonts w:cs="Times New Roman"/>
                <w:color w:val="000000"/>
                <w:sz w:val="20"/>
                <w:szCs w:val="20"/>
              </w:rPr>
            </w:pPr>
            <w:r w:rsidRPr="00EF4078">
              <w:rPr>
                <w:rFonts w:cs="Times New Roman"/>
                <w:color w:val="000000"/>
                <w:sz w:val="20"/>
                <w:szCs w:val="20"/>
              </w:rPr>
              <w:t>600</w:t>
            </w:r>
          </w:p>
        </w:tc>
        <w:tc>
          <w:tcPr>
            <w:tcW w:w="2394" w:type="dxa"/>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0.04</w:t>
            </w:r>
          </w:p>
        </w:tc>
      </w:tr>
      <w:tr w:rsidR="00295B7D" w:rsidRPr="00EF4078" w:rsidTr="00295B7D">
        <w:tc>
          <w:tcPr>
            <w:tcW w:w="2394" w:type="dxa"/>
            <w:vAlign w:val="bottom"/>
          </w:tcPr>
          <w:p w:rsidR="00295B7D" w:rsidRPr="00EF4078" w:rsidRDefault="00295B7D" w:rsidP="00295B7D">
            <w:pPr>
              <w:jc w:val="center"/>
              <w:rPr>
                <w:rFonts w:cs="Times New Roman"/>
                <w:color w:val="000000"/>
                <w:sz w:val="20"/>
                <w:szCs w:val="20"/>
              </w:rPr>
            </w:pPr>
          </w:p>
        </w:tc>
        <w:tc>
          <w:tcPr>
            <w:tcW w:w="2394" w:type="dxa"/>
            <w:vAlign w:val="bottom"/>
          </w:tcPr>
          <w:p w:rsidR="00295B7D" w:rsidRPr="00EF4078" w:rsidRDefault="00295B7D" w:rsidP="002A674A">
            <w:pPr>
              <w:tabs>
                <w:tab w:val="decimal" w:pos="1218"/>
              </w:tabs>
              <w:rPr>
                <w:rFonts w:cs="Times New Roman"/>
                <w:color w:val="000000"/>
                <w:sz w:val="20"/>
                <w:szCs w:val="20"/>
              </w:rPr>
            </w:pPr>
            <w:r w:rsidRPr="00EF4078">
              <w:rPr>
                <w:rFonts w:cs="Times New Roman"/>
                <w:color w:val="000000"/>
                <w:sz w:val="20"/>
                <w:szCs w:val="20"/>
              </w:rPr>
              <w:t>900</w:t>
            </w:r>
          </w:p>
        </w:tc>
        <w:tc>
          <w:tcPr>
            <w:tcW w:w="2394" w:type="dxa"/>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0.03</w:t>
            </w:r>
          </w:p>
        </w:tc>
      </w:tr>
      <w:tr w:rsidR="00295B7D" w:rsidRPr="00EF4078" w:rsidTr="00295B7D">
        <w:tc>
          <w:tcPr>
            <w:tcW w:w="2394" w:type="dxa"/>
            <w:vAlign w:val="bottom"/>
          </w:tcPr>
          <w:p w:rsidR="00295B7D" w:rsidRPr="00EF4078" w:rsidRDefault="00295B7D" w:rsidP="00295B7D">
            <w:pPr>
              <w:jc w:val="center"/>
              <w:rPr>
                <w:rFonts w:cs="Times New Roman"/>
                <w:color w:val="000000"/>
                <w:sz w:val="20"/>
                <w:szCs w:val="20"/>
              </w:rPr>
            </w:pPr>
          </w:p>
        </w:tc>
        <w:tc>
          <w:tcPr>
            <w:tcW w:w="2394" w:type="dxa"/>
            <w:vAlign w:val="bottom"/>
          </w:tcPr>
          <w:p w:rsidR="00295B7D" w:rsidRPr="00EF4078" w:rsidRDefault="00295B7D" w:rsidP="002A674A">
            <w:pPr>
              <w:tabs>
                <w:tab w:val="decimal" w:pos="1218"/>
              </w:tabs>
              <w:rPr>
                <w:rFonts w:cs="Times New Roman"/>
                <w:color w:val="000000"/>
                <w:sz w:val="20"/>
                <w:szCs w:val="20"/>
              </w:rPr>
            </w:pPr>
            <w:r w:rsidRPr="00EF4078">
              <w:rPr>
                <w:rFonts w:cs="Times New Roman"/>
                <w:color w:val="000000"/>
                <w:sz w:val="20"/>
                <w:szCs w:val="20"/>
              </w:rPr>
              <w:t>1,200</w:t>
            </w:r>
          </w:p>
        </w:tc>
        <w:tc>
          <w:tcPr>
            <w:tcW w:w="2394" w:type="dxa"/>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0.03</w:t>
            </w:r>
          </w:p>
        </w:tc>
      </w:tr>
      <w:tr w:rsidR="00295B7D" w:rsidRPr="00EF4078" w:rsidTr="00295B7D">
        <w:tc>
          <w:tcPr>
            <w:tcW w:w="2394" w:type="dxa"/>
            <w:vAlign w:val="bottom"/>
          </w:tcPr>
          <w:p w:rsidR="00295B7D" w:rsidRPr="00EF4078" w:rsidRDefault="00295B7D" w:rsidP="00295B7D">
            <w:pPr>
              <w:jc w:val="center"/>
              <w:rPr>
                <w:rFonts w:cs="Times New Roman"/>
                <w:color w:val="000000"/>
                <w:sz w:val="20"/>
                <w:szCs w:val="20"/>
              </w:rPr>
            </w:pPr>
          </w:p>
        </w:tc>
        <w:tc>
          <w:tcPr>
            <w:tcW w:w="2394" w:type="dxa"/>
            <w:vAlign w:val="bottom"/>
          </w:tcPr>
          <w:p w:rsidR="00295B7D" w:rsidRPr="00EF4078" w:rsidRDefault="00295B7D" w:rsidP="002A674A">
            <w:pPr>
              <w:tabs>
                <w:tab w:val="decimal" w:pos="1218"/>
              </w:tabs>
              <w:rPr>
                <w:rFonts w:cs="Times New Roman"/>
                <w:color w:val="000000"/>
                <w:sz w:val="20"/>
                <w:szCs w:val="20"/>
              </w:rPr>
            </w:pPr>
            <w:r w:rsidRPr="00EF4078">
              <w:rPr>
                <w:rFonts w:cs="Times New Roman"/>
                <w:color w:val="000000"/>
                <w:sz w:val="20"/>
                <w:szCs w:val="20"/>
              </w:rPr>
              <w:t>1,500</w:t>
            </w:r>
          </w:p>
        </w:tc>
        <w:tc>
          <w:tcPr>
            <w:tcW w:w="2394" w:type="dxa"/>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0.02</w:t>
            </w:r>
          </w:p>
        </w:tc>
      </w:tr>
      <w:tr w:rsidR="00295B7D" w:rsidRPr="00EF4078" w:rsidTr="00295B7D">
        <w:tc>
          <w:tcPr>
            <w:tcW w:w="2394" w:type="dxa"/>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0.9</w:t>
            </w:r>
          </w:p>
        </w:tc>
        <w:tc>
          <w:tcPr>
            <w:tcW w:w="2394" w:type="dxa"/>
            <w:vAlign w:val="bottom"/>
          </w:tcPr>
          <w:p w:rsidR="00295B7D" w:rsidRPr="00EF4078" w:rsidRDefault="00295B7D" w:rsidP="002A674A">
            <w:pPr>
              <w:tabs>
                <w:tab w:val="decimal" w:pos="1218"/>
              </w:tabs>
              <w:rPr>
                <w:rFonts w:cs="Times New Roman"/>
                <w:color w:val="000000"/>
                <w:sz w:val="20"/>
                <w:szCs w:val="20"/>
              </w:rPr>
            </w:pPr>
            <w:r w:rsidRPr="00EF4078">
              <w:rPr>
                <w:rFonts w:cs="Times New Roman"/>
                <w:color w:val="000000"/>
                <w:sz w:val="20"/>
                <w:szCs w:val="20"/>
              </w:rPr>
              <w:t>300</w:t>
            </w:r>
          </w:p>
        </w:tc>
        <w:tc>
          <w:tcPr>
            <w:tcW w:w="2394" w:type="dxa"/>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0.03</w:t>
            </w:r>
          </w:p>
        </w:tc>
      </w:tr>
      <w:tr w:rsidR="00295B7D" w:rsidRPr="00EF4078" w:rsidTr="00295B7D">
        <w:tc>
          <w:tcPr>
            <w:tcW w:w="2394" w:type="dxa"/>
            <w:vAlign w:val="bottom"/>
          </w:tcPr>
          <w:p w:rsidR="00295B7D" w:rsidRPr="00EF4078" w:rsidRDefault="00295B7D" w:rsidP="00295B7D">
            <w:pPr>
              <w:jc w:val="center"/>
              <w:rPr>
                <w:rFonts w:cs="Times New Roman"/>
                <w:color w:val="000000"/>
                <w:sz w:val="20"/>
                <w:szCs w:val="20"/>
              </w:rPr>
            </w:pPr>
          </w:p>
        </w:tc>
        <w:tc>
          <w:tcPr>
            <w:tcW w:w="2394" w:type="dxa"/>
            <w:vAlign w:val="bottom"/>
          </w:tcPr>
          <w:p w:rsidR="00295B7D" w:rsidRPr="00EF4078" w:rsidRDefault="00295B7D" w:rsidP="002A674A">
            <w:pPr>
              <w:tabs>
                <w:tab w:val="decimal" w:pos="1218"/>
              </w:tabs>
              <w:rPr>
                <w:rFonts w:cs="Times New Roman"/>
                <w:color w:val="000000"/>
                <w:sz w:val="20"/>
                <w:szCs w:val="20"/>
              </w:rPr>
            </w:pPr>
            <w:r w:rsidRPr="00EF4078">
              <w:rPr>
                <w:rFonts w:cs="Times New Roman"/>
                <w:color w:val="000000"/>
                <w:sz w:val="20"/>
                <w:szCs w:val="20"/>
              </w:rPr>
              <w:t>600</w:t>
            </w:r>
          </w:p>
        </w:tc>
        <w:tc>
          <w:tcPr>
            <w:tcW w:w="2394" w:type="dxa"/>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0.02</w:t>
            </w:r>
          </w:p>
        </w:tc>
      </w:tr>
      <w:tr w:rsidR="00295B7D" w:rsidRPr="00EF4078" w:rsidTr="00295B7D">
        <w:tc>
          <w:tcPr>
            <w:tcW w:w="2394" w:type="dxa"/>
            <w:vAlign w:val="bottom"/>
          </w:tcPr>
          <w:p w:rsidR="00295B7D" w:rsidRPr="00EF4078" w:rsidRDefault="00295B7D" w:rsidP="00295B7D">
            <w:pPr>
              <w:jc w:val="center"/>
              <w:rPr>
                <w:rFonts w:cs="Times New Roman"/>
                <w:color w:val="000000"/>
                <w:sz w:val="20"/>
                <w:szCs w:val="20"/>
              </w:rPr>
            </w:pPr>
          </w:p>
        </w:tc>
        <w:tc>
          <w:tcPr>
            <w:tcW w:w="2394" w:type="dxa"/>
            <w:vAlign w:val="bottom"/>
          </w:tcPr>
          <w:p w:rsidR="00295B7D" w:rsidRPr="00EF4078" w:rsidRDefault="00295B7D" w:rsidP="002A674A">
            <w:pPr>
              <w:tabs>
                <w:tab w:val="decimal" w:pos="1218"/>
              </w:tabs>
              <w:rPr>
                <w:rFonts w:cs="Times New Roman"/>
                <w:color w:val="000000"/>
                <w:sz w:val="20"/>
                <w:szCs w:val="20"/>
              </w:rPr>
            </w:pPr>
            <w:r w:rsidRPr="00EF4078">
              <w:rPr>
                <w:rFonts w:cs="Times New Roman"/>
                <w:color w:val="000000"/>
                <w:sz w:val="20"/>
                <w:szCs w:val="20"/>
              </w:rPr>
              <w:t>900</w:t>
            </w:r>
          </w:p>
        </w:tc>
        <w:tc>
          <w:tcPr>
            <w:tcW w:w="2394" w:type="dxa"/>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0.02</w:t>
            </w:r>
          </w:p>
        </w:tc>
      </w:tr>
      <w:tr w:rsidR="00295B7D" w:rsidRPr="00EF4078" w:rsidTr="00295B7D">
        <w:tc>
          <w:tcPr>
            <w:tcW w:w="2394" w:type="dxa"/>
            <w:vAlign w:val="bottom"/>
          </w:tcPr>
          <w:p w:rsidR="00295B7D" w:rsidRPr="00EF4078" w:rsidRDefault="00295B7D" w:rsidP="00295B7D">
            <w:pPr>
              <w:jc w:val="center"/>
              <w:rPr>
                <w:rFonts w:cs="Times New Roman"/>
                <w:color w:val="000000"/>
                <w:sz w:val="20"/>
                <w:szCs w:val="20"/>
              </w:rPr>
            </w:pPr>
          </w:p>
        </w:tc>
        <w:tc>
          <w:tcPr>
            <w:tcW w:w="2394" w:type="dxa"/>
            <w:vAlign w:val="bottom"/>
          </w:tcPr>
          <w:p w:rsidR="00295B7D" w:rsidRPr="00EF4078" w:rsidRDefault="00295B7D" w:rsidP="002A674A">
            <w:pPr>
              <w:tabs>
                <w:tab w:val="decimal" w:pos="1218"/>
              </w:tabs>
              <w:rPr>
                <w:rFonts w:cs="Times New Roman"/>
                <w:color w:val="000000"/>
                <w:sz w:val="20"/>
                <w:szCs w:val="20"/>
              </w:rPr>
            </w:pPr>
            <w:r w:rsidRPr="00EF4078">
              <w:rPr>
                <w:rFonts w:cs="Times New Roman"/>
                <w:color w:val="000000"/>
                <w:sz w:val="20"/>
                <w:szCs w:val="20"/>
              </w:rPr>
              <w:t>1,200</w:t>
            </w:r>
          </w:p>
        </w:tc>
        <w:tc>
          <w:tcPr>
            <w:tcW w:w="2394" w:type="dxa"/>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0.02</w:t>
            </w:r>
          </w:p>
        </w:tc>
      </w:tr>
      <w:tr w:rsidR="00295B7D" w:rsidRPr="00EF4078" w:rsidTr="00295B7D">
        <w:tc>
          <w:tcPr>
            <w:tcW w:w="2394" w:type="dxa"/>
            <w:vAlign w:val="bottom"/>
          </w:tcPr>
          <w:p w:rsidR="00295B7D" w:rsidRPr="00EF4078" w:rsidRDefault="00295B7D" w:rsidP="00295B7D">
            <w:pPr>
              <w:jc w:val="center"/>
              <w:rPr>
                <w:rFonts w:cs="Times New Roman"/>
                <w:color w:val="000000"/>
                <w:sz w:val="20"/>
                <w:szCs w:val="20"/>
              </w:rPr>
            </w:pPr>
          </w:p>
        </w:tc>
        <w:tc>
          <w:tcPr>
            <w:tcW w:w="2394" w:type="dxa"/>
            <w:vAlign w:val="bottom"/>
          </w:tcPr>
          <w:p w:rsidR="00295B7D" w:rsidRPr="00EF4078" w:rsidRDefault="00295B7D" w:rsidP="002A674A">
            <w:pPr>
              <w:tabs>
                <w:tab w:val="decimal" w:pos="1218"/>
              </w:tabs>
              <w:rPr>
                <w:rFonts w:cs="Times New Roman"/>
                <w:color w:val="000000"/>
                <w:sz w:val="20"/>
                <w:szCs w:val="20"/>
              </w:rPr>
            </w:pPr>
            <w:r w:rsidRPr="00EF4078">
              <w:rPr>
                <w:rFonts w:cs="Times New Roman"/>
                <w:color w:val="000000"/>
                <w:sz w:val="20"/>
                <w:szCs w:val="20"/>
              </w:rPr>
              <w:t>1,500</w:t>
            </w:r>
          </w:p>
        </w:tc>
        <w:tc>
          <w:tcPr>
            <w:tcW w:w="2394" w:type="dxa"/>
            <w:vAlign w:val="bottom"/>
          </w:tcPr>
          <w:p w:rsidR="00295B7D" w:rsidRPr="00EF4078" w:rsidRDefault="00295B7D" w:rsidP="00295B7D">
            <w:pPr>
              <w:jc w:val="center"/>
              <w:rPr>
                <w:rFonts w:cs="Times New Roman"/>
                <w:color w:val="000000"/>
                <w:sz w:val="20"/>
                <w:szCs w:val="20"/>
              </w:rPr>
            </w:pPr>
            <w:r w:rsidRPr="00EF4078">
              <w:rPr>
                <w:rFonts w:cs="Times New Roman"/>
                <w:color w:val="000000"/>
                <w:sz w:val="20"/>
                <w:szCs w:val="20"/>
              </w:rPr>
              <w:t>0.02</w:t>
            </w:r>
          </w:p>
        </w:tc>
      </w:tr>
    </w:tbl>
    <w:p w:rsidR="00295B7D" w:rsidRPr="00167E28" w:rsidRDefault="00295B7D" w:rsidP="004F0B9C"/>
    <w:p w:rsidR="00F06D2C" w:rsidRDefault="00433941" w:rsidP="00167E28">
      <w:pPr>
        <w:pStyle w:val="Heading4"/>
      </w:pPr>
      <w:r w:rsidRPr="00E12CDF">
        <w:t xml:space="preserve">National </w:t>
      </w:r>
      <w:r w:rsidR="00F0148B" w:rsidRPr="00E12CDF">
        <w:t xml:space="preserve">Survey </w:t>
      </w:r>
      <w:r w:rsidR="00E12CDF">
        <w:t xml:space="preserve">of </w:t>
      </w:r>
      <w:r w:rsidR="00135D57">
        <w:t>Medicare</w:t>
      </w:r>
      <w:r w:rsidR="00E12CDF">
        <w:t xml:space="preserve"> </w:t>
      </w:r>
      <w:r w:rsidR="00135D57">
        <w:t>Beneficiaries</w:t>
      </w:r>
      <w:r w:rsidR="00E12CDF">
        <w:t xml:space="preserve"> </w:t>
      </w:r>
      <w:r w:rsidR="007B31A3">
        <w:t>S</w:t>
      </w:r>
      <w:r w:rsidR="00F06D2C" w:rsidRPr="00E12CDF">
        <w:t>ample</w:t>
      </w:r>
      <w:r w:rsidR="00F0148B" w:rsidRPr="00E12CDF">
        <w:t xml:space="preserve"> </w:t>
      </w:r>
    </w:p>
    <w:p w:rsidR="00C47F53" w:rsidRDefault="00C47F53" w:rsidP="00FE626E">
      <w:r>
        <w:t>The national sample will be drawn from Medicare enrollment and claims files.</w:t>
      </w:r>
      <w:r w:rsidR="002A674A">
        <w:t xml:space="preserve"> </w:t>
      </w:r>
      <w:r>
        <w:t>Beneficiaries meeting survey eligibility criteria (non-institutionalized, living in the United States) may be assigned to sample strata based on characteristics available through claims and enrollment data, such as dual-eligible beneficiaries or an</w:t>
      </w:r>
      <w:r w:rsidR="007B31A3">
        <w:t xml:space="preserve"> </w:t>
      </w:r>
      <w:r>
        <w:t>oldest age category, depending on the characteristics of program partners.</w:t>
      </w:r>
      <w:r w:rsidR="002A674A">
        <w:t xml:space="preserve"> </w:t>
      </w:r>
      <w:r>
        <w:t>After sorting on variables such as census region, state, Zip code, or other useful stratification variables available on the sample frame, we will select equal probability systematic sample</w:t>
      </w:r>
      <w:r w:rsidR="00926991">
        <w:t xml:space="preserve">s </w:t>
      </w:r>
      <w:r>
        <w:t>of beneficiaries</w:t>
      </w:r>
      <w:r w:rsidR="00926991">
        <w:t xml:space="preserve"> within strata</w:t>
      </w:r>
      <w:r>
        <w:t xml:space="preserve"> with sampling rates varying by strat</w:t>
      </w:r>
      <w:r w:rsidR="00926991">
        <w:t>a</w:t>
      </w:r>
      <w:r>
        <w:t xml:space="preserve"> as needed.</w:t>
      </w:r>
      <w:r w:rsidR="002A674A">
        <w:t xml:space="preserve"> </w:t>
      </w:r>
      <w:r>
        <w:t>The sample will be selected in waves with 12 replicate subsamples for monthly releases, matching the 12-mon</w:t>
      </w:r>
      <w:r w:rsidR="00FE626E">
        <w:t>th program enrollment period.</w:t>
      </w:r>
      <w:r w:rsidR="002A674A">
        <w:t xml:space="preserve"> </w:t>
      </w:r>
    </w:p>
    <w:p w:rsidR="00C47F53" w:rsidRDefault="00C47F53" w:rsidP="0072513F">
      <w:r>
        <w:t xml:space="preserve">The sample must be of adequate size </w:t>
      </w:r>
      <w:r w:rsidR="00FE626E">
        <w:t xml:space="preserve">to support the construction of </w:t>
      </w:r>
      <w:r>
        <w:t>comparison groups for the outcome analyses.</w:t>
      </w:r>
      <w:r w:rsidR="002A674A">
        <w:t xml:space="preserve"> </w:t>
      </w:r>
      <w:r>
        <w:t xml:space="preserve">For the propensity score matching process described in Part A, a large sample is required to ensure a sufficient number of completed responses for each of the </w:t>
      </w:r>
      <w:r w:rsidR="00AB6725">
        <w:t xml:space="preserve">8 </w:t>
      </w:r>
      <w:r>
        <w:t xml:space="preserve">control samples to be selected for comparison purposes with the </w:t>
      </w:r>
      <w:r w:rsidR="00AB6725">
        <w:t xml:space="preserve">8 </w:t>
      </w:r>
      <w:r>
        <w:t>program participant samples.</w:t>
      </w:r>
      <w:r w:rsidR="002A674A">
        <w:t xml:space="preserve"> </w:t>
      </w:r>
      <w:r>
        <w:t xml:space="preserve">The sample size </w:t>
      </w:r>
      <w:r w:rsidR="00926991">
        <w:t xml:space="preserve">will be large enough to allow for the possibility that </w:t>
      </w:r>
      <w:r>
        <w:t>some beneficiaries</w:t>
      </w:r>
      <w:r w:rsidR="00926991">
        <w:t xml:space="preserve"> may be considered ineligible to serve as a control for a given program.  For example, some participants may report </w:t>
      </w:r>
      <w:r>
        <w:t xml:space="preserve">enrolling in a program similar to one being evaluated, </w:t>
      </w:r>
      <w:r w:rsidR="00926991">
        <w:t xml:space="preserve">and thus </w:t>
      </w:r>
      <w:r>
        <w:t xml:space="preserve">may be excluded from the </w:t>
      </w:r>
      <w:r w:rsidR="00926991">
        <w:t xml:space="preserve">corresponding </w:t>
      </w:r>
      <w:r>
        <w:t>comparison group.</w:t>
      </w:r>
      <w:r w:rsidR="002A674A">
        <w:t xml:space="preserve"> </w:t>
      </w:r>
      <w:r>
        <w:t xml:space="preserve">Additionally, </w:t>
      </w:r>
      <w:r w:rsidR="006D38C8">
        <w:t>when</w:t>
      </w:r>
      <w:r w:rsidR="00690077">
        <w:t xml:space="preserve"> </w:t>
      </w:r>
      <w:r>
        <w:t xml:space="preserve">frequency matching between program participants and the eligible national sample subsampling </w:t>
      </w:r>
      <w:r w:rsidR="00926991">
        <w:t>with</w:t>
      </w:r>
      <w:r>
        <w:t>in propensity strata</w:t>
      </w:r>
      <w:r w:rsidR="006D38C8">
        <w:t xml:space="preserve"> (e.g., five groupings based on the quintiles of the propensity scores of program participants) </w:t>
      </w:r>
      <w:r w:rsidR="00926991">
        <w:t>with la</w:t>
      </w:r>
      <w:r w:rsidR="00690077">
        <w:t xml:space="preserve">rge numbers of national survey </w:t>
      </w:r>
      <w:r w:rsidR="00926991">
        <w:t>participants</w:t>
      </w:r>
      <w:r>
        <w:t xml:space="preserve"> </w:t>
      </w:r>
      <w:r w:rsidR="00926991">
        <w:t>may be undertaken to help limit costs.</w:t>
      </w:r>
    </w:p>
    <w:p w:rsidR="008A0356" w:rsidRDefault="008A0356" w:rsidP="008A0356">
      <w:pPr>
        <w:pStyle w:val="BodySingle"/>
        <w:spacing w:after="0"/>
        <w:ind w:firstLine="0"/>
        <w:rPr>
          <w:sz w:val="22"/>
          <w:szCs w:val="22"/>
        </w:rPr>
      </w:pPr>
      <w:r>
        <w:rPr>
          <w:sz w:val="22"/>
          <w:szCs w:val="22"/>
        </w:rPr>
        <w:lastRenderedPageBreak/>
        <w:t xml:space="preserve">The power to identify differences between program participants and the corresponding comparison sample hinges on a number of factors including the number of new participants expected for a given program over the period of data collection, the size of the difference to be detected, and the resources available for the study. </w:t>
      </w:r>
    </w:p>
    <w:p w:rsidR="00E92368" w:rsidRDefault="00E92368" w:rsidP="00E92368">
      <w:pPr>
        <w:pStyle w:val="BodySingle"/>
        <w:spacing w:after="0"/>
        <w:rPr>
          <w:sz w:val="22"/>
          <w:szCs w:val="22"/>
        </w:rPr>
      </w:pPr>
    </w:p>
    <w:p w:rsidR="008A0356" w:rsidRDefault="008A0356" w:rsidP="008A0356">
      <w:pPr>
        <w:pStyle w:val="BodySingle"/>
        <w:spacing w:after="0"/>
        <w:ind w:firstLine="0"/>
        <w:rPr>
          <w:sz w:val="22"/>
          <w:szCs w:val="22"/>
        </w:rPr>
      </w:pPr>
      <w:r>
        <w:rPr>
          <w:sz w:val="22"/>
          <w:szCs w:val="22"/>
        </w:rPr>
        <w:t xml:space="preserve">Allowing for subsampling, nonresponse, and ineligibility, Westat plans to select a sample of roughly 15,500 Medicare beneficiaries for the national sample.  This is expected to provide more than sufficient precision for the national estimates of readiness. Exhibit 4 outlines the total sample size to be selected for the national sample (from which the comparison samples will be drawn). The targeted number of initial participants per program is roughly 2,000, but this is expected to vary.  With 2,000 initial participants, it is anticipated that about 600 will complete a program and all surveys although with lower numbers of initial participants the number might go as low </w:t>
      </w:r>
      <w:r w:rsidR="00926991">
        <w:rPr>
          <w:sz w:val="22"/>
          <w:szCs w:val="22"/>
        </w:rPr>
        <w:t xml:space="preserve">as </w:t>
      </w:r>
      <w:r>
        <w:rPr>
          <w:sz w:val="22"/>
          <w:szCs w:val="22"/>
        </w:rPr>
        <w:t>300.  However, in addition to analyses of individual programs, analyses are planned after pooling data gathered from programs of a similar nature.   For the purposes of power calculations we have considered power in terms of 450 full-term respondents for a single program as well as 900 and 1,200 full-term respondents, representing what might be obtained from a single large program or the pooling of two or more programs.     In terms of controls we expect to obtain roughly 3,000 respondents from the initial national sample who provide data through the 12-month follow-up.  Comparisons may be done with subsamples of these respondents, so we also consider 2,000 and 1,000 sample alternatives for comparison purposes.  It should be noted that both unweighted and weighted analyses are planned.  Unweighted analyses provide greater power while the use of sample weights in analyses provides protection against the potential for bias arising from model misspecification.  The power calculations undertaken here apply to unweighted analyses.</w:t>
      </w:r>
    </w:p>
    <w:p w:rsidR="00E92368" w:rsidRDefault="00E92368" w:rsidP="00E92368">
      <w:pPr>
        <w:pStyle w:val="BodySingle"/>
        <w:spacing w:after="0"/>
        <w:ind w:firstLine="0"/>
        <w:rPr>
          <w:sz w:val="22"/>
          <w:szCs w:val="22"/>
        </w:rPr>
      </w:pPr>
    </w:p>
    <w:p w:rsidR="008A0356" w:rsidRDefault="008A0356" w:rsidP="008A0356">
      <w:pPr>
        <w:pStyle w:val="BodySingle"/>
        <w:spacing w:after="0"/>
        <w:ind w:firstLine="0"/>
        <w:rPr>
          <w:sz w:val="22"/>
          <w:szCs w:val="22"/>
        </w:rPr>
      </w:pPr>
      <w:r>
        <w:rPr>
          <w:sz w:val="22"/>
          <w:szCs w:val="22"/>
        </w:rPr>
        <w:t xml:space="preserve">  Exhibit 5 shows the expected level of power required to detect differences of two specified sizes ( .05, and .06) assuming that 450 program  participants for a given wellness program completing the program and all surveys, compared to a corresponding number of controls of 3,000, 2,000, and 1,000.   For differences of size .05, the power ranged from .40 to .52 while for differences of .06 the range was from .54 to .68.     Exhibit 6 considers the power that might be gained from pooling multiple programs for a given set of analyses for the two sets of program participants (900 and 1,200) and three sets of controls (1,000; 2,000; and 3,000).  For differences of .05 and 900 program participants, power ranged from .56 to .78 depending on the number of controls.  For 1,200 program participants the range was from .63 to .86.  For differences of .06 the range for 900 program participants was from .72 to .91 while for 1,200 program participants the range was from .78 to .95.  </w:t>
      </w:r>
    </w:p>
    <w:p w:rsidR="00C47F53" w:rsidRDefault="00C47F53" w:rsidP="0072513F">
      <w:pPr>
        <w:rPr>
          <w:rFonts w:eastAsiaTheme="minorHAnsi" w:cs="Times New Roman"/>
          <w:sz w:val="24"/>
          <w:szCs w:val="24"/>
        </w:rPr>
      </w:pPr>
    </w:p>
    <w:p w:rsidR="00EF4078" w:rsidRDefault="002A674A" w:rsidP="00EF4078">
      <w:r>
        <w:t xml:space="preserve"> </w:t>
      </w:r>
    </w:p>
    <w:p w:rsidR="007B4331" w:rsidRDefault="00EF4078" w:rsidP="004E7A88">
      <w:pPr>
        <w:keepNext/>
        <w:keepLines/>
      </w:pPr>
      <w:r w:rsidRPr="00EF4078">
        <w:rPr>
          <w:b/>
        </w:rPr>
        <w:lastRenderedPageBreak/>
        <w:t>Exhibit 4</w:t>
      </w:r>
      <w:r w:rsidR="007B4331" w:rsidRPr="00EF4078">
        <w:rPr>
          <w:b/>
        </w:rPr>
        <w:t>.</w:t>
      </w:r>
      <w:r w:rsidR="007B4331">
        <w:t xml:space="preserve"> Expected sample performance, national surveys and participant surveys</w:t>
      </w:r>
      <w:r w:rsidR="002A674A">
        <w:t xml:space="preserve"> </w:t>
      </w:r>
    </w:p>
    <w:tbl>
      <w:tblPr>
        <w:tblW w:w="80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6960"/>
        <w:gridCol w:w="1100"/>
      </w:tblGrid>
      <w:tr w:rsidR="00A07D7A" w:rsidRPr="00EF4078" w:rsidTr="004E7A88">
        <w:trPr>
          <w:trHeight w:val="251"/>
        </w:trPr>
        <w:tc>
          <w:tcPr>
            <w:tcW w:w="8060" w:type="dxa"/>
            <w:gridSpan w:val="2"/>
            <w:shd w:val="clear" w:color="auto" w:fill="C6D9F1" w:themeFill="text2" w:themeFillTint="33"/>
            <w:hideMark/>
          </w:tcPr>
          <w:p w:rsidR="00A07D7A" w:rsidRPr="00EF4078" w:rsidRDefault="00A07D7A" w:rsidP="004E7A88">
            <w:pPr>
              <w:pStyle w:val="NoSpacing"/>
              <w:keepNext/>
              <w:keepLines/>
              <w:spacing w:line="276" w:lineRule="auto"/>
              <w:rPr>
                <w:rFonts w:eastAsia="Times New Roman" w:cs="Times New Roman"/>
                <w:b/>
                <w:sz w:val="20"/>
                <w:szCs w:val="20"/>
              </w:rPr>
            </w:pPr>
            <w:bookmarkStart w:id="2" w:name="OLE_LINK2"/>
            <w:bookmarkStart w:id="3" w:name="OLE_LINK3"/>
            <w:r w:rsidRPr="00EF4078">
              <w:rPr>
                <w:rFonts w:eastAsia="Times New Roman" w:cs="Times New Roman"/>
                <w:b/>
                <w:sz w:val="20"/>
                <w:szCs w:val="20"/>
              </w:rPr>
              <w:t xml:space="preserve">Program Participants </w:t>
            </w:r>
          </w:p>
        </w:tc>
      </w:tr>
      <w:tr w:rsidR="007B4331" w:rsidRPr="00EF4078" w:rsidTr="00EF4078">
        <w:trPr>
          <w:trHeight w:val="125"/>
        </w:trPr>
        <w:tc>
          <w:tcPr>
            <w:tcW w:w="6960" w:type="dxa"/>
            <w:shd w:val="clear" w:color="auto" w:fill="auto"/>
            <w:vAlign w:val="center"/>
            <w:hideMark/>
          </w:tcPr>
          <w:p w:rsidR="007B4331" w:rsidRPr="00EF4078" w:rsidRDefault="004E7A88" w:rsidP="006F77DD">
            <w:pPr>
              <w:pStyle w:val="NoSpacing"/>
              <w:keepNext/>
              <w:keepLines/>
              <w:spacing w:line="276" w:lineRule="auto"/>
              <w:ind w:left="177"/>
              <w:rPr>
                <w:rFonts w:eastAsia="Times New Roman" w:cs="Times New Roman"/>
                <w:sz w:val="20"/>
                <w:szCs w:val="20"/>
              </w:rPr>
            </w:pPr>
            <w:r w:rsidRPr="00EF4078">
              <w:rPr>
                <w:rFonts w:eastAsia="Times New Roman" w:cs="Times New Roman"/>
                <w:sz w:val="20"/>
                <w:szCs w:val="20"/>
              </w:rPr>
              <w:t xml:space="preserve">Expected number of enrollees annually (across all </w:t>
            </w:r>
            <w:r w:rsidR="006F77DD">
              <w:rPr>
                <w:rFonts w:eastAsia="Times New Roman" w:cs="Times New Roman"/>
                <w:sz w:val="20"/>
                <w:szCs w:val="20"/>
              </w:rPr>
              <w:t>8</w:t>
            </w:r>
            <w:r w:rsidR="006F77DD" w:rsidRPr="00EF4078">
              <w:rPr>
                <w:rFonts w:eastAsia="Times New Roman" w:cs="Times New Roman"/>
                <w:sz w:val="20"/>
                <w:szCs w:val="20"/>
              </w:rPr>
              <w:t xml:space="preserve"> </w:t>
            </w:r>
            <w:r w:rsidRPr="00EF4078">
              <w:rPr>
                <w:rFonts w:eastAsia="Times New Roman" w:cs="Times New Roman"/>
                <w:sz w:val="20"/>
                <w:szCs w:val="20"/>
              </w:rPr>
              <w:t>programs)</w:t>
            </w:r>
          </w:p>
        </w:tc>
        <w:tc>
          <w:tcPr>
            <w:tcW w:w="1100" w:type="dxa"/>
            <w:shd w:val="clear" w:color="auto" w:fill="auto"/>
            <w:noWrap/>
            <w:vAlign w:val="center"/>
            <w:hideMark/>
          </w:tcPr>
          <w:p w:rsidR="007B4331" w:rsidRPr="00EF4078" w:rsidRDefault="006F77DD" w:rsidP="004E7A88">
            <w:pPr>
              <w:pStyle w:val="NoSpacing"/>
              <w:keepNext/>
              <w:keepLines/>
              <w:spacing w:line="276" w:lineRule="auto"/>
              <w:jc w:val="center"/>
              <w:rPr>
                <w:rFonts w:eastAsia="Times New Roman" w:cs="Times New Roman"/>
                <w:sz w:val="20"/>
                <w:szCs w:val="20"/>
              </w:rPr>
            </w:pPr>
            <w:r>
              <w:rPr>
                <w:rFonts w:eastAsia="Times New Roman" w:cs="Times New Roman"/>
                <w:sz w:val="20"/>
                <w:szCs w:val="20"/>
              </w:rPr>
              <w:t>16,000</w:t>
            </w:r>
          </w:p>
        </w:tc>
      </w:tr>
      <w:tr w:rsidR="007B4331" w:rsidRPr="00EF4078" w:rsidTr="00EF4078">
        <w:trPr>
          <w:trHeight w:val="152"/>
        </w:trPr>
        <w:tc>
          <w:tcPr>
            <w:tcW w:w="6960" w:type="dxa"/>
            <w:shd w:val="clear" w:color="auto" w:fill="auto"/>
            <w:vAlign w:val="center"/>
            <w:hideMark/>
          </w:tcPr>
          <w:p w:rsidR="007B4331" w:rsidRPr="00EF4078" w:rsidRDefault="004E7A88" w:rsidP="001D2B01">
            <w:pPr>
              <w:pStyle w:val="NoSpacing"/>
              <w:keepNext/>
              <w:keepLines/>
              <w:spacing w:line="276" w:lineRule="auto"/>
              <w:ind w:left="177"/>
              <w:rPr>
                <w:rFonts w:eastAsia="Times New Roman" w:cs="Times New Roman"/>
                <w:sz w:val="20"/>
                <w:szCs w:val="20"/>
              </w:rPr>
            </w:pPr>
            <w:r w:rsidRPr="00EF4078">
              <w:rPr>
                <w:rFonts w:eastAsia="Times New Roman" w:cs="Times New Roman"/>
                <w:sz w:val="20"/>
                <w:szCs w:val="20"/>
              </w:rPr>
              <w:t xml:space="preserve">Expected percentage </w:t>
            </w:r>
            <w:r w:rsidR="001D2B01">
              <w:rPr>
                <w:rFonts w:eastAsia="Times New Roman" w:cs="Times New Roman"/>
                <w:sz w:val="20"/>
                <w:szCs w:val="20"/>
              </w:rPr>
              <w:t>new enrollees completing a baseline survey</w:t>
            </w:r>
          </w:p>
        </w:tc>
        <w:tc>
          <w:tcPr>
            <w:tcW w:w="1100" w:type="dxa"/>
            <w:shd w:val="clear" w:color="auto" w:fill="auto"/>
            <w:noWrap/>
            <w:vAlign w:val="center"/>
            <w:hideMark/>
          </w:tcPr>
          <w:p w:rsidR="007B4331" w:rsidRPr="00EF4078" w:rsidRDefault="004E7A88" w:rsidP="004E7A88">
            <w:pPr>
              <w:pStyle w:val="NoSpacing"/>
              <w:keepNext/>
              <w:keepLines/>
              <w:spacing w:line="276" w:lineRule="auto"/>
              <w:jc w:val="center"/>
              <w:rPr>
                <w:rFonts w:eastAsia="Times New Roman" w:cs="Times New Roman"/>
                <w:sz w:val="20"/>
                <w:szCs w:val="20"/>
              </w:rPr>
            </w:pPr>
            <w:r w:rsidRPr="00EF4078">
              <w:rPr>
                <w:rFonts w:eastAsia="Times New Roman" w:cs="Times New Roman"/>
                <w:sz w:val="20"/>
                <w:szCs w:val="20"/>
              </w:rPr>
              <w:t>0.</w:t>
            </w:r>
            <w:r w:rsidR="001D2B01">
              <w:rPr>
                <w:rFonts w:eastAsia="Times New Roman" w:cs="Times New Roman"/>
                <w:sz w:val="20"/>
                <w:szCs w:val="20"/>
              </w:rPr>
              <w:t>7</w:t>
            </w:r>
            <w:r w:rsidR="00B7374E">
              <w:rPr>
                <w:rFonts w:eastAsia="Times New Roman" w:cs="Times New Roman"/>
                <w:sz w:val="20"/>
                <w:szCs w:val="20"/>
              </w:rPr>
              <w:t>0</w:t>
            </w:r>
          </w:p>
        </w:tc>
      </w:tr>
      <w:tr w:rsidR="001D2B01" w:rsidRPr="00EF4078" w:rsidTr="00EF4078">
        <w:trPr>
          <w:trHeight w:val="260"/>
        </w:trPr>
        <w:tc>
          <w:tcPr>
            <w:tcW w:w="6960" w:type="dxa"/>
            <w:shd w:val="clear" w:color="auto" w:fill="auto"/>
            <w:vAlign w:val="center"/>
          </w:tcPr>
          <w:p w:rsidR="001D2B01" w:rsidDel="001D2B01" w:rsidRDefault="001D2B01" w:rsidP="001D2B01">
            <w:pPr>
              <w:pStyle w:val="NoSpacing"/>
              <w:keepNext/>
              <w:keepLines/>
              <w:spacing w:line="276" w:lineRule="auto"/>
              <w:ind w:left="177"/>
              <w:rPr>
                <w:rFonts w:eastAsia="Times New Roman" w:cs="Times New Roman"/>
                <w:sz w:val="20"/>
                <w:szCs w:val="20"/>
              </w:rPr>
            </w:pPr>
            <w:r w:rsidRPr="00EF4078">
              <w:rPr>
                <w:rFonts w:eastAsia="Times New Roman" w:cs="Times New Roman"/>
                <w:sz w:val="20"/>
                <w:szCs w:val="20"/>
              </w:rPr>
              <w:t xml:space="preserve">Expected </w:t>
            </w:r>
            <w:r w:rsidR="000038F0">
              <w:rPr>
                <w:rFonts w:eastAsia="Times New Roman" w:cs="Times New Roman"/>
                <w:sz w:val="20"/>
                <w:szCs w:val="20"/>
              </w:rPr>
              <w:t xml:space="preserve">number of </w:t>
            </w:r>
            <w:r>
              <w:rPr>
                <w:rFonts w:eastAsia="Times New Roman" w:cs="Times New Roman"/>
                <w:sz w:val="20"/>
                <w:szCs w:val="20"/>
              </w:rPr>
              <w:t>baseline survey</w:t>
            </w:r>
            <w:r w:rsidR="000038F0">
              <w:rPr>
                <w:rFonts w:eastAsia="Times New Roman" w:cs="Times New Roman"/>
                <w:sz w:val="20"/>
                <w:szCs w:val="20"/>
              </w:rPr>
              <w:t xml:space="preserve"> response</w:t>
            </w:r>
            <w:r>
              <w:rPr>
                <w:rFonts w:eastAsia="Times New Roman" w:cs="Times New Roman"/>
                <w:sz w:val="20"/>
                <w:szCs w:val="20"/>
              </w:rPr>
              <w:t>s</w:t>
            </w:r>
          </w:p>
        </w:tc>
        <w:tc>
          <w:tcPr>
            <w:tcW w:w="1100" w:type="dxa"/>
            <w:shd w:val="clear" w:color="auto" w:fill="auto"/>
            <w:noWrap/>
            <w:vAlign w:val="center"/>
          </w:tcPr>
          <w:p w:rsidR="001D2B01" w:rsidDel="001D2B01" w:rsidRDefault="006F77DD" w:rsidP="004E7A88">
            <w:pPr>
              <w:pStyle w:val="NoSpacing"/>
              <w:keepNext/>
              <w:keepLines/>
              <w:spacing w:line="276" w:lineRule="auto"/>
              <w:jc w:val="center"/>
              <w:rPr>
                <w:rFonts w:eastAsia="Times New Roman" w:cs="Times New Roman"/>
                <w:sz w:val="20"/>
                <w:szCs w:val="20"/>
              </w:rPr>
            </w:pPr>
            <w:r>
              <w:rPr>
                <w:rFonts w:eastAsia="Times New Roman" w:cs="Times New Roman"/>
                <w:sz w:val="20"/>
                <w:szCs w:val="20"/>
              </w:rPr>
              <w:t>11,200</w:t>
            </w:r>
          </w:p>
        </w:tc>
      </w:tr>
      <w:tr w:rsidR="000038F0" w:rsidRPr="00EF4078" w:rsidTr="00B7374E">
        <w:trPr>
          <w:trHeight w:val="260"/>
        </w:trPr>
        <w:tc>
          <w:tcPr>
            <w:tcW w:w="8060" w:type="dxa"/>
            <w:gridSpan w:val="2"/>
            <w:shd w:val="clear" w:color="auto" w:fill="auto"/>
            <w:vAlign w:val="center"/>
          </w:tcPr>
          <w:p w:rsidR="000038F0" w:rsidRPr="00EF4078" w:rsidRDefault="000038F0" w:rsidP="00EF2B7D">
            <w:pPr>
              <w:pStyle w:val="NoSpacing"/>
              <w:keepNext/>
              <w:keepLines/>
              <w:spacing w:line="276" w:lineRule="auto"/>
              <w:ind w:left="177"/>
              <w:rPr>
                <w:rFonts w:eastAsia="Times New Roman" w:cs="Times New Roman"/>
                <w:sz w:val="20"/>
                <w:szCs w:val="20"/>
              </w:rPr>
            </w:pPr>
            <w:r>
              <w:rPr>
                <w:rFonts w:eastAsia="Times New Roman" w:cs="Times New Roman"/>
                <w:sz w:val="20"/>
                <w:szCs w:val="20"/>
              </w:rPr>
              <w:t>Six Month Followup Survey (all those completing a baseline)</w:t>
            </w:r>
          </w:p>
        </w:tc>
      </w:tr>
      <w:tr w:rsidR="007B4331" w:rsidRPr="00EF4078" w:rsidTr="00EF4078">
        <w:trPr>
          <w:trHeight w:val="260"/>
        </w:trPr>
        <w:tc>
          <w:tcPr>
            <w:tcW w:w="6960" w:type="dxa"/>
            <w:shd w:val="clear" w:color="auto" w:fill="auto"/>
            <w:vAlign w:val="center"/>
            <w:hideMark/>
          </w:tcPr>
          <w:p w:rsidR="007B4331" w:rsidRPr="00EF4078" w:rsidRDefault="001D2B01" w:rsidP="001D2B01">
            <w:pPr>
              <w:pStyle w:val="NoSpacing"/>
              <w:keepNext/>
              <w:keepLines/>
              <w:spacing w:line="276" w:lineRule="auto"/>
              <w:ind w:left="537"/>
              <w:rPr>
                <w:rFonts w:eastAsia="Times New Roman" w:cs="Times New Roman"/>
                <w:sz w:val="20"/>
                <w:szCs w:val="20"/>
              </w:rPr>
            </w:pPr>
            <w:r>
              <w:rPr>
                <w:rFonts w:eastAsia="Times New Roman" w:cs="Times New Roman"/>
                <w:sz w:val="20"/>
                <w:szCs w:val="20"/>
              </w:rPr>
              <w:t>Percentage of new enrollees reporting program completion</w:t>
            </w:r>
          </w:p>
        </w:tc>
        <w:tc>
          <w:tcPr>
            <w:tcW w:w="1100" w:type="dxa"/>
            <w:shd w:val="clear" w:color="auto" w:fill="auto"/>
            <w:noWrap/>
            <w:vAlign w:val="center"/>
            <w:hideMark/>
          </w:tcPr>
          <w:p w:rsidR="007B4331" w:rsidRPr="00EF4078" w:rsidRDefault="001D2B01" w:rsidP="004E7A88">
            <w:pPr>
              <w:pStyle w:val="NoSpacing"/>
              <w:keepNext/>
              <w:keepLines/>
              <w:spacing w:line="276" w:lineRule="auto"/>
              <w:jc w:val="center"/>
              <w:rPr>
                <w:rFonts w:eastAsia="Times New Roman" w:cs="Times New Roman"/>
                <w:sz w:val="20"/>
                <w:szCs w:val="20"/>
              </w:rPr>
            </w:pPr>
            <w:r>
              <w:rPr>
                <w:rFonts w:eastAsia="Times New Roman" w:cs="Times New Roman"/>
                <w:sz w:val="20"/>
                <w:szCs w:val="20"/>
              </w:rPr>
              <w:t>0.</w:t>
            </w:r>
            <w:r w:rsidR="00B7374E">
              <w:rPr>
                <w:rFonts w:eastAsia="Times New Roman" w:cs="Times New Roman"/>
                <w:sz w:val="20"/>
                <w:szCs w:val="20"/>
              </w:rPr>
              <w:t>65</w:t>
            </w:r>
          </w:p>
        </w:tc>
      </w:tr>
      <w:tr w:rsidR="007B4331" w:rsidRPr="00EF4078" w:rsidTr="00EF4078">
        <w:trPr>
          <w:trHeight w:val="98"/>
        </w:trPr>
        <w:tc>
          <w:tcPr>
            <w:tcW w:w="6960" w:type="dxa"/>
            <w:shd w:val="clear" w:color="auto" w:fill="auto"/>
            <w:vAlign w:val="center"/>
            <w:hideMark/>
          </w:tcPr>
          <w:p w:rsidR="007B4331" w:rsidRPr="00EF4078" w:rsidRDefault="004E7A88" w:rsidP="001D2B01">
            <w:pPr>
              <w:pStyle w:val="NoSpacing"/>
              <w:keepNext/>
              <w:keepLines/>
              <w:spacing w:line="276" w:lineRule="auto"/>
              <w:ind w:left="537"/>
              <w:rPr>
                <w:rFonts w:eastAsia="Times New Roman" w:cs="Times New Roman"/>
                <w:sz w:val="20"/>
                <w:szCs w:val="20"/>
              </w:rPr>
            </w:pPr>
            <w:r w:rsidRPr="00EF4078">
              <w:rPr>
                <w:rFonts w:eastAsia="Times New Roman" w:cs="Times New Roman"/>
                <w:sz w:val="20"/>
                <w:szCs w:val="20"/>
              </w:rPr>
              <w:t xml:space="preserve">Expected </w:t>
            </w:r>
            <w:r w:rsidR="001D2B01">
              <w:rPr>
                <w:rFonts w:eastAsia="Times New Roman" w:cs="Times New Roman"/>
                <w:sz w:val="20"/>
                <w:szCs w:val="20"/>
              </w:rPr>
              <w:t>6-month completion rate among program completers</w:t>
            </w:r>
          </w:p>
        </w:tc>
        <w:tc>
          <w:tcPr>
            <w:tcW w:w="1100" w:type="dxa"/>
            <w:shd w:val="clear" w:color="auto" w:fill="auto"/>
            <w:noWrap/>
            <w:vAlign w:val="center"/>
            <w:hideMark/>
          </w:tcPr>
          <w:p w:rsidR="007B4331" w:rsidRPr="00EF4078" w:rsidRDefault="001D2B01">
            <w:pPr>
              <w:pStyle w:val="NoSpacing"/>
              <w:keepNext/>
              <w:keepLines/>
              <w:spacing w:line="276" w:lineRule="auto"/>
              <w:jc w:val="center"/>
              <w:rPr>
                <w:rFonts w:eastAsia="Times New Roman" w:cs="Times New Roman"/>
                <w:sz w:val="20"/>
                <w:szCs w:val="20"/>
              </w:rPr>
            </w:pPr>
            <w:r>
              <w:rPr>
                <w:rFonts w:eastAsia="Times New Roman" w:cs="Times New Roman"/>
                <w:sz w:val="20"/>
                <w:szCs w:val="20"/>
              </w:rPr>
              <w:t>0.</w:t>
            </w:r>
            <w:r w:rsidR="00B7374E">
              <w:rPr>
                <w:rFonts w:eastAsia="Times New Roman" w:cs="Times New Roman"/>
                <w:sz w:val="20"/>
                <w:szCs w:val="20"/>
              </w:rPr>
              <w:t>8</w:t>
            </w:r>
          </w:p>
        </w:tc>
      </w:tr>
      <w:tr w:rsidR="007B4331" w:rsidRPr="00EF4078" w:rsidTr="00EF4078">
        <w:trPr>
          <w:trHeight w:val="98"/>
        </w:trPr>
        <w:tc>
          <w:tcPr>
            <w:tcW w:w="6960" w:type="dxa"/>
            <w:shd w:val="clear" w:color="auto" w:fill="auto"/>
            <w:vAlign w:val="center"/>
            <w:hideMark/>
          </w:tcPr>
          <w:p w:rsidR="007B4331" w:rsidRPr="00EF4078" w:rsidRDefault="001D2B01" w:rsidP="00FA03B5">
            <w:pPr>
              <w:pStyle w:val="NoSpacing"/>
              <w:keepNext/>
              <w:keepLines/>
              <w:spacing w:line="276" w:lineRule="auto"/>
              <w:ind w:left="537"/>
              <w:rPr>
                <w:rFonts w:eastAsia="Times New Roman" w:cs="Times New Roman"/>
                <w:sz w:val="20"/>
                <w:szCs w:val="20"/>
              </w:rPr>
            </w:pPr>
            <w:r w:rsidRPr="00EF4078">
              <w:rPr>
                <w:rFonts w:eastAsia="Times New Roman" w:cs="Times New Roman"/>
                <w:sz w:val="20"/>
                <w:szCs w:val="20"/>
              </w:rPr>
              <w:t xml:space="preserve">Expected </w:t>
            </w:r>
            <w:r>
              <w:rPr>
                <w:rFonts w:eastAsia="Times New Roman" w:cs="Times New Roman"/>
                <w:sz w:val="20"/>
                <w:szCs w:val="20"/>
              </w:rPr>
              <w:t>6-month completion rate among program non-completers</w:t>
            </w:r>
          </w:p>
        </w:tc>
        <w:tc>
          <w:tcPr>
            <w:tcW w:w="1100" w:type="dxa"/>
            <w:shd w:val="clear" w:color="auto" w:fill="auto"/>
            <w:noWrap/>
            <w:vAlign w:val="center"/>
            <w:hideMark/>
          </w:tcPr>
          <w:p w:rsidR="007B4331" w:rsidRPr="00EF4078" w:rsidRDefault="004E7A88">
            <w:pPr>
              <w:pStyle w:val="NoSpacing"/>
              <w:keepNext/>
              <w:keepLines/>
              <w:spacing w:line="276" w:lineRule="auto"/>
              <w:jc w:val="center"/>
              <w:rPr>
                <w:rFonts w:eastAsia="Times New Roman" w:cs="Times New Roman"/>
                <w:sz w:val="20"/>
                <w:szCs w:val="20"/>
              </w:rPr>
            </w:pPr>
            <w:r w:rsidRPr="00EF4078">
              <w:rPr>
                <w:rFonts w:eastAsia="Times New Roman" w:cs="Times New Roman"/>
                <w:sz w:val="20"/>
                <w:szCs w:val="20"/>
              </w:rPr>
              <w:t>0.</w:t>
            </w:r>
            <w:r w:rsidR="00B7374E">
              <w:rPr>
                <w:rFonts w:eastAsia="Times New Roman" w:cs="Times New Roman"/>
                <w:sz w:val="20"/>
                <w:szCs w:val="20"/>
              </w:rPr>
              <w:t>65</w:t>
            </w:r>
          </w:p>
        </w:tc>
      </w:tr>
      <w:tr w:rsidR="00FA03B5" w:rsidRPr="00EF4078" w:rsidTr="00DB6E3D">
        <w:trPr>
          <w:trHeight w:val="269"/>
        </w:trPr>
        <w:tc>
          <w:tcPr>
            <w:tcW w:w="6960" w:type="dxa"/>
            <w:shd w:val="clear" w:color="auto" w:fill="auto"/>
            <w:vAlign w:val="center"/>
          </w:tcPr>
          <w:p w:rsidR="00FA03B5" w:rsidRPr="00EF4078" w:rsidRDefault="00FA03B5" w:rsidP="001D2B01">
            <w:pPr>
              <w:pStyle w:val="NoSpacing"/>
              <w:keepNext/>
              <w:keepLines/>
              <w:spacing w:line="276" w:lineRule="auto"/>
              <w:ind w:left="537"/>
              <w:rPr>
                <w:rFonts w:eastAsia="Times New Roman" w:cs="Times New Roman"/>
                <w:sz w:val="20"/>
                <w:szCs w:val="20"/>
              </w:rPr>
            </w:pPr>
            <w:r>
              <w:rPr>
                <w:rFonts w:eastAsia="Times New Roman" w:cs="Times New Roman"/>
                <w:sz w:val="20"/>
                <w:szCs w:val="20"/>
              </w:rPr>
              <w:t xml:space="preserve">Expected </w:t>
            </w:r>
            <w:r w:rsidR="001D2B01">
              <w:rPr>
                <w:rFonts w:eastAsia="Times New Roman" w:cs="Times New Roman"/>
                <w:sz w:val="20"/>
                <w:szCs w:val="20"/>
              </w:rPr>
              <w:t xml:space="preserve">number of program completers with a </w:t>
            </w:r>
            <w:r>
              <w:rPr>
                <w:rFonts w:eastAsia="Times New Roman" w:cs="Times New Roman"/>
                <w:sz w:val="20"/>
                <w:szCs w:val="20"/>
              </w:rPr>
              <w:t xml:space="preserve">6-month </w:t>
            </w:r>
            <w:r w:rsidR="001D2B01">
              <w:rPr>
                <w:rFonts w:eastAsia="Times New Roman" w:cs="Times New Roman"/>
                <w:sz w:val="20"/>
                <w:szCs w:val="20"/>
              </w:rPr>
              <w:t>survey</w:t>
            </w:r>
          </w:p>
        </w:tc>
        <w:tc>
          <w:tcPr>
            <w:tcW w:w="1100" w:type="dxa"/>
            <w:shd w:val="clear" w:color="auto" w:fill="auto"/>
            <w:noWrap/>
            <w:vAlign w:val="center"/>
          </w:tcPr>
          <w:p w:rsidR="00926991" w:rsidRPr="00EF4078" w:rsidRDefault="00926991" w:rsidP="00DB6E3D">
            <w:pPr>
              <w:pStyle w:val="NoSpacing"/>
              <w:keepNext/>
              <w:keepLines/>
              <w:spacing w:line="276" w:lineRule="auto"/>
              <w:jc w:val="center"/>
              <w:rPr>
                <w:rFonts w:eastAsia="Times New Roman" w:cs="Times New Roman"/>
                <w:sz w:val="20"/>
                <w:szCs w:val="20"/>
              </w:rPr>
            </w:pPr>
            <w:r>
              <w:rPr>
                <w:rFonts w:eastAsia="Times New Roman" w:cs="Times New Roman"/>
                <w:sz w:val="20"/>
                <w:szCs w:val="20"/>
              </w:rPr>
              <w:t>5,824</w:t>
            </w:r>
          </w:p>
        </w:tc>
      </w:tr>
      <w:tr w:rsidR="007B4331" w:rsidRPr="00EF4078" w:rsidTr="00EF4078">
        <w:trPr>
          <w:trHeight w:val="98"/>
        </w:trPr>
        <w:tc>
          <w:tcPr>
            <w:tcW w:w="6960" w:type="dxa"/>
            <w:shd w:val="clear" w:color="auto" w:fill="auto"/>
            <w:vAlign w:val="center"/>
            <w:hideMark/>
          </w:tcPr>
          <w:p w:rsidR="007B4331" w:rsidRPr="00EF4078" w:rsidRDefault="001D2B01" w:rsidP="00FA03B5">
            <w:pPr>
              <w:pStyle w:val="NoSpacing"/>
              <w:keepNext/>
              <w:keepLines/>
              <w:spacing w:line="276" w:lineRule="auto"/>
              <w:ind w:left="537"/>
              <w:rPr>
                <w:rFonts w:eastAsia="Times New Roman" w:cs="Times New Roman"/>
                <w:sz w:val="20"/>
                <w:szCs w:val="20"/>
              </w:rPr>
            </w:pPr>
            <w:r>
              <w:rPr>
                <w:rFonts w:eastAsia="Times New Roman" w:cs="Times New Roman"/>
                <w:sz w:val="20"/>
                <w:szCs w:val="20"/>
              </w:rPr>
              <w:t>Expected number of program non-completers with a 6-month survey</w:t>
            </w:r>
          </w:p>
        </w:tc>
        <w:tc>
          <w:tcPr>
            <w:tcW w:w="1100" w:type="dxa"/>
            <w:shd w:val="clear" w:color="auto" w:fill="auto"/>
            <w:noWrap/>
            <w:vAlign w:val="center"/>
            <w:hideMark/>
          </w:tcPr>
          <w:p w:rsidR="007B4331" w:rsidRPr="00EF4078" w:rsidRDefault="00842D90" w:rsidP="009578B3">
            <w:pPr>
              <w:pStyle w:val="NoSpacing"/>
              <w:keepNext/>
              <w:keepLines/>
              <w:spacing w:line="276" w:lineRule="auto"/>
              <w:jc w:val="center"/>
              <w:rPr>
                <w:rFonts w:eastAsia="Times New Roman" w:cs="Times New Roman"/>
                <w:sz w:val="20"/>
                <w:szCs w:val="20"/>
              </w:rPr>
            </w:pPr>
            <w:r>
              <w:rPr>
                <w:rFonts w:eastAsia="Times New Roman" w:cs="Times New Roman"/>
                <w:sz w:val="20"/>
                <w:szCs w:val="20"/>
              </w:rPr>
              <w:t>2,548</w:t>
            </w:r>
          </w:p>
        </w:tc>
      </w:tr>
      <w:tr w:rsidR="001E3FD0" w:rsidRPr="00EF4078" w:rsidTr="00EF4078">
        <w:trPr>
          <w:trHeight w:val="98"/>
        </w:trPr>
        <w:tc>
          <w:tcPr>
            <w:tcW w:w="6960" w:type="dxa"/>
            <w:shd w:val="clear" w:color="auto" w:fill="auto"/>
            <w:vAlign w:val="center"/>
          </w:tcPr>
          <w:p w:rsidR="001E3FD0" w:rsidRDefault="001E3FD0" w:rsidP="00FA03B5">
            <w:pPr>
              <w:pStyle w:val="NoSpacing"/>
              <w:keepNext/>
              <w:keepLines/>
              <w:spacing w:line="276" w:lineRule="auto"/>
              <w:ind w:left="537"/>
              <w:rPr>
                <w:rFonts w:eastAsia="Times New Roman" w:cs="Times New Roman"/>
                <w:sz w:val="20"/>
                <w:szCs w:val="20"/>
              </w:rPr>
            </w:pPr>
            <w:r>
              <w:rPr>
                <w:rFonts w:eastAsia="Times New Roman" w:cs="Times New Roman"/>
                <w:sz w:val="20"/>
                <w:szCs w:val="20"/>
              </w:rPr>
              <w:t>Total number of 6-month surveys expected</w:t>
            </w:r>
          </w:p>
        </w:tc>
        <w:tc>
          <w:tcPr>
            <w:tcW w:w="1100" w:type="dxa"/>
            <w:shd w:val="clear" w:color="auto" w:fill="auto"/>
            <w:noWrap/>
            <w:vAlign w:val="center"/>
          </w:tcPr>
          <w:p w:rsidR="001E3FD0" w:rsidRPr="00EF4078" w:rsidDel="001D2B01" w:rsidRDefault="00926991" w:rsidP="00DB6E3D">
            <w:pPr>
              <w:pStyle w:val="NoSpacing"/>
              <w:keepNext/>
              <w:keepLines/>
              <w:spacing w:line="276" w:lineRule="auto"/>
              <w:jc w:val="center"/>
              <w:rPr>
                <w:rFonts w:eastAsia="Times New Roman" w:cs="Times New Roman"/>
                <w:sz w:val="20"/>
                <w:szCs w:val="20"/>
              </w:rPr>
            </w:pPr>
            <w:r>
              <w:rPr>
                <w:rFonts w:eastAsia="Times New Roman" w:cs="Times New Roman"/>
                <w:sz w:val="20"/>
                <w:szCs w:val="20"/>
              </w:rPr>
              <w:t>8,372</w:t>
            </w:r>
          </w:p>
        </w:tc>
      </w:tr>
      <w:tr w:rsidR="000038F0" w:rsidRPr="00EF4078" w:rsidTr="00B7374E">
        <w:trPr>
          <w:trHeight w:val="260"/>
        </w:trPr>
        <w:tc>
          <w:tcPr>
            <w:tcW w:w="8060" w:type="dxa"/>
            <w:gridSpan w:val="2"/>
            <w:shd w:val="clear" w:color="auto" w:fill="auto"/>
            <w:vAlign w:val="center"/>
          </w:tcPr>
          <w:p w:rsidR="000038F0" w:rsidRPr="00EF4078" w:rsidRDefault="000038F0" w:rsidP="00EF2B7D">
            <w:pPr>
              <w:pStyle w:val="NoSpacing"/>
              <w:keepNext/>
              <w:keepLines/>
              <w:spacing w:line="276" w:lineRule="auto"/>
              <w:ind w:left="177"/>
              <w:rPr>
                <w:rFonts w:eastAsia="Times New Roman" w:cs="Times New Roman"/>
                <w:sz w:val="20"/>
                <w:szCs w:val="20"/>
              </w:rPr>
            </w:pPr>
            <w:r>
              <w:rPr>
                <w:rFonts w:eastAsia="Times New Roman" w:cs="Times New Roman"/>
                <w:sz w:val="20"/>
                <w:szCs w:val="20"/>
              </w:rPr>
              <w:t>Twelve Month Followup Survey</w:t>
            </w:r>
            <w:r w:rsidR="00B7374E">
              <w:rPr>
                <w:rFonts w:eastAsia="Times New Roman" w:cs="Times New Roman"/>
                <w:sz w:val="20"/>
                <w:szCs w:val="20"/>
              </w:rPr>
              <w:t>*</w:t>
            </w:r>
            <w:r>
              <w:rPr>
                <w:rFonts w:eastAsia="Times New Roman" w:cs="Times New Roman"/>
                <w:sz w:val="20"/>
                <w:szCs w:val="20"/>
              </w:rPr>
              <w:t xml:space="preserve"> (completers with a 6-month survey response) </w:t>
            </w:r>
          </w:p>
        </w:tc>
      </w:tr>
      <w:tr w:rsidR="00FA03B5" w:rsidRPr="00EF4078" w:rsidTr="00096B23">
        <w:trPr>
          <w:trHeight w:val="170"/>
        </w:trPr>
        <w:tc>
          <w:tcPr>
            <w:tcW w:w="6960" w:type="dxa"/>
            <w:shd w:val="clear" w:color="auto" w:fill="auto"/>
            <w:vAlign w:val="center"/>
          </w:tcPr>
          <w:p w:rsidR="00FA03B5" w:rsidRPr="00EF4078" w:rsidRDefault="001D2B01" w:rsidP="00EF2B7D">
            <w:pPr>
              <w:pStyle w:val="NoSpacing"/>
              <w:keepNext/>
              <w:keepLines/>
              <w:spacing w:line="276" w:lineRule="auto"/>
              <w:ind w:left="537"/>
              <w:rPr>
                <w:rFonts w:eastAsia="Times New Roman" w:cs="Times New Roman"/>
                <w:sz w:val="20"/>
                <w:szCs w:val="20"/>
              </w:rPr>
            </w:pPr>
            <w:r w:rsidRPr="00EF4078">
              <w:rPr>
                <w:rFonts w:eastAsia="Times New Roman" w:cs="Times New Roman"/>
                <w:sz w:val="20"/>
                <w:szCs w:val="20"/>
              </w:rPr>
              <w:t xml:space="preserve">Expected </w:t>
            </w:r>
            <w:r>
              <w:rPr>
                <w:rFonts w:eastAsia="Times New Roman" w:cs="Times New Roman"/>
                <w:sz w:val="20"/>
                <w:szCs w:val="20"/>
              </w:rPr>
              <w:t>12-month completion rate among program completers</w:t>
            </w:r>
          </w:p>
        </w:tc>
        <w:tc>
          <w:tcPr>
            <w:tcW w:w="1100" w:type="dxa"/>
            <w:shd w:val="clear" w:color="auto" w:fill="auto"/>
            <w:noWrap/>
            <w:vAlign w:val="center"/>
          </w:tcPr>
          <w:p w:rsidR="00FA03B5" w:rsidRPr="00EF4078" w:rsidRDefault="001D2B01">
            <w:pPr>
              <w:pStyle w:val="NoSpacing"/>
              <w:keepNext/>
              <w:keepLines/>
              <w:spacing w:line="276" w:lineRule="auto"/>
              <w:jc w:val="center"/>
              <w:rPr>
                <w:rFonts w:eastAsia="Times New Roman" w:cs="Times New Roman"/>
                <w:sz w:val="20"/>
                <w:szCs w:val="20"/>
              </w:rPr>
            </w:pPr>
            <w:r>
              <w:rPr>
                <w:rFonts w:eastAsia="Times New Roman" w:cs="Times New Roman"/>
                <w:sz w:val="20"/>
                <w:szCs w:val="20"/>
              </w:rPr>
              <w:t>0.</w:t>
            </w:r>
            <w:r w:rsidR="00B7374E">
              <w:rPr>
                <w:rFonts w:eastAsia="Times New Roman" w:cs="Times New Roman"/>
                <w:sz w:val="20"/>
                <w:szCs w:val="20"/>
              </w:rPr>
              <w:t>9</w:t>
            </w:r>
          </w:p>
        </w:tc>
      </w:tr>
      <w:tr w:rsidR="00FA03B5" w:rsidRPr="00EF4078" w:rsidTr="00096B23">
        <w:trPr>
          <w:trHeight w:val="170"/>
        </w:trPr>
        <w:tc>
          <w:tcPr>
            <w:tcW w:w="6960" w:type="dxa"/>
            <w:shd w:val="clear" w:color="auto" w:fill="auto"/>
            <w:vAlign w:val="center"/>
          </w:tcPr>
          <w:p w:rsidR="00FA03B5" w:rsidRPr="00EF4078" w:rsidRDefault="001D2B01" w:rsidP="001D2B01">
            <w:pPr>
              <w:pStyle w:val="NoSpacing"/>
              <w:keepNext/>
              <w:keepLines/>
              <w:spacing w:line="276" w:lineRule="auto"/>
              <w:ind w:left="537"/>
              <w:rPr>
                <w:rFonts w:eastAsia="Times New Roman" w:cs="Times New Roman"/>
                <w:sz w:val="20"/>
                <w:szCs w:val="20"/>
              </w:rPr>
            </w:pPr>
            <w:r>
              <w:rPr>
                <w:rFonts w:eastAsia="Times New Roman" w:cs="Times New Roman"/>
                <w:sz w:val="20"/>
                <w:szCs w:val="20"/>
              </w:rPr>
              <w:t>Expected number of program completers with a 12-month survey</w:t>
            </w:r>
          </w:p>
        </w:tc>
        <w:tc>
          <w:tcPr>
            <w:tcW w:w="1100" w:type="dxa"/>
            <w:shd w:val="clear" w:color="auto" w:fill="auto"/>
            <w:noWrap/>
            <w:vAlign w:val="center"/>
          </w:tcPr>
          <w:p w:rsidR="00FA03B5" w:rsidRPr="00EF4078" w:rsidRDefault="00926991" w:rsidP="00DB6E3D">
            <w:pPr>
              <w:pStyle w:val="NoSpacing"/>
              <w:keepNext/>
              <w:keepLines/>
              <w:spacing w:line="276" w:lineRule="auto"/>
              <w:jc w:val="center"/>
              <w:rPr>
                <w:rFonts w:eastAsia="Times New Roman" w:cs="Times New Roman"/>
                <w:sz w:val="20"/>
                <w:szCs w:val="20"/>
              </w:rPr>
            </w:pPr>
            <w:r>
              <w:rPr>
                <w:rFonts w:eastAsia="Times New Roman" w:cs="Times New Roman"/>
                <w:sz w:val="20"/>
                <w:szCs w:val="20"/>
              </w:rPr>
              <w:t>5,242</w:t>
            </w:r>
          </w:p>
        </w:tc>
      </w:tr>
      <w:tr w:rsidR="00FA03B5" w:rsidRPr="00EF4078" w:rsidTr="004E7A88">
        <w:trPr>
          <w:trHeight w:val="80"/>
        </w:trPr>
        <w:tc>
          <w:tcPr>
            <w:tcW w:w="8060" w:type="dxa"/>
            <w:gridSpan w:val="2"/>
            <w:shd w:val="clear" w:color="auto" w:fill="C6D9F1" w:themeFill="text2" w:themeFillTint="33"/>
            <w:vAlign w:val="center"/>
            <w:hideMark/>
          </w:tcPr>
          <w:p w:rsidR="00FA03B5" w:rsidRPr="00EF4078" w:rsidRDefault="00FA03B5" w:rsidP="004E7A88">
            <w:pPr>
              <w:pStyle w:val="NoSpacing"/>
              <w:keepNext/>
              <w:keepLines/>
              <w:spacing w:line="276" w:lineRule="auto"/>
              <w:rPr>
                <w:rFonts w:eastAsia="Times New Roman" w:cs="Times New Roman"/>
                <w:b/>
                <w:sz w:val="20"/>
                <w:szCs w:val="20"/>
              </w:rPr>
            </w:pPr>
            <w:r w:rsidRPr="00EF4078">
              <w:rPr>
                <w:rFonts w:eastAsia="Times New Roman" w:cs="Times New Roman"/>
                <w:b/>
                <w:sz w:val="20"/>
                <w:szCs w:val="20"/>
              </w:rPr>
              <w:t>Size of Comparison Sample Needed</w:t>
            </w:r>
          </w:p>
        </w:tc>
      </w:tr>
      <w:tr w:rsidR="00FA03B5" w:rsidRPr="00EF4078" w:rsidTr="00EF4078">
        <w:trPr>
          <w:trHeight w:val="71"/>
        </w:trPr>
        <w:tc>
          <w:tcPr>
            <w:tcW w:w="6960" w:type="dxa"/>
            <w:shd w:val="clear" w:color="auto" w:fill="auto"/>
            <w:vAlign w:val="center"/>
            <w:hideMark/>
          </w:tcPr>
          <w:p w:rsidR="00FA03B5" w:rsidRPr="00EF4078" w:rsidRDefault="00FA03B5" w:rsidP="004E7A88">
            <w:pPr>
              <w:pStyle w:val="NoSpacing"/>
              <w:keepNext/>
              <w:keepLines/>
              <w:spacing w:line="276" w:lineRule="auto"/>
              <w:ind w:left="177"/>
              <w:rPr>
                <w:rFonts w:eastAsia="Times New Roman" w:cs="Times New Roman"/>
                <w:sz w:val="20"/>
                <w:szCs w:val="20"/>
              </w:rPr>
            </w:pPr>
            <w:r w:rsidRPr="00EF4078">
              <w:rPr>
                <w:rFonts w:eastAsia="Times New Roman" w:cs="Times New Roman"/>
                <w:sz w:val="20"/>
                <w:szCs w:val="20"/>
              </w:rPr>
              <w:t xml:space="preserve">Expected 12 month participants at largest site </w:t>
            </w:r>
          </w:p>
        </w:tc>
        <w:tc>
          <w:tcPr>
            <w:tcW w:w="1100" w:type="dxa"/>
            <w:shd w:val="clear" w:color="auto" w:fill="auto"/>
            <w:noWrap/>
            <w:vAlign w:val="center"/>
            <w:hideMark/>
          </w:tcPr>
          <w:p w:rsidR="00FA03B5" w:rsidRPr="00EF4078" w:rsidRDefault="00FA03B5" w:rsidP="004E7A88">
            <w:pPr>
              <w:pStyle w:val="NoSpacing"/>
              <w:keepNext/>
              <w:keepLines/>
              <w:spacing w:line="276" w:lineRule="auto"/>
              <w:jc w:val="center"/>
              <w:rPr>
                <w:rFonts w:eastAsia="Times New Roman" w:cs="Times New Roman"/>
                <w:sz w:val="20"/>
                <w:szCs w:val="20"/>
              </w:rPr>
            </w:pPr>
            <w:r w:rsidRPr="00EF4078">
              <w:rPr>
                <w:rFonts w:eastAsia="Times New Roman" w:cs="Times New Roman"/>
                <w:sz w:val="20"/>
                <w:szCs w:val="20"/>
              </w:rPr>
              <w:t>1,500</w:t>
            </w:r>
          </w:p>
        </w:tc>
      </w:tr>
      <w:tr w:rsidR="00FA03B5" w:rsidRPr="00EF4078" w:rsidTr="00EF4078">
        <w:trPr>
          <w:trHeight w:val="64"/>
        </w:trPr>
        <w:tc>
          <w:tcPr>
            <w:tcW w:w="6960" w:type="dxa"/>
            <w:shd w:val="clear" w:color="auto" w:fill="auto"/>
            <w:vAlign w:val="center"/>
            <w:hideMark/>
          </w:tcPr>
          <w:p w:rsidR="00FA03B5" w:rsidRPr="00EF4078" w:rsidRDefault="00FA03B5" w:rsidP="004E7A88">
            <w:pPr>
              <w:pStyle w:val="NoSpacing"/>
              <w:keepNext/>
              <w:keepLines/>
              <w:spacing w:line="276" w:lineRule="auto"/>
              <w:ind w:left="177"/>
              <w:rPr>
                <w:rFonts w:eastAsia="Times New Roman" w:cs="Times New Roman"/>
                <w:sz w:val="20"/>
                <w:szCs w:val="20"/>
              </w:rPr>
            </w:pPr>
            <w:r w:rsidRPr="00EF4078">
              <w:rPr>
                <w:rFonts w:eastAsia="Times New Roman" w:cs="Times New Roman"/>
                <w:sz w:val="20"/>
                <w:szCs w:val="20"/>
              </w:rPr>
              <w:t>Targeted</w:t>
            </w:r>
            <w:r w:rsidR="002A674A">
              <w:rPr>
                <w:rFonts w:eastAsia="Times New Roman" w:cs="Times New Roman"/>
                <w:sz w:val="20"/>
                <w:szCs w:val="20"/>
              </w:rPr>
              <w:t xml:space="preserve"> </w:t>
            </w:r>
            <w:r w:rsidRPr="00EF4078">
              <w:rPr>
                <w:rFonts w:eastAsia="Times New Roman" w:cs="Times New Roman"/>
                <w:sz w:val="20"/>
                <w:szCs w:val="20"/>
              </w:rPr>
              <w:t>ratio of comparison sample to program participants</w:t>
            </w:r>
          </w:p>
        </w:tc>
        <w:tc>
          <w:tcPr>
            <w:tcW w:w="1100" w:type="dxa"/>
            <w:shd w:val="clear" w:color="auto" w:fill="auto"/>
            <w:noWrap/>
            <w:vAlign w:val="center"/>
            <w:hideMark/>
          </w:tcPr>
          <w:p w:rsidR="00FA03B5" w:rsidRPr="00EF4078" w:rsidRDefault="00FA03B5" w:rsidP="004E7A88">
            <w:pPr>
              <w:pStyle w:val="NoSpacing"/>
              <w:keepNext/>
              <w:keepLines/>
              <w:spacing w:line="276" w:lineRule="auto"/>
              <w:jc w:val="center"/>
              <w:rPr>
                <w:rFonts w:eastAsia="Times New Roman" w:cs="Times New Roman"/>
                <w:sz w:val="20"/>
                <w:szCs w:val="20"/>
              </w:rPr>
            </w:pPr>
            <w:r w:rsidRPr="00EF4078">
              <w:rPr>
                <w:rFonts w:eastAsia="Times New Roman" w:cs="Times New Roman"/>
                <w:sz w:val="20"/>
                <w:szCs w:val="20"/>
              </w:rPr>
              <w:t>1</w:t>
            </w:r>
          </w:p>
        </w:tc>
      </w:tr>
      <w:tr w:rsidR="00FA03B5" w:rsidRPr="00EF4078" w:rsidTr="00EF4078">
        <w:trPr>
          <w:trHeight w:val="64"/>
        </w:trPr>
        <w:tc>
          <w:tcPr>
            <w:tcW w:w="6960" w:type="dxa"/>
            <w:shd w:val="clear" w:color="auto" w:fill="auto"/>
            <w:vAlign w:val="center"/>
            <w:hideMark/>
          </w:tcPr>
          <w:p w:rsidR="00FA03B5" w:rsidRPr="00EF4078" w:rsidRDefault="00FA03B5" w:rsidP="004E7A88">
            <w:pPr>
              <w:pStyle w:val="NoSpacing"/>
              <w:keepNext/>
              <w:keepLines/>
              <w:spacing w:line="276" w:lineRule="auto"/>
              <w:ind w:left="177"/>
              <w:rPr>
                <w:rFonts w:eastAsia="Times New Roman" w:cs="Times New Roman"/>
                <w:sz w:val="20"/>
                <w:szCs w:val="20"/>
              </w:rPr>
            </w:pPr>
            <w:r w:rsidRPr="00EF4078">
              <w:rPr>
                <w:rFonts w:eastAsia="Times New Roman" w:cs="Times New Roman"/>
                <w:sz w:val="20"/>
                <w:szCs w:val="20"/>
              </w:rPr>
              <w:t>Estimated design effect due to differential weights</w:t>
            </w:r>
          </w:p>
        </w:tc>
        <w:tc>
          <w:tcPr>
            <w:tcW w:w="1100" w:type="dxa"/>
            <w:shd w:val="clear" w:color="auto" w:fill="auto"/>
            <w:noWrap/>
            <w:vAlign w:val="center"/>
            <w:hideMark/>
          </w:tcPr>
          <w:p w:rsidR="00FA03B5" w:rsidRPr="00EF4078" w:rsidRDefault="00FA03B5" w:rsidP="004E7A88">
            <w:pPr>
              <w:pStyle w:val="NoSpacing"/>
              <w:keepNext/>
              <w:keepLines/>
              <w:spacing w:line="276" w:lineRule="auto"/>
              <w:jc w:val="center"/>
              <w:rPr>
                <w:rFonts w:eastAsia="Times New Roman" w:cs="Times New Roman"/>
                <w:sz w:val="20"/>
                <w:szCs w:val="20"/>
              </w:rPr>
            </w:pPr>
            <w:r w:rsidRPr="00EF4078">
              <w:rPr>
                <w:rFonts w:eastAsia="Times New Roman" w:cs="Times New Roman"/>
                <w:sz w:val="20"/>
                <w:szCs w:val="20"/>
              </w:rPr>
              <w:t>2</w:t>
            </w:r>
          </w:p>
        </w:tc>
      </w:tr>
      <w:tr w:rsidR="00FA03B5" w:rsidRPr="00EF4078" w:rsidTr="00EF4078">
        <w:trPr>
          <w:trHeight w:val="64"/>
        </w:trPr>
        <w:tc>
          <w:tcPr>
            <w:tcW w:w="6960" w:type="dxa"/>
            <w:shd w:val="clear" w:color="auto" w:fill="auto"/>
            <w:vAlign w:val="center"/>
            <w:hideMark/>
          </w:tcPr>
          <w:p w:rsidR="00FA03B5" w:rsidRPr="00EF4078" w:rsidRDefault="00FA03B5" w:rsidP="004E7A88">
            <w:pPr>
              <w:pStyle w:val="NoSpacing"/>
              <w:keepNext/>
              <w:keepLines/>
              <w:spacing w:line="276" w:lineRule="auto"/>
              <w:ind w:left="177"/>
              <w:rPr>
                <w:rFonts w:eastAsia="Times New Roman" w:cs="Times New Roman"/>
                <w:sz w:val="20"/>
                <w:szCs w:val="20"/>
              </w:rPr>
            </w:pPr>
            <w:r w:rsidRPr="00EF4078">
              <w:rPr>
                <w:rFonts w:eastAsia="Times New Roman" w:cs="Times New Roman"/>
                <w:sz w:val="20"/>
                <w:szCs w:val="20"/>
              </w:rPr>
              <w:t>Estimated size of 12 month comparison sample needed</w:t>
            </w:r>
          </w:p>
        </w:tc>
        <w:tc>
          <w:tcPr>
            <w:tcW w:w="1100" w:type="dxa"/>
            <w:shd w:val="clear" w:color="auto" w:fill="auto"/>
            <w:noWrap/>
            <w:vAlign w:val="center"/>
            <w:hideMark/>
          </w:tcPr>
          <w:p w:rsidR="00FA03B5" w:rsidRPr="00EF4078" w:rsidRDefault="00FA03B5" w:rsidP="004E7A88">
            <w:pPr>
              <w:pStyle w:val="NoSpacing"/>
              <w:keepNext/>
              <w:keepLines/>
              <w:spacing w:line="276" w:lineRule="auto"/>
              <w:jc w:val="center"/>
              <w:rPr>
                <w:rFonts w:eastAsia="Times New Roman" w:cs="Times New Roman"/>
                <w:sz w:val="20"/>
                <w:szCs w:val="20"/>
              </w:rPr>
            </w:pPr>
            <w:r w:rsidRPr="00EF4078">
              <w:rPr>
                <w:rFonts w:eastAsia="Times New Roman" w:cs="Times New Roman"/>
                <w:sz w:val="20"/>
                <w:szCs w:val="20"/>
              </w:rPr>
              <w:t>3,000</w:t>
            </w:r>
          </w:p>
        </w:tc>
      </w:tr>
      <w:tr w:rsidR="00FA03B5" w:rsidRPr="00EF4078" w:rsidTr="004E7A88">
        <w:trPr>
          <w:trHeight w:val="143"/>
        </w:trPr>
        <w:tc>
          <w:tcPr>
            <w:tcW w:w="8060" w:type="dxa"/>
            <w:gridSpan w:val="2"/>
            <w:shd w:val="clear" w:color="auto" w:fill="C6D9F1" w:themeFill="text2" w:themeFillTint="33"/>
            <w:vAlign w:val="center"/>
            <w:hideMark/>
          </w:tcPr>
          <w:p w:rsidR="00FA03B5" w:rsidRPr="00EF4078" w:rsidRDefault="00FA03B5" w:rsidP="004E7A88">
            <w:pPr>
              <w:pStyle w:val="NoSpacing"/>
              <w:keepNext/>
              <w:keepLines/>
              <w:spacing w:line="276" w:lineRule="auto"/>
              <w:rPr>
                <w:rFonts w:eastAsia="Times New Roman" w:cs="Times New Roman"/>
                <w:b/>
                <w:sz w:val="20"/>
                <w:szCs w:val="20"/>
              </w:rPr>
            </w:pPr>
            <w:r w:rsidRPr="00EF4078">
              <w:rPr>
                <w:rFonts w:eastAsia="Times New Roman" w:cs="Times New Roman"/>
                <w:b/>
                <w:sz w:val="20"/>
                <w:szCs w:val="20"/>
              </w:rPr>
              <w:t xml:space="preserve">Total Number to be Selected Initially for the National Sample </w:t>
            </w:r>
          </w:p>
        </w:tc>
      </w:tr>
      <w:tr w:rsidR="00FA03B5" w:rsidRPr="00EF4078" w:rsidTr="00EF4078">
        <w:trPr>
          <w:trHeight w:val="64"/>
        </w:trPr>
        <w:tc>
          <w:tcPr>
            <w:tcW w:w="6960" w:type="dxa"/>
            <w:shd w:val="clear" w:color="auto" w:fill="auto"/>
            <w:vAlign w:val="center"/>
            <w:hideMark/>
          </w:tcPr>
          <w:p w:rsidR="00FA03B5" w:rsidRPr="00EF4078" w:rsidRDefault="00FA03B5" w:rsidP="004E7A88">
            <w:pPr>
              <w:pStyle w:val="NoSpacing"/>
              <w:keepNext/>
              <w:keepLines/>
              <w:spacing w:line="276" w:lineRule="auto"/>
              <w:ind w:left="177"/>
              <w:rPr>
                <w:rFonts w:eastAsia="Times New Roman" w:cs="Times New Roman"/>
                <w:sz w:val="20"/>
                <w:szCs w:val="20"/>
              </w:rPr>
            </w:pPr>
            <w:r w:rsidRPr="00EF4078">
              <w:rPr>
                <w:rFonts w:eastAsia="Times New Roman" w:cs="Times New Roman"/>
                <w:sz w:val="20"/>
                <w:szCs w:val="20"/>
              </w:rPr>
              <w:t>Estimated size of 12-month comparison sample needed</w:t>
            </w:r>
          </w:p>
        </w:tc>
        <w:tc>
          <w:tcPr>
            <w:tcW w:w="1100" w:type="dxa"/>
            <w:shd w:val="clear" w:color="auto" w:fill="auto"/>
            <w:noWrap/>
            <w:vAlign w:val="center"/>
            <w:hideMark/>
          </w:tcPr>
          <w:p w:rsidR="00FA03B5" w:rsidRPr="00EF4078" w:rsidRDefault="00FA03B5" w:rsidP="004E7A88">
            <w:pPr>
              <w:pStyle w:val="NoSpacing"/>
              <w:keepNext/>
              <w:keepLines/>
              <w:spacing w:line="276" w:lineRule="auto"/>
              <w:jc w:val="center"/>
              <w:rPr>
                <w:rFonts w:eastAsia="Times New Roman" w:cs="Times New Roman"/>
                <w:sz w:val="20"/>
                <w:szCs w:val="20"/>
              </w:rPr>
            </w:pPr>
            <w:r w:rsidRPr="00EF4078">
              <w:rPr>
                <w:rFonts w:eastAsia="Times New Roman" w:cs="Times New Roman"/>
                <w:sz w:val="20"/>
                <w:szCs w:val="20"/>
              </w:rPr>
              <w:t>3,000</w:t>
            </w:r>
          </w:p>
        </w:tc>
      </w:tr>
      <w:tr w:rsidR="00FA03B5" w:rsidRPr="00EF4078" w:rsidTr="00EF4078">
        <w:trPr>
          <w:trHeight w:val="143"/>
        </w:trPr>
        <w:tc>
          <w:tcPr>
            <w:tcW w:w="6960" w:type="dxa"/>
            <w:shd w:val="clear" w:color="auto" w:fill="auto"/>
            <w:vAlign w:val="center"/>
            <w:hideMark/>
          </w:tcPr>
          <w:p w:rsidR="00FA03B5" w:rsidRPr="00EF4078" w:rsidRDefault="00FA03B5" w:rsidP="004E7A88">
            <w:pPr>
              <w:pStyle w:val="NoSpacing"/>
              <w:keepNext/>
              <w:keepLines/>
              <w:spacing w:line="276" w:lineRule="auto"/>
              <w:ind w:left="177"/>
              <w:rPr>
                <w:rFonts w:eastAsia="Times New Roman" w:cs="Times New Roman"/>
                <w:sz w:val="20"/>
                <w:szCs w:val="20"/>
              </w:rPr>
            </w:pPr>
            <w:r w:rsidRPr="00EF4078">
              <w:rPr>
                <w:rFonts w:eastAsia="Times New Roman" w:cs="Times New Roman"/>
                <w:sz w:val="20"/>
                <w:szCs w:val="20"/>
              </w:rPr>
              <w:t>Expected 12-month response rate</w:t>
            </w:r>
          </w:p>
        </w:tc>
        <w:tc>
          <w:tcPr>
            <w:tcW w:w="1100" w:type="dxa"/>
            <w:shd w:val="clear" w:color="auto" w:fill="auto"/>
            <w:noWrap/>
            <w:vAlign w:val="center"/>
            <w:hideMark/>
          </w:tcPr>
          <w:p w:rsidR="00FA03B5" w:rsidRPr="00EF4078" w:rsidRDefault="00FA03B5" w:rsidP="004E7A88">
            <w:pPr>
              <w:pStyle w:val="NoSpacing"/>
              <w:keepNext/>
              <w:keepLines/>
              <w:spacing w:line="276" w:lineRule="auto"/>
              <w:jc w:val="center"/>
              <w:rPr>
                <w:rFonts w:eastAsia="Times New Roman" w:cs="Times New Roman"/>
                <w:sz w:val="20"/>
                <w:szCs w:val="20"/>
              </w:rPr>
            </w:pPr>
            <w:r w:rsidRPr="00EF4078">
              <w:rPr>
                <w:rFonts w:eastAsia="Times New Roman" w:cs="Times New Roman"/>
                <w:sz w:val="20"/>
                <w:szCs w:val="20"/>
              </w:rPr>
              <w:t>0.9</w:t>
            </w:r>
          </w:p>
        </w:tc>
      </w:tr>
      <w:tr w:rsidR="00FA03B5" w:rsidRPr="00EF4078" w:rsidTr="00EF4078">
        <w:trPr>
          <w:trHeight w:val="125"/>
        </w:trPr>
        <w:tc>
          <w:tcPr>
            <w:tcW w:w="6960" w:type="dxa"/>
            <w:shd w:val="clear" w:color="auto" w:fill="auto"/>
            <w:vAlign w:val="center"/>
            <w:hideMark/>
          </w:tcPr>
          <w:p w:rsidR="00FA03B5" w:rsidRPr="00EF4078" w:rsidRDefault="00FA03B5" w:rsidP="004E7A88">
            <w:pPr>
              <w:pStyle w:val="NoSpacing"/>
              <w:keepNext/>
              <w:keepLines/>
              <w:spacing w:line="276" w:lineRule="auto"/>
              <w:ind w:left="177"/>
              <w:rPr>
                <w:rFonts w:eastAsia="Times New Roman" w:cs="Times New Roman"/>
                <w:sz w:val="20"/>
                <w:szCs w:val="20"/>
              </w:rPr>
            </w:pPr>
            <w:r w:rsidRPr="00EF4078">
              <w:rPr>
                <w:rFonts w:eastAsia="Times New Roman" w:cs="Times New Roman"/>
                <w:sz w:val="20"/>
                <w:szCs w:val="20"/>
              </w:rPr>
              <w:t>Expected total of 12-month comparison sample to be fielded</w:t>
            </w:r>
          </w:p>
        </w:tc>
        <w:tc>
          <w:tcPr>
            <w:tcW w:w="1100" w:type="dxa"/>
            <w:shd w:val="clear" w:color="auto" w:fill="auto"/>
            <w:noWrap/>
            <w:vAlign w:val="center"/>
            <w:hideMark/>
          </w:tcPr>
          <w:p w:rsidR="00FA03B5" w:rsidRPr="00EF4078" w:rsidRDefault="00FA03B5" w:rsidP="004E7A88">
            <w:pPr>
              <w:pStyle w:val="NoSpacing"/>
              <w:keepNext/>
              <w:keepLines/>
              <w:spacing w:line="276" w:lineRule="auto"/>
              <w:jc w:val="center"/>
              <w:rPr>
                <w:rFonts w:eastAsia="Times New Roman" w:cs="Times New Roman"/>
                <w:sz w:val="20"/>
                <w:szCs w:val="20"/>
              </w:rPr>
            </w:pPr>
            <w:r w:rsidRPr="00EF4078">
              <w:rPr>
                <w:rFonts w:eastAsia="Times New Roman" w:cs="Times New Roman"/>
                <w:sz w:val="20"/>
                <w:szCs w:val="20"/>
              </w:rPr>
              <w:t>3,333</w:t>
            </w:r>
          </w:p>
        </w:tc>
      </w:tr>
      <w:tr w:rsidR="00FA03B5" w:rsidRPr="00EF4078" w:rsidTr="00EF4078">
        <w:trPr>
          <w:trHeight w:val="305"/>
        </w:trPr>
        <w:tc>
          <w:tcPr>
            <w:tcW w:w="6960" w:type="dxa"/>
            <w:shd w:val="clear" w:color="auto" w:fill="auto"/>
            <w:vAlign w:val="center"/>
            <w:hideMark/>
          </w:tcPr>
          <w:p w:rsidR="00FA03B5" w:rsidRPr="00EF4078" w:rsidRDefault="00FA03B5" w:rsidP="004E7A88">
            <w:pPr>
              <w:pStyle w:val="NoSpacing"/>
              <w:keepNext/>
              <w:keepLines/>
              <w:spacing w:line="276" w:lineRule="auto"/>
              <w:ind w:left="177"/>
              <w:rPr>
                <w:rFonts w:eastAsia="Times New Roman" w:cs="Times New Roman"/>
                <w:sz w:val="20"/>
                <w:szCs w:val="20"/>
              </w:rPr>
            </w:pPr>
            <w:r w:rsidRPr="00EF4078">
              <w:rPr>
                <w:rFonts w:eastAsia="Times New Roman" w:cs="Times New Roman"/>
                <w:sz w:val="20"/>
                <w:szCs w:val="20"/>
              </w:rPr>
              <w:t xml:space="preserve">Expected percentage of six month participants sampled for the 12 month evaluation (sampling rates may vary by strata) </w:t>
            </w:r>
          </w:p>
        </w:tc>
        <w:tc>
          <w:tcPr>
            <w:tcW w:w="1100" w:type="dxa"/>
            <w:shd w:val="clear" w:color="auto" w:fill="auto"/>
            <w:noWrap/>
            <w:vAlign w:val="center"/>
            <w:hideMark/>
          </w:tcPr>
          <w:p w:rsidR="00FA03B5" w:rsidRPr="00EF4078" w:rsidRDefault="00FA03B5" w:rsidP="004E7A88">
            <w:pPr>
              <w:pStyle w:val="NoSpacing"/>
              <w:keepNext/>
              <w:keepLines/>
              <w:spacing w:line="276" w:lineRule="auto"/>
              <w:jc w:val="center"/>
              <w:rPr>
                <w:rFonts w:eastAsia="Times New Roman" w:cs="Times New Roman"/>
                <w:sz w:val="20"/>
                <w:szCs w:val="20"/>
              </w:rPr>
            </w:pPr>
            <w:r w:rsidRPr="00EF4078">
              <w:rPr>
                <w:rFonts w:eastAsia="Times New Roman" w:cs="Times New Roman"/>
                <w:sz w:val="20"/>
                <w:szCs w:val="20"/>
              </w:rPr>
              <w:t>0.5</w:t>
            </w:r>
          </w:p>
        </w:tc>
      </w:tr>
      <w:tr w:rsidR="00FA03B5" w:rsidRPr="00EF4078" w:rsidTr="004E7A88">
        <w:trPr>
          <w:trHeight w:val="64"/>
        </w:trPr>
        <w:tc>
          <w:tcPr>
            <w:tcW w:w="6960" w:type="dxa"/>
            <w:shd w:val="clear" w:color="auto" w:fill="auto"/>
            <w:vAlign w:val="center"/>
            <w:hideMark/>
          </w:tcPr>
          <w:p w:rsidR="00FA03B5" w:rsidRPr="00EF4078" w:rsidRDefault="00FA03B5" w:rsidP="004E7A88">
            <w:pPr>
              <w:pStyle w:val="NoSpacing"/>
              <w:keepNext/>
              <w:keepLines/>
              <w:spacing w:line="276" w:lineRule="auto"/>
              <w:ind w:left="177"/>
              <w:rPr>
                <w:rFonts w:eastAsia="Times New Roman" w:cs="Times New Roman"/>
                <w:sz w:val="20"/>
                <w:szCs w:val="20"/>
              </w:rPr>
            </w:pPr>
            <w:r w:rsidRPr="00EF4078">
              <w:rPr>
                <w:rFonts w:eastAsia="Times New Roman" w:cs="Times New Roman"/>
                <w:sz w:val="20"/>
                <w:szCs w:val="20"/>
              </w:rPr>
              <w:t>Expected number of completed 6-month respondents</w:t>
            </w:r>
          </w:p>
        </w:tc>
        <w:tc>
          <w:tcPr>
            <w:tcW w:w="1100" w:type="dxa"/>
            <w:shd w:val="clear" w:color="auto" w:fill="auto"/>
            <w:noWrap/>
            <w:vAlign w:val="center"/>
            <w:hideMark/>
          </w:tcPr>
          <w:p w:rsidR="00FA03B5" w:rsidRPr="00EF4078" w:rsidRDefault="00FA03B5" w:rsidP="004E7A88">
            <w:pPr>
              <w:pStyle w:val="NoSpacing"/>
              <w:keepNext/>
              <w:keepLines/>
              <w:spacing w:line="276" w:lineRule="auto"/>
              <w:jc w:val="center"/>
              <w:rPr>
                <w:rFonts w:eastAsia="Times New Roman" w:cs="Times New Roman"/>
                <w:sz w:val="20"/>
                <w:szCs w:val="20"/>
              </w:rPr>
            </w:pPr>
            <w:r w:rsidRPr="00EF4078">
              <w:rPr>
                <w:rFonts w:eastAsia="Times New Roman" w:cs="Times New Roman"/>
                <w:sz w:val="20"/>
                <w:szCs w:val="20"/>
              </w:rPr>
              <w:t>6,667</w:t>
            </w:r>
          </w:p>
        </w:tc>
      </w:tr>
      <w:tr w:rsidR="00FA03B5" w:rsidRPr="00EF4078" w:rsidTr="004E7A88">
        <w:trPr>
          <w:trHeight w:val="116"/>
        </w:trPr>
        <w:tc>
          <w:tcPr>
            <w:tcW w:w="6960" w:type="dxa"/>
            <w:shd w:val="clear" w:color="auto" w:fill="auto"/>
            <w:vAlign w:val="center"/>
            <w:hideMark/>
          </w:tcPr>
          <w:p w:rsidR="00FA03B5" w:rsidRPr="00EF4078" w:rsidRDefault="00FA03B5" w:rsidP="004E7A88">
            <w:pPr>
              <w:pStyle w:val="NoSpacing"/>
              <w:keepNext/>
              <w:keepLines/>
              <w:spacing w:line="276" w:lineRule="auto"/>
              <w:ind w:left="177"/>
              <w:rPr>
                <w:rFonts w:eastAsia="Times New Roman" w:cs="Times New Roman"/>
                <w:sz w:val="20"/>
                <w:szCs w:val="20"/>
              </w:rPr>
            </w:pPr>
            <w:r w:rsidRPr="00EF4078">
              <w:rPr>
                <w:rFonts w:eastAsia="Times New Roman" w:cs="Times New Roman"/>
                <w:sz w:val="20"/>
                <w:szCs w:val="20"/>
              </w:rPr>
              <w:t>Expected 6-month response rate</w:t>
            </w:r>
          </w:p>
        </w:tc>
        <w:tc>
          <w:tcPr>
            <w:tcW w:w="1100" w:type="dxa"/>
            <w:shd w:val="clear" w:color="auto" w:fill="auto"/>
            <w:noWrap/>
            <w:vAlign w:val="center"/>
            <w:hideMark/>
          </w:tcPr>
          <w:p w:rsidR="00FA03B5" w:rsidRPr="00EF4078" w:rsidRDefault="00FA03B5" w:rsidP="004E7A88">
            <w:pPr>
              <w:pStyle w:val="NoSpacing"/>
              <w:keepNext/>
              <w:keepLines/>
              <w:spacing w:line="276" w:lineRule="auto"/>
              <w:jc w:val="center"/>
              <w:rPr>
                <w:rFonts w:eastAsia="Times New Roman" w:cs="Times New Roman"/>
                <w:sz w:val="20"/>
                <w:szCs w:val="20"/>
              </w:rPr>
            </w:pPr>
            <w:r w:rsidRPr="00EF4078">
              <w:rPr>
                <w:rFonts w:eastAsia="Times New Roman" w:cs="Times New Roman"/>
                <w:sz w:val="20"/>
                <w:szCs w:val="20"/>
              </w:rPr>
              <w:t>0.8</w:t>
            </w:r>
          </w:p>
        </w:tc>
      </w:tr>
      <w:tr w:rsidR="00FA03B5" w:rsidRPr="00EF4078" w:rsidTr="004E7A88">
        <w:trPr>
          <w:trHeight w:val="64"/>
        </w:trPr>
        <w:tc>
          <w:tcPr>
            <w:tcW w:w="6960" w:type="dxa"/>
            <w:shd w:val="clear" w:color="auto" w:fill="auto"/>
            <w:vAlign w:val="center"/>
            <w:hideMark/>
          </w:tcPr>
          <w:p w:rsidR="00FA03B5" w:rsidRPr="00EF4078" w:rsidRDefault="00FA03B5" w:rsidP="004E7A88">
            <w:pPr>
              <w:pStyle w:val="NoSpacing"/>
              <w:keepNext/>
              <w:keepLines/>
              <w:spacing w:line="276" w:lineRule="auto"/>
              <w:ind w:left="177"/>
              <w:rPr>
                <w:rFonts w:eastAsia="Times New Roman" w:cs="Times New Roman"/>
                <w:sz w:val="20"/>
                <w:szCs w:val="20"/>
              </w:rPr>
            </w:pPr>
            <w:r w:rsidRPr="00EF4078">
              <w:rPr>
                <w:rFonts w:eastAsia="Times New Roman" w:cs="Times New Roman"/>
                <w:sz w:val="20"/>
                <w:szCs w:val="20"/>
              </w:rPr>
              <w:t>Expected number of completed baseline respondents</w:t>
            </w:r>
          </w:p>
        </w:tc>
        <w:tc>
          <w:tcPr>
            <w:tcW w:w="1100" w:type="dxa"/>
            <w:shd w:val="clear" w:color="auto" w:fill="auto"/>
            <w:noWrap/>
            <w:vAlign w:val="center"/>
            <w:hideMark/>
          </w:tcPr>
          <w:p w:rsidR="00FA03B5" w:rsidRPr="00EF4078" w:rsidRDefault="00FA03B5" w:rsidP="004E7A88">
            <w:pPr>
              <w:pStyle w:val="NoSpacing"/>
              <w:keepNext/>
              <w:keepLines/>
              <w:spacing w:line="276" w:lineRule="auto"/>
              <w:jc w:val="center"/>
              <w:rPr>
                <w:rFonts w:eastAsia="Times New Roman" w:cs="Times New Roman"/>
                <w:sz w:val="20"/>
                <w:szCs w:val="20"/>
              </w:rPr>
            </w:pPr>
            <w:r w:rsidRPr="00EF4078">
              <w:rPr>
                <w:rFonts w:eastAsia="Times New Roman" w:cs="Times New Roman"/>
                <w:sz w:val="20"/>
                <w:szCs w:val="20"/>
              </w:rPr>
              <w:t>8,333</w:t>
            </w:r>
          </w:p>
        </w:tc>
      </w:tr>
      <w:tr w:rsidR="00FA03B5" w:rsidRPr="00EF4078" w:rsidTr="004E7A88">
        <w:trPr>
          <w:trHeight w:val="64"/>
        </w:trPr>
        <w:tc>
          <w:tcPr>
            <w:tcW w:w="6960" w:type="dxa"/>
            <w:shd w:val="clear" w:color="auto" w:fill="auto"/>
            <w:vAlign w:val="center"/>
            <w:hideMark/>
          </w:tcPr>
          <w:p w:rsidR="00FA03B5" w:rsidRPr="00EF4078" w:rsidRDefault="00FA03B5" w:rsidP="004E7A88">
            <w:pPr>
              <w:pStyle w:val="NoSpacing"/>
              <w:keepNext/>
              <w:keepLines/>
              <w:spacing w:line="276" w:lineRule="auto"/>
              <w:ind w:left="177"/>
              <w:rPr>
                <w:rFonts w:eastAsia="Times New Roman" w:cs="Times New Roman"/>
                <w:sz w:val="20"/>
                <w:szCs w:val="20"/>
              </w:rPr>
            </w:pPr>
            <w:r w:rsidRPr="00EF4078">
              <w:rPr>
                <w:rFonts w:eastAsia="Times New Roman" w:cs="Times New Roman"/>
                <w:sz w:val="20"/>
                <w:szCs w:val="20"/>
              </w:rPr>
              <w:t>Expected response rate to national survey/baseline instrument</w:t>
            </w:r>
          </w:p>
        </w:tc>
        <w:tc>
          <w:tcPr>
            <w:tcW w:w="1100" w:type="dxa"/>
            <w:shd w:val="clear" w:color="auto" w:fill="auto"/>
            <w:noWrap/>
            <w:vAlign w:val="center"/>
            <w:hideMark/>
          </w:tcPr>
          <w:p w:rsidR="00FA03B5" w:rsidRPr="00EF4078" w:rsidRDefault="00FA03B5" w:rsidP="004E7A88">
            <w:pPr>
              <w:pStyle w:val="NoSpacing"/>
              <w:keepNext/>
              <w:keepLines/>
              <w:spacing w:line="276" w:lineRule="auto"/>
              <w:jc w:val="center"/>
              <w:rPr>
                <w:rFonts w:eastAsia="Times New Roman" w:cs="Times New Roman"/>
                <w:sz w:val="20"/>
                <w:szCs w:val="20"/>
              </w:rPr>
            </w:pPr>
            <w:r w:rsidRPr="00EF4078">
              <w:rPr>
                <w:rFonts w:eastAsia="Times New Roman" w:cs="Times New Roman"/>
                <w:sz w:val="20"/>
                <w:szCs w:val="20"/>
              </w:rPr>
              <w:t>0.63</w:t>
            </w:r>
          </w:p>
        </w:tc>
      </w:tr>
      <w:tr w:rsidR="00FA03B5" w:rsidRPr="00EF4078" w:rsidTr="006D0771">
        <w:trPr>
          <w:trHeight w:val="64"/>
        </w:trPr>
        <w:tc>
          <w:tcPr>
            <w:tcW w:w="6960" w:type="dxa"/>
            <w:shd w:val="clear" w:color="auto" w:fill="auto"/>
            <w:vAlign w:val="center"/>
          </w:tcPr>
          <w:p w:rsidR="00FA03B5" w:rsidRPr="00EF4078" w:rsidRDefault="00FA03B5" w:rsidP="006D0771">
            <w:pPr>
              <w:pStyle w:val="NoSpacing"/>
              <w:keepNext/>
              <w:keepLines/>
              <w:spacing w:line="276" w:lineRule="auto"/>
              <w:ind w:left="177"/>
              <w:rPr>
                <w:rFonts w:eastAsia="Times New Roman" w:cs="Times New Roman"/>
                <w:sz w:val="20"/>
                <w:szCs w:val="20"/>
              </w:rPr>
            </w:pPr>
            <w:r w:rsidRPr="004E7A88">
              <w:rPr>
                <w:rFonts w:eastAsia="Times New Roman" w:cs="Times New Roman"/>
                <w:sz w:val="20"/>
                <w:szCs w:val="20"/>
              </w:rPr>
              <w:t xml:space="preserve">Expected number of sampled </w:t>
            </w:r>
            <w:r>
              <w:rPr>
                <w:rFonts w:eastAsia="Times New Roman" w:cs="Times New Roman"/>
                <w:sz w:val="20"/>
                <w:szCs w:val="20"/>
              </w:rPr>
              <w:t>Medicare</w:t>
            </w:r>
            <w:r w:rsidRPr="004E7A88">
              <w:rPr>
                <w:rFonts w:eastAsia="Times New Roman" w:cs="Times New Roman"/>
                <w:sz w:val="20"/>
                <w:szCs w:val="20"/>
              </w:rPr>
              <w:t xml:space="preserve"> beneficiaries eligible for the study</w:t>
            </w:r>
          </w:p>
        </w:tc>
        <w:tc>
          <w:tcPr>
            <w:tcW w:w="1100" w:type="dxa"/>
            <w:shd w:val="clear" w:color="auto" w:fill="auto"/>
            <w:noWrap/>
            <w:vAlign w:val="center"/>
          </w:tcPr>
          <w:p w:rsidR="00FA03B5" w:rsidRPr="00EF4078" w:rsidRDefault="005F74F9" w:rsidP="006D0771">
            <w:pPr>
              <w:pStyle w:val="NoSpacing"/>
              <w:keepNext/>
              <w:keepLines/>
              <w:spacing w:line="276" w:lineRule="auto"/>
              <w:jc w:val="center"/>
              <w:rPr>
                <w:rFonts w:eastAsia="Times New Roman" w:cs="Times New Roman"/>
                <w:sz w:val="20"/>
                <w:szCs w:val="20"/>
              </w:rPr>
            </w:pPr>
            <w:r>
              <w:rPr>
                <w:rFonts w:eastAsia="Times New Roman" w:cs="Times New Roman"/>
                <w:sz w:val="20"/>
                <w:szCs w:val="20"/>
              </w:rPr>
              <w:t>13,227</w:t>
            </w:r>
          </w:p>
        </w:tc>
      </w:tr>
      <w:tr w:rsidR="00FA03B5" w:rsidRPr="00EF4078" w:rsidTr="006D0771">
        <w:trPr>
          <w:trHeight w:val="64"/>
        </w:trPr>
        <w:tc>
          <w:tcPr>
            <w:tcW w:w="6960" w:type="dxa"/>
            <w:shd w:val="clear" w:color="auto" w:fill="auto"/>
            <w:vAlign w:val="center"/>
          </w:tcPr>
          <w:p w:rsidR="00FA03B5" w:rsidRPr="00EF4078" w:rsidRDefault="00FA03B5" w:rsidP="006D0771">
            <w:pPr>
              <w:pStyle w:val="NoSpacing"/>
              <w:keepNext/>
              <w:keepLines/>
              <w:spacing w:line="276" w:lineRule="auto"/>
              <w:ind w:left="177"/>
              <w:rPr>
                <w:rFonts w:eastAsia="Times New Roman" w:cs="Times New Roman"/>
                <w:sz w:val="20"/>
                <w:szCs w:val="20"/>
              </w:rPr>
            </w:pPr>
            <w:r w:rsidRPr="004E7A88">
              <w:rPr>
                <w:rFonts w:eastAsia="Times New Roman" w:cs="Times New Roman"/>
                <w:sz w:val="20"/>
                <w:szCs w:val="20"/>
              </w:rPr>
              <w:t xml:space="preserve">Expected eligibility rate among sampled </w:t>
            </w:r>
            <w:r>
              <w:rPr>
                <w:rFonts w:eastAsia="Times New Roman" w:cs="Times New Roman"/>
                <w:sz w:val="20"/>
                <w:szCs w:val="20"/>
              </w:rPr>
              <w:t>Medicare</w:t>
            </w:r>
            <w:r w:rsidRPr="004E7A88">
              <w:rPr>
                <w:rFonts w:eastAsia="Times New Roman" w:cs="Times New Roman"/>
                <w:sz w:val="20"/>
                <w:szCs w:val="20"/>
              </w:rPr>
              <w:t xml:space="preserve"> beneficiaries selected for the national sample</w:t>
            </w:r>
          </w:p>
        </w:tc>
        <w:tc>
          <w:tcPr>
            <w:tcW w:w="1100" w:type="dxa"/>
            <w:shd w:val="clear" w:color="auto" w:fill="auto"/>
            <w:noWrap/>
            <w:vAlign w:val="center"/>
          </w:tcPr>
          <w:p w:rsidR="00FA03B5" w:rsidRPr="00EF4078" w:rsidRDefault="00FA03B5" w:rsidP="006D0771">
            <w:pPr>
              <w:pStyle w:val="NoSpacing"/>
              <w:keepNext/>
              <w:keepLines/>
              <w:spacing w:line="276" w:lineRule="auto"/>
              <w:jc w:val="center"/>
              <w:rPr>
                <w:rFonts w:eastAsia="Times New Roman" w:cs="Times New Roman"/>
                <w:sz w:val="20"/>
                <w:szCs w:val="20"/>
              </w:rPr>
            </w:pPr>
            <w:r>
              <w:rPr>
                <w:rFonts w:eastAsia="Times New Roman" w:cs="Times New Roman"/>
                <w:sz w:val="20"/>
                <w:szCs w:val="20"/>
              </w:rPr>
              <w:t>0.85</w:t>
            </w:r>
          </w:p>
        </w:tc>
      </w:tr>
      <w:tr w:rsidR="00FA03B5" w:rsidRPr="00EF4078" w:rsidTr="004E7A88">
        <w:trPr>
          <w:trHeight w:val="64"/>
        </w:trPr>
        <w:tc>
          <w:tcPr>
            <w:tcW w:w="6960" w:type="dxa"/>
            <w:shd w:val="clear" w:color="auto" w:fill="auto"/>
            <w:vAlign w:val="center"/>
          </w:tcPr>
          <w:p w:rsidR="00FA03B5" w:rsidRPr="00EF4078" w:rsidRDefault="00FA03B5" w:rsidP="004E7A88">
            <w:pPr>
              <w:pStyle w:val="NoSpacing"/>
              <w:keepNext/>
              <w:keepLines/>
              <w:spacing w:line="276" w:lineRule="auto"/>
              <w:ind w:left="177"/>
              <w:rPr>
                <w:rFonts w:eastAsia="Times New Roman" w:cs="Times New Roman"/>
                <w:sz w:val="20"/>
                <w:szCs w:val="20"/>
              </w:rPr>
            </w:pPr>
            <w:r w:rsidRPr="004E7A88">
              <w:rPr>
                <w:rFonts w:eastAsia="Times New Roman" w:cs="Times New Roman"/>
                <w:sz w:val="20"/>
                <w:szCs w:val="20"/>
              </w:rPr>
              <w:t>Total number to be selected for the national sample</w:t>
            </w:r>
          </w:p>
        </w:tc>
        <w:tc>
          <w:tcPr>
            <w:tcW w:w="1100" w:type="dxa"/>
            <w:shd w:val="clear" w:color="auto" w:fill="auto"/>
            <w:noWrap/>
            <w:vAlign w:val="center"/>
          </w:tcPr>
          <w:p w:rsidR="00FA03B5" w:rsidRPr="00EF4078" w:rsidRDefault="00FA03B5" w:rsidP="004E7A88">
            <w:pPr>
              <w:pStyle w:val="NoSpacing"/>
              <w:keepNext/>
              <w:keepLines/>
              <w:spacing w:line="276" w:lineRule="auto"/>
              <w:jc w:val="center"/>
              <w:rPr>
                <w:rFonts w:eastAsia="Times New Roman" w:cs="Times New Roman"/>
                <w:sz w:val="20"/>
                <w:szCs w:val="20"/>
              </w:rPr>
            </w:pPr>
            <w:r>
              <w:rPr>
                <w:rFonts w:eastAsia="Times New Roman" w:cs="Times New Roman"/>
                <w:sz w:val="20"/>
                <w:szCs w:val="20"/>
              </w:rPr>
              <w:t>15,562</w:t>
            </w:r>
          </w:p>
        </w:tc>
      </w:tr>
      <w:bookmarkEnd w:id="2"/>
      <w:bookmarkEnd w:id="3"/>
    </w:tbl>
    <w:p w:rsidR="00E92368" w:rsidRDefault="00E92368">
      <w:pPr>
        <w:rPr>
          <w:rFonts w:eastAsiaTheme="minorHAnsi" w:cs="Times New Roman"/>
          <w:b/>
        </w:rPr>
      </w:pPr>
      <w:r>
        <w:rPr>
          <w:b/>
        </w:rPr>
        <w:br w:type="page"/>
      </w:r>
    </w:p>
    <w:p w:rsidR="008A0356" w:rsidRDefault="008A0356" w:rsidP="008A0356">
      <w:pPr>
        <w:pStyle w:val="BodySingle"/>
        <w:spacing w:after="0"/>
        <w:ind w:firstLine="0"/>
        <w:rPr>
          <w:sz w:val="22"/>
          <w:szCs w:val="22"/>
        </w:rPr>
      </w:pPr>
      <w:r w:rsidRPr="00E92368">
        <w:rPr>
          <w:b/>
          <w:sz w:val="22"/>
          <w:szCs w:val="22"/>
        </w:rPr>
        <w:lastRenderedPageBreak/>
        <w:t>Exhibit 5.</w:t>
      </w:r>
      <w:r>
        <w:rPr>
          <w:sz w:val="22"/>
          <w:szCs w:val="22"/>
        </w:rPr>
        <w:t xml:space="preserve">  Power calculations for comparisons between program participants and national survey comparison samples for 450 program participants and varying numbers of controls</w:t>
      </w:r>
    </w:p>
    <w:p w:rsidR="00E92368" w:rsidRDefault="00E92368" w:rsidP="00E92368">
      <w:pPr>
        <w:pStyle w:val="BodySingle"/>
        <w:spacing w:after="0"/>
        <w:ind w:firstLine="0"/>
        <w:rPr>
          <w:sz w:val="22"/>
          <w:szCs w:val="22"/>
        </w:rPr>
      </w:pPr>
    </w:p>
    <w:tbl>
      <w:tblPr>
        <w:tblW w:w="73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220"/>
        <w:gridCol w:w="1220"/>
        <w:gridCol w:w="1220"/>
        <w:gridCol w:w="1220"/>
        <w:gridCol w:w="1220"/>
      </w:tblGrid>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bookmarkStart w:id="4" w:name="RANGE!N4:S29"/>
            <w:bookmarkEnd w:id="4"/>
          </w:p>
        </w:tc>
        <w:tc>
          <w:tcPr>
            <w:tcW w:w="2440" w:type="dxa"/>
            <w:gridSpan w:val="2"/>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Program Participants</w:t>
            </w:r>
          </w:p>
        </w:tc>
        <w:tc>
          <w:tcPr>
            <w:tcW w:w="2440" w:type="dxa"/>
            <w:gridSpan w:val="2"/>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Comparison Sample</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r>
      <w:tr w:rsidR="008A0356" w:rsidRPr="00E92368" w:rsidTr="008A0356">
        <w:trPr>
          <w:trHeight w:val="1200"/>
        </w:trPr>
        <w:tc>
          <w:tcPr>
            <w:tcW w:w="1220" w:type="dxa"/>
            <w:shd w:val="clear" w:color="auto" w:fill="auto"/>
            <w:vAlign w:val="bottom"/>
            <w:hideMark/>
          </w:tcPr>
          <w:p w:rsidR="008A0356" w:rsidRPr="00E92368" w:rsidRDefault="008A0356" w:rsidP="008A0356">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 xml:space="preserve"> Difference to be Detected</w:t>
            </w:r>
          </w:p>
        </w:tc>
        <w:tc>
          <w:tcPr>
            <w:tcW w:w="1220" w:type="dxa"/>
            <w:shd w:val="clear" w:color="auto" w:fill="auto"/>
            <w:vAlign w:val="bottom"/>
            <w:hideMark/>
          </w:tcPr>
          <w:p w:rsidR="008A0356" w:rsidRPr="00E92368" w:rsidRDefault="008A0356" w:rsidP="008A0356">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estimated proportion</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n</w:t>
            </w:r>
          </w:p>
        </w:tc>
        <w:tc>
          <w:tcPr>
            <w:tcW w:w="1220" w:type="dxa"/>
            <w:shd w:val="clear" w:color="auto" w:fill="auto"/>
            <w:vAlign w:val="bottom"/>
            <w:hideMark/>
          </w:tcPr>
          <w:p w:rsidR="008A0356" w:rsidRPr="00E92368" w:rsidRDefault="008A0356" w:rsidP="008A0356">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estimated proportion</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n</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Power</w:t>
            </w: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0.05</w:t>
            </w: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 xml:space="preserve">                 450 </w:t>
            </w: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0.65</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3,000 </w:t>
            </w: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0.52</w:t>
            </w: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0.55</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0.49</w:t>
            </w: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0.45</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0.49</w:t>
            </w: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0.65</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2,000 </w:t>
            </w: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0.50</w:t>
            </w: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0.55</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0.46</w:t>
            </w: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0.45</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0.46</w:t>
            </w: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0.65</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1,000 </w:t>
            </w: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0.43</w:t>
            </w: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0.55</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0.40</w:t>
            </w: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0.45</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0.40</w:t>
            </w:r>
          </w:p>
        </w:tc>
      </w:tr>
      <w:tr w:rsidR="008A0356" w:rsidRPr="00E92368" w:rsidTr="008A0356">
        <w:trPr>
          <w:trHeight w:val="15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0.06</w:t>
            </w: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0.64</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3,000 </w:t>
            </w: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0.68</w:t>
            </w: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0.54</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0.64</w:t>
            </w: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0.44</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0.64</w:t>
            </w:r>
          </w:p>
        </w:tc>
      </w:tr>
      <w:tr w:rsidR="008A0356" w:rsidRPr="00E92368" w:rsidTr="008A0356">
        <w:trPr>
          <w:trHeight w:val="285"/>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0.64</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2,000 </w:t>
            </w: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0.65</w:t>
            </w: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0.54</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0.61</w:t>
            </w: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0.44</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0.61</w:t>
            </w:r>
          </w:p>
        </w:tc>
      </w:tr>
      <w:tr w:rsidR="008A0356" w:rsidRPr="00E92368" w:rsidTr="008A0356">
        <w:trPr>
          <w:trHeight w:val="15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0.64</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1,000 </w:t>
            </w: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0.58</w:t>
            </w: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0.54</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0.54</w:t>
            </w:r>
          </w:p>
        </w:tc>
      </w:tr>
      <w:tr w:rsidR="008A0356" w:rsidRPr="00E92368" w:rsidTr="008A0356">
        <w:trPr>
          <w:trHeight w:val="300"/>
        </w:trPr>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220" w:type="dxa"/>
            <w:shd w:val="clear" w:color="auto" w:fill="auto"/>
            <w:noWrap/>
            <w:vAlign w:val="bottom"/>
            <w:hideMark/>
          </w:tcPr>
          <w:p w:rsidR="008A0356" w:rsidRPr="00E92368" w:rsidRDefault="008A0356" w:rsidP="008A0356">
            <w:pPr>
              <w:spacing w:after="0" w:line="240" w:lineRule="auto"/>
              <w:jc w:val="center"/>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0.44</w:t>
            </w:r>
          </w:p>
        </w:tc>
        <w:tc>
          <w:tcPr>
            <w:tcW w:w="1220" w:type="dxa"/>
            <w:shd w:val="clear" w:color="auto" w:fill="auto"/>
            <w:noWrap/>
            <w:vAlign w:val="bottom"/>
            <w:hideMark/>
          </w:tcPr>
          <w:p w:rsidR="008A0356" w:rsidRPr="00E92368" w:rsidRDefault="008A0356" w:rsidP="008A0356">
            <w:pPr>
              <w:spacing w:after="0" w:line="240" w:lineRule="auto"/>
              <w:rPr>
                <w:rFonts w:eastAsia="Times New Roman" w:cs="Times New Roman"/>
                <w:color w:val="000000"/>
                <w:sz w:val="20"/>
                <w:szCs w:val="20"/>
              </w:rPr>
            </w:pPr>
          </w:p>
        </w:tc>
        <w:tc>
          <w:tcPr>
            <w:tcW w:w="1220" w:type="dxa"/>
            <w:shd w:val="clear" w:color="auto" w:fill="auto"/>
            <w:noWrap/>
            <w:vAlign w:val="bottom"/>
            <w:hideMark/>
          </w:tcPr>
          <w:p w:rsidR="008A0356" w:rsidRPr="00E92368" w:rsidRDefault="008A0356" w:rsidP="008A0356">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0.54</w:t>
            </w:r>
          </w:p>
        </w:tc>
      </w:tr>
    </w:tbl>
    <w:p w:rsidR="00E92368" w:rsidRDefault="00E92368" w:rsidP="00E92368">
      <w:pPr>
        <w:pStyle w:val="BodySingle"/>
        <w:spacing w:after="0"/>
        <w:ind w:firstLine="0"/>
        <w:rPr>
          <w:sz w:val="22"/>
          <w:szCs w:val="22"/>
        </w:rPr>
      </w:pPr>
    </w:p>
    <w:p w:rsidR="00E92368" w:rsidRDefault="00E92368" w:rsidP="00E92368">
      <w:pPr>
        <w:pStyle w:val="BodySingle"/>
        <w:spacing w:after="0"/>
        <w:ind w:firstLine="0"/>
        <w:rPr>
          <w:sz w:val="22"/>
          <w:szCs w:val="22"/>
        </w:rPr>
      </w:pPr>
    </w:p>
    <w:p w:rsidR="00E92368" w:rsidRDefault="00E92368" w:rsidP="00E92368">
      <w:pPr>
        <w:pStyle w:val="BodySingle"/>
        <w:spacing w:after="0"/>
        <w:ind w:firstLine="0"/>
        <w:rPr>
          <w:sz w:val="22"/>
          <w:szCs w:val="22"/>
        </w:rPr>
      </w:pPr>
    </w:p>
    <w:p w:rsidR="00E92368" w:rsidRDefault="00E92368">
      <w:pPr>
        <w:rPr>
          <w:rFonts w:eastAsiaTheme="minorHAnsi" w:cs="Times New Roman"/>
          <w:b/>
        </w:rPr>
      </w:pPr>
      <w:r>
        <w:rPr>
          <w:b/>
        </w:rPr>
        <w:br w:type="page"/>
      </w:r>
    </w:p>
    <w:p w:rsidR="006E287F" w:rsidRDefault="006E287F" w:rsidP="006E287F">
      <w:pPr>
        <w:pStyle w:val="BodySingle"/>
        <w:spacing w:after="0"/>
        <w:ind w:firstLine="0"/>
        <w:rPr>
          <w:sz w:val="22"/>
          <w:szCs w:val="22"/>
        </w:rPr>
      </w:pPr>
      <w:r w:rsidRPr="00E92368">
        <w:rPr>
          <w:b/>
          <w:sz w:val="22"/>
          <w:szCs w:val="22"/>
        </w:rPr>
        <w:lastRenderedPageBreak/>
        <w:t>Exhibit 6.</w:t>
      </w:r>
      <w:r>
        <w:rPr>
          <w:sz w:val="22"/>
          <w:szCs w:val="22"/>
        </w:rPr>
        <w:t xml:space="preserve"> Power calculations for comparisons between program participants and national survey comparison samples for 900 and 1,200  program participants and varying numbers of controls</w:t>
      </w:r>
    </w:p>
    <w:tbl>
      <w:tblPr>
        <w:tblW w:w="7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260"/>
        <w:gridCol w:w="1000"/>
        <w:gridCol w:w="1160"/>
        <w:gridCol w:w="880"/>
        <w:gridCol w:w="960"/>
      </w:tblGrid>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2260" w:type="dxa"/>
            <w:gridSpan w:val="2"/>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Program Participants</w:t>
            </w:r>
          </w:p>
        </w:tc>
        <w:tc>
          <w:tcPr>
            <w:tcW w:w="2040" w:type="dxa"/>
            <w:gridSpan w:val="2"/>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Comparison Sample</w:t>
            </w:r>
          </w:p>
        </w:tc>
        <w:tc>
          <w:tcPr>
            <w:tcW w:w="9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r>
      <w:tr w:rsidR="00AF1DF0" w:rsidRPr="00E92368" w:rsidTr="00932634">
        <w:trPr>
          <w:trHeight w:val="557"/>
          <w:tblHeader/>
        </w:trPr>
        <w:tc>
          <w:tcPr>
            <w:tcW w:w="1780" w:type="dxa"/>
            <w:shd w:val="clear" w:color="auto" w:fill="auto"/>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 xml:space="preserve"> Difference to be Detected</w:t>
            </w:r>
          </w:p>
        </w:tc>
        <w:tc>
          <w:tcPr>
            <w:tcW w:w="1260" w:type="dxa"/>
            <w:shd w:val="clear" w:color="auto" w:fill="auto"/>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estimated proportion</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n</w:t>
            </w:r>
          </w:p>
        </w:tc>
        <w:tc>
          <w:tcPr>
            <w:tcW w:w="1160" w:type="dxa"/>
            <w:shd w:val="clear" w:color="auto" w:fill="auto"/>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estimated proportion</w:t>
            </w:r>
          </w:p>
        </w:tc>
        <w:tc>
          <w:tcPr>
            <w:tcW w:w="88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n</w:t>
            </w:r>
          </w:p>
        </w:tc>
        <w:tc>
          <w:tcPr>
            <w:tcW w:w="96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Power</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r>
      <w:tr w:rsidR="00AF1DF0" w:rsidRPr="00E92368" w:rsidTr="00932634">
        <w:trPr>
          <w:trHeight w:val="314"/>
          <w:tblHeader/>
        </w:trPr>
        <w:tc>
          <w:tcPr>
            <w:tcW w:w="178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0.05</w:t>
            </w: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 xml:space="preserve">           900 </w:t>
            </w: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0.65</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3,000 </w:t>
            </w: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0.78</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0.55</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0.74</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0.45</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0.73</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 xml:space="preserve">         1,200 </w:t>
            </w: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0.65</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3,000 </w:t>
            </w: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0.86</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0.55</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0.83</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0.45</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0.82</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 xml:space="preserve">            900 </w:t>
            </w: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0.65</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2,000 </w:t>
            </w: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0.74</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0.55</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0.69</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0.45</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0.69</w:t>
            </w:r>
          </w:p>
        </w:tc>
      </w:tr>
      <w:tr w:rsidR="00AF1DF0" w:rsidRPr="00E92368" w:rsidTr="00932634">
        <w:trPr>
          <w:trHeight w:val="15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 xml:space="preserve">         1,200 </w:t>
            </w: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0.65</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2,000 </w:t>
            </w: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0.82</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00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0.55</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0.77</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00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0.45</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0.77</w:t>
            </w:r>
          </w:p>
        </w:tc>
      </w:tr>
      <w:tr w:rsidR="00AF1DF0" w:rsidRPr="00E92368" w:rsidTr="00932634">
        <w:trPr>
          <w:trHeight w:val="285"/>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 xml:space="preserve">            900 </w:t>
            </w: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0.64</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1,000 </w:t>
            </w: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0.62</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0.54</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0.57</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0.44</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0.56</w:t>
            </w:r>
          </w:p>
        </w:tc>
      </w:tr>
      <w:tr w:rsidR="00AF1DF0" w:rsidRPr="00E92368" w:rsidTr="00932634">
        <w:trPr>
          <w:trHeight w:val="15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 xml:space="preserve">         1,200 </w:t>
            </w: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0.64</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1,000 </w:t>
            </w: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0.68</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0.54</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0.64</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0.44</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0.63</w:t>
            </w:r>
          </w:p>
        </w:tc>
      </w:tr>
      <w:tr w:rsidR="00AF1DF0" w:rsidRPr="00E92368" w:rsidTr="00932634">
        <w:trPr>
          <w:trHeight w:val="15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0.06</w:t>
            </w: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 xml:space="preserve">            900 </w:t>
            </w: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0.64</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3,000 </w:t>
            </w: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0.91</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0.54</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0.88</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0.44</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0.87</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 xml:space="preserve">         1,200 </w:t>
            </w: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0.64</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3,000 </w:t>
            </w: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0.95</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00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0.54</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0.94</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00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0.44</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0.93</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 xml:space="preserve">            900 </w:t>
            </w: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2,000 </w:t>
            </w: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0.87</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0.84</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0.84</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 xml:space="preserve">         1,200 </w:t>
            </w: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2,000 </w:t>
            </w: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0.93</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0.90</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0.90</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 xml:space="preserve">            900 </w:t>
            </w: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1,000 </w:t>
            </w: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0.77</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0.73</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0.72</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1000" w:type="dxa"/>
            <w:shd w:val="clear" w:color="auto" w:fill="auto"/>
            <w:noWrap/>
            <w:vAlign w:val="bottom"/>
            <w:hideMark/>
          </w:tcPr>
          <w:p w:rsidR="00AF1DF0" w:rsidRPr="00E92368" w:rsidRDefault="00AF1DF0" w:rsidP="00932634">
            <w:pPr>
              <w:spacing w:after="0" w:line="240" w:lineRule="auto"/>
              <w:jc w:val="center"/>
              <w:rPr>
                <w:rFonts w:eastAsia="Times New Roman" w:cs="Times New Roman"/>
                <w:color w:val="000000"/>
                <w:sz w:val="20"/>
                <w:szCs w:val="20"/>
              </w:rPr>
            </w:pPr>
            <w:r w:rsidRPr="00E92368">
              <w:rPr>
                <w:rFonts w:eastAsia="Times New Roman" w:cs="Times New Roman"/>
                <w:color w:val="000000"/>
                <w:sz w:val="20"/>
                <w:szCs w:val="20"/>
              </w:rPr>
              <w:t xml:space="preserve">         1,200 </w:t>
            </w: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r w:rsidRPr="00E92368">
              <w:rPr>
                <w:rFonts w:eastAsia="Times New Roman" w:cs="Times New Roman"/>
                <w:color w:val="000000"/>
                <w:sz w:val="20"/>
                <w:szCs w:val="20"/>
              </w:rPr>
              <w:t xml:space="preserve">      1,000 </w:t>
            </w: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0.83</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100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0.6</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0.79</w:t>
            </w:r>
          </w:p>
        </w:tc>
      </w:tr>
      <w:tr w:rsidR="00AF1DF0" w:rsidRPr="00E92368" w:rsidTr="00932634">
        <w:trPr>
          <w:trHeight w:val="300"/>
          <w:tblHeader/>
        </w:trPr>
        <w:tc>
          <w:tcPr>
            <w:tcW w:w="17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2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100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11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0.5</w:t>
            </w:r>
          </w:p>
        </w:tc>
        <w:tc>
          <w:tcPr>
            <w:tcW w:w="880" w:type="dxa"/>
            <w:shd w:val="clear" w:color="auto" w:fill="auto"/>
            <w:noWrap/>
            <w:vAlign w:val="bottom"/>
            <w:hideMark/>
          </w:tcPr>
          <w:p w:rsidR="00AF1DF0" w:rsidRPr="00E92368" w:rsidRDefault="00AF1DF0" w:rsidP="00932634">
            <w:pPr>
              <w:spacing w:after="0" w:line="240" w:lineRule="auto"/>
              <w:rPr>
                <w:rFonts w:eastAsia="Times New Roman" w:cs="Times New Roman"/>
                <w:color w:val="000000"/>
                <w:sz w:val="20"/>
                <w:szCs w:val="20"/>
              </w:rPr>
            </w:pPr>
          </w:p>
        </w:tc>
        <w:tc>
          <w:tcPr>
            <w:tcW w:w="960" w:type="dxa"/>
            <w:shd w:val="clear" w:color="auto" w:fill="auto"/>
            <w:noWrap/>
            <w:vAlign w:val="bottom"/>
            <w:hideMark/>
          </w:tcPr>
          <w:p w:rsidR="00AF1DF0" w:rsidRPr="00E92368" w:rsidRDefault="00AF1DF0" w:rsidP="00932634">
            <w:pPr>
              <w:spacing w:after="0" w:line="240" w:lineRule="auto"/>
              <w:jc w:val="right"/>
              <w:rPr>
                <w:rFonts w:eastAsia="Times New Roman" w:cs="Times New Roman"/>
                <w:color w:val="000000"/>
                <w:sz w:val="20"/>
                <w:szCs w:val="20"/>
              </w:rPr>
            </w:pPr>
            <w:r w:rsidRPr="00E92368">
              <w:rPr>
                <w:rFonts w:eastAsia="Times New Roman" w:cs="Times New Roman"/>
                <w:color w:val="000000"/>
                <w:sz w:val="20"/>
                <w:szCs w:val="20"/>
              </w:rPr>
              <w:t>0.78</w:t>
            </w:r>
          </w:p>
        </w:tc>
      </w:tr>
    </w:tbl>
    <w:p w:rsidR="00E92368" w:rsidRDefault="00E92368" w:rsidP="00E92368">
      <w:pPr>
        <w:pStyle w:val="BodySingle"/>
        <w:spacing w:after="0"/>
        <w:ind w:firstLine="0"/>
        <w:rPr>
          <w:sz w:val="22"/>
          <w:szCs w:val="22"/>
        </w:rPr>
      </w:pPr>
    </w:p>
    <w:p w:rsidR="007B4331" w:rsidRDefault="007B4331" w:rsidP="008F0067">
      <w:pPr>
        <w:pStyle w:val="BodySingle"/>
        <w:keepNext/>
        <w:keepLines/>
        <w:spacing w:after="0"/>
        <w:ind w:firstLine="0"/>
        <w:rPr>
          <w:sz w:val="22"/>
          <w:szCs w:val="22"/>
        </w:rPr>
      </w:pPr>
    </w:p>
    <w:p w:rsidR="00C47F53" w:rsidRPr="003F2EED" w:rsidRDefault="00C47F53" w:rsidP="00C47F53">
      <w:pPr>
        <w:pStyle w:val="Heading4"/>
      </w:pPr>
      <w:r w:rsidRPr="003F2EED">
        <w:t xml:space="preserve">In-Depth Interviews with Wellness Program Staff </w:t>
      </w:r>
    </w:p>
    <w:p w:rsidR="007B4331" w:rsidRDefault="00C47F53" w:rsidP="00C47F53">
      <w:r w:rsidRPr="00EB38AF">
        <w:rPr>
          <w:rFonts w:eastAsiaTheme="minorHAnsi"/>
        </w:rPr>
        <w:t xml:space="preserve">The respondent universe for the in-depth interviews with program staff is based on the programs </w:t>
      </w:r>
      <w:r w:rsidR="00842D90">
        <w:rPr>
          <w:rFonts w:eastAsiaTheme="minorHAnsi"/>
        </w:rPr>
        <w:t>participating in the study, which includes CDSMP, DSMP, EnhanceFitness, EnhanceWellness, Fit &amp; Strong!, A Matter of Balance, Stepping On, and Walk with Ease. W</w:t>
      </w:r>
      <w:r w:rsidRPr="00EB38AF">
        <w:rPr>
          <w:rFonts w:eastAsiaTheme="minorHAnsi"/>
        </w:rPr>
        <w:t>e anticipate approximately 3-6 staff will be interviewed per program.</w:t>
      </w:r>
      <w:r w:rsidR="002A674A">
        <w:rPr>
          <w:rFonts w:eastAsiaTheme="minorHAnsi"/>
        </w:rPr>
        <w:t xml:space="preserve"> </w:t>
      </w:r>
      <w:r w:rsidRPr="00EB38AF">
        <w:rPr>
          <w:rFonts w:eastAsiaTheme="minorHAnsi"/>
        </w:rPr>
        <w:t>We will work with each program to identify the best individuals in each program capable of providing information about the key domains in the in-depth interview discussion guide. We anticipate that the Program Director or Coordinator will be able to provide most of the information about</w:t>
      </w:r>
      <w:r>
        <w:rPr>
          <w:rFonts w:eastAsiaTheme="minorHAnsi"/>
        </w:rPr>
        <w:t xml:space="preserve"> </w:t>
      </w:r>
      <w:r w:rsidRPr="00EB38AF">
        <w:rPr>
          <w:rFonts w:eastAsiaTheme="minorHAnsi"/>
        </w:rPr>
        <w:t xml:space="preserve">program implementation challenges and best practices, and operational costs, supplemented with in-depth interviews with trainers or instructors who provide the wellness sessions. Findings from the program staff in-depth interviews will not be statistically generalizable </w:t>
      </w:r>
      <w:r>
        <w:rPr>
          <w:rFonts w:eastAsiaTheme="minorHAnsi"/>
        </w:rPr>
        <w:t xml:space="preserve">to the respondent universe. </w:t>
      </w:r>
      <w:r w:rsidRPr="00EB38AF">
        <w:rPr>
          <w:rFonts w:eastAsiaTheme="minorHAnsi"/>
        </w:rPr>
        <w:t>However, findings will be relevant to inform CMS about wellness program implementation and estimated operational costs.</w:t>
      </w:r>
    </w:p>
    <w:p w:rsidR="002A2553" w:rsidRDefault="002A2553" w:rsidP="00B92C18">
      <w:pPr>
        <w:pStyle w:val="Heading2"/>
      </w:pPr>
      <w:bookmarkStart w:id="5" w:name="_Toc366155203"/>
      <w:r>
        <w:t>Information Collection Procedures</w:t>
      </w:r>
      <w:bookmarkEnd w:id="5"/>
    </w:p>
    <w:p w:rsidR="008620CF" w:rsidRPr="00E12CDF" w:rsidRDefault="008620CF" w:rsidP="005579E1">
      <w:pPr>
        <w:pStyle w:val="Heading4"/>
      </w:pPr>
      <w:r w:rsidRPr="00E12CDF">
        <w:t>National Survey</w:t>
      </w:r>
      <w:r w:rsidR="00E12CDF" w:rsidRPr="00E12CDF">
        <w:t xml:space="preserve"> of </w:t>
      </w:r>
      <w:r w:rsidR="00135D57">
        <w:t>Medicare</w:t>
      </w:r>
      <w:r w:rsidR="00E12CDF" w:rsidRPr="00E12CDF">
        <w:t xml:space="preserve"> </w:t>
      </w:r>
      <w:r w:rsidR="009C5B0D">
        <w:t>Beneficiaries</w:t>
      </w:r>
    </w:p>
    <w:p w:rsidR="004F382A" w:rsidRDefault="004F382A" w:rsidP="005579E1">
      <w:r w:rsidRPr="00F0148B">
        <w:t xml:space="preserve">The national survey sample will be divided into 12 monthly replicates; each replicate will be handled the </w:t>
      </w:r>
      <w:r w:rsidRPr="00E05794">
        <w:t>same way.</w:t>
      </w:r>
      <w:r w:rsidR="002A674A">
        <w:t xml:space="preserve"> </w:t>
      </w:r>
      <w:r w:rsidRPr="00E05794">
        <w:t>We will first mail the questionnaire and co</w:t>
      </w:r>
      <w:r w:rsidR="00E05794">
        <w:t>ver letter</w:t>
      </w:r>
      <w:r w:rsidRPr="00E05794">
        <w:t xml:space="preserve"> to all sampled</w:t>
      </w:r>
      <w:r w:rsidRPr="00F0148B">
        <w:t xml:space="preserve"> </w:t>
      </w:r>
      <w:r w:rsidR="00464D90">
        <w:t>b</w:t>
      </w:r>
      <w:r w:rsidR="009C5B0D">
        <w:t>eneficiaries</w:t>
      </w:r>
      <w:r w:rsidRPr="00F0148B">
        <w:t>.</w:t>
      </w:r>
      <w:r w:rsidR="002A674A">
        <w:t xml:space="preserve"> </w:t>
      </w:r>
      <w:r w:rsidRPr="00F0148B">
        <w:t xml:space="preserve">The materials will include brief instructions in Spanish providing a phone number the </w:t>
      </w:r>
      <w:r w:rsidR="00464D90">
        <w:t>b</w:t>
      </w:r>
      <w:r w:rsidR="00135D57">
        <w:t>eneficiary</w:t>
      </w:r>
      <w:r w:rsidRPr="00F0148B">
        <w:t xml:space="preserve"> may call to request Spanish-language materials; in response to such a request, the data collection contractor will send Spanish versions of the questionnaire and cover letter, and send Spanish versions of all subsequent materials.</w:t>
      </w:r>
      <w:r w:rsidR="002A674A">
        <w:t xml:space="preserve"> </w:t>
      </w:r>
      <w:r w:rsidRPr="00F0148B">
        <w:t xml:space="preserve">After one week, we will either send a thank you/reminder postcard </w:t>
      </w:r>
      <w:r w:rsidR="009F7F28">
        <w:t xml:space="preserve">or </w:t>
      </w:r>
      <w:r w:rsidRPr="00F0148B">
        <w:t xml:space="preserve">place an automated thank you/reminder telephone call to every sampled </w:t>
      </w:r>
      <w:r w:rsidR="00464D90">
        <w:t>b</w:t>
      </w:r>
      <w:r w:rsidR="00135D57">
        <w:t>eneficiary</w:t>
      </w:r>
      <w:r w:rsidRPr="00F0148B">
        <w:t>.</w:t>
      </w:r>
      <w:r w:rsidR="002A674A">
        <w:t xml:space="preserve"> </w:t>
      </w:r>
      <w:r w:rsidRPr="00F0148B">
        <w:t>Three weeks after the initial mailing, we will send a second copy of the questionnaire and a different cover letter to those sample members who have not yet returned a survey.</w:t>
      </w:r>
      <w:r w:rsidR="002A674A">
        <w:t xml:space="preserve"> </w:t>
      </w:r>
      <w:r w:rsidRPr="00F0148B">
        <w:t xml:space="preserve">After another two weeks, we will attempt to survey non-responders by </w:t>
      </w:r>
      <w:r w:rsidRPr="00F0148B">
        <w:lastRenderedPageBreak/>
        <w:t>telephone if a number is available. We anticipate obtaining telephone numbers for about 60 percent of the sample from reverse directory services.</w:t>
      </w:r>
    </w:p>
    <w:p w:rsidR="004F382A" w:rsidRPr="00ED7B1E" w:rsidRDefault="004F382A" w:rsidP="005579E1">
      <w:r w:rsidRPr="00ED7B1E">
        <w:t>Data collection for the 6- and 12-month follow-up surveys will be conducted in the same way.</w:t>
      </w:r>
    </w:p>
    <w:p w:rsidR="00F06D2C" w:rsidRPr="003F2EED" w:rsidRDefault="00F0148B" w:rsidP="005579E1">
      <w:pPr>
        <w:pStyle w:val="Heading4"/>
      </w:pPr>
      <w:r w:rsidRPr="003F2EED">
        <w:t xml:space="preserve">Wellness </w:t>
      </w:r>
      <w:r w:rsidR="008620CF" w:rsidRPr="003F2EED">
        <w:t xml:space="preserve">Program Participant </w:t>
      </w:r>
      <w:r w:rsidR="00F06D2C" w:rsidRPr="003F2EED">
        <w:t>Survey</w:t>
      </w:r>
    </w:p>
    <w:p w:rsidR="00944891" w:rsidRDefault="00944891" w:rsidP="005579E1">
      <w:r>
        <w:t xml:space="preserve">The Wellness Program Participant Baseline Survey will be </w:t>
      </w:r>
      <w:r w:rsidR="00267FAA">
        <w:t>self-administered</w:t>
      </w:r>
      <w:r>
        <w:t xml:space="preserve"> at the start of the </w:t>
      </w:r>
      <w:r w:rsidR="00AB6725">
        <w:t xml:space="preserve">wellness program. Survey materials will be distributed to eligible program participants by program staff. Spanish versions of the survey will be available upon participant request. After completing the survey, respondents will be asked to seal the survey in an envelope and return the sealed envelope to the program staff. Program staff will then return batches of completed surveys to Westat. </w:t>
      </w:r>
      <w:r w:rsidR="00C31C79">
        <w:t>No follow-up procedures are planned.</w:t>
      </w:r>
    </w:p>
    <w:p w:rsidR="00944891" w:rsidRPr="00ED7B1E" w:rsidRDefault="00944891" w:rsidP="00944891">
      <w:r>
        <w:t xml:space="preserve">The Wellness Program Participant 6- and 12-month followup surveys will be </w:t>
      </w:r>
      <w:r w:rsidR="0036712C">
        <w:t xml:space="preserve">delivered </w:t>
      </w:r>
      <w:r>
        <w:t xml:space="preserve">by mail. </w:t>
      </w:r>
      <w:r w:rsidRPr="00ED7B1E">
        <w:t>Data collection for the 6- and 12-month follow-up surveys will be conducted in the same way</w:t>
      </w:r>
      <w:r>
        <w:t xml:space="preserve"> as the National Survey of Medicare Beneficiaries</w:t>
      </w:r>
      <w:r w:rsidRPr="00ED7B1E">
        <w:t>.</w:t>
      </w:r>
    </w:p>
    <w:p w:rsidR="00A77C58" w:rsidRPr="005579E1" w:rsidRDefault="000B24AA" w:rsidP="005579E1">
      <w:pPr>
        <w:pStyle w:val="Heading4"/>
      </w:pPr>
      <w:r w:rsidRPr="009C770C">
        <w:t>In-</w:t>
      </w:r>
      <w:r w:rsidR="003F2EED" w:rsidRPr="009C770C">
        <w:t>d</w:t>
      </w:r>
      <w:r w:rsidRPr="009C770C">
        <w:t xml:space="preserve">epth Interviews with Wellness </w:t>
      </w:r>
      <w:r w:rsidR="003F2EED" w:rsidRPr="009C770C">
        <w:t xml:space="preserve">Program </w:t>
      </w:r>
      <w:r w:rsidRPr="009C770C">
        <w:t xml:space="preserve">Staff </w:t>
      </w:r>
    </w:p>
    <w:p w:rsidR="009C770C" w:rsidRPr="0033111D" w:rsidRDefault="009C770C" w:rsidP="005579E1">
      <w:r w:rsidRPr="008F4BF8">
        <w:t>In-depth interviews with staff from each wellness progr</w:t>
      </w:r>
      <w:r w:rsidR="00464D90">
        <w:t>am will be conducted on-site or</w:t>
      </w:r>
      <w:r w:rsidRPr="008F4BF8">
        <w:t xml:space="preserve"> by telephone, depending on the organizational structure of each program and will take place towards the end of the first year of pro</w:t>
      </w:r>
      <w:r>
        <w:t xml:space="preserve">gram participation in the study. The evaluation contractor </w:t>
      </w:r>
      <w:r w:rsidRPr="008F4BF8">
        <w:t>will work with each selected program to determine the appropriate approach, particularly for those programs where the program is national in scope and implemented</w:t>
      </w:r>
      <w:r>
        <w:t xml:space="preserve"> in several sites. We anticipate that the following types of program staff will be interviewed: </w:t>
      </w:r>
      <w:r w:rsidRPr="008F4BF8">
        <w:t>Executive Director, Outreach/Recruitment Coordinator, Program Coordinator, Instructo</w:t>
      </w:r>
      <w:r>
        <w:t xml:space="preserve">r(s), and </w:t>
      </w:r>
      <w:r w:rsidRPr="009C770C">
        <w:t>the Financial Officer. The estimated time for each in-depth interview is between 45 and 60 minutes.</w:t>
      </w:r>
      <w:r w:rsidRPr="006A0B5D">
        <w:t xml:space="preserve"> </w:t>
      </w:r>
      <w:r w:rsidR="006A0B5D">
        <w:t xml:space="preserve">In order to prepare for the in-depth </w:t>
      </w:r>
      <w:r w:rsidRPr="006A0B5D">
        <w:t>interview, t</w:t>
      </w:r>
      <w:r w:rsidRPr="009C770C">
        <w:t>he</w:t>
      </w:r>
      <w:r>
        <w:t xml:space="preserve"> evaluation contractor will request</w:t>
      </w:r>
      <w:r w:rsidR="006A0B5D">
        <w:t xml:space="preserve"> prior to the </w:t>
      </w:r>
      <w:r w:rsidR="0033111D">
        <w:t>interview readily</w:t>
      </w:r>
      <w:r w:rsidR="006A0B5D">
        <w:t xml:space="preserve"> available </w:t>
      </w:r>
      <w:r>
        <w:t xml:space="preserve">secondary material that describes the program, including information on policies and procedures, </w:t>
      </w:r>
      <w:r w:rsidR="006A0B5D">
        <w:t xml:space="preserve">outreach and </w:t>
      </w:r>
      <w:r>
        <w:t>enrollment processes</w:t>
      </w:r>
      <w:r w:rsidR="0033111D">
        <w:t>, training</w:t>
      </w:r>
      <w:r>
        <w:t xml:space="preserve"> materials or program implementation toolkits, </w:t>
      </w:r>
      <w:r w:rsidR="006A0B5D">
        <w:t xml:space="preserve">and other descriptive information. </w:t>
      </w:r>
      <w:r w:rsidR="0033111D">
        <w:t>S</w:t>
      </w:r>
      <w:r w:rsidR="006A0B5D">
        <w:t>econdary documents that address the topics in the in-depth discussion guide will be confirmed during the in-depth interview.</w:t>
      </w:r>
      <w:r w:rsidR="0033111D">
        <w:t xml:space="preserve"> W</w:t>
      </w:r>
      <w:r w:rsidR="006A0B5D">
        <w:t xml:space="preserve">e will also inform the wellness program </w:t>
      </w:r>
      <w:r w:rsidR="0033111D">
        <w:t xml:space="preserve">in advance of the in-depth interview </w:t>
      </w:r>
      <w:r w:rsidR="006A0B5D">
        <w:t xml:space="preserve">that we will be </w:t>
      </w:r>
      <w:r w:rsidR="0033111D">
        <w:t>discussing and seeking i</w:t>
      </w:r>
      <w:r w:rsidR="006A0B5D">
        <w:t xml:space="preserve">nformation about </w:t>
      </w:r>
      <w:r w:rsidR="0033111D">
        <w:t>the program’s o</w:t>
      </w:r>
      <w:r w:rsidR="006A0B5D">
        <w:t xml:space="preserve">perational costs in order to estimate </w:t>
      </w:r>
      <w:r w:rsidR="006A0B5D" w:rsidRPr="0033111D">
        <w:t>a per-</w:t>
      </w:r>
      <w:r w:rsidR="00464D90">
        <w:t>b</w:t>
      </w:r>
      <w:r w:rsidR="00135D57">
        <w:t>eneficiary</w:t>
      </w:r>
      <w:r w:rsidR="006A0B5D" w:rsidRPr="0033111D">
        <w:t xml:space="preserve"> cost for the program. The </w:t>
      </w:r>
      <w:r w:rsidR="0033111D">
        <w:t xml:space="preserve">program component costs will be discussed and reviewed as part of the in-depth interview in order to ensure consistency in level of detail and definition of each cost component. </w:t>
      </w:r>
    </w:p>
    <w:p w:rsidR="00E12CDF" w:rsidRPr="005579E1" w:rsidRDefault="002A2553" w:rsidP="00B92C18">
      <w:pPr>
        <w:pStyle w:val="Heading2"/>
      </w:pPr>
      <w:bookmarkStart w:id="6" w:name="_Toc366155204"/>
      <w:r w:rsidRPr="00694A6D">
        <w:t>Methods to Maximize Response Rates</w:t>
      </w:r>
      <w:bookmarkEnd w:id="6"/>
    </w:p>
    <w:p w:rsidR="00CA0EDA" w:rsidRDefault="00CA0EDA" w:rsidP="00135D57">
      <w:pPr>
        <w:pStyle w:val="Heading4"/>
        <w:keepNext/>
        <w:keepLines/>
      </w:pPr>
      <w:r w:rsidRPr="003B1797">
        <w:t>Surveys</w:t>
      </w:r>
    </w:p>
    <w:p w:rsidR="00E12CDF" w:rsidRPr="003B1797" w:rsidRDefault="00E12CDF" w:rsidP="00135D57">
      <w:pPr>
        <w:keepNext/>
        <w:keepLines/>
        <w:spacing w:after="0" w:line="240" w:lineRule="auto"/>
        <w:rPr>
          <w:rFonts w:asciiTheme="majorHAnsi" w:eastAsiaTheme="majorEastAsia" w:hAnsiTheme="majorHAnsi" w:cstheme="majorBidi"/>
          <w:b/>
          <w:bCs/>
          <w:i/>
          <w:iCs/>
          <w:sz w:val="24"/>
          <w:szCs w:val="24"/>
        </w:rPr>
      </w:pPr>
    </w:p>
    <w:p w:rsidR="00C31C79" w:rsidRDefault="00E87FB7" w:rsidP="00135D57">
      <w:pPr>
        <w:keepNext/>
        <w:keepLines/>
        <w:spacing w:after="0" w:line="240" w:lineRule="auto"/>
        <w:rPr>
          <w:rFonts w:eastAsiaTheme="majorEastAsia" w:cs="Times New Roman"/>
          <w:b/>
          <w:bCs/>
          <w:iCs/>
        </w:rPr>
      </w:pPr>
      <w:r>
        <w:rPr>
          <w:rFonts w:eastAsiaTheme="majorEastAsia" w:cs="Times New Roman"/>
          <w:b/>
          <w:bCs/>
          <w:iCs/>
        </w:rPr>
        <w:t xml:space="preserve">Baseline program participant </w:t>
      </w:r>
      <w:r w:rsidR="00C31C79">
        <w:rPr>
          <w:rFonts w:eastAsiaTheme="majorEastAsia" w:cs="Times New Roman"/>
          <w:b/>
          <w:bCs/>
          <w:iCs/>
        </w:rPr>
        <w:t>surveys</w:t>
      </w:r>
    </w:p>
    <w:p w:rsidR="00C31C79" w:rsidRPr="00C31C79" w:rsidRDefault="00C31C79" w:rsidP="00570081">
      <w:pPr>
        <w:spacing w:after="0" w:line="240" w:lineRule="auto"/>
        <w:rPr>
          <w:rFonts w:eastAsiaTheme="majorEastAsia" w:cs="Times New Roman"/>
          <w:bCs/>
          <w:iCs/>
        </w:rPr>
      </w:pPr>
      <w:r>
        <w:rPr>
          <w:rFonts w:eastAsia="Times New Roman" w:cs="Times New Roman"/>
          <w:spacing w:val="-1"/>
        </w:rPr>
        <w:t>D</w:t>
      </w:r>
      <w:r>
        <w:rPr>
          <w:rFonts w:eastAsia="Times New Roman" w:cs="Times New Roman"/>
        </w:rPr>
        <w:t>u</w:t>
      </w:r>
      <w:r>
        <w:rPr>
          <w:rFonts w:eastAsia="Times New Roman" w:cs="Times New Roman"/>
          <w:spacing w:val="1"/>
        </w:rPr>
        <w:t>ri</w:t>
      </w:r>
      <w:r>
        <w:rPr>
          <w:rFonts w:eastAsia="Times New Roman" w:cs="Times New Roman"/>
        </w:rPr>
        <w:t>ng</w:t>
      </w:r>
      <w:r>
        <w:rPr>
          <w:rFonts w:eastAsia="Times New Roman" w:cs="Times New Roman"/>
          <w:spacing w:val="-2"/>
        </w:rPr>
        <w:t xml:space="preserve"> </w:t>
      </w:r>
      <w:r>
        <w:rPr>
          <w:rFonts w:eastAsia="Times New Roman" w:cs="Times New Roman"/>
          <w:spacing w:val="1"/>
        </w:rPr>
        <w:t>r</w:t>
      </w:r>
      <w:r>
        <w:rPr>
          <w:rFonts w:eastAsia="Times New Roman" w:cs="Times New Roman"/>
        </w:rPr>
        <w:t>ece</w:t>
      </w:r>
      <w:r>
        <w:rPr>
          <w:rFonts w:eastAsia="Times New Roman" w:cs="Times New Roman"/>
          <w:spacing w:val="-2"/>
        </w:rPr>
        <w:t>n</w:t>
      </w:r>
      <w:r>
        <w:rPr>
          <w:rFonts w:eastAsia="Times New Roman" w:cs="Times New Roman"/>
        </w:rPr>
        <w:t>t</w:t>
      </w:r>
      <w:r>
        <w:rPr>
          <w:rFonts w:eastAsia="Times New Roman" w:cs="Times New Roman"/>
          <w:spacing w:val="1"/>
        </w:rPr>
        <w:t xml:space="preserve"> </w:t>
      </w:r>
      <w:r>
        <w:rPr>
          <w:rFonts w:eastAsia="Times New Roman" w:cs="Times New Roman"/>
        </w:rPr>
        <w:t>d</w:t>
      </w:r>
      <w:r>
        <w:rPr>
          <w:rFonts w:eastAsia="Times New Roman" w:cs="Times New Roman"/>
          <w:spacing w:val="-1"/>
        </w:rPr>
        <w:t>i</w:t>
      </w:r>
      <w:r>
        <w:rPr>
          <w:rFonts w:eastAsia="Times New Roman" w:cs="Times New Roman"/>
        </w:rPr>
        <w:t>scu</w:t>
      </w:r>
      <w:r>
        <w:rPr>
          <w:rFonts w:eastAsia="Times New Roman" w:cs="Times New Roman"/>
          <w:spacing w:val="-2"/>
        </w:rPr>
        <w:t>s</w:t>
      </w:r>
      <w:r>
        <w:rPr>
          <w:rFonts w:eastAsia="Times New Roman" w:cs="Times New Roman"/>
        </w:rPr>
        <w:t>s</w:t>
      </w:r>
      <w:r>
        <w:rPr>
          <w:rFonts w:eastAsia="Times New Roman" w:cs="Times New Roman"/>
          <w:spacing w:val="1"/>
        </w:rPr>
        <w:t>i</w:t>
      </w:r>
      <w:r>
        <w:rPr>
          <w:rFonts w:eastAsia="Times New Roman" w:cs="Times New Roman"/>
          <w:spacing w:val="-2"/>
        </w:rPr>
        <w:t>o</w:t>
      </w:r>
      <w:r>
        <w:rPr>
          <w:rFonts w:eastAsia="Times New Roman" w:cs="Times New Roman"/>
        </w:rPr>
        <w:t>ns</w:t>
      </w:r>
      <w:r>
        <w:rPr>
          <w:rFonts w:eastAsia="Times New Roman" w:cs="Times New Roman"/>
          <w:spacing w:val="1"/>
        </w:rPr>
        <w:t xml:space="preserve"> </w:t>
      </w:r>
      <w:r>
        <w:rPr>
          <w:rFonts w:eastAsia="Times New Roman" w:cs="Times New Roman"/>
          <w:spacing w:val="-1"/>
        </w:rPr>
        <w:t>wi</w:t>
      </w:r>
      <w:r>
        <w:rPr>
          <w:rFonts w:eastAsia="Times New Roman" w:cs="Times New Roman"/>
          <w:spacing w:val="1"/>
        </w:rPr>
        <w:t>t</w:t>
      </w:r>
      <w:r>
        <w:rPr>
          <w:rFonts w:eastAsia="Times New Roman" w:cs="Times New Roman"/>
        </w:rPr>
        <w:t>h</w:t>
      </w:r>
      <w:r>
        <w:rPr>
          <w:rFonts w:eastAsia="Times New Roman" w:cs="Times New Roman"/>
          <w:spacing w:val="-2"/>
        </w:rPr>
        <w:t xml:space="preserve"> </w:t>
      </w:r>
      <w:r>
        <w:rPr>
          <w:rFonts w:eastAsia="Times New Roman" w:cs="Times New Roman"/>
        </w:rPr>
        <w:t>po</w:t>
      </w:r>
      <w:r>
        <w:rPr>
          <w:rFonts w:eastAsia="Times New Roman" w:cs="Times New Roman"/>
          <w:spacing w:val="1"/>
        </w:rPr>
        <w:t>t</w:t>
      </w:r>
      <w:r>
        <w:rPr>
          <w:rFonts w:eastAsia="Times New Roman" w:cs="Times New Roman"/>
        </w:rPr>
        <w:t>e</w:t>
      </w:r>
      <w:r>
        <w:rPr>
          <w:rFonts w:eastAsia="Times New Roman" w:cs="Times New Roman"/>
          <w:spacing w:val="-2"/>
        </w:rPr>
        <w:t>n</w:t>
      </w:r>
      <w:r>
        <w:rPr>
          <w:rFonts w:eastAsia="Times New Roman" w:cs="Times New Roman"/>
          <w:spacing w:val="1"/>
        </w:rPr>
        <w:t>t</w:t>
      </w:r>
      <w:r>
        <w:rPr>
          <w:rFonts w:eastAsia="Times New Roman" w:cs="Times New Roman"/>
          <w:spacing w:val="-1"/>
        </w:rPr>
        <w:t>i</w:t>
      </w:r>
      <w:r>
        <w:rPr>
          <w:rFonts w:eastAsia="Times New Roman" w:cs="Times New Roman"/>
        </w:rPr>
        <w:t>al</w:t>
      </w:r>
      <w:r>
        <w:rPr>
          <w:rFonts w:eastAsia="Times New Roman" w:cs="Times New Roman"/>
          <w:spacing w:val="1"/>
        </w:rPr>
        <w:t xml:space="preserve"> </w:t>
      </w:r>
      <w:r>
        <w:rPr>
          <w:rFonts w:eastAsia="Times New Roman" w:cs="Times New Roman"/>
          <w:spacing w:val="-1"/>
        </w:rPr>
        <w:t>w</w:t>
      </w:r>
      <w:r>
        <w:rPr>
          <w:rFonts w:eastAsia="Times New Roman" w:cs="Times New Roman"/>
          <w:spacing w:val="-2"/>
        </w:rPr>
        <w:t>e</w:t>
      </w:r>
      <w:r>
        <w:rPr>
          <w:rFonts w:eastAsia="Times New Roman" w:cs="Times New Roman"/>
          <w:spacing w:val="1"/>
        </w:rPr>
        <w:t>l</w:t>
      </w:r>
      <w:r>
        <w:rPr>
          <w:rFonts w:eastAsia="Times New Roman" w:cs="Times New Roman"/>
          <w:spacing w:val="-1"/>
        </w:rPr>
        <w:t>l</w:t>
      </w:r>
      <w:r>
        <w:rPr>
          <w:rFonts w:eastAsia="Times New Roman" w:cs="Times New Roman"/>
        </w:rPr>
        <w:t>ne</w:t>
      </w:r>
      <w:r>
        <w:rPr>
          <w:rFonts w:eastAsia="Times New Roman" w:cs="Times New Roman"/>
          <w:spacing w:val="-2"/>
        </w:rPr>
        <w:t>s</w:t>
      </w:r>
      <w:r>
        <w:rPr>
          <w:rFonts w:eastAsia="Times New Roman" w:cs="Times New Roman"/>
        </w:rPr>
        <w:t>s</w:t>
      </w:r>
      <w:r>
        <w:rPr>
          <w:rFonts w:eastAsia="Times New Roman" w:cs="Times New Roman"/>
          <w:spacing w:val="1"/>
        </w:rPr>
        <w:t xml:space="preserve"> </w:t>
      </w:r>
      <w:r>
        <w:rPr>
          <w:rFonts w:eastAsia="Times New Roman" w:cs="Times New Roman"/>
        </w:rPr>
        <w:t>p</w:t>
      </w:r>
      <w:r>
        <w:rPr>
          <w:rFonts w:eastAsia="Times New Roman" w:cs="Times New Roman"/>
          <w:spacing w:val="1"/>
        </w:rPr>
        <w:t>r</w:t>
      </w:r>
      <w:r>
        <w:rPr>
          <w:rFonts w:eastAsia="Times New Roman" w:cs="Times New Roman"/>
        </w:rPr>
        <w:t>o</w:t>
      </w:r>
      <w:r>
        <w:rPr>
          <w:rFonts w:eastAsia="Times New Roman" w:cs="Times New Roman"/>
          <w:spacing w:val="-2"/>
        </w:rPr>
        <w:t>g</w:t>
      </w:r>
      <w:r>
        <w:rPr>
          <w:rFonts w:eastAsia="Times New Roman" w:cs="Times New Roman"/>
          <w:spacing w:val="1"/>
        </w:rPr>
        <w:t>r</w:t>
      </w:r>
      <w:r>
        <w:rPr>
          <w:rFonts w:eastAsia="Times New Roman" w:cs="Times New Roman"/>
        </w:rPr>
        <w:t>a</w:t>
      </w:r>
      <w:r>
        <w:rPr>
          <w:rFonts w:eastAsia="Times New Roman" w:cs="Times New Roman"/>
          <w:spacing w:val="-4"/>
        </w:rPr>
        <w:t>m</w:t>
      </w:r>
      <w:r>
        <w:rPr>
          <w:rFonts w:eastAsia="Times New Roman" w:cs="Times New Roman"/>
        </w:rPr>
        <w:t>s, CMS was advised by the wellness program experts that survey</w:t>
      </w:r>
      <w:r w:rsidR="00AD74E6">
        <w:rPr>
          <w:rFonts w:eastAsia="Times New Roman" w:cs="Times New Roman"/>
        </w:rPr>
        <w:t>s</w:t>
      </w:r>
      <w:r>
        <w:rPr>
          <w:rFonts w:eastAsia="Times New Roman" w:cs="Times New Roman"/>
        </w:rPr>
        <w:t xml:space="preserve"> </w:t>
      </w:r>
      <w:r w:rsidR="00AD74E6">
        <w:rPr>
          <w:rFonts w:eastAsia="Times New Roman" w:cs="Times New Roman"/>
        </w:rPr>
        <w:t>be</w:t>
      </w:r>
      <w:r w:rsidR="00CE6D3C">
        <w:rPr>
          <w:rFonts w:eastAsia="Times New Roman" w:cs="Times New Roman"/>
        </w:rPr>
        <w:t xml:space="preserve"> </w:t>
      </w:r>
      <w:r w:rsidR="00CE6D3C">
        <w:rPr>
          <w:rFonts w:eastAsia="Times New Roman" w:cs="Times New Roman"/>
        </w:rPr>
        <w:t>self-administered on-site, at the start of the wellness program</w:t>
      </w:r>
      <w:r w:rsidR="00AD74E6">
        <w:rPr>
          <w:rFonts w:eastAsia="Times New Roman" w:cs="Times New Roman"/>
        </w:rPr>
        <w:t>. This</w:t>
      </w:r>
      <w:r>
        <w:rPr>
          <w:rFonts w:eastAsia="Times New Roman" w:cs="Times New Roman"/>
        </w:rPr>
        <w:t xml:space="preserve"> would result in a higher response rate than surveys delivered by mail, which was originally planned. </w:t>
      </w:r>
      <w:r>
        <w:rPr>
          <w:rFonts w:eastAsia="Times New Roman" w:cs="Times New Roman"/>
          <w:spacing w:val="-1"/>
        </w:rPr>
        <w:t>I</w:t>
      </w:r>
      <w:r>
        <w:rPr>
          <w:rFonts w:eastAsia="Times New Roman" w:cs="Times New Roman"/>
        </w:rPr>
        <w:t>t</w:t>
      </w:r>
      <w:r>
        <w:rPr>
          <w:rFonts w:eastAsia="Times New Roman" w:cs="Times New Roman"/>
          <w:spacing w:val="1"/>
        </w:rPr>
        <w:t xml:space="preserve"> </w:t>
      </w:r>
      <w:r>
        <w:rPr>
          <w:rFonts w:eastAsia="Times New Roman" w:cs="Times New Roman"/>
          <w:spacing w:val="-1"/>
        </w:rPr>
        <w:t>w</w:t>
      </w:r>
      <w:r>
        <w:rPr>
          <w:rFonts w:eastAsia="Times New Roman" w:cs="Times New Roman"/>
        </w:rPr>
        <w:t>as</w:t>
      </w:r>
      <w:r>
        <w:rPr>
          <w:rFonts w:eastAsia="Times New Roman" w:cs="Times New Roman"/>
          <w:spacing w:val="1"/>
        </w:rPr>
        <w:t xml:space="preserve"> </w:t>
      </w:r>
      <w:r>
        <w:rPr>
          <w:rFonts w:eastAsia="Times New Roman" w:cs="Times New Roman"/>
          <w:spacing w:val="-2"/>
        </w:rPr>
        <w:t>d</w:t>
      </w:r>
      <w:r>
        <w:rPr>
          <w:rFonts w:eastAsia="Times New Roman" w:cs="Times New Roman"/>
        </w:rPr>
        <w:t>e</w:t>
      </w:r>
      <w:r>
        <w:rPr>
          <w:rFonts w:eastAsia="Times New Roman" w:cs="Times New Roman"/>
          <w:spacing w:val="1"/>
        </w:rPr>
        <w:t>t</w:t>
      </w:r>
      <w:r>
        <w:rPr>
          <w:rFonts w:eastAsia="Times New Roman" w:cs="Times New Roman"/>
          <w:spacing w:val="-2"/>
        </w:rPr>
        <w:t>e</w:t>
      </w:r>
      <w:r>
        <w:rPr>
          <w:rFonts w:eastAsia="Times New Roman" w:cs="Times New Roman"/>
          <w:spacing w:val="1"/>
        </w:rPr>
        <w:t>r</w:t>
      </w:r>
      <w:r>
        <w:rPr>
          <w:rFonts w:eastAsia="Times New Roman" w:cs="Times New Roman"/>
          <w:spacing w:val="-4"/>
        </w:rPr>
        <w:t>m</w:t>
      </w:r>
      <w:r>
        <w:rPr>
          <w:rFonts w:eastAsia="Times New Roman" w:cs="Times New Roman"/>
          <w:spacing w:val="1"/>
        </w:rPr>
        <w:t>i</w:t>
      </w:r>
      <w:r>
        <w:rPr>
          <w:rFonts w:eastAsia="Times New Roman" w:cs="Times New Roman"/>
        </w:rPr>
        <w:t xml:space="preserve">ned </w:t>
      </w:r>
      <w:r>
        <w:rPr>
          <w:rFonts w:eastAsia="Times New Roman" w:cs="Times New Roman"/>
          <w:spacing w:val="-1"/>
        </w:rPr>
        <w:t>t</w:t>
      </w:r>
      <w:r>
        <w:rPr>
          <w:rFonts w:eastAsia="Times New Roman" w:cs="Times New Roman"/>
        </w:rPr>
        <w:t xml:space="preserve">hat </w:t>
      </w:r>
      <w:r>
        <w:rPr>
          <w:rFonts w:eastAsia="Times New Roman" w:cs="Times New Roman"/>
          <w:spacing w:val="1"/>
        </w:rPr>
        <w:t>t</w:t>
      </w:r>
      <w:r>
        <w:rPr>
          <w:rFonts w:eastAsia="Times New Roman" w:cs="Times New Roman"/>
        </w:rPr>
        <w:t>he</w:t>
      </w:r>
      <w:r>
        <w:rPr>
          <w:rFonts w:eastAsia="Times New Roman" w:cs="Times New Roman"/>
          <w:spacing w:val="1"/>
        </w:rPr>
        <w:t xml:space="preserve"> </w:t>
      </w:r>
      <w:r>
        <w:rPr>
          <w:rFonts w:eastAsia="Times New Roman" w:cs="Times New Roman"/>
          <w:spacing w:val="-2"/>
        </w:rPr>
        <w:t>e</w:t>
      </w:r>
      <w:r>
        <w:rPr>
          <w:rFonts w:eastAsia="Times New Roman" w:cs="Times New Roman"/>
        </w:rPr>
        <w:t>a</w:t>
      </w:r>
      <w:r>
        <w:rPr>
          <w:rFonts w:eastAsia="Times New Roman" w:cs="Times New Roman"/>
          <w:spacing w:val="-2"/>
        </w:rPr>
        <w:t>r</w:t>
      </w:r>
      <w:r>
        <w:rPr>
          <w:rFonts w:eastAsia="Times New Roman" w:cs="Times New Roman"/>
          <w:spacing w:val="1"/>
        </w:rPr>
        <w:t>l</w:t>
      </w:r>
      <w:r>
        <w:rPr>
          <w:rFonts w:eastAsia="Times New Roman" w:cs="Times New Roman"/>
          <w:spacing w:val="-1"/>
        </w:rPr>
        <w:t>i</w:t>
      </w:r>
      <w:r>
        <w:rPr>
          <w:rFonts w:eastAsia="Times New Roman" w:cs="Times New Roman"/>
        </w:rPr>
        <w:t>er</w:t>
      </w:r>
      <w:r>
        <w:rPr>
          <w:rFonts w:eastAsia="Times New Roman" w:cs="Times New Roman"/>
          <w:spacing w:val="-1"/>
        </w:rPr>
        <w:t xml:space="preserve"> </w:t>
      </w:r>
      <w:r>
        <w:rPr>
          <w:rFonts w:eastAsia="Times New Roman" w:cs="Times New Roman"/>
          <w:spacing w:val="1"/>
        </w:rPr>
        <w:t>r</w:t>
      </w:r>
      <w:r>
        <w:rPr>
          <w:rFonts w:eastAsia="Times New Roman" w:cs="Times New Roman"/>
        </w:rPr>
        <w:t>es</w:t>
      </w:r>
      <w:r>
        <w:rPr>
          <w:rFonts w:eastAsia="Times New Roman" w:cs="Times New Roman"/>
          <w:spacing w:val="-2"/>
        </w:rPr>
        <w:t>p</w:t>
      </w:r>
      <w:r>
        <w:rPr>
          <w:rFonts w:eastAsia="Times New Roman" w:cs="Times New Roman"/>
        </w:rPr>
        <w:t>onse</w:t>
      </w:r>
      <w:r>
        <w:rPr>
          <w:rFonts w:eastAsia="Times New Roman" w:cs="Times New Roman"/>
          <w:spacing w:val="-2"/>
        </w:rPr>
        <w:t xml:space="preserve"> </w:t>
      </w:r>
      <w:r>
        <w:rPr>
          <w:rFonts w:eastAsia="Times New Roman" w:cs="Times New Roman"/>
          <w:spacing w:val="1"/>
        </w:rPr>
        <w:t>r</w:t>
      </w:r>
      <w:r>
        <w:rPr>
          <w:rFonts w:eastAsia="Times New Roman" w:cs="Times New Roman"/>
          <w:spacing w:val="-2"/>
        </w:rPr>
        <w:t>a</w:t>
      </w:r>
      <w:r>
        <w:rPr>
          <w:rFonts w:eastAsia="Times New Roman" w:cs="Times New Roman"/>
          <w:spacing w:val="1"/>
        </w:rPr>
        <w:t>t</w:t>
      </w:r>
      <w:r>
        <w:rPr>
          <w:rFonts w:eastAsia="Times New Roman" w:cs="Times New Roman"/>
        </w:rPr>
        <w:t>e</w:t>
      </w:r>
      <w:r>
        <w:rPr>
          <w:rFonts w:eastAsia="Times New Roman" w:cs="Times New Roman"/>
          <w:spacing w:val="1"/>
        </w:rPr>
        <w:t xml:space="preserve"> </w:t>
      </w:r>
      <w:r>
        <w:rPr>
          <w:rFonts w:eastAsia="Times New Roman" w:cs="Times New Roman"/>
          <w:spacing w:val="-2"/>
        </w:rPr>
        <w:t>e</w:t>
      </w:r>
      <w:r>
        <w:rPr>
          <w:rFonts w:eastAsia="Times New Roman" w:cs="Times New Roman"/>
        </w:rPr>
        <w:t>s</w:t>
      </w:r>
      <w:r>
        <w:rPr>
          <w:rFonts w:eastAsia="Times New Roman" w:cs="Times New Roman"/>
          <w:spacing w:val="-1"/>
        </w:rPr>
        <w:t>ti</w:t>
      </w:r>
      <w:r>
        <w:rPr>
          <w:rFonts w:eastAsia="Times New Roman" w:cs="Times New Roman"/>
          <w:spacing w:val="-4"/>
        </w:rPr>
        <w:t>m</w:t>
      </w:r>
      <w:r>
        <w:rPr>
          <w:rFonts w:eastAsia="Times New Roman" w:cs="Times New Roman"/>
        </w:rPr>
        <w:t>a</w:t>
      </w:r>
      <w:r>
        <w:rPr>
          <w:rFonts w:eastAsia="Times New Roman" w:cs="Times New Roman"/>
          <w:spacing w:val="1"/>
        </w:rPr>
        <w:t>t</w:t>
      </w:r>
      <w:r>
        <w:rPr>
          <w:rFonts w:eastAsia="Times New Roman" w:cs="Times New Roman"/>
        </w:rPr>
        <w:t>e</w:t>
      </w:r>
      <w:r>
        <w:rPr>
          <w:rFonts w:eastAsia="Times New Roman" w:cs="Times New Roman"/>
          <w:spacing w:val="1"/>
        </w:rPr>
        <w:t xml:space="preserve"> for mailed surveys </w:t>
      </w:r>
      <w:r>
        <w:rPr>
          <w:rFonts w:eastAsia="Times New Roman" w:cs="Times New Roman"/>
          <w:spacing w:val="-1"/>
        </w:rPr>
        <w:t>w</w:t>
      </w:r>
      <w:r>
        <w:rPr>
          <w:rFonts w:eastAsia="Times New Roman" w:cs="Times New Roman"/>
        </w:rPr>
        <w:t>as</w:t>
      </w:r>
      <w:r>
        <w:rPr>
          <w:rFonts w:eastAsia="Times New Roman" w:cs="Times New Roman"/>
          <w:spacing w:val="1"/>
        </w:rPr>
        <w:t xml:space="preserve"> l</w:t>
      </w:r>
      <w:r>
        <w:rPr>
          <w:rFonts w:eastAsia="Times New Roman" w:cs="Times New Roman"/>
        </w:rPr>
        <w:t>o</w:t>
      </w:r>
      <w:r>
        <w:rPr>
          <w:rFonts w:eastAsia="Times New Roman" w:cs="Times New Roman"/>
          <w:spacing w:val="-1"/>
        </w:rPr>
        <w:t>w</w:t>
      </w:r>
      <w:r>
        <w:rPr>
          <w:rFonts w:eastAsia="Times New Roman" w:cs="Times New Roman"/>
          <w:spacing w:val="-2"/>
        </w:rPr>
        <w:t>e</w:t>
      </w:r>
      <w:r>
        <w:rPr>
          <w:rFonts w:eastAsia="Times New Roman" w:cs="Times New Roman"/>
        </w:rPr>
        <w:t>r</w:t>
      </w:r>
      <w:r>
        <w:rPr>
          <w:rFonts w:eastAsia="Times New Roman" w:cs="Times New Roman"/>
          <w:spacing w:val="1"/>
        </w:rPr>
        <w:t xml:space="preserve"> t</w:t>
      </w:r>
      <w:r>
        <w:rPr>
          <w:rFonts w:eastAsia="Times New Roman" w:cs="Times New Roman"/>
          <w:spacing w:val="-2"/>
        </w:rPr>
        <w:t>h</w:t>
      </w:r>
      <w:r>
        <w:rPr>
          <w:rFonts w:eastAsia="Times New Roman" w:cs="Times New Roman"/>
        </w:rPr>
        <w:t xml:space="preserve">an </w:t>
      </w:r>
      <w:r>
        <w:rPr>
          <w:rFonts w:eastAsia="Times New Roman" w:cs="Times New Roman"/>
          <w:spacing w:val="-1"/>
        </w:rPr>
        <w:t>w</w:t>
      </w:r>
      <w:r>
        <w:rPr>
          <w:rFonts w:eastAsia="Times New Roman" w:cs="Times New Roman"/>
        </w:rPr>
        <w:t>h</w:t>
      </w:r>
      <w:r>
        <w:rPr>
          <w:rFonts w:eastAsia="Times New Roman" w:cs="Times New Roman"/>
          <w:spacing w:val="-2"/>
        </w:rPr>
        <w:t>a</w:t>
      </w:r>
      <w:r>
        <w:rPr>
          <w:rFonts w:eastAsia="Times New Roman" w:cs="Times New Roman"/>
        </w:rPr>
        <w:t>t</w:t>
      </w:r>
      <w:r>
        <w:rPr>
          <w:rFonts w:eastAsia="Times New Roman" w:cs="Times New Roman"/>
          <w:spacing w:val="-1"/>
        </w:rPr>
        <w:t xml:space="preserve"> w</w:t>
      </w:r>
      <w:r>
        <w:rPr>
          <w:rFonts w:eastAsia="Times New Roman" w:cs="Times New Roman"/>
          <w:spacing w:val="1"/>
        </w:rPr>
        <w:t>il</w:t>
      </w:r>
      <w:r>
        <w:rPr>
          <w:rFonts w:eastAsia="Times New Roman" w:cs="Times New Roman"/>
        </w:rPr>
        <w:t>l</w:t>
      </w:r>
      <w:r>
        <w:rPr>
          <w:rFonts w:eastAsia="Times New Roman" w:cs="Times New Roman"/>
          <w:spacing w:val="-1"/>
        </w:rPr>
        <w:t xml:space="preserve"> </w:t>
      </w:r>
      <w:r>
        <w:rPr>
          <w:rFonts w:eastAsia="Times New Roman" w:cs="Times New Roman"/>
        </w:rPr>
        <w:t>be</w:t>
      </w:r>
      <w:r>
        <w:rPr>
          <w:rFonts w:eastAsia="Times New Roman" w:cs="Times New Roman"/>
          <w:spacing w:val="1"/>
        </w:rPr>
        <w:t xml:space="preserve"> </w:t>
      </w:r>
      <w:r>
        <w:rPr>
          <w:rFonts w:eastAsia="Times New Roman" w:cs="Times New Roman"/>
          <w:spacing w:val="-2"/>
        </w:rPr>
        <w:t>a</w:t>
      </w:r>
      <w:r>
        <w:rPr>
          <w:rFonts w:eastAsia="Times New Roman" w:cs="Times New Roman"/>
        </w:rPr>
        <w:t>ch</w:t>
      </w:r>
      <w:r>
        <w:rPr>
          <w:rFonts w:eastAsia="Times New Roman" w:cs="Times New Roman"/>
          <w:spacing w:val="-1"/>
        </w:rPr>
        <w:t>i</w:t>
      </w:r>
      <w:r>
        <w:rPr>
          <w:rFonts w:eastAsia="Times New Roman" w:cs="Times New Roman"/>
        </w:rPr>
        <w:t>e</w:t>
      </w:r>
      <w:r>
        <w:rPr>
          <w:rFonts w:eastAsia="Times New Roman" w:cs="Times New Roman"/>
          <w:spacing w:val="-2"/>
        </w:rPr>
        <w:t>v</w:t>
      </w:r>
      <w:r>
        <w:rPr>
          <w:rFonts w:eastAsia="Times New Roman" w:cs="Times New Roman"/>
        </w:rPr>
        <w:t>ed with delivery</w:t>
      </w:r>
      <w:r w:rsidR="00E422AF">
        <w:rPr>
          <w:rFonts w:eastAsia="Times New Roman" w:cs="Times New Roman"/>
        </w:rPr>
        <w:t xml:space="preserve"> during a class session</w:t>
      </w:r>
      <w:r>
        <w:rPr>
          <w:rFonts w:eastAsia="Times New Roman" w:cs="Times New Roman"/>
        </w:rPr>
        <w:t xml:space="preserve">. </w:t>
      </w:r>
      <w:r>
        <w:rPr>
          <w:rFonts w:eastAsia="Times New Roman" w:cs="Times New Roman"/>
          <w:spacing w:val="2"/>
        </w:rPr>
        <w:t>T</w:t>
      </w:r>
      <w:r>
        <w:rPr>
          <w:rFonts w:eastAsia="Times New Roman" w:cs="Times New Roman"/>
        </w:rPr>
        <w:t>hus,</w:t>
      </w:r>
      <w:r>
        <w:rPr>
          <w:rFonts w:eastAsia="Times New Roman" w:cs="Times New Roman"/>
          <w:spacing w:val="-2"/>
        </w:rPr>
        <w:t xml:space="preserve"> </w:t>
      </w:r>
      <w:r>
        <w:rPr>
          <w:rFonts w:eastAsia="Times New Roman" w:cs="Times New Roman"/>
          <w:spacing w:val="1"/>
        </w:rPr>
        <w:t>t</w:t>
      </w:r>
      <w:r>
        <w:rPr>
          <w:rFonts w:eastAsia="Times New Roman" w:cs="Times New Roman"/>
        </w:rPr>
        <w:t>he</w:t>
      </w:r>
      <w:r>
        <w:rPr>
          <w:rFonts w:eastAsia="Times New Roman" w:cs="Times New Roman"/>
          <w:spacing w:val="-2"/>
        </w:rPr>
        <w:t xml:space="preserve"> </w:t>
      </w:r>
      <w:r>
        <w:rPr>
          <w:rFonts w:eastAsia="Times New Roman" w:cs="Times New Roman"/>
          <w:spacing w:val="1"/>
        </w:rPr>
        <w:t>r</w:t>
      </w:r>
      <w:r>
        <w:rPr>
          <w:rFonts w:eastAsia="Times New Roman" w:cs="Times New Roman"/>
        </w:rPr>
        <w:t>es</w:t>
      </w:r>
      <w:r>
        <w:rPr>
          <w:rFonts w:eastAsia="Times New Roman" w:cs="Times New Roman"/>
          <w:spacing w:val="-2"/>
        </w:rPr>
        <w:t>p</w:t>
      </w:r>
      <w:r>
        <w:rPr>
          <w:rFonts w:eastAsia="Times New Roman" w:cs="Times New Roman"/>
        </w:rPr>
        <w:t>onse</w:t>
      </w:r>
      <w:r>
        <w:rPr>
          <w:rFonts w:eastAsia="Times New Roman" w:cs="Times New Roman"/>
          <w:spacing w:val="-2"/>
        </w:rPr>
        <w:t xml:space="preserve"> </w:t>
      </w:r>
      <w:r>
        <w:rPr>
          <w:rFonts w:eastAsia="Times New Roman" w:cs="Times New Roman"/>
          <w:spacing w:val="1"/>
        </w:rPr>
        <w:t>r</w:t>
      </w:r>
      <w:r>
        <w:rPr>
          <w:rFonts w:eastAsia="Times New Roman" w:cs="Times New Roman"/>
          <w:spacing w:val="-2"/>
        </w:rPr>
        <w:t>a</w:t>
      </w:r>
      <w:r>
        <w:rPr>
          <w:rFonts w:eastAsia="Times New Roman" w:cs="Times New Roman"/>
          <w:spacing w:val="1"/>
        </w:rPr>
        <w:t>t</w:t>
      </w:r>
      <w:r>
        <w:rPr>
          <w:rFonts w:eastAsia="Times New Roman" w:cs="Times New Roman"/>
        </w:rPr>
        <w:t>e</w:t>
      </w:r>
      <w:r>
        <w:rPr>
          <w:rFonts w:eastAsia="Times New Roman" w:cs="Times New Roman"/>
          <w:spacing w:val="1"/>
        </w:rPr>
        <w:t xml:space="preserve"> </w:t>
      </w:r>
      <w:r>
        <w:rPr>
          <w:rFonts w:eastAsia="Times New Roman" w:cs="Times New Roman"/>
          <w:spacing w:val="-1"/>
        </w:rPr>
        <w:t>w</w:t>
      </w:r>
      <w:r>
        <w:rPr>
          <w:rFonts w:eastAsia="Times New Roman" w:cs="Times New Roman"/>
          <w:spacing w:val="-2"/>
        </w:rPr>
        <w:t>a</w:t>
      </w:r>
      <w:r>
        <w:rPr>
          <w:rFonts w:eastAsia="Times New Roman" w:cs="Times New Roman"/>
        </w:rPr>
        <w:t xml:space="preserve">s </w:t>
      </w:r>
      <w:r>
        <w:rPr>
          <w:rFonts w:eastAsia="Times New Roman" w:cs="Times New Roman"/>
          <w:spacing w:val="1"/>
        </w:rPr>
        <w:t>i</w:t>
      </w:r>
      <w:r>
        <w:rPr>
          <w:rFonts w:eastAsia="Times New Roman" w:cs="Times New Roman"/>
        </w:rPr>
        <w:t>nc</w:t>
      </w:r>
      <w:r>
        <w:rPr>
          <w:rFonts w:eastAsia="Times New Roman" w:cs="Times New Roman"/>
          <w:spacing w:val="-2"/>
        </w:rPr>
        <w:t>r</w:t>
      </w:r>
      <w:r>
        <w:rPr>
          <w:rFonts w:eastAsia="Times New Roman" w:cs="Times New Roman"/>
        </w:rPr>
        <w:t>ea</w:t>
      </w:r>
      <w:r>
        <w:rPr>
          <w:rFonts w:eastAsia="Times New Roman" w:cs="Times New Roman"/>
          <w:spacing w:val="-2"/>
        </w:rPr>
        <w:t>s</w:t>
      </w:r>
      <w:r>
        <w:rPr>
          <w:rFonts w:eastAsia="Times New Roman" w:cs="Times New Roman"/>
        </w:rPr>
        <w:t xml:space="preserve">ed, </w:t>
      </w:r>
      <w:r>
        <w:rPr>
          <w:rFonts w:eastAsia="Times New Roman" w:cs="Times New Roman"/>
          <w:spacing w:val="-2"/>
        </w:rPr>
        <w:t>a</w:t>
      </w:r>
      <w:r>
        <w:rPr>
          <w:rFonts w:eastAsia="Times New Roman" w:cs="Times New Roman"/>
        </w:rPr>
        <w:t xml:space="preserve">nd </w:t>
      </w:r>
      <w:r>
        <w:rPr>
          <w:rFonts w:eastAsia="Times New Roman" w:cs="Times New Roman"/>
          <w:spacing w:val="1"/>
        </w:rPr>
        <w:t>t</w:t>
      </w:r>
      <w:r>
        <w:rPr>
          <w:rFonts w:eastAsia="Times New Roman" w:cs="Times New Roman"/>
          <w:spacing w:val="-2"/>
        </w:rPr>
        <w:t>h</w:t>
      </w:r>
      <w:r>
        <w:rPr>
          <w:rFonts w:eastAsia="Times New Roman" w:cs="Times New Roman"/>
        </w:rPr>
        <w:t>e</w:t>
      </w:r>
      <w:r>
        <w:rPr>
          <w:rFonts w:eastAsia="Times New Roman" w:cs="Times New Roman"/>
          <w:spacing w:val="-1"/>
        </w:rPr>
        <w:t>r</w:t>
      </w:r>
      <w:r>
        <w:rPr>
          <w:rFonts w:eastAsia="Times New Roman" w:cs="Times New Roman"/>
        </w:rPr>
        <w:t>e</w:t>
      </w:r>
      <w:r>
        <w:rPr>
          <w:rFonts w:eastAsia="Times New Roman" w:cs="Times New Roman"/>
          <w:spacing w:val="1"/>
        </w:rPr>
        <w:t>f</w:t>
      </w:r>
      <w:r>
        <w:rPr>
          <w:rFonts w:eastAsia="Times New Roman" w:cs="Times New Roman"/>
          <w:spacing w:val="-2"/>
        </w:rPr>
        <w:t>o</w:t>
      </w:r>
      <w:r>
        <w:rPr>
          <w:rFonts w:eastAsia="Times New Roman" w:cs="Times New Roman"/>
          <w:spacing w:val="1"/>
        </w:rPr>
        <w:t>r</w:t>
      </w:r>
      <w:r>
        <w:rPr>
          <w:rFonts w:eastAsia="Times New Roman" w:cs="Times New Roman"/>
        </w:rPr>
        <w:t>e</w:t>
      </w:r>
      <w:r>
        <w:rPr>
          <w:rFonts w:eastAsia="Times New Roman" w:cs="Times New Roman"/>
          <w:spacing w:val="-2"/>
        </w:rPr>
        <w:t xml:space="preserve"> </w:t>
      </w:r>
      <w:r>
        <w:rPr>
          <w:rFonts w:eastAsia="Times New Roman" w:cs="Times New Roman"/>
          <w:spacing w:val="1"/>
        </w:rPr>
        <w:t>t</w:t>
      </w:r>
      <w:r>
        <w:rPr>
          <w:rFonts w:eastAsia="Times New Roman" w:cs="Times New Roman"/>
        </w:rPr>
        <w:t>he</w:t>
      </w:r>
      <w:r>
        <w:rPr>
          <w:rFonts w:eastAsia="Times New Roman" w:cs="Times New Roman"/>
          <w:spacing w:val="-2"/>
        </w:rPr>
        <w:t xml:space="preserve"> </w:t>
      </w:r>
      <w:r>
        <w:rPr>
          <w:rFonts w:eastAsia="Times New Roman" w:cs="Times New Roman"/>
          <w:spacing w:val="1"/>
        </w:rPr>
        <w:t>t</w:t>
      </w:r>
      <w:r>
        <w:rPr>
          <w:rFonts w:eastAsia="Times New Roman" w:cs="Times New Roman"/>
        </w:rPr>
        <w:t>o</w:t>
      </w:r>
      <w:r>
        <w:rPr>
          <w:rFonts w:eastAsia="Times New Roman" w:cs="Times New Roman"/>
          <w:spacing w:val="-1"/>
        </w:rPr>
        <w:t>t</w:t>
      </w:r>
      <w:r>
        <w:rPr>
          <w:rFonts w:eastAsia="Times New Roman" w:cs="Times New Roman"/>
        </w:rPr>
        <w:t>al</w:t>
      </w:r>
      <w:r>
        <w:rPr>
          <w:rFonts w:eastAsia="Times New Roman" w:cs="Times New Roman"/>
          <w:spacing w:val="1"/>
        </w:rPr>
        <w:t xml:space="preserve"> </w:t>
      </w:r>
      <w:r>
        <w:rPr>
          <w:rFonts w:eastAsia="Times New Roman" w:cs="Times New Roman"/>
          <w:spacing w:val="-2"/>
        </w:rPr>
        <w:t>n</w:t>
      </w:r>
      <w:r>
        <w:rPr>
          <w:rFonts w:eastAsia="Times New Roman" w:cs="Times New Roman"/>
        </w:rPr>
        <w:t>u</w:t>
      </w:r>
      <w:r>
        <w:rPr>
          <w:rFonts w:eastAsia="Times New Roman" w:cs="Times New Roman"/>
          <w:spacing w:val="-4"/>
        </w:rPr>
        <w:t>m</w:t>
      </w:r>
      <w:r>
        <w:rPr>
          <w:rFonts w:eastAsia="Times New Roman" w:cs="Times New Roman"/>
        </w:rPr>
        <w:t>ber</w:t>
      </w:r>
      <w:r>
        <w:rPr>
          <w:rFonts w:eastAsia="Times New Roman" w:cs="Times New Roman"/>
          <w:spacing w:val="1"/>
        </w:rPr>
        <w:t xml:space="preserve"> </w:t>
      </w:r>
      <w:r>
        <w:rPr>
          <w:rFonts w:eastAsia="Times New Roman" w:cs="Times New Roman"/>
        </w:rPr>
        <w:t>of</w:t>
      </w:r>
      <w:r>
        <w:rPr>
          <w:rFonts w:eastAsia="Times New Roman" w:cs="Times New Roman"/>
          <w:spacing w:val="1"/>
        </w:rPr>
        <w:t xml:space="preserve"> </w:t>
      </w:r>
      <w:r>
        <w:rPr>
          <w:rFonts w:eastAsia="Times New Roman" w:cs="Times New Roman"/>
        </w:rPr>
        <w:t>co</w:t>
      </w:r>
      <w:r>
        <w:rPr>
          <w:rFonts w:eastAsia="Times New Roman" w:cs="Times New Roman"/>
          <w:spacing w:val="-4"/>
        </w:rPr>
        <w:t>m</w:t>
      </w:r>
      <w:r>
        <w:rPr>
          <w:rFonts w:eastAsia="Times New Roman" w:cs="Times New Roman"/>
        </w:rPr>
        <w:t>p</w:t>
      </w:r>
      <w:r>
        <w:rPr>
          <w:rFonts w:eastAsia="Times New Roman" w:cs="Times New Roman"/>
          <w:spacing w:val="1"/>
        </w:rPr>
        <w:t>l</w:t>
      </w:r>
      <w:r>
        <w:rPr>
          <w:rFonts w:eastAsia="Times New Roman" w:cs="Times New Roman"/>
          <w:spacing w:val="-2"/>
        </w:rPr>
        <w:t>e</w:t>
      </w:r>
      <w:r>
        <w:rPr>
          <w:rFonts w:eastAsia="Times New Roman" w:cs="Times New Roman"/>
          <w:spacing w:val="1"/>
        </w:rPr>
        <w:t>t</w:t>
      </w:r>
      <w:r>
        <w:rPr>
          <w:rFonts w:eastAsia="Times New Roman" w:cs="Times New Roman"/>
        </w:rPr>
        <w:t>ed</w:t>
      </w:r>
      <w:r>
        <w:rPr>
          <w:rFonts w:eastAsia="Times New Roman" w:cs="Times New Roman"/>
          <w:spacing w:val="-2"/>
        </w:rPr>
        <w:t xml:space="preserve"> </w:t>
      </w:r>
      <w:r>
        <w:rPr>
          <w:rFonts w:eastAsia="Times New Roman" w:cs="Times New Roman"/>
        </w:rPr>
        <w:t>bas</w:t>
      </w:r>
      <w:r>
        <w:rPr>
          <w:rFonts w:eastAsia="Times New Roman" w:cs="Times New Roman"/>
          <w:spacing w:val="-2"/>
        </w:rPr>
        <w:t>e</w:t>
      </w:r>
      <w:r>
        <w:rPr>
          <w:rFonts w:eastAsia="Times New Roman" w:cs="Times New Roman"/>
          <w:spacing w:val="1"/>
        </w:rPr>
        <w:t>li</w:t>
      </w:r>
      <w:r>
        <w:rPr>
          <w:rFonts w:eastAsia="Times New Roman" w:cs="Times New Roman"/>
          <w:spacing w:val="-2"/>
        </w:rPr>
        <w:t>n</w:t>
      </w:r>
      <w:r>
        <w:rPr>
          <w:rFonts w:eastAsia="Times New Roman" w:cs="Times New Roman"/>
        </w:rPr>
        <w:t>e</w:t>
      </w:r>
      <w:r>
        <w:rPr>
          <w:rFonts w:eastAsia="Times New Roman" w:cs="Times New Roman"/>
          <w:spacing w:val="1"/>
        </w:rPr>
        <w:t xml:space="preserve"> </w:t>
      </w:r>
      <w:r>
        <w:rPr>
          <w:rFonts w:eastAsia="Times New Roman" w:cs="Times New Roman"/>
        </w:rPr>
        <w:t>s</w:t>
      </w:r>
      <w:r>
        <w:rPr>
          <w:rFonts w:eastAsia="Times New Roman" w:cs="Times New Roman"/>
          <w:spacing w:val="-2"/>
        </w:rPr>
        <w:t>u</w:t>
      </w:r>
      <w:r>
        <w:rPr>
          <w:rFonts w:eastAsia="Times New Roman" w:cs="Times New Roman"/>
          <w:spacing w:val="1"/>
        </w:rPr>
        <w:t>r</w:t>
      </w:r>
      <w:r>
        <w:rPr>
          <w:rFonts w:eastAsia="Times New Roman" w:cs="Times New Roman"/>
          <w:spacing w:val="-2"/>
        </w:rPr>
        <w:t>v</w:t>
      </w:r>
      <w:r>
        <w:rPr>
          <w:rFonts w:eastAsia="Times New Roman" w:cs="Times New Roman"/>
        </w:rPr>
        <w:t>e</w:t>
      </w:r>
      <w:r>
        <w:rPr>
          <w:rFonts w:eastAsia="Times New Roman" w:cs="Times New Roman"/>
          <w:spacing w:val="-2"/>
        </w:rPr>
        <w:t>y</w:t>
      </w:r>
      <w:r>
        <w:rPr>
          <w:rFonts w:eastAsia="Times New Roman" w:cs="Times New Roman"/>
        </w:rPr>
        <w:t>s</w:t>
      </w:r>
      <w:r>
        <w:rPr>
          <w:rFonts w:eastAsia="Times New Roman" w:cs="Times New Roman"/>
          <w:spacing w:val="1"/>
        </w:rPr>
        <w:t xml:space="preserve"> </w:t>
      </w:r>
      <w:r>
        <w:rPr>
          <w:rFonts w:eastAsia="Times New Roman" w:cs="Times New Roman"/>
          <w:spacing w:val="-1"/>
        </w:rPr>
        <w:t>w</w:t>
      </w:r>
      <w:r>
        <w:rPr>
          <w:rFonts w:eastAsia="Times New Roman" w:cs="Times New Roman"/>
        </w:rPr>
        <w:t>as</w:t>
      </w:r>
      <w:r>
        <w:rPr>
          <w:rFonts w:eastAsia="Times New Roman" w:cs="Times New Roman"/>
          <w:spacing w:val="1"/>
        </w:rPr>
        <w:t xml:space="preserve"> </w:t>
      </w:r>
      <w:r>
        <w:rPr>
          <w:rFonts w:eastAsia="Times New Roman" w:cs="Times New Roman"/>
        </w:rPr>
        <w:t>a</w:t>
      </w:r>
      <w:r>
        <w:rPr>
          <w:rFonts w:eastAsia="Times New Roman" w:cs="Times New Roman"/>
          <w:spacing w:val="1"/>
        </w:rPr>
        <w:t>l</w:t>
      </w:r>
      <w:r>
        <w:rPr>
          <w:rFonts w:eastAsia="Times New Roman" w:cs="Times New Roman"/>
          <w:spacing w:val="-2"/>
        </w:rPr>
        <w:t>s</w:t>
      </w:r>
      <w:r>
        <w:rPr>
          <w:rFonts w:eastAsia="Times New Roman" w:cs="Times New Roman"/>
        </w:rPr>
        <w:t xml:space="preserve">o </w:t>
      </w:r>
      <w:r>
        <w:rPr>
          <w:rFonts w:eastAsia="Times New Roman" w:cs="Times New Roman"/>
          <w:spacing w:val="-1"/>
        </w:rPr>
        <w:t>i</w:t>
      </w:r>
      <w:r>
        <w:rPr>
          <w:rFonts w:eastAsia="Times New Roman" w:cs="Times New Roman"/>
        </w:rPr>
        <w:t>nc</w:t>
      </w:r>
      <w:r>
        <w:rPr>
          <w:rFonts w:eastAsia="Times New Roman" w:cs="Times New Roman"/>
          <w:spacing w:val="1"/>
        </w:rPr>
        <w:t>r</w:t>
      </w:r>
      <w:r>
        <w:rPr>
          <w:rFonts w:eastAsia="Times New Roman" w:cs="Times New Roman"/>
          <w:spacing w:val="-2"/>
        </w:rPr>
        <w:t>e</w:t>
      </w:r>
      <w:r>
        <w:rPr>
          <w:rFonts w:eastAsia="Times New Roman" w:cs="Times New Roman"/>
        </w:rPr>
        <w:t>ased.</w:t>
      </w:r>
      <w:r>
        <w:rPr>
          <w:rFonts w:eastAsia="Times New Roman" w:cs="Times New Roman"/>
          <w:spacing w:val="51"/>
        </w:rPr>
        <w:t xml:space="preserve"> </w:t>
      </w:r>
      <w:r>
        <w:rPr>
          <w:rFonts w:eastAsia="Times New Roman" w:cs="Times New Roman"/>
          <w:spacing w:val="53"/>
        </w:rPr>
        <w:t xml:space="preserve"> </w:t>
      </w:r>
    </w:p>
    <w:p w:rsidR="00C31C79" w:rsidRDefault="00C31C79" w:rsidP="00135D57">
      <w:pPr>
        <w:keepNext/>
        <w:keepLines/>
        <w:spacing w:after="0" w:line="240" w:lineRule="auto"/>
        <w:rPr>
          <w:rFonts w:eastAsiaTheme="majorEastAsia" w:cs="Times New Roman"/>
          <w:b/>
          <w:bCs/>
          <w:iCs/>
        </w:rPr>
      </w:pPr>
    </w:p>
    <w:p w:rsidR="003B1797" w:rsidRPr="00A07D7A" w:rsidRDefault="00570081" w:rsidP="00135D57">
      <w:pPr>
        <w:keepNext/>
        <w:keepLines/>
        <w:spacing w:after="0" w:line="240" w:lineRule="auto"/>
        <w:rPr>
          <w:rFonts w:eastAsiaTheme="majorEastAsia" w:cs="Times New Roman"/>
          <w:b/>
          <w:bCs/>
          <w:iCs/>
        </w:rPr>
      </w:pPr>
      <w:r>
        <w:rPr>
          <w:rFonts w:eastAsiaTheme="majorEastAsia" w:cs="Times New Roman"/>
          <w:b/>
          <w:bCs/>
          <w:iCs/>
        </w:rPr>
        <w:t xml:space="preserve">Mailed Surveys - </w:t>
      </w:r>
      <w:bookmarkStart w:id="7" w:name="_GoBack"/>
      <w:bookmarkEnd w:id="7"/>
      <w:r w:rsidR="00F06D2C" w:rsidRPr="00A07D7A">
        <w:rPr>
          <w:rFonts w:eastAsiaTheme="majorEastAsia" w:cs="Times New Roman"/>
          <w:b/>
          <w:bCs/>
          <w:iCs/>
        </w:rPr>
        <w:t xml:space="preserve">Reminders </w:t>
      </w:r>
      <w:r w:rsidR="003B1797" w:rsidRPr="00A07D7A">
        <w:rPr>
          <w:rFonts w:eastAsiaTheme="majorEastAsia" w:cs="Times New Roman"/>
          <w:b/>
          <w:bCs/>
          <w:iCs/>
        </w:rPr>
        <w:t>and</w:t>
      </w:r>
      <w:r w:rsidR="00F06D2C" w:rsidRPr="00A07D7A">
        <w:rPr>
          <w:rFonts w:eastAsiaTheme="majorEastAsia" w:cs="Times New Roman"/>
          <w:b/>
          <w:bCs/>
          <w:iCs/>
        </w:rPr>
        <w:t xml:space="preserve"> follow up calls</w:t>
      </w:r>
    </w:p>
    <w:p w:rsidR="00694A6D" w:rsidRPr="00A07D7A" w:rsidRDefault="00694A6D" w:rsidP="00135D57">
      <w:pPr>
        <w:keepNext/>
        <w:keepLines/>
      </w:pPr>
      <w:r w:rsidRPr="003B1797">
        <w:t>Several methods will be used to maximize response rate</w:t>
      </w:r>
      <w:r w:rsidR="00C31C79">
        <w:t xml:space="preserve"> for mailed surveys</w:t>
      </w:r>
      <w:r w:rsidRPr="003B1797">
        <w:t xml:space="preserve">. One week following the mailing of the survey and cover letter, </w:t>
      </w:r>
      <w:r w:rsidR="00FD0318" w:rsidRPr="003B1797">
        <w:t>we</w:t>
      </w:r>
      <w:r w:rsidRPr="003B1797">
        <w:t xml:space="preserve"> will either send a thank you/reminder postcard or place an automated thank you reminder telephone call to every sampled </w:t>
      </w:r>
      <w:r w:rsidR="00464D90">
        <w:t>b</w:t>
      </w:r>
      <w:r w:rsidR="00135D57">
        <w:t>eneficiary</w:t>
      </w:r>
      <w:r w:rsidRPr="003B1797">
        <w:t>.</w:t>
      </w:r>
      <w:r w:rsidR="002A674A">
        <w:t xml:space="preserve"> </w:t>
      </w:r>
      <w:r w:rsidRPr="003B1797">
        <w:t>Three weeks after the initial mailing, Westat will send a second copy of the survey and a different cover letter to those sample members who have not yet returned a survey.</w:t>
      </w:r>
      <w:r w:rsidR="002A674A">
        <w:t xml:space="preserve"> </w:t>
      </w:r>
      <w:r w:rsidRPr="003B1797">
        <w:t xml:space="preserve">After another two weeks, Westat will attempt to survey non-responders by </w:t>
      </w:r>
      <w:r w:rsidR="00FD0318" w:rsidRPr="003B1797">
        <w:t>telephone</w:t>
      </w:r>
      <w:r w:rsidRPr="003B1797">
        <w:t xml:space="preserve"> if a number is available.</w:t>
      </w:r>
      <w:r w:rsidR="00FD0318" w:rsidRPr="003B1797">
        <w:t xml:space="preserve"> </w:t>
      </w:r>
    </w:p>
    <w:p w:rsidR="00A07D7A" w:rsidRPr="00A07D7A" w:rsidRDefault="00A07D7A" w:rsidP="00A07D7A">
      <w:pPr>
        <w:pStyle w:val="NoSpacing"/>
        <w:rPr>
          <w:b/>
        </w:rPr>
      </w:pPr>
      <w:r w:rsidRPr="00A07D7A">
        <w:rPr>
          <w:b/>
        </w:rPr>
        <w:t>Other processes</w:t>
      </w:r>
    </w:p>
    <w:p w:rsidR="00694A6D" w:rsidRDefault="00694A6D" w:rsidP="005579E1">
      <w:r w:rsidRPr="003B1797">
        <w:t>In addition, Westat employs systematic processes for conducting mail and telephone surveys that will maximize response rate and these processes are described below:</w:t>
      </w:r>
    </w:p>
    <w:p w:rsidR="00694A6D" w:rsidRDefault="00694A6D" w:rsidP="00B92C18">
      <w:pPr>
        <w:pStyle w:val="ListParagraph"/>
        <w:numPr>
          <w:ilvl w:val="0"/>
          <w:numId w:val="8"/>
        </w:numPr>
      </w:pPr>
      <w:r w:rsidRPr="00A07D7A">
        <w:rPr>
          <w:i/>
        </w:rPr>
        <w:t>Mail Survey</w:t>
      </w:r>
      <w:r w:rsidR="003B1797" w:rsidRPr="00A07D7A">
        <w:rPr>
          <w:i/>
        </w:rPr>
        <w:t>s</w:t>
      </w:r>
      <w:r w:rsidRPr="00A07D7A">
        <w:rPr>
          <w:i/>
        </w:rPr>
        <w:t>:</w:t>
      </w:r>
      <w:r w:rsidRPr="00A07D7A">
        <w:rPr>
          <w:b/>
        </w:rPr>
        <w:t xml:space="preserve"> </w:t>
      </w:r>
      <w:r w:rsidRPr="003B1797">
        <w:t>Westat will print and assemble materials for the initial mailing including the introductory letter, the questionnaire, and a postage-paid return envelope.</w:t>
      </w:r>
      <w:r w:rsidR="002A674A">
        <w:t xml:space="preserve"> </w:t>
      </w:r>
      <w:r w:rsidRPr="003B1797">
        <w:t>Westat employs well-established practices that include well-organized assembly operations as well as automated processes and checks to ensure that the cover letter and mailing labels match, that the expected number of packets is assembled for mailing, and that all materials expected in the package are included.</w:t>
      </w:r>
      <w:r w:rsidR="002A674A">
        <w:t xml:space="preserve"> </w:t>
      </w:r>
      <w:r w:rsidRPr="003B1797">
        <w:t>Correspondence and surveys will be generated in the same production runs and stuffed into window envelopes so that all materials go into the appropriate envelope.</w:t>
      </w:r>
      <w:r w:rsidR="002A674A">
        <w:t xml:space="preserve"> </w:t>
      </w:r>
      <w:r w:rsidRPr="003B1797">
        <w:t>Westat will verify a sample of packages to ensure that materials are appropriately assembled.</w:t>
      </w:r>
      <w:r w:rsidR="002A674A">
        <w:t xml:space="preserve"> </w:t>
      </w:r>
      <w:r w:rsidRPr="003B1797">
        <w:t xml:space="preserve">Our tracking system will monitor the status of each mail-out, postal non-returns, and telephone call status. </w:t>
      </w:r>
    </w:p>
    <w:p w:rsidR="00694A6D" w:rsidRDefault="00694A6D" w:rsidP="00A07D7A">
      <w:pPr>
        <w:ind w:left="720"/>
      </w:pPr>
      <w:r w:rsidRPr="003B1797">
        <w:t xml:space="preserve">For </w:t>
      </w:r>
      <w:r w:rsidR="00464D90">
        <w:t>b</w:t>
      </w:r>
      <w:r w:rsidR="00135D57">
        <w:t>eneficiaries</w:t>
      </w:r>
      <w:r w:rsidRPr="003B1797">
        <w:t xml:space="preserve"> for whom the project team has a telephone number, Westat will use a telephone prompt using Interactive Voice Response (IVR) Notification.</w:t>
      </w:r>
      <w:r w:rsidR="002A674A">
        <w:t xml:space="preserve"> </w:t>
      </w:r>
      <w:r w:rsidRPr="003B1797">
        <w:t>Message content may vary based on how the call is answered (e.g., one message and set of options for a live answer and a different or no message for answering machines).</w:t>
      </w:r>
      <w:r w:rsidR="002A674A">
        <w:t xml:space="preserve"> </w:t>
      </w:r>
      <w:r w:rsidRPr="003B1797">
        <w:t>Westat will develop and record scripts for both answering machine and live contacts, and our group will program the IVR system to deliver these appropriately.</w:t>
      </w:r>
      <w:r w:rsidR="002A674A">
        <w:t xml:space="preserve"> </w:t>
      </w:r>
      <w:r w:rsidR="00135D57">
        <w:t>Beneficiaries</w:t>
      </w:r>
      <w:r w:rsidRPr="003B1797">
        <w:t xml:space="preserve"> without telephone numbers will be sent a thank you/reminder post card.</w:t>
      </w:r>
    </w:p>
    <w:p w:rsidR="003B1797" w:rsidRPr="00A07D7A" w:rsidRDefault="00694A6D" w:rsidP="00B92C18">
      <w:pPr>
        <w:pStyle w:val="ListParagraph"/>
        <w:numPr>
          <w:ilvl w:val="0"/>
          <w:numId w:val="8"/>
        </w:numPr>
      </w:pPr>
      <w:r w:rsidRPr="00A07D7A">
        <w:rPr>
          <w:i/>
        </w:rPr>
        <w:t>Telephone Survey</w:t>
      </w:r>
      <w:r w:rsidR="003B1797" w:rsidRPr="00A07D7A">
        <w:rPr>
          <w:i/>
        </w:rPr>
        <w:t>s</w:t>
      </w:r>
      <w:r w:rsidRPr="00A07D7A">
        <w:rPr>
          <w:i/>
        </w:rPr>
        <w:t>:</w:t>
      </w:r>
      <w:r w:rsidRPr="00A07D7A">
        <w:rPr>
          <w:b/>
        </w:rPr>
        <w:t xml:space="preserve"> </w:t>
      </w:r>
      <w:r w:rsidRPr="003B1797">
        <w:t>Westat anticipates completing about 140 telephone interviews in each of the 12 waves.</w:t>
      </w:r>
      <w:r w:rsidR="002A674A">
        <w:t xml:space="preserve"> </w:t>
      </w:r>
      <w:r w:rsidRPr="003B1797">
        <w:t>The basel</w:t>
      </w:r>
      <w:r w:rsidR="00FD0318" w:rsidRPr="003B1797">
        <w:t>ine survey will average about 30</w:t>
      </w:r>
      <w:r w:rsidRPr="003B1797">
        <w:t xml:space="preserve"> minutes, and Westat will make a minimum of six call attempts per sample member.</w:t>
      </w:r>
      <w:r w:rsidR="002A674A">
        <w:t xml:space="preserve"> </w:t>
      </w:r>
    </w:p>
    <w:p w:rsidR="003B1797" w:rsidRDefault="00955B57" w:rsidP="00ED7B1E">
      <w:pPr>
        <w:spacing w:after="0" w:line="240" w:lineRule="auto"/>
        <w:rPr>
          <w:rFonts w:eastAsiaTheme="majorEastAsia" w:cs="Times New Roman"/>
          <w:b/>
          <w:bCs/>
          <w:i/>
          <w:iCs/>
        </w:rPr>
      </w:pPr>
      <w:r>
        <w:rPr>
          <w:rFonts w:eastAsiaTheme="majorEastAsia" w:cs="Times New Roman"/>
          <w:b/>
          <w:bCs/>
          <w:i/>
          <w:iCs/>
        </w:rPr>
        <w:t>Non-Response A</w:t>
      </w:r>
      <w:r w:rsidR="00F06D2C" w:rsidRPr="003B1797">
        <w:rPr>
          <w:rFonts w:eastAsiaTheme="majorEastAsia" w:cs="Times New Roman"/>
          <w:b/>
          <w:bCs/>
          <w:i/>
          <w:iCs/>
        </w:rPr>
        <w:t>nalysis</w:t>
      </w:r>
    </w:p>
    <w:p w:rsidR="00756D6F" w:rsidRPr="005579E1" w:rsidRDefault="00FD0318" w:rsidP="005579E1">
      <w:r w:rsidRPr="00ED7B1E">
        <w:t xml:space="preserve">For the national survey, we will have information on both responders and non-responders from </w:t>
      </w:r>
      <w:r w:rsidR="00135D57">
        <w:t>Medicare</w:t>
      </w:r>
      <w:r w:rsidRPr="00ED7B1E">
        <w:t xml:space="preserve"> enrollment and claims files. We will prepare sample weights initially </w:t>
      </w:r>
      <w:r w:rsidR="00717430" w:rsidRPr="00ED7B1E">
        <w:t>calculat</w:t>
      </w:r>
      <w:r w:rsidRPr="00ED7B1E">
        <w:t xml:space="preserve">ed </w:t>
      </w:r>
      <w:r w:rsidR="00717430" w:rsidRPr="00ED7B1E">
        <w:t>as</w:t>
      </w:r>
      <w:r w:rsidRPr="00ED7B1E">
        <w:t xml:space="preserve"> the </w:t>
      </w:r>
      <w:r w:rsidR="00717430" w:rsidRPr="00ED7B1E">
        <w:t xml:space="preserve">inverse of the </w:t>
      </w:r>
      <w:r w:rsidRPr="00ED7B1E">
        <w:t xml:space="preserve">probability of selection and </w:t>
      </w:r>
      <w:r w:rsidR="00717430" w:rsidRPr="00ED7B1E">
        <w:t xml:space="preserve">then </w:t>
      </w:r>
      <w:r w:rsidRPr="00ED7B1E">
        <w:t xml:space="preserve">adjusted for nonresponse using available data items such as age, gender, and level of service utilization that are correlated with readiness measures. </w:t>
      </w:r>
      <w:r w:rsidR="00717430" w:rsidRPr="00ED7B1E">
        <w:t>We will identify non-response adjustment cells using CHAID (a categorical search algorithm), establishing groupings (adjustment cells) showing distinct response propensities.</w:t>
      </w:r>
      <w:r w:rsidR="002A674A">
        <w:t xml:space="preserve"> </w:t>
      </w:r>
      <w:r w:rsidR="00717430" w:rsidRPr="00ED7B1E">
        <w:t>Each grouping is a marginal or a cross-classification of variables where data are available for both respondents and non-respondents.</w:t>
      </w:r>
      <w:r w:rsidR="002A674A">
        <w:t xml:space="preserve"> </w:t>
      </w:r>
      <w:r w:rsidRPr="00ED7B1E">
        <w:t xml:space="preserve">We will calculate </w:t>
      </w:r>
      <w:r w:rsidR="00886F5E" w:rsidRPr="00ED7B1E">
        <w:t>standard errors for e</w:t>
      </w:r>
      <w:r w:rsidRPr="00ED7B1E">
        <w:t>stimates o</w:t>
      </w:r>
      <w:r w:rsidR="00886F5E" w:rsidRPr="00ED7B1E">
        <w:t>f readiness that include consideration of the design effect introduced by the variation in sample weights introduced either through the sample selection process or from nonresponse adjustments.</w:t>
      </w:r>
    </w:p>
    <w:p w:rsidR="00886F5E" w:rsidRDefault="00886F5E" w:rsidP="005579E1">
      <w:r w:rsidRPr="00ED7B1E">
        <w:lastRenderedPageBreak/>
        <w:t>For the participant survey, we anticipate having some data on participants available from program partners, either at the individual or aggregate level. If the data are at the individual level, we will conduct nonresponse analysis and incorporate the results into the sample weighting as described for the national sample. If data are available only at the aggregate level, we will use the program figures as control totals for a post-stratification adjustment of the sample weights. Each program partner may also have multiple sites in the evaluation; each site will be treated as a sampling stratum for weighting purposes, with nonresponse adjustments and/or post-stratification performed at the stratum level.</w:t>
      </w:r>
    </w:p>
    <w:p w:rsidR="00891442" w:rsidRPr="00A07D7A" w:rsidRDefault="00CA0EDA" w:rsidP="00A07D7A">
      <w:pPr>
        <w:pStyle w:val="Heading4"/>
      </w:pPr>
      <w:r w:rsidRPr="00A07D7A">
        <w:t>In-depth Interview with Wellne</w:t>
      </w:r>
      <w:r w:rsidR="00FA2B4B">
        <w:t>ss Program S</w:t>
      </w:r>
      <w:r w:rsidRPr="00A07D7A">
        <w:t xml:space="preserve">taff </w:t>
      </w:r>
    </w:p>
    <w:p w:rsidR="00891442" w:rsidRPr="00A07D7A" w:rsidRDefault="00891442" w:rsidP="00A07D7A">
      <w:r>
        <w:t>The subcontracts that the evaluation contractor negotiate</w:t>
      </w:r>
      <w:r w:rsidR="00D57D7E">
        <w:t xml:space="preserve">s </w:t>
      </w:r>
      <w:r>
        <w:t>with e</w:t>
      </w:r>
      <w:r w:rsidRPr="000F684D">
        <w:t>ach wellness program</w:t>
      </w:r>
      <w:r>
        <w:t xml:space="preserve"> will incorporate provisions for </w:t>
      </w:r>
      <w:r w:rsidR="00D57D7E">
        <w:t xml:space="preserve">each program to </w:t>
      </w:r>
      <w:r>
        <w:t>cooperat</w:t>
      </w:r>
      <w:r w:rsidR="00D57D7E">
        <w:t xml:space="preserve">e and </w:t>
      </w:r>
      <w:r>
        <w:t>participate in</w:t>
      </w:r>
      <w:r w:rsidR="00D57D7E">
        <w:t xml:space="preserve"> the in-depth interviews, provide readily available secondary materials on policies and procedures and </w:t>
      </w:r>
      <w:r w:rsidR="00D57D7E" w:rsidRPr="000F684D">
        <w:t>aggregated</w:t>
      </w:r>
      <w:r w:rsidR="00D57D7E">
        <w:t xml:space="preserve"> financial and operational cost information, as well as provide </w:t>
      </w:r>
      <w:r w:rsidRPr="000F684D">
        <w:t>evaluation data on program participants (e.g.,. participant attendance)</w:t>
      </w:r>
      <w:r w:rsidR="00D57D7E">
        <w:t>.</w:t>
      </w:r>
    </w:p>
    <w:p w:rsidR="001A1382" w:rsidRPr="005579E1" w:rsidRDefault="002A2553" w:rsidP="00B92C18">
      <w:pPr>
        <w:pStyle w:val="Heading2"/>
      </w:pPr>
      <w:bookmarkStart w:id="8" w:name="_Toc366155205"/>
      <w:r>
        <w:t>Tests of Procedures</w:t>
      </w:r>
      <w:bookmarkEnd w:id="8"/>
    </w:p>
    <w:p w:rsidR="001A1382" w:rsidRPr="00A51851" w:rsidRDefault="003E4909" w:rsidP="00A51851">
      <w:pPr>
        <w:pStyle w:val="Heading4"/>
      </w:pPr>
      <w:r w:rsidRPr="00A51851">
        <w:t>Surveys</w:t>
      </w:r>
    </w:p>
    <w:p w:rsidR="00886F5E" w:rsidRDefault="00717430" w:rsidP="005579E1">
      <w:r w:rsidRPr="00ED7B1E">
        <w:t xml:space="preserve">The data collection procedures proposed are well-tested; the data collection contractor has used similar procedures for many surveys of </w:t>
      </w:r>
      <w:r w:rsidR="00135D57">
        <w:t>Medicare</w:t>
      </w:r>
      <w:r w:rsidRPr="00ED7B1E">
        <w:t xml:space="preserve"> </w:t>
      </w:r>
      <w:r w:rsidR="00464D90">
        <w:t>b</w:t>
      </w:r>
      <w:r w:rsidR="00135D57">
        <w:t>eneficiaries</w:t>
      </w:r>
      <w:r w:rsidRPr="00ED7B1E">
        <w:t xml:space="preserve"> and other populations. The mail instruments will be carefully reviewed by multiple staff, and the CATI instruments will be tested to ensure that they match the mail survey insofar as feasible and that the CATI database correctly captures the reported values.</w:t>
      </w:r>
      <w:r w:rsidR="002A674A">
        <w:t xml:space="preserve"> </w:t>
      </w:r>
    </w:p>
    <w:p w:rsidR="003B1797" w:rsidRDefault="00717430" w:rsidP="00A51851">
      <w:r w:rsidRPr="002B0C65">
        <w:t xml:space="preserve">As described </w:t>
      </w:r>
      <w:r w:rsidR="00814668" w:rsidRPr="002B0C65">
        <w:t xml:space="preserve">in </w:t>
      </w:r>
      <w:r w:rsidR="00464D90">
        <w:t xml:space="preserve">Part B, </w:t>
      </w:r>
      <w:r w:rsidR="00135D57" w:rsidRPr="002B0C65">
        <w:t>Attachment</w:t>
      </w:r>
      <w:r w:rsidR="00814668" w:rsidRPr="002B0C65">
        <w:t xml:space="preserve"> </w:t>
      </w:r>
      <w:r w:rsidR="00464D90">
        <w:t>1</w:t>
      </w:r>
      <w:r w:rsidRPr="002B0C65">
        <w:t xml:space="preserve"> </w:t>
      </w:r>
      <w:r w:rsidR="003D327F" w:rsidRPr="002B0C65">
        <w:t xml:space="preserve">most </w:t>
      </w:r>
      <w:r w:rsidRPr="002B0C65">
        <w:t>of the survey items except the readiness questions have been validated</w:t>
      </w:r>
      <w:r w:rsidRPr="00ED7B1E">
        <w:t xml:space="preserve"> and used in multiple surveys of similar populations. </w:t>
      </w:r>
      <w:r w:rsidR="004E327E" w:rsidRPr="00ED7B1E">
        <w:t>The</w:t>
      </w:r>
      <w:r w:rsidR="00E47FED">
        <w:t xml:space="preserve"> newly developed</w:t>
      </w:r>
      <w:r w:rsidR="004E327E" w:rsidRPr="00ED7B1E">
        <w:t xml:space="preserve"> survey </w:t>
      </w:r>
      <w:r w:rsidR="00E47FED">
        <w:t xml:space="preserve">items </w:t>
      </w:r>
      <w:r w:rsidR="00096B23">
        <w:t>were reviewed by Westat’s</w:t>
      </w:r>
      <w:r w:rsidR="0098740D">
        <w:t xml:space="preserve"> survey design team with years of experience designing </w:t>
      </w:r>
      <w:r w:rsidR="00787E5A">
        <w:t>Medicare beneficiary</w:t>
      </w:r>
      <w:r w:rsidR="002A674A">
        <w:t xml:space="preserve"> </w:t>
      </w:r>
      <w:r w:rsidR="0098740D">
        <w:t>surveys</w:t>
      </w:r>
      <w:r w:rsidR="004E327E" w:rsidRPr="00ED7B1E">
        <w:t xml:space="preserve"> </w:t>
      </w:r>
      <w:r w:rsidR="00B4661B">
        <w:t>new survey items</w:t>
      </w:r>
      <w:r w:rsidR="002A674A">
        <w:t xml:space="preserve"> </w:t>
      </w:r>
      <w:r w:rsidR="0098740D">
        <w:t xml:space="preserve">were </w:t>
      </w:r>
      <w:r w:rsidR="00A66168">
        <w:t xml:space="preserve">also </w:t>
      </w:r>
      <w:r w:rsidR="0098740D">
        <w:t xml:space="preserve">cognitively tested </w:t>
      </w:r>
      <w:r w:rsidRPr="00ED7B1E">
        <w:t>with</w:t>
      </w:r>
      <w:r w:rsidR="002A674A">
        <w:t xml:space="preserve"> </w:t>
      </w:r>
      <w:r w:rsidR="00E47FED">
        <w:t>nine</w:t>
      </w:r>
      <w:r w:rsidRPr="00ED7B1E">
        <w:t xml:space="preserve"> </w:t>
      </w:r>
      <w:r w:rsidR="00464D90">
        <w:t>b</w:t>
      </w:r>
      <w:r w:rsidR="00135D57">
        <w:t>eneficiaries</w:t>
      </w:r>
      <w:r w:rsidRPr="00ED7B1E">
        <w:t xml:space="preserve"> </w:t>
      </w:r>
      <w:r w:rsidR="004E327E" w:rsidRPr="00ED7B1E">
        <w:t xml:space="preserve">to assess the </w:t>
      </w:r>
      <w:r w:rsidR="00464D90">
        <w:t>administration</w:t>
      </w:r>
      <w:r w:rsidR="004E327E" w:rsidRPr="00ED7B1E">
        <w:t xml:space="preserve"> of the mail instrument and understanding of the readiness items.</w:t>
      </w:r>
      <w:r w:rsidR="002A674A">
        <w:t xml:space="preserve"> </w:t>
      </w:r>
      <w:r w:rsidR="00E47FED">
        <w:t>Results of the cognitive testing showed no significant issues with basic understanding of the questions, the overall ease of answering the questions, and the interpretation of “community”.</w:t>
      </w:r>
      <w:r w:rsidR="002A674A">
        <w:t xml:space="preserve"> </w:t>
      </w:r>
      <w:r w:rsidR="00217B2B">
        <w:t>Results of the cognitive testing suggested two minor modifications to the newly developed readiness questions:</w:t>
      </w:r>
      <w:r w:rsidR="002A674A">
        <w:t xml:space="preserve"> </w:t>
      </w:r>
      <w:r w:rsidR="00217B2B">
        <w:t>1) A definition of wellness program should be included to facilitate consistency in the interpretation of the term “program” across respondents.</w:t>
      </w:r>
      <w:r w:rsidR="002A674A">
        <w:t xml:space="preserve"> </w:t>
      </w:r>
      <w:r w:rsidR="00217B2B">
        <w:t>2) A response option of “</w:t>
      </w:r>
      <w:r w:rsidR="002C57B6">
        <w:t>I don’t need to make a change like this” should be included</w:t>
      </w:r>
      <w:r w:rsidR="00A66168">
        <w:t xml:space="preserve"> to capture the possibility that the change in question is not applicable for the respondent</w:t>
      </w:r>
      <w:r w:rsidR="00700088">
        <w:t>.</w:t>
      </w:r>
      <w:r w:rsidR="00B4661B">
        <w:t xml:space="preserve"> The survey was also administered to </w:t>
      </w:r>
      <w:r w:rsidR="008C2E5C">
        <w:t xml:space="preserve">five </w:t>
      </w:r>
      <w:r w:rsidR="00B4661B">
        <w:t>older adults (ages 60-75 years) to assess the time required for completion. This test indicated that the time to complete ranged from 12 to 21</w:t>
      </w:r>
      <w:r w:rsidR="00700088">
        <w:t xml:space="preserve"> </w:t>
      </w:r>
      <w:r w:rsidR="00B4661B">
        <w:t>minutes, with the older respondents requiring more time to complete the survey.</w:t>
      </w:r>
    </w:p>
    <w:p w:rsidR="003E4909" w:rsidRPr="00A51851" w:rsidRDefault="00ED7B1E" w:rsidP="00A51851">
      <w:pPr>
        <w:pStyle w:val="Heading4"/>
      </w:pPr>
      <w:r w:rsidRPr="00A51851">
        <w:t>In-depth Interview</w:t>
      </w:r>
      <w:r w:rsidR="003B1797" w:rsidRPr="00A51851">
        <w:t>s</w:t>
      </w:r>
      <w:r w:rsidRPr="00A51851">
        <w:t xml:space="preserve"> with </w:t>
      </w:r>
      <w:r w:rsidR="00CA0EDA" w:rsidRPr="00A51851">
        <w:t xml:space="preserve">Wellness </w:t>
      </w:r>
      <w:r w:rsidR="00FA2B4B">
        <w:t>Program S</w:t>
      </w:r>
      <w:r w:rsidRPr="00A51851">
        <w:t xml:space="preserve">taff </w:t>
      </w:r>
    </w:p>
    <w:p w:rsidR="008620CF" w:rsidRDefault="00ED7B1E" w:rsidP="005579E1">
      <w:r w:rsidRPr="00ED7B1E">
        <w:t xml:space="preserve">The </w:t>
      </w:r>
      <w:r w:rsidR="00464D90">
        <w:t xml:space="preserve">domains and topics in the </w:t>
      </w:r>
      <w:r w:rsidRPr="00ED7B1E">
        <w:t>program staff interview guide w</w:t>
      </w:r>
      <w:r w:rsidR="00464D90">
        <w:t>ere discussed with</w:t>
      </w:r>
      <w:r w:rsidR="002866E5" w:rsidRPr="00ED7B1E">
        <w:t xml:space="preserve"> </w:t>
      </w:r>
      <w:r w:rsidR="00685107" w:rsidRPr="00ED7B1E">
        <w:t>leaders of w</w:t>
      </w:r>
      <w:r w:rsidR="002866E5" w:rsidRPr="00ED7B1E">
        <w:t>ellness programs, and experienced wellness program researchers</w:t>
      </w:r>
      <w:r w:rsidR="00464D90">
        <w:t xml:space="preserve"> (described in Part A, Section 8)</w:t>
      </w:r>
      <w:r w:rsidR="002866E5" w:rsidRPr="00ED7B1E">
        <w:t>.</w:t>
      </w:r>
      <w:r w:rsidR="008620CF" w:rsidRPr="00ED7B1E">
        <w:t xml:space="preserve"> The</w:t>
      </w:r>
      <w:r w:rsidR="00464D90">
        <w:t xml:space="preserve">se experts confirmed that program </w:t>
      </w:r>
      <w:r w:rsidR="008620CF" w:rsidRPr="00ED7B1E">
        <w:t>would be able to speak freely during the interview and address</w:t>
      </w:r>
      <w:r w:rsidR="00464D90">
        <w:t xml:space="preserve"> the</w:t>
      </w:r>
      <w:r w:rsidR="008620CF" w:rsidRPr="00ED7B1E">
        <w:t xml:space="preserve"> areas of wellness program implementation</w:t>
      </w:r>
      <w:r w:rsidR="00CA0EDA">
        <w:t xml:space="preserve"> and provide information about the program operational costs</w:t>
      </w:r>
      <w:r w:rsidR="008620CF" w:rsidRPr="00ED7B1E">
        <w:t>.</w:t>
      </w:r>
      <w:r w:rsidR="002866E5" w:rsidRPr="00ED7B1E">
        <w:t xml:space="preserve"> Interview guides will be refined based on feedback from early respondents. </w:t>
      </w:r>
    </w:p>
    <w:p w:rsidR="00103C0F" w:rsidRDefault="002A2553" w:rsidP="003C3490">
      <w:pPr>
        <w:pStyle w:val="Heading2"/>
        <w:keepNext/>
        <w:keepLines/>
      </w:pPr>
      <w:bookmarkStart w:id="9" w:name="_Toc366155206"/>
      <w:r>
        <w:lastRenderedPageBreak/>
        <w:t>Statistical Consultants</w:t>
      </w:r>
      <w:bookmarkEnd w:id="9"/>
    </w:p>
    <w:p w:rsidR="003E4909" w:rsidRDefault="00556F17" w:rsidP="003C3490">
      <w:pPr>
        <w:keepNext/>
        <w:keepLines/>
      </w:pPr>
      <w:r w:rsidRPr="00103C0F">
        <w:t xml:space="preserve">Two senior statisticians were consulted </w:t>
      </w:r>
      <w:r w:rsidR="003E4909" w:rsidRPr="00103C0F">
        <w:t xml:space="preserve">this data collection effort. Dr. </w:t>
      </w:r>
      <w:r w:rsidRPr="00103C0F">
        <w:t xml:space="preserve">Paul Zador </w:t>
      </w:r>
      <w:r w:rsidR="003E4909" w:rsidRPr="00103C0F">
        <w:t xml:space="preserve">is a </w:t>
      </w:r>
      <w:r w:rsidRPr="00103C0F">
        <w:t xml:space="preserve">Westat </w:t>
      </w:r>
      <w:r w:rsidR="003E4909" w:rsidRPr="00103C0F">
        <w:t xml:space="preserve">senior statistician </w:t>
      </w:r>
      <w:r w:rsidRPr="00103C0F">
        <w:t xml:space="preserve">and study design methodologist with expertise in </w:t>
      </w:r>
      <w:r w:rsidRPr="00103C0F">
        <w:rPr>
          <w:snapToGrid w:val="0"/>
        </w:rPr>
        <w:t>propensity modeling</w:t>
      </w:r>
      <w:r w:rsidRPr="00103C0F">
        <w:t xml:space="preserve"> and more than 30 years </w:t>
      </w:r>
      <w:r w:rsidR="00464D90">
        <w:t xml:space="preserve">of </w:t>
      </w:r>
      <w:r w:rsidRPr="00103C0F">
        <w:t>experience. Mr. Ralph DiGaetano, a Westat senior sampling statistician</w:t>
      </w:r>
      <w:r w:rsidR="00464D90">
        <w:t>,</w:t>
      </w:r>
      <w:r w:rsidRPr="00103C0F">
        <w:t xml:space="preserve"> has more than 30 years of experience in survey research and data analysis</w:t>
      </w:r>
      <w:r w:rsidR="00103C0F" w:rsidRPr="00103C0F">
        <w:t>, including development of sample designs, case-control studies, sampling procedures, weights, and variance estimation plans.</w:t>
      </w:r>
      <w:r w:rsidR="002A674A">
        <w:t xml:space="preserve"> </w:t>
      </w:r>
    </w:p>
    <w:p w:rsidR="003D5A60" w:rsidRDefault="003D5A60" w:rsidP="003D5A60">
      <w:pPr>
        <w:pStyle w:val="Heading2"/>
        <w:numPr>
          <w:ilvl w:val="0"/>
          <w:numId w:val="0"/>
        </w:numPr>
        <w:ind w:left="360" w:hanging="360"/>
      </w:pPr>
    </w:p>
    <w:p w:rsidR="003D5A60" w:rsidRDefault="003D5A60" w:rsidP="003D5A60">
      <w:pPr>
        <w:pStyle w:val="Heading2"/>
        <w:numPr>
          <w:ilvl w:val="0"/>
          <w:numId w:val="0"/>
        </w:numPr>
        <w:ind w:left="360" w:hanging="360"/>
      </w:pPr>
      <w:bookmarkStart w:id="10" w:name="_Toc366155207"/>
      <w:r>
        <w:t>List of Attachments</w:t>
      </w:r>
      <w:bookmarkEnd w:id="10"/>
    </w:p>
    <w:p w:rsidR="003D5A60" w:rsidRPr="003D5A60" w:rsidRDefault="003D5A60" w:rsidP="003D5A60">
      <w:pPr>
        <w:pStyle w:val="ListParagraph"/>
        <w:numPr>
          <w:ilvl w:val="0"/>
          <w:numId w:val="8"/>
        </w:numPr>
      </w:pPr>
      <w:r>
        <w:t>Part B, Attachment 1 – Sources of Survey Items</w:t>
      </w:r>
    </w:p>
    <w:sectPr w:rsidR="003D5A60" w:rsidRPr="003D5A60">
      <w:head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DAB2EC" w15:done="0"/>
  <w15:commentEx w15:paraId="0D553392" w15:done="0"/>
  <w15:commentEx w15:paraId="4640EA53" w15:done="0"/>
  <w15:commentEx w15:paraId="5BF417DA" w15:done="0"/>
  <w15:commentEx w15:paraId="19B02725" w15:done="0"/>
  <w15:commentEx w15:paraId="7B7E99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1D8" w:rsidRDefault="005041D8" w:rsidP="00F75F35">
      <w:pPr>
        <w:spacing w:after="0" w:line="240" w:lineRule="auto"/>
      </w:pPr>
      <w:r>
        <w:separator/>
      </w:r>
    </w:p>
  </w:endnote>
  <w:endnote w:type="continuationSeparator" w:id="0">
    <w:p w:rsidR="005041D8" w:rsidRDefault="005041D8" w:rsidP="00F7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424144"/>
      <w:docPartObj>
        <w:docPartGallery w:val="Page Numbers (Bottom of Page)"/>
        <w:docPartUnique/>
      </w:docPartObj>
    </w:sdtPr>
    <w:sdtEndPr>
      <w:rPr>
        <w:noProof/>
      </w:rPr>
    </w:sdtEndPr>
    <w:sdtContent>
      <w:p w:rsidR="005041D8" w:rsidRDefault="005041D8" w:rsidP="00CE1BAC">
        <w:pPr>
          <w:pStyle w:val="Footer"/>
          <w:jc w:val="both"/>
        </w:pPr>
        <w:r>
          <w:t xml:space="preserve">Version: </w:t>
        </w:r>
        <w:r>
          <w:t>9/</w:t>
        </w:r>
        <w:r w:rsidR="00AD60E3">
          <w:t>5</w:t>
        </w:r>
        <w:r>
          <w:t>/2014</w:t>
        </w:r>
        <w:r>
          <w:tab/>
        </w:r>
        <w:r>
          <w:tab/>
        </w:r>
        <w:r>
          <w:fldChar w:fldCharType="begin"/>
        </w:r>
        <w:r>
          <w:instrText xml:space="preserve"> PAGE   \* MERGEFORMAT </w:instrText>
        </w:r>
        <w:r>
          <w:fldChar w:fldCharType="separate"/>
        </w:r>
        <w:r w:rsidR="00570081">
          <w:rPr>
            <w:noProof/>
          </w:rPr>
          <w:t>11</w:t>
        </w:r>
        <w:r>
          <w:rPr>
            <w:noProof/>
          </w:rPr>
          <w:fldChar w:fldCharType="end"/>
        </w:r>
      </w:p>
    </w:sdtContent>
  </w:sdt>
  <w:p w:rsidR="005041D8" w:rsidRDefault="00504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1D8" w:rsidRDefault="005041D8" w:rsidP="00F75F35">
      <w:pPr>
        <w:spacing w:after="0" w:line="240" w:lineRule="auto"/>
      </w:pPr>
      <w:r>
        <w:separator/>
      </w:r>
    </w:p>
  </w:footnote>
  <w:footnote w:type="continuationSeparator" w:id="0">
    <w:p w:rsidR="005041D8" w:rsidRDefault="005041D8" w:rsidP="00F75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D8" w:rsidRDefault="005041D8" w:rsidP="008B67E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D8" w:rsidRDefault="005041D8" w:rsidP="008B67EA">
    <w:pPr>
      <w:pStyle w:val="Header"/>
      <w:jc w:val="right"/>
    </w:pPr>
    <w:r>
      <w:t xml:space="preserve">Part B. </w:t>
    </w:r>
    <w:r w:rsidRPr="00F63C6A">
      <w:t>Collections of Information Employing Statistical Methods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3F8F"/>
    <w:multiLevelType w:val="hybridMultilevel"/>
    <w:tmpl w:val="0B5646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E6660"/>
    <w:multiLevelType w:val="hybridMultilevel"/>
    <w:tmpl w:val="9C58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80814"/>
    <w:multiLevelType w:val="multilevel"/>
    <w:tmpl w:val="16B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530C14"/>
    <w:multiLevelType w:val="hybridMultilevel"/>
    <w:tmpl w:val="B7AE2842"/>
    <w:lvl w:ilvl="0" w:tplc="DF8C9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A4F36"/>
    <w:multiLevelType w:val="hybridMultilevel"/>
    <w:tmpl w:val="996C69D0"/>
    <w:lvl w:ilvl="0" w:tplc="E5DAA1B2">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B45521"/>
    <w:multiLevelType w:val="hybridMultilevel"/>
    <w:tmpl w:val="22F4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F3165"/>
    <w:multiLevelType w:val="hybridMultilevel"/>
    <w:tmpl w:val="A8C40530"/>
    <w:lvl w:ilvl="0" w:tplc="87425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3A7096"/>
    <w:multiLevelType w:val="hybridMultilevel"/>
    <w:tmpl w:val="DCAC2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445AA8"/>
    <w:multiLevelType w:val="hybridMultilevel"/>
    <w:tmpl w:val="FEA0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877A80"/>
    <w:multiLevelType w:val="hybridMultilevel"/>
    <w:tmpl w:val="90AA5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26C5E34"/>
    <w:multiLevelType w:val="hybridMultilevel"/>
    <w:tmpl w:val="8D462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A47B3E"/>
    <w:multiLevelType w:val="hybridMultilevel"/>
    <w:tmpl w:val="1636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DE2DF9"/>
    <w:multiLevelType w:val="hybridMultilevel"/>
    <w:tmpl w:val="AAFAB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FA31C0"/>
    <w:multiLevelType w:val="hybridMultilevel"/>
    <w:tmpl w:val="285EFD72"/>
    <w:lvl w:ilvl="0" w:tplc="82A8E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0B4DB2"/>
    <w:multiLevelType w:val="hybridMultilevel"/>
    <w:tmpl w:val="0406C3C2"/>
    <w:lvl w:ilvl="0" w:tplc="D1288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DD34C7"/>
    <w:multiLevelType w:val="hybridMultilevel"/>
    <w:tmpl w:val="2E84E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7C5ACA"/>
    <w:multiLevelType w:val="multilevel"/>
    <w:tmpl w:val="F3FA72F8"/>
    <w:lvl w:ilvl="0">
      <w:start w:val="1"/>
      <w:numFmt w:val="bullet"/>
      <w:pStyle w:val="BulletList"/>
      <w:lvlText w:val=""/>
      <w:lvlJc w:val="left"/>
      <w:pPr>
        <w:ind w:left="1267" w:hanging="360"/>
      </w:pPr>
      <w:rPr>
        <w:rFonts w:ascii="Symbol" w:hAnsi="Symbol" w:hint="default"/>
      </w:rPr>
    </w:lvl>
    <w:lvl w:ilvl="1">
      <w:start w:val="1"/>
      <w:numFmt w:val="bullet"/>
      <w:lvlText w:val="o"/>
      <w:lvlJc w:val="left"/>
      <w:pPr>
        <w:ind w:left="1627" w:hanging="360"/>
      </w:pPr>
      <w:rPr>
        <w:rFonts w:ascii="Courier New" w:hAnsi="Courier New" w:hint="default"/>
      </w:rPr>
    </w:lvl>
    <w:lvl w:ilvl="2">
      <w:start w:val="1"/>
      <w:numFmt w:val="bullet"/>
      <w:lvlText w:val=""/>
      <w:lvlJc w:val="left"/>
      <w:pPr>
        <w:ind w:left="1987" w:hanging="360"/>
      </w:pPr>
      <w:rPr>
        <w:rFonts w:ascii="Wingdings" w:hAnsi="Wingdings" w:hint="default"/>
      </w:rPr>
    </w:lvl>
    <w:lvl w:ilvl="3">
      <w:start w:val="1"/>
      <w:numFmt w:val="bullet"/>
      <w:lvlText w:val=""/>
      <w:lvlJc w:val="left"/>
      <w:pPr>
        <w:ind w:left="2347" w:hanging="360"/>
      </w:pPr>
      <w:rPr>
        <w:rFonts w:ascii="Wingdings" w:hAnsi="Wingdings" w:hint="default"/>
      </w:rPr>
    </w:lvl>
    <w:lvl w:ilvl="4">
      <w:start w:val="1"/>
      <w:numFmt w:val="bullet"/>
      <w:lvlText w:val=""/>
      <w:lvlJc w:val="left"/>
      <w:pPr>
        <w:ind w:left="2707" w:hanging="360"/>
      </w:pPr>
      <w:rPr>
        <w:rFonts w:ascii="Symbol" w:hAnsi="Symbol" w:hint="default"/>
      </w:rPr>
    </w:lvl>
    <w:lvl w:ilvl="5">
      <w:start w:val="1"/>
      <w:numFmt w:val="bullet"/>
      <w:lvlText w:val=""/>
      <w:lvlJc w:val="left"/>
      <w:pPr>
        <w:ind w:left="3067" w:hanging="360"/>
      </w:pPr>
      <w:rPr>
        <w:rFonts w:ascii="Wingdings" w:hAnsi="Wingdings" w:hint="default"/>
      </w:rPr>
    </w:lvl>
    <w:lvl w:ilvl="6">
      <w:start w:val="1"/>
      <w:numFmt w:val="bullet"/>
      <w:lvlText w:val=""/>
      <w:lvlJc w:val="left"/>
      <w:pPr>
        <w:ind w:left="3427" w:hanging="360"/>
      </w:pPr>
      <w:rPr>
        <w:rFonts w:ascii="Symbol" w:hAnsi="Symbol" w:hint="default"/>
      </w:rPr>
    </w:lvl>
    <w:lvl w:ilvl="7">
      <w:start w:val="1"/>
      <w:numFmt w:val="bullet"/>
      <w:lvlText w:val="o"/>
      <w:lvlJc w:val="left"/>
      <w:pPr>
        <w:ind w:left="3787" w:hanging="360"/>
      </w:pPr>
      <w:rPr>
        <w:rFonts w:ascii="Courier New" w:hAnsi="Courier New" w:cs="Courier New" w:hint="default"/>
      </w:rPr>
    </w:lvl>
    <w:lvl w:ilvl="8">
      <w:start w:val="1"/>
      <w:numFmt w:val="bullet"/>
      <w:lvlText w:val=""/>
      <w:lvlJc w:val="left"/>
      <w:pPr>
        <w:ind w:left="4147" w:hanging="360"/>
      </w:pPr>
      <w:rPr>
        <w:rFonts w:ascii="Wingdings" w:hAnsi="Wingdings" w:hint="default"/>
      </w:rPr>
    </w:lvl>
  </w:abstractNum>
  <w:abstractNum w:abstractNumId="17">
    <w:nsid w:val="20ED4D25"/>
    <w:multiLevelType w:val="hybridMultilevel"/>
    <w:tmpl w:val="B626448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71C0F09"/>
    <w:multiLevelType w:val="hybridMultilevel"/>
    <w:tmpl w:val="6980B7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44184B"/>
    <w:multiLevelType w:val="hybridMultilevel"/>
    <w:tmpl w:val="3A82E0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F21356"/>
    <w:multiLevelType w:val="hybridMultilevel"/>
    <w:tmpl w:val="F6D28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0975BD"/>
    <w:multiLevelType w:val="hybridMultilevel"/>
    <w:tmpl w:val="89B8C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0F2B88"/>
    <w:multiLevelType w:val="hybridMultilevel"/>
    <w:tmpl w:val="618A6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FDC37AC"/>
    <w:multiLevelType w:val="hybridMultilevel"/>
    <w:tmpl w:val="E604C88C"/>
    <w:lvl w:ilvl="0" w:tplc="60703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0310DFA"/>
    <w:multiLevelType w:val="hybridMultilevel"/>
    <w:tmpl w:val="EA4C2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228740D"/>
    <w:multiLevelType w:val="hybridMultilevel"/>
    <w:tmpl w:val="DF881A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A222F2"/>
    <w:multiLevelType w:val="hybridMultilevel"/>
    <w:tmpl w:val="BB400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AE2793"/>
    <w:multiLevelType w:val="hybridMultilevel"/>
    <w:tmpl w:val="C140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D42EED"/>
    <w:multiLevelType w:val="hybridMultilevel"/>
    <w:tmpl w:val="2AC08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6D16C7"/>
    <w:multiLevelType w:val="hybridMultilevel"/>
    <w:tmpl w:val="746E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EF677F"/>
    <w:multiLevelType w:val="hybridMultilevel"/>
    <w:tmpl w:val="76B0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AB7F7B"/>
    <w:multiLevelType w:val="hybridMultilevel"/>
    <w:tmpl w:val="3CC25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E43881"/>
    <w:multiLevelType w:val="hybridMultilevel"/>
    <w:tmpl w:val="1FF43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502CA4"/>
    <w:multiLevelType w:val="hybridMultilevel"/>
    <w:tmpl w:val="BEE85FDC"/>
    <w:lvl w:ilvl="0" w:tplc="8814D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BE6025C"/>
    <w:multiLevelType w:val="hybridMultilevel"/>
    <w:tmpl w:val="4566D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CF160A9"/>
    <w:multiLevelType w:val="hybridMultilevel"/>
    <w:tmpl w:val="A1DC260A"/>
    <w:lvl w:ilvl="0" w:tplc="7AA2F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FB1529A"/>
    <w:multiLevelType w:val="hybridMultilevel"/>
    <w:tmpl w:val="FB92983E"/>
    <w:lvl w:ilvl="0" w:tplc="18B05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1EF4B97"/>
    <w:multiLevelType w:val="hybridMultilevel"/>
    <w:tmpl w:val="4C9C7E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6AF2273A"/>
    <w:multiLevelType w:val="hybridMultilevel"/>
    <w:tmpl w:val="DFB4A9F0"/>
    <w:lvl w:ilvl="0" w:tplc="EC9A6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5E4411"/>
    <w:multiLevelType w:val="multilevel"/>
    <w:tmpl w:val="E196E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B881F36"/>
    <w:multiLevelType w:val="hybridMultilevel"/>
    <w:tmpl w:val="B8B8E9FA"/>
    <w:lvl w:ilvl="0" w:tplc="D158A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2F8635A"/>
    <w:multiLevelType w:val="hybridMultilevel"/>
    <w:tmpl w:val="6F06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A43967"/>
    <w:multiLevelType w:val="hybridMultilevel"/>
    <w:tmpl w:val="E9920F52"/>
    <w:lvl w:ilvl="0" w:tplc="F3E8B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D8A6675"/>
    <w:multiLevelType w:val="hybridMultilevel"/>
    <w:tmpl w:val="AE1AA8FC"/>
    <w:lvl w:ilvl="0" w:tplc="1E74C9A0">
      <w:numFmt w:val="bullet"/>
      <w:lvlText w:val=""/>
      <w:lvlJc w:val="left"/>
      <w:pPr>
        <w:ind w:left="1080" w:hanging="360"/>
      </w:pPr>
      <w:rPr>
        <w:rFonts w:ascii="Calibri" w:eastAsiaTheme="minorHAnsi" w:hAnsi="Calibri"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F971FF5"/>
    <w:multiLevelType w:val="multilevel"/>
    <w:tmpl w:val="F3FA72F8"/>
    <w:styleLink w:val="Style1"/>
    <w:lvl w:ilvl="0">
      <w:start w:val="1"/>
      <w:numFmt w:val="bullet"/>
      <w:lvlText w:val=""/>
      <w:lvlJc w:val="left"/>
      <w:pPr>
        <w:ind w:left="1267" w:hanging="360"/>
      </w:pPr>
      <w:rPr>
        <w:rFonts w:ascii="Symbol" w:hAnsi="Symbol" w:hint="default"/>
      </w:rPr>
    </w:lvl>
    <w:lvl w:ilvl="1">
      <w:start w:val="1"/>
      <w:numFmt w:val="bullet"/>
      <w:lvlText w:val="o"/>
      <w:lvlJc w:val="left"/>
      <w:pPr>
        <w:ind w:left="1627" w:hanging="360"/>
      </w:pPr>
      <w:rPr>
        <w:rFonts w:ascii="Courier New" w:hAnsi="Courier New" w:hint="default"/>
      </w:rPr>
    </w:lvl>
    <w:lvl w:ilvl="2">
      <w:start w:val="1"/>
      <w:numFmt w:val="bullet"/>
      <w:lvlText w:val=""/>
      <w:lvlJc w:val="left"/>
      <w:pPr>
        <w:ind w:left="1987" w:hanging="360"/>
      </w:pPr>
      <w:rPr>
        <w:rFonts w:ascii="Wingdings" w:hAnsi="Wingdings" w:hint="default"/>
      </w:rPr>
    </w:lvl>
    <w:lvl w:ilvl="3">
      <w:start w:val="1"/>
      <w:numFmt w:val="bullet"/>
      <w:lvlText w:val=""/>
      <w:lvlJc w:val="left"/>
      <w:pPr>
        <w:ind w:left="2347" w:hanging="360"/>
      </w:pPr>
      <w:rPr>
        <w:rFonts w:ascii="Wingdings" w:hAnsi="Wingdings" w:hint="default"/>
      </w:rPr>
    </w:lvl>
    <w:lvl w:ilvl="4">
      <w:start w:val="1"/>
      <w:numFmt w:val="bullet"/>
      <w:lvlText w:val=""/>
      <w:lvlJc w:val="left"/>
      <w:pPr>
        <w:ind w:left="2707" w:hanging="360"/>
      </w:pPr>
      <w:rPr>
        <w:rFonts w:ascii="Symbol" w:hAnsi="Symbol" w:hint="default"/>
      </w:rPr>
    </w:lvl>
    <w:lvl w:ilvl="5">
      <w:start w:val="1"/>
      <w:numFmt w:val="bullet"/>
      <w:lvlText w:val=""/>
      <w:lvlJc w:val="left"/>
      <w:pPr>
        <w:ind w:left="3067" w:hanging="360"/>
      </w:pPr>
      <w:rPr>
        <w:rFonts w:ascii="Wingdings" w:hAnsi="Wingdings" w:hint="default"/>
      </w:rPr>
    </w:lvl>
    <w:lvl w:ilvl="6">
      <w:start w:val="1"/>
      <w:numFmt w:val="bullet"/>
      <w:lvlText w:val=""/>
      <w:lvlJc w:val="left"/>
      <w:pPr>
        <w:ind w:left="3427" w:hanging="360"/>
      </w:pPr>
      <w:rPr>
        <w:rFonts w:ascii="Symbol" w:hAnsi="Symbol" w:hint="default"/>
      </w:rPr>
    </w:lvl>
    <w:lvl w:ilvl="7">
      <w:start w:val="1"/>
      <w:numFmt w:val="bullet"/>
      <w:lvlText w:val="o"/>
      <w:lvlJc w:val="left"/>
      <w:pPr>
        <w:ind w:left="3787" w:hanging="360"/>
      </w:pPr>
      <w:rPr>
        <w:rFonts w:ascii="Courier New" w:hAnsi="Courier New" w:cs="Courier New" w:hint="default"/>
      </w:rPr>
    </w:lvl>
    <w:lvl w:ilvl="8">
      <w:start w:val="1"/>
      <w:numFmt w:val="bullet"/>
      <w:lvlText w:val=""/>
      <w:lvlJc w:val="left"/>
      <w:pPr>
        <w:ind w:left="4147" w:hanging="360"/>
      </w:pPr>
      <w:rPr>
        <w:rFonts w:ascii="Wingdings" w:hAnsi="Wingdings" w:hint="default"/>
      </w:rPr>
    </w:lvl>
  </w:abstractNum>
  <w:num w:numId="1">
    <w:abstractNumId w:val="19"/>
  </w:num>
  <w:num w:numId="2">
    <w:abstractNumId w:val="44"/>
  </w:num>
  <w:num w:numId="3">
    <w:abstractNumId w:val="16"/>
  </w:num>
  <w:num w:numId="4">
    <w:abstractNumId w:val="5"/>
  </w:num>
  <w:num w:numId="5">
    <w:abstractNumId w:val="25"/>
  </w:num>
  <w:num w:numId="6">
    <w:abstractNumId w:val="1"/>
  </w:num>
  <w:num w:numId="7">
    <w:abstractNumId w:val="0"/>
  </w:num>
  <w:num w:numId="8">
    <w:abstractNumId w:val="8"/>
  </w:num>
  <w:num w:numId="9">
    <w:abstractNumId w:val="41"/>
  </w:num>
  <w:num w:numId="10">
    <w:abstractNumId w:val="11"/>
  </w:num>
  <w:num w:numId="11">
    <w:abstractNumId w:val="4"/>
  </w:num>
  <w:num w:numId="12">
    <w:abstractNumId w:val="4"/>
    <w:lvlOverride w:ilvl="0">
      <w:startOverride w:val="1"/>
    </w:lvlOverride>
  </w:num>
  <w:num w:numId="13">
    <w:abstractNumId w:val="16"/>
  </w:num>
  <w:num w:numId="14">
    <w:abstractNumId w:val="28"/>
  </w:num>
  <w:num w:numId="15">
    <w:abstractNumId w:val="10"/>
  </w:num>
  <w:num w:numId="16">
    <w:abstractNumId w:val="18"/>
  </w:num>
  <w:num w:numId="17">
    <w:abstractNumId w:val="36"/>
  </w:num>
  <w:num w:numId="18">
    <w:abstractNumId w:val="38"/>
  </w:num>
  <w:num w:numId="19">
    <w:abstractNumId w:val="23"/>
  </w:num>
  <w:num w:numId="20">
    <w:abstractNumId w:val="33"/>
  </w:num>
  <w:num w:numId="21">
    <w:abstractNumId w:val="14"/>
  </w:num>
  <w:num w:numId="22">
    <w:abstractNumId w:val="35"/>
  </w:num>
  <w:num w:numId="23">
    <w:abstractNumId w:val="6"/>
  </w:num>
  <w:num w:numId="24">
    <w:abstractNumId w:val="13"/>
  </w:num>
  <w:num w:numId="25">
    <w:abstractNumId w:val="27"/>
  </w:num>
  <w:num w:numId="26">
    <w:abstractNumId w:val="40"/>
  </w:num>
  <w:num w:numId="27">
    <w:abstractNumId w:val="42"/>
  </w:num>
  <w:num w:numId="28">
    <w:abstractNumId w:val="29"/>
  </w:num>
  <w:num w:numId="29">
    <w:abstractNumId w:val="31"/>
  </w:num>
  <w:num w:numId="30">
    <w:abstractNumId w:val="12"/>
  </w:num>
  <w:num w:numId="31">
    <w:abstractNumId w:val="32"/>
  </w:num>
  <w:num w:numId="32">
    <w:abstractNumId w:val="15"/>
  </w:num>
  <w:num w:numId="33">
    <w:abstractNumId w:val="21"/>
  </w:num>
  <w:num w:numId="34">
    <w:abstractNumId w:val="26"/>
  </w:num>
  <w:num w:numId="35">
    <w:abstractNumId w:val="34"/>
  </w:num>
  <w:num w:numId="36">
    <w:abstractNumId w:val="24"/>
  </w:num>
  <w:num w:numId="37">
    <w:abstractNumId w:val="22"/>
  </w:num>
  <w:num w:numId="38">
    <w:abstractNumId w:val="9"/>
  </w:num>
  <w:num w:numId="39">
    <w:abstractNumId w:val="43"/>
  </w:num>
  <w:num w:numId="40">
    <w:abstractNumId w:val="37"/>
  </w:num>
  <w:num w:numId="41">
    <w:abstractNumId w:val="3"/>
  </w:num>
  <w:num w:numId="42">
    <w:abstractNumId w:val="20"/>
  </w:num>
  <w:num w:numId="43">
    <w:abstractNumId w:val="17"/>
  </w:num>
  <w:num w:numId="44">
    <w:abstractNumId w:val="39"/>
  </w:num>
  <w:num w:numId="45">
    <w:abstractNumId w:val="2"/>
  </w:num>
  <w:num w:numId="46">
    <w:abstractNumId w:val="30"/>
  </w:num>
  <w:num w:numId="4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553"/>
    <w:rsid w:val="000038F0"/>
    <w:rsid w:val="000153FE"/>
    <w:rsid w:val="00020CE6"/>
    <w:rsid w:val="00024377"/>
    <w:rsid w:val="0003271D"/>
    <w:rsid w:val="00035EDB"/>
    <w:rsid w:val="000604C0"/>
    <w:rsid w:val="0006397A"/>
    <w:rsid w:val="00064EC5"/>
    <w:rsid w:val="00070F26"/>
    <w:rsid w:val="00077338"/>
    <w:rsid w:val="00077F26"/>
    <w:rsid w:val="00096909"/>
    <w:rsid w:val="00096B23"/>
    <w:rsid w:val="000B24AA"/>
    <w:rsid w:val="000C0943"/>
    <w:rsid w:val="000C0AFF"/>
    <w:rsid w:val="000C2C51"/>
    <w:rsid w:val="000C4998"/>
    <w:rsid w:val="000C4F90"/>
    <w:rsid w:val="000C66C9"/>
    <w:rsid w:val="000D1686"/>
    <w:rsid w:val="000D1E0C"/>
    <w:rsid w:val="000E662C"/>
    <w:rsid w:val="000E7CA1"/>
    <w:rsid w:val="000F0463"/>
    <w:rsid w:val="000F684D"/>
    <w:rsid w:val="00103045"/>
    <w:rsid w:val="00103C0F"/>
    <w:rsid w:val="0010797E"/>
    <w:rsid w:val="00112619"/>
    <w:rsid w:val="001202C2"/>
    <w:rsid w:val="00121178"/>
    <w:rsid w:val="00125814"/>
    <w:rsid w:val="00135D57"/>
    <w:rsid w:val="0013651D"/>
    <w:rsid w:val="00140726"/>
    <w:rsid w:val="00150C3A"/>
    <w:rsid w:val="00152940"/>
    <w:rsid w:val="00155A4F"/>
    <w:rsid w:val="001602E6"/>
    <w:rsid w:val="00167E28"/>
    <w:rsid w:val="00170EA2"/>
    <w:rsid w:val="00173C0C"/>
    <w:rsid w:val="001908E8"/>
    <w:rsid w:val="0019626B"/>
    <w:rsid w:val="001A0691"/>
    <w:rsid w:val="001A1382"/>
    <w:rsid w:val="001A4AA4"/>
    <w:rsid w:val="001B0A9E"/>
    <w:rsid w:val="001D1EE9"/>
    <w:rsid w:val="001D2B01"/>
    <w:rsid w:val="001D547E"/>
    <w:rsid w:val="001D7A86"/>
    <w:rsid w:val="001E3641"/>
    <w:rsid w:val="001E3FD0"/>
    <w:rsid w:val="00200607"/>
    <w:rsid w:val="002058B0"/>
    <w:rsid w:val="00217B2B"/>
    <w:rsid w:val="00224BD6"/>
    <w:rsid w:val="00227932"/>
    <w:rsid w:val="002345BE"/>
    <w:rsid w:val="00240566"/>
    <w:rsid w:val="002453B4"/>
    <w:rsid w:val="00246577"/>
    <w:rsid w:val="00247D8D"/>
    <w:rsid w:val="002604F9"/>
    <w:rsid w:val="00261706"/>
    <w:rsid w:val="00263C70"/>
    <w:rsid w:val="002642D5"/>
    <w:rsid w:val="00267FAA"/>
    <w:rsid w:val="002712C1"/>
    <w:rsid w:val="002733FC"/>
    <w:rsid w:val="00280565"/>
    <w:rsid w:val="00283347"/>
    <w:rsid w:val="002866E5"/>
    <w:rsid w:val="00290F6D"/>
    <w:rsid w:val="002951DA"/>
    <w:rsid w:val="00295B7D"/>
    <w:rsid w:val="002A1A02"/>
    <w:rsid w:val="002A2553"/>
    <w:rsid w:val="002A32F9"/>
    <w:rsid w:val="002A674A"/>
    <w:rsid w:val="002B0C65"/>
    <w:rsid w:val="002B1F38"/>
    <w:rsid w:val="002C3122"/>
    <w:rsid w:val="002C57B6"/>
    <w:rsid w:val="002C77E6"/>
    <w:rsid w:val="002D0067"/>
    <w:rsid w:val="002D016D"/>
    <w:rsid w:val="002D71B2"/>
    <w:rsid w:val="002D7483"/>
    <w:rsid w:val="002E2CDC"/>
    <w:rsid w:val="002E6A0C"/>
    <w:rsid w:val="002F1455"/>
    <w:rsid w:val="002F4DBB"/>
    <w:rsid w:val="002F4E05"/>
    <w:rsid w:val="00306358"/>
    <w:rsid w:val="00310B31"/>
    <w:rsid w:val="00314BD0"/>
    <w:rsid w:val="003172EB"/>
    <w:rsid w:val="0033111D"/>
    <w:rsid w:val="0033147C"/>
    <w:rsid w:val="003347AA"/>
    <w:rsid w:val="00337B60"/>
    <w:rsid w:val="003444A4"/>
    <w:rsid w:val="00344558"/>
    <w:rsid w:val="00357766"/>
    <w:rsid w:val="00360640"/>
    <w:rsid w:val="00361943"/>
    <w:rsid w:val="00364BBF"/>
    <w:rsid w:val="0036712C"/>
    <w:rsid w:val="00370294"/>
    <w:rsid w:val="0037096E"/>
    <w:rsid w:val="00375362"/>
    <w:rsid w:val="00386EA5"/>
    <w:rsid w:val="003875DE"/>
    <w:rsid w:val="003909C7"/>
    <w:rsid w:val="00392FF5"/>
    <w:rsid w:val="00396096"/>
    <w:rsid w:val="0039795A"/>
    <w:rsid w:val="003A5D6F"/>
    <w:rsid w:val="003A5FA9"/>
    <w:rsid w:val="003B1797"/>
    <w:rsid w:val="003B608A"/>
    <w:rsid w:val="003B7F70"/>
    <w:rsid w:val="003C0D27"/>
    <w:rsid w:val="003C3490"/>
    <w:rsid w:val="003C47D1"/>
    <w:rsid w:val="003D1592"/>
    <w:rsid w:val="003D327F"/>
    <w:rsid w:val="003D5A60"/>
    <w:rsid w:val="003D66E1"/>
    <w:rsid w:val="003E094A"/>
    <w:rsid w:val="003E0BC8"/>
    <w:rsid w:val="003E4909"/>
    <w:rsid w:val="003F2EED"/>
    <w:rsid w:val="00403412"/>
    <w:rsid w:val="00417B41"/>
    <w:rsid w:val="00422498"/>
    <w:rsid w:val="00426B86"/>
    <w:rsid w:val="00427ADF"/>
    <w:rsid w:val="00433941"/>
    <w:rsid w:val="00437B15"/>
    <w:rsid w:val="004628D3"/>
    <w:rsid w:val="00464D90"/>
    <w:rsid w:val="00466899"/>
    <w:rsid w:val="00470F51"/>
    <w:rsid w:val="00471040"/>
    <w:rsid w:val="00473A42"/>
    <w:rsid w:val="00475B53"/>
    <w:rsid w:val="004776BC"/>
    <w:rsid w:val="004812DC"/>
    <w:rsid w:val="00483183"/>
    <w:rsid w:val="00487381"/>
    <w:rsid w:val="004A3AD4"/>
    <w:rsid w:val="004A5F16"/>
    <w:rsid w:val="004A7C52"/>
    <w:rsid w:val="004B76DE"/>
    <w:rsid w:val="004B7CD6"/>
    <w:rsid w:val="004C0BB7"/>
    <w:rsid w:val="004C5864"/>
    <w:rsid w:val="004C7154"/>
    <w:rsid w:val="004C7808"/>
    <w:rsid w:val="004D6294"/>
    <w:rsid w:val="004D6CA8"/>
    <w:rsid w:val="004E0957"/>
    <w:rsid w:val="004E2A18"/>
    <w:rsid w:val="004E327E"/>
    <w:rsid w:val="004E7A88"/>
    <w:rsid w:val="004F0B9C"/>
    <w:rsid w:val="004F382A"/>
    <w:rsid w:val="005041D8"/>
    <w:rsid w:val="005043C5"/>
    <w:rsid w:val="00504D47"/>
    <w:rsid w:val="005066E2"/>
    <w:rsid w:val="005116BB"/>
    <w:rsid w:val="00511892"/>
    <w:rsid w:val="00511BBC"/>
    <w:rsid w:val="00517A67"/>
    <w:rsid w:val="00520503"/>
    <w:rsid w:val="00520739"/>
    <w:rsid w:val="00532F05"/>
    <w:rsid w:val="0054222B"/>
    <w:rsid w:val="0054276E"/>
    <w:rsid w:val="00550E4C"/>
    <w:rsid w:val="005545BF"/>
    <w:rsid w:val="00556F17"/>
    <w:rsid w:val="005579E1"/>
    <w:rsid w:val="00557DF4"/>
    <w:rsid w:val="005639AC"/>
    <w:rsid w:val="00564B57"/>
    <w:rsid w:val="00570081"/>
    <w:rsid w:val="0058499B"/>
    <w:rsid w:val="0058706D"/>
    <w:rsid w:val="0059425F"/>
    <w:rsid w:val="00594EC9"/>
    <w:rsid w:val="005A363B"/>
    <w:rsid w:val="005B492E"/>
    <w:rsid w:val="005D591B"/>
    <w:rsid w:val="005E0E1A"/>
    <w:rsid w:val="005E55DC"/>
    <w:rsid w:val="005E5792"/>
    <w:rsid w:val="005F258E"/>
    <w:rsid w:val="005F5D13"/>
    <w:rsid w:val="005F74F9"/>
    <w:rsid w:val="005F7C61"/>
    <w:rsid w:val="00607EB8"/>
    <w:rsid w:val="00610322"/>
    <w:rsid w:val="00614CD5"/>
    <w:rsid w:val="00624D9B"/>
    <w:rsid w:val="00635337"/>
    <w:rsid w:val="00635A43"/>
    <w:rsid w:val="00641532"/>
    <w:rsid w:val="006458D9"/>
    <w:rsid w:val="00651EED"/>
    <w:rsid w:val="0065795C"/>
    <w:rsid w:val="0066073F"/>
    <w:rsid w:val="0066146B"/>
    <w:rsid w:val="00661800"/>
    <w:rsid w:val="00664EEE"/>
    <w:rsid w:val="006666DF"/>
    <w:rsid w:val="00674C40"/>
    <w:rsid w:val="00685107"/>
    <w:rsid w:val="00690077"/>
    <w:rsid w:val="00691BB2"/>
    <w:rsid w:val="006949BB"/>
    <w:rsid w:val="00694A6D"/>
    <w:rsid w:val="006A0B5D"/>
    <w:rsid w:val="006B20FA"/>
    <w:rsid w:val="006B48DE"/>
    <w:rsid w:val="006C5D2F"/>
    <w:rsid w:val="006D0771"/>
    <w:rsid w:val="006D38C8"/>
    <w:rsid w:val="006D7A26"/>
    <w:rsid w:val="006E287F"/>
    <w:rsid w:val="006E2E2D"/>
    <w:rsid w:val="006E5778"/>
    <w:rsid w:val="006E7D42"/>
    <w:rsid w:val="006F5BA7"/>
    <w:rsid w:val="006F77DD"/>
    <w:rsid w:val="00700088"/>
    <w:rsid w:val="0071483A"/>
    <w:rsid w:val="00717430"/>
    <w:rsid w:val="007204DE"/>
    <w:rsid w:val="00723EEC"/>
    <w:rsid w:val="0072513F"/>
    <w:rsid w:val="00726DD8"/>
    <w:rsid w:val="00733E6E"/>
    <w:rsid w:val="007361A8"/>
    <w:rsid w:val="00737989"/>
    <w:rsid w:val="007443EA"/>
    <w:rsid w:val="00754D7B"/>
    <w:rsid w:val="00756D6F"/>
    <w:rsid w:val="00764AA5"/>
    <w:rsid w:val="0076501D"/>
    <w:rsid w:val="0076765C"/>
    <w:rsid w:val="00767DBE"/>
    <w:rsid w:val="00774018"/>
    <w:rsid w:val="00780F87"/>
    <w:rsid w:val="0078277D"/>
    <w:rsid w:val="0078610B"/>
    <w:rsid w:val="00787E5A"/>
    <w:rsid w:val="007966E9"/>
    <w:rsid w:val="007A22F1"/>
    <w:rsid w:val="007B31A3"/>
    <w:rsid w:val="007B4331"/>
    <w:rsid w:val="007C44B3"/>
    <w:rsid w:val="007C5304"/>
    <w:rsid w:val="007D46D9"/>
    <w:rsid w:val="007E037E"/>
    <w:rsid w:val="007E40C6"/>
    <w:rsid w:val="007F1356"/>
    <w:rsid w:val="007F25F5"/>
    <w:rsid w:val="00804AE9"/>
    <w:rsid w:val="00813833"/>
    <w:rsid w:val="00814668"/>
    <w:rsid w:val="00815ACB"/>
    <w:rsid w:val="00817864"/>
    <w:rsid w:val="008278DD"/>
    <w:rsid w:val="00842D90"/>
    <w:rsid w:val="00847556"/>
    <w:rsid w:val="00852367"/>
    <w:rsid w:val="008620CF"/>
    <w:rsid w:val="00870C46"/>
    <w:rsid w:val="00872EDE"/>
    <w:rsid w:val="00880D37"/>
    <w:rsid w:val="00881EEF"/>
    <w:rsid w:val="00882999"/>
    <w:rsid w:val="00882ACF"/>
    <w:rsid w:val="00886F5E"/>
    <w:rsid w:val="00891442"/>
    <w:rsid w:val="00895EA8"/>
    <w:rsid w:val="008A0356"/>
    <w:rsid w:val="008B1F2C"/>
    <w:rsid w:val="008B67EA"/>
    <w:rsid w:val="008C2E5C"/>
    <w:rsid w:val="008D773F"/>
    <w:rsid w:val="008F0067"/>
    <w:rsid w:val="008F0A43"/>
    <w:rsid w:val="008F327D"/>
    <w:rsid w:val="008F4BF8"/>
    <w:rsid w:val="008F4FDE"/>
    <w:rsid w:val="008F53CE"/>
    <w:rsid w:val="008F6E1D"/>
    <w:rsid w:val="00921F7E"/>
    <w:rsid w:val="00923526"/>
    <w:rsid w:val="00924375"/>
    <w:rsid w:val="00926991"/>
    <w:rsid w:val="00930E2C"/>
    <w:rsid w:val="00932634"/>
    <w:rsid w:val="0094145B"/>
    <w:rsid w:val="00941E04"/>
    <w:rsid w:val="009428BB"/>
    <w:rsid w:val="00944891"/>
    <w:rsid w:val="00945448"/>
    <w:rsid w:val="0095188A"/>
    <w:rsid w:val="0095217A"/>
    <w:rsid w:val="009551C8"/>
    <w:rsid w:val="00955B57"/>
    <w:rsid w:val="009578B3"/>
    <w:rsid w:val="00962A0D"/>
    <w:rsid w:val="0096733B"/>
    <w:rsid w:val="0098226B"/>
    <w:rsid w:val="0098740D"/>
    <w:rsid w:val="0098752C"/>
    <w:rsid w:val="00987A42"/>
    <w:rsid w:val="00990029"/>
    <w:rsid w:val="009954D6"/>
    <w:rsid w:val="00995B8E"/>
    <w:rsid w:val="009A19E8"/>
    <w:rsid w:val="009A29D5"/>
    <w:rsid w:val="009B0C81"/>
    <w:rsid w:val="009B2839"/>
    <w:rsid w:val="009B2E8E"/>
    <w:rsid w:val="009C35FB"/>
    <w:rsid w:val="009C37F9"/>
    <w:rsid w:val="009C5B0D"/>
    <w:rsid w:val="009C6029"/>
    <w:rsid w:val="009C770C"/>
    <w:rsid w:val="009F7F28"/>
    <w:rsid w:val="00A009DE"/>
    <w:rsid w:val="00A0650A"/>
    <w:rsid w:val="00A07D7A"/>
    <w:rsid w:val="00A15D9A"/>
    <w:rsid w:val="00A22378"/>
    <w:rsid w:val="00A33621"/>
    <w:rsid w:val="00A33756"/>
    <w:rsid w:val="00A3480C"/>
    <w:rsid w:val="00A37F3D"/>
    <w:rsid w:val="00A51851"/>
    <w:rsid w:val="00A5503C"/>
    <w:rsid w:val="00A61D90"/>
    <w:rsid w:val="00A64576"/>
    <w:rsid w:val="00A65107"/>
    <w:rsid w:val="00A66168"/>
    <w:rsid w:val="00A71D2C"/>
    <w:rsid w:val="00A77C58"/>
    <w:rsid w:val="00A84DF0"/>
    <w:rsid w:val="00A9160C"/>
    <w:rsid w:val="00AA2B6C"/>
    <w:rsid w:val="00AB6725"/>
    <w:rsid w:val="00AB7707"/>
    <w:rsid w:val="00AC37F0"/>
    <w:rsid w:val="00AC4143"/>
    <w:rsid w:val="00AC7BBE"/>
    <w:rsid w:val="00AD60E3"/>
    <w:rsid w:val="00AD72B1"/>
    <w:rsid w:val="00AD74E6"/>
    <w:rsid w:val="00AE1E4E"/>
    <w:rsid w:val="00AE472A"/>
    <w:rsid w:val="00AF0934"/>
    <w:rsid w:val="00AF1DF0"/>
    <w:rsid w:val="00AF2159"/>
    <w:rsid w:val="00AF481B"/>
    <w:rsid w:val="00AF48FF"/>
    <w:rsid w:val="00AF717F"/>
    <w:rsid w:val="00AF7D57"/>
    <w:rsid w:val="00B00FCB"/>
    <w:rsid w:val="00B0681B"/>
    <w:rsid w:val="00B07C7B"/>
    <w:rsid w:val="00B114BE"/>
    <w:rsid w:val="00B12086"/>
    <w:rsid w:val="00B1216D"/>
    <w:rsid w:val="00B15E15"/>
    <w:rsid w:val="00B1625C"/>
    <w:rsid w:val="00B25969"/>
    <w:rsid w:val="00B31E79"/>
    <w:rsid w:val="00B40CCE"/>
    <w:rsid w:val="00B433D2"/>
    <w:rsid w:val="00B4661B"/>
    <w:rsid w:val="00B47BFE"/>
    <w:rsid w:val="00B51B54"/>
    <w:rsid w:val="00B52030"/>
    <w:rsid w:val="00B52B0A"/>
    <w:rsid w:val="00B6288C"/>
    <w:rsid w:val="00B6320F"/>
    <w:rsid w:val="00B663AB"/>
    <w:rsid w:val="00B7374E"/>
    <w:rsid w:val="00B80A3C"/>
    <w:rsid w:val="00B812C4"/>
    <w:rsid w:val="00B833B1"/>
    <w:rsid w:val="00B91246"/>
    <w:rsid w:val="00B91EB2"/>
    <w:rsid w:val="00B92C18"/>
    <w:rsid w:val="00B93896"/>
    <w:rsid w:val="00B957E9"/>
    <w:rsid w:val="00BA34A4"/>
    <w:rsid w:val="00BB013F"/>
    <w:rsid w:val="00BB33B6"/>
    <w:rsid w:val="00BB4742"/>
    <w:rsid w:val="00BB750D"/>
    <w:rsid w:val="00BC16DF"/>
    <w:rsid w:val="00BC2274"/>
    <w:rsid w:val="00BD139A"/>
    <w:rsid w:val="00BD5C8B"/>
    <w:rsid w:val="00BE09E0"/>
    <w:rsid w:val="00BE193A"/>
    <w:rsid w:val="00BE4A20"/>
    <w:rsid w:val="00BF4B4F"/>
    <w:rsid w:val="00BF529F"/>
    <w:rsid w:val="00C016F0"/>
    <w:rsid w:val="00C053A2"/>
    <w:rsid w:val="00C07035"/>
    <w:rsid w:val="00C10596"/>
    <w:rsid w:val="00C11A55"/>
    <w:rsid w:val="00C1356E"/>
    <w:rsid w:val="00C246A4"/>
    <w:rsid w:val="00C24A51"/>
    <w:rsid w:val="00C25129"/>
    <w:rsid w:val="00C31C79"/>
    <w:rsid w:val="00C371BE"/>
    <w:rsid w:val="00C42098"/>
    <w:rsid w:val="00C44EDD"/>
    <w:rsid w:val="00C47F53"/>
    <w:rsid w:val="00C52F17"/>
    <w:rsid w:val="00C56D7D"/>
    <w:rsid w:val="00C61472"/>
    <w:rsid w:val="00C64EC5"/>
    <w:rsid w:val="00C80653"/>
    <w:rsid w:val="00C80FBE"/>
    <w:rsid w:val="00C910F5"/>
    <w:rsid w:val="00C92F3D"/>
    <w:rsid w:val="00CA0EDA"/>
    <w:rsid w:val="00CA3205"/>
    <w:rsid w:val="00CA5D30"/>
    <w:rsid w:val="00CA7E6B"/>
    <w:rsid w:val="00CB1F94"/>
    <w:rsid w:val="00CB2585"/>
    <w:rsid w:val="00CB2E50"/>
    <w:rsid w:val="00CB3BEC"/>
    <w:rsid w:val="00CB476C"/>
    <w:rsid w:val="00CB6612"/>
    <w:rsid w:val="00CC6CDF"/>
    <w:rsid w:val="00CC70D5"/>
    <w:rsid w:val="00CD3909"/>
    <w:rsid w:val="00CE1BAC"/>
    <w:rsid w:val="00CE1F8D"/>
    <w:rsid w:val="00CE2A98"/>
    <w:rsid w:val="00CE6D3C"/>
    <w:rsid w:val="00D02EE8"/>
    <w:rsid w:val="00D05D96"/>
    <w:rsid w:val="00D17354"/>
    <w:rsid w:val="00D31002"/>
    <w:rsid w:val="00D33BAD"/>
    <w:rsid w:val="00D44F6B"/>
    <w:rsid w:val="00D46719"/>
    <w:rsid w:val="00D46A98"/>
    <w:rsid w:val="00D53411"/>
    <w:rsid w:val="00D5784E"/>
    <w:rsid w:val="00D57D7E"/>
    <w:rsid w:val="00D57E05"/>
    <w:rsid w:val="00D7192E"/>
    <w:rsid w:val="00D727E1"/>
    <w:rsid w:val="00D76AAC"/>
    <w:rsid w:val="00D77E15"/>
    <w:rsid w:val="00D928D0"/>
    <w:rsid w:val="00D92F51"/>
    <w:rsid w:val="00D94862"/>
    <w:rsid w:val="00D97107"/>
    <w:rsid w:val="00DA0342"/>
    <w:rsid w:val="00DB35F6"/>
    <w:rsid w:val="00DB6467"/>
    <w:rsid w:val="00DB6E3D"/>
    <w:rsid w:val="00DD175F"/>
    <w:rsid w:val="00DE3DFA"/>
    <w:rsid w:val="00DF06AF"/>
    <w:rsid w:val="00DF2AFD"/>
    <w:rsid w:val="00DF36AC"/>
    <w:rsid w:val="00DF3B15"/>
    <w:rsid w:val="00DF728D"/>
    <w:rsid w:val="00E02BBB"/>
    <w:rsid w:val="00E0447D"/>
    <w:rsid w:val="00E05794"/>
    <w:rsid w:val="00E12CDF"/>
    <w:rsid w:val="00E21B2E"/>
    <w:rsid w:val="00E241BB"/>
    <w:rsid w:val="00E3680C"/>
    <w:rsid w:val="00E374BC"/>
    <w:rsid w:val="00E37D81"/>
    <w:rsid w:val="00E403ED"/>
    <w:rsid w:val="00E422AF"/>
    <w:rsid w:val="00E47FED"/>
    <w:rsid w:val="00E53B71"/>
    <w:rsid w:val="00E56E38"/>
    <w:rsid w:val="00E778F5"/>
    <w:rsid w:val="00E807A8"/>
    <w:rsid w:val="00E83A97"/>
    <w:rsid w:val="00E864FA"/>
    <w:rsid w:val="00E87FB7"/>
    <w:rsid w:val="00E92368"/>
    <w:rsid w:val="00E94C55"/>
    <w:rsid w:val="00E974A8"/>
    <w:rsid w:val="00EB1580"/>
    <w:rsid w:val="00EB38AF"/>
    <w:rsid w:val="00EB485D"/>
    <w:rsid w:val="00EB5C74"/>
    <w:rsid w:val="00EC52A6"/>
    <w:rsid w:val="00EC5759"/>
    <w:rsid w:val="00ED44FA"/>
    <w:rsid w:val="00ED7A01"/>
    <w:rsid w:val="00ED7B1E"/>
    <w:rsid w:val="00EE2C3A"/>
    <w:rsid w:val="00EF2B7D"/>
    <w:rsid w:val="00EF2FF3"/>
    <w:rsid w:val="00EF3396"/>
    <w:rsid w:val="00EF381A"/>
    <w:rsid w:val="00EF4078"/>
    <w:rsid w:val="00EF42AD"/>
    <w:rsid w:val="00EF6C71"/>
    <w:rsid w:val="00F0056E"/>
    <w:rsid w:val="00F0148B"/>
    <w:rsid w:val="00F05566"/>
    <w:rsid w:val="00F06CF9"/>
    <w:rsid w:val="00F06D2C"/>
    <w:rsid w:val="00F124D0"/>
    <w:rsid w:val="00F247E5"/>
    <w:rsid w:val="00F26E47"/>
    <w:rsid w:val="00F317DD"/>
    <w:rsid w:val="00F43945"/>
    <w:rsid w:val="00F444E3"/>
    <w:rsid w:val="00F446D2"/>
    <w:rsid w:val="00F473C1"/>
    <w:rsid w:val="00F63C6A"/>
    <w:rsid w:val="00F662A9"/>
    <w:rsid w:val="00F75F35"/>
    <w:rsid w:val="00F76138"/>
    <w:rsid w:val="00F90928"/>
    <w:rsid w:val="00FA03B5"/>
    <w:rsid w:val="00FA03D0"/>
    <w:rsid w:val="00FA286C"/>
    <w:rsid w:val="00FA2B4B"/>
    <w:rsid w:val="00FB3BD1"/>
    <w:rsid w:val="00FC7F06"/>
    <w:rsid w:val="00FD0318"/>
    <w:rsid w:val="00FD0BAF"/>
    <w:rsid w:val="00FD6142"/>
    <w:rsid w:val="00FE1831"/>
    <w:rsid w:val="00FE2A47"/>
    <w:rsid w:val="00FE42EC"/>
    <w:rsid w:val="00FE626E"/>
    <w:rsid w:val="00FF428B"/>
    <w:rsid w:val="00FF54B1"/>
    <w:rsid w:val="00FF6CD8"/>
    <w:rsid w:val="00FF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77"/>
    <w:rPr>
      <w:rFonts w:ascii="Times New Roman" w:hAnsi="Times New Roman"/>
    </w:rPr>
  </w:style>
  <w:style w:type="paragraph" w:styleId="Heading1">
    <w:name w:val="heading 1"/>
    <w:basedOn w:val="Normal"/>
    <w:next w:val="Normal"/>
    <w:link w:val="Heading1Char"/>
    <w:uiPriority w:val="9"/>
    <w:qFormat/>
    <w:rsid w:val="0052050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autoRedefine/>
    <w:uiPriority w:val="9"/>
    <w:unhideWhenUsed/>
    <w:qFormat/>
    <w:rsid w:val="00B92C18"/>
    <w:pPr>
      <w:numPr>
        <w:numId w:val="11"/>
      </w:num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050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050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2050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2050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050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050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050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503"/>
    <w:pPr>
      <w:ind w:left="720"/>
      <w:contextualSpacing/>
    </w:pPr>
  </w:style>
  <w:style w:type="character" w:styleId="CommentReference">
    <w:name w:val="annotation reference"/>
    <w:basedOn w:val="DefaultParagraphFont"/>
    <w:uiPriority w:val="99"/>
    <w:semiHidden/>
    <w:unhideWhenUsed/>
    <w:rsid w:val="00F06D2C"/>
    <w:rPr>
      <w:sz w:val="16"/>
      <w:szCs w:val="16"/>
    </w:rPr>
  </w:style>
  <w:style w:type="paragraph" w:styleId="CommentText">
    <w:name w:val="annotation text"/>
    <w:basedOn w:val="Normal"/>
    <w:link w:val="CommentTextChar"/>
    <w:uiPriority w:val="99"/>
    <w:unhideWhenUsed/>
    <w:rsid w:val="00F06D2C"/>
    <w:pPr>
      <w:spacing w:line="240" w:lineRule="auto"/>
    </w:pPr>
    <w:rPr>
      <w:sz w:val="20"/>
      <w:szCs w:val="20"/>
    </w:rPr>
  </w:style>
  <w:style w:type="character" w:customStyle="1" w:styleId="CommentTextChar">
    <w:name w:val="Comment Text Char"/>
    <w:basedOn w:val="DefaultParagraphFont"/>
    <w:link w:val="CommentText"/>
    <w:uiPriority w:val="99"/>
    <w:rsid w:val="00F06D2C"/>
    <w:rPr>
      <w:sz w:val="20"/>
      <w:szCs w:val="20"/>
    </w:rPr>
  </w:style>
  <w:style w:type="paragraph" w:styleId="CommentSubject">
    <w:name w:val="annotation subject"/>
    <w:basedOn w:val="CommentText"/>
    <w:next w:val="CommentText"/>
    <w:link w:val="CommentSubjectChar"/>
    <w:uiPriority w:val="99"/>
    <w:semiHidden/>
    <w:unhideWhenUsed/>
    <w:rsid w:val="00F06D2C"/>
    <w:rPr>
      <w:b/>
      <w:bCs/>
    </w:rPr>
  </w:style>
  <w:style w:type="character" w:customStyle="1" w:styleId="CommentSubjectChar">
    <w:name w:val="Comment Subject Char"/>
    <w:basedOn w:val="CommentTextChar"/>
    <w:link w:val="CommentSubject"/>
    <w:uiPriority w:val="99"/>
    <w:semiHidden/>
    <w:rsid w:val="00F06D2C"/>
    <w:rPr>
      <w:b/>
      <w:bCs/>
      <w:sz w:val="20"/>
      <w:szCs w:val="20"/>
    </w:rPr>
  </w:style>
  <w:style w:type="paragraph" w:styleId="BalloonText">
    <w:name w:val="Balloon Text"/>
    <w:basedOn w:val="Normal"/>
    <w:link w:val="BalloonTextChar"/>
    <w:uiPriority w:val="99"/>
    <w:semiHidden/>
    <w:unhideWhenUsed/>
    <w:rsid w:val="00F06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D2C"/>
    <w:rPr>
      <w:rFonts w:ascii="Tahoma" w:hAnsi="Tahoma" w:cs="Tahoma"/>
      <w:sz w:val="16"/>
      <w:szCs w:val="16"/>
    </w:rPr>
  </w:style>
  <w:style w:type="paragraph" w:customStyle="1" w:styleId="Body125">
    <w:name w:val="Body 1.25"/>
    <w:basedOn w:val="BodyText"/>
    <w:link w:val="Body125Char"/>
    <w:uiPriority w:val="6"/>
    <w:qFormat/>
    <w:rsid w:val="00EE2C3A"/>
    <w:pPr>
      <w:spacing w:before="120" w:line="300" w:lineRule="auto"/>
      <w:ind w:firstLine="720"/>
    </w:pPr>
    <w:rPr>
      <w:rFonts w:cs="Times New Roman"/>
      <w:sz w:val="24"/>
      <w:szCs w:val="24"/>
    </w:rPr>
  </w:style>
  <w:style w:type="character" w:customStyle="1" w:styleId="Body125Char">
    <w:name w:val="Body 1.25 Char"/>
    <w:basedOn w:val="BodyTextChar"/>
    <w:link w:val="Body125"/>
    <w:uiPriority w:val="6"/>
    <w:rsid w:val="00EE2C3A"/>
    <w:rPr>
      <w:rFonts w:ascii="Times New Roman" w:hAnsi="Times New Roman" w:cs="Times New Roman"/>
      <w:sz w:val="24"/>
      <w:szCs w:val="24"/>
    </w:rPr>
  </w:style>
  <w:style w:type="paragraph" w:styleId="BodyText">
    <w:name w:val="Body Text"/>
    <w:basedOn w:val="Normal"/>
    <w:link w:val="BodyTextChar"/>
    <w:uiPriority w:val="99"/>
    <w:semiHidden/>
    <w:unhideWhenUsed/>
    <w:rsid w:val="00EE2C3A"/>
    <w:pPr>
      <w:spacing w:after="120"/>
    </w:pPr>
  </w:style>
  <w:style w:type="character" w:customStyle="1" w:styleId="BodyTextChar">
    <w:name w:val="Body Text Char"/>
    <w:basedOn w:val="DefaultParagraphFont"/>
    <w:link w:val="BodyText"/>
    <w:uiPriority w:val="99"/>
    <w:semiHidden/>
    <w:rsid w:val="00EE2C3A"/>
  </w:style>
  <w:style w:type="character" w:customStyle="1" w:styleId="Heading1Char">
    <w:name w:val="Heading 1 Char"/>
    <w:basedOn w:val="DefaultParagraphFont"/>
    <w:link w:val="Heading1"/>
    <w:uiPriority w:val="9"/>
    <w:rsid w:val="0052050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92C1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050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050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2050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2050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050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050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050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2050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050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050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0503"/>
    <w:rPr>
      <w:rFonts w:asciiTheme="majorHAnsi" w:eastAsiaTheme="majorEastAsia" w:hAnsiTheme="majorHAnsi" w:cstheme="majorBidi"/>
      <w:i/>
      <w:iCs/>
      <w:spacing w:val="13"/>
      <w:sz w:val="24"/>
      <w:szCs w:val="24"/>
    </w:rPr>
  </w:style>
  <w:style w:type="character" w:styleId="Strong">
    <w:name w:val="Strong"/>
    <w:uiPriority w:val="22"/>
    <w:qFormat/>
    <w:rsid w:val="00520503"/>
    <w:rPr>
      <w:b/>
      <w:bCs/>
    </w:rPr>
  </w:style>
  <w:style w:type="character" w:styleId="Emphasis">
    <w:name w:val="Emphasis"/>
    <w:uiPriority w:val="20"/>
    <w:qFormat/>
    <w:rsid w:val="00520503"/>
    <w:rPr>
      <w:b/>
      <w:bCs/>
      <w:i/>
      <w:iCs/>
      <w:spacing w:val="10"/>
      <w:bdr w:val="none" w:sz="0" w:space="0" w:color="auto"/>
      <w:shd w:val="clear" w:color="auto" w:fill="auto"/>
    </w:rPr>
  </w:style>
  <w:style w:type="paragraph" w:styleId="NoSpacing">
    <w:name w:val="No Spacing"/>
    <w:basedOn w:val="Normal"/>
    <w:uiPriority w:val="1"/>
    <w:qFormat/>
    <w:rsid w:val="00520503"/>
    <w:pPr>
      <w:spacing w:after="0" w:line="240" w:lineRule="auto"/>
    </w:pPr>
  </w:style>
  <w:style w:type="paragraph" w:styleId="Quote">
    <w:name w:val="Quote"/>
    <w:basedOn w:val="Normal"/>
    <w:next w:val="Normal"/>
    <w:link w:val="QuoteChar"/>
    <w:uiPriority w:val="29"/>
    <w:qFormat/>
    <w:rsid w:val="00520503"/>
    <w:pPr>
      <w:spacing w:before="200" w:after="0"/>
      <w:ind w:left="360" w:right="360"/>
    </w:pPr>
    <w:rPr>
      <w:i/>
      <w:iCs/>
    </w:rPr>
  </w:style>
  <w:style w:type="character" w:customStyle="1" w:styleId="QuoteChar">
    <w:name w:val="Quote Char"/>
    <w:basedOn w:val="DefaultParagraphFont"/>
    <w:link w:val="Quote"/>
    <w:uiPriority w:val="29"/>
    <w:rsid w:val="00520503"/>
    <w:rPr>
      <w:i/>
      <w:iCs/>
    </w:rPr>
  </w:style>
  <w:style w:type="paragraph" w:styleId="IntenseQuote">
    <w:name w:val="Intense Quote"/>
    <w:basedOn w:val="Normal"/>
    <w:next w:val="Normal"/>
    <w:link w:val="IntenseQuoteChar"/>
    <w:uiPriority w:val="30"/>
    <w:qFormat/>
    <w:rsid w:val="0052050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0503"/>
    <w:rPr>
      <w:b/>
      <w:bCs/>
      <w:i/>
      <w:iCs/>
    </w:rPr>
  </w:style>
  <w:style w:type="character" w:styleId="SubtleEmphasis">
    <w:name w:val="Subtle Emphasis"/>
    <w:uiPriority w:val="19"/>
    <w:qFormat/>
    <w:rsid w:val="00520503"/>
    <w:rPr>
      <w:i/>
      <w:iCs/>
    </w:rPr>
  </w:style>
  <w:style w:type="character" w:styleId="IntenseEmphasis">
    <w:name w:val="Intense Emphasis"/>
    <w:uiPriority w:val="21"/>
    <w:qFormat/>
    <w:rsid w:val="00520503"/>
    <w:rPr>
      <w:b/>
      <w:bCs/>
    </w:rPr>
  </w:style>
  <w:style w:type="character" w:styleId="SubtleReference">
    <w:name w:val="Subtle Reference"/>
    <w:uiPriority w:val="31"/>
    <w:qFormat/>
    <w:rsid w:val="00520503"/>
    <w:rPr>
      <w:smallCaps/>
    </w:rPr>
  </w:style>
  <w:style w:type="character" w:styleId="IntenseReference">
    <w:name w:val="Intense Reference"/>
    <w:uiPriority w:val="32"/>
    <w:qFormat/>
    <w:rsid w:val="00520503"/>
    <w:rPr>
      <w:smallCaps/>
      <w:spacing w:val="5"/>
      <w:u w:val="single"/>
    </w:rPr>
  </w:style>
  <w:style w:type="character" w:styleId="BookTitle">
    <w:name w:val="Book Title"/>
    <w:uiPriority w:val="33"/>
    <w:qFormat/>
    <w:rsid w:val="00520503"/>
    <w:rPr>
      <w:i/>
      <w:iCs/>
      <w:smallCaps/>
      <w:spacing w:val="5"/>
    </w:rPr>
  </w:style>
  <w:style w:type="paragraph" w:styleId="TOCHeading">
    <w:name w:val="TOC Heading"/>
    <w:basedOn w:val="Heading1"/>
    <w:next w:val="Normal"/>
    <w:uiPriority w:val="39"/>
    <w:semiHidden/>
    <w:unhideWhenUsed/>
    <w:qFormat/>
    <w:rsid w:val="00520503"/>
    <w:pPr>
      <w:outlineLvl w:val="9"/>
    </w:pPr>
    <w:rPr>
      <w:lang w:bidi="en-US"/>
    </w:rPr>
  </w:style>
  <w:style w:type="paragraph" w:customStyle="1" w:styleId="BulletList">
    <w:name w:val="Bullet List"/>
    <w:basedOn w:val="NoSpacing"/>
    <w:link w:val="BulletListChar"/>
    <w:qFormat/>
    <w:rsid w:val="00433941"/>
    <w:pPr>
      <w:numPr>
        <w:numId w:val="3"/>
      </w:numPr>
    </w:pPr>
    <w:rPr>
      <w:rFonts w:eastAsia="Times New Roman"/>
    </w:rPr>
  </w:style>
  <w:style w:type="character" w:customStyle="1" w:styleId="BulletListChar">
    <w:name w:val="Bullet List Char"/>
    <w:basedOn w:val="Body125Char"/>
    <w:link w:val="BulletList"/>
    <w:rsid w:val="00433941"/>
    <w:rPr>
      <w:rFonts w:ascii="Times New Roman" w:eastAsia="Times New Roman" w:hAnsi="Times New Roman" w:cs="Times New Roman"/>
      <w:sz w:val="24"/>
      <w:szCs w:val="24"/>
    </w:rPr>
  </w:style>
  <w:style w:type="numbering" w:customStyle="1" w:styleId="Style1">
    <w:name w:val="Style1"/>
    <w:uiPriority w:val="99"/>
    <w:rsid w:val="00B1625C"/>
    <w:pPr>
      <w:numPr>
        <w:numId w:val="2"/>
      </w:numPr>
    </w:pPr>
  </w:style>
  <w:style w:type="paragraph" w:customStyle="1" w:styleId="HeadingOMB2">
    <w:name w:val="Heading OMB2"/>
    <w:basedOn w:val="Heading2"/>
    <w:rsid w:val="00D5784E"/>
    <w:pPr>
      <w:keepNext/>
      <w:spacing w:before="0" w:after="0" w:line="240" w:lineRule="auto"/>
      <w:ind w:left="0" w:firstLine="0"/>
    </w:pPr>
    <w:rPr>
      <w:rFonts w:ascii="Arial" w:eastAsia="Times New Roman" w:hAnsi="Arial" w:cs="Times New Roman"/>
      <w:i/>
      <w:iCs/>
      <w:sz w:val="24"/>
      <w:szCs w:val="24"/>
    </w:rPr>
  </w:style>
  <w:style w:type="table" w:styleId="TableGrid">
    <w:name w:val="Table Grid"/>
    <w:basedOn w:val="TableNormal"/>
    <w:uiPriority w:val="59"/>
    <w:rsid w:val="008F327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1-ResParaChar">
    <w:name w:val="R1-Res. Para Char"/>
    <w:basedOn w:val="DefaultParagraphFont"/>
    <w:link w:val="R1-ResPara"/>
    <w:locked/>
    <w:rsid w:val="003172EB"/>
    <w:rPr>
      <w:rFonts w:ascii="Garamond" w:hAnsi="Garamond"/>
    </w:rPr>
  </w:style>
  <w:style w:type="paragraph" w:customStyle="1" w:styleId="R1-ResPara">
    <w:name w:val="R1-Res. Para"/>
    <w:basedOn w:val="Normal"/>
    <w:link w:val="R1-ResParaChar"/>
    <w:rsid w:val="003172EB"/>
    <w:pPr>
      <w:spacing w:after="0" w:line="240" w:lineRule="atLeast"/>
      <w:ind w:left="288"/>
    </w:pPr>
    <w:rPr>
      <w:rFonts w:ascii="Garamond" w:hAnsi="Garamond"/>
    </w:rPr>
  </w:style>
  <w:style w:type="paragraph" w:styleId="Header">
    <w:name w:val="header"/>
    <w:basedOn w:val="Normal"/>
    <w:link w:val="HeaderChar"/>
    <w:uiPriority w:val="99"/>
    <w:unhideWhenUsed/>
    <w:rsid w:val="00F75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F35"/>
  </w:style>
  <w:style w:type="paragraph" w:styleId="Footer">
    <w:name w:val="footer"/>
    <w:basedOn w:val="Normal"/>
    <w:link w:val="FooterChar"/>
    <w:uiPriority w:val="99"/>
    <w:unhideWhenUsed/>
    <w:rsid w:val="00F75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F35"/>
  </w:style>
  <w:style w:type="paragraph" w:customStyle="1" w:styleId="H1">
    <w:name w:val="H1"/>
    <w:basedOn w:val="Normal"/>
    <w:next w:val="Normal"/>
    <w:uiPriority w:val="99"/>
    <w:rsid w:val="00BB750D"/>
    <w:pPr>
      <w:keepNext/>
      <w:autoSpaceDE w:val="0"/>
      <w:autoSpaceDN w:val="0"/>
      <w:adjustRightInd w:val="0"/>
      <w:spacing w:before="100" w:after="100" w:line="240" w:lineRule="auto"/>
      <w:outlineLvl w:val="1"/>
    </w:pPr>
    <w:rPr>
      <w:rFonts w:cs="Times New Roman"/>
      <w:b/>
      <w:bCs/>
      <w:kern w:val="36"/>
      <w:sz w:val="48"/>
      <w:szCs w:val="48"/>
    </w:rPr>
  </w:style>
  <w:style w:type="character" w:styleId="Hyperlink">
    <w:name w:val="Hyperlink"/>
    <w:basedOn w:val="DefaultParagraphFont"/>
    <w:uiPriority w:val="99"/>
    <w:rsid w:val="00BB750D"/>
    <w:rPr>
      <w:color w:val="0000FF"/>
      <w:u w:val="single"/>
    </w:rPr>
  </w:style>
  <w:style w:type="paragraph" w:styleId="FootnoteText">
    <w:name w:val="footnote text"/>
    <w:basedOn w:val="Normal"/>
    <w:link w:val="FootnoteTextChar"/>
    <w:uiPriority w:val="99"/>
    <w:unhideWhenUsed/>
    <w:rsid w:val="0037096E"/>
    <w:pPr>
      <w:spacing w:after="0" w:line="240" w:lineRule="auto"/>
    </w:pPr>
    <w:rPr>
      <w:sz w:val="20"/>
      <w:szCs w:val="20"/>
    </w:rPr>
  </w:style>
  <w:style w:type="character" w:customStyle="1" w:styleId="FootnoteTextChar">
    <w:name w:val="Footnote Text Char"/>
    <w:basedOn w:val="DefaultParagraphFont"/>
    <w:link w:val="FootnoteText"/>
    <w:uiPriority w:val="99"/>
    <w:rsid w:val="0037096E"/>
    <w:rPr>
      <w:sz w:val="20"/>
      <w:szCs w:val="20"/>
    </w:rPr>
  </w:style>
  <w:style w:type="character" w:styleId="FootnoteReference">
    <w:name w:val="footnote reference"/>
    <w:basedOn w:val="DefaultParagraphFont"/>
    <w:uiPriority w:val="99"/>
    <w:unhideWhenUsed/>
    <w:rsid w:val="0037096E"/>
    <w:rPr>
      <w:vertAlign w:val="superscript"/>
    </w:rPr>
  </w:style>
  <w:style w:type="paragraph" w:customStyle="1" w:styleId="Default">
    <w:name w:val="Default"/>
    <w:rsid w:val="00924375"/>
    <w:pPr>
      <w:autoSpaceDE w:val="0"/>
      <w:autoSpaceDN w:val="0"/>
      <w:adjustRightInd w:val="0"/>
      <w:spacing w:after="0" w:line="240" w:lineRule="auto"/>
    </w:pPr>
    <w:rPr>
      <w:rFonts w:ascii="Calibri" w:hAnsi="Calibri" w:cs="Calibri"/>
      <w:color w:val="000000"/>
      <w:sz w:val="24"/>
      <w:szCs w:val="24"/>
    </w:rPr>
  </w:style>
  <w:style w:type="paragraph" w:customStyle="1" w:styleId="BodySingle">
    <w:name w:val="Body Single"/>
    <w:basedOn w:val="BodyText"/>
    <w:link w:val="BodySingleChar"/>
    <w:qFormat/>
    <w:rsid w:val="00556F17"/>
    <w:pPr>
      <w:spacing w:line="240" w:lineRule="auto"/>
      <w:ind w:firstLine="720"/>
    </w:pPr>
    <w:rPr>
      <w:rFonts w:eastAsiaTheme="minorHAnsi" w:cs="Times New Roman"/>
      <w:sz w:val="24"/>
      <w:szCs w:val="24"/>
    </w:rPr>
  </w:style>
  <w:style w:type="character" w:customStyle="1" w:styleId="BodySingleChar">
    <w:name w:val="Body Single Char"/>
    <w:basedOn w:val="BodyTextChar"/>
    <w:link w:val="BodySingle"/>
    <w:rsid w:val="00556F17"/>
    <w:rPr>
      <w:rFonts w:ascii="Times New Roman" w:eastAsiaTheme="minorHAnsi" w:hAnsi="Times New Roman" w:cs="Times New Roman"/>
      <w:sz w:val="24"/>
      <w:szCs w:val="24"/>
    </w:rPr>
  </w:style>
  <w:style w:type="paragraph" w:customStyle="1" w:styleId="FootnoteBody">
    <w:name w:val="Footnote Body"/>
    <w:basedOn w:val="Normal"/>
    <w:qFormat/>
    <w:rsid w:val="00D92F51"/>
    <w:pPr>
      <w:spacing w:after="0" w:line="240" w:lineRule="auto"/>
    </w:pPr>
    <w:rPr>
      <w:rFonts w:eastAsia="Times New Roman" w:cs="Times New Roman"/>
      <w:sz w:val="20"/>
      <w:szCs w:val="24"/>
    </w:rPr>
  </w:style>
  <w:style w:type="paragraph" w:styleId="TOC1">
    <w:name w:val="toc 1"/>
    <w:basedOn w:val="Normal"/>
    <w:next w:val="Normal"/>
    <w:autoRedefine/>
    <w:uiPriority w:val="39"/>
    <w:unhideWhenUsed/>
    <w:rsid w:val="00A51851"/>
    <w:pPr>
      <w:tabs>
        <w:tab w:val="right" w:leader="dot" w:pos="9350"/>
      </w:tabs>
      <w:spacing w:after="100"/>
    </w:pPr>
    <w:rPr>
      <w:b/>
      <w:noProof/>
    </w:rPr>
  </w:style>
  <w:style w:type="paragraph" w:styleId="TOC2">
    <w:name w:val="toc 2"/>
    <w:basedOn w:val="Normal"/>
    <w:next w:val="Normal"/>
    <w:autoRedefine/>
    <w:uiPriority w:val="39"/>
    <w:unhideWhenUsed/>
    <w:rsid w:val="00726DD8"/>
    <w:pPr>
      <w:spacing w:after="100"/>
      <w:ind w:left="220"/>
    </w:pPr>
  </w:style>
  <w:style w:type="paragraph" w:styleId="TOC3">
    <w:name w:val="toc 3"/>
    <w:basedOn w:val="Normal"/>
    <w:next w:val="Normal"/>
    <w:autoRedefine/>
    <w:uiPriority w:val="39"/>
    <w:unhideWhenUsed/>
    <w:rsid w:val="00726DD8"/>
    <w:pPr>
      <w:spacing w:after="100"/>
      <w:ind w:left="440"/>
    </w:pPr>
  </w:style>
  <w:style w:type="paragraph" w:styleId="Revision">
    <w:name w:val="Revision"/>
    <w:hidden/>
    <w:uiPriority w:val="99"/>
    <w:semiHidden/>
    <w:rsid w:val="004E0957"/>
    <w:pPr>
      <w:spacing w:after="0" w:line="240" w:lineRule="auto"/>
    </w:pPr>
    <w:rPr>
      <w:rFonts w:eastAsiaTheme="minorHAnsi"/>
    </w:rPr>
  </w:style>
  <w:style w:type="table" w:customStyle="1" w:styleId="TableGrid1">
    <w:name w:val="Table Grid1"/>
    <w:basedOn w:val="TableNormal"/>
    <w:next w:val="TableGrid"/>
    <w:uiPriority w:val="59"/>
    <w:rsid w:val="004E095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3">
    <w:name w:val="CM73"/>
    <w:basedOn w:val="Normal"/>
    <w:next w:val="Normal"/>
    <w:uiPriority w:val="99"/>
    <w:rsid w:val="004E0957"/>
    <w:pPr>
      <w:autoSpaceDE w:val="0"/>
      <w:autoSpaceDN w:val="0"/>
      <w:adjustRightInd w:val="0"/>
      <w:spacing w:after="0" w:line="240" w:lineRule="auto"/>
    </w:pPr>
    <w:rPr>
      <w:rFonts w:eastAsiaTheme="minorHAnsi" w:cs="Times New Roman"/>
      <w:sz w:val="24"/>
      <w:szCs w:val="24"/>
    </w:rPr>
  </w:style>
  <w:style w:type="paragraph" w:styleId="PlainText">
    <w:name w:val="Plain Text"/>
    <w:basedOn w:val="Normal"/>
    <w:link w:val="PlainTextChar"/>
    <w:uiPriority w:val="99"/>
    <w:semiHidden/>
    <w:unhideWhenUsed/>
    <w:rsid w:val="004E0957"/>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4E0957"/>
    <w:rPr>
      <w:rFonts w:ascii="Calibri" w:eastAsiaTheme="minorHAnsi" w:hAnsi="Calibri" w:cs="Consolas"/>
      <w:szCs w:val="21"/>
    </w:rPr>
  </w:style>
  <w:style w:type="numbering" w:customStyle="1" w:styleId="NoList1">
    <w:name w:val="No List1"/>
    <w:next w:val="NoList"/>
    <w:uiPriority w:val="99"/>
    <w:semiHidden/>
    <w:unhideWhenUsed/>
    <w:rsid w:val="006C5D2F"/>
  </w:style>
  <w:style w:type="table" w:customStyle="1" w:styleId="TableGrid2">
    <w:name w:val="Table Grid2"/>
    <w:basedOn w:val="TableNormal"/>
    <w:next w:val="TableGrid"/>
    <w:uiPriority w:val="59"/>
    <w:rsid w:val="006C5D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C5D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77"/>
    <w:rPr>
      <w:rFonts w:ascii="Times New Roman" w:hAnsi="Times New Roman"/>
    </w:rPr>
  </w:style>
  <w:style w:type="paragraph" w:styleId="Heading1">
    <w:name w:val="heading 1"/>
    <w:basedOn w:val="Normal"/>
    <w:next w:val="Normal"/>
    <w:link w:val="Heading1Char"/>
    <w:uiPriority w:val="9"/>
    <w:qFormat/>
    <w:rsid w:val="0052050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autoRedefine/>
    <w:uiPriority w:val="9"/>
    <w:unhideWhenUsed/>
    <w:qFormat/>
    <w:rsid w:val="00B92C18"/>
    <w:pPr>
      <w:numPr>
        <w:numId w:val="11"/>
      </w:num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050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050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2050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2050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050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050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050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503"/>
    <w:pPr>
      <w:ind w:left="720"/>
      <w:contextualSpacing/>
    </w:pPr>
  </w:style>
  <w:style w:type="character" w:styleId="CommentReference">
    <w:name w:val="annotation reference"/>
    <w:basedOn w:val="DefaultParagraphFont"/>
    <w:uiPriority w:val="99"/>
    <w:semiHidden/>
    <w:unhideWhenUsed/>
    <w:rsid w:val="00F06D2C"/>
    <w:rPr>
      <w:sz w:val="16"/>
      <w:szCs w:val="16"/>
    </w:rPr>
  </w:style>
  <w:style w:type="paragraph" w:styleId="CommentText">
    <w:name w:val="annotation text"/>
    <w:basedOn w:val="Normal"/>
    <w:link w:val="CommentTextChar"/>
    <w:uiPriority w:val="99"/>
    <w:unhideWhenUsed/>
    <w:rsid w:val="00F06D2C"/>
    <w:pPr>
      <w:spacing w:line="240" w:lineRule="auto"/>
    </w:pPr>
    <w:rPr>
      <w:sz w:val="20"/>
      <w:szCs w:val="20"/>
    </w:rPr>
  </w:style>
  <w:style w:type="character" w:customStyle="1" w:styleId="CommentTextChar">
    <w:name w:val="Comment Text Char"/>
    <w:basedOn w:val="DefaultParagraphFont"/>
    <w:link w:val="CommentText"/>
    <w:uiPriority w:val="99"/>
    <w:rsid w:val="00F06D2C"/>
    <w:rPr>
      <w:sz w:val="20"/>
      <w:szCs w:val="20"/>
    </w:rPr>
  </w:style>
  <w:style w:type="paragraph" w:styleId="CommentSubject">
    <w:name w:val="annotation subject"/>
    <w:basedOn w:val="CommentText"/>
    <w:next w:val="CommentText"/>
    <w:link w:val="CommentSubjectChar"/>
    <w:uiPriority w:val="99"/>
    <w:semiHidden/>
    <w:unhideWhenUsed/>
    <w:rsid w:val="00F06D2C"/>
    <w:rPr>
      <w:b/>
      <w:bCs/>
    </w:rPr>
  </w:style>
  <w:style w:type="character" w:customStyle="1" w:styleId="CommentSubjectChar">
    <w:name w:val="Comment Subject Char"/>
    <w:basedOn w:val="CommentTextChar"/>
    <w:link w:val="CommentSubject"/>
    <w:uiPriority w:val="99"/>
    <w:semiHidden/>
    <w:rsid w:val="00F06D2C"/>
    <w:rPr>
      <w:b/>
      <w:bCs/>
      <w:sz w:val="20"/>
      <w:szCs w:val="20"/>
    </w:rPr>
  </w:style>
  <w:style w:type="paragraph" w:styleId="BalloonText">
    <w:name w:val="Balloon Text"/>
    <w:basedOn w:val="Normal"/>
    <w:link w:val="BalloonTextChar"/>
    <w:uiPriority w:val="99"/>
    <w:semiHidden/>
    <w:unhideWhenUsed/>
    <w:rsid w:val="00F06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D2C"/>
    <w:rPr>
      <w:rFonts w:ascii="Tahoma" w:hAnsi="Tahoma" w:cs="Tahoma"/>
      <w:sz w:val="16"/>
      <w:szCs w:val="16"/>
    </w:rPr>
  </w:style>
  <w:style w:type="paragraph" w:customStyle="1" w:styleId="Body125">
    <w:name w:val="Body 1.25"/>
    <w:basedOn w:val="BodyText"/>
    <w:link w:val="Body125Char"/>
    <w:uiPriority w:val="6"/>
    <w:qFormat/>
    <w:rsid w:val="00EE2C3A"/>
    <w:pPr>
      <w:spacing w:before="120" w:line="300" w:lineRule="auto"/>
      <w:ind w:firstLine="720"/>
    </w:pPr>
    <w:rPr>
      <w:rFonts w:cs="Times New Roman"/>
      <w:sz w:val="24"/>
      <w:szCs w:val="24"/>
    </w:rPr>
  </w:style>
  <w:style w:type="character" w:customStyle="1" w:styleId="Body125Char">
    <w:name w:val="Body 1.25 Char"/>
    <w:basedOn w:val="BodyTextChar"/>
    <w:link w:val="Body125"/>
    <w:uiPriority w:val="6"/>
    <w:rsid w:val="00EE2C3A"/>
    <w:rPr>
      <w:rFonts w:ascii="Times New Roman" w:hAnsi="Times New Roman" w:cs="Times New Roman"/>
      <w:sz w:val="24"/>
      <w:szCs w:val="24"/>
    </w:rPr>
  </w:style>
  <w:style w:type="paragraph" w:styleId="BodyText">
    <w:name w:val="Body Text"/>
    <w:basedOn w:val="Normal"/>
    <w:link w:val="BodyTextChar"/>
    <w:uiPriority w:val="99"/>
    <w:semiHidden/>
    <w:unhideWhenUsed/>
    <w:rsid w:val="00EE2C3A"/>
    <w:pPr>
      <w:spacing w:after="120"/>
    </w:pPr>
  </w:style>
  <w:style w:type="character" w:customStyle="1" w:styleId="BodyTextChar">
    <w:name w:val="Body Text Char"/>
    <w:basedOn w:val="DefaultParagraphFont"/>
    <w:link w:val="BodyText"/>
    <w:uiPriority w:val="99"/>
    <w:semiHidden/>
    <w:rsid w:val="00EE2C3A"/>
  </w:style>
  <w:style w:type="character" w:customStyle="1" w:styleId="Heading1Char">
    <w:name w:val="Heading 1 Char"/>
    <w:basedOn w:val="DefaultParagraphFont"/>
    <w:link w:val="Heading1"/>
    <w:uiPriority w:val="9"/>
    <w:rsid w:val="0052050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92C1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050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050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2050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2050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050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050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050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2050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050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050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0503"/>
    <w:rPr>
      <w:rFonts w:asciiTheme="majorHAnsi" w:eastAsiaTheme="majorEastAsia" w:hAnsiTheme="majorHAnsi" w:cstheme="majorBidi"/>
      <w:i/>
      <w:iCs/>
      <w:spacing w:val="13"/>
      <w:sz w:val="24"/>
      <w:szCs w:val="24"/>
    </w:rPr>
  </w:style>
  <w:style w:type="character" w:styleId="Strong">
    <w:name w:val="Strong"/>
    <w:uiPriority w:val="22"/>
    <w:qFormat/>
    <w:rsid w:val="00520503"/>
    <w:rPr>
      <w:b/>
      <w:bCs/>
    </w:rPr>
  </w:style>
  <w:style w:type="character" w:styleId="Emphasis">
    <w:name w:val="Emphasis"/>
    <w:uiPriority w:val="20"/>
    <w:qFormat/>
    <w:rsid w:val="00520503"/>
    <w:rPr>
      <w:b/>
      <w:bCs/>
      <w:i/>
      <w:iCs/>
      <w:spacing w:val="10"/>
      <w:bdr w:val="none" w:sz="0" w:space="0" w:color="auto"/>
      <w:shd w:val="clear" w:color="auto" w:fill="auto"/>
    </w:rPr>
  </w:style>
  <w:style w:type="paragraph" w:styleId="NoSpacing">
    <w:name w:val="No Spacing"/>
    <w:basedOn w:val="Normal"/>
    <w:uiPriority w:val="1"/>
    <w:qFormat/>
    <w:rsid w:val="00520503"/>
    <w:pPr>
      <w:spacing w:after="0" w:line="240" w:lineRule="auto"/>
    </w:pPr>
  </w:style>
  <w:style w:type="paragraph" w:styleId="Quote">
    <w:name w:val="Quote"/>
    <w:basedOn w:val="Normal"/>
    <w:next w:val="Normal"/>
    <w:link w:val="QuoteChar"/>
    <w:uiPriority w:val="29"/>
    <w:qFormat/>
    <w:rsid w:val="00520503"/>
    <w:pPr>
      <w:spacing w:before="200" w:after="0"/>
      <w:ind w:left="360" w:right="360"/>
    </w:pPr>
    <w:rPr>
      <w:i/>
      <w:iCs/>
    </w:rPr>
  </w:style>
  <w:style w:type="character" w:customStyle="1" w:styleId="QuoteChar">
    <w:name w:val="Quote Char"/>
    <w:basedOn w:val="DefaultParagraphFont"/>
    <w:link w:val="Quote"/>
    <w:uiPriority w:val="29"/>
    <w:rsid w:val="00520503"/>
    <w:rPr>
      <w:i/>
      <w:iCs/>
    </w:rPr>
  </w:style>
  <w:style w:type="paragraph" w:styleId="IntenseQuote">
    <w:name w:val="Intense Quote"/>
    <w:basedOn w:val="Normal"/>
    <w:next w:val="Normal"/>
    <w:link w:val="IntenseQuoteChar"/>
    <w:uiPriority w:val="30"/>
    <w:qFormat/>
    <w:rsid w:val="0052050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0503"/>
    <w:rPr>
      <w:b/>
      <w:bCs/>
      <w:i/>
      <w:iCs/>
    </w:rPr>
  </w:style>
  <w:style w:type="character" w:styleId="SubtleEmphasis">
    <w:name w:val="Subtle Emphasis"/>
    <w:uiPriority w:val="19"/>
    <w:qFormat/>
    <w:rsid w:val="00520503"/>
    <w:rPr>
      <w:i/>
      <w:iCs/>
    </w:rPr>
  </w:style>
  <w:style w:type="character" w:styleId="IntenseEmphasis">
    <w:name w:val="Intense Emphasis"/>
    <w:uiPriority w:val="21"/>
    <w:qFormat/>
    <w:rsid w:val="00520503"/>
    <w:rPr>
      <w:b/>
      <w:bCs/>
    </w:rPr>
  </w:style>
  <w:style w:type="character" w:styleId="SubtleReference">
    <w:name w:val="Subtle Reference"/>
    <w:uiPriority w:val="31"/>
    <w:qFormat/>
    <w:rsid w:val="00520503"/>
    <w:rPr>
      <w:smallCaps/>
    </w:rPr>
  </w:style>
  <w:style w:type="character" w:styleId="IntenseReference">
    <w:name w:val="Intense Reference"/>
    <w:uiPriority w:val="32"/>
    <w:qFormat/>
    <w:rsid w:val="00520503"/>
    <w:rPr>
      <w:smallCaps/>
      <w:spacing w:val="5"/>
      <w:u w:val="single"/>
    </w:rPr>
  </w:style>
  <w:style w:type="character" w:styleId="BookTitle">
    <w:name w:val="Book Title"/>
    <w:uiPriority w:val="33"/>
    <w:qFormat/>
    <w:rsid w:val="00520503"/>
    <w:rPr>
      <w:i/>
      <w:iCs/>
      <w:smallCaps/>
      <w:spacing w:val="5"/>
    </w:rPr>
  </w:style>
  <w:style w:type="paragraph" w:styleId="TOCHeading">
    <w:name w:val="TOC Heading"/>
    <w:basedOn w:val="Heading1"/>
    <w:next w:val="Normal"/>
    <w:uiPriority w:val="39"/>
    <w:semiHidden/>
    <w:unhideWhenUsed/>
    <w:qFormat/>
    <w:rsid w:val="00520503"/>
    <w:pPr>
      <w:outlineLvl w:val="9"/>
    </w:pPr>
    <w:rPr>
      <w:lang w:bidi="en-US"/>
    </w:rPr>
  </w:style>
  <w:style w:type="paragraph" w:customStyle="1" w:styleId="BulletList">
    <w:name w:val="Bullet List"/>
    <w:basedOn w:val="NoSpacing"/>
    <w:link w:val="BulletListChar"/>
    <w:qFormat/>
    <w:rsid w:val="00433941"/>
    <w:pPr>
      <w:numPr>
        <w:numId w:val="3"/>
      </w:numPr>
    </w:pPr>
    <w:rPr>
      <w:rFonts w:eastAsia="Times New Roman"/>
    </w:rPr>
  </w:style>
  <w:style w:type="character" w:customStyle="1" w:styleId="BulletListChar">
    <w:name w:val="Bullet List Char"/>
    <w:basedOn w:val="Body125Char"/>
    <w:link w:val="BulletList"/>
    <w:rsid w:val="00433941"/>
    <w:rPr>
      <w:rFonts w:ascii="Times New Roman" w:eastAsia="Times New Roman" w:hAnsi="Times New Roman" w:cs="Times New Roman"/>
      <w:sz w:val="24"/>
      <w:szCs w:val="24"/>
    </w:rPr>
  </w:style>
  <w:style w:type="numbering" w:customStyle="1" w:styleId="Style1">
    <w:name w:val="Style1"/>
    <w:uiPriority w:val="99"/>
    <w:rsid w:val="00B1625C"/>
    <w:pPr>
      <w:numPr>
        <w:numId w:val="2"/>
      </w:numPr>
    </w:pPr>
  </w:style>
  <w:style w:type="paragraph" w:customStyle="1" w:styleId="HeadingOMB2">
    <w:name w:val="Heading OMB2"/>
    <w:basedOn w:val="Heading2"/>
    <w:rsid w:val="00D5784E"/>
    <w:pPr>
      <w:keepNext/>
      <w:spacing w:before="0" w:after="0" w:line="240" w:lineRule="auto"/>
      <w:ind w:left="0" w:firstLine="0"/>
    </w:pPr>
    <w:rPr>
      <w:rFonts w:ascii="Arial" w:eastAsia="Times New Roman" w:hAnsi="Arial" w:cs="Times New Roman"/>
      <w:i/>
      <w:iCs/>
      <w:sz w:val="24"/>
      <w:szCs w:val="24"/>
    </w:rPr>
  </w:style>
  <w:style w:type="table" w:styleId="TableGrid">
    <w:name w:val="Table Grid"/>
    <w:basedOn w:val="TableNormal"/>
    <w:uiPriority w:val="59"/>
    <w:rsid w:val="008F327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1-ResParaChar">
    <w:name w:val="R1-Res. Para Char"/>
    <w:basedOn w:val="DefaultParagraphFont"/>
    <w:link w:val="R1-ResPara"/>
    <w:locked/>
    <w:rsid w:val="003172EB"/>
    <w:rPr>
      <w:rFonts w:ascii="Garamond" w:hAnsi="Garamond"/>
    </w:rPr>
  </w:style>
  <w:style w:type="paragraph" w:customStyle="1" w:styleId="R1-ResPara">
    <w:name w:val="R1-Res. Para"/>
    <w:basedOn w:val="Normal"/>
    <w:link w:val="R1-ResParaChar"/>
    <w:rsid w:val="003172EB"/>
    <w:pPr>
      <w:spacing w:after="0" w:line="240" w:lineRule="atLeast"/>
      <w:ind w:left="288"/>
    </w:pPr>
    <w:rPr>
      <w:rFonts w:ascii="Garamond" w:hAnsi="Garamond"/>
    </w:rPr>
  </w:style>
  <w:style w:type="paragraph" w:styleId="Header">
    <w:name w:val="header"/>
    <w:basedOn w:val="Normal"/>
    <w:link w:val="HeaderChar"/>
    <w:uiPriority w:val="99"/>
    <w:unhideWhenUsed/>
    <w:rsid w:val="00F75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F35"/>
  </w:style>
  <w:style w:type="paragraph" w:styleId="Footer">
    <w:name w:val="footer"/>
    <w:basedOn w:val="Normal"/>
    <w:link w:val="FooterChar"/>
    <w:uiPriority w:val="99"/>
    <w:unhideWhenUsed/>
    <w:rsid w:val="00F75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F35"/>
  </w:style>
  <w:style w:type="paragraph" w:customStyle="1" w:styleId="H1">
    <w:name w:val="H1"/>
    <w:basedOn w:val="Normal"/>
    <w:next w:val="Normal"/>
    <w:uiPriority w:val="99"/>
    <w:rsid w:val="00BB750D"/>
    <w:pPr>
      <w:keepNext/>
      <w:autoSpaceDE w:val="0"/>
      <w:autoSpaceDN w:val="0"/>
      <w:adjustRightInd w:val="0"/>
      <w:spacing w:before="100" w:after="100" w:line="240" w:lineRule="auto"/>
      <w:outlineLvl w:val="1"/>
    </w:pPr>
    <w:rPr>
      <w:rFonts w:cs="Times New Roman"/>
      <w:b/>
      <w:bCs/>
      <w:kern w:val="36"/>
      <w:sz w:val="48"/>
      <w:szCs w:val="48"/>
    </w:rPr>
  </w:style>
  <w:style w:type="character" w:styleId="Hyperlink">
    <w:name w:val="Hyperlink"/>
    <w:basedOn w:val="DefaultParagraphFont"/>
    <w:uiPriority w:val="99"/>
    <w:rsid w:val="00BB750D"/>
    <w:rPr>
      <w:color w:val="0000FF"/>
      <w:u w:val="single"/>
    </w:rPr>
  </w:style>
  <w:style w:type="paragraph" w:styleId="FootnoteText">
    <w:name w:val="footnote text"/>
    <w:basedOn w:val="Normal"/>
    <w:link w:val="FootnoteTextChar"/>
    <w:uiPriority w:val="99"/>
    <w:unhideWhenUsed/>
    <w:rsid w:val="0037096E"/>
    <w:pPr>
      <w:spacing w:after="0" w:line="240" w:lineRule="auto"/>
    </w:pPr>
    <w:rPr>
      <w:sz w:val="20"/>
      <w:szCs w:val="20"/>
    </w:rPr>
  </w:style>
  <w:style w:type="character" w:customStyle="1" w:styleId="FootnoteTextChar">
    <w:name w:val="Footnote Text Char"/>
    <w:basedOn w:val="DefaultParagraphFont"/>
    <w:link w:val="FootnoteText"/>
    <w:uiPriority w:val="99"/>
    <w:rsid w:val="0037096E"/>
    <w:rPr>
      <w:sz w:val="20"/>
      <w:szCs w:val="20"/>
    </w:rPr>
  </w:style>
  <w:style w:type="character" w:styleId="FootnoteReference">
    <w:name w:val="footnote reference"/>
    <w:basedOn w:val="DefaultParagraphFont"/>
    <w:uiPriority w:val="99"/>
    <w:unhideWhenUsed/>
    <w:rsid w:val="0037096E"/>
    <w:rPr>
      <w:vertAlign w:val="superscript"/>
    </w:rPr>
  </w:style>
  <w:style w:type="paragraph" w:customStyle="1" w:styleId="Default">
    <w:name w:val="Default"/>
    <w:rsid w:val="00924375"/>
    <w:pPr>
      <w:autoSpaceDE w:val="0"/>
      <w:autoSpaceDN w:val="0"/>
      <w:adjustRightInd w:val="0"/>
      <w:spacing w:after="0" w:line="240" w:lineRule="auto"/>
    </w:pPr>
    <w:rPr>
      <w:rFonts w:ascii="Calibri" w:hAnsi="Calibri" w:cs="Calibri"/>
      <w:color w:val="000000"/>
      <w:sz w:val="24"/>
      <w:szCs w:val="24"/>
    </w:rPr>
  </w:style>
  <w:style w:type="paragraph" w:customStyle="1" w:styleId="BodySingle">
    <w:name w:val="Body Single"/>
    <w:basedOn w:val="BodyText"/>
    <w:link w:val="BodySingleChar"/>
    <w:qFormat/>
    <w:rsid w:val="00556F17"/>
    <w:pPr>
      <w:spacing w:line="240" w:lineRule="auto"/>
      <w:ind w:firstLine="720"/>
    </w:pPr>
    <w:rPr>
      <w:rFonts w:eastAsiaTheme="minorHAnsi" w:cs="Times New Roman"/>
      <w:sz w:val="24"/>
      <w:szCs w:val="24"/>
    </w:rPr>
  </w:style>
  <w:style w:type="character" w:customStyle="1" w:styleId="BodySingleChar">
    <w:name w:val="Body Single Char"/>
    <w:basedOn w:val="BodyTextChar"/>
    <w:link w:val="BodySingle"/>
    <w:rsid w:val="00556F17"/>
    <w:rPr>
      <w:rFonts w:ascii="Times New Roman" w:eastAsiaTheme="minorHAnsi" w:hAnsi="Times New Roman" w:cs="Times New Roman"/>
      <w:sz w:val="24"/>
      <w:szCs w:val="24"/>
    </w:rPr>
  </w:style>
  <w:style w:type="paragraph" w:customStyle="1" w:styleId="FootnoteBody">
    <w:name w:val="Footnote Body"/>
    <w:basedOn w:val="Normal"/>
    <w:qFormat/>
    <w:rsid w:val="00D92F51"/>
    <w:pPr>
      <w:spacing w:after="0" w:line="240" w:lineRule="auto"/>
    </w:pPr>
    <w:rPr>
      <w:rFonts w:eastAsia="Times New Roman" w:cs="Times New Roman"/>
      <w:sz w:val="20"/>
      <w:szCs w:val="24"/>
    </w:rPr>
  </w:style>
  <w:style w:type="paragraph" w:styleId="TOC1">
    <w:name w:val="toc 1"/>
    <w:basedOn w:val="Normal"/>
    <w:next w:val="Normal"/>
    <w:autoRedefine/>
    <w:uiPriority w:val="39"/>
    <w:unhideWhenUsed/>
    <w:rsid w:val="00A51851"/>
    <w:pPr>
      <w:tabs>
        <w:tab w:val="right" w:leader="dot" w:pos="9350"/>
      </w:tabs>
      <w:spacing w:after="100"/>
    </w:pPr>
    <w:rPr>
      <w:b/>
      <w:noProof/>
    </w:rPr>
  </w:style>
  <w:style w:type="paragraph" w:styleId="TOC2">
    <w:name w:val="toc 2"/>
    <w:basedOn w:val="Normal"/>
    <w:next w:val="Normal"/>
    <w:autoRedefine/>
    <w:uiPriority w:val="39"/>
    <w:unhideWhenUsed/>
    <w:rsid w:val="00726DD8"/>
    <w:pPr>
      <w:spacing w:after="100"/>
      <w:ind w:left="220"/>
    </w:pPr>
  </w:style>
  <w:style w:type="paragraph" w:styleId="TOC3">
    <w:name w:val="toc 3"/>
    <w:basedOn w:val="Normal"/>
    <w:next w:val="Normal"/>
    <w:autoRedefine/>
    <w:uiPriority w:val="39"/>
    <w:unhideWhenUsed/>
    <w:rsid w:val="00726DD8"/>
    <w:pPr>
      <w:spacing w:after="100"/>
      <w:ind w:left="440"/>
    </w:pPr>
  </w:style>
  <w:style w:type="paragraph" w:styleId="Revision">
    <w:name w:val="Revision"/>
    <w:hidden/>
    <w:uiPriority w:val="99"/>
    <w:semiHidden/>
    <w:rsid w:val="004E0957"/>
    <w:pPr>
      <w:spacing w:after="0" w:line="240" w:lineRule="auto"/>
    </w:pPr>
    <w:rPr>
      <w:rFonts w:eastAsiaTheme="minorHAnsi"/>
    </w:rPr>
  </w:style>
  <w:style w:type="table" w:customStyle="1" w:styleId="TableGrid1">
    <w:name w:val="Table Grid1"/>
    <w:basedOn w:val="TableNormal"/>
    <w:next w:val="TableGrid"/>
    <w:uiPriority w:val="59"/>
    <w:rsid w:val="004E095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3">
    <w:name w:val="CM73"/>
    <w:basedOn w:val="Normal"/>
    <w:next w:val="Normal"/>
    <w:uiPriority w:val="99"/>
    <w:rsid w:val="004E0957"/>
    <w:pPr>
      <w:autoSpaceDE w:val="0"/>
      <w:autoSpaceDN w:val="0"/>
      <w:adjustRightInd w:val="0"/>
      <w:spacing w:after="0" w:line="240" w:lineRule="auto"/>
    </w:pPr>
    <w:rPr>
      <w:rFonts w:eastAsiaTheme="minorHAnsi" w:cs="Times New Roman"/>
      <w:sz w:val="24"/>
      <w:szCs w:val="24"/>
    </w:rPr>
  </w:style>
  <w:style w:type="paragraph" w:styleId="PlainText">
    <w:name w:val="Plain Text"/>
    <w:basedOn w:val="Normal"/>
    <w:link w:val="PlainTextChar"/>
    <w:uiPriority w:val="99"/>
    <w:semiHidden/>
    <w:unhideWhenUsed/>
    <w:rsid w:val="004E0957"/>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4E0957"/>
    <w:rPr>
      <w:rFonts w:ascii="Calibri" w:eastAsiaTheme="minorHAnsi" w:hAnsi="Calibri" w:cs="Consolas"/>
      <w:szCs w:val="21"/>
    </w:rPr>
  </w:style>
  <w:style w:type="numbering" w:customStyle="1" w:styleId="NoList1">
    <w:name w:val="No List1"/>
    <w:next w:val="NoList"/>
    <w:uiPriority w:val="99"/>
    <w:semiHidden/>
    <w:unhideWhenUsed/>
    <w:rsid w:val="006C5D2F"/>
  </w:style>
  <w:style w:type="table" w:customStyle="1" w:styleId="TableGrid2">
    <w:name w:val="Table Grid2"/>
    <w:basedOn w:val="TableNormal"/>
    <w:next w:val="TableGrid"/>
    <w:uiPriority w:val="59"/>
    <w:rsid w:val="006C5D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C5D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77709">
      <w:bodyDiv w:val="1"/>
      <w:marLeft w:val="0"/>
      <w:marRight w:val="0"/>
      <w:marTop w:val="0"/>
      <w:marBottom w:val="0"/>
      <w:divBdr>
        <w:top w:val="none" w:sz="0" w:space="0" w:color="auto"/>
        <w:left w:val="none" w:sz="0" w:space="0" w:color="auto"/>
        <w:bottom w:val="none" w:sz="0" w:space="0" w:color="auto"/>
        <w:right w:val="none" w:sz="0" w:space="0" w:color="auto"/>
      </w:divBdr>
    </w:div>
    <w:div w:id="1001154877">
      <w:bodyDiv w:val="1"/>
      <w:marLeft w:val="0"/>
      <w:marRight w:val="0"/>
      <w:marTop w:val="0"/>
      <w:marBottom w:val="0"/>
      <w:divBdr>
        <w:top w:val="none" w:sz="0" w:space="0" w:color="auto"/>
        <w:left w:val="none" w:sz="0" w:space="0" w:color="auto"/>
        <w:bottom w:val="none" w:sz="0" w:space="0" w:color="auto"/>
        <w:right w:val="none" w:sz="0" w:space="0" w:color="auto"/>
      </w:divBdr>
    </w:div>
    <w:div w:id="1012024524">
      <w:bodyDiv w:val="1"/>
      <w:marLeft w:val="0"/>
      <w:marRight w:val="0"/>
      <w:marTop w:val="0"/>
      <w:marBottom w:val="0"/>
      <w:divBdr>
        <w:top w:val="none" w:sz="0" w:space="0" w:color="auto"/>
        <w:left w:val="none" w:sz="0" w:space="0" w:color="auto"/>
        <w:bottom w:val="none" w:sz="0" w:space="0" w:color="auto"/>
        <w:right w:val="none" w:sz="0" w:space="0" w:color="auto"/>
      </w:divBdr>
    </w:div>
    <w:div w:id="1108623600">
      <w:bodyDiv w:val="1"/>
      <w:marLeft w:val="0"/>
      <w:marRight w:val="0"/>
      <w:marTop w:val="0"/>
      <w:marBottom w:val="0"/>
      <w:divBdr>
        <w:top w:val="none" w:sz="0" w:space="0" w:color="auto"/>
        <w:left w:val="none" w:sz="0" w:space="0" w:color="auto"/>
        <w:bottom w:val="none" w:sz="0" w:space="0" w:color="auto"/>
        <w:right w:val="none" w:sz="0" w:space="0" w:color="auto"/>
      </w:divBdr>
    </w:div>
    <w:div w:id="13071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985E1-00AD-4E5D-A875-17295A29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23676B6F.dotm</Template>
  <TotalTime>0</TotalTime>
  <Pages>13</Pages>
  <Words>4040</Words>
  <Characters>23033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2014-09-05T21:25:00Z</dcterms:created>
  <dcterms:modified xsi:type="dcterms:W3CDTF">2014-09-05T21:28:00Z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