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38" w:type="dxa"/>
        <w:tblLook w:val="04A0" w:firstRow="1" w:lastRow="0" w:firstColumn="1" w:lastColumn="0" w:noHBand="0" w:noVBand="1"/>
      </w:tblPr>
      <w:tblGrid>
        <w:gridCol w:w="679"/>
        <w:gridCol w:w="1808"/>
        <w:gridCol w:w="5181"/>
        <w:gridCol w:w="5670"/>
      </w:tblGrid>
      <w:tr w:rsidR="006C6726" w:rsidRPr="007F7AB9" w:rsidTr="00A42728">
        <w:trPr>
          <w:trHeight w:val="300"/>
        </w:trPr>
        <w:tc>
          <w:tcPr>
            <w:tcW w:w="679" w:type="dxa"/>
            <w:noWrap/>
          </w:tcPr>
          <w:p w:rsidR="006C6726" w:rsidRPr="007F7AB9" w:rsidRDefault="006C6726">
            <w:pPr>
              <w:rPr>
                <w:b/>
                <w:bCs/>
              </w:rPr>
            </w:pPr>
            <w:r>
              <w:rPr>
                <w:b/>
                <w:bCs/>
              </w:rPr>
              <w:t xml:space="preserve"> </w:t>
            </w:r>
          </w:p>
        </w:tc>
        <w:tc>
          <w:tcPr>
            <w:tcW w:w="1808" w:type="dxa"/>
            <w:noWrap/>
          </w:tcPr>
          <w:p w:rsidR="006C6726" w:rsidRPr="007F7AB9" w:rsidRDefault="006C6726" w:rsidP="007F7AB9">
            <w:pPr>
              <w:jc w:val="center"/>
              <w:rPr>
                <w:b/>
                <w:bCs/>
              </w:rPr>
            </w:pPr>
          </w:p>
        </w:tc>
        <w:tc>
          <w:tcPr>
            <w:tcW w:w="5181" w:type="dxa"/>
          </w:tcPr>
          <w:p w:rsidR="006C6726" w:rsidRPr="007F7AB9" w:rsidRDefault="006C6726">
            <w:pPr>
              <w:rPr>
                <w:b/>
                <w:bCs/>
              </w:rPr>
            </w:pPr>
          </w:p>
        </w:tc>
        <w:tc>
          <w:tcPr>
            <w:tcW w:w="5670" w:type="dxa"/>
            <w:noWrap/>
          </w:tcPr>
          <w:p w:rsidR="006C6726" w:rsidRPr="007F7AB9" w:rsidRDefault="006C6726" w:rsidP="007F7AB9">
            <w:pPr>
              <w:jc w:val="center"/>
              <w:rPr>
                <w:b/>
                <w:bCs/>
              </w:rPr>
            </w:pPr>
          </w:p>
        </w:tc>
      </w:tr>
      <w:tr w:rsidR="007F7AB9" w:rsidRPr="007F7AB9" w:rsidTr="00A42728">
        <w:trPr>
          <w:trHeight w:val="300"/>
        </w:trPr>
        <w:tc>
          <w:tcPr>
            <w:tcW w:w="679" w:type="dxa"/>
            <w:noWrap/>
            <w:hideMark/>
          </w:tcPr>
          <w:p w:rsidR="007F7AB9" w:rsidRPr="007F7AB9" w:rsidRDefault="006C6726">
            <w:pPr>
              <w:rPr>
                <w:b/>
                <w:bCs/>
              </w:rPr>
            </w:pPr>
            <w:r>
              <w:rPr>
                <w:b/>
                <w:bCs/>
              </w:rPr>
              <w:t xml:space="preserve">Issue </w:t>
            </w:r>
            <w:r w:rsidR="007F7AB9" w:rsidRPr="007F7AB9">
              <w:rPr>
                <w:b/>
                <w:bCs/>
              </w:rPr>
              <w:t>#</w:t>
            </w:r>
          </w:p>
        </w:tc>
        <w:tc>
          <w:tcPr>
            <w:tcW w:w="1808" w:type="dxa"/>
            <w:noWrap/>
            <w:hideMark/>
          </w:tcPr>
          <w:p w:rsidR="007F7AB9" w:rsidRPr="007F7AB9" w:rsidRDefault="00B17BBC" w:rsidP="007F7AB9">
            <w:pPr>
              <w:jc w:val="center"/>
              <w:rPr>
                <w:b/>
                <w:bCs/>
              </w:rPr>
            </w:pPr>
            <w:r>
              <w:rPr>
                <w:b/>
                <w:bCs/>
              </w:rPr>
              <w:t>Instrument/</w:t>
            </w:r>
            <w:r w:rsidR="007F7AB9" w:rsidRPr="007F7AB9">
              <w:rPr>
                <w:b/>
                <w:bCs/>
              </w:rPr>
              <w:t>Form</w:t>
            </w:r>
          </w:p>
        </w:tc>
        <w:tc>
          <w:tcPr>
            <w:tcW w:w="5181" w:type="dxa"/>
          </w:tcPr>
          <w:p w:rsidR="007F7AB9" w:rsidRPr="007F7AB9" w:rsidRDefault="00B17BBC">
            <w:pPr>
              <w:rPr>
                <w:b/>
                <w:bCs/>
              </w:rPr>
            </w:pPr>
            <w:r>
              <w:rPr>
                <w:b/>
                <w:bCs/>
              </w:rPr>
              <w:t>Health Care Reform Web Portal PRA 2012</w:t>
            </w:r>
          </w:p>
        </w:tc>
        <w:tc>
          <w:tcPr>
            <w:tcW w:w="5670" w:type="dxa"/>
            <w:noWrap/>
            <w:hideMark/>
          </w:tcPr>
          <w:p w:rsidR="007F7AB9" w:rsidRPr="007F7AB9" w:rsidRDefault="00B17BBC" w:rsidP="00B17BBC">
            <w:pPr>
              <w:tabs>
                <w:tab w:val="center" w:pos="2727"/>
              </w:tabs>
              <w:rPr>
                <w:b/>
                <w:bCs/>
              </w:rPr>
            </w:pPr>
            <w:r>
              <w:rPr>
                <w:b/>
                <w:bCs/>
              </w:rPr>
              <w:t>Revisions for 2014 Health care Reform Web Portal PRA</w:t>
            </w:r>
          </w:p>
        </w:tc>
      </w:tr>
      <w:tr w:rsidR="007F7AB9" w:rsidRPr="007F7AB9" w:rsidTr="00A42728">
        <w:trPr>
          <w:trHeight w:val="300"/>
        </w:trPr>
        <w:tc>
          <w:tcPr>
            <w:tcW w:w="679" w:type="dxa"/>
            <w:noWrap/>
          </w:tcPr>
          <w:p w:rsidR="007F7AB9" w:rsidRPr="007F7AB9" w:rsidRDefault="007F7AB9">
            <w:pPr>
              <w:rPr>
                <w:b/>
                <w:bCs/>
              </w:rPr>
            </w:pPr>
            <w:r>
              <w:rPr>
                <w:b/>
                <w:bCs/>
              </w:rPr>
              <w:t>1</w:t>
            </w:r>
          </w:p>
        </w:tc>
        <w:tc>
          <w:tcPr>
            <w:tcW w:w="1808" w:type="dxa"/>
            <w:noWrap/>
          </w:tcPr>
          <w:p w:rsidR="007F7AB9" w:rsidRPr="007F7AB9" w:rsidRDefault="007F7AB9">
            <w:pPr>
              <w:rPr>
                <w:b/>
                <w:bCs/>
              </w:rPr>
            </w:pPr>
            <w:r w:rsidRPr="007F7AB9">
              <w:rPr>
                <w:b/>
                <w:bCs/>
              </w:rPr>
              <w:t>Supporting Statement A, section A</w:t>
            </w:r>
            <w:r w:rsidR="006C6726">
              <w:rPr>
                <w:b/>
                <w:bCs/>
              </w:rPr>
              <w:t xml:space="preserve"> page 1</w:t>
            </w:r>
          </w:p>
        </w:tc>
        <w:tc>
          <w:tcPr>
            <w:tcW w:w="5181" w:type="dxa"/>
          </w:tcPr>
          <w:p w:rsidR="007F7AB9" w:rsidRPr="007F7AB9" w:rsidRDefault="007F7AB9" w:rsidP="007F7AB9">
            <w:pPr>
              <w:rPr>
                <w:b/>
                <w:bCs/>
              </w:rPr>
            </w:pPr>
            <w:r>
              <w:rPr>
                <w:b/>
                <w:bCs/>
              </w:rPr>
              <w:t xml:space="preserve">Supporting Statement A, Section </w:t>
            </w:r>
            <w:proofErr w:type="gramStart"/>
            <w:r>
              <w:rPr>
                <w:b/>
                <w:bCs/>
              </w:rPr>
              <w:t>A</w:t>
            </w:r>
            <w:proofErr w:type="gramEnd"/>
            <w:r>
              <w:rPr>
                <w:b/>
                <w:bCs/>
              </w:rPr>
              <w:t xml:space="preserve"> ended with the sentence within the 3</w:t>
            </w:r>
            <w:r w:rsidRPr="007F7AB9">
              <w:rPr>
                <w:b/>
                <w:bCs/>
                <w:vertAlign w:val="superscript"/>
              </w:rPr>
              <w:t>rd</w:t>
            </w:r>
            <w:r>
              <w:rPr>
                <w:b/>
                <w:bCs/>
              </w:rPr>
              <w:t xml:space="preserve"> paragraph: “These elements are included here so that the public can identify how the efforts are integrated and get a consistent view of the collection.”</w:t>
            </w:r>
          </w:p>
        </w:tc>
        <w:tc>
          <w:tcPr>
            <w:tcW w:w="5670" w:type="dxa"/>
            <w:noWrap/>
          </w:tcPr>
          <w:p w:rsidR="007F7AB9" w:rsidRPr="007F7AB9" w:rsidRDefault="007F7AB9" w:rsidP="007F7AB9">
            <w:pPr>
              <w:rPr>
                <w:b/>
                <w:bCs/>
              </w:rPr>
            </w:pPr>
            <w:r>
              <w:rPr>
                <w:b/>
                <w:bCs/>
              </w:rPr>
              <w:t xml:space="preserve">A fourth paragraph was added </w:t>
            </w:r>
            <w:r w:rsidR="00147FFA">
              <w:rPr>
                <w:b/>
                <w:bCs/>
              </w:rPr>
              <w:t>to</w:t>
            </w:r>
            <w:r>
              <w:rPr>
                <w:b/>
                <w:bCs/>
              </w:rPr>
              <w:t xml:space="preserve"> Supporting Statement A, Section </w:t>
            </w:r>
            <w:r w:rsidR="00147FFA">
              <w:rPr>
                <w:b/>
                <w:bCs/>
              </w:rPr>
              <w:t>A.</w:t>
            </w:r>
            <w:r>
              <w:rPr>
                <w:b/>
                <w:bCs/>
              </w:rPr>
              <w:t xml:space="preserve"> </w:t>
            </w:r>
            <w:r w:rsidR="00147FFA">
              <w:rPr>
                <w:b/>
                <w:bCs/>
              </w:rPr>
              <w:t xml:space="preserve"> </w:t>
            </w:r>
            <w:r>
              <w:rPr>
                <w:b/>
                <w:bCs/>
              </w:rPr>
              <w:t xml:space="preserve"> </w:t>
            </w:r>
            <w:r w:rsidRPr="007F7AB9">
              <w:rPr>
                <w:b/>
                <w:bCs/>
              </w:rPr>
              <w:t xml:space="preserve">Language was </w:t>
            </w:r>
            <w:r>
              <w:rPr>
                <w:b/>
                <w:bCs/>
              </w:rPr>
              <w:t>added</w:t>
            </w:r>
            <w:r w:rsidRPr="007F7AB9">
              <w:rPr>
                <w:b/>
                <w:bCs/>
              </w:rPr>
              <w:t xml:space="preserve"> to include risk and readjustment programs outlined in the Affordable Care Act, detailed in the Standards for Reinsurance, Risk Corridors and Risk Adjustment Rule (77 FR 17220)</w:t>
            </w:r>
            <w:r>
              <w:rPr>
                <w:b/>
                <w:bCs/>
              </w:rPr>
              <w:t>.</w:t>
            </w:r>
          </w:p>
          <w:p w:rsidR="007F7AB9" w:rsidRPr="007F7AB9" w:rsidRDefault="007F7AB9">
            <w:pPr>
              <w:rPr>
                <w:b/>
                <w:bCs/>
              </w:rPr>
            </w:pPr>
          </w:p>
        </w:tc>
      </w:tr>
      <w:tr w:rsidR="007F7AB9" w:rsidRPr="007F7AB9" w:rsidTr="00A42728">
        <w:trPr>
          <w:trHeight w:val="300"/>
        </w:trPr>
        <w:tc>
          <w:tcPr>
            <w:tcW w:w="679" w:type="dxa"/>
            <w:noWrap/>
          </w:tcPr>
          <w:p w:rsidR="007F7AB9" w:rsidRPr="007F7AB9" w:rsidRDefault="007F7AB9">
            <w:pPr>
              <w:rPr>
                <w:b/>
                <w:bCs/>
              </w:rPr>
            </w:pPr>
            <w:r>
              <w:rPr>
                <w:b/>
                <w:bCs/>
              </w:rPr>
              <w:t>2</w:t>
            </w:r>
          </w:p>
        </w:tc>
        <w:tc>
          <w:tcPr>
            <w:tcW w:w="1808" w:type="dxa"/>
            <w:noWrap/>
          </w:tcPr>
          <w:p w:rsidR="007F7AB9" w:rsidRPr="007F7AB9" w:rsidRDefault="007F7AB9">
            <w:pPr>
              <w:rPr>
                <w:b/>
                <w:bCs/>
              </w:rPr>
            </w:pPr>
            <w:r w:rsidRPr="007F7AB9">
              <w:rPr>
                <w:b/>
                <w:bCs/>
              </w:rPr>
              <w:t>Supporting Statement A, Section 12</w:t>
            </w:r>
          </w:p>
        </w:tc>
        <w:tc>
          <w:tcPr>
            <w:tcW w:w="5181" w:type="dxa"/>
          </w:tcPr>
          <w:p w:rsidR="007F7AB9" w:rsidRPr="007F7AB9" w:rsidRDefault="00147FFA">
            <w:pPr>
              <w:rPr>
                <w:b/>
                <w:bCs/>
              </w:rPr>
            </w:pPr>
            <w:r>
              <w:rPr>
                <w:b/>
                <w:bCs/>
              </w:rPr>
              <w:t xml:space="preserve">Burden Estimate was previously calculated as 90,400 total burden hours, or 113 hours per organization with a total of 800 </w:t>
            </w:r>
            <w:r w:rsidR="00AD2BAD">
              <w:rPr>
                <w:b/>
                <w:bCs/>
              </w:rPr>
              <w:t>Insurance Issuers</w:t>
            </w:r>
            <w:r>
              <w:rPr>
                <w:b/>
                <w:bCs/>
              </w:rPr>
              <w:t>.</w:t>
            </w:r>
          </w:p>
        </w:tc>
        <w:tc>
          <w:tcPr>
            <w:tcW w:w="5670" w:type="dxa"/>
            <w:noWrap/>
          </w:tcPr>
          <w:p w:rsidR="007F7AB9" w:rsidRPr="007F7AB9" w:rsidRDefault="007F7AB9">
            <w:pPr>
              <w:rPr>
                <w:b/>
                <w:bCs/>
              </w:rPr>
            </w:pPr>
            <w:r w:rsidRPr="007F7AB9">
              <w:rPr>
                <w:b/>
                <w:bCs/>
              </w:rPr>
              <w:t>Burden estimate was updated to reflect a total of 90,400 to 90,700 burden hours, or 119 hours per organization. Additionally, language was updated to an assumed average of 800 issuers to 750 issuers</w:t>
            </w:r>
          </w:p>
        </w:tc>
      </w:tr>
      <w:tr w:rsidR="007F7AB9" w:rsidRPr="007F7AB9" w:rsidTr="00A42728">
        <w:trPr>
          <w:trHeight w:val="300"/>
        </w:trPr>
        <w:tc>
          <w:tcPr>
            <w:tcW w:w="679" w:type="dxa"/>
            <w:noWrap/>
          </w:tcPr>
          <w:p w:rsidR="007F7AB9" w:rsidRPr="007F7AB9" w:rsidRDefault="007F7AB9">
            <w:pPr>
              <w:rPr>
                <w:b/>
                <w:bCs/>
              </w:rPr>
            </w:pPr>
            <w:r>
              <w:rPr>
                <w:b/>
                <w:bCs/>
              </w:rPr>
              <w:t>3</w:t>
            </w:r>
          </w:p>
        </w:tc>
        <w:tc>
          <w:tcPr>
            <w:tcW w:w="1808" w:type="dxa"/>
            <w:noWrap/>
          </w:tcPr>
          <w:p w:rsidR="007F7AB9" w:rsidRPr="007F7AB9" w:rsidRDefault="007F7AB9">
            <w:pPr>
              <w:rPr>
                <w:b/>
                <w:bCs/>
              </w:rPr>
            </w:pPr>
            <w:r>
              <w:rPr>
                <w:b/>
                <w:bCs/>
              </w:rPr>
              <w:t>Appendix D</w:t>
            </w:r>
          </w:p>
        </w:tc>
        <w:tc>
          <w:tcPr>
            <w:tcW w:w="5181" w:type="dxa"/>
            <w:shd w:val="clear" w:color="auto" w:fill="auto"/>
          </w:tcPr>
          <w:p w:rsidR="008A5B59" w:rsidRDefault="002E740F" w:rsidP="002E740F">
            <w:pPr>
              <w:pStyle w:val="Default"/>
              <w:rPr>
                <w:rFonts w:asciiTheme="minorHAnsi" w:hAnsiTheme="minorHAnsi" w:cstheme="minorHAnsi"/>
                <w:b/>
                <w:bCs/>
                <w:sz w:val="22"/>
                <w:szCs w:val="22"/>
              </w:rPr>
            </w:pPr>
            <w:r w:rsidRPr="002E740F">
              <w:rPr>
                <w:rFonts w:asciiTheme="minorHAnsi" w:hAnsiTheme="minorHAnsi" w:cstheme="minorHAnsi"/>
                <w:b/>
                <w:bCs/>
                <w:sz w:val="22"/>
                <w:szCs w:val="22"/>
              </w:rPr>
              <w:t>All previous language</w:t>
            </w:r>
            <w:r w:rsidR="00E87F30">
              <w:rPr>
                <w:rFonts w:asciiTheme="minorHAnsi" w:hAnsiTheme="minorHAnsi" w:cstheme="minorHAnsi"/>
                <w:b/>
                <w:bCs/>
                <w:sz w:val="22"/>
                <w:szCs w:val="22"/>
              </w:rPr>
              <w:t xml:space="preserve"> included in Appendix D in 2012 PRA Package </w:t>
            </w:r>
            <w:r w:rsidRPr="002E740F">
              <w:rPr>
                <w:rFonts w:asciiTheme="minorHAnsi" w:hAnsiTheme="minorHAnsi" w:cstheme="minorHAnsi"/>
                <w:b/>
                <w:bCs/>
                <w:sz w:val="22"/>
                <w:szCs w:val="22"/>
              </w:rPr>
              <w:t xml:space="preserve">was removed: </w:t>
            </w:r>
            <w:r w:rsidR="008A5B59">
              <w:rPr>
                <w:rFonts w:asciiTheme="minorHAnsi" w:hAnsiTheme="minorHAnsi" w:cstheme="minorHAnsi"/>
                <w:b/>
                <w:bCs/>
                <w:sz w:val="22"/>
                <w:szCs w:val="22"/>
              </w:rPr>
              <w:t xml:space="preserve"> </w:t>
            </w:r>
          </w:p>
          <w:p w:rsidR="008A5B59" w:rsidRDefault="008A5B59" w:rsidP="002E740F">
            <w:pPr>
              <w:pStyle w:val="Default"/>
              <w:rPr>
                <w:rFonts w:asciiTheme="minorHAnsi" w:hAnsiTheme="minorHAnsi" w:cstheme="minorHAnsi"/>
                <w:b/>
                <w:bCs/>
                <w:sz w:val="22"/>
                <w:szCs w:val="22"/>
              </w:rPr>
            </w:pPr>
          </w:p>
          <w:p w:rsidR="002E740F" w:rsidRPr="002E740F" w:rsidRDefault="002E740F" w:rsidP="002E740F">
            <w:pPr>
              <w:pStyle w:val="Default"/>
              <w:rPr>
                <w:rFonts w:asciiTheme="minorHAnsi" w:hAnsiTheme="minorHAnsi" w:cstheme="minorHAnsi"/>
                <w:sz w:val="22"/>
                <w:szCs w:val="22"/>
              </w:rPr>
            </w:pPr>
            <w:r w:rsidRPr="002E740F">
              <w:rPr>
                <w:rFonts w:asciiTheme="minorHAnsi" w:hAnsiTheme="minorHAnsi" w:cstheme="minorHAnsi"/>
                <w:b/>
                <w:bCs/>
                <w:sz w:val="22"/>
                <w:szCs w:val="22"/>
              </w:rPr>
              <w:t xml:space="preserve">Appendix D - Benefits and Pricing </w:t>
            </w:r>
          </w:p>
          <w:p w:rsidR="006F4834" w:rsidRPr="002E740F" w:rsidRDefault="006F4834" w:rsidP="006F4834">
            <w:pPr>
              <w:rPr>
                <w:rFonts w:cstheme="minorHAnsi"/>
              </w:rPr>
            </w:pPr>
          </w:p>
        </w:tc>
        <w:tc>
          <w:tcPr>
            <w:tcW w:w="5670" w:type="dxa"/>
            <w:noWrap/>
          </w:tcPr>
          <w:p w:rsidR="007F7AB9" w:rsidRPr="007F7AB9" w:rsidRDefault="007F7AB9" w:rsidP="007F7AB9">
            <w:pPr>
              <w:rPr>
                <w:b/>
                <w:bCs/>
              </w:rPr>
            </w:pPr>
            <w:r w:rsidRPr="007F7AB9">
              <w:rPr>
                <w:b/>
                <w:bCs/>
              </w:rPr>
              <w:t>Benefits and Pricing Language was added to include:</w:t>
            </w:r>
          </w:p>
          <w:p w:rsidR="007F7AB9" w:rsidRPr="007F7AB9" w:rsidRDefault="007F7AB9" w:rsidP="007F7AB9">
            <w:pPr>
              <w:rPr>
                <w:b/>
                <w:bCs/>
              </w:rPr>
            </w:pPr>
          </w:p>
          <w:p w:rsidR="007F7AB9" w:rsidRPr="007F7AB9" w:rsidRDefault="007F7AB9" w:rsidP="007F7AB9">
            <w:pPr>
              <w:rPr>
                <w:b/>
                <w:bCs/>
              </w:rPr>
            </w:pPr>
            <w:r w:rsidRPr="007F7AB9">
              <w:rPr>
                <w:b/>
                <w:bCs/>
              </w:rPr>
              <w:t>In order to minimize the burden on issuers of reporting similar information in different formats as well as to maximize the involvement of all players in the data display decisions, we will be collecting information consistent with both qualified health plans and the Federally-facilitated Exchange within one consolidated set of templates. The requirements and data elements of this collection can be found within the Establishment of Qualified Health Plans and American Health Benefit Exchanges PRA (OMB Control No. 0938-1156).  Information to be collected can be found in the following Appendices: Plans and Benefits and Service Area, Appendices B1 and B3</w:t>
            </w:r>
            <w:proofErr w:type="gramStart"/>
            <w:r w:rsidRPr="007F7AB9">
              <w:rPr>
                <w:b/>
                <w:bCs/>
              </w:rPr>
              <w:t>;  Rating</w:t>
            </w:r>
            <w:proofErr w:type="gramEnd"/>
            <w:r w:rsidRPr="007F7AB9">
              <w:rPr>
                <w:b/>
                <w:bCs/>
              </w:rPr>
              <w:t xml:space="preserve"> Tables and Issuer Business Rules Data, Appendices C1 and C2; and Pricing and Benefits data, Appendix D. </w:t>
            </w:r>
          </w:p>
          <w:p w:rsidR="007F7AB9" w:rsidRPr="007F7AB9" w:rsidRDefault="007F7AB9" w:rsidP="007F7AB9">
            <w:pPr>
              <w:rPr>
                <w:b/>
                <w:bCs/>
              </w:rPr>
            </w:pPr>
            <w:r w:rsidRPr="007F7AB9">
              <w:rPr>
                <w:b/>
                <w:bCs/>
              </w:rPr>
              <w:t xml:space="preserve">Information to be collected on issuers and products can be found in Appendix C of this current Health Care Reform Insurance Web Portal Requirements PRA (OMB Control Number 0938-1086). </w:t>
            </w:r>
          </w:p>
          <w:p w:rsidR="008A5B59" w:rsidRDefault="008A5B59" w:rsidP="007F7AB9">
            <w:pPr>
              <w:rPr>
                <w:b/>
                <w:bCs/>
              </w:rPr>
            </w:pPr>
          </w:p>
          <w:p w:rsidR="007F7AB9" w:rsidRPr="007F7AB9" w:rsidRDefault="007F7AB9" w:rsidP="00E16BBB">
            <w:pPr>
              <w:rPr>
                <w:b/>
                <w:bCs/>
              </w:rPr>
            </w:pPr>
            <w:r w:rsidRPr="007F7AB9">
              <w:rPr>
                <w:b/>
                <w:bCs/>
              </w:rPr>
              <w:lastRenderedPageBreak/>
              <w:t xml:space="preserve"> </w:t>
            </w:r>
          </w:p>
        </w:tc>
      </w:tr>
      <w:tr w:rsidR="00C64536" w:rsidRPr="007F7AB9" w:rsidTr="00A42728">
        <w:trPr>
          <w:trHeight w:val="300"/>
        </w:trPr>
        <w:tc>
          <w:tcPr>
            <w:tcW w:w="679" w:type="dxa"/>
            <w:noWrap/>
          </w:tcPr>
          <w:p w:rsidR="00C64536" w:rsidRDefault="00C64536">
            <w:pPr>
              <w:rPr>
                <w:b/>
                <w:bCs/>
              </w:rPr>
            </w:pPr>
            <w:r>
              <w:rPr>
                <w:b/>
                <w:bCs/>
              </w:rPr>
              <w:lastRenderedPageBreak/>
              <w:t>4</w:t>
            </w:r>
          </w:p>
        </w:tc>
        <w:tc>
          <w:tcPr>
            <w:tcW w:w="1808" w:type="dxa"/>
            <w:noWrap/>
          </w:tcPr>
          <w:p w:rsidR="00C64536" w:rsidRDefault="00C64536">
            <w:pPr>
              <w:rPr>
                <w:b/>
                <w:bCs/>
              </w:rPr>
            </w:pPr>
            <w:r>
              <w:rPr>
                <w:b/>
                <w:bCs/>
              </w:rPr>
              <w:t>Section 8 Federal Register/Outside Consultation</w:t>
            </w:r>
          </w:p>
        </w:tc>
        <w:tc>
          <w:tcPr>
            <w:tcW w:w="5181" w:type="dxa"/>
            <w:shd w:val="clear" w:color="auto" w:fill="auto"/>
          </w:tcPr>
          <w:p w:rsidR="006C6726" w:rsidRDefault="00805B83" w:rsidP="002E740F">
            <w:pPr>
              <w:pStyle w:val="Default"/>
              <w:rPr>
                <w:rFonts w:asciiTheme="minorHAnsi" w:hAnsiTheme="minorHAnsi" w:cstheme="minorHAnsi"/>
                <w:b/>
                <w:bCs/>
                <w:sz w:val="22"/>
                <w:szCs w:val="22"/>
              </w:rPr>
            </w:pPr>
            <w:r>
              <w:rPr>
                <w:rFonts w:asciiTheme="minorHAnsi" w:hAnsiTheme="minorHAnsi" w:cstheme="minorHAnsi"/>
                <w:b/>
                <w:bCs/>
                <w:sz w:val="22"/>
                <w:szCs w:val="22"/>
              </w:rPr>
              <w:t>Previous Language removed:</w:t>
            </w:r>
          </w:p>
          <w:p w:rsidR="00805B83" w:rsidRDefault="00805B83" w:rsidP="002E740F">
            <w:pPr>
              <w:pStyle w:val="Default"/>
              <w:rPr>
                <w:rFonts w:asciiTheme="minorHAnsi" w:hAnsiTheme="minorHAnsi" w:cstheme="minorHAnsi"/>
                <w:b/>
                <w:bCs/>
                <w:sz w:val="22"/>
                <w:szCs w:val="22"/>
              </w:rPr>
            </w:pPr>
            <w:r>
              <w:rPr>
                <w:rFonts w:asciiTheme="minorHAnsi" w:hAnsiTheme="minorHAnsi" w:cstheme="minorHAnsi"/>
                <w:b/>
                <w:bCs/>
                <w:sz w:val="22"/>
                <w:szCs w:val="22"/>
              </w:rPr>
              <w:t xml:space="preserve"> </w:t>
            </w:r>
          </w:p>
          <w:p w:rsidR="00805B83" w:rsidRDefault="00805B83" w:rsidP="00805B83"/>
          <w:p w:rsidR="00805B83" w:rsidRDefault="00805B83" w:rsidP="00805B83">
            <w:r>
              <w:t>The interim final rule that published on May 5, 2010 served as the emergency Federal Register notice for the initial information collection request (ICR) associated with this effort.  The Office of Management and Budget reviewed this ICR under emergency processing and approved the ICR on April 30, 2010.</w:t>
            </w:r>
          </w:p>
          <w:p w:rsidR="00805B83" w:rsidRDefault="00805B83" w:rsidP="00805B83"/>
          <w:p w:rsidR="00805B83" w:rsidRDefault="00805B83" w:rsidP="00805B83">
            <w:r>
              <w:t xml:space="preserve">Additionally, consultations with contractors have occurred to determine what is feasible for the release, and what information would be beneficial to the public during this time frame. Two training/feedback meetings have been held with States as well as meetings held with a group of State and NAIC representatives who have expressed an interest in improving the validity and accuracy verification of the data. Comments to the regulation and prior PRA have been analyzed, compiled, and incorporated into our approach even in the absence of a formal response. Weekly calls have been held during collection periods to get feedback from those responsible for submitting data. These calls have averaged over 100 industry representatives, and have led to a number of clarifications and enhancements.  Participants in this effort include CCIIO staff, other HHS staff, representatives of the private plan industry, and various HHS contractors. </w:t>
            </w:r>
          </w:p>
          <w:p w:rsidR="00805B83" w:rsidRDefault="00805B83" w:rsidP="00805B83"/>
          <w:p w:rsidR="00C64536" w:rsidRPr="00805B83" w:rsidRDefault="00805B83" w:rsidP="00805B83">
            <w:r>
              <w:t xml:space="preserve">EHB provisions have been subject to substantial discussion and consultation with the public and the affected industry. Review and comment was managed </w:t>
            </w:r>
            <w:r>
              <w:lastRenderedPageBreak/>
              <w:t>primarily through publication in the Federal Register of the EHB Bulletin on December 16, 2011. Additional comment will be collected associated with the publication of the regulation (CMS-9965-P) accompanying this PRA submission.</w:t>
            </w:r>
          </w:p>
        </w:tc>
        <w:tc>
          <w:tcPr>
            <w:tcW w:w="5670" w:type="dxa"/>
            <w:noWrap/>
          </w:tcPr>
          <w:p w:rsidR="00C64536" w:rsidRDefault="00C64536" w:rsidP="007F7AB9">
            <w:pPr>
              <w:rPr>
                <w:b/>
                <w:bCs/>
              </w:rPr>
            </w:pPr>
            <w:r>
              <w:rPr>
                <w:b/>
                <w:bCs/>
              </w:rPr>
              <w:lastRenderedPageBreak/>
              <w:t>Language was added to include:</w:t>
            </w:r>
          </w:p>
          <w:p w:rsidR="00C64536" w:rsidRDefault="00C64536" w:rsidP="007F7AB9">
            <w:pPr>
              <w:rPr>
                <w:b/>
                <w:bCs/>
              </w:rPr>
            </w:pPr>
          </w:p>
          <w:p w:rsidR="00C64536" w:rsidRPr="007F7AB9" w:rsidRDefault="00257999" w:rsidP="00C50284">
            <w:pPr>
              <w:rPr>
                <w:b/>
                <w:bCs/>
              </w:rPr>
            </w:pPr>
            <w:r>
              <w:rPr>
                <w:b/>
                <w:bCs/>
              </w:rPr>
              <w:t>CMS received 1</w:t>
            </w:r>
            <w:bookmarkStart w:id="0" w:name="_GoBack"/>
            <w:bookmarkEnd w:id="0"/>
            <w:r w:rsidR="00C64536" w:rsidRPr="00C64536">
              <w:rPr>
                <w:b/>
                <w:bCs/>
              </w:rPr>
              <w:t xml:space="preserve"> public comment regarding the notice of the Health Care Reform Insurance Web Portal and Supporting Authority Contained in Sections 1103 and 10102 of the Patient Protection and Affordability Care Act, Pub. L.11-148. The PRA package published in the Federal Register on January 31, 2014   (78 FR 6197) with comments due by April 1, 2014.  </w:t>
            </w:r>
          </w:p>
        </w:tc>
      </w:tr>
    </w:tbl>
    <w:p w:rsidR="000E3DA4" w:rsidRDefault="000E3DA4"/>
    <w:sectPr w:rsidR="000E3DA4" w:rsidSect="00DE3A9D">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236" w:rsidRDefault="00934236" w:rsidP="00B17BBC">
      <w:pPr>
        <w:spacing w:after="0" w:line="240" w:lineRule="auto"/>
      </w:pPr>
      <w:r>
        <w:separator/>
      </w:r>
    </w:p>
  </w:endnote>
  <w:endnote w:type="continuationSeparator" w:id="0">
    <w:p w:rsidR="00934236" w:rsidRDefault="00934236" w:rsidP="00B1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236" w:rsidRDefault="00934236" w:rsidP="00B17BBC">
      <w:pPr>
        <w:spacing w:after="0" w:line="240" w:lineRule="auto"/>
      </w:pPr>
      <w:r>
        <w:separator/>
      </w:r>
    </w:p>
  </w:footnote>
  <w:footnote w:type="continuationSeparator" w:id="0">
    <w:p w:rsidR="00934236" w:rsidRDefault="00934236" w:rsidP="00B17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BC" w:rsidRDefault="00B17BBC">
    <w:pPr>
      <w:pStyle w:val="Header"/>
    </w:pPr>
    <w:r>
      <w:t xml:space="preserve"> </w:t>
    </w:r>
    <w:r w:rsidRPr="00B17BBC">
      <w:t>Revisions Crosswalk (Form CMS-855S): OMB 0938-1086</w:t>
    </w:r>
  </w:p>
  <w:p w:rsidR="00B17BBC" w:rsidRDefault="00B17B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B9"/>
    <w:rsid w:val="000E3DA4"/>
    <w:rsid w:val="00147FFA"/>
    <w:rsid w:val="00180FCB"/>
    <w:rsid w:val="00257999"/>
    <w:rsid w:val="002E740F"/>
    <w:rsid w:val="004D159A"/>
    <w:rsid w:val="006C6726"/>
    <w:rsid w:val="006F4834"/>
    <w:rsid w:val="007F7AB9"/>
    <w:rsid w:val="00805B83"/>
    <w:rsid w:val="008A5B59"/>
    <w:rsid w:val="00934236"/>
    <w:rsid w:val="00A42728"/>
    <w:rsid w:val="00A74FEB"/>
    <w:rsid w:val="00AD2BAD"/>
    <w:rsid w:val="00AF1C6C"/>
    <w:rsid w:val="00B17BBC"/>
    <w:rsid w:val="00C50284"/>
    <w:rsid w:val="00C64536"/>
    <w:rsid w:val="00DE3A9D"/>
    <w:rsid w:val="00E16BBB"/>
    <w:rsid w:val="00E8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740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7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BC"/>
  </w:style>
  <w:style w:type="paragraph" w:styleId="Footer">
    <w:name w:val="footer"/>
    <w:basedOn w:val="Normal"/>
    <w:link w:val="FooterChar"/>
    <w:uiPriority w:val="99"/>
    <w:unhideWhenUsed/>
    <w:rsid w:val="00B17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BC"/>
  </w:style>
  <w:style w:type="paragraph" w:styleId="BalloonText">
    <w:name w:val="Balloon Text"/>
    <w:basedOn w:val="Normal"/>
    <w:link w:val="BalloonTextChar"/>
    <w:uiPriority w:val="99"/>
    <w:semiHidden/>
    <w:unhideWhenUsed/>
    <w:rsid w:val="00B17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740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7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BC"/>
  </w:style>
  <w:style w:type="paragraph" w:styleId="Footer">
    <w:name w:val="footer"/>
    <w:basedOn w:val="Normal"/>
    <w:link w:val="FooterChar"/>
    <w:uiPriority w:val="99"/>
    <w:unhideWhenUsed/>
    <w:rsid w:val="00B17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BC"/>
  </w:style>
  <w:style w:type="paragraph" w:styleId="BalloonText">
    <w:name w:val="Balloon Text"/>
    <w:basedOn w:val="Normal"/>
    <w:link w:val="BalloonTextChar"/>
    <w:uiPriority w:val="99"/>
    <w:semiHidden/>
    <w:unhideWhenUsed/>
    <w:rsid w:val="00B17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11155">
      <w:bodyDiv w:val="1"/>
      <w:marLeft w:val="0"/>
      <w:marRight w:val="0"/>
      <w:marTop w:val="0"/>
      <w:marBottom w:val="0"/>
      <w:divBdr>
        <w:top w:val="none" w:sz="0" w:space="0" w:color="auto"/>
        <w:left w:val="none" w:sz="0" w:space="0" w:color="auto"/>
        <w:bottom w:val="none" w:sz="0" w:space="0" w:color="auto"/>
        <w:right w:val="none" w:sz="0" w:space="0" w:color="auto"/>
      </w:divBdr>
    </w:div>
    <w:div w:id="15688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KIMBERLEE HECKSTALL</dc:creator>
  <cp:lastModifiedBy>JAMAA HILL</cp:lastModifiedBy>
  <cp:revision>2</cp:revision>
  <dcterms:created xsi:type="dcterms:W3CDTF">2014-06-03T18:44:00Z</dcterms:created>
  <dcterms:modified xsi:type="dcterms:W3CDTF">2014-06-03T18:44:00Z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-674113957</vt:i4>
  </property>
  <property fmtid="{D5CDD505-2E9C-101B-9397-08002B2CF9AE}" pid="3" name="_NewReviewCycle">
    <vt:lpwstr/>
  </property>
  <property fmtid="{D5CDD505-2E9C-101B-9397-08002B2CF9AE}" pid="4" name="_EmailSubject">
    <vt:lpwstr>UPDATE RE: Web Portal PRA Approval</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8" name="_PreviousAdHocReviewCycleID">
    <vt:i4>1443633580</vt:i4>
  </property>
</Properties>
</file>