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BB5B5" w14:textId="77777777" w:rsidR="002B402B" w:rsidRDefault="002B402B" w:rsidP="002B402B">
      <w:pPr>
        <w:pStyle w:val="NormalWeb"/>
        <w:spacing w:line="288" w:lineRule="atLeast"/>
        <w:ind w:firstLine="480"/>
        <w:jc w:val="center"/>
        <w:rPr>
          <w:u w:val="single"/>
        </w:rPr>
      </w:pPr>
      <w:bookmarkStart w:id="0" w:name="cs31d"/>
      <w:r>
        <w:rPr>
          <w:u w:val="single"/>
        </w:rPr>
        <w:t>SUPPORTING STATEMENT – PART B</w:t>
      </w:r>
    </w:p>
    <w:p w14:paraId="3B66BBB8" w14:textId="77777777" w:rsidR="002B402B" w:rsidRDefault="002B402B" w:rsidP="002B402B">
      <w:pPr>
        <w:pStyle w:val="NormalWeb"/>
        <w:spacing w:line="288" w:lineRule="atLeast"/>
        <w:ind w:firstLine="480"/>
      </w:pPr>
      <w:bookmarkStart w:id="1" w:name="cs32"/>
      <w:bookmarkEnd w:id="0"/>
      <w:r>
        <w:t xml:space="preserve">B.  </w:t>
      </w:r>
      <w:r>
        <w:rPr>
          <w:u w:val="single"/>
        </w:rPr>
        <w:t>COLLECTIONS OF INFORMATION EMPLOYING STATISTICAL METHODS</w:t>
      </w:r>
      <w:bookmarkEnd w:id="1"/>
    </w:p>
    <w:p w14:paraId="6F3C48F3" w14:textId="77777777" w:rsidR="002B402B" w:rsidRDefault="002B402B" w:rsidP="002B402B">
      <w:pPr>
        <w:pStyle w:val="NormalWeb"/>
        <w:spacing w:line="288" w:lineRule="atLeast"/>
        <w:ind w:firstLine="900"/>
      </w:pPr>
      <w:r>
        <w:t xml:space="preserve">1.  </w:t>
      </w:r>
      <w:r>
        <w:rPr>
          <w:u w:val="single"/>
        </w:rPr>
        <w:t>Description of the Activity</w:t>
      </w:r>
    </w:p>
    <w:p w14:paraId="76C77A93" w14:textId="77777777" w:rsidR="002B402B" w:rsidRPr="00556529" w:rsidRDefault="002B402B" w:rsidP="002B402B">
      <w:pPr>
        <w:outlineLvl w:val="0"/>
        <w:rPr>
          <w:rFonts w:eastAsia="Arial Unicode MS"/>
          <w:color w:val="000000"/>
          <w:u w:color="000000"/>
        </w:rPr>
      </w:pPr>
      <w:r w:rsidRPr="00556529">
        <w:rPr>
          <w:rFonts w:eastAsia="Arial Unicode MS"/>
          <w:color w:val="000000"/>
          <w:u w:color="000000"/>
        </w:rPr>
        <w:t>The potential respondent universe includes all “cadets” (participants) at National Guard Youth Challenge (ChalleNGe) programs. There are 34 ChalleNGe programs operating across the U</w:t>
      </w:r>
      <w:r>
        <w:rPr>
          <w:rFonts w:eastAsia="Arial Unicode MS"/>
          <w:color w:val="000000"/>
          <w:u w:color="000000"/>
        </w:rPr>
        <w:t>nited States</w:t>
      </w:r>
      <w:r w:rsidRPr="00556529">
        <w:rPr>
          <w:rFonts w:eastAsia="Arial Unicode MS"/>
          <w:color w:val="000000"/>
          <w:u w:color="000000"/>
        </w:rPr>
        <w:t>; this includes programs in 2</w:t>
      </w:r>
      <w:r w:rsidR="00C34BDC">
        <w:rPr>
          <w:rFonts w:eastAsia="Arial Unicode MS"/>
          <w:color w:val="000000"/>
          <w:u w:color="000000"/>
        </w:rPr>
        <w:t>9</w:t>
      </w:r>
      <w:r w:rsidRPr="00556529">
        <w:rPr>
          <w:rFonts w:eastAsia="Arial Unicode MS"/>
          <w:color w:val="000000"/>
          <w:u w:color="000000"/>
        </w:rPr>
        <w:t xml:space="preserve"> different states (some states have multiple programs) </w:t>
      </w:r>
      <w:r w:rsidR="00C34BDC">
        <w:rPr>
          <w:rFonts w:eastAsia="Arial Unicode MS"/>
          <w:color w:val="000000"/>
          <w:u w:color="000000"/>
        </w:rPr>
        <w:t>plus the District of Columbia and Puerto Rico</w:t>
      </w:r>
      <w:r w:rsidRPr="00556529">
        <w:rPr>
          <w:rFonts w:eastAsia="Arial Unicode MS"/>
          <w:color w:val="000000"/>
          <w:u w:color="000000"/>
        </w:rPr>
        <w:t>.</w:t>
      </w:r>
    </w:p>
    <w:p w14:paraId="5DB6539C" w14:textId="77777777" w:rsidR="002B402B" w:rsidRPr="00556529" w:rsidRDefault="002B402B" w:rsidP="002B402B">
      <w:pPr>
        <w:outlineLvl w:val="0"/>
        <w:rPr>
          <w:rFonts w:eastAsia="Arial Unicode MS"/>
          <w:color w:val="000000"/>
          <w:u w:color="000000"/>
        </w:rPr>
      </w:pPr>
    </w:p>
    <w:p w14:paraId="36B26B67" w14:textId="1D690F9B" w:rsidR="002B402B" w:rsidRPr="00556529" w:rsidRDefault="006803A0" w:rsidP="002B402B">
      <w:pPr>
        <w:outlineLvl w:val="0"/>
        <w:rPr>
          <w:rFonts w:eastAsia="Arial Unicode MS"/>
          <w:color w:val="000000"/>
          <w:u w:color="000000"/>
        </w:rPr>
      </w:pPr>
      <w:r>
        <w:rPr>
          <w:rFonts w:eastAsia="Arial Unicode MS"/>
          <w:color w:val="000000"/>
          <w:u w:color="000000"/>
        </w:rPr>
        <w:t>Each year there are two “classes” of cadets</w:t>
      </w:r>
      <w:r w:rsidR="00EB4A22">
        <w:rPr>
          <w:rFonts w:eastAsia="Arial Unicode MS"/>
          <w:color w:val="000000"/>
          <w:u w:color="000000"/>
        </w:rPr>
        <w:t>,</w:t>
      </w:r>
      <w:r>
        <w:rPr>
          <w:rFonts w:eastAsia="Arial Unicode MS"/>
          <w:color w:val="000000"/>
          <w:u w:color="000000"/>
        </w:rPr>
        <w:t xml:space="preserve"> which includes cadets across all programs.  </w:t>
      </w:r>
      <w:r w:rsidR="00EB4A22">
        <w:rPr>
          <w:rFonts w:eastAsia="Arial Unicode MS"/>
          <w:color w:val="000000"/>
          <w:u w:color="000000"/>
        </w:rPr>
        <w:t xml:space="preserve">Typically, one class of cadets at each program starts in the winter and the other in the late summer/early fall.  </w:t>
      </w:r>
      <w:r>
        <w:rPr>
          <w:rFonts w:eastAsia="Arial Unicode MS"/>
          <w:color w:val="000000"/>
          <w:u w:color="000000"/>
        </w:rPr>
        <w:t xml:space="preserve">Although the number of cadets enrolled in each class varies slightly, most classes have registered and enrolled over 17,000 cadets with nearly 15,000 of them graduating from the program. </w:t>
      </w:r>
      <w:r w:rsidR="002B402B" w:rsidRPr="00556529">
        <w:rPr>
          <w:rFonts w:eastAsia="Arial Unicode MS"/>
          <w:color w:val="000000"/>
          <w:u w:color="000000"/>
        </w:rPr>
        <w:t>We will collect data at 7 different sites; these sites vary in size</w:t>
      </w:r>
      <w:r w:rsidR="002B402B">
        <w:rPr>
          <w:rFonts w:eastAsia="Arial Unicode MS"/>
          <w:color w:val="000000"/>
          <w:u w:color="000000"/>
        </w:rPr>
        <w:t>,</w:t>
      </w:r>
      <w:r w:rsidR="002B402B" w:rsidRPr="00556529">
        <w:rPr>
          <w:rFonts w:eastAsia="Arial Unicode MS"/>
          <w:color w:val="000000"/>
          <w:u w:color="000000"/>
        </w:rPr>
        <w:t xml:space="preserve"> but over recent cycles they have registered and enrolled </w:t>
      </w:r>
      <w:r w:rsidR="00A927B7">
        <w:rPr>
          <w:rFonts w:eastAsia="Arial Unicode MS"/>
          <w:color w:val="000000"/>
          <w:u w:color="000000"/>
        </w:rPr>
        <w:t>approximately</w:t>
      </w:r>
      <w:r w:rsidR="002B402B" w:rsidRPr="00556529">
        <w:rPr>
          <w:rFonts w:eastAsia="Arial Unicode MS"/>
          <w:color w:val="000000"/>
          <w:u w:color="000000"/>
        </w:rPr>
        <w:t xml:space="preserve"> 1,500 cadets</w:t>
      </w:r>
      <w:r>
        <w:rPr>
          <w:rFonts w:eastAsia="Arial Unicode MS"/>
          <w:color w:val="000000"/>
          <w:u w:color="000000"/>
        </w:rPr>
        <w:t xml:space="preserve"> per class</w:t>
      </w:r>
      <w:r w:rsidR="002B402B" w:rsidRPr="00556529">
        <w:rPr>
          <w:rFonts w:eastAsia="Arial Unicode MS"/>
          <w:color w:val="000000"/>
          <w:u w:color="000000"/>
        </w:rPr>
        <w:t>, and have graduated over 1,000 cadets. (Table 1 provides these figures</w:t>
      </w:r>
      <w:r w:rsidR="002B402B">
        <w:rPr>
          <w:rFonts w:eastAsia="Arial Unicode MS"/>
          <w:color w:val="000000"/>
          <w:u w:color="000000"/>
        </w:rPr>
        <w:t>.</w:t>
      </w:r>
      <w:r w:rsidR="002B402B" w:rsidRPr="00556529">
        <w:rPr>
          <w:rFonts w:eastAsia="Arial Unicode MS"/>
          <w:color w:val="000000"/>
          <w:u w:color="000000"/>
        </w:rPr>
        <w:t xml:space="preserve">) </w:t>
      </w:r>
    </w:p>
    <w:p w14:paraId="75CF1F30" w14:textId="77777777" w:rsidR="002B402B" w:rsidRPr="00556529" w:rsidRDefault="002B402B" w:rsidP="002B402B">
      <w:pPr>
        <w:outlineLvl w:val="0"/>
        <w:rPr>
          <w:rFonts w:eastAsia="Arial Unicode MS"/>
          <w:color w:val="000000"/>
          <w:u w:color="000000"/>
        </w:rPr>
      </w:pPr>
    </w:p>
    <w:p w14:paraId="25EC6D4C" w14:textId="77777777" w:rsidR="002B402B" w:rsidRPr="00556529" w:rsidRDefault="002B402B" w:rsidP="002B402B">
      <w:pPr>
        <w:outlineLvl w:val="0"/>
        <w:rPr>
          <w:rFonts w:eastAsia="Arial Unicode MS"/>
          <w:color w:val="000000"/>
          <w:u w:color="000000"/>
        </w:rPr>
      </w:pPr>
      <w:r w:rsidRPr="00556529">
        <w:rPr>
          <w:rFonts w:eastAsia="Arial Unicode MS"/>
          <w:color w:val="000000"/>
          <w:u w:color="000000"/>
        </w:rPr>
        <w:t>Table 1</w:t>
      </w:r>
    </w:p>
    <w:tbl>
      <w:tblPr>
        <w:tblW w:w="8854" w:type="dxa"/>
        <w:tblInd w:w="5" w:type="dxa"/>
        <w:shd w:val="clear" w:color="auto" w:fill="FFFFFF"/>
        <w:tblLayout w:type="fixed"/>
        <w:tblLook w:val="0000" w:firstRow="0" w:lastRow="0" w:firstColumn="0" w:lastColumn="0" w:noHBand="0" w:noVBand="0"/>
      </w:tblPr>
      <w:tblGrid>
        <w:gridCol w:w="1442"/>
        <w:gridCol w:w="1217"/>
        <w:gridCol w:w="1325"/>
        <w:gridCol w:w="1301"/>
        <w:gridCol w:w="1195"/>
        <w:gridCol w:w="1067"/>
        <w:gridCol w:w="1307"/>
      </w:tblGrid>
      <w:tr w:rsidR="002B402B" w:rsidRPr="00556529" w14:paraId="18F49E32" w14:textId="77777777" w:rsidTr="00A927B7">
        <w:trPr>
          <w:cantSplit/>
          <w:trHeight w:val="35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29D5FF" w14:textId="77777777" w:rsidR="002B402B" w:rsidRPr="00556529" w:rsidRDefault="002B402B" w:rsidP="0069743C">
            <w:pPr>
              <w:pStyle w:val="Body1"/>
              <w:outlineLvl w:val="9"/>
              <w:rPr>
                <w:i/>
                <w:szCs w:val="24"/>
              </w:rPr>
            </w:pPr>
            <w:r w:rsidRPr="00556529">
              <w:rPr>
                <w:i/>
                <w:szCs w:val="24"/>
              </w:rPr>
              <w:t>Program(s):</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038C3A" w14:textId="77777777" w:rsidR="002B402B" w:rsidRPr="00556529" w:rsidRDefault="002B402B" w:rsidP="0069743C">
            <w:pPr>
              <w:pStyle w:val="Body1"/>
              <w:jc w:val="center"/>
              <w:outlineLvl w:val="9"/>
              <w:rPr>
                <w:i/>
                <w:szCs w:val="24"/>
              </w:rPr>
            </w:pPr>
            <w:r w:rsidRPr="00556529">
              <w:rPr>
                <w:i/>
                <w:szCs w:val="24"/>
              </w:rPr>
              <w:t>Cadets registered</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D2758D3" w14:textId="77777777" w:rsidR="002B402B" w:rsidRPr="00556529" w:rsidRDefault="002B402B" w:rsidP="0069743C">
            <w:pPr>
              <w:pStyle w:val="Body1"/>
              <w:jc w:val="center"/>
              <w:outlineLvl w:val="9"/>
              <w:rPr>
                <w:i/>
                <w:szCs w:val="24"/>
              </w:rPr>
            </w:pPr>
            <w:r w:rsidRPr="00556529">
              <w:rPr>
                <w:i/>
                <w:szCs w:val="24"/>
              </w:rPr>
              <w:t>Likely responders</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98762A0" w14:textId="77777777" w:rsidR="002B402B" w:rsidRPr="00556529" w:rsidRDefault="002B402B" w:rsidP="0069743C">
            <w:pPr>
              <w:pStyle w:val="Body1"/>
              <w:jc w:val="center"/>
              <w:outlineLvl w:val="9"/>
              <w:rPr>
                <w:i/>
                <w:szCs w:val="24"/>
              </w:rPr>
            </w:pPr>
            <w:r w:rsidRPr="00556529">
              <w:rPr>
                <w:i/>
                <w:szCs w:val="24"/>
              </w:rPr>
              <w:t>Cadets graduating</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DF9B5F" w14:textId="77777777" w:rsidR="002B402B" w:rsidRPr="00556529" w:rsidRDefault="002B402B" w:rsidP="0069743C">
            <w:pPr>
              <w:pStyle w:val="Body1"/>
              <w:jc w:val="center"/>
              <w:outlineLvl w:val="9"/>
              <w:rPr>
                <w:i/>
                <w:szCs w:val="24"/>
              </w:rPr>
            </w:pPr>
            <w:r w:rsidRPr="00556529">
              <w:rPr>
                <w:i/>
                <w:szCs w:val="24"/>
              </w:rPr>
              <w:t>Likely responders</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258601A" w14:textId="7FC47059" w:rsidR="002B402B" w:rsidRPr="00556529" w:rsidRDefault="002B402B" w:rsidP="0069743C">
            <w:pPr>
              <w:pStyle w:val="Body1"/>
              <w:jc w:val="center"/>
              <w:outlineLvl w:val="9"/>
              <w:rPr>
                <w:i/>
                <w:szCs w:val="24"/>
              </w:rPr>
            </w:pPr>
            <w:r w:rsidRPr="00556529">
              <w:rPr>
                <w:i/>
                <w:szCs w:val="24"/>
              </w:rPr>
              <w:t>Female grad</w:t>
            </w:r>
            <w:r w:rsidR="009E6C97">
              <w:rPr>
                <w:i/>
                <w:szCs w:val="24"/>
              </w:rPr>
              <w:t>uate</w:t>
            </w:r>
            <w:r w:rsidRPr="00556529">
              <w:rPr>
                <w:i/>
                <w:szCs w:val="24"/>
              </w:rPr>
              <w:t>s</w:t>
            </w:r>
          </w:p>
        </w:tc>
        <w:tc>
          <w:tcPr>
            <w:tcW w:w="13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36BC86C" w14:textId="77777777" w:rsidR="002B402B" w:rsidRPr="00556529" w:rsidRDefault="002B402B" w:rsidP="0069743C">
            <w:pPr>
              <w:pStyle w:val="Body1"/>
              <w:jc w:val="center"/>
              <w:outlineLvl w:val="9"/>
              <w:rPr>
                <w:i/>
                <w:szCs w:val="24"/>
              </w:rPr>
            </w:pPr>
            <w:r w:rsidRPr="00556529">
              <w:rPr>
                <w:i/>
                <w:szCs w:val="24"/>
              </w:rPr>
              <w:t>Likely responders</w:t>
            </w:r>
          </w:p>
        </w:tc>
      </w:tr>
      <w:tr w:rsidR="002B402B" w:rsidRPr="00556529" w14:paraId="3EE542B1" w14:textId="77777777" w:rsidTr="00A927B7">
        <w:trPr>
          <w:cantSplit/>
          <w:trHeight w:val="35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659829" w14:textId="77777777" w:rsidR="002B402B" w:rsidRPr="00D01349" w:rsidRDefault="002B402B" w:rsidP="0069743C">
            <w:pPr>
              <w:pStyle w:val="Body1"/>
              <w:outlineLvl w:val="9"/>
              <w:rPr>
                <w:i/>
                <w:szCs w:val="24"/>
              </w:rPr>
            </w:pPr>
            <w:r w:rsidRPr="00D01349">
              <w:rPr>
                <w:i/>
                <w:szCs w:val="24"/>
              </w:rPr>
              <w:t>All</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38B5F59" w14:textId="77777777" w:rsidR="002B402B" w:rsidRPr="00D01349" w:rsidRDefault="002B402B" w:rsidP="0069743C">
            <w:pPr>
              <w:pStyle w:val="Body1"/>
              <w:jc w:val="center"/>
              <w:outlineLvl w:val="9"/>
              <w:rPr>
                <w:i/>
                <w:szCs w:val="24"/>
              </w:rPr>
            </w:pPr>
            <w:r w:rsidRPr="00D01349">
              <w:rPr>
                <w:i/>
                <w:szCs w:val="24"/>
              </w:rPr>
              <w:t>~17,000</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4D595F4" w14:textId="77777777" w:rsidR="002B402B" w:rsidRPr="00D01349" w:rsidRDefault="002B402B" w:rsidP="0069743C">
            <w:pPr>
              <w:pStyle w:val="Body1"/>
              <w:jc w:val="center"/>
              <w:outlineLvl w:val="9"/>
              <w:rPr>
                <w:i/>
                <w:szCs w:val="24"/>
                <w:shd w:val="clear" w:color="auto" w:fill="FFFF00"/>
              </w:rPr>
            </w:pP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0E66317" w14:textId="77777777" w:rsidR="002B402B" w:rsidRPr="00D01349" w:rsidRDefault="002B402B" w:rsidP="0069743C">
            <w:pPr>
              <w:pStyle w:val="Body1"/>
              <w:jc w:val="center"/>
              <w:outlineLvl w:val="9"/>
              <w:rPr>
                <w:i/>
                <w:szCs w:val="24"/>
              </w:rPr>
            </w:pPr>
            <w:r w:rsidRPr="00D01349">
              <w:rPr>
                <w:i/>
                <w:szCs w:val="24"/>
              </w:rPr>
              <w:t>~15,000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746511" w14:textId="77777777" w:rsidR="002B402B" w:rsidRPr="00D01349" w:rsidRDefault="002B402B" w:rsidP="0069743C">
            <w:pPr>
              <w:pStyle w:val="Body1"/>
              <w:jc w:val="center"/>
              <w:outlineLvl w:val="9"/>
              <w:rPr>
                <w:i/>
                <w:szCs w:val="24"/>
                <w:shd w:val="clear" w:color="auto" w:fill="FFFF00"/>
              </w:rPr>
            </w:pPr>
          </w:p>
        </w:tc>
        <w:tc>
          <w:tcPr>
            <w:tcW w:w="10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955EC61" w14:textId="77777777" w:rsidR="002B402B" w:rsidRPr="00D01349" w:rsidRDefault="002B402B" w:rsidP="0069743C">
            <w:pPr>
              <w:pStyle w:val="Body1"/>
              <w:jc w:val="center"/>
              <w:outlineLvl w:val="9"/>
              <w:rPr>
                <w:i/>
                <w:szCs w:val="24"/>
              </w:rPr>
            </w:pPr>
            <w:r w:rsidRPr="00D01349">
              <w:rPr>
                <w:i/>
                <w:szCs w:val="24"/>
              </w:rPr>
              <w:t>~3,000</w:t>
            </w:r>
          </w:p>
        </w:tc>
        <w:tc>
          <w:tcPr>
            <w:tcW w:w="13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5A2FB7" w14:textId="77777777" w:rsidR="002B402B" w:rsidRPr="00556529" w:rsidRDefault="002B402B" w:rsidP="0069743C">
            <w:pPr>
              <w:pStyle w:val="Body1"/>
              <w:jc w:val="center"/>
              <w:outlineLvl w:val="9"/>
              <w:rPr>
                <w:i/>
                <w:szCs w:val="24"/>
                <w:shd w:val="clear" w:color="auto" w:fill="FFFF00"/>
              </w:rPr>
            </w:pPr>
          </w:p>
        </w:tc>
      </w:tr>
      <w:tr w:rsidR="002B402B" w:rsidRPr="00556529" w14:paraId="743CB6D8" w14:textId="77777777" w:rsidTr="00A927B7">
        <w:trPr>
          <w:cantSplit/>
          <w:trHeight w:val="35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C3C5784" w14:textId="77777777" w:rsidR="002B402B" w:rsidRPr="00556529" w:rsidRDefault="002B402B" w:rsidP="0069743C">
            <w:pPr>
              <w:pStyle w:val="Body1"/>
              <w:outlineLvl w:val="9"/>
              <w:rPr>
                <w:i/>
                <w:szCs w:val="24"/>
              </w:rPr>
            </w:pPr>
            <w:r w:rsidRPr="00556529">
              <w:rPr>
                <w:i/>
                <w:szCs w:val="24"/>
              </w:rPr>
              <w:t>Sample (7 programs)</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1F64D47" w14:textId="77777777" w:rsidR="002B402B" w:rsidRPr="00556529" w:rsidRDefault="002B402B" w:rsidP="0069743C">
            <w:pPr>
              <w:pStyle w:val="Body1"/>
              <w:jc w:val="center"/>
              <w:outlineLvl w:val="9"/>
              <w:rPr>
                <w:i/>
                <w:szCs w:val="24"/>
              </w:rPr>
            </w:pPr>
            <w:r w:rsidRPr="00556529">
              <w:rPr>
                <w:i/>
                <w:szCs w:val="24"/>
              </w:rPr>
              <w:t>~1,500</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0FF6D0A" w14:textId="77777777" w:rsidR="002B402B" w:rsidRPr="00556529" w:rsidRDefault="002B402B" w:rsidP="0069743C">
            <w:pPr>
              <w:pStyle w:val="Body1"/>
              <w:jc w:val="center"/>
              <w:outlineLvl w:val="9"/>
              <w:rPr>
                <w:i/>
                <w:szCs w:val="24"/>
              </w:rPr>
            </w:pPr>
            <w:r w:rsidRPr="00556529">
              <w:rPr>
                <w:i/>
                <w:szCs w:val="24"/>
              </w:rPr>
              <w:t>~1,200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2070713" w14:textId="77777777" w:rsidR="002B402B" w:rsidRPr="00556529" w:rsidRDefault="002B402B" w:rsidP="0069743C">
            <w:pPr>
              <w:pStyle w:val="Body1"/>
              <w:jc w:val="center"/>
              <w:outlineLvl w:val="9"/>
              <w:rPr>
                <w:i/>
                <w:szCs w:val="24"/>
              </w:rPr>
            </w:pPr>
            <w:r w:rsidRPr="00556529">
              <w:rPr>
                <w:i/>
                <w:szCs w:val="24"/>
              </w:rPr>
              <w:t>~1,000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A75A11" w14:textId="77777777" w:rsidR="002B402B" w:rsidRPr="00556529" w:rsidRDefault="002B402B" w:rsidP="0069743C">
            <w:pPr>
              <w:pStyle w:val="Body1"/>
              <w:jc w:val="center"/>
              <w:outlineLvl w:val="9"/>
              <w:rPr>
                <w:i/>
                <w:szCs w:val="24"/>
              </w:rPr>
            </w:pPr>
            <w:r w:rsidRPr="00556529">
              <w:rPr>
                <w:i/>
                <w:szCs w:val="24"/>
              </w:rPr>
              <w:t>~800</w:t>
            </w:r>
          </w:p>
        </w:tc>
        <w:tc>
          <w:tcPr>
            <w:tcW w:w="10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3702E3" w14:textId="77777777" w:rsidR="002B402B" w:rsidRPr="00556529" w:rsidRDefault="002B402B" w:rsidP="0069743C">
            <w:pPr>
              <w:pStyle w:val="Body1"/>
              <w:jc w:val="center"/>
              <w:outlineLvl w:val="9"/>
              <w:rPr>
                <w:i/>
                <w:szCs w:val="24"/>
              </w:rPr>
            </w:pPr>
            <w:r w:rsidRPr="00556529">
              <w:rPr>
                <w:i/>
                <w:szCs w:val="24"/>
              </w:rPr>
              <w:t>~200</w:t>
            </w:r>
          </w:p>
        </w:tc>
        <w:tc>
          <w:tcPr>
            <w:tcW w:w="130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E768799" w14:textId="77777777" w:rsidR="002B402B" w:rsidRPr="00556529" w:rsidRDefault="002B402B" w:rsidP="0069743C">
            <w:pPr>
              <w:pStyle w:val="Body1"/>
              <w:jc w:val="center"/>
              <w:outlineLvl w:val="9"/>
              <w:rPr>
                <w:i/>
                <w:szCs w:val="24"/>
              </w:rPr>
            </w:pPr>
            <w:r w:rsidRPr="00556529">
              <w:rPr>
                <w:i/>
                <w:szCs w:val="24"/>
              </w:rPr>
              <w:t>~160</w:t>
            </w:r>
          </w:p>
        </w:tc>
      </w:tr>
    </w:tbl>
    <w:p w14:paraId="583F7A7F" w14:textId="77777777" w:rsidR="002B402B" w:rsidRPr="00556529" w:rsidRDefault="002B402B" w:rsidP="002B402B">
      <w:pPr>
        <w:outlineLvl w:val="0"/>
        <w:rPr>
          <w:rFonts w:eastAsia="Arial Unicode MS"/>
          <w:color w:val="000000"/>
          <w:u w:color="000000"/>
        </w:rPr>
      </w:pPr>
    </w:p>
    <w:p w14:paraId="164B480F" w14:textId="0A568F43" w:rsidR="002B402B" w:rsidRPr="00556529" w:rsidRDefault="00F06C73" w:rsidP="002B402B">
      <w:pPr>
        <w:outlineLvl w:val="0"/>
        <w:rPr>
          <w:rFonts w:eastAsia="Arial Unicode MS"/>
          <w:color w:val="000000"/>
          <w:u w:color="000000"/>
        </w:rPr>
      </w:pPr>
      <w:r w:rsidRPr="00F06C73">
        <w:rPr>
          <w:rFonts w:eastAsia="Arial Unicode MS"/>
          <w:color w:val="000000"/>
          <w:u w:color="000000"/>
        </w:rPr>
        <w:t xml:space="preserve">Due to budget and time constraints, we plan to survey cadets at seven programs.  </w:t>
      </w:r>
      <w:r w:rsidR="00624550" w:rsidRPr="00624550">
        <w:rPr>
          <w:rFonts w:eastAsia="Arial Unicode MS"/>
          <w:color w:val="000000"/>
          <w:u w:color="000000"/>
        </w:rPr>
        <w:t xml:space="preserve">The sites chosen as the focus of this study are:  San Luis Obispo, CA; Fort Gordon, GA; Gillis Long Youth ChalleNGe Center, LA; Wisconsin ChalleNGe Academy, WI; Lincoln’s ChalleNGe Academy, IL; </w:t>
      </w:r>
      <w:proofErr w:type="spellStart"/>
      <w:r w:rsidR="00624550" w:rsidRPr="00624550">
        <w:rPr>
          <w:rFonts w:eastAsia="Arial Unicode MS"/>
          <w:color w:val="000000"/>
          <w:u w:color="000000"/>
        </w:rPr>
        <w:t>Freestate</w:t>
      </w:r>
      <w:proofErr w:type="spellEnd"/>
      <w:r w:rsidR="00624550" w:rsidRPr="00624550">
        <w:rPr>
          <w:rFonts w:eastAsia="Arial Unicode MS"/>
          <w:color w:val="000000"/>
          <w:u w:color="000000"/>
        </w:rPr>
        <w:t xml:space="preserve"> ChalleNGe Academy, MD; and Washington Youth Academy, WA.</w:t>
      </w:r>
      <w:r w:rsidR="00624550">
        <w:rPr>
          <w:rFonts w:eastAsia="Arial Unicode MS"/>
          <w:color w:val="000000"/>
          <w:u w:color="000000"/>
        </w:rPr>
        <w:t xml:space="preserve">  These were selected in an effort to have a balance of programs that provide GED preparation and those that focus on credit recovery, while at the same time having a wide geographic disbursement.</w:t>
      </w:r>
      <w:r w:rsidR="00C65A7D">
        <w:rPr>
          <w:rFonts w:eastAsia="Arial Unicode MS"/>
          <w:color w:val="000000"/>
          <w:u w:color="000000"/>
        </w:rPr>
        <w:t xml:space="preserve">  We also took into consideration the size of the programs</w:t>
      </w:r>
      <w:r w:rsidR="00ED1148">
        <w:rPr>
          <w:rFonts w:eastAsia="Arial Unicode MS"/>
          <w:color w:val="000000"/>
          <w:u w:color="000000"/>
        </w:rPr>
        <w:t xml:space="preserve"> as we</w:t>
      </w:r>
      <w:r w:rsidR="00C65A7D">
        <w:rPr>
          <w:rFonts w:eastAsia="Arial Unicode MS"/>
          <w:color w:val="000000"/>
          <w:u w:color="000000"/>
        </w:rPr>
        <w:t xml:space="preserve"> wanted to ensure we would have a sufficient sample size.  Lastly, we considered the intake process used at each site since part of our recruitment and consent processes have to be incorporated into the program’s intake day.</w:t>
      </w:r>
      <w:r w:rsidRPr="00F06C73">
        <w:t xml:space="preserve"> </w:t>
      </w:r>
    </w:p>
    <w:p w14:paraId="6DA6947C" w14:textId="77777777" w:rsidR="00624550" w:rsidRDefault="00624550" w:rsidP="002B402B">
      <w:pPr>
        <w:outlineLvl w:val="0"/>
        <w:rPr>
          <w:rFonts w:eastAsia="Arial Unicode MS"/>
          <w:color w:val="000000"/>
          <w:u w:color="000000"/>
        </w:rPr>
      </w:pPr>
    </w:p>
    <w:p w14:paraId="61182CD5" w14:textId="7DF48D76" w:rsidR="002B402B" w:rsidRPr="00556529" w:rsidRDefault="00E332AD" w:rsidP="002B402B">
      <w:pPr>
        <w:outlineLvl w:val="0"/>
        <w:rPr>
          <w:rFonts w:eastAsia="Arial Unicode MS"/>
          <w:color w:val="000000"/>
          <w:u w:color="000000"/>
        </w:rPr>
      </w:pPr>
      <w:r w:rsidRPr="00E332AD">
        <w:rPr>
          <w:rFonts w:eastAsia="Arial Unicode MS"/>
          <w:color w:val="000000"/>
          <w:u w:color="000000"/>
        </w:rPr>
        <w:t xml:space="preserve">All cadets enrolled in the seven programs will be invited to participate in the study.  </w:t>
      </w:r>
      <w:r w:rsidR="002B402B" w:rsidRPr="00556529">
        <w:rPr>
          <w:rFonts w:eastAsia="Arial Unicode MS"/>
          <w:color w:val="000000"/>
          <w:u w:color="000000"/>
        </w:rPr>
        <w:t>Based on an expected response rate of 80</w:t>
      </w:r>
      <w:r w:rsidR="002B402B">
        <w:rPr>
          <w:rFonts w:eastAsia="Arial Unicode MS"/>
          <w:color w:val="000000"/>
          <w:u w:color="000000"/>
        </w:rPr>
        <w:t xml:space="preserve"> percent</w:t>
      </w:r>
      <w:r w:rsidR="002B402B" w:rsidRPr="00556529">
        <w:rPr>
          <w:rFonts w:eastAsia="Arial Unicode MS"/>
          <w:color w:val="000000"/>
          <w:u w:color="000000"/>
        </w:rPr>
        <w:t xml:space="preserve">, we estimate </w:t>
      </w:r>
      <w:r w:rsidR="002B402B">
        <w:rPr>
          <w:rFonts w:eastAsia="Arial Unicode MS"/>
          <w:color w:val="000000"/>
          <w:u w:color="000000"/>
        </w:rPr>
        <w:t xml:space="preserve">that </w:t>
      </w:r>
      <w:r w:rsidR="002B402B" w:rsidRPr="00556529">
        <w:rPr>
          <w:rFonts w:eastAsia="Arial Unicode MS"/>
          <w:color w:val="000000"/>
          <w:u w:color="000000"/>
        </w:rPr>
        <w:t xml:space="preserve">our sample will include about 1,200 cadets who take the initial survey and roughly 800 cadets who </w:t>
      </w:r>
      <w:r w:rsidR="002B402B" w:rsidRPr="00556529">
        <w:rPr>
          <w:rFonts w:eastAsia="Arial Unicode MS"/>
          <w:color w:val="000000"/>
          <w:u w:color="000000"/>
        </w:rPr>
        <w:lastRenderedPageBreak/>
        <w:t>take the final survey some 20 weeks later (again, see table 1). Therefore, our sample is likely to include at least 160 female cadets. These sample sizes will provide us with sufficient power to discern differences in responses to our survey measures (see below).</w:t>
      </w:r>
    </w:p>
    <w:p w14:paraId="777CC8DC" w14:textId="77777777" w:rsidR="002B402B" w:rsidRPr="00556529" w:rsidRDefault="002B402B" w:rsidP="002B402B">
      <w:pPr>
        <w:outlineLvl w:val="0"/>
        <w:rPr>
          <w:rFonts w:eastAsia="Arial Unicode MS"/>
          <w:color w:val="000000"/>
          <w:u w:color="000000"/>
        </w:rPr>
      </w:pPr>
    </w:p>
    <w:p w14:paraId="5240157B" w14:textId="485CFA5C" w:rsidR="0069743C" w:rsidRDefault="0069743C" w:rsidP="0069743C">
      <w:pPr>
        <w:outlineLvl w:val="0"/>
        <w:rPr>
          <w:rFonts w:eastAsia="Arial Unicode MS"/>
          <w:color w:val="000000"/>
          <w:u w:color="000000"/>
        </w:rPr>
      </w:pPr>
      <w:r w:rsidRPr="00556529">
        <w:rPr>
          <w:rFonts w:eastAsia="Arial Unicode MS"/>
          <w:color w:val="000000"/>
          <w:u w:color="000000"/>
        </w:rPr>
        <w:t>Based on conversations with Program Directors</w:t>
      </w:r>
      <w:r>
        <w:rPr>
          <w:rFonts w:eastAsia="Arial Unicode MS"/>
          <w:color w:val="000000"/>
          <w:u w:color="000000"/>
        </w:rPr>
        <w:t xml:space="preserve"> and the steps we plan to take to maximize our response rate (</w:t>
      </w:r>
      <w:r w:rsidR="00C24D1C">
        <w:rPr>
          <w:rFonts w:eastAsia="Arial Unicode MS"/>
          <w:color w:val="000000"/>
          <w:u w:color="000000"/>
        </w:rPr>
        <w:t xml:space="preserve">outlined </w:t>
      </w:r>
      <w:r>
        <w:rPr>
          <w:rFonts w:eastAsia="Arial Unicode MS"/>
          <w:color w:val="000000"/>
          <w:u w:color="000000"/>
        </w:rPr>
        <w:t>below)</w:t>
      </w:r>
      <w:r w:rsidRPr="00556529">
        <w:rPr>
          <w:rFonts w:eastAsia="Arial Unicode MS"/>
          <w:color w:val="000000"/>
          <w:u w:color="000000"/>
        </w:rPr>
        <w:t>, we believe our estimated response rate of 80</w:t>
      </w:r>
      <w:r>
        <w:rPr>
          <w:rFonts w:eastAsia="Arial Unicode MS"/>
          <w:color w:val="000000"/>
          <w:u w:color="000000"/>
        </w:rPr>
        <w:t xml:space="preserve"> percent</w:t>
      </w:r>
      <w:r w:rsidRPr="00556529">
        <w:rPr>
          <w:rFonts w:eastAsia="Arial Unicode MS"/>
          <w:color w:val="000000"/>
          <w:u w:color="000000"/>
        </w:rPr>
        <w:t xml:space="preserve"> is conservative and we are likely to achieve a higher rate</w:t>
      </w:r>
      <w:r w:rsidR="00C24D1C">
        <w:rPr>
          <w:rFonts w:eastAsia="Arial Unicode MS"/>
          <w:color w:val="000000"/>
          <w:u w:color="000000"/>
        </w:rPr>
        <w:t xml:space="preserve">. However, </w:t>
      </w:r>
      <w:r w:rsidRPr="00556529">
        <w:rPr>
          <w:rFonts w:eastAsia="Arial Unicode MS"/>
          <w:color w:val="000000"/>
          <w:u w:color="000000"/>
        </w:rPr>
        <w:t xml:space="preserve">we have no previous data collection and </w:t>
      </w:r>
      <w:r w:rsidR="00C24D1C">
        <w:rPr>
          <w:rFonts w:eastAsia="Arial Unicode MS"/>
          <w:color w:val="000000"/>
          <w:u w:color="000000"/>
        </w:rPr>
        <w:t>thus</w:t>
      </w:r>
      <w:r w:rsidR="00C24D1C" w:rsidRPr="00556529">
        <w:rPr>
          <w:rFonts w:eastAsia="Arial Unicode MS"/>
          <w:color w:val="000000"/>
          <w:u w:color="000000"/>
        </w:rPr>
        <w:t xml:space="preserve"> </w:t>
      </w:r>
      <w:r w:rsidRPr="00556529">
        <w:rPr>
          <w:rFonts w:eastAsia="Arial Unicode MS"/>
          <w:color w:val="000000"/>
          <w:u w:color="000000"/>
        </w:rPr>
        <w:t>no prior response rate for comparison.</w:t>
      </w:r>
    </w:p>
    <w:p w14:paraId="7244CAB0" w14:textId="77777777" w:rsidR="002B402B" w:rsidRDefault="002B402B" w:rsidP="002B402B">
      <w:pPr>
        <w:outlineLvl w:val="0"/>
        <w:rPr>
          <w:rFonts w:eastAsia="Arial Unicode MS"/>
          <w:color w:val="000000"/>
          <w:u w:color="000000"/>
        </w:rPr>
      </w:pPr>
    </w:p>
    <w:p w14:paraId="4951379D" w14:textId="77777777" w:rsidR="0069743C" w:rsidRPr="00556529" w:rsidRDefault="0069743C" w:rsidP="002B402B">
      <w:pPr>
        <w:outlineLvl w:val="0"/>
        <w:rPr>
          <w:rFonts w:eastAsia="Arial Unicode MS"/>
          <w:color w:val="000000"/>
          <w:u w:color="000000"/>
        </w:rPr>
      </w:pPr>
    </w:p>
    <w:p w14:paraId="5420B660" w14:textId="77777777" w:rsidR="002B402B" w:rsidRPr="00556529" w:rsidRDefault="002B402B" w:rsidP="002B402B">
      <w:pPr>
        <w:outlineLvl w:val="0"/>
        <w:rPr>
          <w:rFonts w:eastAsia="Arial Unicode MS"/>
          <w:color w:val="000000"/>
          <w:u w:val="single" w:color="000000"/>
        </w:rPr>
      </w:pPr>
      <w:r w:rsidRPr="00556529">
        <w:rPr>
          <w:rFonts w:eastAsia="Arial Unicode MS"/>
          <w:color w:val="000000"/>
          <w:u w:color="000000"/>
        </w:rPr>
        <w:tab/>
        <w:t>2</w:t>
      </w:r>
      <w:r>
        <w:rPr>
          <w:rFonts w:eastAsia="Arial Unicode MS"/>
          <w:color w:val="000000"/>
          <w:u w:color="000000"/>
        </w:rPr>
        <w:t xml:space="preserve">. </w:t>
      </w:r>
      <w:r w:rsidRPr="00556529">
        <w:rPr>
          <w:rFonts w:eastAsia="Arial Unicode MS"/>
          <w:color w:val="000000"/>
          <w:u w:val="single" w:color="000000"/>
        </w:rPr>
        <w:t>Procedures for the Collection of Information</w:t>
      </w:r>
    </w:p>
    <w:p w14:paraId="06016535" w14:textId="77777777" w:rsidR="002B402B" w:rsidRPr="00556529" w:rsidRDefault="002B402B" w:rsidP="002B402B">
      <w:pPr>
        <w:outlineLvl w:val="0"/>
        <w:rPr>
          <w:rFonts w:eastAsia="Arial Unicode MS"/>
          <w:color w:val="000000"/>
          <w:u w:val="single" w:color="000000"/>
        </w:rPr>
      </w:pPr>
    </w:p>
    <w:p w14:paraId="24D0E8C6" w14:textId="7589BEAC" w:rsidR="00E332AD" w:rsidRPr="00E332AD" w:rsidRDefault="00E332AD" w:rsidP="00E332AD">
      <w:pPr>
        <w:outlineLvl w:val="0"/>
        <w:rPr>
          <w:rFonts w:eastAsia="Arial Unicode MS"/>
          <w:color w:val="000000"/>
          <w:u w:color="000000"/>
        </w:rPr>
      </w:pPr>
      <w:r w:rsidRPr="00E332AD">
        <w:rPr>
          <w:rFonts w:eastAsia="Arial Unicode MS"/>
          <w:color w:val="000000"/>
          <w:u w:color="000000"/>
        </w:rPr>
        <w:t xml:space="preserve">The study involves the administration of two identical surveys: </w:t>
      </w:r>
    </w:p>
    <w:p w14:paraId="7D7EA84D" w14:textId="77777777" w:rsidR="00E332AD" w:rsidRPr="00E332AD" w:rsidRDefault="00E332AD" w:rsidP="00E332AD">
      <w:pPr>
        <w:outlineLvl w:val="0"/>
        <w:rPr>
          <w:rFonts w:eastAsia="Arial Unicode MS"/>
          <w:color w:val="000000"/>
          <w:u w:color="000000"/>
        </w:rPr>
      </w:pPr>
      <w:r w:rsidRPr="00E332AD">
        <w:rPr>
          <w:rFonts w:eastAsia="Arial Unicode MS"/>
          <w:color w:val="000000"/>
          <w:u w:color="000000"/>
        </w:rPr>
        <w:t>1.</w:t>
      </w:r>
      <w:r w:rsidRPr="00E332AD">
        <w:rPr>
          <w:rFonts w:eastAsia="Arial Unicode MS"/>
          <w:color w:val="000000"/>
          <w:u w:color="000000"/>
        </w:rPr>
        <w:tab/>
        <w:t>A paper and pencil survey of cadets to be conducted at the beginning of their time at ChalleNGe</w:t>
      </w:r>
    </w:p>
    <w:p w14:paraId="7F0B9C66" w14:textId="77777777" w:rsidR="00E332AD" w:rsidRPr="00E332AD" w:rsidRDefault="00E332AD" w:rsidP="00E332AD">
      <w:pPr>
        <w:outlineLvl w:val="0"/>
        <w:rPr>
          <w:rFonts w:eastAsia="Arial Unicode MS"/>
          <w:color w:val="000000"/>
          <w:u w:color="000000"/>
        </w:rPr>
      </w:pPr>
      <w:r w:rsidRPr="00E332AD">
        <w:rPr>
          <w:rFonts w:eastAsia="Arial Unicode MS"/>
          <w:color w:val="000000"/>
          <w:u w:color="000000"/>
        </w:rPr>
        <w:t>2.</w:t>
      </w:r>
      <w:r w:rsidRPr="00E332AD">
        <w:rPr>
          <w:rFonts w:eastAsia="Arial Unicode MS"/>
          <w:color w:val="000000"/>
          <w:u w:color="000000"/>
        </w:rPr>
        <w:tab/>
        <w:t>Re-administering the same paper and pencil survey to cadets who:  (a) took the survey at the beginning of their time at ChalleNGe; and, (b) remain in the program until graduation.</w:t>
      </w:r>
    </w:p>
    <w:p w14:paraId="4064BB91" w14:textId="77777777" w:rsidR="00E332AD" w:rsidRDefault="00E332AD" w:rsidP="00E332AD">
      <w:pPr>
        <w:outlineLvl w:val="0"/>
        <w:rPr>
          <w:rFonts w:eastAsia="Arial Unicode MS"/>
          <w:color w:val="000000"/>
          <w:u w:color="000000"/>
        </w:rPr>
      </w:pPr>
    </w:p>
    <w:p w14:paraId="7B7BF867" w14:textId="77777777" w:rsidR="00E332AD" w:rsidRPr="00E332AD" w:rsidRDefault="00E332AD" w:rsidP="00E332AD">
      <w:pPr>
        <w:outlineLvl w:val="0"/>
        <w:rPr>
          <w:rFonts w:eastAsia="Arial Unicode MS"/>
          <w:color w:val="000000"/>
          <w:u w:color="000000"/>
        </w:rPr>
      </w:pPr>
      <w:r w:rsidRPr="00E332AD">
        <w:rPr>
          <w:rFonts w:eastAsia="Arial Unicode MS"/>
          <w:color w:val="000000"/>
          <w:u w:color="000000"/>
        </w:rPr>
        <w:t xml:space="preserve">The process we will use for obtaining consent/assent and conducting each survey is described below.  </w:t>
      </w:r>
    </w:p>
    <w:p w14:paraId="5DF5714A" w14:textId="77777777" w:rsidR="00E332AD" w:rsidRPr="00E332AD" w:rsidRDefault="00E332AD" w:rsidP="00E332AD">
      <w:pPr>
        <w:outlineLvl w:val="0"/>
        <w:rPr>
          <w:rFonts w:eastAsia="Arial Unicode MS"/>
          <w:color w:val="000000"/>
          <w:u w:color="000000"/>
        </w:rPr>
      </w:pPr>
    </w:p>
    <w:p w14:paraId="2C08170D" w14:textId="77777777" w:rsidR="00E332AD" w:rsidRDefault="00E332AD" w:rsidP="00E332AD">
      <w:pPr>
        <w:outlineLvl w:val="0"/>
        <w:rPr>
          <w:rFonts w:eastAsia="Arial Unicode MS"/>
          <w:color w:val="000000"/>
          <w:u w:color="000000"/>
        </w:rPr>
      </w:pPr>
      <w:r w:rsidRPr="00E332AD">
        <w:rPr>
          <w:rFonts w:eastAsia="Arial Unicode MS"/>
          <w:color w:val="000000"/>
          <w:u w:color="000000"/>
        </w:rPr>
        <w:t>Survey #1</w:t>
      </w:r>
    </w:p>
    <w:p w14:paraId="737C9233" w14:textId="77777777" w:rsidR="00E332AD" w:rsidRPr="00E332AD" w:rsidRDefault="00E332AD" w:rsidP="00E332AD">
      <w:pPr>
        <w:outlineLvl w:val="0"/>
        <w:rPr>
          <w:rFonts w:eastAsia="Arial Unicode MS"/>
          <w:color w:val="000000"/>
          <w:u w:color="000000"/>
        </w:rPr>
      </w:pPr>
    </w:p>
    <w:p w14:paraId="4D69082B" w14:textId="434E7BF6" w:rsidR="00E332AD" w:rsidRPr="00E332AD" w:rsidRDefault="00E332AD" w:rsidP="00E332AD">
      <w:pPr>
        <w:outlineLvl w:val="0"/>
        <w:rPr>
          <w:rFonts w:eastAsia="Arial Unicode MS"/>
          <w:color w:val="000000"/>
          <w:u w:color="000000"/>
        </w:rPr>
      </w:pPr>
      <w:r w:rsidRPr="00E332AD">
        <w:rPr>
          <w:rFonts w:eastAsia="Arial Unicode MS"/>
          <w:color w:val="000000"/>
          <w:u w:color="000000"/>
        </w:rPr>
        <w:t>Consent/Assent Process:  We will be obtaining parent/guardian consent for those cadets who are minors, in addition to the assent of the minor.  Cadets who are of legal age will be asked for their consent to participate.  To give potential subjects, and their parent or guardian (where applicable), ample time to review information on the study and the consent/assent documents, each ChalleNGe program in our study will be including these documents in each cadet’s acceptance letter package. The documents include:  (1) a letter describing our study, inviting the cadet to participate, and requesting consent from interested parties; (2) the consent document asking for parent/guardian consent and subject assent for minors and consent for those of legal age; (3) a Research Subject Information Sheet for Adolescents for minors to read before they provide their assent to participate; and (4) for cadets residing in the state of California, potential subjects will be provided with a copy of  the “California Experimental Subject’s Bill of Rights.”  While all of the cadets speak and read English, some of their parents/guardians may only speak Spanish.  Accordingly, the package will also include Spanish translations of all four items</w:t>
      </w:r>
      <w:r w:rsidR="00C50774">
        <w:rPr>
          <w:rFonts w:eastAsia="Arial Unicode MS"/>
          <w:color w:val="000000"/>
          <w:u w:color="000000"/>
        </w:rPr>
        <w:t xml:space="preserve"> (Spanish language versions are in development)</w:t>
      </w:r>
      <w:r w:rsidRPr="00E332AD">
        <w:rPr>
          <w:rFonts w:eastAsia="Arial Unicode MS"/>
          <w:color w:val="000000"/>
          <w:u w:color="000000"/>
        </w:rPr>
        <w:t>.  If they are willing to participate in the study, cadets are asked to bring the consent/assent documents</w:t>
      </w:r>
      <w:r w:rsidR="00A24044">
        <w:rPr>
          <w:rFonts w:eastAsia="Arial Unicode MS"/>
          <w:color w:val="000000"/>
          <w:u w:color="000000"/>
        </w:rPr>
        <w:t xml:space="preserve"> with them on registration day. As a reminder about the study, we will have each of the seven programs send an email to each cadet one week prior to their arrival at ChalleNGe that reminds them about being invited to participate in the study and </w:t>
      </w:r>
      <w:r w:rsidR="00A24044">
        <w:rPr>
          <w:rFonts w:eastAsia="Arial Unicode MS"/>
          <w:color w:val="000000"/>
          <w:u w:color="000000"/>
        </w:rPr>
        <w:lastRenderedPageBreak/>
        <w:t xml:space="preserve">includes all of the same paperwork that was mailed to them.  </w:t>
      </w:r>
      <w:r w:rsidRPr="00E332AD">
        <w:rPr>
          <w:rFonts w:eastAsia="Arial Unicode MS"/>
          <w:color w:val="000000"/>
          <w:u w:color="000000"/>
        </w:rPr>
        <w:t xml:space="preserve">We will </w:t>
      </w:r>
      <w:r w:rsidR="00A24044">
        <w:rPr>
          <w:rFonts w:eastAsia="Arial Unicode MS"/>
          <w:color w:val="000000"/>
          <w:u w:color="000000"/>
        </w:rPr>
        <w:t xml:space="preserve">also </w:t>
      </w:r>
      <w:r w:rsidRPr="00E332AD">
        <w:rPr>
          <w:rFonts w:eastAsia="Arial Unicode MS"/>
          <w:color w:val="000000"/>
          <w:u w:color="000000"/>
        </w:rPr>
        <w:t xml:space="preserve">have additional copies available </w:t>
      </w:r>
      <w:r w:rsidR="00A24044">
        <w:rPr>
          <w:rFonts w:eastAsia="Arial Unicode MS"/>
          <w:color w:val="000000"/>
          <w:u w:color="000000"/>
        </w:rPr>
        <w:t xml:space="preserve">at intake </w:t>
      </w:r>
      <w:r w:rsidRPr="00E332AD">
        <w:rPr>
          <w:rFonts w:eastAsia="Arial Unicode MS"/>
          <w:color w:val="000000"/>
          <w:u w:color="000000"/>
        </w:rPr>
        <w:t>for those who do not bring the documents (see below).</w:t>
      </w:r>
    </w:p>
    <w:p w14:paraId="516B272C" w14:textId="77777777" w:rsidR="00E332AD" w:rsidRPr="00E332AD" w:rsidRDefault="00E332AD" w:rsidP="00E332AD">
      <w:pPr>
        <w:outlineLvl w:val="0"/>
        <w:rPr>
          <w:rFonts w:eastAsia="Arial Unicode MS"/>
          <w:color w:val="000000"/>
          <w:u w:color="000000"/>
        </w:rPr>
      </w:pPr>
    </w:p>
    <w:p w14:paraId="16CA9CC0" w14:textId="57C69F3A" w:rsidR="00E332AD" w:rsidRPr="00E332AD" w:rsidRDefault="00E332AD" w:rsidP="00E332AD">
      <w:pPr>
        <w:outlineLvl w:val="0"/>
        <w:rPr>
          <w:rFonts w:eastAsia="Arial Unicode MS"/>
          <w:color w:val="000000"/>
          <w:u w:color="000000"/>
        </w:rPr>
      </w:pPr>
      <w:r w:rsidRPr="00E332AD">
        <w:rPr>
          <w:rFonts w:eastAsia="Arial Unicode MS"/>
          <w:color w:val="000000"/>
          <w:u w:color="000000"/>
        </w:rPr>
        <w:t xml:space="preserve">Survey Process:  On registration day, we will set up a three-step process that will be incorporated into the ChalleNGe program’s registration process.  </w:t>
      </w:r>
      <w:r w:rsidR="00C92CD6">
        <w:rPr>
          <w:rFonts w:eastAsia="Arial Unicode MS"/>
          <w:color w:val="000000"/>
          <w:u w:color="000000"/>
        </w:rPr>
        <w:t xml:space="preserve">Every cadet will be contacted regarding the study.  </w:t>
      </w:r>
      <w:r w:rsidRPr="00E332AD">
        <w:rPr>
          <w:rFonts w:eastAsia="Arial Unicode MS"/>
          <w:color w:val="000000"/>
          <w:u w:color="000000"/>
        </w:rPr>
        <w:t xml:space="preserve">A graphic display can be found in Figure 1.  In Step 1, a CNA employee will ask each cadet if they would like to participate in the study and if they have their consent paperwork.  If the cadet does not want to participate in the study, they will move on to another part of the program’s registration process.  For cadets with paperwork in hand, the CNA employee will check the documents to ensure they are complete.  If they are not complete, the cadet will move on to Step 2.  If they are complete, the cadet will be given a “ticket” that allows them to move on to Step 3.  The ticket will contain a random survey identifier code and a blank for the cadet to fill in their name.  Cadets who would like to participate, but do not have signed documents with them, will move on to Step 2.   In Step 2, a CNA employee will explain the study and consent process to the cadet and his or her parent or guardian (for minors).   Any questions will be answered and, if they choose to participate, the documents will be signed and the cadet will be given a ticket and move on to Step 3.  Cadets choosing not to participate and minors who do not have a parent/guardian with them will continue with the program’s registration process.  </w:t>
      </w:r>
    </w:p>
    <w:p w14:paraId="75EC3C73" w14:textId="77777777" w:rsidR="00E332AD" w:rsidRPr="00E332AD" w:rsidRDefault="00E332AD" w:rsidP="00E332AD">
      <w:pPr>
        <w:outlineLvl w:val="0"/>
        <w:rPr>
          <w:rFonts w:eastAsia="Arial Unicode MS"/>
          <w:color w:val="000000"/>
          <w:u w:color="000000"/>
        </w:rPr>
      </w:pPr>
    </w:p>
    <w:p w14:paraId="02D80BA8" w14:textId="547EBC22" w:rsidR="00E332AD" w:rsidRPr="00E332AD" w:rsidRDefault="00E332AD" w:rsidP="00E332AD">
      <w:pPr>
        <w:outlineLvl w:val="0"/>
        <w:rPr>
          <w:rFonts w:eastAsia="Arial Unicode MS"/>
          <w:color w:val="000000"/>
          <w:u w:color="000000"/>
        </w:rPr>
      </w:pPr>
      <w:r w:rsidRPr="00E332AD">
        <w:rPr>
          <w:rFonts w:eastAsia="Arial Unicode MS"/>
          <w:color w:val="000000"/>
          <w:u w:color="000000"/>
        </w:rPr>
        <w:t xml:space="preserve">In Step 3, cadets with a ticket in hand will be taken into a classroom to complete the survey.  First, the CNA researcher will read a script explaining how the survey administration will work, reminding the cadets that their participation is voluntary, and explaining what to do with the survey once it is complete.  A copy of the script is </w:t>
      </w:r>
      <w:r w:rsidR="00BD54B2">
        <w:rPr>
          <w:rFonts w:eastAsia="Arial Unicode MS"/>
          <w:color w:val="000000"/>
          <w:u w:color="000000"/>
        </w:rPr>
        <w:t>included with this submission</w:t>
      </w:r>
      <w:r w:rsidRPr="00E332AD">
        <w:rPr>
          <w:rFonts w:eastAsia="Arial Unicode MS"/>
          <w:color w:val="000000"/>
          <w:u w:color="000000"/>
        </w:rPr>
        <w:t>.  Based on tests of the survey, we estimate that it will take approximately 10 minutes to complete.  After completing the survey, the cadets would continue with the program’s registration process.  Because the tickets will have the cadet’s ChalleNGe ID number on it, these pieces of paper will be shredded immediately after the cadet completes his/her survey.</w:t>
      </w:r>
    </w:p>
    <w:p w14:paraId="3543D385" w14:textId="77777777" w:rsidR="00E332AD" w:rsidRPr="00E332AD" w:rsidRDefault="00E332AD" w:rsidP="00E332AD">
      <w:pPr>
        <w:outlineLvl w:val="0"/>
        <w:rPr>
          <w:rFonts w:eastAsia="Arial Unicode MS"/>
          <w:color w:val="000000"/>
          <w:u w:color="000000"/>
        </w:rPr>
      </w:pPr>
    </w:p>
    <w:p w14:paraId="06166499" w14:textId="77777777" w:rsidR="00E332AD" w:rsidRPr="00E332AD" w:rsidRDefault="00E332AD" w:rsidP="00E332AD">
      <w:pPr>
        <w:outlineLvl w:val="0"/>
        <w:rPr>
          <w:rFonts w:eastAsia="Arial Unicode MS"/>
          <w:color w:val="000000"/>
          <w:u w:color="000000"/>
        </w:rPr>
      </w:pPr>
      <w:r w:rsidRPr="00E332AD">
        <w:rPr>
          <w:rFonts w:eastAsia="Arial Unicode MS"/>
          <w:color w:val="000000"/>
          <w:u w:color="000000"/>
        </w:rPr>
        <w:t xml:space="preserve">All of the paper surveys will be sealed in an envelope and hand-carried until they can be secured in a safe. After the data have been entered into a database and checked, all paper surveys will be destroyed.  The entrance “tickets” will also be collected and used by the ChalleNGe program staff to create a crosswalk of survey identifier codes and cadet names. Research staff will have no access to the crosswalk of survey identifier codes and cadet names and ChalleNGe program staff will have no access to completed surveys.  ChalleNGe program staff will be asked to destroy the tickets and crosswalks after the surveys have been completed.  </w:t>
      </w:r>
    </w:p>
    <w:p w14:paraId="241DEC71" w14:textId="77777777" w:rsidR="00E332AD" w:rsidRPr="00E332AD" w:rsidRDefault="00E332AD" w:rsidP="00E332AD">
      <w:pPr>
        <w:outlineLvl w:val="0"/>
        <w:rPr>
          <w:rFonts w:eastAsia="Arial Unicode MS"/>
          <w:color w:val="000000"/>
          <w:u w:color="000000"/>
        </w:rPr>
      </w:pPr>
    </w:p>
    <w:p w14:paraId="2B0480FF" w14:textId="77777777" w:rsidR="00E332AD" w:rsidRPr="00E332AD" w:rsidRDefault="00E332AD" w:rsidP="00E332AD">
      <w:pPr>
        <w:outlineLvl w:val="0"/>
        <w:rPr>
          <w:rFonts w:eastAsia="Arial Unicode MS"/>
          <w:color w:val="000000"/>
          <w:u w:color="000000"/>
        </w:rPr>
      </w:pPr>
    </w:p>
    <w:p w14:paraId="005FCABC" w14:textId="77777777" w:rsidR="002232F5" w:rsidRDefault="002232F5" w:rsidP="00E332AD">
      <w:pPr>
        <w:outlineLvl w:val="0"/>
        <w:rPr>
          <w:rFonts w:eastAsia="Arial Unicode MS"/>
          <w:color w:val="000000"/>
          <w:u w:color="000000"/>
        </w:rPr>
      </w:pPr>
    </w:p>
    <w:p w14:paraId="75F134BB" w14:textId="77777777" w:rsidR="002232F5" w:rsidRDefault="002232F5" w:rsidP="00E332AD">
      <w:pPr>
        <w:outlineLvl w:val="0"/>
        <w:rPr>
          <w:rFonts w:eastAsia="Arial Unicode MS"/>
          <w:color w:val="000000"/>
          <w:u w:color="000000"/>
        </w:rPr>
      </w:pPr>
    </w:p>
    <w:p w14:paraId="4180F11B" w14:textId="77777777" w:rsidR="002232F5" w:rsidRDefault="002232F5" w:rsidP="00E332AD">
      <w:pPr>
        <w:outlineLvl w:val="0"/>
        <w:rPr>
          <w:rFonts w:eastAsia="Arial Unicode MS"/>
          <w:color w:val="000000"/>
          <w:u w:color="000000"/>
        </w:rPr>
      </w:pPr>
    </w:p>
    <w:p w14:paraId="0AAE74C0" w14:textId="77777777" w:rsidR="002232F5" w:rsidRDefault="002232F5" w:rsidP="00E332AD">
      <w:pPr>
        <w:outlineLvl w:val="0"/>
        <w:rPr>
          <w:rFonts w:eastAsia="Arial Unicode MS"/>
          <w:color w:val="000000"/>
          <w:u w:color="000000"/>
        </w:rPr>
      </w:pPr>
    </w:p>
    <w:p w14:paraId="264BB594" w14:textId="706C5041" w:rsidR="00E332AD" w:rsidRPr="00E332AD" w:rsidRDefault="00E332AD" w:rsidP="00E332AD">
      <w:pPr>
        <w:outlineLvl w:val="0"/>
        <w:rPr>
          <w:rFonts w:eastAsia="Arial Unicode MS"/>
          <w:color w:val="000000"/>
          <w:u w:color="000000"/>
        </w:rPr>
      </w:pPr>
      <w:bookmarkStart w:id="2" w:name="_GoBack"/>
      <w:bookmarkEnd w:id="2"/>
      <w:r w:rsidRPr="00E332AD">
        <w:rPr>
          <w:rFonts w:eastAsia="Arial Unicode MS"/>
          <w:color w:val="000000"/>
          <w:u w:color="000000"/>
        </w:rPr>
        <w:lastRenderedPageBreak/>
        <w:t>Figure 1.  Process for Survey #1</w:t>
      </w:r>
    </w:p>
    <w:p w14:paraId="4181A982" w14:textId="77777777" w:rsidR="00E332AD" w:rsidRPr="00E332AD" w:rsidRDefault="00E332AD" w:rsidP="00E332AD">
      <w:pPr>
        <w:outlineLvl w:val="0"/>
        <w:rPr>
          <w:rFonts w:eastAsia="Arial Unicode MS"/>
          <w:color w:val="000000"/>
          <w:u w:color="000000"/>
        </w:rPr>
      </w:pPr>
    </w:p>
    <w:p w14:paraId="2650C9A7" w14:textId="4B24473A" w:rsidR="00E332AD" w:rsidRPr="00E332AD" w:rsidRDefault="00E332AD" w:rsidP="00E332AD">
      <w:pPr>
        <w:outlineLvl w:val="0"/>
        <w:rPr>
          <w:rFonts w:eastAsia="Arial Unicode MS"/>
          <w:color w:val="000000"/>
          <w:u w:color="000000"/>
        </w:rPr>
      </w:pPr>
      <w:r w:rsidRPr="00E332AD">
        <w:rPr>
          <w:rFonts w:eastAsia="Arial Unicode MS"/>
          <w:color w:val="000000"/>
          <w:u w:color="000000"/>
        </w:rPr>
        <w:t xml:space="preserve"> </w:t>
      </w:r>
      <w:r w:rsidRPr="002232F5">
        <w:rPr>
          <w:rFonts w:eastAsia="Arial Unicode MS"/>
          <w:noProof/>
          <w:color w:val="000000"/>
          <w:u w:color="000000"/>
        </w:rPr>
        <w:drawing>
          <wp:inline distT="0" distB="0" distL="0" distR="0" wp14:anchorId="2301CD39" wp14:editId="7E097040">
            <wp:extent cx="4371340" cy="6328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340" cy="6328410"/>
                    </a:xfrm>
                    <a:prstGeom prst="rect">
                      <a:avLst/>
                    </a:prstGeom>
                    <a:noFill/>
                  </pic:spPr>
                </pic:pic>
              </a:graphicData>
            </a:graphic>
          </wp:inline>
        </w:drawing>
      </w:r>
    </w:p>
    <w:p w14:paraId="0454D4F4" w14:textId="77777777" w:rsidR="00E332AD" w:rsidRPr="00E332AD" w:rsidRDefault="00E332AD" w:rsidP="00E332AD">
      <w:pPr>
        <w:outlineLvl w:val="0"/>
        <w:rPr>
          <w:rFonts w:eastAsia="Arial Unicode MS"/>
          <w:color w:val="000000"/>
          <w:u w:color="000000"/>
        </w:rPr>
      </w:pPr>
    </w:p>
    <w:p w14:paraId="457A3A7B" w14:textId="77777777" w:rsidR="00E332AD" w:rsidRPr="00E332AD" w:rsidRDefault="00E332AD" w:rsidP="00E332AD">
      <w:pPr>
        <w:outlineLvl w:val="0"/>
        <w:rPr>
          <w:rFonts w:eastAsia="Arial Unicode MS"/>
          <w:color w:val="000000"/>
          <w:u w:color="000000"/>
        </w:rPr>
      </w:pPr>
      <w:r w:rsidRPr="00E332AD">
        <w:rPr>
          <w:rFonts w:eastAsia="Arial Unicode MS"/>
          <w:color w:val="000000"/>
          <w:u w:color="000000"/>
        </w:rPr>
        <w:t>Survey #2</w:t>
      </w:r>
    </w:p>
    <w:p w14:paraId="064FCA4C" w14:textId="77777777" w:rsidR="00E332AD" w:rsidRDefault="00E332AD" w:rsidP="00E332AD">
      <w:pPr>
        <w:outlineLvl w:val="0"/>
        <w:rPr>
          <w:rFonts w:eastAsia="Arial Unicode MS"/>
          <w:color w:val="000000"/>
          <w:u w:color="000000"/>
        </w:rPr>
      </w:pPr>
    </w:p>
    <w:p w14:paraId="7D22501B" w14:textId="77777777" w:rsidR="00E332AD" w:rsidRPr="00E332AD" w:rsidRDefault="00E332AD" w:rsidP="00E332AD">
      <w:pPr>
        <w:outlineLvl w:val="0"/>
        <w:rPr>
          <w:rFonts w:eastAsia="Arial Unicode MS"/>
          <w:color w:val="000000"/>
          <w:u w:color="000000"/>
        </w:rPr>
      </w:pPr>
      <w:r w:rsidRPr="00E332AD">
        <w:rPr>
          <w:rFonts w:eastAsia="Arial Unicode MS"/>
          <w:color w:val="000000"/>
          <w:u w:color="000000"/>
        </w:rPr>
        <w:t xml:space="preserve">The second survey will be administered during the week prior to the last day of the residential phase at a time that is convenient for the program. Prior to that time, CNA staff will work with the seven programs to identify those cadets that took the first survey and are still enrolled in the program. Cadets who have reached the age of majority since they completed the first survey will also be identified.  Of the total </w:t>
      </w:r>
      <w:r w:rsidRPr="00E332AD">
        <w:rPr>
          <w:rFonts w:eastAsia="Arial Unicode MS"/>
          <w:color w:val="000000"/>
          <w:u w:color="000000"/>
        </w:rPr>
        <w:lastRenderedPageBreak/>
        <w:t>number of cadets enrolled in any class, we estimate that 12 percent reach the age of majority during their participation in ChalleNGe.</w:t>
      </w:r>
    </w:p>
    <w:p w14:paraId="28680A54" w14:textId="77777777" w:rsidR="00E332AD" w:rsidRPr="00E332AD" w:rsidRDefault="00E332AD" w:rsidP="00E332AD">
      <w:pPr>
        <w:outlineLvl w:val="0"/>
        <w:rPr>
          <w:rFonts w:eastAsia="Arial Unicode MS"/>
          <w:color w:val="000000"/>
          <w:u w:color="000000"/>
        </w:rPr>
      </w:pPr>
    </w:p>
    <w:p w14:paraId="3A610F5C" w14:textId="77777777" w:rsidR="00E332AD" w:rsidRPr="00E332AD" w:rsidRDefault="00E332AD" w:rsidP="00E332AD">
      <w:pPr>
        <w:outlineLvl w:val="0"/>
        <w:rPr>
          <w:rFonts w:eastAsia="Arial Unicode MS"/>
          <w:color w:val="000000"/>
          <w:u w:color="000000"/>
        </w:rPr>
      </w:pPr>
      <w:r w:rsidRPr="00E332AD">
        <w:rPr>
          <w:rFonts w:eastAsia="Arial Unicode MS"/>
          <w:color w:val="000000"/>
          <w:u w:color="000000"/>
        </w:rPr>
        <w:t xml:space="preserve">CNA staff will first meet one by one with any cadet who has reached the age of majority and review the consent document with them. Cadets will then be asked if they would like to continue their participation in the study and if so, they will be asked to consent to participate.  </w:t>
      </w:r>
    </w:p>
    <w:p w14:paraId="389703E7" w14:textId="77777777" w:rsidR="00E332AD" w:rsidRPr="00E332AD" w:rsidRDefault="00E332AD" w:rsidP="00E332AD">
      <w:pPr>
        <w:outlineLvl w:val="0"/>
        <w:rPr>
          <w:rFonts w:eastAsia="Arial Unicode MS"/>
          <w:color w:val="000000"/>
          <w:u w:color="000000"/>
        </w:rPr>
      </w:pPr>
    </w:p>
    <w:p w14:paraId="317E2745" w14:textId="77777777" w:rsidR="00E332AD" w:rsidRDefault="00E332AD" w:rsidP="00E332AD">
      <w:pPr>
        <w:outlineLvl w:val="0"/>
        <w:rPr>
          <w:rFonts w:eastAsia="Arial Unicode MS"/>
          <w:color w:val="000000"/>
          <w:u w:color="000000"/>
        </w:rPr>
      </w:pPr>
      <w:r w:rsidRPr="00E332AD">
        <w:rPr>
          <w:rFonts w:eastAsia="Arial Unicode MS"/>
          <w:color w:val="000000"/>
          <w:u w:color="000000"/>
        </w:rPr>
        <w:t>Cadets who have consented to participate will be administered the survey either in one group, or by platoon depending on which option will be least disruptive to the program.  As with the first survey, it will take approximately 10 minutes to complete.  The appropriate unique survey identifiers will be pre-filled on each survey.  The crosswalk will be used to ensure each cadet receives the correct survey to complete.</w:t>
      </w:r>
    </w:p>
    <w:p w14:paraId="779452FD" w14:textId="77777777" w:rsidR="00E332AD" w:rsidRDefault="00E332AD" w:rsidP="00E332AD">
      <w:pPr>
        <w:outlineLvl w:val="0"/>
        <w:rPr>
          <w:rFonts w:eastAsia="Arial Unicode MS"/>
          <w:color w:val="000000"/>
          <w:u w:color="000000"/>
        </w:rPr>
      </w:pPr>
    </w:p>
    <w:p w14:paraId="67FBF66D" w14:textId="77777777" w:rsidR="00A67308" w:rsidRDefault="00A67308" w:rsidP="002B402B">
      <w:pPr>
        <w:outlineLvl w:val="0"/>
        <w:rPr>
          <w:rFonts w:eastAsia="Arial Unicode MS"/>
          <w:color w:val="000000"/>
          <w:u w:color="000000"/>
        </w:rPr>
      </w:pPr>
    </w:p>
    <w:p w14:paraId="7E945E0B" w14:textId="660FC31F" w:rsidR="002B402B" w:rsidRDefault="002B402B" w:rsidP="002B402B">
      <w:pPr>
        <w:outlineLvl w:val="0"/>
        <w:rPr>
          <w:rFonts w:eastAsia="Arial Unicode MS"/>
          <w:color w:val="000000"/>
          <w:u w:color="000000"/>
        </w:rPr>
      </w:pPr>
      <w:r w:rsidRPr="00556529">
        <w:rPr>
          <w:rFonts w:eastAsia="Arial Unicode MS"/>
          <w:color w:val="000000"/>
          <w:u w:color="000000"/>
        </w:rPr>
        <w:t xml:space="preserve">We chose our sample sites to achieve variation in terms of credentials awarded and geographic location, and to produce </w:t>
      </w:r>
      <w:r w:rsidR="00B32CA2">
        <w:rPr>
          <w:rFonts w:eastAsia="Arial Unicode MS"/>
          <w:color w:val="000000"/>
          <w:u w:color="000000"/>
        </w:rPr>
        <w:t xml:space="preserve">sufficient </w:t>
      </w:r>
      <w:r w:rsidRPr="00556529">
        <w:rPr>
          <w:rFonts w:eastAsia="Arial Unicode MS"/>
          <w:color w:val="000000"/>
          <w:u w:color="000000"/>
        </w:rPr>
        <w:t>expected sample sizes to be able to discern differences on our surveyed measures between male and female cad</w:t>
      </w:r>
      <w:r>
        <w:rPr>
          <w:rFonts w:eastAsia="Arial Unicode MS"/>
          <w:color w:val="000000"/>
          <w:u w:color="000000"/>
        </w:rPr>
        <w:t>ets. We are using no sampling</w:t>
      </w:r>
      <w:r w:rsidRPr="00556529">
        <w:rPr>
          <w:rFonts w:eastAsia="Arial Unicode MS"/>
          <w:color w:val="000000"/>
          <w:u w:color="000000"/>
        </w:rPr>
        <w:t xml:space="preserve"> procedures </w:t>
      </w:r>
      <w:r>
        <w:rPr>
          <w:rFonts w:eastAsia="Arial Unicode MS"/>
          <w:color w:val="000000"/>
          <w:u w:color="000000"/>
        </w:rPr>
        <w:t>at the selected sites</w:t>
      </w:r>
      <w:r w:rsidRPr="00556529">
        <w:rPr>
          <w:rFonts w:eastAsia="Arial Unicode MS"/>
          <w:color w:val="000000"/>
          <w:u w:color="000000"/>
        </w:rPr>
        <w:t xml:space="preserve">; </w:t>
      </w:r>
      <w:r>
        <w:rPr>
          <w:rFonts w:eastAsia="Arial Unicode MS"/>
          <w:color w:val="000000"/>
          <w:u w:color="000000"/>
        </w:rPr>
        <w:t xml:space="preserve">instead, </w:t>
      </w:r>
      <w:r w:rsidRPr="00556529">
        <w:rPr>
          <w:rFonts w:eastAsia="Arial Unicode MS"/>
          <w:color w:val="000000"/>
          <w:u w:color="000000"/>
        </w:rPr>
        <w:t xml:space="preserve">we are surveying all cadets at each of the selected sites. The sampling plan outlined in </w:t>
      </w:r>
      <w:r>
        <w:rPr>
          <w:rFonts w:eastAsia="Arial Unicode MS"/>
          <w:color w:val="000000"/>
          <w:u w:color="000000"/>
        </w:rPr>
        <w:t>t</w:t>
      </w:r>
      <w:r w:rsidRPr="00556529">
        <w:rPr>
          <w:rFonts w:eastAsia="Arial Unicode MS"/>
          <w:color w:val="000000"/>
          <w:u w:color="000000"/>
        </w:rPr>
        <w:t xml:space="preserve">able 1 will help ensure several levels of accuracy. </w:t>
      </w:r>
      <w:r w:rsidR="0062221C">
        <w:rPr>
          <w:rFonts w:eastAsia="Arial Unicode MS"/>
          <w:color w:val="000000"/>
          <w:u w:color="000000"/>
        </w:rPr>
        <w:t xml:space="preserve">The results of a power analysis are presented in table 2. </w:t>
      </w:r>
      <w:r w:rsidRPr="00556529">
        <w:rPr>
          <w:rFonts w:eastAsia="Arial Unicode MS"/>
          <w:color w:val="000000"/>
          <w:u w:color="000000"/>
        </w:rPr>
        <w:t>Assuming an 80</w:t>
      </w:r>
      <w:r>
        <w:rPr>
          <w:rFonts w:eastAsia="Arial Unicode MS"/>
          <w:color w:val="000000"/>
          <w:u w:color="000000"/>
        </w:rPr>
        <w:t>-</w:t>
      </w:r>
      <w:r w:rsidRPr="00556529">
        <w:rPr>
          <w:rFonts w:eastAsia="Arial Unicode MS"/>
          <w:color w:val="000000"/>
          <w:u w:color="000000"/>
        </w:rPr>
        <w:t>percent response rate and a 20</w:t>
      </w:r>
      <w:r>
        <w:rPr>
          <w:rFonts w:eastAsia="Arial Unicode MS"/>
          <w:color w:val="000000"/>
          <w:u w:color="000000"/>
        </w:rPr>
        <w:t>-</w:t>
      </w:r>
      <w:r w:rsidRPr="00556529">
        <w:rPr>
          <w:rFonts w:eastAsia="Arial Unicode MS"/>
          <w:color w:val="000000"/>
          <w:u w:color="000000"/>
        </w:rPr>
        <w:t xml:space="preserve">percent proportion of </w:t>
      </w:r>
      <w:r>
        <w:rPr>
          <w:rFonts w:eastAsia="Arial Unicode MS"/>
          <w:color w:val="000000"/>
          <w:u w:color="000000"/>
        </w:rPr>
        <w:t>female cadets</w:t>
      </w:r>
      <w:r w:rsidRPr="00556529">
        <w:rPr>
          <w:rFonts w:eastAsia="Arial Unicode MS"/>
          <w:color w:val="000000"/>
          <w:u w:color="000000"/>
        </w:rPr>
        <w:t xml:space="preserve">, as well as </w:t>
      </w:r>
      <w:r w:rsidR="00B32CA2">
        <w:rPr>
          <w:rFonts w:eastAsia="Arial Unicode MS"/>
          <w:color w:val="000000"/>
          <w:u w:color="000000"/>
        </w:rPr>
        <w:t xml:space="preserve">that </w:t>
      </w:r>
      <w:r w:rsidRPr="00556529">
        <w:rPr>
          <w:rFonts w:eastAsia="Arial Unicode MS"/>
          <w:color w:val="000000"/>
          <w:u w:color="000000"/>
        </w:rPr>
        <w:t xml:space="preserve">the mean and variance of our measurements </w:t>
      </w:r>
      <w:r w:rsidR="00B32CA2">
        <w:rPr>
          <w:rFonts w:eastAsia="Arial Unicode MS"/>
          <w:color w:val="000000"/>
          <w:u w:color="000000"/>
        </w:rPr>
        <w:t>will</w:t>
      </w:r>
      <w:r w:rsidR="00B32CA2" w:rsidRPr="00556529">
        <w:rPr>
          <w:rFonts w:eastAsia="Arial Unicode MS"/>
          <w:color w:val="000000"/>
          <w:u w:color="000000"/>
        </w:rPr>
        <w:t xml:space="preserve"> </w:t>
      </w:r>
      <w:r w:rsidRPr="00556529">
        <w:rPr>
          <w:rFonts w:eastAsia="Arial Unicode MS"/>
          <w:color w:val="000000"/>
          <w:u w:color="000000"/>
        </w:rPr>
        <w:t>be similar to those in past literature, we will have at least 80</w:t>
      </w:r>
      <w:r>
        <w:rPr>
          <w:rFonts w:eastAsia="Arial Unicode MS"/>
          <w:color w:val="000000"/>
          <w:u w:color="000000"/>
        </w:rPr>
        <w:t>-</w:t>
      </w:r>
      <w:r w:rsidRPr="00556529">
        <w:rPr>
          <w:rFonts w:eastAsia="Arial Unicode MS"/>
          <w:color w:val="000000"/>
          <w:u w:color="000000"/>
        </w:rPr>
        <w:t>percent</w:t>
      </w:r>
      <w:r w:rsidR="0069743C">
        <w:rPr>
          <w:rFonts w:eastAsia="Arial Unicode MS"/>
          <w:color w:val="000000"/>
          <w:u w:color="000000"/>
        </w:rPr>
        <w:t xml:space="preserve"> </w:t>
      </w:r>
      <w:r w:rsidRPr="00556529">
        <w:rPr>
          <w:rFonts w:eastAsia="Arial Unicode MS"/>
          <w:color w:val="000000"/>
          <w:u w:color="000000"/>
        </w:rPr>
        <w:t>power to detect a small difference (</w:t>
      </w:r>
      <w:r w:rsidR="002E02EE">
        <w:rPr>
          <w:rFonts w:eastAsia="Arial Unicode MS"/>
          <w:color w:val="000000"/>
          <w:u w:color="000000"/>
        </w:rPr>
        <w:t>about a quarter</w:t>
      </w:r>
      <w:r w:rsidRPr="00556529">
        <w:rPr>
          <w:rFonts w:eastAsia="Arial Unicode MS"/>
          <w:color w:val="000000"/>
          <w:u w:color="000000"/>
        </w:rPr>
        <w:t xml:space="preserve"> of a standard deviation) with 95</w:t>
      </w:r>
      <w:r>
        <w:rPr>
          <w:rFonts w:eastAsia="Arial Unicode MS"/>
          <w:color w:val="000000"/>
          <w:u w:color="000000"/>
        </w:rPr>
        <w:t>-</w:t>
      </w:r>
      <w:r w:rsidRPr="00556529">
        <w:rPr>
          <w:rFonts w:eastAsia="Arial Unicode MS"/>
          <w:color w:val="000000"/>
          <w:u w:color="000000"/>
        </w:rPr>
        <w:t>percent confidence</w:t>
      </w:r>
      <w:r>
        <w:rPr>
          <w:rFonts w:eastAsia="Arial Unicode MS"/>
          <w:color w:val="000000"/>
          <w:u w:color="000000"/>
        </w:rPr>
        <w:t xml:space="preserve">. </w:t>
      </w:r>
      <w:r w:rsidRPr="00556529">
        <w:rPr>
          <w:rFonts w:eastAsia="Arial Unicode MS"/>
          <w:color w:val="000000"/>
          <w:u w:color="000000"/>
        </w:rPr>
        <w:t xml:space="preserve">The calculations are based on power formulae for a 2-sample t-test for a difference of means when the </w:t>
      </w:r>
      <w:r>
        <w:rPr>
          <w:rFonts w:eastAsia="Arial Unicode MS"/>
          <w:color w:val="000000"/>
          <w:u w:color="000000"/>
        </w:rPr>
        <w:t xml:space="preserve">two group sizes are not equal. </w:t>
      </w:r>
      <w:r w:rsidRPr="00556529">
        <w:rPr>
          <w:rFonts w:eastAsia="Arial Unicode MS"/>
          <w:color w:val="000000"/>
          <w:u w:color="000000"/>
        </w:rPr>
        <w:t>We do not foresee any unusual problems and do not plan to implemen</w:t>
      </w:r>
      <w:r>
        <w:rPr>
          <w:rFonts w:eastAsia="Arial Unicode MS"/>
          <w:color w:val="000000"/>
          <w:u w:color="000000"/>
        </w:rPr>
        <w:t xml:space="preserve">t special sampling procedures. </w:t>
      </w:r>
    </w:p>
    <w:p w14:paraId="657367F7" w14:textId="77777777" w:rsidR="0062221C" w:rsidRDefault="0062221C" w:rsidP="002B402B">
      <w:pPr>
        <w:outlineLvl w:val="0"/>
        <w:rPr>
          <w:rFonts w:eastAsia="Arial Unicode MS"/>
          <w:color w:val="000000"/>
          <w:u w:color="000000"/>
        </w:rPr>
      </w:pPr>
    </w:p>
    <w:p w14:paraId="60069294" w14:textId="5A2FFE09" w:rsidR="0062221C" w:rsidRDefault="0062221C" w:rsidP="002B402B">
      <w:pPr>
        <w:outlineLvl w:val="0"/>
        <w:rPr>
          <w:rFonts w:eastAsia="Arial Unicode MS"/>
          <w:color w:val="000000"/>
          <w:u w:color="000000"/>
        </w:rPr>
      </w:pPr>
      <w:r>
        <w:rPr>
          <w:rFonts w:eastAsia="Arial Unicode MS"/>
          <w:color w:val="000000"/>
          <w:u w:color="000000"/>
        </w:rPr>
        <w:t>Table 2. Power analysis results</w:t>
      </w:r>
      <w:r>
        <w:rPr>
          <w:rFonts w:eastAsia="Arial Unicode MS"/>
          <w:color w:val="000000"/>
          <w:u w:color="000000"/>
        </w:rPr>
        <w:br/>
      </w:r>
    </w:p>
    <w:tbl>
      <w:tblPr>
        <w:tblStyle w:val="TableGrid"/>
        <w:tblW w:w="0" w:type="auto"/>
        <w:tblLook w:val="04A0" w:firstRow="1" w:lastRow="0" w:firstColumn="1" w:lastColumn="0" w:noHBand="0" w:noVBand="1"/>
      </w:tblPr>
      <w:tblGrid>
        <w:gridCol w:w="1549"/>
        <w:gridCol w:w="2428"/>
        <w:gridCol w:w="1383"/>
        <w:gridCol w:w="2450"/>
      </w:tblGrid>
      <w:tr w:rsidR="002E02EE" w14:paraId="2C7B0DF1" w14:textId="18606239" w:rsidTr="00AB0A55">
        <w:tc>
          <w:tcPr>
            <w:tcW w:w="1549" w:type="dxa"/>
          </w:tcPr>
          <w:p w14:paraId="4125624C" w14:textId="42C26C2C" w:rsidR="002E02EE" w:rsidRDefault="002E02EE" w:rsidP="00FD305B">
            <w:pPr>
              <w:jc w:val="center"/>
              <w:outlineLvl w:val="0"/>
              <w:rPr>
                <w:rFonts w:eastAsia="Arial Unicode MS"/>
                <w:color w:val="000000"/>
                <w:u w:color="000000"/>
              </w:rPr>
            </w:pPr>
            <w:r>
              <w:rPr>
                <w:rFonts w:eastAsia="Arial Unicode MS"/>
                <w:color w:val="000000"/>
                <w:u w:color="000000"/>
              </w:rPr>
              <w:t>Respondents</w:t>
            </w:r>
          </w:p>
        </w:tc>
        <w:tc>
          <w:tcPr>
            <w:tcW w:w="2428" w:type="dxa"/>
          </w:tcPr>
          <w:p w14:paraId="5238C8B0" w14:textId="37BC9AF1" w:rsidR="002E02EE" w:rsidRDefault="002E02EE" w:rsidP="00FD305B">
            <w:pPr>
              <w:jc w:val="center"/>
              <w:outlineLvl w:val="0"/>
              <w:rPr>
                <w:rFonts w:eastAsia="Arial Unicode MS"/>
                <w:color w:val="000000"/>
                <w:u w:color="000000"/>
              </w:rPr>
            </w:pPr>
            <w:r>
              <w:rPr>
                <w:rFonts w:eastAsia="Arial Unicode MS"/>
                <w:color w:val="000000"/>
                <w:u w:color="000000"/>
              </w:rPr>
              <w:t>Female respondents</w:t>
            </w:r>
          </w:p>
        </w:tc>
        <w:tc>
          <w:tcPr>
            <w:tcW w:w="1383" w:type="dxa"/>
          </w:tcPr>
          <w:p w14:paraId="6777E1ED" w14:textId="4637937A" w:rsidR="002E02EE" w:rsidRDefault="002E02EE" w:rsidP="00FD305B">
            <w:pPr>
              <w:jc w:val="center"/>
              <w:outlineLvl w:val="0"/>
              <w:rPr>
                <w:rFonts w:eastAsia="Arial Unicode MS"/>
                <w:color w:val="000000"/>
                <w:u w:color="000000"/>
              </w:rPr>
            </w:pPr>
            <w:r>
              <w:rPr>
                <w:rFonts w:eastAsia="Arial Unicode MS"/>
                <w:color w:val="000000"/>
                <w:u w:color="000000"/>
              </w:rPr>
              <w:t>Effect size</w:t>
            </w:r>
          </w:p>
        </w:tc>
        <w:tc>
          <w:tcPr>
            <w:tcW w:w="2450" w:type="dxa"/>
          </w:tcPr>
          <w:p w14:paraId="7D2320B4" w14:textId="2A822AC7" w:rsidR="002E02EE" w:rsidRDefault="002E02EE" w:rsidP="00FD305B">
            <w:pPr>
              <w:jc w:val="center"/>
              <w:outlineLvl w:val="0"/>
              <w:rPr>
                <w:rFonts w:eastAsia="Arial Unicode MS"/>
                <w:color w:val="000000"/>
                <w:u w:color="000000"/>
              </w:rPr>
            </w:pPr>
            <w:r>
              <w:rPr>
                <w:rFonts w:eastAsia="Arial Unicode MS"/>
                <w:color w:val="000000"/>
                <w:u w:color="000000"/>
              </w:rPr>
              <w:t>Power (2-sided test)</w:t>
            </w:r>
          </w:p>
        </w:tc>
      </w:tr>
      <w:tr w:rsidR="002E02EE" w14:paraId="496D5A10" w14:textId="0498C2A5" w:rsidTr="00AB0A55">
        <w:tc>
          <w:tcPr>
            <w:tcW w:w="1549" w:type="dxa"/>
          </w:tcPr>
          <w:p w14:paraId="07D29532" w14:textId="599BBA09" w:rsidR="002E02EE" w:rsidRDefault="002E02EE" w:rsidP="00FD305B">
            <w:pPr>
              <w:jc w:val="center"/>
              <w:outlineLvl w:val="0"/>
              <w:rPr>
                <w:rFonts w:eastAsia="Arial Unicode MS"/>
                <w:color w:val="000000"/>
                <w:u w:color="000000"/>
              </w:rPr>
            </w:pPr>
            <w:r>
              <w:rPr>
                <w:rFonts w:eastAsia="Arial Unicode MS"/>
                <w:color w:val="000000"/>
                <w:u w:color="000000"/>
              </w:rPr>
              <w:t>800</w:t>
            </w:r>
          </w:p>
        </w:tc>
        <w:tc>
          <w:tcPr>
            <w:tcW w:w="2428" w:type="dxa"/>
          </w:tcPr>
          <w:p w14:paraId="34B24CF2" w14:textId="38AE90B2" w:rsidR="002E02EE" w:rsidRDefault="002E02EE" w:rsidP="00FD305B">
            <w:pPr>
              <w:jc w:val="center"/>
              <w:outlineLvl w:val="0"/>
              <w:rPr>
                <w:rFonts w:eastAsia="Arial Unicode MS"/>
                <w:color w:val="000000"/>
                <w:u w:color="000000"/>
              </w:rPr>
            </w:pPr>
            <w:r>
              <w:rPr>
                <w:rFonts w:eastAsia="Arial Unicode MS"/>
                <w:color w:val="000000"/>
                <w:u w:color="000000"/>
              </w:rPr>
              <w:t>160</w:t>
            </w:r>
          </w:p>
        </w:tc>
        <w:tc>
          <w:tcPr>
            <w:tcW w:w="1383" w:type="dxa"/>
          </w:tcPr>
          <w:p w14:paraId="373EB914" w14:textId="51813C0D" w:rsidR="002E02EE" w:rsidRDefault="002E02EE" w:rsidP="008076BA">
            <w:pPr>
              <w:jc w:val="center"/>
              <w:outlineLvl w:val="0"/>
              <w:rPr>
                <w:rFonts w:eastAsia="Arial Unicode MS"/>
                <w:color w:val="000000"/>
                <w:u w:color="000000"/>
              </w:rPr>
            </w:pPr>
            <w:r>
              <w:rPr>
                <w:rFonts w:eastAsia="Arial Unicode MS"/>
                <w:color w:val="000000"/>
                <w:u w:color="000000"/>
              </w:rPr>
              <w:t>0.25</w:t>
            </w:r>
          </w:p>
        </w:tc>
        <w:tc>
          <w:tcPr>
            <w:tcW w:w="2450" w:type="dxa"/>
          </w:tcPr>
          <w:p w14:paraId="7C4F13F2" w14:textId="343D104A" w:rsidR="002E02EE" w:rsidRDefault="002E02EE" w:rsidP="008076BA">
            <w:pPr>
              <w:jc w:val="center"/>
              <w:outlineLvl w:val="0"/>
              <w:rPr>
                <w:rFonts w:eastAsia="Arial Unicode MS"/>
                <w:color w:val="000000"/>
                <w:u w:color="000000"/>
              </w:rPr>
            </w:pPr>
            <w:r>
              <w:rPr>
                <w:rFonts w:eastAsia="Arial Unicode MS"/>
                <w:color w:val="000000"/>
                <w:u w:color="000000"/>
              </w:rPr>
              <w:t>0.81</w:t>
            </w:r>
          </w:p>
        </w:tc>
      </w:tr>
      <w:tr w:rsidR="002E02EE" w14:paraId="4F1B8A76" w14:textId="26C308E8" w:rsidTr="00AB0A55">
        <w:tc>
          <w:tcPr>
            <w:tcW w:w="1549" w:type="dxa"/>
          </w:tcPr>
          <w:p w14:paraId="0324E6DE" w14:textId="463CC69B" w:rsidR="002E02EE" w:rsidRDefault="002E02EE" w:rsidP="00FD305B">
            <w:pPr>
              <w:jc w:val="center"/>
              <w:outlineLvl w:val="0"/>
              <w:rPr>
                <w:rFonts w:eastAsia="Arial Unicode MS"/>
                <w:color w:val="000000"/>
                <w:u w:color="000000"/>
              </w:rPr>
            </w:pPr>
            <w:r>
              <w:rPr>
                <w:rFonts w:eastAsia="Arial Unicode MS"/>
                <w:color w:val="000000"/>
                <w:u w:color="000000"/>
              </w:rPr>
              <w:t>800</w:t>
            </w:r>
          </w:p>
        </w:tc>
        <w:tc>
          <w:tcPr>
            <w:tcW w:w="2428" w:type="dxa"/>
          </w:tcPr>
          <w:p w14:paraId="39B977F7" w14:textId="1BF1DD8D" w:rsidR="002E02EE" w:rsidRDefault="002E02EE" w:rsidP="00FD305B">
            <w:pPr>
              <w:jc w:val="center"/>
              <w:outlineLvl w:val="0"/>
              <w:rPr>
                <w:rFonts w:eastAsia="Arial Unicode MS"/>
                <w:color w:val="000000"/>
                <w:u w:color="000000"/>
              </w:rPr>
            </w:pPr>
            <w:r>
              <w:rPr>
                <w:rFonts w:eastAsia="Arial Unicode MS"/>
                <w:color w:val="000000"/>
                <w:u w:color="000000"/>
              </w:rPr>
              <w:t>160</w:t>
            </w:r>
          </w:p>
        </w:tc>
        <w:tc>
          <w:tcPr>
            <w:tcW w:w="1383" w:type="dxa"/>
          </w:tcPr>
          <w:p w14:paraId="1B3C03BF" w14:textId="5CA4E170" w:rsidR="002E02EE" w:rsidRDefault="002E02EE" w:rsidP="00FD305B">
            <w:pPr>
              <w:jc w:val="center"/>
              <w:outlineLvl w:val="0"/>
              <w:rPr>
                <w:rFonts w:eastAsia="Arial Unicode MS"/>
                <w:color w:val="000000"/>
                <w:u w:color="000000"/>
              </w:rPr>
            </w:pPr>
            <w:r>
              <w:rPr>
                <w:rFonts w:eastAsia="Arial Unicode MS"/>
                <w:color w:val="000000"/>
                <w:u w:color="000000"/>
              </w:rPr>
              <w:t xml:space="preserve">0.33 </w:t>
            </w:r>
          </w:p>
        </w:tc>
        <w:tc>
          <w:tcPr>
            <w:tcW w:w="2450" w:type="dxa"/>
          </w:tcPr>
          <w:p w14:paraId="686865AA" w14:textId="3C6971BC" w:rsidR="002E02EE" w:rsidRDefault="002E02EE" w:rsidP="00FD305B">
            <w:pPr>
              <w:jc w:val="center"/>
              <w:outlineLvl w:val="0"/>
              <w:rPr>
                <w:rFonts w:eastAsia="Arial Unicode MS"/>
                <w:color w:val="000000"/>
                <w:u w:color="000000"/>
              </w:rPr>
            </w:pPr>
            <w:r>
              <w:rPr>
                <w:rFonts w:eastAsia="Arial Unicode MS"/>
                <w:color w:val="000000"/>
                <w:u w:color="000000"/>
              </w:rPr>
              <w:t>0.96</w:t>
            </w:r>
          </w:p>
        </w:tc>
      </w:tr>
      <w:tr w:rsidR="002E02EE" w14:paraId="00AEC434" w14:textId="6F99336A" w:rsidTr="00AB0A55">
        <w:tc>
          <w:tcPr>
            <w:tcW w:w="1549" w:type="dxa"/>
          </w:tcPr>
          <w:p w14:paraId="6E9B9FD7" w14:textId="249C1242" w:rsidR="002E02EE" w:rsidRDefault="002E02EE" w:rsidP="00FD305B">
            <w:pPr>
              <w:jc w:val="center"/>
              <w:outlineLvl w:val="0"/>
              <w:rPr>
                <w:rFonts w:eastAsia="Arial Unicode MS"/>
                <w:color w:val="000000"/>
                <w:u w:color="000000"/>
              </w:rPr>
            </w:pPr>
            <w:r>
              <w:rPr>
                <w:rFonts w:eastAsia="Arial Unicode MS"/>
                <w:color w:val="000000"/>
                <w:u w:color="000000"/>
              </w:rPr>
              <w:t>800</w:t>
            </w:r>
          </w:p>
        </w:tc>
        <w:tc>
          <w:tcPr>
            <w:tcW w:w="2428" w:type="dxa"/>
          </w:tcPr>
          <w:p w14:paraId="634FE62D" w14:textId="28CD1861" w:rsidR="002E02EE" w:rsidRDefault="002E02EE" w:rsidP="00FD305B">
            <w:pPr>
              <w:jc w:val="center"/>
              <w:outlineLvl w:val="0"/>
              <w:rPr>
                <w:rFonts w:eastAsia="Arial Unicode MS"/>
                <w:color w:val="000000"/>
                <w:u w:color="000000"/>
              </w:rPr>
            </w:pPr>
            <w:r>
              <w:rPr>
                <w:rFonts w:eastAsia="Arial Unicode MS"/>
                <w:color w:val="000000"/>
                <w:u w:color="000000"/>
              </w:rPr>
              <w:t>160</w:t>
            </w:r>
          </w:p>
        </w:tc>
        <w:tc>
          <w:tcPr>
            <w:tcW w:w="1383" w:type="dxa"/>
          </w:tcPr>
          <w:p w14:paraId="0B3E3BEB" w14:textId="3990720A" w:rsidR="002E02EE" w:rsidRDefault="002E02EE" w:rsidP="00FD305B">
            <w:pPr>
              <w:jc w:val="center"/>
              <w:outlineLvl w:val="0"/>
              <w:rPr>
                <w:rFonts w:eastAsia="Arial Unicode MS"/>
                <w:color w:val="000000"/>
                <w:u w:color="000000"/>
              </w:rPr>
            </w:pPr>
            <w:r>
              <w:rPr>
                <w:rFonts w:eastAsia="Arial Unicode MS"/>
                <w:color w:val="000000"/>
                <w:u w:color="000000"/>
              </w:rPr>
              <w:t>0.50</w:t>
            </w:r>
          </w:p>
        </w:tc>
        <w:tc>
          <w:tcPr>
            <w:tcW w:w="2450" w:type="dxa"/>
          </w:tcPr>
          <w:p w14:paraId="6D8D6B9A" w14:textId="01B70814" w:rsidR="002E02EE" w:rsidRDefault="002E02EE" w:rsidP="00FD305B">
            <w:pPr>
              <w:jc w:val="center"/>
              <w:outlineLvl w:val="0"/>
              <w:rPr>
                <w:rFonts w:eastAsia="Arial Unicode MS"/>
                <w:color w:val="000000"/>
                <w:u w:color="000000"/>
              </w:rPr>
            </w:pPr>
            <w:r>
              <w:rPr>
                <w:rFonts w:eastAsia="Arial Unicode MS"/>
                <w:color w:val="000000"/>
                <w:u w:color="000000"/>
              </w:rPr>
              <w:t>0.99</w:t>
            </w:r>
          </w:p>
        </w:tc>
      </w:tr>
    </w:tbl>
    <w:p w14:paraId="1768505D" w14:textId="77777777" w:rsidR="0062221C" w:rsidRPr="00556529" w:rsidRDefault="0062221C" w:rsidP="002B402B">
      <w:pPr>
        <w:outlineLvl w:val="0"/>
        <w:rPr>
          <w:rFonts w:eastAsia="Arial Unicode MS"/>
          <w:color w:val="000000"/>
          <w:u w:color="000000"/>
        </w:rPr>
      </w:pPr>
    </w:p>
    <w:p w14:paraId="1CE8CA41" w14:textId="77777777" w:rsidR="002B402B" w:rsidRPr="00556529" w:rsidRDefault="002B402B" w:rsidP="002B402B">
      <w:pPr>
        <w:outlineLvl w:val="0"/>
        <w:rPr>
          <w:rFonts w:eastAsia="Arial Unicode MS"/>
          <w:color w:val="000000"/>
          <w:u w:color="000000"/>
        </w:rPr>
      </w:pPr>
    </w:p>
    <w:p w14:paraId="29A3D5A3" w14:textId="77777777" w:rsidR="002B402B" w:rsidRPr="00556529" w:rsidRDefault="002B402B" w:rsidP="002B402B">
      <w:pPr>
        <w:outlineLvl w:val="0"/>
        <w:rPr>
          <w:rFonts w:eastAsia="Arial Unicode MS"/>
          <w:color w:val="000000"/>
          <w:u w:val="single" w:color="000000"/>
        </w:rPr>
      </w:pPr>
      <w:r w:rsidRPr="00556529">
        <w:rPr>
          <w:rFonts w:eastAsia="Arial Unicode MS"/>
          <w:color w:val="000000"/>
          <w:u w:color="000000"/>
        </w:rPr>
        <w:tab/>
        <w:t>3</w:t>
      </w:r>
      <w:r>
        <w:rPr>
          <w:rFonts w:eastAsia="Arial Unicode MS"/>
          <w:color w:val="000000"/>
          <w:u w:color="000000"/>
        </w:rPr>
        <w:t xml:space="preserve">. </w:t>
      </w:r>
      <w:r w:rsidRPr="00556529">
        <w:rPr>
          <w:rFonts w:eastAsia="Arial Unicode MS"/>
          <w:color w:val="000000"/>
          <w:u w:val="single" w:color="000000"/>
        </w:rPr>
        <w:t>Maximization of Response Rates, Nonresponse, and Reliability</w:t>
      </w:r>
    </w:p>
    <w:p w14:paraId="0D47A6A2" w14:textId="77777777" w:rsidR="002B402B" w:rsidRPr="00556529" w:rsidRDefault="002B402B" w:rsidP="002B402B">
      <w:pPr>
        <w:outlineLvl w:val="0"/>
        <w:rPr>
          <w:rFonts w:eastAsia="Arial Unicode MS"/>
          <w:color w:val="000000"/>
          <w:u w:val="single" w:color="000000"/>
        </w:rPr>
      </w:pPr>
    </w:p>
    <w:p w14:paraId="10D05538" w14:textId="47BBAACD" w:rsidR="002B402B" w:rsidRDefault="005077E7" w:rsidP="002B402B">
      <w:pPr>
        <w:outlineLvl w:val="0"/>
        <w:rPr>
          <w:rFonts w:eastAsia="Arial Unicode MS"/>
          <w:color w:val="000000"/>
          <w:u w:color="000000"/>
        </w:rPr>
      </w:pPr>
      <w:r>
        <w:t xml:space="preserve">We will take several steps to maximize our response rate.  First, </w:t>
      </w:r>
      <w:r>
        <w:rPr>
          <w:rFonts w:eastAsia="Arial Unicode MS"/>
          <w:color w:val="000000"/>
          <w:u w:color="000000"/>
        </w:rPr>
        <w:t>w</w:t>
      </w:r>
      <w:r w:rsidR="002B402B" w:rsidRPr="00556529">
        <w:rPr>
          <w:rFonts w:eastAsia="Arial Unicode MS"/>
          <w:color w:val="000000"/>
          <w:u w:color="000000"/>
        </w:rPr>
        <w:t xml:space="preserve">e will have </w:t>
      </w:r>
      <w:r w:rsidR="00C00FE8">
        <w:rPr>
          <w:rFonts w:eastAsia="Arial Unicode MS"/>
          <w:color w:val="000000"/>
          <w:u w:color="000000"/>
        </w:rPr>
        <w:t>research staff</w:t>
      </w:r>
      <w:r w:rsidR="002B402B" w:rsidRPr="00556529">
        <w:rPr>
          <w:rFonts w:eastAsia="Arial Unicode MS"/>
          <w:color w:val="000000"/>
          <w:u w:color="000000"/>
        </w:rPr>
        <w:t xml:space="preserve"> on site at each data collection to answer questions. We will collect our initial survey data as part of the ChalleNGe intake process; therefore, we will have the opportunity to speak with all cadets and their families in person. This is likely to result in a much higher level of response than, for example, a mailed survey.</w:t>
      </w:r>
    </w:p>
    <w:p w14:paraId="00BE8006" w14:textId="5E0131BA" w:rsidR="002B402B" w:rsidRDefault="002B402B" w:rsidP="002B402B">
      <w:pPr>
        <w:outlineLvl w:val="0"/>
        <w:rPr>
          <w:rFonts w:eastAsia="Arial Unicode MS"/>
          <w:b/>
          <w:color w:val="000000"/>
          <w:u w:color="000000"/>
        </w:rPr>
      </w:pPr>
      <w:r w:rsidRPr="00556529">
        <w:rPr>
          <w:rFonts w:eastAsia="Arial Unicode MS"/>
          <w:color w:val="000000"/>
          <w:u w:color="000000"/>
        </w:rPr>
        <w:lastRenderedPageBreak/>
        <w:t xml:space="preserve">We </w:t>
      </w:r>
      <w:r w:rsidR="003865F3">
        <w:rPr>
          <w:rFonts w:eastAsia="Arial Unicode MS"/>
          <w:color w:val="000000"/>
          <w:u w:color="000000"/>
        </w:rPr>
        <w:t xml:space="preserve">also </w:t>
      </w:r>
      <w:r w:rsidRPr="00556529">
        <w:rPr>
          <w:rFonts w:eastAsia="Arial Unicode MS"/>
          <w:color w:val="000000"/>
          <w:u w:color="000000"/>
        </w:rPr>
        <w:t xml:space="preserve">will have </w:t>
      </w:r>
      <w:r w:rsidR="00C00FE8">
        <w:rPr>
          <w:rFonts w:eastAsia="Arial Unicode MS"/>
          <w:color w:val="000000"/>
          <w:u w:color="000000"/>
        </w:rPr>
        <w:t>research staff</w:t>
      </w:r>
      <w:r w:rsidRPr="00556529">
        <w:rPr>
          <w:rFonts w:eastAsia="Arial Unicode MS"/>
          <w:color w:val="000000"/>
          <w:u w:color="000000"/>
        </w:rPr>
        <w:t xml:space="preserve"> in the room </w:t>
      </w:r>
      <w:r w:rsidR="003865F3">
        <w:rPr>
          <w:rFonts w:eastAsia="Arial Unicode MS"/>
          <w:color w:val="000000"/>
          <w:u w:color="000000"/>
        </w:rPr>
        <w:t>while</w:t>
      </w:r>
      <w:r w:rsidR="003865F3" w:rsidRPr="00556529">
        <w:rPr>
          <w:rFonts w:eastAsia="Arial Unicode MS"/>
          <w:color w:val="000000"/>
          <w:u w:color="000000"/>
        </w:rPr>
        <w:t xml:space="preserve"> </w:t>
      </w:r>
      <w:r w:rsidRPr="00556529">
        <w:rPr>
          <w:rFonts w:eastAsia="Arial Unicode MS"/>
          <w:color w:val="000000"/>
          <w:u w:color="000000"/>
        </w:rPr>
        <w:t xml:space="preserve">cadets </w:t>
      </w:r>
      <w:r w:rsidR="003865F3">
        <w:rPr>
          <w:rFonts w:eastAsia="Arial Unicode MS"/>
          <w:color w:val="000000"/>
          <w:u w:color="000000"/>
        </w:rPr>
        <w:t xml:space="preserve">are </w:t>
      </w:r>
      <w:r w:rsidRPr="00556529">
        <w:rPr>
          <w:rFonts w:eastAsia="Arial Unicode MS"/>
          <w:color w:val="000000"/>
          <w:u w:color="000000"/>
        </w:rPr>
        <w:t>filling out our survey, to answer any questions and address concerns that could otherwise result in inaccur</w:t>
      </w:r>
      <w:r>
        <w:rPr>
          <w:rFonts w:eastAsia="Arial Unicode MS"/>
          <w:color w:val="000000"/>
          <w:u w:color="000000"/>
        </w:rPr>
        <w:t>acy. Finally, as discussed above and below</w:t>
      </w:r>
      <w:r w:rsidRPr="00556529">
        <w:rPr>
          <w:rFonts w:eastAsia="Arial Unicode MS"/>
          <w:color w:val="000000"/>
          <w:u w:color="000000"/>
        </w:rPr>
        <w:t>, we field-tested our survey on small numbers of cadets at two different sites; we modified the survey based on these cadets’ comments with a focus on increasing clarity.</w:t>
      </w:r>
      <w:r w:rsidR="005077E7">
        <w:rPr>
          <w:rFonts w:eastAsia="Arial Unicode MS"/>
          <w:color w:val="000000"/>
          <w:u w:color="000000"/>
        </w:rPr>
        <w:t xml:space="preserve">  We expect that nearly all cadets who </w:t>
      </w:r>
      <w:r w:rsidR="003865F3">
        <w:rPr>
          <w:rFonts w:eastAsia="Arial Unicode MS"/>
          <w:color w:val="000000"/>
          <w:u w:color="000000"/>
        </w:rPr>
        <w:t xml:space="preserve">take </w:t>
      </w:r>
      <w:r w:rsidR="005077E7">
        <w:rPr>
          <w:rFonts w:eastAsia="Arial Unicode MS"/>
          <w:color w:val="000000"/>
          <w:u w:color="000000"/>
        </w:rPr>
        <w:t>the first survey and remain in the program at the conclusion will agree to complete the second survey.</w:t>
      </w:r>
    </w:p>
    <w:p w14:paraId="0AB41DD4" w14:textId="77777777" w:rsidR="005077E7" w:rsidRDefault="002B402B" w:rsidP="005077E7">
      <w:pPr>
        <w:outlineLvl w:val="0"/>
        <w:rPr>
          <w:rFonts w:eastAsia="Arial Unicode MS"/>
          <w:color w:val="000000"/>
          <w:u w:color="000000"/>
        </w:rPr>
      </w:pPr>
      <w:r w:rsidRPr="00556529">
        <w:rPr>
          <w:rFonts w:eastAsia="Arial Unicode MS"/>
          <w:color w:val="000000"/>
          <w:u w:color="000000"/>
        </w:rPr>
        <w:t xml:space="preserve"> </w:t>
      </w:r>
    </w:p>
    <w:p w14:paraId="15698CA6" w14:textId="3AE90DDB" w:rsidR="005077E7" w:rsidRPr="00B22677" w:rsidRDefault="005077E7" w:rsidP="005077E7">
      <w:pPr>
        <w:outlineLvl w:val="0"/>
        <w:rPr>
          <w:rFonts w:eastAsia="Arial Unicode MS"/>
          <w:color w:val="000000"/>
          <w:u w:color="000000"/>
        </w:rPr>
      </w:pPr>
      <w:r w:rsidRPr="00B22677">
        <w:t>We will ensure accuracy and reliability of responses in the following ways:</w:t>
      </w:r>
    </w:p>
    <w:p w14:paraId="132D36F9" w14:textId="295CA006" w:rsidR="005077E7" w:rsidRPr="00B22677" w:rsidRDefault="005077E7" w:rsidP="005077E7">
      <w:pPr>
        <w:pStyle w:val="ListParagraph"/>
        <w:numPr>
          <w:ilvl w:val="0"/>
          <w:numId w:val="1"/>
        </w:numPr>
        <w:outlineLvl w:val="0"/>
        <w:rPr>
          <w:rFonts w:eastAsia="Arial Unicode MS"/>
          <w:color w:val="000000"/>
          <w:u w:color="000000"/>
        </w:rPr>
      </w:pPr>
      <w:r w:rsidRPr="00B22677">
        <w:t>Because there are no benefits to those who complete the survey and no costs to those who do</w:t>
      </w:r>
      <w:r w:rsidR="001E7520" w:rsidRPr="00B22677">
        <w:t xml:space="preserve"> not</w:t>
      </w:r>
      <w:r w:rsidRPr="00B22677">
        <w:t>, and because the survey does not ask polarizing questions, we expect no selection bias in those who choose to participate</w:t>
      </w:r>
      <w:r w:rsidR="001E7520" w:rsidRPr="00B22677">
        <w:t xml:space="preserve">. Thus, we expect </w:t>
      </w:r>
      <w:r w:rsidRPr="00B22677">
        <w:t xml:space="preserve">that the study conclusions will be generalizable to the population of cadets who chose </w:t>
      </w:r>
      <w:r w:rsidRPr="00B22677">
        <w:rPr>
          <w:i/>
        </w:rPr>
        <w:t>not</w:t>
      </w:r>
      <w:r w:rsidRPr="00B22677">
        <w:t xml:space="preserve"> to take the survey. </w:t>
      </w:r>
    </w:p>
    <w:p w14:paraId="0D457C99" w14:textId="77777777" w:rsidR="005077E7" w:rsidRPr="00B22677" w:rsidRDefault="005077E7" w:rsidP="005077E7">
      <w:pPr>
        <w:pStyle w:val="NormalWeb"/>
        <w:numPr>
          <w:ilvl w:val="0"/>
          <w:numId w:val="1"/>
        </w:numPr>
        <w:spacing w:line="288" w:lineRule="atLeast"/>
        <w:rPr>
          <w:rFonts w:asciiTheme="minorHAnsi" w:hAnsiTheme="minorHAnsi"/>
        </w:rPr>
      </w:pPr>
      <w:r w:rsidRPr="00B22677">
        <w:rPr>
          <w:rFonts w:asciiTheme="minorHAnsi" w:hAnsiTheme="minorHAnsi"/>
        </w:rPr>
        <w:t>Most of the survey questions are multiple-choice, so there is little chance of the respondent misunderstanding a question.</w:t>
      </w:r>
    </w:p>
    <w:p w14:paraId="3DC9A737" w14:textId="6173C93D" w:rsidR="005077E7" w:rsidRPr="00B22677" w:rsidRDefault="005077E7" w:rsidP="005077E7">
      <w:pPr>
        <w:pStyle w:val="NormalWeb"/>
        <w:numPr>
          <w:ilvl w:val="0"/>
          <w:numId w:val="1"/>
        </w:numPr>
        <w:spacing w:line="288" w:lineRule="atLeast"/>
        <w:rPr>
          <w:rFonts w:asciiTheme="minorHAnsi" w:hAnsiTheme="minorHAnsi"/>
        </w:rPr>
      </w:pPr>
      <w:r w:rsidRPr="00B22677">
        <w:rPr>
          <w:rFonts w:asciiTheme="minorHAnsi" w:hAnsiTheme="minorHAnsi"/>
        </w:rPr>
        <w:t xml:space="preserve">Respondents are allowed to skip any question(s), </w:t>
      </w:r>
      <w:r w:rsidR="001E7520" w:rsidRPr="00B22677">
        <w:rPr>
          <w:rFonts w:asciiTheme="minorHAnsi" w:hAnsiTheme="minorHAnsi"/>
        </w:rPr>
        <w:t xml:space="preserve">and </w:t>
      </w:r>
      <w:r w:rsidRPr="00B22677">
        <w:rPr>
          <w:rFonts w:asciiTheme="minorHAnsi" w:hAnsiTheme="minorHAnsi"/>
        </w:rPr>
        <w:t xml:space="preserve">thus have no motivation to give inaccurate answers. </w:t>
      </w:r>
    </w:p>
    <w:p w14:paraId="05199A2F" w14:textId="77777777" w:rsidR="002B402B" w:rsidRPr="00556529" w:rsidRDefault="002B402B" w:rsidP="002B402B">
      <w:pPr>
        <w:outlineLvl w:val="0"/>
        <w:rPr>
          <w:rFonts w:eastAsia="Arial Unicode MS"/>
          <w:color w:val="000000"/>
          <w:u w:color="000000"/>
        </w:rPr>
      </w:pPr>
    </w:p>
    <w:p w14:paraId="423CAF2A" w14:textId="77777777" w:rsidR="002B402B" w:rsidRPr="00556529" w:rsidRDefault="002B402B" w:rsidP="002B402B">
      <w:pPr>
        <w:outlineLvl w:val="0"/>
        <w:rPr>
          <w:rFonts w:eastAsia="Arial Unicode MS"/>
          <w:color w:val="000000"/>
          <w:u w:val="single" w:color="000000"/>
        </w:rPr>
      </w:pPr>
      <w:r w:rsidRPr="00556529">
        <w:rPr>
          <w:rFonts w:eastAsia="Arial Unicode MS"/>
          <w:color w:val="000000"/>
          <w:u w:color="000000"/>
        </w:rPr>
        <w:tab/>
        <w:t>4</w:t>
      </w:r>
      <w:r>
        <w:rPr>
          <w:rFonts w:eastAsia="Arial Unicode MS"/>
          <w:color w:val="000000"/>
          <w:u w:color="000000"/>
        </w:rPr>
        <w:t xml:space="preserve">. </w:t>
      </w:r>
      <w:r w:rsidRPr="00556529">
        <w:rPr>
          <w:rFonts w:eastAsia="Arial Unicode MS"/>
          <w:color w:val="000000"/>
          <w:u w:val="single" w:color="000000"/>
        </w:rPr>
        <w:t xml:space="preserve">Tests of Procedures </w:t>
      </w:r>
    </w:p>
    <w:p w14:paraId="2D18B54A" w14:textId="77777777" w:rsidR="002B402B" w:rsidRPr="00556529" w:rsidRDefault="002B402B" w:rsidP="002B402B">
      <w:pPr>
        <w:outlineLvl w:val="0"/>
        <w:rPr>
          <w:rFonts w:eastAsia="Arial Unicode MS"/>
          <w:color w:val="000000"/>
          <w:u w:val="single" w:color="000000"/>
        </w:rPr>
      </w:pPr>
    </w:p>
    <w:p w14:paraId="27EF9D91" w14:textId="31FC18CE" w:rsidR="002B402B" w:rsidRDefault="002B402B" w:rsidP="002B402B">
      <w:pPr>
        <w:outlineLvl w:val="0"/>
        <w:rPr>
          <w:rFonts w:eastAsia="Arial Unicode MS"/>
          <w:color w:val="000000"/>
          <w:u w:color="000000"/>
        </w:rPr>
      </w:pPr>
      <w:r>
        <w:rPr>
          <w:rFonts w:eastAsia="Arial Unicode MS"/>
          <w:color w:val="000000"/>
          <w:u w:color="000000"/>
        </w:rPr>
        <w:t xml:space="preserve">To ensure the survey will yield useful and valid results we developed it based in large part on two established scales. We also tested the survey on ChalleNGe cadets to increase the chances that our population of interest would find it easy to understand and complete.  </w:t>
      </w:r>
    </w:p>
    <w:p w14:paraId="2E7C9AAB" w14:textId="77777777" w:rsidR="002B402B" w:rsidRDefault="002B402B" w:rsidP="002B402B">
      <w:pPr>
        <w:outlineLvl w:val="0"/>
        <w:rPr>
          <w:rFonts w:eastAsia="Arial Unicode MS"/>
          <w:color w:val="000000"/>
          <w:u w:color="000000"/>
        </w:rPr>
      </w:pPr>
    </w:p>
    <w:p w14:paraId="7D466789" w14:textId="7DC4839A" w:rsidR="002B402B" w:rsidRDefault="002B402B" w:rsidP="002B402B">
      <w:pPr>
        <w:outlineLvl w:val="0"/>
        <w:rPr>
          <w:rFonts w:eastAsia="Arial Unicode MS"/>
          <w:color w:val="000000"/>
          <w:u w:color="000000"/>
        </w:rPr>
      </w:pPr>
      <w:r>
        <w:rPr>
          <w:rFonts w:eastAsia="Arial Unicode MS"/>
          <w:color w:val="000000"/>
          <w:u w:color="000000"/>
        </w:rPr>
        <w:t>The majority of the survey questions are identical to those currently used in the locus of control scale and the Grit scale.</w:t>
      </w:r>
      <w:r>
        <w:rPr>
          <w:rStyle w:val="FootnoteReference"/>
          <w:rFonts w:eastAsia="Arial Unicode MS"/>
          <w:color w:val="000000"/>
          <w:u w:color="000000"/>
        </w:rPr>
        <w:footnoteReference w:id="1"/>
      </w:r>
      <w:r>
        <w:rPr>
          <w:rFonts w:eastAsia="Arial Unicode MS"/>
          <w:color w:val="000000"/>
          <w:u w:color="000000"/>
        </w:rPr>
        <w:t xml:space="preserve"> Both scales have been extensively tested, </w:t>
      </w:r>
      <w:r w:rsidR="001E7520">
        <w:rPr>
          <w:rFonts w:eastAsia="Arial Unicode MS"/>
          <w:color w:val="000000"/>
          <w:u w:color="000000"/>
        </w:rPr>
        <w:t xml:space="preserve">including </w:t>
      </w:r>
      <w:r>
        <w:rPr>
          <w:rFonts w:eastAsia="Arial Unicode MS"/>
          <w:color w:val="000000"/>
          <w:u w:color="000000"/>
        </w:rPr>
        <w:t xml:space="preserve">on children.  The Grit scale, for example, was used for a study on children competing in the National Spelling </w:t>
      </w:r>
      <w:r w:rsidRPr="0024095F">
        <w:rPr>
          <w:rFonts w:eastAsia="Arial Unicode MS"/>
          <w:color w:val="000000"/>
          <w:u w:color="000000"/>
        </w:rPr>
        <w:t>Bee</w:t>
      </w:r>
      <w:r w:rsidR="001E7520">
        <w:rPr>
          <w:rFonts w:eastAsia="Arial Unicode MS"/>
          <w:color w:val="000000"/>
          <w:u w:color="000000"/>
        </w:rPr>
        <w:t>.</w:t>
      </w:r>
      <w:r w:rsidRPr="0024095F">
        <w:rPr>
          <w:rStyle w:val="FootnoteReference"/>
          <w:rFonts w:eastAsia="Arial Unicode MS"/>
          <w:color w:val="000000"/>
          <w:u w:color="000000"/>
        </w:rPr>
        <w:footnoteReference w:id="2"/>
      </w:r>
      <w:r w:rsidRPr="0024095F">
        <w:rPr>
          <w:rFonts w:eastAsia="Arial Unicode MS"/>
          <w:color w:val="000000"/>
          <w:u w:color="000000"/>
        </w:rPr>
        <w:t xml:space="preserve"> </w:t>
      </w:r>
      <w:r>
        <w:rPr>
          <w:rFonts w:eastAsia="Arial Unicode MS"/>
          <w:color w:val="000000"/>
          <w:u w:color="000000"/>
        </w:rPr>
        <w:t xml:space="preserve"> </w:t>
      </w:r>
      <w:r w:rsidRPr="0024095F">
        <w:rPr>
          <w:rFonts w:eastAsia="Arial Unicode MS"/>
          <w:color w:val="000000"/>
          <w:u w:color="000000"/>
        </w:rPr>
        <w:t>The locus of control scale has been included in several large surveys of young people, such as the National Education Longitudinal Survey of 8</w:t>
      </w:r>
      <w:r w:rsidRPr="0024095F">
        <w:rPr>
          <w:rFonts w:eastAsia="Arial Unicode MS"/>
          <w:color w:val="000000"/>
          <w:u w:color="000000"/>
          <w:vertAlign w:val="superscript"/>
        </w:rPr>
        <w:t>th</w:t>
      </w:r>
      <w:r w:rsidRPr="0024095F">
        <w:rPr>
          <w:rFonts w:eastAsia="Arial Unicode MS"/>
          <w:color w:val="000000"/>
          <w:u w:color="000000"/>
        </w:rPr>
        <w:t xml:space="preserve"> graders begun in 1988 (NELS88).</w:t>
      </w:r>
      <w:r w:rsidRPr="0024095F">
        <w:rPr>
          <w:rStyle w:val="FootnoteReference"/>
          <w:rFonts w:eastAsia="Arial Unicode MS"/>
          <w:color w:val="000000"/>
          <w:u w:color="000000"/>
        </w:rPr>
        <w:footnoteReference w:id="3"/>
      </w:r>
      <w:r>
        <w:rPr>
          <w:rFonts w:eastAsia="Arial Unicode MS"/>
          <w:color w:val="000000"/>
          <w:u w:color="000000"/>
        </w:rPr>
        <w:t xml:space="preserve">  The cadets read at approximately a 7</w:t>
      </w:r>
      <w:r w:rsidRPr="0024095F">
        <w:rPr>
          <w:rFonts w:eastAsia="Arial Unicode MS"/>
          <w:color w:val="000000"/>
          <w:u w:color="000000"/>
          <w:vertAlign w:val="superscript"/>
        </w:rPr>
        <w:t>th</w:t>
      </w:r>
      <w:r>
        <w:rPr>
          <w:rFonts w:eastAsia="Arial Unicode MS"/>
          <w:color w:val="000000"/>
          <w:u w:color="000000"/>
        </w:rPr>
        <w:t xml:space="preserve"> grade level.</w:t>
      </w:r>
      <w:r>
        <w:rPr>
          <w:rStyle w:val="FootnoteReference"/>
          <w:rFonts w:eastAsia="Arial Unicode MS"/>
          <w:color w:val="000000"/>
          <w:u w:color="000000"/>
        </w:rPr>
        <w:footnoteReference w:id="4"/>
      </w:r>
      <w:r>
        <w:rPr>
          <w:rFonts w:eastAsia="Arial Unicode MS"/>
          <w:color w:val="000000"/>
          <w:u w:color="000000"/>
        </w:rPr>
        <w:t xml:space="preserve">  Since the scales have been used successfully on children, we are confident that the questions will be easily understood.</w:t>
      </w:r>
    </w:p>
    <w:p w14:paraId="10FEF5AC" w14:textId="77777777" w:rsidR="002B402B" w:rsidRDefault="002B402B" w:rsidP="002B402B">
      <w:pPr>
        <w:outlineLvl w:val="0"/>
        <w:rPr>
          <w:rFonts w:eastAsia="Arial Unicode MS"/>
          <w:color w:val="000000"/>
          <w:u w:color="000000"/>
        </w:rPr>
      </w:pPr>
    </w:p>
    <w:p w14:paraId="2023878D" w14:textId="77777777" w:rsidR="002B402B" w:rsidRDefault="002B402B" w:rsidP="002B402B">
      <w:pPr>
        <w:outlineLvl w:val="0"/>
        <w:rPr>
          <w:rFonts w:eastAsia="Arial Unicode MS"/>
          <w:color w:val="000000"/>
          <w:u w:color="000000"/>
        </w:rPr>
      </w:pPr>
      <w:r>
        <w:rPr>
          <w:rFonts w:eastAsia="Arial Unicode MS"/>
          <w:color w:val="000000"/>
          <w:u w:color="000000"/>
        </w:rPr>
        <w:t xml:space="preserve">We have obtained permission to use both established scales.  Dr. Angela Duckworth, the developer of the Grit scale, has approved the use of that scale.  Permission to use the locus of control scale was granted by the office of Dr. Julian Rotter, with the caveats that we cannot publish the entire scale in our report and that our survey (which contains the scale) must be collected from the cadets after it has been completed. </w:t>
      </w:r>
    </w:p>
    <w:p w14:paraId="0E13EB51" w14:textId="77777777" w:rsidR="002B402B" w:rsidRDefault="002B402B" w:rsidP="002B402B">
      <w:pPr>
        <w:outlineLvl w:val="0"/>
        <w:rPr>
          <w:rFonts w:eastAsia="Arial Unicode MS"/>
          <w:color w:val="000000"/>
          <w:u w:color="000000"/>
        </w:rPr>
      </w:pPr>
    </w:p>
    <w:p w14:paraId="2D3733A8" w14:textId="24FD96D1" w:rsidR="002B402B" w:rsidRPr="00556529" w:rsidRDefault="002B402B" w:rsidP="002B402B">
      <w:pPr>
        <w:outlineLvl w:val="0"/>
        <w:rPr>
          <w:rFonts w:eastAsia="Arial Unicode MS"/>
          <w:color w:val="000000"/>
          <w:u w:color="000000"/>
        </w:rPr>
      </w:pPr>
      <w:r>
        <w:rPr>
          <w:rFonts w:eastAsia="Arial Unicode MS"/>
          <w:color w:val="000000"/>
          <w:u w:color="000000"/>
        </w:rPr>
        <w:t>Our</w:t>
      </w:r>
      <w:r w:rsidRPr="00556529">
        <w:rPr>
          <w:rFonts w:eastAsia="Arial Unicode MS"/>
          <w:color w:val="000000"/>
          <w:u w:color="000000"/>
        </w:rPr>
        <w:t xml:space="preserve"> survey was tested twice</w:t>
      </w:r>
      <w:r>
        <w:rPr>
          <w:rFonts w:eastAsia="Arial Unicode MS"/>
          <w:color w:val="000000"/>
          <w:u w:color="000000"/>
        </w:rPr>
        <w:t xml:space="preserve">. The purpose of the tests was to ensure the survey questions were written at a reading level that made them clear and easy to understand. </w:t>
      </w:r>
      <w:r w:rsidRPr="00556529">
        <w:rPr>
          <w:rFonts w:eastAsia="Arial Unicode MS"/>
          <w:color w:val="000000"/>
          <w:u w:color="000000"/>
        </w:rPr>
        <w:t>The survey was tested on five cadets at the Fort Gordon ChalleNGe site</w:t>
      </w:r>
      <w:r>
        <w:rPr>
          <w:rFonts w:eastAsia="Arial Unicode MS"/>
          <w:color w:val="000000"/>
          <w:u w:color="000000"/>
        </w:rPr>
        <w:t xml:space="preserve">. In selecting cadets to be surveyed, we specified that we did not want to survey only those cadets that were performing well academically. Rather, we were interested in a population that would likely have the most difficulty understanding a survey. </w:t>
      </w:r>
      <w:r w:rsidRPr="00556529">
        <w:rPr>
          <w:rFonts w:eastAsia="Arial Unicode MS"/>
          <w:color w:val="000000"/>
          <w:u w:color="000000"/>
        </w:rPr>
        <w:t>It took the cadets an average of 8 minutes and 38 seconds to complete the survey</w:t>
      </w:r>
      <w:r>
        <w:rPr>
          <w:rFonts w:eastAsia="Arial Unicode MS"/>
          <w:color w:val="000000"/>
          <w:u w:color="000000"/>
        </w:rPr>
        <w:t xml:space="preserve">. </w:t>
      </w:r>
      <w:r w:rsidRPr="00556529">
        <w:rPr>
          <w:rFonts w:eastAsia="Arial Unicode MS"/>
          <w:color w:val="000000"/>
          <w:u w:color="000000"/>
        </w:rPr>
        <w:t>We received comments on several of the proposed questions</w:t>
      </w:r>
      <w:r w:rsidR="001705DF">
        <w:rPr>
          <w:rFonts w:eastAsia="Arial Unicode MS"/>
          <w:color w:val="000000"/>
          <w:u w:color="000000"/>
        </w:rPr>
        <w:t xml:space="preserve"> that</w:t>
      </w:r>
      <w:r>
        <w:rPr>
          <w:rFonts w:eastAsia="Arial Unicode MS"/>
          <w:color w:val="000000"/>
          <w:u w:color="000000"/>
        </w:rPr>
        <w:t xml:space="preserve"> the cadets found to be confusing. The cadets made suggestions to make the questions easier to understand. We used these suggestions to amend the survey. </w:t>
      </w:r>
      <w:r w:rsidRPr="00556529">
        <w:rPr>
          <w:rFonts w:eastAsia="Arial Unicode MS"/>
          <w:color w:val="000000"/>
          <w:u w:color="000000"/>
        </w:rPr>
        <w:t xml:space="preserve">After amending the survey in response to the first test, we conducted an additional test on </w:t>
      </w:r>
      <w:r>
        <w:rPr>
          <w:rFonts w:eastAsia="Arial Unicode MS"/>
          <w:color w:val="000000"/>
          <w:u w:color="000000"/>
        </w:rPr>
        <w:t>four</w:t>
      </w:r>
      <w:r w:rsidRPr="00556529">
        <w:rPr>
          <w:rFonts w:eastAsia="Arial Unicode MS"/>
          <w:color w:val="000000"/>
          <w:u w:color="000000"/>
        </w:rPr>
        <w:t xml:space="preserve"> cadets at the Washington State ChalleNGe site</w:t>
      </w:r>
      <w:r>
        <w:rPr>
          <w:rFonts w:eastAsia="Arial Unicode MS"/>
          <w:color w:val="000000"/>
          <w:u w:color="000000"/>
        </w:rPr>
        <w:t xml:space="preserve">. Again, we surveyed cadets that had more difficulties academically. </w:t>
      </w:r>
      <w:r w:rsidRPr="00556529">
        <w:rPr>
          <w:rFonts w:eastAsia="Arial Unicode MS"/>
          <w:color w:val="000000"/>
          <w:u w:color="000000"/>
        </w:rPr>
        <w:t>The</w:t>
      </w:r>
      <w:r w:rsidR="001E7520">
        <w:rPr>
          <w:rFonts w:eastAsia="Arial Unicode MS"/>
          <w:color w:val="000000"/>
          <w:u w:color="000000"/>
        </w:rPr>
        <w:t>se</w:t>
      </w:r>
      <w:r w:rsidRPr="00556529">
        <w:rPr>
          <w:rFonts w:eastAsia="Arial Unicode MS"/>
          <w:color w:val="000000"/>
          <w:u w:color="000000"/>
        </w:rPr>
        <w:t xml:space="preserve"> cadets took an average of 7 minutes to complete the survey</w:t>
      </w:r>
      <w:r>
        <w:rPr>
          <w:rFonts w:eastAsia="Arial Unicode MS"/>
          <w:color w:val="000000"/>
          <w:u w:color="000000"/>
        </w:rPr>
        <w:t xml:space="preserve">. </w:t>
      </w:r>
      <w:r w:rsidRPr="00556529">
        <w:rPr>
          <w:rFonts w:eastAsia="Arial Unicode MS"/>
          <w:color w:val="000000"/>
          <w:u w:color="000000"/>
        </w:rPr>
        <w:t>No additional substantive comments or concerns were raised.</w:t>
      </w:r>
    </w:p>
    <w:p w14:paraId="39C57478" w14:textId="77777777" w:rsidR="002B402B" w:rsidRPr="00556529" w:rsidRDefault="002B402B" w:rsidP="002B402B">
      <w:pPr>
        <w:outlineLvl w:val="0"/>
        <w:rPr>
          <w:rFonts w:eastAsia="Arial Unicode MS"/>
          <w:color w:val="000000"/>
          <w:u w:color="000000"/>
        </w:rPr>
      </w:pPr>
    </w:p>
    <w:p w14:paraId="67120186" w14:textId="77777777" w:rsidR="002B402B" w:rsidRPr="00556529" w:rsidRDefault="002B402B" w:rsidP="002B402B">
      <w:pPr>
        <w:outlineLvl w:val="0"/>
        <w:rPr>
          <w:rFonts w:eastAsia="Arial Unicode MS"/>
          <w:color w:val="000000"/>
          <w:u w:val="single" w:color="000000"/>
        </w:rPr>
      </w:pPr>
      <w:r w:rsidRPr="00556529">
        <w:rPr>
          <w:rFonts w:eastAsia="Arial Unicode MS"/>
          <w:color w:val="000000"/>
          <w:u w:color="000000"/>
        </w:rPr>
        <w:tab/>
        <w:t>5</w:t>
      </w:r>
      <w:r>
        <w:rPr>
          <w:rFonts w:eastAsia="Arial Unicode MS"/>
          <w:color w:val="000000"/>
          <w:u w:color="000000"/>
        </w:rPr>
        <w:t xml:space="preserve">. </w:t>
      </w:r>
      <w:r w:rsidRPr="00556529">
        <w:rPr>
          <w:rFonts w:eastAsia="Arial Unicode MS"/>
          <w:color w:val="000000"/>
          <w:u w:val="single" w:color="000000"/>
        </w:rPr>
        <w:t>Statistical Consultation and Information Analysis</w:t>
      </w:r>
    </w:p>
    <w:p w14:paraId="38D15B08" w14:textId="77777777" w:rsidR="002B402B" w:rsidRPr="00556529" w:rsidRDefault="002B402B" w:rsidP="002B402B">
      <w:pPr>
        <w:outlineLvl w:val="0"/>
        <w:rPr>
          <w:rFonts w:eastAsia="Arial Unicode MS"/>
          <w:color w:val="000000"/>
          <w:u w:val="single" w:color="000000"/>
        </w:rPr>
      </w:pPr>
    </w:p>
    <w:p w14:paraId="1314A8AC" w14:textId="355D9C24" w:rsidR="001A50BB" w:rsidRDefault="002B402B" w:rsidP="00A927B7">
      <w:pPr>
        <w:outlineLvl w:val="0"/>
      </w:pPr>
      <w:r w:rsidRPr="00556529">
        <w:rPr>
          <w:rFonts w:eastAsia="Arial Unicode MS"/>
          <w:color w:val="000000"/>
          <w:u w:color="000000"/>
        </w:rPr>
        <w:t>Dr. Yevgeniya (Jane) Pinelis at CNA was consulted on statistical aspects of the study design</w:t>
      </w:r>
      <w:r>
        <w:rPr>
          <w:rFonts w:eastAsia="Arial Unicode MS"/>
          <w:color w:val="000000"/>
          <w:u w:color="000000"/>
        </w:rPr>
        <w:t xml:space="preserve">. </w:t>
      </w:r>
      <w:r w:rsidRPr="00651562">
        <w:rPr>
          <w:rFonts w:eastAsia="Arial Unicode MS"/>
          <w:color w:val="000000"/>
          <w:u w:color="000000"/>
        </w:rPr>
        <w:t>Dr.</w:t>
      </w:r>
      <w:r w:rsidRPr="00556529">
        <w:rPr>
          <w:rFonts w:eastAsia="Arial Unicode MS"/>
          <w:color w:val="000000"/>
          <w:u w:color="000000"/>
        </w:rPr>
        <w:t xml:space="preserve"> Pinelis can be reached at (703) 824-2052</w:t>
      </w:r>
      <w:r>
        <w:rPr>
          <w:rFonts w:eastAsia="Arial Unicode MS"/>
          <w:color w:val="000000"/>
          <w:u w:color="000000"/>
        </w:rPr>
        <w:t xml:space="preserve">. </w:t>
      </w:r>
      <w:r w:rsidRPr="00556529">
        <w:rPr>
          <w:rFonts w:eastAsia="Arial Unicode MS"/>
          <w:color w:val="000000"/>
          <w:u w:color="000000"/>
        </w:rPr>
        <w:t xml:space="preserve">Dr. </w:t>
      </w:r>
      <w:r>
        <w:rPr>
          <w:rFonts w:eastAsia="Arial Unicode MS"/>
          <w:color w:val="000000"/>
          <w:u w:color="000000"/>
        </w:rPr>
        <w:t>Lauren Malone</w:t>
      </w:r>
      <w:r w:rsidRPr="00556529">
        <w:rPr>
          <w:rFonts w:eastAsia="Arial Unicode MS"/>
          <w:color w:val="000000"/>
          <w:u w:color="000000"/>
        </w:rPr>
        <w:t xml:space="preserve"> at CNA will be responsible for the collection and analysis of the data</w:t>
      </w:r>
      <w:r>
        <w:rPr>
          <w:rFonts w:eastAsia="Arial Unicode MS"/>
          <w:color w:val="000000"/>
          <w:u w:color="000000"/>
        </w:rPr>
        <w:t xml:space="preserve">. </w:t>
      </w:r>
      <w:r w:rsidRPr="00556529">
        <w:rPr>
          <w:rFonts w:eastAsia="Arial Unicode MS"/>
          <w:color w:val="000000"/>
          <w:u w:color="000000"/>
        </w:rPr>
        <w:t>She can be reached at (</w:t>
      </w:r>
      <w:r>
        <w:rPr>
          <w:rFonts w:eastAsia="Arial Unicode MS"/>
          <w:color w:val="000000"/>
          <w:u w:color="000000"/>
        </w:rPr>
        <w:t>703) 824-2741.</w:t>
      </w:r>
    </w:p>
    <w:sectPr w:rsidR="001A50BB" w:rsidSect="001A50B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9FC9C" w14:textId="77777777" w:rsidR="009469D5" w:rsidRDefault="009469D5" w:rsidP="002B402B">
      <w:r>
        <w:separator/>
      </w:r>
    </w:p>
  </w:endnote>
  <w:endnote w:type="continuationSeparator" w:id="0">
    <w:p w14:paraId="3407C5AD" w14:textId="77777777" w:rsidR="009469D5" w:rsidRDefault="009469D5" w:rsidP="002B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609957"/>
      <w:docPartObj>
        <w:docPartGallery w:val="Page Numbers (Bottom of Page)"/>
        <w:docPartUnique/>
      </w:docPartObj>
    </w:sdtPr>
    <w:sdtEndPr>
      <w:rPr>
        <w:noProof/>
      </w:rPr>
    </w:sdtEndPr>
    <w:sdtContent>
      <w:p w14:paraId="7FD19F26" w14:textId="75B58579" w:rsidR="002232F5" w:rsidRDefault="002232F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C5CB3F" w14:textId="77777777" w:rsidR="002232F5" w:rsidRDefault="00223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BA729" w14:textId="77777777" w:rsidR="009469D5" w:rsidRDefault="009469D5" w:rsidP="002B402B">
      <w:r>
        <w:separator/>
      </w:r>
    </w:p>
  </w:footnote>
  <w:footnote w:type="continuationSeparator" w:id="0">
    <w:p w14:paraId="6EF08430" w14:textId="77777777" w:rsidR="009469D5" w:rsidRDefault="009469D5" w:rsidP="002B402B">
      <w:r>
        <w:continuationSeparator/>
      </w:r>
    </w:p>
  </w:footnote>
  <w:footnote w:id="1">
    <w:p w14:paraId="47B1D569" w14:textId="629A55C8" w:rsidR="00A67308" w:rsidRPr="009E098D" w:rsidRDefault="00A67308" w:rsidP="002B402B">
      <w:pPr>
        <w:pStyle w:val="FootnoteText"/>
      </w:pPr>
      <w:r w:rsidRPr="009E098D">
        <w:rPr>
          <w:rStyle w:val="FootnoteReference"/>
        </w:rPr>
        <w:footnoteRef/>
      </w:r>
      <w:r w:rsidRPr="009E098D">
        <w:t xml:space="preserve"> For information on the locus of control, see Julian B. Rotter. “Generalized expectancies for internal versus external control of reinforcement.” 1966. </w:t>
      </w:r>
      <w:r w:rsidRPr="009E098D">
        <w:rPr>
          <w:i/>
        </w:rPr>
        <w:t>Psychological Monographs</w:t>
      </w:r>
      <w:r w:rsidRPr="009E098D">
        <w:t xml:space="preserve"> 80 (1, Whole No. 609). For information on the Grit scale, see Angela L. Duckwort</w:t>
      </w:r>
      <w:r w:rsidR="001E7520">
        <w:t>h</w:t>
      </w:r>
      <w:r w:rsidRPr="009E098D">
        <w:t xml:space="preserve"> et al. “Grit: Perseverance and Passion for Long-Term Goals,” 2007. </w:t>
      </w:r>
      <w:r w:rsidRPr="009E098D">
        <w:rPr>
          <w:i/>
        </w:rPr>
        <w:t xml:space="preserve">Journal of Personality and Social Psychology </w:t>
      </w:r>
      <w:r w:rsidRPr="009E098D">
        <w:t xml:space="preserve">92(6): 1087-1101. </w:t>
      </w:r>
    </w:p>
  </w:footnote>
  <w:footnote w:id="2">
    <w:p w14:paraId="0C54E9BA" w14:textId="77777777" w:rsidR="00A67308" w:rsidRPr="009E098D" w:rsidRDefault="00A67308" w:rsidP="002B402B">
      <w:pPr>
        <w:pStyle w:val="FootnoteText"/>
      </w:pPr>
      <w:r w:rsidRPr="009E098D">
        <w:rPr>
          <w:rStyle w:val="FootnoteReference"/>
        </w:rPr>
        <w:footnoteRef/>
      </w:r>
      <w:r w:rsidRPr="009E098D">
        <w:t xml:space="preserve"> Angela Duckworth et al., “Deliberate Practice Spells Success:  Why Grittier Competitors Triumph at the National Spelling Bee,” October 4, 2010.  </w:t>
      </w:r>
      <w:r w:rsidRPr="009E098D">
        <w:rPr>
          <w:i/>
        </w:rPr>
        <w:t>Social Psychological and Personality Science</w:t>
      </w:r>
      <w:r w:rsidRPr="009E098D">
        <w:t xml:space="preserve"> 2:  174-181.</w:t>
      </w:r>
    </w:p>
  </w:footnote>
  <w:footnote w:id="3">
    <w:p w14:paraId="30972A1C" w14:textId="55D9B3A5" w:rsidR="00A67308" w:rsidRDefault="00A67308" w:rsidP="002B402B">
      <w:pPr>
        <w:pStyle w:val="FootnoteText"/>
      </w:pPr>
      <w:r w:rsidRPr="009E098D">
        <w:rPr>
          <w:rStyle w:val="FootnoteReference"/>
        </w:rPr>
        <w:footnoteRef/>
      </w:r>
      <w:r w:rsidRPr="009E098D">
        <w:t xml:space="preserve"> See, e.g., </w:t>
      </w:r>
      <w:r w:rsidRPr="009E098D">
        <w:rPr>
          <w:rFonts w:eastAsia="Arial Unicode MS" w:hAnsi="Arial Unicode MS"/>
          <w:color w:val="000000"/>
          <w:u w:color="000000"/>
        </w:rPr>
        <w:t xml:space="preserve">Margo Coleman and Thomas </w:t>
      </w:r>
      <w:proofErr w:type="spellStart"/>
      <w:r w:rsidRPr="009E098D">
        <w:rPr>
          <w:rFonts w:eastAsia="Arial Unicode MS" w:hAnsi="Arial Unicode MS"/>
          <w:color w:val="000000"/>
          <w:u w:color="000000"/>
        </w:rPr>
        <w:t>DeLeire</w:t>
      </w:r>
      <w:proofErr w:type="spellEnd"/>
      <w:r w:rsidRPr="009E098D">
        <w:rPr>
          <w:rFonts w:eastAsia="Arial Unicode MS" w:hAnsi="Arial Unicode MS"/>
          <w:color w:val="000000"/>
          <w:u w:color="000000"/>
        </w:rPr>
        <w:t xml:space="preserve">, "An Economic Model of Locus of Control and the Human Capital Investment Decision," </w:t>
      </w:r>
      <w:r w:rsidRPr="009E098D">
        <w:rPr>
          <w:rFonts w:eastAsia="Arial Unicode MS" w:hAnsi="Arial Unicode MS"/>
          <w:i/>
          <w:color w:val="000000"/>
          <w:u w:color="000000"/>
        </w:rPr>
        <w:t>Journal of Human Resources</w:t>
      </w:r>
      <w:r w:rsidRPr="009E098D">
        <w:rPr>
          <w:rFonts w:eastAsia="Arial Unicode MS" w:hAnsi="Arial Unicode MS"/>
          <w:color w:val="000000"/>
          <w:u w:color="000000"/>
        </w:rPr>
        <w:t xml:space="preserve"> 38, no. 3, Summer 2003:701-721</w:t>
      </w:r>
      <w:r w:rsidR="001E7520">
        <w:rPr>
          <w:rFonts w:eastAsia="Arial Unicode MS" w:hAnsi="Arial Unicode MS"/>
          <w:color w:val="000000"/>
          <w:u w:color="000000"/>
        </w:rPr>
        <w:t>.</w:t>
      </w:r>
    </w:p>
  </w:footnote>
  <w:footnote w:id="4">
    <w:p w14:paraId="32374E16" w14:textId="77777777" w:rsidR="00A67308" w:rsidRDefault="00A67308" w:rsidP="002B402B">
      <w:pPr>
        <w:pStyle w:val="FootnoteText"/>
      </w:pPr>
      <w:r>
        <w:rPr>
          <w:rStyle w:val="FootnoteReference"/>
        </w:rPr>
        <w:footnoteRef/>
      </w:r>
      <w:r>
        <w:t xml:space="preserve"> Jennie W. Wenger and Cathleen M. McHugh with Seema Sayala and Robert W. Shuford, April 2008</w:t>
      </w:r>
      <w:proofErr w:type="gramStart"/>
      <w:r>
        <w:t>,“</w:t>
      </w:r>
      <w:proofErr w:type="gramEnd"/>
      <w:r>
        <w:t>Variation in Participants and Policies Across ChalleNGe Programs,” CNA Research Memorandum D0017743.A2.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95C47"/>
    <w:multiLevelType w:val="hybridMultilevel"/>
    <w:tmpl w:val="8E9692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2B"/>
    <w:rsid w:val="00026FBB"/>
    <w:rsid w:val="000C7B73"/>
    <w:rsid w:val="00116449"/>
    <w:rsid w:val="001705DF"/>
    <w:rsid w:val="001A50BB"/>
    <w:rsid w:val="001B3CF4"/>
    <w:rsid w:val="001E7520"/>
    <w:rsid w:val="002232F5"/>
    <w:rsid w:val="002B402B"/>
    <w:rsid w:val="002E02EE"/>
    <w:rsid w:val="003235D0"/>
    <w:rsid w:val="003865F3"/>
    <w:rsid w:val="00386769"/>
    <w:rsid w:val="004F4C25"/>
    <w:rsid w:val="00504D22"/>
    <w:rsid w:val="005077E7"/>
    <w:rsid w:val="0062221C"/>
    <w:rsid w:val="00624550"/>
    <w:rsid w:val="006803A0"/>
    <w:rsid w:val="0069743C"/>
    <w:rsid w:val="00784560"/>
    <w:rsid w:val="007B2246"/>
    <w:rsid w:val="007F4C99"/>
    <w:rsid w:val="007F727F"/>
    <w:rsid w:val="008076BA"/>
    <w:rsid w:val="008822CA"/>
    <w:rsid w:val="00884C76"/>
    <w:rsid w:val="008B4DDF"/>
    <w:rsid w:val="009469D5"/>
    <w:rsid w:val="009E6C97"/>
    <w:rsid w:val="00A24044"/>
    <w:rsid w:val="00A67308"/>
    <w:rsid w:val="00A927B7"/>
    <w:rsid w:val="00AB0A55"/>
    <w:rsid w:val="00B22677"/>
    <w:rsid w:val="00B32CA2"/>
    <w:rsid w:val="00B731D3"/>
    <w:rsid w:val="00BD54B2"/>
    <w:rsid w:val="00C00FE8"/>
    <w:rsid w:val="00C24D1C"/>
    <w:rsid w:val="00C32924"/>
    <w:rsid w:val="00C34BDC"/>
    <w:rsid w:val="00C50774"/>
    <w:rsid w:val="00C65A7D"/>
    <w:rsid w:val="00C92CD6"/>
    <w:rsid w:val="00D72311"/>
    <w:rsid w:val="00E00E95"/>
    <w:rsid w:val="00E332AD"/>
    <w:rsid w:val="00E73250"/>
    <w:rsid w:val="00EB4A22"/>
    <w:rsid w:val="00ED1148"/>
    <w:rsid w:val="00ED5FA3"/>
    <w:rsid w:val="00ED7C92"/>
    <w:rsid w:val="00F06C73"/>
    <w:rsid w:val="00F62961"/>
    <w:rsid w:val="00FD3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969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B402B"/>
    <w:pPr>
      <w:spacing w:before="100" w:beforeAutospacing="1" w:after="100" w:afterAutospacing="1"/>
    </w:pPr>
    <w:rPr>
      <w:rFonts w:ascii="Times New Roman" w:eastAsia="Times New Roman" w:hAnsi="Times New Roman" w:cs="Times New Roman"/>
    </w:rPr>
  </w:style>
  <w:style w:type="paragraph" w:customStyle="1" w:styleId="Body1">
    <w:name w:val="Body 1"/>
    <w:rsid w:val="002B402B"/>
    <w:pPr>
      <w:outlineLvl w:val="0"/>
    </w:pPr>
    <w:rPr>
      <w:rFonts w:ascii="Times New Roman" w:eastAsia="Arial Unicode MS" w:hAnsi="Times New Roman" w:cs="Times New Roman"/>
      <w:color w:val="000000"/>
      <w:szCs w:val="20"/>
      <w:u w:color="000000"/>
      <w:lang w:eastAsia="zh-CN"/>
    </w:rPr>
  </w:style>
  <w:style w:type="paragraph" w:styleId="FootnoteText">
    <w:name w:val="footnote text"/>
    <w:basedOn w:val="Normal"/>
    <w:link w:val="FootnoteTextChar"/>
    <w:rsid w:val="002B402B"/>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2B402B"/>
    <w:rPr>
      <w:rFonts w:ascii="Times New Roman" w:eastAsia="SimSun" w:hAnsi="Times New Roman" w:cs="Times New Roman"/>
      <w:sz w:val="20"/>
      <w:szCs w:val="20"/>
      <w:lang w:eastAsia="zh-CN"/>
    </w:rPr>
  </w:style>
  <w:style w:type="character" w:styleId="FootnoteReference">
    <w:name w:val="footnote reference"/>
    <w:basedOn w:val="DefaultParagraphFont"/>
    <w:rsid w:val="002B402B"/>
    <w:rPr>
      <w:vertAlign w:val="superscript"/>
    </w:rPr>
  </w:style>
  <w:style w:type="paragraph" w:styleId="ListParagraph">
    <w:name w:val="List Paragraph"/>
    <w:basedOn w:val="Normal"/>
    <w:uiPriority w:val="34"/>
    <w:qFormat/>
    <w:rsid w:val="005077E7"/>
    <w:pPr>
      <w:ind w:left="720"/>
      <w:contextualSpacing/>
    </w:pPr>
  </w:style>
  <w:style w:type="table" w:styleId="TableGrid">
    <w:name w:val="Table Grid"/>
    <w:basedOn w:val="TableNormal"/>
    <w:uiPriority w:val="59"/>
    <w:rsid w:val="00622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5FA3"/>
    <w:rPr>
      <w:sz w:val="16"/>
      <w:szCs w:val="16"/>
    </w:rPr>
  </w:style>
  <w:style w:type="paragraph" w:styleId="CommentText">
    <w:name w:val="annotation text"/>
    <w:basedOn w:val="Normal"/>
    <w:link w:val="CommentTextChar"/>
    <w:uiPriority w:val="99"/>
    <w:semiHidden/>
    <w:unhideWhenUsed/>
    <w:rsid w:val="00ED5FA3"/>
    <w:rPr>
      <w:sz w:val="20"/>
      <w:szCs w:val="20"/>
    </w:rPr>
  </w:style>
  <w:style w:type="character" w:customStyle="1" w:styleId="CommentTextChar">
    <w:name w:val="Comment Text Char"/>
    <w:basedOn w:val="DefaultParagraphFont"/>
    <w:link w:val="CommentText"/>
    <w:uiPriority w:val="99"/>
    <w:semiHidden/>
    <w:rsid w:val="00ED5FA3"/>
    <w:rPr>
      <w:sz w:val="20"/>
      <w:szCs w:val="20"/>
    </w:rPr>
  </w:style>
  <w:style w:type="paragraph" w:styleId="CommentSubject">
    <w:name w:val="annotation subject"/>
    <w:basedOn w:val="CommentText"/>
    <w:next w:val="CommentText"/>
    <w:link w:val="CommentSubjectChar"/>
    <w:uiPriority w:val="99"/>
    <w:semiHidden/>
    <w:unhideWhenUsed/>
    <w:rsid w:val="00ED5FA3"/>
    <w:rPr>
      <w:b/>
      <w:bCs/>
    </w:rPr>
  </w:style>
  <w:style w:type="character" w:customStyle="1" w:styleId="CommentSubjectChar">
    <w:name w:val="Comment Subject Char"/>
    <w:basedOn w:val="CommentTextChar"/>
    <w:link w:val="CommentSubject"/>
    <w:uiPriority w:val="99"/>
    <w:semiHidden/>
    <w:rsid w:val="00ED5FA3"/>
    <w:rPr>
      <w:b/>
      <w:bCs/>
      <w:sz w:val="20"/>
      <w:szCs w:val="20"/>
    </w:rPr>
  </w:style>
  <w:style w:type="paragraph" w:styleId="BalloonText">
    <w:name w:val="Balloon Text"/>
    <w:basedOn w:val="Normal"/>
    <w:link w:val="BalloonTextChar"/>
    <w:uiPriority w:val="99"/>
    <w:semiHidden/>
    <w:unhideWhenUsed/>
    <w:rsid w:val="00ED5FA3"/>
    <w:rPr>
      <w:rFonts w:ascii="Tahoma" w:hAnsi="Tahoma" w:cs="Tahoma"/>
      <w:sz w:val="16"/>
      <w:szCs w:val="16"/>
    </w:rPr>
  </w:style>
  <w:style w:type="character" w:customStyle="1" w:styleId="BalloonTextChar">
    <w:name w:val="Balloon Text Char"/>
    <w:basedOn w:val="DefaultParagraphFont"/>
    <w:link w:val="BalloonText"/>
    <w:uiPriority w:val="99"/>
    <w:semiHidden/>
    <w:rsid w:val="00ED5FA3"/>
    <w:rPr>
      <w:rFonts w:ascii="Tahoma" w:hAnsi="Tahoma" w:cs="Tahoma"/>
      <w:sz w:val="16"/>
      <w:szCs w:val="16"/>
    </w:rPr>
  </w:style>
  <w:style w:type="paragraph" w:styleId="Header">
    <w:name w:val="header"/>
    <w:basedOn w:val="Normal"/>
    <w:link w:val="HeaderChar"/>
    <w:uiPriority w:val="99"/>
    <w:unhideWhenUsed/>
    <w:rsid w:val="002232F5"/>
    <w:pPr>
      <w:tabs>
        <w:tab w:val="center" w:pos="4680"/>
        <w:tab w:val="right" w:pos="9360"/>
      </w:tabs>
    </w:pPr>
  </w:style>
  <w:style w:type="character" w:customStyle="1" w:styleId="HeaderChar">
    <w:name w:val="Header Char"/>
    <w:basedOn w:val="DefaultParagraphFont"/>
    <w:link w:val="Header"/>
    <w:uiPriority w:val="99"/>
    <w:rsid w:val="002232F5"/>
  </w:style>
  <w:style w:type="paragraph" w:styleId="Footer">
    <w:name w:val="footer"/>
    <w:basedOn w:val="Normal"/>
    <w:link w:val="FooterChar"/>
    <w:uiPriority w:val="99"/>
    <w:unhideWhenUsed/>
    <w:rsid w:val="002232F5"/>
    <w:pPr>
      <w:tabs>
        <w:tab w:val="center" w:pos="4680"/>
        <w:tab w:val="right" w:pos="9360"/>
      </w:tabs>
    </w:pPr>
  </w:style>
  <w:style w:type="character" w:customStyle="1" w:styleId="FooterChar">
    <w:name w:val="Footer Char"/>
    <w:basedOn w:val="DefaultParagraphFont"/>
    <w:link w:val="Footer"/>
    <w:uiPriority w:val="99"/>
    <w:rsid w:val="00223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B402B"/>
    <w:pPr>
      <w:spacing w:before="100" w:beforeAutospacing="1" w:after="100" w:afterAutospacing="1"/>
    </w:pPr>
    <w:rPr>
      <w:rFonts w:ascii="Times New Roman" w:eastAsia="Times New Roman" w:hAnsi="Times New Roman" w:cs="Times New Roman"/>
    </w:rPr>
  </w:style>
  <w:style w:type="paragraph" w:customStyle="1" w:styleId="Body1">
    <w:name w:val="Body 1"/>
    <w:rsid w:val="002B402B"/>
    <w:pPr>
      <w:outlineLvl w:val="0"/>
    </w:pPr>
    <w:rPr>
      <w:rFonts w:ascii="Times New Roman" w:eastAsia="Arial Unicode MS" w:hAnsi="Times New Roman" w:cs="Times New Roman"/>
      <w:color w:val="000000"/>
      <w:szCs w:val="20"/>
      <w:u w:color="000000"/>
      <w:lang w:eastAsia="zh-CN"/>
    </w:rPr>
  </w:style>
  <w:style w:type="paragraph" w:styleId="FootnoteText">
    <w:name w:val="footnote text"/>
    <w:basedOn w:val="Normal"/>
    <w:link w:val="FootnoteTextChar"/>
    <w:rsid w:val="002B402B"/>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2B402B"/>
    <w:rPr>
      <w:rFonts w:ascii="Times New Roman" w:eastAsia="SimSun" w:hAnsi="Times New Roman" w:cs="Times New Roman"/>
      <w:sz w:val="20"/>
      <w:szCs w:val="20"/>
      <w:lang w:eastAsia="zh-CN"/>
    </w:rPr>
  </w:style>
  <w:style w:type="character" w:styleId="FootnoteReference">
    <w:name w:val="footnote reference"/>
    <w:basedOn w:val="DefaultParagraphFont"/>
    <w:rsid w:val="002B402B"/>
    <w:rPr>
      <w:vertAlign w:val="superscript"/>
    </w:rPr>
  </w:style>
  <w:style w:type="paragraph" w:styleId="ListParagraph">
    <w:name w:val="List Paragraph"/>
    <w:basedOn w:val="Normal"/>
    <w:uiPriority w:val="34"/>
    <w:qFormat/>
    <w:rsid w:val="005077E7"/>
    <w:pPr>
      <w:ind w:left="720"/>
      <w:contextualSpacing/>
    </w:pPr>
  </w:style>
  <w:style w:type="table" w:styleId="TableGrid">
    <w:name w:val="Table Grid"/>
    <w:basedOn w:val="TableNormal"/>
    <w:uiPriority w:val="59"/>
    <w:rsid w:val="00622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5FA3"/>
    <w:rPr>
      <w:sz w:val="16"/>
      <w:szCs w:val="16"/>
    </w:rPr>
  </w:style>
  <w:style w:type="paragraph" w:styleId="CommentText">
    <w:name w:val="annotation text"/>
    <w:basedOn w:val="Normal"/>
    <w:link w:val="CommentTextChar"/>
    <w:uiPriority w:val="99"/>
    <w:semiHidden/>
    <w:unhideWhenUsed/>
    <w:rsid w:val="00ED5FA3"/>
    <w:rPr>
      <w:sz w:val="20"/>
      <w:szCs w:val="20"/>
    </w:rPr>
  </w:style>
  <w:style w:type="character" w:customStyle="1" w:styleId="CommentTextChar">
    <w:name w:val="Comment Text Char"/>
    <w:basedOn w:val="DefaultParagraphFont"/>
    <w:link w:val="CommentText"/>
    <w:uiPriority w:val="99"/>
    <w:semiHidden/>
    <w:rsid w:val="00ED5FA3"/>
    <w:rPr>
      <w:sz w:val="20"/>
      <w:szCs w:val="20"/>
    </w:rPr>
  </w:style>
  <w:style w:type="paragraph" w:styleId="CommentSubject">
    <w:name w:val="annotation subject"/>
    <w:basedOn w:val="CommentText"/>
    <w:next w:val="CommentText"/>
    <w:link w:val="CommentSubjectChar"/>
    <w:uiPriority w:val="99"/>
    <w:semiHidden/>
    <w:unhideWhenUsed/>
    <w:rsid w:val="00ED5FA3"/>
    <w:rPr>
      <w:b/>
      <w:bCs/>
    </w:rPr>
  </w:style>
  <w:style w:type="character" w:customStyle="1" w:styleId="CommentSubjectChar">
    <w:name w:val="Comment Subject Char"/>
    <w:basedOn w:val="CommentTextChar"/>
    <w:link w:val="CommentSubject"/>
    <w:uiPriority w:val="99"/>
    <w:semiHidden/>
    <w:rsid w:val="00ED5FA3"/>
    <w:rPr>
      <w:b/>
      <w:bCs/>
      <w:sz w:val="20"/>
      <w:szCs w:val="20"/>
    </w:rPr>
  </w:style>
  <w:style w:type="paragraph" w:styleId="BalloonText">
    <w:name w:val="Balloon Text"/>
    <w:basedOn w:val="Normal"/>
    <w:link w:val="BalloonTextChar"/>
    <w:uiPriority w:val="99"/>
    <w:semiHidden/>
    <w:unhideWhenUsed/>
    <w:rsid w:val="00ED5FA3"/>
    <w:rPr>
      <w:rFonts w:ascii="Tahoma" w:hAnsi="Tahoma" w:cs="Tahoma"/>
      <w:sz w:val="16"/>
      <w:szCs w:val="16"/>
    </w:rPr>
  </w:style>
  <w:style w:type="character" w:customStyle="1" w:styleId="BalloonTextChar">
    <w:name w:val="Balloon Text Char"/>
    <w:basedOn w:val="DefaultParagraphFont"/>
    <w:link w:val="BalloonText"/>
    <w:uiPriority w:val="99"/>
    <w:semiHidden/>
    <w:rsid w:val="00ED5FA3"/>
    <w:rPr>
      <w:rFonts w:ascii="Tahoma" w:hAnsi="Tahoma" w:cs="Tahoma"/>
      <w:sz w:val="16"/>
      <w:szCs w:val="16"/>
    </w:rPr>
  </w:style>
  <w:style w:type="paragraph" w:styleId="Header">
    <w:name w:val="header"/>
    <w:basedOn w:val="Normal"/>
    <w:link w:val="HeaderChar"/>
    <w:uiPriority w:val="99"/>
    <w:unhideWhenUsed/>
    <w:rsid w:val="002232F5"/>
    <w:pPr>
      <w:tabs>
        <w:tab w:val="center" w:pos="4680"/>
        <w:tab w:val="right" w:pos="9360"/>
      </w:tabs>
    </w:pPr>
  </w:style>
  <w:style w:type="character" w:customStyle="1" w:styleId="HeaderChar">
    <w:name w:val="Header Char"/>
    <w:basedOn w:val="DefaultParagraphFont"/>
    <w:link w:val="Header"/>
    <w:uiPriority w:val="99"/>
    <w:rsid w:val="002232F5"/>
  </w:style>
  <w:style w:type="paragraph" w:styleId="Footer">
    <w:name w:val="footer"/>
    <w:basedOn w:val="Normal"/>
    <w:link w:val="FooterChar"/>
    <w:uiPriority w:val="99"/>
    <w:unhideWhenUsed/>
    <w:rsid w:val="002232F5"/>
    <w:pPr>
      <w:tabs>
        <w:tab w:val="center" w:pos="4680"/>
        <w:tab w:val="right" w:pos="9360"/>
      </w:tabs>
    </w:pPr>
  </w:style>
  <w:style w:type="character" w:customStyle="1" w:styleId="FooterChar">
    <w:name w:val="Footer Char"/>
    <w:basedOn w:val="DefaultParagraphFont"/>
    <w:link w:val="Footer"/>
    <w:uiPriority w:val="99"/>
    <w:rsid w:val="0022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2258</Words>
  <Characters>12874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Atkin</dc:creator>
  <cp:lastModifiedBy>Frederick Licari</cp:lastModifiedBy>
  <cp:revision>2</cp:revision>
  <cp:lastPrinted>2014-07-21T13:17:00Z</cp:lastPrinted>
  <dcterms:created xsi:type="dcterms:W3CDTF">2014-07-21T13:28:00Z</dcterms:created>
  <dcterms:modified xsi:type="dcterms:W3CDTF">2014-07-21T13:28:00Z</dcterms:modified>
</cp:coreProperties>
</file>