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12" w:type="dxa"/>
        <w:tblLayout w:type="fixed"/>
        <w:tblCellMar>
          <w:left w:w="0" w:type="dxa"/>
          <w:right w:w="0" w:type="dxa"/>
        </w:tblCellMar>
        <w:tblLook w:val="0000"/>
      </w:tblPr>
      <w:tblGrid>
        <w:gridCol w:w="2430"/>
        <w:gridCol w:w="8010"/>
      </w:tblGrid>
      <w:tr w:rsidR="006C3E59">
        <w:trPr>
          <w:cantSplit/>
          <w:trHeight w:hRule="exact" w:val="1680"/>
        </w:trPr>
        <w:tc>
          <w:tcPr>
            <w:tcW w:w="2430" w:type="dxa"/>
          </w:tcPr>
          <w:p w:rsidR="006C3E59" w:rsidRDefault="00D32F8C">
            <w:pPr>
              <w:jc w:val="center"/>
              <w:rPr>
                <w:rFonts w:ascii="CG Times (WN)" w:hAnsi="CG Times (WN)"/>
              </w:rPr>
            </w:pPr>
            <w:r>
              <w:rPr>
                <w:rFonts w:ascii="CG Times (WN)" w:hAnsi="CG Times (WN)"/>
                <w:noProof/>
              </w:rPr>
              <w:drawing>
                <wp:anchor distT="0" distB="0" distL="114300" distR="114300" simplePos="0" relativeHeight="251657728" behindDoc="0" locked="0" layoutInCell="1" allowOverlap="1">
                  <wp:simplePos x="0" y="0"/>
                  <wp:positionH relativeFrom="column">
                    <wp:posOffset>223520</wp:posOffset>
                  </wp:positionH>
                  <wp:positionV relativeFrom="paragraph">
                    <wp:posOffset>0</wp:posOffset>
                  </wp:positionV>
                  <wp:extent cx="960120" cy="9601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960120" cy="960120"/>
                          </a:xfrm>
                          <a:prstGeom prst="rect">
                            <a:avLst/>
                          </a:prstGeom>
                          <a:noFill/>
                          <a:ln w="9525">
                            <a:noFill/>
                            <a:miter lim="800000"/>
                            <a:headEnd/>
                            <a:tailEnd/>
                          </a:ln>
                        </pic:spPr>
                      </pic:pic>
                    </a:graphicData>
                  </a:graphic>
                </wp:anchor>
              </w:drawing>
            </w:r>
          </w:p>
          <w:p w:rsidR="006C3E59" w:rsidRDefault="006C3E59">
            <w:pPr>
              <w:ind w:left="-288"/>
            </w:pPr>
          </w:p>
          <w:p w:rsidR="006C3E59" w:rsidRDefault="006C3E59">
            <w:pPr>
              <w:ind w:left="-288"/>
            </w:pPr>
          </w:p>
        </w:tc>
        <w:tc>
          <w:tcPr>
            <w:tcW w:w="8010" w:type="dxa"/>
          </w:tcPr>
          <w:p w:rsidR="006C3E59" w:rsidRDefault="006C3E59">
            <w:pPr>
              <w:ind w:left="-288"/>
              <w:jc w:val="center"/>
              <w:rPr>
                <w:rFonts w:ascii="Arial" w:hAnsi="Arial" w:cs="Arial"/>
                <w:b/>
                <w:bCs/>
                <w:color w:val="000080"/>
              </w:rPr>
            </w:pPr>
          </w:p>
          <w:p w:rsidR="006C3E59" w:rsidRDefault="006C3E59">
            <w:pPr>
              <w:ind w:left="-2340"/>
              <w:jc w:val="center"/>
              <w:rPr>
                <w:rFonts w:ascii="Arial" w:hAnsi="Arial" w:cs="Arial"/>
                <w:b/>
                <w:bCs/>
                <w:color w:val="000080"/>
              </w:rPr>
            </w:pPr>
            <w:r>
              <w:rPr>
                <w:rFonts w:ascii="Arial" w:hAnsi="Arial" w:cs="Arial"/>
                <w:b/>
                <w:bCs/>
                <w:color w:val="000080"/>
              </w:rPr>
              <w:t>DEPARTMENT OF VETERANS AFFAIRS</w:t>
            </w:r>
          </w:p>
          <w:p w:rsidR="006C3E59" w:rsidRDefault="00BF45DA">
            <w:pPr>
              <w:ind w:left="-2340"/>
              <w:jc w:val="center"/>
              <w:rPr>
                <w:rFonts w:ascii="Arial" w:hAnsi="Arial" w:cs="Arial"/>
                <w:b/>
                <w:bCs/>
                <w:color w:val="000080"/>
              </w:rPr>
            </w:pPr>
            <w:r>
              <w:rPr>
                <w:rFonts w:ascii="Arial" w:hAnsi="Arial" w:cs="Arial"/>
                <w:b/>
                <w:bCs/>
                <w:color w:val="000080"/>
              </w:rPr>
              <w:t>Regulation Policy and Management</w:t>
            </w:r>
            <w:r w:rsidR="00EB0D2E">
              <w:rPr>
                <w:rFonts w:ascii="Arial" w:hAnsi="Arial" w:cs="Arial"/>
                <w:b/>
                <w:bCs/>
                <w:color w:val="000080"/>
              </w:rPr>
              <w:t xml:space="preserve"> (02REG)</w:t>
            </w:r>
          </w:p>
          <w:p w:rsidR="00515955" w:rsidRDefault="00515955">
            <w:pPr>
              <w:ind w:left="-2340"/>
              <w:jc w:val="center"/>
              <w:rPr>
                <w:rFonts w:ascii="Arial" w:hAnsi="Arial" w:cs="Arial"/>
                <w:b/>
                <w:bCs/>
                <w:color w:val="000080"/>
              </w:rPr>
            </w:pPr>
            <w:r>
              <w:rPr>
                <w:rFonts w:ascii="Arial" w:hAnsi="Arial" w:cs="Arial"/>
                <w:b/>
                <w:bCs/>
                <w:color w:val="000080"/>
              </w:rPr>
              <w:t>Office of the General Counsel</w:t>
            </w:r>
          </w:p>
          <w:p w:rsidR="006C3E59" w:rsidRDefault="006C3E59">
            <w:pPr>
              <w:pStyle w:val="Heading3"/>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20420</w:t>
            </w:r>
          </w:p>
        </w:tc>
      </w:tr>
    </w:tbl>
    <w:p w:rsidR="006C3E59" w:rsidRDefault="006C3E59">
      <w:pPr>
        <w:pStyle w:val="Heading2"/>
        <w:ind w:left="6480"/>
      </w:pPr>
    </w:p>
    <w:p w:rsidR="006C3E59" w:rsidRPr="008C09FE" w:rsidRDefault="006C3E59" w:rsidP="00CA7CBB">
      <w:pPr>
        <w:pStyle w:val="Heading2"/>
        <w:ind w:firstLine="720"/>
      </w:pPr>
      <w:r w:rsidRPr="008C09FE">
        <w:t xml:space="preserve">                                                                    </w:t>
      </w:r>
      <w:r w:rsidR="00C70993" w:rsidRPr="008C09FE">
        <w:tab/>
      </w:r>
      <w:r w:rsidR="00C70993" w:rsidRPr="008C09FE">
        <w:tab/>
      </w:r>
      <w:r w:rsidRPr="008C09FE">
        <w:t xml:space="preserve">In Reply Refer to: </w:t>
      </w:r>
      <w:r w:rsidR="00BF45DA" w:rsidRPr="008C09FE">
        <w:t>0</w:t>
      </w:r>
      <w:r w:rsidR="00E255C3">
        <w:t>2</w:t>
      </w:r>
      <w:r w:rsidR="00BF45DA" w:rsidRPr="008C09FE">
        <w:t>REG</w:t>
      </w:r>
    </w:p>
    <w:p w:rsidR="006C3E59" w:rsidRPr="008C09FE" w:rsidRDefault="00BF45DA" w:rsidP="00CA7CBB">
      <w:pPr>
        <w:rPr>
          <w:rFonts w:ascii="Arial" w:hAnsi="Arial" w:cs="Arial"/>
        </w:rPr>
      </w:pPr>
      <w:r w:rsidRPr="008C09FE">
        <w:rPr>
          <w:rFonts w:ascii="Arial" w:hAnsi="Arial" w:cs="Arial"/>
        </w:rPr>
        <w:t>Date:</w:t>
      </w:r>
      <w:r w:rsidR="008C09FE">
        <w:rPr>
          <w:rFonts w:ascii="Arial" w:hAnsi="Arial" w:cs="Arial"/>
        </w:rPr>
        <w:t xml:space="preserve">  </w:t>
      </w:r>
      <w:r w:rsidR="00D32F8C">
        <w:rPr>
          <w:rFonts w:ascii="Arial" w:hAnsi="Arial" w:cs="Arial"/>
        </w:rPr>
        <w:t>June 4, 2013</w:t>
      </w:r>
      <w:r w:rsidR="006C3E59" w:rsidRPr="008C09FE">
        <w:rPr>
          <w:rFonts w:ascii="Arial" w:hAnsi="Arial" w:cs="Arial"/>
        </w:rPr>
        <w:t xml:space="preserve"> </w:t>
      </w:r>
    </w:p>
    <w:p w:rsidR="006C3E59" w:rsidRPr="008C09FE" w:rsidRDefault="006C3E59" w:rsidP="00CA7CBB">
      <w:pPr>
        <w:rPr>
          <w:rFonts w:ascii="Arial" w:hAnsi="Arial" w:cs="Arial"/>
        </w:rPr>
      </w:pPr>
    </w:p>
    <w:p w:rsidR="006C3E59" w:rsidRPr="008C09FE" w:rsidRDefault="00BF45DA" w:rsidP="00CA7CBB">
      <w:pPr>
        <w:rPr>
          <w:rFonts w:ascii="Arial" w:hAnsi="Arial" w:cs="Arial"/>
        </w:rPr>
      </w:pPr>
      <w:r w:rsidRPr="008C09FE">
        <w:rPr>
          <w:rFonts w:ascii="Arial" w:hAnsi="Arial" w:cs="Arial"/>
        </w:rPr>
        <w:t>From:</w:t>
      </w:r>
      <w:r w:rsidRPr="008C09FE">
        <w:rPr>
          <w:rFonts w:ascii="Arial" w:hAnsi="Arial" w:cs="Arial"/>
        </w:rPr>
        <w:tab/>
        <w:t>Chief Impact Analyst</w:t>
      </w:r>
      <w:r w:rsidR="00F1747B" w:rsidRPr="008C09FE">
        <w:rPr>
          <w:rFonts w:ascii="Arial" w:hAnsi="Arial" w:cs="Arial"/>
        </w:rPr>
        <w:t xml:space="preserve"> (0</w:t>
      </w:r>
      <w:r w:rsidR="00E255C3">
        <w:rPr>
          <w:rFonts w:ascii="Arial" w:hAnsi="Arial" w:cs="Arial"/>
        </w:rPr>
        <w:t>2</w:t>
      </w:r>
      <w:r w:rsidR="00F1747B" w:rsidRPr="008C09FE">
        <w:rPr>
          <w:rFonts w:ascii="Arial" w:hAnsi="Arial" w:cs="Arial"/>
        </w:rPr>
        <w:t>REG)</w:t>
      </w:r>
    </w:p>
    <w:p w:rsidR="00BF45DA" w:rsidRPr="008C09FE" w:rsidRDefault="00BF45DA" w:rsidP="00CA7CBB">
      <w:pPr>
        <w:rPr>
          <w:rFonts w:ascii="Arial" w:hAnsi="Arial" w:cs="Arial"/>
        </w:rPr>
      </w:pPr>
    </w:p>
    <w:p w:rsidR="00BF45DA" w:rsidRDefault="00BF45DA" w:rsidP="00F600A8">
      <w:pPr>
        <w:ind w:left="720" w:hanging="720"/>
        <w:rPr>
          <w:rFonts w:ascii="Arial" w:hAnsi="Arial" w:cs="Arial"/>
        </w:rPr>
      </w:pPr>
      <w:proofErr w:type="spellStart"/>
      <w:r w:rsidRPr="008C09FE">
        <w:rPr>
          <w:rFonts w:ascii="Arial" w:hAnsi="Arial" w:cs="Arial"/>
        </w:rPr>
        <w:t>Subj</w:t>
      </w:r>
      <w:proofErr w:type="spellEnd"/>
      <w:r w:rsidRPr="008C09FE">
        <w:rPr>
          <w:rFonts w:ascii="Arial" w:hAnsi="Arial" w:cs="Arial"/>
        </w:rPr>
        <w:t>:</w:t>
      </w:r>
      <w:r w:rsidRPr="008C09FE">
        <w:rPr>
          <w:rFonts w:ascii="Arial" w:hAnsi="Arial" w:cs="Arial"/>
        </w:rPr>
        <w:tab/>
        <w:t>Economic Impact Analysis for RIN 2900-</w:t>
      </w:r>
      <w:r w:rsidR="00D32F8C">
        <w:rPr>
          <w:rFonts w:ascii="Arial" w:hAnsi="Arial" w:cs="Arial"/>
        </w:rPr>
        <w:t>AO79/WP2012-047</w:t>
      </w:r>
      <w:r w:rsidR="00421AE6">
        <w:rPr>
          <w:rFonts w:ascii="Arial" w:hAnsi="Arial" w:cs="Arial"/>
        </w:rPr>
        <w:t xml:space="preserve">, </w:t>
      </w:r>
      <w:r w:rsidR="00F600A8">
        <w:rPr>
          <w:rFonts w:ascii="Arial" w:hAnsi="Arial" w:cs="Arial"/>
        </w:rPr>
        <w:t xml:space="preserve">Reimbursement of </w:t>
      </w:r>
      <w:r w:rsidR="00F600A8" w:rsidRPr="00F600A8">
        <w:rPr>
          <w:rFonts w:ascii="Arial" w:hAnsi="Arial" w:cs="Arial"/>
        </w:rPr>
        <w:t xml:space="preserve">Certain Medical Expenses for Camp </w:t>
      </w:r>
      <w:proofErr w:type="spellStart"/>
      <w:r w:rsidR="00F600A8" w:rsidRPr="00F600A8">
        <w:rPr>
          <w:rFonts w:ascii="Arial" w:hAnsi="Arial" w:cs="Arial"/>
        </w:rPr>
        <w:t>Lej</w:t>
      </w:r>
      <w:r w:rsidR="00F600A8">
        <w:rPr>
          <w:rFonts w:ascii="Arial" w:hAnsi="Arial" w:cs="Arial"/>
        </w:rPr>
        <w:t>e</w:t>
      </w:r>
      <w:r w:rsidR="00F600A8" w:rsidRPr="00F600A8">
        <w:rPr>
          <w:rFonts w:ascii="Arial" w:hAnsi="Arial" w:cs="Arial"/>
        </w:rPr>
        <w:t>une</w:t>
      </w:r>
      <w:proofErr w:type="spellEnd"/>
      <w:r w:rsidR="00F600A8" w:rsidRPr="00F600A8">
        <w:rPr>
          <w:rFonts w:ascii="Arial" w:hAnsi="Arial" w:cs="Arial"/>
        </w:rPr>
        <w:t xml:space="preserve"> Family Members</w:t>
      </w:r>
    </w:p>
    <w:p w:rsidR="00F600A8" w:rsidRPr="008C09FE" w:rsidRDefault="00F600A8" w:rsidP="00F600A8">
      <w:pPr>
        <w:ind w:left="720" w:hanging="720"/>
        <w:rPr>
          <w:rFonts w:ascii="Arial" w:hAnsi="Arial" w:cs="Arial"/>
        </w:rPr>
      </w:pPr>
    </w:p>
    <w:p w:rsidR="00CA7CBB" w:rsidRPr="008C09FE" w:rsidRDefault="00CA7CBB" w:rsidP="00CA7CBB">
      <w:pPr>
        <w:pStyle w:val="BodyText"/>
      </w:pPr>
      <w:r w:rsidRPr="008C09FE">
        <w:t>To:</w:t>
      </w:r>
      <w:r w:rsidRPr="008C09FE">
        <w:tab/>
      </w:r>
      <w:r w:rsidR="00F1747B" w:rsidRPr="008C09FE">
        <w:t>Director, Regulations Management (0</w:t>
      </w:r>
      <w:r w:rsidR="00E255C3">
        <w:t>2</w:t>
      </w:r>
      <w:r w:rsidR="00F1747B" w:rsidRPr="008C09FE">
        <w:t>REG)</w:t>
      </w:r>
    </w:p>
    <w:p w:rsidR="00CA7CBB" w:rsidRPr="008C09FE" w:rsidRDefault="00CA7CBB" w:rsidP="00CA7CBB">
      <w:pPr>
        <w:pStyle w:val="BodyText"/>
      </w:pPr>
    </w:p>
    <w:p w:rsidR="00CA7CBB" w:rsidRPr="008C09FE" w:rsidRDefault="00CA7CBB" w:rsidP="00CA7CBB">
      <w:pPr>
        <w:tabs>
          <w:tab w:val="left" w:pos="720"/>
          <w:tab w:val="left" w:pos="4320"/>
        </w:tabs>
        <w:rPr>
          <w:rFonts w:ascii="Arial" w:hAnsi="Arial" w:cs="Arial"/>
        </w:rPr>
      </w:pPr>
      <w:r w:rsidRPr="008C09FE">
        <w:rPr>
          <w:rFonts w:ascii="Arial" w:hAnsi="Arial" w:cs="Arial"/>
        </w:rPr>
        <w:tab/>
      </w:r>
      <w:r w:rsidR="00F1747B" w:rsidRPr="008C09FE">
        <w:rPr>
          <w:rFonts w:ascii="Arial" w:hAnsi="Arial" w:cs="Arial"/>
        </w:rPr>
        <w:t xml:space="preserve">I have </w:t>
      </w:r>
      <w:r w:rsidRPr="008C09FE">
        <w:rPr>
          <w:rFonts w:ascii="Arial" w:hAnsi="Arial" w:cs="Arial"/>
        </w:rPr>
        <w:t>reviewed this rulemaking package and determined the following.</w:t>
      </w:r>
    </w:p>
    <w:p w:rsidR="00CA7CBB" w:rsidRPr="008C09FE" w:rsidRDefault="00CA7CBB" w:rsidP="00CA7CBB">
      <w:pPr>
        <w:tabs>
          <w:tab w:val="left" w:pos="720"/>
          <w:tab w:val="left" w:pos="4320"/>
        </w:tabs>
        <w:rPr>
          <w:rFonts w:ascii="Arial" w:hAnsi="Arial" w:cs="Arial"/>
        </w:rPr>
      </w:pPr>
    </w:p>
    <w:p w:rsidR="00CA7CBB" w:rsidRPr="008C09FE" w:rsidRDefault="00CA7CBB" w:rsidP="00CA7CBB">
      <w:pPr>
        <w:pStyle w:val="BodyText"/>
        <w:rPr>
          <w:bCs/>
        </w:rPr>
      </w:pPr>
      <w:r w:rsidRPr="008C09FE">
        <w:t xml:space="preserve">1.  This rulemaking will not have an </w:t>
      </w:r>
      <w:r w:rsidRPr="008C09FE">
        <w:rPr>
          <w:bCs/>
        </w:rPr>
        <w:t xml:space="preserve">annual effect on the economy of $100 million or more, as set forth in </w:t>
      </w:r>
      <w:r w:rsidRPr="008C09FE">
        <w:t xml:space="preserve">Executive Order 12866. </w:t>
      </w:r>
      <w:r w:rsidRPr="008C09FE">
        <w:rPr>
          <w:bCs/>
        </w:rPr>
        <w:t> </w:t>
      </w:r>
    </w:p>
    <w:p w:rsidR="00CA7CBB" w:rsidRPr="008C09FE" w:rsidRDefault="00CA7CBB" w:rsidP="00CA7CBB">
      <w:pPr>
        <w:tabs>
          <w:tab w:val="left" w:pos="720"/>
          <w:tab w:val="left" w:pos="4320"/>
        </w:tabs>
        <w:rPr>
          <w:rFonts w:ascii="Arial" w:hAnsi="Arial" w:cs="Arial"/>
        </w:rPr>
      </w:pPr>
    </w:p>
    <w:p w:rsidR="00CA7CBB" w:rsidRPr="008C09FE" w:rsidRDefault="00CA7CBB" w:rsidP="00CA7CBB">
      <w:pPr>
        <w:pStyle w:val="BodyText"/>
      </w:pPr>
      <w:r w:rsidRPr="008C09FE">
        <w:t xml:space="preserve">2.  This rulemaking will not have a significant economic impact on a substantial number of small entities under the Regulatory Flexibility Act, 5 U.S.C. 601-612.   </w:t>
      </w:r>
    </w:p>
    <w:p w:rsidR="00CA7CBB" w:rsidRPr="008C09FE" w:rsidRDefault="00CA7CBB" w:rsidP="00CA7CBB">
      <w:pPr>
        <w:pStyle w:val="BodyText"/>
      </w:pPr>
    </w:p>
    <w:p w:rsidR="00CA7CBB" w:rsidRPr="008C09FE" w:rsidRDefault="00CA7CBB" w:rsidP="00CA7CBB">
      <w:pPr>
        <w:rPr>
          <w:rFonts w:ascii="Arial" w:hAnsi="Arial" w:cs="Arial"/>
        </w:rPr>
      </w:pPr>
      <w:r w:rsidRPr="008C09FE">
        <w:rPr>
          <w:rFonts w:ascii="Arial" w:hAnsi="Arial" w:cs="Arial"/>
        </w:rPr>
        <w:t xml:space="preserve">3.  This rulemaking will not result in the expenditure of $100 million or more by State, local, and tribal governments, in the aggregate, or by the private sector, under the Unfunded Mandates Reform Act of 1995, 2 U.S.C. 1532. </w:t>
      </w:r>
    </w:p>
    <w:p w:rsidR="00016BFC" w:rsidRPr="008C09FE" w:rsidRDefault="00016BFC" w:rsidP="00CA7CBB">
      <w:pPr>
        <w:pStyle w:val="BodyText"/>
      </w:pPr>
    </w:p>
    <w:p w:rsidR="009F5CA5" w:rsidRPr="008C09FE" w:rsidRDefault="009F5CA5" w:rsidP="00CA7CBB">
      <w:pPr>
        <w:pStyle w:val="BodyText"/>
      </w:pPr>
      <w:r w:rsidRPr="008C09FE">
        <w:t xml:space="preserve">4.  Attached please find the relevant cost impact documents. </w:t>
      </w:r>
    </w:p>
    <w:p w:rsidR="00DD2253" w:rsidRPr="008C09FE" w:rsidRDefault="00DD2253" w:rsidP="00CA7CBB">
      <w:pPr>
        <w:pStyle w:val="BodyText"/>
      </w:pPr>
    </w:p>
    <w:p w:rsidR="00016BFC" w:rsidRPr="00223074" w:rsidRDefault="00CA7CBB" w:rsidP="00CA7CBB">
      <w:pPr>
        <w:pStyle w:val="BodyText"/>
      </w:pPr>
      <w:r w:rsidRPr="008C09FE">
        <w:rPr>
          <w:b/>
        </w:rPr>
        <w:t>(</w:t>
      </w:r>
      <w:r w:rsidR="00DD2253" w:rsidRPr="008C09FE">
        <w:rPr>
          <w:b/>
        </w:rPr>
        <w:t>Attachment 1</w:t>
      </w:r>
      <w:r w:rsidRPr="008C09FE">
        <w:rPr>
          <w:b/>
        </w:rPr>
        <w:t>)</w:t>
      </w:r>
      <w:r w:rsidR="00DD2253" w:rsidRPr="008C09FE">
        <w:rPr>
          <w:b/>
        </w:rPr>
        <w:t>:</w:t>
      </w:r>
      <w:r w:rsidR="00421AE6">
        <w:t xml:space="preserve">  </w:t>
      </w:r>
      <w:r w:rsidR="008C09FE" w:rsidRPr="008C09FE">
        <w:t>Agenc</w:t>
      </w:r>
      <w:r w:rsidR="00223074">
        <w:t xml:space="preserve">y’s </w:t>
      </w:r>
      <w:r w:rsidR="008C09FE" w:rsidRPr="008C09FE">
        <w:t xml:space="preserve">Impact Analysis, dated </w:t>
      </w:r>
      <w:r w:rsidR="00D32F8C">
        <w:t>May 29, 2013</w:t>
      </w:r>
    </w:p>
    <w:p w:rsidR="00DD2253" w:rsidRDefault="00CA7CBB" w:rsidP="00CA7CBB">
      <w:pPr>
        <w:pStyle w:val="BodyText"/>
        <w:rPr>
          <w:b/>
          <w:color w:val="FF0000"/>
        </w:rPr>
      </w:pPr>
      <w:r w:rsidRPr="008C09FE">
        <w:rPr>
          <w:b/>
        </w:rPr>
        <w:t>(</w:t>
      </w:r>
      <w:r w:rsidR="00DD2253" w:rsidRPr="008C09FE">
        <w:rPr>
          <w:b/>
        </w:rPr>
        <w:t>Attachment 2</w:t>
      </w:r>
      <w:r w:rsidRPr="008C09FE">
        <w:rPr>
          <w:b/>
        </w:rPr>
        <w:t>)</w:t>
      </w:r>
      <w:r w:rsidR="00DD2253" w:rsidRPr="008C09FE">
        <w:rPr>
          <w:b/>
        </w:rPr>
        <w:t>:</w:t>
      </w:r>
      <w:r w:rsidR="00DD2253" w:rsidRPr="008C09FE">
        <w:rPr>
          <w:b/>
          <w:color w:val="FF0000"/>
        </w:rPr>
        <w:t xml:space="preserve"> </w:t>
      </w:r>
      <w:r w:rsidR="008C09FE">
        <w:rPr>
          <w:b/>
          <w:color w:val="FF0000"/>
        </w:rPr>
        <w:t xml:space="preserve"> </w:t>
      </w:r>
      <w:r w:rsidR="008C09FE" w:rsidRPr="008C09FE">
        <w:t xml:space="preserve">CFO Concurrence memo, dated </w:t>
      </w:r>
      <w:r w:rsidR="00D32F8C">
        <w:t>June 3, 2013</w:t>
      </w:r>
    </w:p>
    <w:p w:rsidR="008C09FE" w:rsidRPr="008C09FE" w:rsidRDefault="008C09FE" w:rsidP="00CA7CBB">
      <w:pPr>
        <w:pStyle w:val="BodyText"/>
      </w:pPr>
    </w:p>
    <w:p w:rsidR="00DD2253" w:rsidRPr="008C09FE" w:rsidRDefault="00DD2253" w:rsidP="00CA7CBB">
      <w:pPr>
        <w:ind w:right="-720"/>
        <w:rPr>
          <w:rFonts w:ascii="Arial" w:hAnsi="Arial" w:cs="Arial"/>
        </w:rPr>
      </w:pPr>
      <w:r w:rsidRPr="008C09FE">
        <w:rPr>
          <w:rFonts w:ascii="Arial" w:hAnsi="Arial" w:cs="Arial"/>
          <w:b/>
        </w:rPr>
        <w:t>Approved by:</w:t>
      </w:r>
    </w:p>
    <w:p w:rsidR="00DD2253" w:rsidRPr="008C09FE" w:rsidRDefault="00DD2253" w:rsidP="00CA7CBB">
      <w:pPr>
        <w:ind w:right="-720"/>
        <w:rPr>
          <w:rFonts w:ascii="Arial" w:hAnsi="Arial" w:cs="Arial"/>
          <w:b/>
        </w:rPr>
      </w:pPr>
      <w:smartTag w:uri="urn:schemas-microsoft-com:office:smarttags" w:element="place">
        <w:smartTag w:uri="urn:schemas-microsoft-com:office:smarttags" w:element="PlaceName">
          <w:r w:rsidRPr="008C09FE">
            <w:rPr>
              <w:rFonts w:ascii="Arial" w:hAnsi="Arial" w:cs="Arial"/>
            </w:rPr>
            <w:t>Michael</w:t>
          </w:r>
        </w:smartTag>
        <w:r w:rsidRPr="008C09FE">
          <w:rPr>
            <w:rFonts w:ascii="Arial" w:hAnsi="Arial" w:cs="Arial"/>
          </w:rPr>
          <w:t xml:space="preserve"> </w:t>
        </w:r>
        <w:smartTag w:uri="urn:schemas-microsoft-com:office:smarttags" w:element="PlaceName">
          <w:r w:rsidRPr="008C09FE">
            <w:rPr>
              <w:rFonts w:ascii="Arial" w:hAnsi="Arial" w:cs="Arial"/>
            </w:rPr>
            <w:t>P.</w:t>
          </w:r>
        </w:smartTag>
        <w:r w:rsidRPr="008C09FE">
          <w:rPr>
            <w:rFonts w:ascii="Arial" w:hAnsi="Arial" w:cs="Arial"/>
          </w:rPr>
          <w:t xml:space="preserve"> </w:t>
        </w:r>
        <w:smartTag w:uri="urn:schemas-microsoft-com:office:smarttags" w:element="PlaceType">
          <w:r w:rsidRPr="008C09FE">
            <w:rPr>
              <w:rFonts w:ascii="Arial" w:hAnsi="Arial" w:cs="Arial"/>
            </w:rPr>
            <w:t>Shores</w:t>
          </w:r>
        </w:smartTag>
      </w:smartTag>
      <w:r w:rsidRPr="008C09FE">
        <w:rPr>
          <w:rFonts w:ascii="Arial" w:hAnsi="Arial" w:cs="Arial"/>
        </w:rPr>
        <w:t xml:space="preserve"> (0</w:t>
      </w:r>
      <w:r w:rsidR="00E255C3">
        <w:rPr>
          <w:rFonts w:ascii="Arial" w:hAnsi="Arial" w:cs="Arial"/>
        </w:rPr>
        <w:t>2</w:t>
      </w:r>
      <w:r w:rsidRPr="008C09FE">
        <w:rPr>
          <w:rFonts w:ascii="Arial" w:hAnsi="Arial" w:cs="Arial"/>
        </w:rPr>
        <w:t>REG)</w:t>
      </w:r>
    </w:p>
    <w:p w:rsidR="00DD2253" w:rsidRPr="008C09FE" w:rsidRDefault="00DD2253" w:rsidP="00CA7CBB">
      <w:pPr>
        <w:ind w:right="-720"/>
        <w:rPr>
          <w:rFonts w:ascii="Arial" w:hAnsi="Arial" w:cs="Arial"/>
        </w:rPr>
      </w:pPr>
      <w:r w:rsidRPr="008C09FE">
        <w:rPr>
          <w:rFonts w:ascii="Arial" w:hAnsi="Arial" w:cs="Arial"/>
        </w:rPr>
        <w:t>Chief, Impact Analyst</w:t>
      </w:r>
    </w:p>
    <w:p w:rsidR="00DD2253" w:rsidRPr="008C09FE" w:rsidRDefault="00DD2253" w:rsidP="00CA7CBB">
      <w:pPr>
        <w:pStyle w:val="Heading1"/>
        <w:rPr>
          <w:b w:val="0"/>
          <w:bCs w:val="0"/>
        </w:rPr>
      </w:pPr>
      <w:r w:rsidRPr="008C09FE">
        <w:rPr>
          <w:b w:val="0"/>
          <w:bCs w:val="0"/>
        </w:rPr>
        <w:t>Regulation Policy &amp; Management</w:t>
      </w:r>
    </w:p>
    <w:p w:rsidR="00E255C3" w:rsidRDefault="00E255C3" w:rsidP="00CA7CBB">
      <w:pPr>
        <w:pStyle w:val="Heading1"/>
        <w:rPr>
          <w:b w:val="0"/>
          <w:bCs w:val="0"/>
        </w:rPr>
      </w:pPr>
      <w:r>
        <w:rPr>
          <w:b w:val="0"/>
          <w:bCs w:val="0"/>
        </w:rPr>
        <w:t>Office of the General Counsel</w:t>
      </w:r>
    </w:p>
    <w:p w:rsidR="00CA7CBB" w:rsidRPr="008C09FE" w:rsidRDefault="00CA7CBB" w:rsidP="00CA7CBB">
      <w:pPr>
        <w:rPr>
          <w:rFonts w:ascii="Arial" w:hAnsi="Arial" w:cs="Arial"/>
        </w:rPr>
      </w:pPr>
    </w:p>
    <w:p w:rsidR="00CA7CBB" w:rsidRPr="008C09FE" w:rsidRDefault="00CA7CBB" w:rsidP="00CA7CBB">
      <w:pPr>
        <w:rPr>
          <w:rFonts w:ascii="Arial" w:hAnsi="Arial" w:cs="Arial"/>
          <w:b/>
        </w:rPr>
      </w:pPr>
      <w:r w:rsidRPr="008C09FE">
        <w:rPr>
          <w:rFonts w:ascii="Arial" w:hAnsi="Arial" w:cs="Arial"/>
          <w:b/>
        </w:rPr>
        <w:t>Copy Furnished to:</w:t>
      </w:r>
    </w:p>
    <w:p w:rsidR="00D32F8C" w:rsidRPr="000A31FF" w:rsidRDefault="00D32F8C" w:rsidP="00D32F8C">
      <w:pPr>
        <w:ind w:right="-720"/>
        <w:rPr>
          <w:rFonts w:ascii="Arial" w:hAnsi="Arial" w:cs="Arial"/>
        </w:rPr>
      </w:pPr>
      <w:r w:rsidRPr="000A31FF">
        <w:rPr>
          <w:rFonts w:ascii="Arial" w:hAnsi="Arial" w:cs="Arial"/>
        </w:rPr>
        <w:t>Bill Walsh (041F)</w:t>
      </w:r>
    </w:p>
    <w:p w:rsidR="00D32F8C" w:rsidRPr="000A31FF" w:rsidRDefault="00D32F8C" w:rsidP="00D32F8C">
      <w:pPr>
        <w:ind w:right="-720"/>
        <w:rPr>
          <w:rFonts w:ascii="Arial" w:hAnsi="Arial" w:cs="Arial"/>
        </w:rPr>
      </w:pPr>
      <w:r w:rsidRPr="000A31FF">
        <w:rPr>
          <w:rFonts w:ascii="Arial" w:hAnsi="Arial" w:cs="Arial"/>
        </w:rPr>
        <w:t>Director, Medical Service</w:t>
      </w:r>
    </w:p>
    <w:p w:rsidR="00D32F8C" w:rsidRPr="000A31FF" w:rsidRDefault="00D32F8C" w:rsidP="00D32F8C">
      <w:pPr>
        <w:ind w:right="-720"/>
        <w:rPr>
          <w:rFonts w:ascii="Arial" w:hAnsi="Arial" w:cs="Arial"/>
        </w:rPr>
      </w:pPr>
      <w:r w:rsidRPr="000A31FF">
        <w:rPr>
          <w:rFonts w:ascii="Arial" w:hAnsi="Arial" w:cs="Arial"/>
        </w:rPr>
        <w:t xml:space="preserve">Office of the Budget </w:t>
      </w:r>
    </w:p>
    <w:p w:rsidR="00421AE6" w:rsidRDefault="00421AE6" w:rsidP="008C09FE">
      <w:pPr>
        <w:rPr>
          <w:rFonts w:ascii="Arial" w:hAnsi="Arial" w:cs="Arial"/>
        </w:rPr>
      </w:pPr>
    </w:p>
    <w:p w:rsidR="00421AE6" w:rsidRDefault="00421AE6" w:rsidP="008C09FE">
      <w:pPr>
        <w:rPr>
          <w:rFonts w:ascii="Arial" w:hAnsi="Arial" w:cs="Arial"/>
        </w:rPr>
      </w:pPr>
    </w:p>
    <w:p w:rsidR="00421AE6" w:rsidRDefault="00421AE6" w:rsidP="008C09FE">
      <w:pPr>
        <w:rPr>
          <w:rFonts w:ascii="Arial" w:hAnsi="Arial" w:cs="Arial"/>
        </w:rPr>
      </w:pPr>
    </w:p>
    <w:p w:rsidR="008E4ACD" w:rsidRDefault="008E4ACD" w:rsidP="008C09FE">
      <w:pPr>
        <w:rPr>
          <w:rFonts w:ascii="Arial" w:hAnsi="Arial" w:cs="Arial"/>
        </w:rPr>
      </w:pPr>
    </w:p>
    <w:p w:rsidR="00421AE6" w:rsidRDefault="00421AE6" w:rsidP="008C09FE">
      <w:pPr>
        <w:rPr>
          <w:rFonts w:ascii="Arial" w:hAnsi="Arial" w:cs="Arial"/>
        </w:rPr>
      </w:pPr>
    </w:p>
    <w:p w:rsidR="00C70993" w:rsidRPr="008C09FE" w:rsidRDefault="00C70993" w:rsidP="00C70993">
      <w:pPr>
        <w:jc w:val="center"/>
        <w:rPr>
          <w:rFonts w:ascii="Arial" w:hAnsi="Arial" w:cs="Arial"/>
          <w:b/>
        </w:rPr>
      </w:pPr>
      <w:r w:rsidRPr="008C09FE">
        <w:rPr>
          <w:rFonts w:ascii="Arial" w:hAnsi="Arial" w:cs="Arial"/>
          <w:b/>
        </w:rPr>
        <w:lastRenderedPageBreak/>
        <w:t>(Attachment 1)</w:t>
      </w:r>
    </w:p>
    <w:p w:rsidR="00421AE6" w:rsidRDefault="00421AE6" w:rsidP="00CA7CBB">
      <w:pPr>
        <w:rPr>
          <w:rFonts w:ascii="Arial" w:hAnsi="Arial" w:cs="Arial"/>
          <w:b/>
        </w:rPr>
      </w:pPr>
    </w:p>
    <w:p w:rsidR="00D32F8C" w:rsidRPr="005D1A82" w:rsidRDefault="00D32F8C" w:rsidP="00D32F8C">
      <w:pPr>
        <w:pStyle w:val="NoSpacing"/>
        <w:spacing w:line="480" w:lineRule="auto"/>
        <w:contextualSpacing/>
        <w:jc w:val="center"/>
        <w:rPr>
          <w:rFonts w:ascii="Arial" w:hAnsi="Arial" w:cs="Arial"/>
          <w:b/>
          <w:color w:val="000000" w:themeColor="text1"/>
        </w:rPr>
      </w:pPr>
      <w:r w:rsidRPr="005D1A82">
        <w:rPr>
          <w:rFonts w:ascii="Arial" w:hAnsi="Arial" w:cs="Arial"/>
          <w:b/>
          <w:color w:val="000000" w:themeColor="text1"/>
        </w:rPr>
        <w:t xml:space="preserve">Impact Analysis for </w:t>
      </w:r>
      <w:r>
        <w:rPr>
          <w:rFonts w:ascii="Arial" w:hAnsi="Arial" w:cs="Arial"/>
          <w:b/>
          <w:color w:val="000000" w:themeColor="text1"/>
        </w:rPr>
        <w:t>RIN 2900-AO79/WP2012-047</w:t>
      </w:r>
    </w:p>
    <w:p w:rsidR="00D32F8C" w:rsidRDefault="00D32F8C" w:rsidP="00D32F8C">
      <w:pPr>
        <w:rPr>
          <w:rFonts w:ascii="Arial" w:hAnsi="Arial" w:cs="Arial"/>
          <w:b/>
        </w:rPr>
      </w:pPr>
    </w:p>
    <w:p w:rsidR="00D32F8C" w:rsidRPr="007379F4" w:rsidRDefault="00D32F8C" w:rsidP="00D32F8C">
      <w:pPr>
        <w:rPr>
          <w:rFonts w:ascii="Arial" w:hAnsi="Arial" w:cs="Arial"/>
        </w:rPr>
      </w:pPr>
      <w:r w:rsidRPr="007E6C1E">
        <w:rPr>
          <w:rFonts w:ascii="Arial" w:hAnsi="Arial" w:cs="Arial"/>
          <w:b/>
        </w:rPr>
        <w:t>Title of Regulation:</w:t>
      </w:r>
      <w:r w:rsidRPr="007E6C1E">
        <w:rPr>
          <w:rFonts w:ascii="Arial" w:hAnsi="Arial" w:cs="Arial"/>
        </w:rPr>
        <w:t xml:space="preserve"> </w:t>
      </w:r>
      <w:r w:rsidR="00F600A8">
        <w:rPr>
          <w:rFonts w:ascii="Arial" w:hAnsi="Arial" w:cs="Arial"/>
        </w:rPr>
        <w:t xml:space="preserve">Reimbursement of </w:t>
      </w:r>
      <w:r w:rsidR="00F600A8" w:rsidRPr="00F600A8">
        <w:rPr>
          <w:rFonts w:ascii="Arial" w:hAnsi="Arial" w:cs="Arial"/>
        </w:rPr>
        <w:t xml:space="preserve">Certain Medical Expenses for Camp </w:t>
      </w:r>
      <w:proofErr w:type="spellStart"/>
      <w:r w:rsidR="00F600A8" w:rsidRPr="00F600A8">
        <w:rPr>
          <w:rFonts w:ascii="Arial" w:hAnsi="Arial" w:cs="Arial"/>
        </w:rPr>
        <w:t>Lej</w:t>
      </w:r>
      <w:r w:rsidR="00F600A8">
        <w:rPr>
          <w:rFonts w:ascii="Arial" w:hAnsi="Arial" w:cs="Arial"/>
        </w:rPr>
        <w:t>e</w:t>
      </w:r>
      <w:r w:rsidR="00F600A8" w:rsidRPr="00F600A8">
        <w:rPr>
          <w:rFonts w:ascii="Arial" w:hAnsi="Arial" w:cs="Arial"/>
        </w:rPr>
        <w:t>une</w:t>
      </w:r>
      <w:proofErr w:type="spellEnd"/>
      <w:r w:rsidR="00F600A8" w:rsidRPr="00F600A8">
        <w:rPr>
          <w:rFonts w:ascii="Arial" w:hAnsi="Arial" w:cs="Arial"/>
        </w:rPr>
        <w:t xml:space="preserve"> Family Members</w:t>
      </w:r>
      <w:r w:rsidR="00F600A8">
        <w:rPr>
          <w:rFonts w:ascii="Arial" w:hAnsi="Arial" w:cs="Arial"/>
        </w:rPr>
        <w:t>.</w:t>
      </w:r>
    </w:p>
    <w:p w:rsidR="00D32F8C" w:rsidRPr="00400A97" w:rsidRDefault="00D32F8C" w:rsidP="00D32F8C">
      <w:pPr>
        <w:pStyle w:val="NoSpacing"/>
        <w:contextualSpacing/>
        <w:rPr>
          <w:rFonts w:ascii="Arial" w:hAnsi="Arial" w:cs="Arial"/>
        </w:rPr>
      </w:pPr>
    </w:p>
    <w:p w:rsidR="00D32F8C" w:rsidRDefault="00D32F8C" w:rsidP="00D32F8C">
      <w:pPr>
        <w:rPr>
          <w:rFonts w:ascii="Arial" w:hAnsi="Arial" w:cs="Arial"/>
          <w:b/>
        </w:rPr>
      </w:pPr>
      <w:r w:rsidRPr="007E6C1E">
        <w:rPr>
          <w:rFonts w:ascii="Arial" w:hAnsi="Arial" w:cs="Arial"/>
          <w:b/>
        </w:rPr>
        <w:t xml:space="preserve">Purpose:  </w:t>
      </w:r>
      <w:r w:rsidRPr="00E56EF2">
        <w:rPr>
          <w:rFonts w:ascii="Arial" w:hAnsi="Arial" w:cs="Arial"/>
          <w:color w:val="000000" w:themeColor="text1"/>
        </w:rPr>
        <w:t xml:space="preserve">To </w:t>
      </w:r>
      <w:r>
        <w:rPr>
          <w:rFonts w:ascii="Arial" w:hAnsi="Arial" w:cs="Arial"/>
          <w:color w:val="000000" w:themeColor="text1"/>
        </w:rPr>
        <w:t xml:space="preserve">determine the economic impact of this rulemaking.  </w:t>
      </w:r>
    </w:p>
    <w:p w:rsidR="00D32F8C" w:rsidRPr="007E6C1E" w:rsidRDefault="00D32F8C" w:rsidP="00D32F8C">
      <w:pPr>
        <w:rPr>
          <w:rFonts w:ascii="Arial" w:hAnsi="Arial" w:cs="Arial"/>
          <w:b/>
        </w:rPr>
      </w:pPr>
      <w:r w:rsidRPr="007E6C1E">
        <w:rPr>
          <w:rFonts w:ascii="Arial" w:hAnsi="Arial" w:cs="Arial"/>
          <w:b/>
        </w:rPr>
        <w:t xml:space="preserve"> </w:t>
      </w:r>
    </w:p>
    <w:p w:rsidR="00D32F8C" w:rsidRPr="008F5501" w:rsidRDefault="00D32F8C" w:rsidP="00D32F8C">
      <w:pPr>
        <w:rPr>
          <w:rFonts w:ascii="Arial" w:hAnsi="Arial" w:cs="Arial"/>
        </w:rPr>
      </w:pPr>
      <w:r w:rsidRPr="00F065FF">
        <w:rPr>
          <w:rFonts w:ascii="Arial" w:hAnsi="Arial" w:cs="Arial"/>
          <w:b/>
        </w:rPr>
        <w:t xml:space="preserve">Background:  </w:t>
      </w:r>
      <w:r w:rsidRPr="00347AC3">
        <w:rPr>
          <w:rFonts w:ascii="Arial" w:hAnsi="Arial" w:cs="Arial"/>
        </w:rPr>
        <w:t xml:space="preserve">This </w:t>
      </w:r>
      <w:r>
        <w:rPr>
          <w:rFonts w:ascii="Arial" w:hAnsi="Arial" w:cs="Arial"/>
        </w:rPr>
        <w:t xml:space="preserve">rulemaking </w:t>
      </w:r>
      <w:r w:rsidRPr="00347AC3">
        <w:rPr>
          <w:rFonts w:ascii="Arial" w:hAnsi="Arial" w:cs="Arial"/>
        </w:rPr>
        <w:t>pro</w:t>
      </w:r>
      <w:r>
        <w:rPr>
          <w:rFonts w:ascii="Arial" w:hAnsi="Arial" w:cs="Arial"/>
        </w:rPr>
        <w:t>poses to implement</w:t>
      </w:r>
      <w:r w:rsidRPr="00347AC3">
        <w:rPr>
          <w:rFonts w:ascii="Arial" w:hAnsi="Arial" w:cs="Arial"/>
        </w:rPr>
        <w:t xml:space="preserve"> </w:t>
      </w:r>
      <w:r>
        <w:rPr>
          <w:rFonts w:ascii="Arial" w:hAnsi="Arial" w:cs="Arial"/>
        </w:rPr>
        <w:t xml:space="preserve">a statutory mandate that the </w:t>
      </w:r>
      <w:r w:rsidRPr="0067098C">
        <w:rPr>
          <w:rFonts w:ascii="Arial" w:hAnsi="Arial" w:cs="Arial"/>
        </w:rPr>
        <w:t>Department of Veterans Affairs (VA)</w:t>
      </w:r>
      <w:r>
        <w:rPr>
          <w:rFonts w:ascii="Arial" w:hAnsi="Arial" w:cs="Arial"/>
        </w:rPr>
        <w:t xml:space="preserve"> provide health care to certain family members who lived at Camp </w:t>
      </w:r>
      <w:proofErr w:type="spellStart"/>
      <w:r>
        <w:rPr>
          <w:rFonts w:ascii="Arial" w:hAnsi="Arial" w:cs="Arial"/>
        </w:rPr>
        <w:t>Lejeune</w:t>
      </w:r>
      <w:proofErr w:type="spellEnd"/>
      <w:r>
        <w:rPr>
          <w:rFonts w:ascii="Arial" w:hAnsi="Arial" w:cs="Arial"/>
        </w:rPr>
        <w:t>, North Carolina, for at least 30 days during the time period of January 1, 1957, to December 31, 1987</w:t>
      </w:r>
      <w:r w:rsidRPr="00347AC3">
        <w:rPr>
          <w:rFonts w:ascii="Arial" w:hAnsi="Arial" w:cs="Arial"/>
        </w:rPr>
        <w:t xml:space="preserve">.  </w:t>
      </w:r>
      <w:r>
        <w:rPr>
          <w:rFonts w:ascii="Arial" w:hAnsi="Arial" w:cs="Arial"/>
        </w:rPr>
        <w:t>The Public Law (</w:t>
      </w:r>
      <w:r w:rsidRPr="008F5501">
        <w:rPr>
          <w:rFonts w:ascii="Arial" w:hAnsi="Arial" w:cs="Arial"/>
        </w:rPr>
        <w:t>P.L.</w:t>
      </w:r>
      <w:r>
        <w:rPr>
          <w:rFonts w:ascii="Arial" w:hAnsi="Arial" w:cs="Arial"/>
        </w:rPr>
        <w:t>)</w:t>
      </w:r>
      <w:r w:rsidRPr="008F5501">
        <w:rPr>
          <w:rFonts w:ascii="Arial" w:hAnsi="Arial" w:cs="Arial"/>
        </w:rPr>
        <w:t xml:space="preserve"> 112-154 requires VA to provide health care to </w:t>
      </w:r>
      <w:r>
        <w:rPr>
          <w:rFonts w:ascii="Arial" w:hAnsi="Arial" w:cs="Arial"/>
        </w:rPr>
        <w:t>family members</w:t>
      </w:r>
      <w:r w:rsidRPr="008F5501">
        <w:rPr>
          <w:rFonts w:ascii="Arial" w:hAnsi="Arial" w:cs="Arial"/>
        </w:rPr>
        <w:t xml:space="preserve"> of Veterans who served on active duty in the Armed Forces at Camp </w:t>
      </w:r>
      <w:proofErr w:type="spellStart"/>
      <w:r w:rsidRPr="008F5501">
        <w:rPr>
          <w:rFonts w:ascii="Arial" w:hAnsi="Arial" w:cs="Arial"/>
        </w:rPr>
        <w:t>Lejeune</w:t>
      </w:r>
      <w:proofErr w:type="spellEnd"/>
      <w:r w:rsidRPr="008F5501">
        <w:rPr>
          <w:rFonts w:ascii="Arial" w:hAnsi="Arial" w:cs="Arial"/>
        </w:rPr>
        <w:t xml:space="preserve">, North Carolina and are eligible for care based on the statute.  VA must provide reimbursement for health care for the 15 </w:t>
      </w:r>
      <w:r>
        <w:rPr>
          <w:rFonts w:ascii="Arial" w:hAnsi="Arial" w:cs="Arial"/>
        </w:rPr>
        <w:t xml:space="preserve">medical conditions or </w:t>
      </w:r>
      <w:r w:rsidRPr="008F5501">
        <w:rPr>
          <w:rFonts w:ascii="Arial" w:hAnsi="Arial" w:cs="Arial"/>
        </w:rPr>
        <w:t xml:space="preserve">illnesses listed in the statute for eligible family members.  </w:t>
      </w:r>
    </w:p>
    <w:p w:rsidR="00D32F8C" w:rsidRDefault="00D32F8C" w:rsidP="00D32F8C">
      <w:pPr>
        <w:rPr>
          <w:rFonts w:ascii="Arial" w:hAnsi="Arial" w:cs="Arial"/>
        </w:rPr>
      </w:pPr>
    </w:p>
    <w:p w:rsidR="00D32F8C" w:rsidRDefault="00D32F8C" w:rsidP="00D32F8C">
      <w:pPr>
        <w:rPr>
          <w:rFonts w:ascii="Arial" w:hAnsi="Arial" w:cs="Arial"/>
        </w:rPr>
      </w:pPr>
      <w:r w:rsidRPr="008F5501">
        <w:rPr>
          <w:rFonts w:ascii="Arial" w:hAnsi="Arial" w:cs="Arial"/>
          <w:b/>
        </w:rPr>
        <w:t xml:space="preserve">Cost Benefit:  </w:t>
      </w:r>
      <w:r w:rsidRPr="00B41F4A">
        <w:rPr>
          <w:rFonts w:ascii="Arial" w:hAnsi="Arial" w:cs="Arial"/>
        </w:rPr>
        <w:t xml:space="preserve">The 15 medical conditions </w:t>
      </w:r>
      <w:r>
        <w:rPr>
          <w:rFonts w:ascii="Arial" w:hAnsi="Arial" w:cs="Arial"/>
        </w:rPr>
        <w:t xml:space="preserve">or illnesses </w:t>
      </w:r>
      <w:r w:rsidRPr="00B41F4A">
        <w:rPr>
          <w:rFonts w:ascii="Arial" w:hAnsi="Arial" w:cs="Arial"/>
        </w:rPr>
        <w:t xml:space="preserve">in the law represent serious and complex medical issues. This may result in a significant level of review, evaluation and manual processing. </w:t>
      </w:r>
      <w:r>
        <w:rPr>
          <w:rFonts w:ascii="Arial" w:hAnsi="Arial" w:cs="Arial"/>
        </w:rPr>
        <w:t xml:space="preserve"> </w:t>
      </w:r>
      <w:r w:rsidRPr="00B41F4A">
        <w:rPr>
          <w:rFonts w:ascii="Arial" w:hAnsi="Arial" w:cs="Arial"/>
        </w:rPr>
        <w:t>Determining family member administrative eligibility may be an intensive process i</w:t>
      </w:r>
      <w:r>
        <w:rPr>
          <w:rFonts w:ascii="Arial" w:hAnsi="Arial" w:cs="Arial"/>
        </w:rPr>
        <w:t>n some cases and may involve Department of Defense</w:t>
      </w:r>
      <w:r w:rsidRPr="00B41F4A">
        <w:rPr>
          <w:rFonts w:ascii="Arial" w:hAnsi="Arial" w:cs="Arial"/>
        </w:rPr>
        <w:t>, V</w:t>
      </w:r>
      <w:r>
        <w:rPr>
          <w:rFonts w:ascii="Arial" w:hAnsi="Arial" w:cs="Arial"/>
        </w:rPr>
        <w:t>eterans Benefits Administration (VBA)</w:t>
      </w:r>
      <w:r w:rsidRPr="00B41F4A">
        <w:rPr>
          <w:rFonts w:ascii="Arial" w:hAnsi="Arial" w:cs="Arial"/>
        </w:rPr>
        <w:t>, and</w:t>
      </w:r>
      <w:r>
        <w:rPr>
          <w:rFonts w:ascii="Arial" w:hAnsi="Arial" w:cs="Arial"/>
        </w:rPr>
        <w:t xml:space="preserve"> Veterans Health Administration (VHA)</w:t>
      </w:r>
      <w:r w:rsidRPr="00B41F4A">
        <w:rPr>
          <w:rFonts w:ascii="Arial" w:hAnsi="Arial" w:cs="Arial"/>
        </w:rPr>
        <w:t xml:space="preserve"> personnel. </w:t>
      </w:r>
      <w:r>
        <w:rPr>
          <w:rFonts w:ascii="Arial" w:hAnsi="Arial" w:cs="Arial"/>
        </w:rPr>
        <w:t xml:space="preserve">  As a result of the implementation of P. L. 112-154, VHA must bear the cost of determining this eligibility, serving as the last payer and processing the claims for medical care for the eligible family members.   This is a completely new function and cost for VHA.  </w:t>
      </w:r>
    </w:p>
    <w:p w:rsidR="00D32F8C" w:rsidRDefault="00D32F8C" w:rsidP="00D32F8C">
      <w:pPr>
        <w:rPr>
          <w:rFonts w:ascii="Arial" w:hAnsi="Arial" w:cs="Arial"/>
          <w:b/>
        </w:rPr>
      </w:pPr>
    </w:p>
    <w:p w:rsidR="00D32F8C" w:rsidRDefault="00D32F8C" w:rsidP="00D32F8C">
      <w:pPr>
        <w:rPr>
          <w:rFonts w:ascii="Arial" w:hAnsi="Arial" w:cs="Arial"/>
          <w:bCs/>
        </w:rPr>
      </w:pPr>
      <w:r w:rsidRPr="007E6C1E">
        <w:rPr>
          <w:rFonts w:ascii="Arial" w:hAnsi="Arial" w:cs="Arial"/>
          <w:b/>
        </w:rPr>
        <w:t>Methodology/Assumptions:</w:t>
      </w:r>
      <w:r w:rsidRPr="007E6C1E">
        <w:rPr>
          <w:rFonts w:ascii="Arial" w:hAnsi="Arial" w:cs="Arial"/>
        </w:rPr>
        <w:t xml:space="preserve">  </w:t>
      </w:r>
      <w:r w:rsidRPr="006953B6">
        <w:rPr>
          <w:rFonts w:ascii="Arial" w:hAnsi="Arial" w:cs="Arial"/>
          <w:bCs/>
        </w:rPr>
        <w:t xml:space="preserve">Estimated costs and projections are based on the best reasonably obtainable and available economic information.  </w:t>
      </w:r>
      <w:r w:rsidRPr="006953B6">
        <w:rPr>
          <w:rFonts w:ascii="Arial" w:hAnsi="Arial" w:cs="Arial"/>
        </w:rPr>
        <w:t xml:space="preserve">This analysis sets forth </w:t>
      </w:r>
      <w:r w:rsidRPr="006953B6">
        <w:rPr>
          <w:rFonts w:ascii="Arial" w:hAnsi="Arial" w:cs="Arial"/>
          <w:bCs/>
        </w:rPr>
        <w:t xml:space="preserve">the basic assumptions, methods, and data underlying the analysis and discusses the uncertainties associated with the estimates. </w:t>
      </w:r>
    </w:p>
    <w:p w:rsidR="00D32F8C" w:rsidRDefault="00D32F8C" w:rsidP="00D32F8C">
      <w:pPr>
        <w:rPr>
          <w:rFonts w:ascii="Arial" w:hAnsi="Arial" w:cs="Arial"/>
          <w:bCs/>
        </w:rPr>
      </w:pPr>
    </w:p>
    <w:p w:rsidR="00D32F8C" w:rsidRPr="00A36ED2" w:rsidRDefault="00D32F8C" w:rsidP="00D32F8C">
      <w:pPr>
        <w:pStyle w:val="ListParagraph"/>
        <w:numPr>
          <w:ilvl w:val="3"/>
          <w:numId w:val="6"/>
        </w:numPr>
        <w:autoSpaceDE w:val="0"/>
        <w:autoSpaceDN w:val="0"/>
        <w:adjustRightInd w:val="0"/>
        <w:ind w:left="360"/>
        <w:rPr>
          <w:rFonts w:cs="Arial"/>
          <w:bCs/>
          <w:color w:val="000000"/>
        </w:rPr>
      </w:pPr>
      <w:r w:rsidRPr="00A36ED2">
        <w:rPr>
          <w:rFonts w:cs="Arial"/>
        </w:rPr>
        <w:t xml:space="preserve">Administrative eligibility: </w:t>
      </w:r>
      <w:r w:rsidRPr="00A36ED2">
        <w:rPr>
          <w:rFonts w:cs="Arial"/>
          <w:bCs/>
          <w:color w:val="000000"/>
        </w:rPr>
        <w:t>A family member (FM) applicant may be administratively eligible by meeting all of these requirements—</w:t>
      </w:r>
    </w:p>
    <w:p w:rsidR="00D32F8C" w:rsidRPr="00A36ED2" w:rsidRDefault="00D32F8C" w:rsidP="00D32F8C">
      <w:pPr>
        <w:pStyle w:val="ListParagraph"/>
        <w:numPr>
          <w:ilvl w:val="1"/>
          <w:numId w:val="6"/>
        </w:numPr>
        <w:autoSpaceDE w:val="0"/>
        <w:autoSpaceDN w:val="0"/>
        <w:adjustRightInd w:val="0"/>
        <w:spacing w:after="0" w:line="240" w:lineRule="auto"/>
        <w:ind w:left="1080"/>
        <w:rPr>
          <w:rFonts w:cs="Arial"/>
          <w:bCs/>
          <w:color w:val="000000"/>
          <w:szCs w:val="24"/>
        </w:rPr>
      </w:pPr>
      <w:r w:rsidRPr="00A36ED2">
        <w:rPr>
          <w:rFonts w:cs="Arial"/>
          <w:bCs/>
          <w:color w:val="000000"/>
          <w:szCs w:val="24"/>
        </w:rPr>
        <w:t>The Veteran who was the active duty sponsor of the FM was stationed at CL for 30 days or more between January 1, 1957 and December 31, 1987</w:t>
      </w:r>
    </w:p>
    <w:p w:rsidR="00D32F8C" w:rsidRPr="00A36ED2" w:rsidRDefault="00D32F8C" w:rsidP="00D32F8C">
      <w:pPr>
        <w:pStyle w:val="ListParagraph"/>
        <w:numPr>
          <w:ilvl w:val="1"/>
          <w:numId w:val="6"/>
        </w:numPr>
        <w:autoSpaceDE w:val="0"/>
        <w:autoSpaceDN w:val="0"/>
        <w:adjustRightInd w:val="0"/>
        <w:spacing w:after="0" w:line="240" w:lineRule="auto"/>
        <w:ind w:left="1080"/>
        <w:rPr>
          <w:rFonts w:cs="Arial"/>
          <w:bCs/>
          <w:color w:val="000000"/>
          <w:szCs w:val="24"/>
        </w:rPr>
      </w:pPr>
      <w:r w:rsidRPr="00A36ED2">
        <w:rPr>
          <w:rFonts w:cs="Arial"/>
          <w:bCs/>
          <w:color w:val="000000"/>
          <w:szCs w:val="24"/>
        </w:rPr>
        <w:t>The applicant is a FM as defined for this program</w:t>
      </w:r>
    </w:p>
    <w:p w:rsidR="00D32F8C" w:rsidRPr="00A36ED2" w:rsidRDefault="00D32F8C" w:rsidP="00D32F8C">
      <w:pPr>
        <w:pStyle w:val="ListParagraph"/>
        <w:numPr>
          <w:ilvl w:val="1"/>
          <w:numId w:val="6"/>
        </w:numPr>
        <w:autoSpaceDE w:val="0"/>
        <w:autoSpaceDN w:val="0"/>
        <w:adjustRightInd w:val="0"/>
        <w:spacing w:after="0" w:line="240" w:lineRule="auto"/>
        <w:ind w:left="1080"/>
        <w:rPr>
          <w:rFonts w:cs="Arial"/>
          <w:bCs/>
          <w:color w:val="000000"/>
          <w:szCs w:val="24"/>
        </w:rPr>
      </w:pPr>
      <w:r w:rsidRPr="00A36ED2">
        <w:rPr>
          <w:rFonts w:cs="Arial"/>
          <w:bCs/>
          <w:color w:val="000000"/>
          <w:szCs w:val="24"/>
        </w:rPr>
        <w:t>The FM lived on CL for 30 days or more between January 1, 1957 and December 31, 1987</w:t>
      </w:r>
    </w:p>
    <w:p w:rsidR="00D32F8C" w:rsidRPr="00A36ED2" w:rsidRDefault="00D32F8C" w:rsidP="00D32F8C">
      <w:pPr>
        <w:rPr>
          <w:rFonts w:ascii="Arial" w:hAnsi="Arial" w:cs="Arial"/>
        </w:rPr>
      </w:pPr>
    </w:p>
    <w:p w:rsidR="00D32F8C" w:rsidRDefault="00D32F8C" w:rsidP="00D32F8C">
      <w:pPr>
        <w:pStyle w:val="ListParagraph"/>
        <w:numPr>
          <w:ilvl w:val="3"/>
          <w:numId w:val="6"/>
        </w:numPr>
        <w:ind w:left="360"/>
        <w:rPr>
          <w:rFonts w:cs="Arial"/>
        </w:rPr>
      </w:pPr>
      <w:r w:rsidRPr="00A36ED2">
        <w:rPr>
          <w:rFonts w:cs="Arial"/>
        </w:rPr>
        <w:t>Clinical eligibility: Administratively eligible FMs who have one of more of the 15 medical conditions or illnesses.</w:t>
      </w:r>
    </w:p>
    <w:p w:rsidR="00D32F8C" w:rsidRPr="009578EE" w:rsidRDefault="00D32F8C" w:rsidP="00D32F8C">
      <w:pPr>
        <w:pStyle w:val="NoSpacing"/>
        <w:numPr>
          <w:ilvl w:val="0"/>
          <w:numId w:val="7"/>
        </w:numPr>
        <w:rPr>
          <w:rFonts w:ascii="Arial" w:hAnsi="Arial" w:cs="Arial"/>
        </w:rPr>
      </w:pPr>
      <w:r w:rsidRPr="009578EE">
        <w:rPr>
          <w:rFonts w:ascii="Arial" w:hAnsi="Arial" w:cs="Arial"/>
        </w:rPr>
        <w:t>Population information: The US Marine Corps’ conservative estimate of those family members exposed is as many as 150,000, including as many as 60,000 spouses, 60,000 children and 30,000 births.  Dr. Wendi J. Dick, MD, MSPH, Director, Environmental Health Program (Pre-9/11 Era)</w:t>
      </w:r>
      <w:r>
        <w:rPr>
          <w:rFonts w:ascii="Arial" w:hAnsi="Arial" w:cs="Arial"/>
        </w:rPr>
        <w:t xml:space="preserve"> Office of Public Health</w:t>
      </w:r>
      <w:r w:rsidRPr="009578EE">
        <w:rPr>
          <w:rFonts w:ascii="Arial" w:hAnsi="Arial" w:cs="Arial"/>
        </w:rPr>
        <w:t xml:space="preserve">, Veterans </w:t>
      </w:r>
      <w:r w:rsidRPr="009578EE">
        <w:rPr>
          <w:rFonts w:ascii="Arial" w:hAnsi="Arial" w:cs="Arial"/>
        </w:rPr>
        <w:lastRenderedPageBreak/>
        <w:t>Affairs, estimated the expected burden of disease among exposed family members secondary to the 15 medical conditions listed in the law to be 12,000 to 25,000 family members with one or more CL conditions/illnesses.  A second independent estimate from the Epidemiology Program staff used a different methodology and derived an estimate within the range projected by Dr. Dick.  The Epidemiology Program estimate is 16,303 total.</w:t>
      </w:r>
    </w:p>
    <w:p w:rsidR="00D32F8C" w:rsidRPr="009578EE" w:rsidRDefault="00D32F8C" w:rsidP="00D32F8C">
      <w:pPr>
        <w:pStyle w:val="NoSpacing"/>
        <w:ind w:left="360"/>
        <w:rPr>
          <w:rFonts w:ascii="Arial" w:hAnsi="Arial" w:cs="Arial"/>
        </w:rPr>
      </w:pPr>
    </w:p>
    <w:p w:rsidR="00D32F8C" w:rsidRPr="009578EE" w:rsidRDefault="00D32F8C" w:rsidP="00D32F8C">
      <w:pPr>
        <w:pStyle w:val="NoSpacing"/>
        <w:ind w:left="360"/>
        <w:rPr>
          <w:rFonts w:ascii="Arial" w:hAnsi="Arial" w:cs="Arial"/>
        </w:rPr>
      </w:pPr>
      <w:r w:rsidRPr="009578EE">
        <w:rPr>
          <w:rFonts w:ascii="Arial" w:hAnsi="Arial" w:cs="Arial"/>
        </w:rPr>
        <w:t>Dr. Dick’s estimates were based on prevalence data for CL-associated cancers.  Based on the assumption that 91% of the family members are still living, and that 6% of them who are 50 or older have a CL-associated cancer (including active &amp; in remission).  For offspring, the average of 1% for all adults combined and 6% for adults 50 or older = 3.5% was used.  Dr. Dick had estimated the mortality rate.  Subsequently, the C</w:t>
      </w:r>
      <w:r>
        <w:rPr>
          <w:rFonts w:ascii="Arial" w:hAnsi="Arial" w:cs="Arial"/>
        </w:rPr>
        <w:t xml:space="preserve">hief Business Office </w:t>
      </w:r>
      <w:r w:rsidRPr="009578EE">
        <w:rPr>
          <w:rFonts w:ascii="Arial" w:hAnsi="Arial" w:cs="Arial"/>
        </w:rPr>
        <w:t>P</w:t>
      </w:r>
      <w:r>
        <w:rPr>
          <w:rFonts w:ascii="Arial" w:hAnsi="Arial" w:cs="Arial"/>
        </w:rPr>
        <w:t xml:space="preserve">urchased </w:t>
      </w:r>
      <w:r w:rsidRPr="009578EE">
        <w:rPr>
          <w:rFonts w:ascii="Arial" w:hAnsi="Arial" w:cs="Arial"/>
        </w:rPr>
        <w:t>C</w:t>
      </w:r>
      <w:r>
        <w:rPr>
          <w:rFonts w:ascii="Arial" w:hAnsi="Arial" w:cs="Arial"/>
        </w:rPr>
        <w:t>are (CBOPC)</w:t>
      </w:r>
      <w:r w:rsidRPr="009578EE">
        <w:rPr>
          <w:rFonts w:ascii="Arial" w:hAnsi="Arial" w:cs="Arial"/>
        </w:rPr>
        <w:t xml:space="preserve"> Informatics group created a rough distribution of the family members and applied standard CDC mortality rates for the group based on assumptions of their age at the time they were at Camp </w:t>
      </w:r>
      <w:proofErr w:type="spellStart"/>
      <w:r w:rsidRPr="009578EE">
        <w:rPr>
          <w:rFonts w:ascii="Arial" w:hAnsi="Arial" w:cs="Arial"/>
        </w:rPr>
        <w:t>Lejeune</w:t>
      </w:r>
      <w:proofErr w:type="spellEnd"/>
      <w:r w:rsidRPr="009578EE">
        <w:rPr>
          <w:rFonts w:ascii="Arial" w:hAnsi="Arial" w:cs="Arial"/>
        </w:rPr>
        <w:t xml:space="preserve">.  The conclusion was that about 17% of the </w:t>
      </w:r>
      <w:r>
        <w:rPr>
          <w:rFonts w:ascii="Arial" w:hAnsi="Arial" w:cs="Arial"/>
        </w:rPr>
        <w:t>150,000 are</w:t>
      </w:r>
      <w:r w:rsidRPr="009578EE">
        <w:rPr>
          <w:rFonts w:ascii="Arial" w:hAnsi="Arial" w:cs="Arial"/>
        </w:rPr>
        <w:t xml:space="preserve"> deceased, resulting in a remaining population of </w:t>
      </w:r>
      <w:r>
        <w:rPr>
          <w:rFonts w:ascii="Arial" w:hAnsi="Arial" w:cs="Arial"/>
        </w:rPr>
        <w:t xml:space="preserve">approximately </w:t>
      </w:r>
      <w:r w:rsidRPr="009578EE">
        <w:rPr>
          <w:rFonts w:ascii="Arial" w:hAnsi="Arial" w:cs="Arial"/>
        </w:rPr>
        <w:t xml:space="preserve">125,000.  Since Dr. Dick’s estimate of living family members </w:t>
      </w:r>
      <w:r>
        <w:t>(</w:t>
      </w:r>
      <w:r w:rsidRPr="009578EE">
        <w:rPr>
          <w:rFonts w:ascii="Arial" w:hAnsi="Arial" w:cs="Arial"/>
        </w:rPr>
        <w:t>137,000) is a little higher, we used her estimate to be on the conservative side.</w:t>
      </w:r>
      <w:r>
        <w:rPr>
          <w:rFonts w:ascii="Arial" w:hAnsi="Arial" w:cs="Arial"/>
        </w:rPr>
        <w:t xml:space="preserve"> </w:t>
      </w:r>
      <w:r w:rsidRPr="005E3CD0">
        <w:rPr>
          <w:rFonts w:ascii="Arial" w:hAnsi="Arial" w:cs="Arial"/>
        </w:rPr>
        <w:t xml:space="preserve">Based on the prevalence figures for ALL cancers combined and that CL-associated cancers would make up roughly 50% of all cancers combined, Dr. Dick anticipated approximately 25,000 family members would have at least one condition and approximately 12,000 would have at least two of conditions. </w:t>
      </w:r>
      <w:r>
        <w:rPr>
          <w:rFonts w:ascii="Arial" w:hAnsi="Arial" w:cs="Arial"/>
        </w:rPr>
        <w:t>For this analysis, VA will use 12,000 family members.</w:t>
      </w:r>
    </w:p>
    <w:p w:rsidR="00D32F8C" w:rsidRPr="009578EE" w:rsidRDefault="00D32F8C" w:rsidP="00D32F8C">
      <w:pPr>
        <w:pStyle w:val="NoSpacing"/>
        <w:ind w:left="360"/>
        <w:rPr>
          <w:rFonts w:ascii="Arial" w:hAnsi="Arial" w:cs="Arial"/>
        </w:rPr>
      </w:pPr>
    </w:p>
    <w:p w:rsidR="00D32F8C" w:rsidRPr="009578EE" w:rsidRDefault="00D32F8C" w:rsidP="00D32F8C">
      <w:pPr>
        <w:pStyle w:val="NoSpacing"/>
        <w:ind w:left="360"/>
        <w:rPr>
          <w:rFonts w:ascii="Arial" w:hAnsi="Arial" w:cs="Arial"/>
        </w:rPr>
      </w:pPr>
      <w:r w:rsidRPr="009578EE">
        <w:rPr>
          <w:rFonts w:ascii="Arial" w:hAnsi="Arial" w:cs="Arial"/>
        </w:rPr>
        <w:t xml:space="preserve">As of April 1, 2013, there were 393 family members listed in the Camp </w:t>
      </w:r>
      <w:proofErr w:type="spellStart"/>
      <w:r w:rsidRPr="009578EE">
        <w:rPr>
          <w:rFonts w:ascii="Arial" w:hAnsi="Arial" w:cs="Arial"/>
        </w:rPr>
        <w:t>Lejeune</w:t>
      </w:r>
      <w:proofErr w:type="spellEnd"/>
      <w:r w:rsidRPr="009578EE">
        <w:rPr>
          <w:rFonts w:ascii="Arial" w:hAnsi="Arial" w:cs="Arial"/>
        </w:rPr>
        <w:t xml:space="preserve"> Environmental Action Report (CLEAR) database.  Based on experience with the Caregiver, </w:t>
      </w:r>
      <w:proofErr w:type="spellStart"/>
      <w:r w:rsidRPr="009578EE">
        <w:rPr>
          <w:rFonts w:ascii="Arial" w:hAnsi="Arial" w:cs="Arial"/>
        </w:rPr>
        <w:t>Spina</w:t>
      </w:r>
      <w:proofErr w:type="spellEnd"/>
      <w:r w:rsidRPr="009578EE">
        <w:rPr>
          <w:rFonts w:ascii="Arial" w:hAnsi="Arial" w:cs="Arial"/>
        </w:rPr>
        <w:t xml:space="preserve"> Bifida and CHAMPVA Programs, CBOPC assumes that by October 1, 2013, the number of eligible family members will be approximately 600 and </w:t>
      </w:r>
      <w:r>
        <w:rPr>
          <w:rFonts w:ascii="Arial" w:hAnsi="Arial" w:cs="Arial"/>
        </w:rPr>
        <w:t xml:space="preserve">12,000 </w:t>
      </w:r>
      <w:r w:rsidRPr="009578EE">
        <w:rPr>
          <w:rFonts w:ascii="Arial" w:hAnsi="Arial" w:cs="Arial"/>
        </w:rPr>
        <w:t>there</w:t>
      </w:r>
      <w:r>
        <w:rPr>
          <w:rFonts w:ascii="Arial" w:hAnsi="Arial" w:cs="Arial"/>
        </w:rPr>
        <w:t xml:space="preserve">after at a rate of </w:t>
      </w:r>
      <w:r w:rsidRPr="009578EE">
        <w:rPr>
          <w:rFonts w:ascii="Arial" w:hAnsi="Arial" w:cs="Arial"/>
        </w:rPr>
        <w:t>250 family members per month for the next four fiscal years (FY14-17).</w:t>
      </w:r>
      <w:r w:rsidRPr="00660329">
        <w:rPr>
          <w:rFonts w:ascii="Arial" w:hAnsi="Arial" w:cs="Arial"/>
        </w:rPr>
        <w:t xml:space="preserve"> </w:t>
      </w:r>
    </w:p>
    <w:p w:rsidR="00D32F8C" w:rsidRDefault="00D32F8C" w:rsidP="00D32F8C">
      <w:pPr>
        <w:rPr>
          <w:rFonts w:ascii="Arial" w:hAnsi="Arial" w:cs="Arial"/>
          <w:b/>
        </w:rPr>
      </w:pPr>
    </w:p>
    <w:p w:rsidR="00D32F8C" w:rsidRDefault="00D32F8C" w:rsidP="00D32F8C">
      <w:pPr>
        <w:rPr>
          <w:rFonts w:ascii="Arial" w:hAnsi="Arial" w:cs="Arial"/>
          <w:color w:val="000000" w:themeColor="text1"/>
        </w:rPr>
      </w:pPr>
      <w:r>
        <w:rPr>
          <w:rFonts w:ascii="Arial" w:hAnsi="Arial" w:cs="Arial"/>
          <w:b/>
        </w:rPr>
        <w:t>FTE Costs</w:t>
      </w:r>
      <w:r w:rsidRPr="006358D0">
        <w:rPr>
          <w:rFonts w:ascii="Arial" w:hAnsi="Arial" w:cs="Arial"/>
          <w:b/>
        </w:rPr>
        <w:t xml:space="preserve"> for Providing C</w:t>
      </w:r>
      <w:r>
        <w:rPr>
          <w:rFonts w:ascii="Arial" w:hAnsi="Arial" w:cs="Arial"/>
          <w:b/>
        </w:rPr>
        <w:t>are</w:t>
      </w:r>
    </w:p>
    <w:p w:rsidR="00D32F8C" w:rsidRDefault="00D32F8C" w:rsidP="00D32F8C">
      <w:pPr>
        <w:rPr>
          <w:rFonts w:ascii="Arial" w:hAnsi="Arial" w:cs="Arial"/>
          <w:color w:val="000000" w:themeColor="text1"/>
        </w:rPr>
      </w:pPr>
    </w:p>
    <w:p w:rsidR="00D32F8C" w:rsidRDefault="00D32F8C" w:rsidP="00D32F8C">
      <w:pPr>
        <w:rPr>
          <w:rFonts w:ascii="Arial" w:hAnsi="Arial" w:cs="Arial"/>
          <w:color w:val="000000" w:themeColor="text1"/>
        </w:rPr>
      </w:pPr>
      <w:r>
        <w:rPr>
          <w:rFonts w:ascii="Arial" w:hAnsi="Arial" w:cs="Arial"/>
        </w:rPr>
        <w:t>Based on the Office of Public Health analysis, VA projects 12,600 eligible family members over the next five years, VA assumes approximately 600 family members</w:t>
      </w:r>
      <w:r w:rsidRPr="00A906B8">
        <w:rPr>
          <w:rFonts w:ascii="Arial" w:hAnsi="Arial" w:cs="Arial"/>
        </w:rPr>
        <w:t xml:space="preserve"> </w:t>
      </w:r>
      <w:r>
        <w:rPr>
          <w:rFonts w:ascii="Arial" w:hAnsi="Arial" w:cs="Arial"/>
        </w:rPr>
        <w:t>will submit a claim for care from March 26, 2013 through September 30</w:t>
      </w:r>
      <w:r w:rsidRPr="009F7E0A">
        <w:rPr>
          <w:rFonts w:ascii="Arial" w:hAnsi="Arial" w:cs="Arial"/>
        </w:rPr>
        <w:t>, 2013</w:t>
      </w:r>
      <w:r>
        <w:rPr>
          <w:rFonts w:ascii="Arial" w:hAnsi="Arial" w:cs="Arial"/>
        </w:rPr>
        <w:t xml:space="preserve">.  VA anticipates that the remaining 12,000 family members will submit claims throughout FYs 2014 and 2017, at a rate of 250 per month. </w:t>
      </w:r>
    </w:p>
    <w:p w:rsidR="00D32F8C" w:rsidRDefault="00D32F8C" w:rsidP="00D32F8C">
      <w:pPr>
        <w:rPr>
          <w:rFonts w:ascii="Arial" w:hAnsi="Arial" w:cs="Arial"/>
          <w:color w:val="000000" w:themeColor="text1"/>
        </w:rPr>
      </w:pPr>
    </w:p>
    <w:p w:rsidR="00D32F8C" w:rsidRDefault="00D32F8C" w:rsidP="00D32F8C">
      <w:pPr>
        <w:rPr>
          <w:rFonts w:ascii="Arial" w:hAnsi="Arial" w:cs="Arial"/>
        </w:rPr>
      </w:pPr>
      <w:r>
        <w:rPr>
          <w:rFonts w:ascii="Arial" w:hAnsi="Arial" w:cs="Arial"/>
          <w:color w:val="000000" w:themeColor="text1"/>
        </w:rPr>
        <w:t xml:space="preserve">VA will require </w:t>
      </w:r>
      <w:r>
        <w:rPr>
          <w:rFonts w:ascii="Arial" w:hAnsi="Arial" w:cs="Arial"/>
        </w:rPr>
        <w:t>2</w:t>
      </w:r>
      <w:r w:rsidRPr="00906AAF">
        <w:rPr>
          <w:rFonts w:ascii="Arial" w:hAnsi="Arial" w:cs="Arial"/>
        </w:rPr>
        <w:t xml:space="preserve"> </w:t>
      </w:r>
      <w:r w:rsidRPr="00B31967">
        <w:rPr>
          <w:rFonts w:ascii="Arial" w:hAnsi="Arial" w:cs="Arial"/>
        </w:rPr>
        <w:t xml:space="preserve">Disability and Medical Assessment (DMA) </w:t>
      </w:r>
      <w:r>
        <w:rPr>
          <w:rFonts w:ascii="Arial" w:hAnsi="Arial" w:cs="Arial"/>
        </w:rPr>
        <w:t xml:space="preserve">FTE projected </w:t>
      </w:r>
      <w:r>
        <w:rPr>
          <w:rFonts w:ascii="Arial" w:hAnsi="Arial" w:cs="Arial"/>
          <w:color w:val="000000" w:themeColor="text1"/>
        </w:rPr>
        <w:t>at a salary of approximately $194,030 in FY 2013 with benefits at 34% for $260,000 per person.</w:t>
      </w:r>
      <w:r>
        <w:rPr>
          <w:rFonts w:ascii="Arial" w:hAnsi="Arial" w:cs="Arial"/>
        </w:rPr>
        <w:t xml:space="preserve"> The DMA FTE represent </w:t>
      </w:r>
      <w:r>
        <w:rPr>
          <w:rFonts w:ascii="Arial" w:hAnsi="Arial" w:cs="Arial"/>
          <w:color w:val="000000" w:themeColor="text1"/>
        </w:rPr>
        <w:t>2 physicians with specialized training to</w:t>
      </w:r>
      <w:r>
        <w:rPr>
          <w:rFonts w:ascii="Arial" w:hAnsi="Arial" w:cs="Arial"/>
        </w:rPr>
        <w:t xml:space="preserve"> assist in complex and difficult eligibility determinations as well as difficult claim reviews – where a lay person cannot make a determination if one of the 15 covered medical conditions or illnesses was present. VA estimates the total cost to be</w:t>
      </w:r>
      <w:r>
        <w:rPr>
          <w:rFonts w:ascii="Arial" w:hAnsi="Arial" w:cs="Arial"/>
          <w:color w:val="000000" w:themeColor="text1"/>
        </w:rPr>
        <w:t xml:space="preserve"> </w:t>
      </w:r>
      <w:r>
        <w:rPr>
          <w:rFonts w:ascii="Arial" w:hAnsi="Arial" w:cs="Arial"/>
        </w:rPr>
        <w:t xml:space="preserve">$539,240 in FY 2014 and $2,903,240 over a five year period. A projected annual increase based on a 3.7% CPI-U inflation rate was applied to all out year cost estimates.  </w:t>
      </w:r>
    </w:p>
    <w:p w:rsidR="00D32F8C" w:rsidRDefault="00D32F8C" w:rsidP="00D32F8C">
      <w:pPr>
        <w:rPr>
          <w:rFonts w:ascii="Arial" w:hAnsi="Arial" w:cs="Arial"/>
        </w:rPr>
      </w:pPr>
    </w:p>
    <w:p w:rsidR="00D32F8C" w:rsidRDefault="00D32F8C" w:rsidP="00D32F8C">
      <w:pPr>
        <w:rPr>
          <w:rFonts w:ascii="Arial" w:hAnsi="Arial" w:cs="Arial"/>
        </w:rPr>
      </w:pPr>
    </w:p>
    <w:tbl>
      <w:tblPr>
        <w:tblW w:w="4420" w:type="dxa"/>
        <w:tblInd w:w="98" w:type="dxa"/>
        <w:tblLook w:val="04A0"/>
      </w:tblPr>
      <w:tblGrid>
        <w:gridCol w:w="1180"/>
        <w:gridCol w:w="1620"/>
        <w:gridCol w:w="1620"/>
      </w:tblGrid>
      <w:tr w:rsidR="00D32F8C" w:rsidRPr="00516B5B" w:rsidTr="00D56AEB">
        <w:trPr>
          <w:trHeight w:val="792"/>
        </w:trPr>
        <w:tc>
          <w:tcPr>
            <w:tcW w:w="1180" w:type="dxa"/>
            <w:tcBorders>
              <w:top w:val="single" w:sz="8" w:space="0" w:color="auto"/>
              <w:left w:val="single" w:sz="8" w:space="0" w:color="auto"/>
              <w:bottom w:val="single" w:sz="4" w:space="0" w:color="auto"/>
              <w:right w:val="single" w:sz="4" w:space="0" w:color="auto"/>
            </w:tcBorders>
            <w:shd w:val="clear" w:color="000000" w:fill="C5BE97"/>
            <w:vAlign w:val="bottom"/>
            <w:hideMark/>
          </w:tcPr>
          <w:p w:rsidR="00D32F8C" w:rsidRPr="00103162" w:rsidRDefault="00D32F8C" w:rsidP="00D56AEB">
            <w:pPr>
              <w:jc w:val="center"/>
              <w:rPr>
                <w:rFonts w:ascii="Arial" w:hAnsi="Arial" w:cs="Arial"/>
                <w:b/>
                <w:bCs/>
                <w:color w:val="000000"/>
                <w:sz w:val="20"/>
                <w:szCs w:val="20"/>
              </w:rPr>
            </w:pPr>
            <w:r w:rsidRPr="00103162">
              <w:rPr>
                <w:rFonts w:ascii="Arial" w:hAnsi="Arial" w:cs="Arial"/>
                <w:b/>
                <w:bCs/>
                <w:color w:val="000000"/>
                <w:sz w:val="20"/>
                <w:szCs w:val="20"/>
              </w:rPr>
              <w:lastRenderedPageBreak/>
              <w:t>Fiscal Year</w:t>
            </w:r>
          </w:p>
        </w:tc>
        <w:tc>
          <w:tcPr>
            <w:tcW w:w="1620" w:type="dxa"/>
            <w:tcBorders>
              <w:top w:val="single" w:sz="8" w:space="0" w:color="auto"/>
              <w:left w:val="nil"/>
              <w:bottom w:val="single" w:sz="4" w:space="0" w:color="auto"/>
              <w:right w:val="single" w:sz="4" w:space="0" w:color="auto"/>
            </w:tcBorders>
            <w:shd w:val="clear" w:color="000000" w:fill="C5BE97"/>
            <w:vAlign w:val="bottom"/>
            <w:hideMark/>
          </w:tcPr>
          <w:p w:rsidR="00D32F8C" w:rsidRPr="00103162" w:rsidRDefault="00D32F8C" w:rsidP="00D56AEB">
            <w:pPr>
              <w:jc w:val="center"/>
              <w:rPr>
                <w:rFonts w:ascii="Arial" w:hAnsi="Arial" w:cs="Arial"/>
                <w:b/>
                <w:bCs/>
                <w:color w:val="000000"/>
                <w:sz w:val="20"/>
                <w:szCs w:val="20"/>
              </w:rPr>
            </w:pPr>
            <w:r w:rsidRPr="00103162">
              <w:rPr>
                <w:rFonts w:ascii="Arial" w:hAnsi="Arial" w:cs="Arial"/>
                <w:b/>
                <w:bCs/>
                <w:color w:val="000000"/>
                <w:sz w:val="20"/>
                <w:szCs w:val="20"/>
              </w:rPr>
              <w:t>DMA FTE Costs Per Person</w:t>
            </w:r>
          </w:p>
        </w:tc>
        <w:tc>
          <w:tcPr>
            <w:tcW w:w="1620" w:type="dxa"/>
            <w:tcBorders>
              <w:top w:val="single" w:sz="8" w:space="0" w:color="auto"/>
              <w:left w:val="nil"/>
              <w:bottom w:val="single" w:sz="4" w:space="0" w:color="auto"/>
              <w:right w:val="single" w:sz="8" w:space="0" w:color="auto"/>
            </w:tcBorders>
            <w:shd w:val="clear" w:color="000000" w:fill="C5BE97"/>
            <w:vAlign w:val="bottom"/>
            <w:hideMark/>
          </w:tcPr>
          <w:p w:rsidR="00D32F8C" w:rsidRPr="00103162" w:rsidRDefault="00D32F8C" w:rsidP="00D56AEB">
            <w:pPr>
              <w:jc w:val="center"/>
              <w:rPr>
                <w:rFonts w:ascii="Arial" w:hAnsi="Arial" w:cs="Arial"/>
                <w:b/>
                <w:bCs/>
                <w:color w:val="000000"/>
                <w:sz w:val="20"/>
                <w:szCs w:val="20"/>
              </w:rPr>
            </w:pPr>
            <w:r w:rsidRPr="00103162">
              <w:rPr>
                <w:rFonts w:ascii="Arial" w:hAnsi="Arial" w:cs="Arial"/>
                <w:b/>
                <w:bCs/>
                <w:color w:val="000000"/>
                <w:sz w:val="20"/>
                <w:szCs w:val="20"/>
              </w:rPr>
              <w:t xml:space="preserve">Total DMA </w:t>
            </w:r>
            <w:r>
              <w:rPr>
                <w:rFonts w:ascii="Arial" w:hAnsi="Arial" w:cs="Arial"/>
                <w:b/>
                <w:bCs/>
                <w:color w:val="000000"/>
                <w:sz w:val="20"/>
                <w:szCs w:val="20"/>
              </w:rPr>
              <w:t xml:space="preserve">FTE </w:t>
            </w:r>
            <w:r w:rsidRPr="00103162">
              <w:rPr>
                <w:rFonts w:ascii="Arial" w:hAnsi="Arial" w:cs="Arial"/>
                <w:b/>
                <w:bCs/>
                <w:color w:val="000000"/>
                <w:sz w:val="20"/>
                <w:szCs w:val="20"/>
              </w:rPr>
              <w:t>Costs</w:t>
            </w:r>
          </w:p>
        </w:tc>
      </w:tr>
      <w:tr w:rsidR="00D32F8C" w:rsidRPr="00516B5B" w:rsidTr="00D56AEB">
        <w:trPr>
          <w:trHeight w:val="264"/>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2014</w:t>
            </w:r>
          </w:p>
        </w:tc>
        <w:tc>
          <w:tcPr>
            <w:tcW w:w="1620" w:type="dxa"/>
            <w:tcBorders>
              <w:top w:val="nil"/>
              <w:left w:val="nil"/>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$269,620</w:t>
            </w:r>
          </w:p>
        </w:tc>
        <w:tc>
          <w:tcPr>
            <w:tcW w:w="1620" w:type="dxa"/>
            <w:tcBorders>
              <w:top w:val="nil"/>
              <w:left w:val="nil"/>
              <w:bottom w:val="single" w:sz="4" w:space="0" w:color="auto"/>
              <w:right w:val="single" w:sz="8"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$539,240</w:t>
            </w:r>
          </w:p>
        </w:tc>
      </w:tr>
      <w:tr w:rsidR="00D32F8C" w:rsidRPr="00516B5B" w:rsidTr="00D56AEB">
        <w:trPr>
          <w:trHeight w:val="264"/>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2015</w:t>
            </w:r>
          </w:p>
        </w:tc>
        <w:tc>
          <w:tcPr>
            <w:tcW w:w="1620" w:type="dxa"/>
            <w:tcBorders>
              <w:top w:val="nil"/>
              <w:left w:val="nil"/>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$279,596</w:t>
            </w:r>
          </w:p>
        </w:tc>
        <w:tc>
          <w:tcPr>
            <w:tcW w:w="1620" w:type="dxa"/>
            <w:tcBorders>
              <w:top w:val="nil"/>
              <w:left w:val="nil"/>
              <w:bottom w:val="single" w:sz="4" w:space="0" w:color="auto"/>
              <w:right w:val="single" w:sz="8"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$559,192</w:t>
            </w:r>
          </w:p>
        </w:tc>
      </w:tr>
      <w:tr w:rsidR="00D32F8C" w:rsidRPr="00516B5B" w:rsidTr="00D56AEB">
        <w:trPr>
          <w:trHeight w:val="264"/>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2016</w:t>
            </w:r>
          </w:p>
        </w:tc>
        <w:tc>
          <w:tcPr>
            <w:tcW w:w="1620" w:type="dxa"/>
            <w:tcBorders>
              <w:top w:val="nil"/>
              <w:left w:val="nil"/>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$289,941</w:t>
            </w:r>
          </w:p>
        </w:tc>
        <w:tc>
          <w:tcPr>
            <w:tcW w:w="1620" w:type="dxa"/>
            <w:tcBorders>
              <w:top w:val="nil"/>
              <w:left w:val="nil"/>
              <w:bottom w:val="single" w:sz="4" w:space="0" w:color="auto"/>
              <w:right w:val="single" w:sz="8"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$579,882</w:t>
            </w:r>
          </w:p>
        </w:tc>
      </w:tr>
      <w:tr w:rsidR="00D32F8C" w:rsidRPr="00516B5B" w:rsidTr="00D56AEB">
        <w:trPr>
          <w:trHeight w:val="264"/>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2017</w:t>
            </w:r>
          </w:p>
        </w:tc>
        <w:tc>
          <w:tcPr>
            <w:tcW w:w="1620" w:type="dxa"/>
            <w:tcBorders>
              <w:top w:val="nil"/>
              <w:left w:val="nil"/>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$300,669</w:t>
            </w:r>
          </w:p>
        </w:tc>
        <w:tc>
          <w:tcPr>
            <w:tcW w:w="1620" w:type="dxa"/>
            <w:tcBorders>
              <w:top w:val="nil"/>
              <w:left w:val="nil"/>
              <w:bottom w:val="single" w:sz="4" w:space="0" w:color="auto"/>
              <w:right w:val="single" w:sz="8"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$601,338</w:t>
            </w:r>
          </w:p>
        </w:tc>
      </w:tr>
      <w:tr w:rsidR="00D32F8C" w:rsidRPr="00516B5B" w:rsidTr="00D56AEB">
        <w:trPr>
          <w:trHeight w:val="264"/>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2018</w:t>
            </w:r>
          </w:p>
        </w:tc>
        <w:tc>
          <w:tcPr>
            <w:tcW w:w="1620" w:type="dxa"/>
            <w:tcBorders>
              <w:top w:val="nil"/>
              <w:left w:val="nil"/>
              <w:bottom w:val="single" w:sz="4"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$311,794</w:t>
            </w:r>
          </w:p>
        </w:tc>
        <w:tc>
          <w:tcPr>
            <w:tcW w:w="1620" w:type="dxa"/>
            <w:tcBorders>
              <w:top w:val="nil"/>
              <w:left w:val="nil"/>
              <w:bottom w:val="single" w:sz="4" w:space="0" w:color="auto"/>
              <w:right w:val="single" w:sz="8" w:space="0" w:color="auto"/>
            </w:tcBorders>
            <w:shd w:val="clear" w:color="auto" w:fill="auto"/>
            <w:noWrap/>
            <w:vAlign w:val="bottom"/>
            <w:hideMark/>
          </w:tcPr>
          <w:p w:rsidR="00D32F8C" w:rsidRPr="00103162" w:rsidRDefault="00D32F8C" w:rsidP="00D56AEB">
            <w:pPr>
              <w:jc w:val="center"/>
              <w:rPr>
                <w:rFonts w:ascii="Arial" w:hAnsi="Arial" w:cs="Arial"/>
                <w:color w:val="000000"/>
                <w:sz w:val="20"/>
                <w:szCs w:val="20"/>
              </w:rPr>
            </w:pPr>
            <w:r w:rsidRPr="00103162">
              <w:rPr>
                <w:rFonts w:ascii="Arial" w:hAnsi="Arial" w:cs="Arial"/>
                <w:color w:val="000000"/>
                <w:sz w:val="20"/>
                <w:szCs w:val="20"/>
              </w:rPr>
              <w:t>$623,588</w:t>
            </w:r>
          </w:p>
        </w:tc>
      </w:tr>
      <w:tr w:rsidR="00D32F8C" w:rsidRPr="00516B5B" w:rsidTr="00D56AEB">
        <w:trPr>
          <w:trHeight w:val="276"/>
        </w:trPr>
        <w:tc>
          <w:tcPr>
            <w:tcW w:w="1180" w:type="dxa"/>
            <w:tcBorders>
              <w:top w:val="nil"/>
              <w:left w:val="single" w:sz="8" w:space="0" w:color="auto"/>
              <w:bottom w:val="single" w:sz="8"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b/>
                <w:bCs/>
                <w:color w:val="000000"/>
                <w:sz w:val="20"/>
                <w:szCs w:val="20"/>
              </w:rPr>
            </w:pPr>
            <w:r w:rsidRPr="00103162">
              <w:rPr>
                <w:rFonts w:ascii="Arial" w:hAnsi="Arial" w:cs="Arial"/>
                <w:b/>
                <w:bCs/>
                <w:color w:val="000000"/>
                <w:sz w:val="20"/>
                <w:szCs w:val="20"/>
              </w:rPr>
              <w:t>5-Year Total</w:t>
            </w:r>
          </w:p>
        </w:tc>
        <w:tc>
          <w:tcPr>
            <w:tcW w:w="1620" w:type="dxa"/>
            <w:tcBorders>
              <w:top w:val="nil"/>
              <w:left w:val="nil"/>
              <w:bottom w:val="single" w:sz="8" w:space="0" w:color="auto"/>
              <w:right w:val="single" w:sz="4" w:space="0" w:color="auto"/>
            </w:tcBorders>
            <w:shd w:val="clear" w:color="auto" w:fill="auto"/>
            <w:noWrap/>
            <w:vAlign w:val="bottom"/>
            <w:hideMark/>
          </w:tcPr>
          <w:p w:rsidR="00D32F8C" w:rsidRPr="00103162" w:rsidRDefault="00D32F8C" w:rsidP="00D56AEB">
            <w:pPr>
              <w:jc w:val="center"/>
              <w:rPr>
                <w:rFonts w:ascii="Arial" w:hAnsi="Arial" w:cs="Arial"/>
                <w:b/>
                <w:bCs/>
                <w:color w:val="000000"/>
                <w:sz w:val="20"/>
                <w:szCs w:val="20"/>
              </w:rPr>
            </w:pPr>
            <w:r w:rsidRPr="00103162">
              <w:rPr>
                <w:rFonts w:ascii="Arial" w:hAnsi="Arial" w:cs="Arial"/>
                <w:b/>
                <w:bCs/>
                <w:color w:val="000000"/>
                <w:sz w:val="20"/>
                <w:szCs w:val="20"/>
              </w:rPr>
              <w:t>$1,451,620</w:t>
            </w:r>
          </w:p>
        </w:tc>
        <w:tc>
          <w:tcPr>
            <w:tcW w:w="1620" w:type="dxa"/>
            <w:tcBorders>
              <w:top w:val="nil"/>
              <w:left w:val="nil"/>
              <w:bottom w:val="single" w:sz="8" w:space="0" w:color="auto"/>
              <w:right w:val="single" w:sz="8" w:space="0" w:color="auto"/>
            </w:tcBorders>
            <w:shd w:val="clear" w:color="auto" w:fill="auto"/>
            <w:noWrap/>
            <w:vAlign w:val="bottom"/>
            <w:hideMark/>
          </w:tcPr>
          <w:p w:rsidR="00D32F8C" w:rsidRPr="00103162" w:rsidRDefault="00D32F8C" w:rsidP="00D56AEB">
            <w:pPr>
              <w:jc w:val="center"/>
              <w:rPr>
                <w:rFonts w:ascii="Arial" w:hAnsi="Arial" w:cs="Arial"/>
                <w:b/>
                <w:bCs/>
                <w:color w:val="000000"/>
                <w:sz w:val="20"/>
                <w:szCs w:val="20"/>
              </w:rPr>
            </w:pPr>
            <w:r w:rsidRPr="00103162">
              <w:rPr>
                <w:rFonts w:ascii="Arial" w:hAnsi="Arial" w:cs="Arial"/>
                <w:b/>
                <w:bCs/>
                <w:color w:val="000000"/>
                <w:sz w:val="20"/>
                <w:szCs w:val="20"/>
              </w:rPr>
              <w:t>$2,903,24</w:t>
            </w:r>
            <w:r>
              <w:rPr>
                <w:rFonts w:ascii="Arial" w:hAnsi="Arial" w:cs="Arial"/>
                <w:b/>
                <w:bCs/>
                <w:color w:val="000000"/>
                <w:sz w:val="20"/>
                <w:szCs w:val="20"/>
              </w:rPr>
              <w:t>0</w:t>
            </w:r>
          </w:p>
        </w:tc>
      </w:tr>
    </w:tbl>
    <w:p w:rsidR="00D32F8C" w:rsidRDefault="00D32F8C" w:rsidP="00D32F8C">
      <w:pPr>
        <w:rPr>
          <w:rFonts w:ascii="Arial" w:hAnsi="Arial" w:cs="Arial"/>
        </w:rPr>
      </w:pPr>
      <w:r>
        <w:rPr>
          <w:rFonts w:ascii="Arial" w:hAnsi="Arial" w:cs="Arial"/>
        </w:rPr>
        <w:t xml:space="preserve">  </w:t>
      </w:r>
    </w:p>
    <w:p w:rsidR="00D32F8C" w:rsidRDefault="00D32F8C" w:rsidP="00D32F8C">
      <w:pPr>
        <w:rPr>
          <w:rFonts w:ascii="Arial" w:hAnsi="Arial" w:cs="Arial"/>
        </w:rPr>
      </w:pPr>
      <w:r>
        <w:rPr>
          <w:rFonts w:ascii="Arial" w:hAnsi="Arial" w:cs="Arial"/>
        </w:rPr>
        <w:t xml:space="preserve"> VA also estimates the program will require 8 Eligibility FTE, 1 nurse and 7 non-clinical staff, to be phased in from FY 2014 through FY 2016 at three, four and one respectively. In FY 2013, Eligibility FTE salaries including benefits at 34% were estimated as follows:</w:t>
      </w:r>
    </w:p>
    <w:p w:rsidR="00D32F8C" w:rsidRDefault="00D32F8C" w:rsidP="00D32F8C">
      <w:pPr>
        <w:rPr>
          <w:rFonts w:ascii="Arial" w:hAnsi="Arial" w:cs="Arial"/>
        </w:rPr>
      </w:pPr>
    </w:p>
    <w:p w:rsidR="00D32F8C" w:rsidRPr="00B951F2" w:rsidRDefault="00D32F8C" w:rsidP="00D32F8C">
      <w:pPr>
        <w:pStyle w:val="ListParagraph"/>
        <w:numPr>
          <w:ilvl w:val="0"/>
          <w:numId w:val="7"/>
        </w:numPr>
        <w:rPr>
          <w:rFonts w:cs="Arial"/>
        </w:rPr>
      </w:pPr>
      <w:r w:rsidRPr="00B951F2">
        <w:rPr>
          <w:rFonts w:cs="Arial"/>
        </w:rPr>
        <w:t>Nurse III: $</w:t>
      </w:r>
      <w:r>
        <w:rPr>
          <w:rFonts w:cs="Arial"/>
        </w:rPr>
        <w:t>99,750</w:t>
      </w:r>
      <w:r w:rsidRPr="00B951F2">
        <w:rPr>
          <w:rFonts w:cs="Arial"/>
        </w:rPr>
        <w:t xml:space="preserve"> </w:t>
      </w:r>
    </w:p>
    <w:p w:rsidR="00D32F8C" w:rsidRPr="00B951F2" w:rsidRDefault="00D32F8C" w:rsidP="00D32F8C">
      <w:pPr>
        <w:pStyle w:val="ListParagraph"/>
        <w:numPr>
          <w:ilvl w:val="0"/>
          <w:numId w:val="7"/>
        </w:numPr>
        <w:rPr>
          <w:rFonts w:cs="Arial"/>
        </w:rPr>
      </w:pPr>
      <w:r w:rsidRPr="00B951F2">
        <w:rPr>
          <w:rFonts w:cs="Arial"/>
        </w:rPr>
        <w:t>GS-4</w:t>
      </w:r>
      <w:r>
        <w:rPr>
          <w:rFonts w:cs="Arial"/>
        </w:rPr>
        <w:t>/Step 5</w:t>
      </w:r>
      <w:r w:rsidRPr="00B951F2">
        <w:rPr>
          <w:rFonts w:cs="Arial"/>
        </w:rPr>
        <w:t>:</w:t>
      </w:r>
      <w:r>
        <w:rPr>
          <w:rFonts w:cs="Arial"/>
        </w:rPr>
        <w:t xml:space="preserve"> $45,277</w:t>
      </w:r>
    </w:p>
    <w:p w:rsidR="00D32F8C" w:rsidRPr="00B951F2" w:rsidRDefault="00D32F8C" w:rsidP="00D32F8C">
      <w:pPr>
        <w:pStyle w:val="ListParagraph"/>
        <w:numPr>
          <w:ilvl w:val="0"/>
          <w:numId w:val="7"/>
        </w:numPr>
        <w:rPr>
          <w:rFonts w:cs="Arial"/>
        </w:rPr>
      </w:pPr>
      <w:r w:rsidRPr="00B951F2">
        <w:rPr>
          <w:rFonts w:cs="Arial"/>
        </w:rPr>
        <w:t>GS-5</w:t>
      </w:r>
      <w:r>
        <w:rPr>
          <w:rFonts w:cs="Arial"/>
        </w:rPr>
        <w:t>/Step 5</w:t>
      </w:r>
      <w:r w:rsidRPr="00B951F2">
        <w:rPr>
          <w:rFonts w:cs="Arial"/>
        </w:rPr>
        <w:t>:</w:t>
      </w:r>
      <w:r>
        <w:rPr>
          <w:rFonts w:cs="Arial"/>
        </w:rPr>
        <w:t xml:space="preserve"> $50,657</w:t>
      </w:r>
    </w:p>
    <w:p w:rsidR="00D32F8C" w:rsidRDefault="00D32F8C" w:rsidP="00D32F8C">
      <w:pPr>
        <w:pStyle w:val="ListParagraph"/>
        <w:numPr>
          <w:ilvl w:val="0"/>
          <w:numId w:val="7"/>
        </w:numPr>
        <w:rPr>
          <w:rFonts w:cs="Arial"/>
        </w:rPr>
      </w:pPr>
      <w:r w:rsidRPr="00B951F2">
        <w:rPr>
          <w:rFonts w:cs="Arial"/>
        </w:rPr>
        <w:t>GS-7</w:t>
      </w:r>
      <w:r>
        <w:rPr>
          <w:rFonts w:cs="Arial"/>
        </w:rPr>
        <w:t>/Step 5</w:t>
      </w:r>
      <w:r w:rsidRPr="00B951F2">
        <w:rPr>
          <w:rFonts w:cs="Arial"/>
        </w:rPr>
        <w:t>:</w:t>
      </w:r>
      <w:r>
        <w:rPr>
          <w:rFonts w:cs="Arial"/>
        </w:rPr>
        <w:t xml:space="preserve"> $62,754</w:t>
      </w:r>
    </w:p>
    <w:p w:rsidR="00D32F8C" w:rsidRPr="00B951F2" w:rsidRDefault="00D32F8C" w:rsidP="00D32F8C">
      <w:pPr>
        <w:pStyle w:val="ListParagraph"/>
        <w:numPr>
          <w:ilvl w:val="0"/>
          <w:numId w:val="7"/>
        </w:numPr>
        <w:rPr>
          <w:rFonts w:cs="Arial"/>
        </w:rPr>
      </w:pPr>
      <w:r>
        <w:rPr>
          <w:rFonts w:cs="Arial"/>
        </w:rPr>
        <w:t>GS-8/Step 5: $69,493</w:t>
      </w:r>
    </w:p>
    <w:p w:rsidR="00D32F8C" w:rsidRPr="00B951F2" w:rsidRDefault="00D32F8C" w:rsidP="00D32F8C">
      <w:pPr>
        <w:pStyle w:val="ListParagraph"/>
        <w:numPr>
          <w:ilvl w:val="0"/>
          <w:numId w:val="7"/>
        </w:numPr>
        <w:rPr>
          <w:rFonts w:cs="Arial"/>
        </w:rPr>
      </w:pPr>
      <w:r w:rsidRPr="00B951F2">
        <w:rPr>
          <w:rFonts w:cs="Arial"/>
        </w:rPr>
        <w:t>GS-9</w:t>
      </w:r>
      <w:r>
        <w:rPr>
          <w:rFonts w:cs="Arial"/>
        </w:rPr>
        <w:t>/Step 5</w:t>
      </w:r>
      <w:r w:rsidRPr="00B951F2">
        <w:rPr>
          <w:rFonts w:cs="Arial"/>
        </w:rPr>
        <w:t>:</w:t>
      </w:r>
      <w:r>
        <w:rPr>
          <w:rFonts w:cs="Arial"/>
        </w:rPr>
        <w:t xml:space="preserve"> $76,755</w:t>
      </w:r>
    </w:p>
    <w:p w:rsidR="00D32F8C" w:rsidRPr="00B951F2" w:rsidRDefault="00D32F8C" w:rsidP="00D32F8C">
      <w:pPr>
        <w:pStyle w:val="ListParagraph"/>
        <w:numPr>
          <w:ilvl w:val="0"/>
          <w:numId w:val="7"/>
        </w:numPr>
        <w:rPr>
          <w:rFonts w:cs="Arial"/>
        </w:rPr>
      </w:pPr>
      <w:r w:rsidRPr="00B951F2">
        <w:rPr>
          <w:rFonts w:cs="Arial"/>
        </w:rPr>
        <w:t>GS-12</w:t>
      </w:r>
      <w:r>
        <w:rPr>
          <w:rFonts w:cs="Arial"/>
        </w:rPr>
        <w:t>/Step 5</w:t>
      </w:r>
      <w:r w:rsidRPr="00B951F2">
        <w:rPr>
          <w:rFonts w:cs="Arial"/>
        </w:rPr>
        <w:t xml:space="preserve">: </w:t>
      </w:r>
      <w:r>
        <w:rPr>
          <w:rFonts w:cs="Arial"/>
        </w:rPr>
        <w:t>$111,311</w:t>
      </w:r>
    </w:p>
    <w:p w:rsidR="00D32F8C" w:rsidRDefault="00D32F8C" w:rsidP="00D32F8C">
      <w:pPr>
        <w:rPr>
          <w:rFonts w:ascii="Arial" w:hAnsi="Arial" w:cs="Arial"/>
        </w:rPr>
      </w:pPr>
      <w:r>
        <w:rPr>
          <w:rFonts w:ascii="Arial" w:hAnsi="Arial" w:cs="Arial"/>
        </w:rPr>
        <w:t xml:space="preserve">The Eligibility FTE will assist with benefit applications, health care claims, customer service, appeals and quality assurance.  VA anticipates the total costs at $248,112 in FY 2014 and $2,824,726 over a five year period. A projected annual increase based on a 3.7% CPI-U inflation rate was applied to all out year cost estimates.   </w:t>
      </w:r>
    </w:p>
    <w:p w:rsidR="00D32F8C" w:rsidRDefault="00D32F8C" w:rsidP="00D32F8C">
      <w:pPr>
        <w:rPr>
          <w:rFonts w:ascii="Arial" w:hAnsi="Arial" w:cs="Arial"/>
        </w:rPr>
      </w:pPr>
    </w:p>
    <w:tbl>
      <w:tblPr>
        <w:tblW w:w="9892" w:type="dxa"/>
        <w:tblInd w:w="98" w:type="dxa"/>
        <w:tblLook w:val="04A0"/>
      </w:tblPr>
      <w:tblGrid>
        <w:gridCol w:w="1090"/>
        <w:gridCol w:w="1080"/>
        <w:gridCol w:w="1080"/>
        <w:gridCol w:w="1080"/>
        <w:gridCol w:w="1080"/>
        <w:gridCol w:w="1080"/>
        <w:gridCol w:w="1080"/>
        <w:gridCol w:w="1105"/>
        <w:gridCol w:w="1217"/>
      </w:tblGrid>
      <w:tr w:rsidR="00D32F8C" w:rsidRPr="00321CD1" w:rsidTr="00D56AEB">
        <w:trPr>
          <w:trHeight w:val="312"/>
        </w:trPr>
        <w:tc>
          <w:tcPr>
            <w:tcW w:w="1090" w:type="dxa"/>
            <w:vMerge w:val="restart"/>
            <w:tcBorders>
              <w:top w:val="single" w:sz="8" w:space="0" w:color="auto"/>
              <w:left w:val="single" w:sz="8" w:space="0" w:color="auto"/>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Fiscal Year</w:t>
            </w:r>
          </w:p>
        </w:tc>
        <w:tc>
          <w:tcPr>
            <w:tcW w:w="7585" w:type="dxa"/>
            <w:gridSpan w:val="7"/>
            <w:tcBorders>
              <w:top w:val="single" w:sz="8" w:space="0" w:color="auto"/>
              <w:left w:val="nil"/>
              <w:bottom w:val="single" w:sz="4" w:space="0" w:color="auto"/>
              <w:right w:val="single" w:sz="4" w:space="0" w:color="000000"/>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Eligibility FTE</w:t>
            </w:r>
          </w:p>
        </w:tc>
        <w:tc>
          <w:tcPr>
            <w:tcW w:w="1217" w:type="dxa"/>
            <w:vMerge w:val="restart"/>
            <w:tcBorders>
              <w:top w:val="single" w:sz="8" w:space="0" w:color="auto"/>
              <w:left w:val="single" w:sz="4" w:space="0" w:color="auto"/>
              <w:bottom w:val="single" w:sz="4" w:space="0" w:color="000000"/>
              <w:right w:val="single" w:sz="8"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 xml:space="preserve">Total </w:t>
            </w:r>
            <w:r>
              <w:rPr>
                <w:rFonts w:ascii="Arial" w:hAnsi="Arial" w:cs="Arial"/>
                <w:b/>
                <w:bCs/>
                <w:color w:val="000000"/>
                <w:sz w:val="20"/>
                <w:szCs w:val="20"/>
              </w:rPr>
              <w:t>Eligibility</w:t>
            </w:r>
            <w:r w:rsidRPr="00321CD1">
              <w:rPr>
                <w:rFonts w:ascii="Arial" w:hAnsi="Arial" w:cs="Arial"/>
                <w:b/>
                <w:bCs/>
                <w:color w:val="000000"/>
                <w:sz w:val="20"/>
                <w:szCs w:val="20"/>
              </w:rPr>
              <w:t xml:space="preserve"> FTE Costs</w:t>
            </w:r>
          </w:p>
        </w:tc>
      </w:tr>
      <w:tr w:rsidR="00D32F8C" w:rsidRPr="00321CD1" w:rsidTr="00D56AEB">
        <w:trPr>
          <w:trHeight w:val="264"/>
        </w:trPr>
        <w:tc>
          <w:tcPr>
            <w:tcW w:w="1090" w:type="dxa"/>
            <w:vMerge/>
            <w:tcBorders>
              <w:top w:val="single" w:sz="8" w:space="0" w:color="auto"/>
              <w:left w:val="single" w:sz="8" w:space="0" w:color="auto"/>
              <w:bottom w:val="single" w:sz="4" w:space="0" w:color="auto"/>
              <w:right w:val="single" w:sz="4" w:space="0" w:color="auto"/>
            </w:tcBorders>
            <w:vAlign w:val="center"/>
            <w:hideMark/>
          </w:tcPr>
          <w:p w:rsidR="00D32F8C" w:rsidRPr="00321CD1" w:rsidRDefault="00D32F8C" w:rsidP="00D56AEB">
            <w:pPr>
              <w:rPr>
                <w:rFonts w:ascii="Arial" w:hAnsi="Arial" w:cs="Arial"/>
                <w:b/>
                <w:bCs/>
                <w:color w:val="000000"/>
                <w:sz w:val="20"/>
                <w:szCs w:val="20"/>
              </w:rPr>
            </w:pPr>
          </w:p>
        </w:tc>
        <w:tc>
          <w:tcPr>
            <w:tcW w:w="1080"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Nurse III</w:t>
            </w:r>
          </w:p>
        </w:tc>
        <w:tc>
          <w:tcPr>
            <w:tcW w:w="1080"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GS-4</w:t>
            </w:r>
          </w:p>
        </w:tc>
        <w:tc>
          <w:tcPr>
            <w:tcW w:w="1080"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GS-5</w:t>
            </w:r>
          </w:p>
        </w:tc>
        <w:tc>
          <w:tcPr>
            <w:tcW w:w="1080"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GS-7</w:t>
            </w:r>
          </w:p>
        </w:tc>
        <w:tc>
          <w:tcPr>
            <w:tcW w:w="1080"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GS-8</w:t>
            </w:r>
          </w:p>
        </w:tc>
        <w:tc>
          <w:tcPr>
            <w:tcW w:w="1080"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GS-9</w:t>
            </w:r>
          </w:p>
        </w:tc>
        <w:tc>
          <w:tcPr>
            <w:tcW w:w="1105" w:type="dxa"/>
            <w:tcBorders>
              <w:top w:val="nil"/>
              <w:left w:val="nil"/>
              <w:bottom w:val="single" w:sz="4" w:space="0" w:color="auto"/>
              <w:right w:val="single" w:sz="4" w:space="0" w:color="auto"/>
            </w:tcBorders>
            <w:shd w:val="clear" w:color="000000" w:fill="C5BE97"/>
            <w:vAlign w:val="center"/>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GS-12</w:t>
            </w:r>
          </w:p>
        </w:tc>
        <w:tc>
          <w:tcPr>
            <w:tcW w:w="1217" w:type="dxa"/>
            <w:vMerge/>
            <w:tcBorders>
              <w:top w:val="single" w:sz="8" w:space="0" w:color="auto"/>
              <w:left w:val="single" w:sz="4" w:space="0" w:color="auto"/>
              <w:bottom w:val="single" w:sz="4" w:space="0" w:color="000000"/>
              <w:right w:val="single" w:sz="8" w:space="0" w:color="auto"/>
            </w:tcBorders>
            <w:vAlign w:val="center"/>
            <w:hideMark/>
          </w:tcPr>
          <w:p w:rsidR="00D32F8C" w:rsidRPr="00321CD1" w:rsidRDefault="00D32F8C" w:rsidP="00D56AEB">
            <w:pPr>
              <w:rPr>
                <w:rFonts w:ascii="Arial" w:hAnsi="Arial" w:cs="Arial"/>
                <w:b/>
                <w:bCs/>
                <w:color w:val="000000"/>
                <w:sz w:val="20"/>
                <w:szCs w:val="20"/>
              </w:rPr>
            </w:pPr>
          </w:p>
        </w:tc>
      </w:tr>
      <w:tr w:rsidR="00D32F8C" w:rsidRPr="00321CD1"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2014</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$103,441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$65,076</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$79,595</w:t>
            </w:r>
          </w:p>
        </w:tc>
        <w:tc>
          <w:tcPr>
            <w:tcW w:w="1105"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$0</w:t>
            </w:r>
          </w:p>
        </w:tc>
        <w:tc>
          <w:tcPr>
            <w:tcW w:w="1217"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$248,112</w:t>
            </w:r>
          </w:p>
        </w:tc>
      </w:tr>
      <w:tr w:rsidR="00D32F8C" w:rsidRPr="00321CD1"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2015</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$107,268</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$48,689</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$134,967</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$74,731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$82,540</w:t>
            </w:r>
          </w:p>
        </w:tc>
        <w:tc>
          <w:tcPr>
            <w:tcW w:w="1105"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$119,700</w:t>
            </w:r>
          </w:p>
        </w:tc>
        <w:tc>
          <w:tcPr>
            <w:tcW w:w="1217"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$567,895</w:t>
            </w:r>
          </w:p>
        </w:tc>
      </w:tr>
      <w:tr w:rsidR="00D32F8C" w:rsidRPr="00321CD1"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2016</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$111,237</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$50,491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$56,491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$139,961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$77,496</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$85,594</w:t>
            </w:r>
          </w:p>
        </w:tc>
        <w:tc>
          <w:tcPr>
            <w:tcW w:w="1105"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$124,129</w:t>
            </w:r>
          </w:p>
        </w:tc>
        <w:tc>
          <w:tcPr>
            <w:tcW w:w="1217"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$645,399</w:t>
            </w:r>
          </w:p>
        </w:tc>
      </w:tr>
      <w:tr w:rsidR="00D32F8C" w:rsidRPr="00321CD1"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2017</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$115,353</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$52,359</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$58,581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$145,140</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$80,363</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$88,761</w:t>
            </w:r>
          </w:p>
        </w:tc>
        <w:tc>
          <w:tcPr>
            <w:tcW w:w="1105"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$128,722</w:t>
            </w:r>
          </w:p>
        </w:tc>
        <w:tc>
          <w:tcPr>
            <w:tcW w:w="1217"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$669,279</w:t>
            </w:r>
          </w:p>
        </w:tc>
      </w:tr>
      <w:tr w:rsidR="00D32F8C" w:rsidRPr="00321CD1"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2018</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$119,621</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$54,296</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$60,748</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$150,510</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$83,336</w:t>
            </w:r>
          </w:p>
        </w:tc>
        <w:tc>
          <w:tcPr>
            <w:tcW w:w="1080"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$92,045</w:t>
            </w:r>
          </w:p>
        </w:tc>
        <w:tc>
          <w:tcPr>
            <w:tcW w:w="1105" w:type="dxa"/>
            <w:tcBorders>
              <w:top w:val="nil"/>
              <w:left w:val="nil"/>
              <w:bottom w:val="single" w:sz="4"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color w:val="000000"/>
                <w:sz w:val="20"/>
                <w:szCs w:val="20"/>
              </w:rPr>
            </w:pPr>
            <w:r w:rsidRPr="00321CD1">
              <w:rPr>
                <w:rFonts w:ascii="Arial" w:hAnsi="Arial" w:cs="Arial"/>
                <w:color w:val="000000"/>
                <w:sz w:val="20"/>
                <w:szCs w:val="20"/>
              </w:rPr>
              <w:t>$133,485</w:t>
            </w:r>
          </w:p>
        </w:tc>
        <w:tc>
          <w:tcPr>
            <w:tcW w:w="1217"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$694,041</w:t>
            </w:r>
          </w:p>
        </w:tc>
      </w:tr>
      <w:tr w:rsidR="00D32F8C" w:rsidRPr="00321CD1" w:rsidTr="00D56AEB">
        <w:trPr>
          <w:trHeight w:val="276"/>
        </w:trPr>
        <w:tc>
          <w:tcPr>
            <w:tcW w:w="1090" w:type="dxa"/>
            <w:tcBorders>
              <w:top w:val="nil"/>
              <w:left w:val="single" w:sz="8" w:space="0" w:color="auto"/>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5-Year Total</w:t>
            </w:r>
          </w:p>
        </w:tc>
        <w:tc>
          <w:tcPr>
            <w:tcW w:w="1080"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$556,919</w:t>
            </w:r>
          </w:p>
        </w:tc>
        <w:tc>
          <w:tcPr>
            <w:tcW w:w="1080"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$205,836</w:t>
            </w:r>
          </w:p>
        </w:tc>
        <w:tc>
          <w:tcPr>
            <w:tcW w:w="1080"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$175,819</w:t>
            </w:r>
          </w:p>
        </w:tc>
        <w:tc>
          <w:tcPr>
            <w:tcW w:w="1080"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$635,654</w:t>
            </w:r>
          </w:p>
        </w:tc>
        <w:tc>
          <w:tcPr>
            <w:tcW w:w="1080"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$315,926</w:t>
            </w:r>
          </w:p>
        </w:tc>
        <w:tc>
          <w:tcPr>
            <w:tcW w:w="1080"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$428,535</w:t>
            </w:r>
          </w:p>
        </w:tc>
        <w:tc>
          <w:tcPr>
            <w:tcW w:w="1105" w:type="dxa"/>
            <w:tcBorders>
              <w:top w:val="nil"/>
              <w:left w:val="nil"/>
              <w:bottom w:val="single" w:sz="8" w:space="0" w:color="auto"/>
              <w:right w:val="single" w:sz="4"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$506,037</w:t>
            </w:r>
          </w:p>
        </w:tc>
        <w:tc>
          <w:tcPr>
            <w:tcW w:w="1217" w:type="dxa"/>
            <w:tcBorders>
              <w:top w:val="nil"/>
              <w:left w:val="nil"/>
              <w:bottom w:val="single" w:sz="8" w:space="0" w:color="auto"/>
              <w:right w:val="single" w:sz="8" w:space="0" w:color="auto"/>
            </w:tcBorders>
            <w:shd w:val="clear" w:color="auto" w:fill="auto"/>
            <w:noWrap/>
            <w:vAlign w:val="bottom"/>
            <w:hideMark/>
          </w:tcPr>
          <w:p w:rsidR="00D32F8C" w:rsidRPr="00321CD1" w:rsidRDefault="00D32F8C" w:rsidP="00D56AEB">
            <w:pPr>
              <w:jc w:val="center"/>
              <w:rPr>
                <w:rFonts w:ascii="Arial" w:hAnsi="Arial" w:cs="Arial"/>
                <w:b/>
                <w:bCs/>
                <w:color w:val="000000"/>
                <w:sz w:val="20"/>
                <w:szCs w:val="20"/>
              </w:rPr>
            </w:pPr>
            <w:r w:rsidRPr="00321CD1">
              <w:rPr>
                <w:rFonts w:ascii="Arial" w:hAnsi="Arial" w:cs="Arial"/>
                <w:b/>
                <w:bCs/>
                <w:color w:val="000000"/>
                <w:sz w:val="20"/>
                <w:szCs w:val="20"/>
              </w:rPr>
              <w:t>$2,824,726</w:t>
            </w:r>
          </w:p>
        </w:tc>
      </w:tr>
    </w:tbl>
    <w:p w:rsidR="00D32F8C" w:rsidRPr="00BE3107" w:rsidRDefault="00D32F8C" w:rsidP="00D32F8C">
      <w:pPr>
        <w:rPr>
          <w:rFonts w:ascii="Arial" w:hAnsi="Arial" w:cs="Arial"/>
          <w:b/>
          <w:i/>
          <w:sz w:val="20"/>
          <w:szCs w:val="20"/>
        </w:rPr>
      </w:pPr>
      <w:r w:rsidRPr="00BE3107">
        <w:rPr>
          <w:rFonts w:ascii="Arial" w:hAnsi="Arial" w:cs="Arial"/>
          <w:b/>
          <w:i/>
          <w:sz w:val="20"/>
          <w:szCs w:val="20"/>
        </w:rPr>
        <w:t>Note: Numbers may not add due to rounding.</w:t>
      </w:r>
    </w:p>
    <w:p w:rsidR="00D32F8C" w:rsidRDefault="00D32F8C" w:rsidP="00D32F8C">
      <w:pPr>
        <w:rPr>
          <w:rFonts w:ascii="Arial" w:hAnsi="Arial" w:cs="Arial"/>
        </w:rPr>
      </w:pPr>
    </w:p>
    <w:p w:rsidR="00D32F8C" w:rsidRPr="001F7272" w:rsidRDefault="00D32F8C" w:rsidP="00D32F8C">
      <w:pPr>
        <w:rPr>
          <w:rFonts w:ascii="Arial" w:hAnsi="Arial" w:cs="Arial"/>
        </w:rPr>
      </w:pPr>
      <w:r w:rsidRPr="001F7272">
        <w:rPr>
          <w:rFonts w:ascii="Arial" w:hAnsi="Arial" w:cs="Arial"/>
        </w:rPr>
        <w:t xml:space="preserve">In addition, VA anticipates discretionary general operating expenses </w:t>
      </w:r>
      <w:r>
        <w:rPr>
          <w:rFonts w:ascii="Arial" w:hAnsi="Arial" w:cs="Arial"/>
        </w:rPr>
        <w:t xml:space="preserve">(GOE) </w:t>
      </w:r>
      <w:r w:rsidRPr="001F7272">
        <w:rPr>
          <w:rFonts w:ascii="Arial" w:hAnsi="Arial" w:cs="Arial"/>
        </w:rPr>
        <w:t xml:space="preserve">with each new Eligibility FTE for the set up of individual workstations. The cost will include </w:t>
      </w:r>
      <w:r>
        <w:rPr>
          <w:rFonts w:ascii="Arial" w:hAnsi="Arial" w:cs="Arial"/>
        </w:rPr>
        <w:t xml:space="preserve">the </w:t>
      </w:r>
      <w:r w:rsidRPr="001F7272">
        <w:rPr>
          <w:rFonts w:ascii="Arial" w:hAnsi="Arial" w:cs="Arial"/>
        </w:rPr>
        <w:t xml:space="preserve">computer, cubicle, furniture, phone, printer, space requirement, supplies, as well as set up of systems and related IT support for the initial year at approximately $21,000 per </w:t>
      </w:r>
      <w:r>
        <w:rPr>
          <w:rFonts w:ascii="Arial" w:hAnsi="Arial" w:cs="Arial"/>
        </w:rPr>
        <w:t>FTE</w:t>
      </w:r>
      <w:r w:rsidRPr="001F7272">
        <w:rPr>
          <w:rFonts w:ascii="Arial" w:hAnsi="Arial" w:cs="Arial"/>
        </w:rPr>
        <w:t xml:space="preserve"> for a total of $168,000. </w:t>
      </w:r>
    </w:p>
    <w:p w:rsidR="00D32F8C" w:rsidRDefault="00D32F8C" w:rsidP="00D32F8C">
      <w:pPr>
        <w:rPr>
          <w:rFonts w:ascii="Arial" w:hAnsi="Arial" w:cs="Arial"/>
        </w:rPr>
      </w:pPr>
    </w:p>
    <w:p w:rsidR="00D32F8C" w:rsidRPr="00F600A8" w:rsidRDefault="00D32F8C" w:rsidP="00D32F8C">
      <w:pPr>
        <w:rPr>
          <w:rFonts w:ascii="Arial" w:hAnsi="Arial" w:cs="Arial"/>
          <w:color w:val="000000"/>
        </w:rPr>
      </w:pPr>
      <w:r w:rsidRPr="006578EB">
        <w:rPr>
          <w:rFonts w:ascii="Arial" w:hAnsi="Arial" w:cs="Arial"/>
        </w:rPr>
        <w:t xml:space="preserve">The annual FTE costs are estimated to be </w:t>
      </w:r>
      <w:r>
        <w:rPr>
          <w:rFonts w:ascii="Arial" w:hAnsi="Arial" w:cs="Arial"/>
          <w:bCs/>
          <w:color w:val="000000"/>
        </w:rPr>
        <w:t>$</w:t>
      </w:r>
      <w:r w:rsidRPr="006578EB">
        <w:rPr>
          <w:rFonts w:ascii="Arial" w:hAnsi="Arial" w:cs="Arial"/>
          <w:bCs/>
          <w:color w:val="000000"/>
        </w:rPr>
        <w:t>8</w:t>
      </w:r>
      <w:r>
        <w:rPr>
          <w:rFonts w:ascii="Arial" w:hAnsi="Arial" w:cs="Arial"/>
          <w:bCs/>
          <w:color w:val="000000"/>
        </w:rPr>
        <w:t>50,352</w:t>
      </w:r>
      <w:r w:rsidRPr="006578EB">
        <w:rPr>
          <w:rFonts w:ascii="Arial" w:hAnsi="Arial" w:cs="Arial"/>
          <w:b/>
          <w:bCs/>
          <w:color w:val="000000"/>
        </w:rPr>
        <w:t xml:space="preserve"> </w:t>
      </w:r>
      <w:r>
        <w:rPr>
          <w:rFonts w:ascii="Arial" w:hAnsi="Arial" w:cs="Arial"/>
        </w:rPr>
        <w:t>in FY 2014</w:t>
      </w:r>
      <w:r w:rsidRPr="006578EB">
        <w:rPr>
          <w:rFonts w:ascii="Arial" w:hAnsi="Arial" w:cs="Arial"/>
        </w:rPr>
        <w:t xml:space="preserve"> and $</w:t>
      </w:r>
      <w:r>
        <w:rPr>
          <w:rFonts w:ascii="Arial" w:hAnsi="Arial" w:cs="Arial"/>
          <w:color w:val="000000"/>
        </w:rPr>
        <w:t>5,895,966</w:t>
      </w:r>
      <w:r w:rsidR="00F600A8">
        <w:rPr>
          <w:rFonts w:ascii="Arial" w:hAnsi="Arial" w:cs="Arial"/>
          <w:color w:val="000000"/>
        </w:rPr>
        <w:t xml:space="preserve"> </w:t>
      </w:r>
      <w:r w:rsidRPr="006578EB">
        <w:rPr>
          <w:rFonts w:ascii="Arial" w:hAnsi="Arial" w:cs="Arial"/>
        </w:rPr>
        <w:t xml:space="preserve">over a five year period. </w:t>
      </w:r>
    </w:p>
    <w:p w:rsidR="00D32F8C" w:rsidRDefault="00D32F8C" w:rsidP="00D32F8C">
      <w:pPr>
        <w:rPr>
          <w:rFonts w:ascii="Arial" w:hAnsi="Arial" w:cs="Arial"/>
        </w:rPr>
      </w:pPr>
    </w:p>
    <w:tbl>
      <w:tblPr>
        <w:tblW w:w="6800" w:type="dxa"/>
        <w:tblInd w:w="98" w:type="dxa"/>
        <w:tblLook w:val="04A0"/>
      </w:tblPr>
      <w:tblGrid>
        <w:gridCol w:w="1300"/>
        <w:gridCol w:w="1300"/>
        <w:gridCol w:w="1300"/>
        <w:gridCol w:w="1300"/>
        <w:gridCol w:w="1600"/>
      </w:tblGrid>
      <w:tr w:rsidR="00D32F8C" w:rsidRPr="00E30750" w:rsidTr="00D56AEB">
        <w:trPr>
          <w:trHeight w:val="672"/>
        </w:trPr>
        <w:tc>
          <w:tcPr>
            <w:tcW w:w="1300" w:type="dxa"/>
            <w:tcBorders>
              <w:top w:val="single" w:sz="8" w:space="0" w:color="auto"/>
              <w:left w:val="single" w:sz="8" w:space="0" w:color="auto"/>
              <w:bottom w:val="single" w:sz="4" w:space="0" w:color="auto"/>
              <w:right w:val="single" w:sz="4" w:space="0" w:color="auto"/>
            </w:tcBorders>
            <w:shd w:val="clear" w:color="000000" w:fill="C5BE97"/>
            <w:vAlign w:val="center"/>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Fiscal Year</w:t>
            </w:r>
          </w:p>
        </w:tc>
        <w:tc>
          <w:tcPr>
            <w:tcW w:w="1300" w:type="dxa"/>
            <w:tcBorders>
              <w:top w:val="single" w:sz="8" w:space="0" w:color="auto"/>
              <w:left w:val="nil"/>
              <w:bottom w:val="single" w:sz="4" w:space="0" w:color="auto"/>
              <w:right w:val="single" w:sz="4" w:space="0" w:color="auto"/>
            </w:tcBorders>
            <w:shd w:val="clear" w:color="000000" w:fill="C5BE97"/>
            <w:vAlign w:val="center"/>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DMA FTE Costs</w:t>
            </w:r>
          </w:p>
        </w:tc>
        <w:tc>
          <w:tcPr>
            <w:tcW w:w="1300" w:type="dxa"/>
            <w:tcBorders>
              <w:top w:val="single" w:sz="8" w:space="0" w:color="auto"/>
              <w:left w:val="nil"/>
              <w:bottom w:val="single" w:sz="4" w:space="0" w:color="auto"/>
              <w:right w:val="single" w:sz="4" w:space="0" w:color="auto"/>
            </w:tcBorders>
            <w:shd w:val="clear" w:color="000000" w:fill="C5BE97"/>
            <w:vAlign w:val="center"/>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Eligib</w:t>
            </w:r>
            <w:r w:rsidR="00FA5D83">
              <w:rPr>
                <w:rFonts w:ascii="Arial" w:hAnsi="Arial" w:cs="Arial"/>
                <w:b/>
                <w:bCs/>
                <w:color w:val="000000"/>
                <w:sz w:val="20"/>
                <w:szCs w:val="20"/>
              </w:rPr>
              <w:t>i</w:t>
            </w:r>
            <w:r w:rsidRPr="00E30750">
              <w:rPr>
                <w:rFonts w:ascii="Arial" w:hAnsi="Arial" w:cs="Arial"/>
                <w:b/>
                <w:bCs/>
                <w:color w:val="000000"/>
                <w:sz w:val="20"/>
                <w:szCs w:val="20"/>
              </w:rPr>
              <w:t>lity FTE Costs</w:t>
            </w:r>
          </w:p>
        </w:tc>
        <w:tc>
          <w:tcPr>
            <w:tcW w:w="1300" w:type="dxa"/>
            <w:tcBorders>
              <w:top w:val="single" w:sz="8" w:space="0" w:color="auto"/>
              <w:left w:val="nil"/>
              <w:bottom w:val="single" w:sz="4" w:space="0" w:color="auto"/>
              <w:right w:val="single" w:sz="4" w:space="0" w:color="auto"/>
            </w:tcBorders>
            <w:shd w:val="clear" w:color="000000" w:fill="C5BE97"/>
            <w:vAlign w:val="center"/>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GOE Costs</w:t>
            </w:r>
          </w:p>
        </w:tc>
        <w:tc>
          <w:tcPr>
            <w:tcW w:w="1600" w:type="dxa"/>
            <w:tcBorders>
              <w:top w:val="single" w:sz="8" w:space="0" w:color="auto"/>
              <w:left w:val="nil"/>
              <w:bottom w:val="nil"/>
              <w:right w:val="single" w:sz="8" w:space="0" w:color="auto"/>
            </w:tcBorders>
            <w:shd w:val="clear" w:color="000000" w:fill="C5BE97"/>
            <w:vAlign w:val="center"/>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Total  FTE Costs</w:t>
            </w:r>
          </w:p>
        </w:tc>
      </w:tr>
      <w:tr w:rsidR="00D32F8C" w:rsidRPr="00E30750" w:rsidTr="00D56AEB">
        <w:trPr>
          <w:trHeight w:val="26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2014</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$539,240</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$248,112</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$63,000</w:t>
            </w:r>
          </w:p>
        </w:tc>
        <w:tc>
          <w:tcPr>
            <w:tcW w:w="1600" w:type="dxa"/>
            <w:tcBorders>
              <w:top w:val="single" w:sz="4" w:space="0" w:color="auto"/>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$850,352</w:t>
            </w:r>
          </w:p>
        </w:tc>
      </w:tr>
      <w:tr w:rsidR="00D32F8C" w:rsidRPr="00E30750" w:rsidTr="00D56AEB">
        <w:trPr>
          <w:trHeight w:val="26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2015</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$559,192</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$567,895</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$84,000</w:t>
            </w:r>
          </w:p>
        </w:tc>
        <w:tc>
          <w:tcPr>
            <w:tcW w:w="1600"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$1,211,087</w:t>
            </w:r>
          </w:p>
        </w:tc>
      </w:tr>
      <w:tr w:rsidR="00D32F8C" w:rsidRPr="00E30750" w:rsidTr="00D56AEB">
        <w:trPr>
          <w:trHeight w:val="26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2016</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$579,882</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$645,399</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$21,000</w:t>
            </w:r>
          </w:p>
        </w:tc>
        <w:tc>
          <w:tcPr>
            <w:tcW w:w="1600"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$1,246,281</w:t>
            </w:r>
          </w:p>
        </w:tc>
      </w:tr>
      <w:tr w:rsidR="00D32F8C" w:rsidRPr="00E30750" w:rsidTr="00D56AEB">
        <w:trPr>
          <w:trHeight w:val="26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2017</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$601,338</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$669,279</w:t>
            </w:r>
          </w:p>
        </w:tc>
        <w:tc>
          <w:tcPr>
            <w:tcW w:w="1300" w:type="dxa"/>
            <w:tcBorders>
              <w:top w:val="nil"/>
              <w:left w:val="nil"/>
              <w:bottom w:val="single" w:sz="4" w:space="0" w:color="auto"/>
              <w:right w:val="single" w:sz="4" w:space="0" w:color="auto"/>
            </w:tcBorders>
            <w:shd w:val="clear" w:color="000000" w:fill="FFFFFF"/>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$0</w:t>
            </w:r>
          </w:p>
        </w:tc>
        <w:tc>
          <w:tcPr>
            <w:tcW w:w="1600"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$1,270,617</w:t>
            </w:r>
          </w:p>
        </w:tc>
      </w:tr>
      <w:tr w:rsidR="00D32F8C" w:rsidRPr="00E30750" w:rsidTr="00D56AEB">
        <w:trPr>
          <w:trHeight w:val="26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2018</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$623,588</w:t>
            </w:r>
          </w:p>
        </w:tc>
        <w:tc>
          <w:tcPr>
            <w:tcW w:w="130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$694,041</w:t>
            </w:r>
          </w:p>
        </w:tc>
        <w:tc>
          <w:tcPr>
            <w:tcW w:w="1300" w:type="dxa"/>
            <w:tcBorders>
              <w:top w:val="nil"/>
              <w:left w:val="nil"/>
              <w:bottom w:val="single" w:sz="4" w:space="0" w:color="auto"/>
              <w:right w:val="single" w:sz="4" w:space="0" w:color="auto"/>
            </w:tcBorders>
            <w:shd w:val="clear" w:color="000000" w:fill="FFFFFF"/>
            <w:noWrap/>
            <w:vAlign w:val="bottom"/>
            <w:hideMark/>
          </w:tcPr>
          <w:p w:rsidR="00D32F8C" w:rsidRPr="00E30750" w:rsidRDefault="00D32F8C" w:rsidP="00D56AEB">
            <w:pPr>
              <w:jc w:val="center"/>
              <w:rPr>
                <w:rFonts w:ascii="Arial" w:hAnsi="Arial" w:cs="Arial"/>
                <w:color w:val="000000"/>
                <w:sz w:val="20"/>
                <w:szCs w:val="20"/>
              </w:rPr>
            </w:pPr>
            <w:r w:rsidRPr="00E30750">
              <w:rPr>
                <w:rFonts w:ascii="Arial" w:hAnsi="Arial" w:cs="Arial"/>
                <w:color w:val="000000"/>
                <w:sz w:val="20"/>
                <w:szCs w:val="20"/>
              </w:rPr>
              <w:t>$0</w:t>
            </w:r>
          </w:p>
        </w:tc>
        <w:tc>
          <w:tcPr>
            <w:tcW w:w="1600" w:type="dxa"/>
            <w:tcBorders>
              <w:top w:val="nil"/>
              <w:left w:val="nil"/>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$1,317,629</w:t>
            </w:r>
          </w:p>
        </w:tc>
      </w:tr>
      <w:tr w:rsidR="00D32F8C" w:rsidRPr="00E30750" w:rsidTr="00D56AEB">
        <w:trPr>
          <w:trHeight w:val="276"/>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5-Year Total</w:t>
            </w:r>
          </w:p>
        </w:tc>
        <w:tc>
          <w:tcPr>
            <w:tcW w:w="1300" w:type="dxa"/>
            <w:tcBorders>
              <w:top w:val="nil"/>
              <w:left w:val="nil"/>
              <w:bottom w:val="single" w:sz="8"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$2,903,240</w:t>
            </w:r>
          </w:p>
        </w:tc>
        <w:tc>
          <w:tcPr>
            <w:tcW w:w="1300" w:type="dxa"/>
            <w:tcBorders>
              <w:top w:val="nil"/>
              <w:left w:val="nil"/>
              <w:bottom w:val="single" w:sz="8" w:space="0" w:color="auto"/>
              <w:right w:val="single" w:sz="4" w:space="0" w:color="auto"/>
            </w:tcBorders>
            <w:shd w:val="clear" w:color="auto" w:fill="auto"/>
            <w:noWrap/>
            <w:vAlign w:val="bottom"/>
            <w:hideMark/>
          </w:tcPr>
          <w:p w:rsidR="00D32F8C" w:rsidRPr="00E30750" w:rsidRDefault="00E20A79" w:rsidP="00D56AEB">
            <w:pPr>
              <w:jc w:val="center"/>
              <w:rPr>
                <w:rFonts w:ascii="Arial" w:hAnsi="Arial" w:cs="Arial"/>
                <w:b/>
                <w:bCs/>
                <w:color w:val="000000"/>
                <w:sz w:val="20"/>
                <w:szCs w:val="20"/>
              </w:rPr>
            </w:pPr>
            <w:r>
              <w:rPr>
                <w:rFonts w:ascii="Arial" w:hAnsi="Arial" w:cs="Arial"/>
                <w:b/>
                <w:bCs/>
                <w:color w:val="000000"/>
                <w:sz w:val="20"/>
                <w:szCs w:val="20"/>
              </w:rPr>
              <w:t>$2,82</w:t>
            </w:r>
            <w:r w:rsidR="00D32F8C" w:rsidRPr="00E30750">
              <w:rPr>
                <w:rFonts w:ascii="Arial" w:hAnsi="Arial" w:cs="Arial"/>
                <w:b/>
                <w:bCs/>
                <w:color w:val="000000"/>
                <w:sz w:val="20"/>
                <w:szCs w:val="20"/>
              </w:rPr>
              <w:t>4,72</w:t>
            </w:r>
            <w:r w:rsidR="00D32F8C">
              <w:rPr>
                <w:rFonts w:ascii="Arial" w:hAnsi="Arial" w:cs="Arial"/>
                <w:b/>
                <w:bCs/>
                <w:color w:val="000000"/>
                <w:sz w:val="20"/>
                <w:szCs w:val="20"/>
              </w:rPr>
              <w:t>6</w:t>
            </w:r>
          </w:p>
        </w:tc>
        <w:tc>
          <w:tcPr>
            <w:tcW w:w="1300" w:type="dxa"/>
            <w:tcBorders>
              <w:top w:val="nil"/>
              <w:left w:val="nil"/>
              <w:bottom w:val="single" w:sz="8" w:space="0" w:color="auto"/>
              <w:right w:val="single" w:sz="4" w:space="0" w:color="auto"/>
            </w:tcBorders>
            <w:shd w:val="clear" w:color="auto" w:fill="auto"/>
            <w:noWrap/>
            <w:vAlign w:val="bottom"/>
            <w:hideMark/>
          </w:tcPr>
          <w:p w:rsidR="00D32F8C" w:rsidRPr="00E30750" w:rsidRDefault="00D32F8C" w:rsidP="00D56AEB">
            <w:pPr>
              <w:jc w:val="center"/>
              <w:rPr>
                <w:rFonts w:ascii="Arial" w:hAnsi="Arial" w:cs="Arial"/>
                <w:b/>
                <w:bCs/>
                <w:color w:val="000000"/>
                <w:sz w:val="20"/>
                <w:szCs w:val="20"/>
              </w:rPr>
            </w:pPr>
            <w:r w:rsidRPr="00E30750">
              <w:rPr>
                <w:rFonts w:ascii="Arial" w:hAnsi="Arial" w:cs="Arial"/>
                <w:b/>
                <w:bCs/>
                <w:color w:val="000000"/>
                <w:sz w:val="20"/>
                <w:szCs w:val="20"/>
              </w:rPr>
              <w:t>$168,000</w:t>
            </w:r>
          </w:p>
        </w:tc>
        <w:tc>
          <w:tcPr>
            <w:tcW w:w="1600" w:type="dxa"/>
            <w:tcBorders>
              <w:top w:val="nil"/>
              <w:left w:val="nil"/>
              <w:bottom w:val="single" w:sz="8" w:space="0" w:color="auto"/>
              <w:right w:val="single" w:sz="8" w:space="0" w:color="auto"/>
            </w:tcBorders>
            <w:shd w:val="clear" w:color="auto" w:fill="auto"/>
            <w:noWrap/>
            <w:vAlign w:val="bottom"/>
            <w:hideMark/>
          </w:tcPr>
          <w:p w:rsidR="00D32F8C" w:rsidRPr="00E30750" w:rsidRDefault="00D32F8C" w:rsidP="00E20A79">
            <w:pPr>
              <w:jc w:val="center"/>
              <w:rPr>
                <w:rFonts w:ascii="Arial" w:hAnsi="Arial" w:cs="Arial"/>
                <w:b/>
                <w:bCs/>
                <w:color w:val="000000"/>
                <w:sz w:val="20"/>
                <w:szCs w:val="20"/>
              </w:rPr>
            </w:pPr>
            <w:r w:rsidRPr="00E30750">
              <w:rPr>
                <w:rFonts w:ascii="Arial" w:hAnsi="Arial" w:cs="Arial"/>
                <w:b/>
                <w:bCs/>
                <w:color w:val="000000"/>
                <w:sz w:val="20"/>
                <w:szCs w:val="20"/>
              </w:rPr>
              <w:t>$5,</w:t>
            </w:r>
            <w:r w:rsidR="00E20A79">
              <w:rPr>
                <w:rFonts w:ascii="Arial" w:hAnsi="Arial" w:cs="Arial"/>
                <w:b/>
                <w:bCs/>
                <w:color w:val="000000"/>
                <w:sz w:val="20"/>
                <w:szCs w:val="20"/>
              </w:rPr>
              <w:t>895</w:t>
            </w:r>
            <w:r w:rsidRPr="00E30750">
              <w:rPr>
                <w:rFonts w:ascii="Arial" w:hAnsi="Arial" w:cs="Arial"/>
                <w:b/>
                <w:bCs/>
                <w:color w:val="000000"/>
                <w:sz w:val="20"/>
                <w:szCs w:val="20"/>
              </w:rPr>
              <w:t>,96</w:t>
            </w:r>
            <w:r>
              <w:rPr>
                <w:rFonts w:ascii="Arial" w:hAnsi="Arial" w:cs="Arial"/>
                <w:b/>
                <w:bCs/>
                <w:color w:val="000000"/>
                <w:sz w:val="20"/>
                <w:szCs w:val="20"/>
              </w:rPr>
              <w:t>6</w:t>
            </w:r>
          </w:p>
        </w:tc>
      </w:tr>
    </w:tbl>
    <w:p w:rsidR="00D32F8C" w:rsidRPr="00BE3107" w:rsidRDefault="00D32F8C" w:rsidP="00D32F8C">
      <w:pPr>
        <w:rPr>
          <w:rFonts w:ascii="Arial" w:hAnsi="Arial" w:cs="Arial"/>
          <w:b/>
          <w:i/>
          <w:sz w:val="20"/>
          <w:szCs w:val="20"/>
        </w:rPr>
      </w:pPr>
      <w:r w:rsidRPr="00BE3107">
        <w:rPr>
          <w:rFonts w:ascii="Arial" w:hAnsi="Arial" w:cs="Arial"/>
          <w:b/>
          <w:i/>
          <w:sz w:val="20"/>
          <w:szCs w:val="20"/>
        </w:rPr>
        <w:t>Note: Numbers may not add due to rounding.</w:t>
      </w:r>
    </w:p>
    <w:p w:rsidR="00D32F8C" w:rsidRDefault="00D32F8C" w:rsidP="00D32F8C">
      <w:pPr>
        <w:rPr>
          <w:rFonts w:ascii="Arial" w:hAnsi="Arial" w:cs="Arial"/>
          <w:b/>
        </w:rPr>
      </w:pPr>
    </w:p>
    <w:p w:rsidR="00D32F8C" w:rsidRDefault="00D32F8C" w:rsidP="00D32F8C">
      <w:pPr>
        <w:rPr>
          <w:rFonts w:ascii="Arial" w:hAnsi="Arial" w:cs="Arial"/>
          <w:b/>
        </w:rPr>
      </w:pPr>
    </w:p>
    <w:p w:rsidR="00D32F8C" w:rsidRDefault="00D32F8C" w:rsidP="00D32F8C">
      <w:pPr>
        <w:rPr>
          <w:rFonts w:ascii="Arial" w:hAnsi="Arial" w:cs="Arial"/>
        </w:rPr>
      </w:pPr>
      <w:r w:rsidRPr="006358D0">
        <w:rPr>
          <w:rFonts w:ascii="Arial" w:hAnsi="Arial" w:cs="Arial"/>
          <w:b/>
        </w:rPr>
        <w:t>Medical Benefits Costs</w:t>
      </w:r>
    </w:p>
    <w:p w:rsidR="00D32F8C" w:rsidRDefault="00D32F8C" w:rsidP="00D32F8C">
      <w:pPr>
        <w:rPr>
          <w:rFonts w:ascii="Arial" w:hAnsi="Arial" w:cs="Arial"/>
        </w:rPr>
      </w:pPr>
    </w:p>
    <w:p w:rsidR="00D32F8C" w:rsidRDefault="00D32F8C" w:rsidP="00D32F8C">
      <w:pPr>
        <w:rPr>
          <w:rFonts w:ascii="Arial" w:hAnsi="Arial" w:cs="Arial"/>
        </w:rPr>
      </w:pPr>
      <w:r>
        <w:rPr>
          <w:rFonts w:ascii="Arial" w:hAnsi="Arial" w:cs="Arial"/>
        </w:rPr>
        <w:t>Based on the Office of Public Health analysis, VA projects 12,600 eligible family members over the next five years, VA assumes approximately 600 family members</w:t>
      </w:r>
      <w:r w:rsidRPr="00A906B8">
        <w:rPr>
          <w:rFonts w:ascii="Arial" w:hAnsi="Arial" w:cs="Arial"/>
        </w:rPr>
        <w:t xml:space="preserve"> </w:t>
      </w:r>
      <w:r>
        <w:rPr>
          <w:rFonts w:ascii="Arial" w:hAnsi="Arial" w:cs="Arial"/>
        </w:rPr>
        <w:t>will submit a claim for care from March 26, 2013 through December 31</w:t>
      </w:r>
      <w:r w:rsidRPr="009F7E0A">
        <w:rPr>
          <w:rFonts w:ascii="Arial" w:hAnsi="Arial" w:cs="Arial"/>
        </w:rPr>
        <w:t>, 2013</w:t>
      </w:r>
      <w:r>
        <w:rPr>
          <w:rFonts w:ascii="Arial" w:hAnsi="Arial" w:cs="Arial"/>
        </w:rPr>
        <w:t>.  VA anticipates that the remaining 12,000 family members will submit claims throughout FYs 2014 and 2017, at a rate of 250 per month or 3,000 per year with no increase realized in FY 2018. In FY 2014, the costs include both the family members identified in FY 2013 plus new family members in FY 2014.</w:t>
      </w:r>
    </w:p>
    <w:p w:rsidR="00D32F8C" w:rsidRDefault="00D32F8C" w:rsidP="00D32F8C">
      <w:pPr>
        <w:rPr>
          <w:rFonts w:ascii="Arial" w:hAnsi="Arial" w:cs="Arial"/>
          <w:color w:val="000000" w:themeColor="text1"/>
        </w:rPr>
      </w:pPr>
    </w:p>
    <w:p w:rsidR="00D32F8C" w:rsidRDefault="00D32F8C" w:rsidP="00D32F8C">
      <w:pPr>
        <w:rPr>
          <w:rFonts w:ascii="Arial" w:hAnsi="Arial" w:cs="Arial"/>
        </w:rPr>
      </w:pPr>
      <w:r w:rsidRPr="00164047">
        <w:rPr>
          <w:rFonts w:ascii="Arial" w:hAnsi="Arial" w:cs="Arial"/>
        </w:rPr>
        <w:t xml:space="preserve">VA assumes there will be medical benefits costs from the Camp </w:t>
      </w:r>
      <w:proofErr w:type="spellStart"/>
      <w:r w:rsidRPr="00164047">
        <w:rPr>
          <w:rFonts w:ascii="Arial" w:hAnsi="Arial" w:cs="Arial"/>
        </w:rPr>
        <w:t>Lejeune</w:t>
      </w:r>
      <w:proofErr w:type="spellEnd"/>
      <w:r w:rsidRPr="00164047">
        <w:rPr>
          <w:rFonts w:ascii="Arial" w:hAnsi="Arial" w:cs="Arial"/>
        </w:rPr>
        <w:t xml:space="preserve"> family member</w:t>
      </w:r>
      <w:r>
        <w:rPr>
          <w:rFonts w:ascii="Arial" w:hAnsi="Arial" w:cs="Arial"/>
        </w:rPr>
        <w:t>s</w:t>
      </w:r>
      <w:r w:rsidRPr="00384981">
        <w:rPr>
          <w:rFonts w:ascii="Arial" w:hAnsi="Arial" w:cs="Arial"/>
        </w:rPr>
        <w:t xml:space="preserve"> </w:t>
      </w:r>
      <w:r>
        <w:rPr>
          <w:rFonts w:ascii="Arial" w:hAnsi="Arial" w:cs="Arial"/>
        </w:rPr>
        <w:t xml:space="preserve">and the majority of this population has Medicare eligibility. Based on FY 2011 CHAMPVA and </w:t>
      </w:r>
      <w:proofErr w:type="spellStart"/>
      <w:r>
        <w:rPr>
          <w:rFonts w:ascii="Arial" w:hAnsi="Arial" w:cs="Arial"/>
        </w:rPr>
        <w:t>Spina</w:t>
      </w:r>
      <w:proofErr w:type="spellEnd"/>
      <w:r>
        <w:rPr>
          <w:rFonts w:ascii="Arial" w:hAnsi="Arial" w:cs="Arial"/>
        </w:rPr>
        <w:t xml:space="preserve"> Bifida health care claim data, it is estimated 80% of this population will have other health insurance (OHI), and VA will pay as the last payer for these claims.  VA will pay the total claim for those without insurance, estimated at 20% of the eligible family member population. </w:t>
      </w:r>
    </w:p>
    <w:p w:rsidR="00D32F8C" w:rsidRDefault="00D32F8C" w:rsidP="00D32F8C">
      <w:pPr>
        <w:rPr>
          <w:rFonts w:ascii="Arial" w:hAnsi="Arial" w:cs="Arial"/>
        </w:rPr>
      </w:pPr>
    </w:p>
    <w:p w:rsidR="00D32F8C" w:rsidRDefault="00D32F8C" w:rsidP="00D32F8C">
      <w:pPr>
        <w:rPr>
          <w:rFonts w:ascii="Arial" w:hAnsi="Arial" w:cs="Arial"/>
        </w:rPr>
      </w:pPr>
      <w:r>
        <w:rPr>
          <w:rFonts w:ascii="Arial" w:hAnsi="Arial" w:cs="Arial"/>
        </w:rPr>
        <w:t xml:space="preserve">VA applied </w:t>
      </w:r>
      <w:r w:rsidRPr="00384981">
        <w:rPr>
          <w:rFonts w:ascii="Arial" w:hAnsi="Arial" w:cs="Arial"/>
          <w:color w:val="000000"/>
        </w:rPr>
        <w:t xml:space="preserve">the CHAMPVA and </w:t>
      </w:r>
      <w:proofErr w:type="spellStart"/>
      <w:r w:rsidRPr="00384981">
        <w:rPr>
          <w:rFonts w:ascii="Arial" w:hAnsi="Arial" w:cs="Arial"/>
          <w:color w:val="000000"/>
        </w:rPr>
        <w:t>Spina</w:t>
      </w:r>
      <w:proofErr w:type="spellEnd"/>
      <w:r w:rsidRPr="00384981">
        <w:rPr>
          <w:rFonts w:ascii="Arial" w:hAnsi="Arial" w:cs="Arial"/>
          <w:color w:val="000000"/>
        </w:rPr>
        <w:t xml:space="preserve"> Bifida data</w:t>
      </w:r>
      <w:r>
        <w:rPr>
          <w:rFonts w:ascii="Arial" w:hAnsi="Arial" w:cs="Arial"/>
          <w:color w:val="000000"/>
        </w:rPr>
        <w:t>;</w:t>
      </w:r>
      <w:r w:rsidRPr="00384981">
        <w:rPr>
          <w:rFonts w:ascii="Arial" w:hAnsi="Arial" w:cs="Arial"/>
          <w:color w:val="000000"/>
        </w:rPr>
        <w:t xml:space="preserve"> the </w:t>
      </w:r>
      <w:r>
        <w:rPr>
          <w:rFonts w:ascii="Arial" w:hAnsi="Arial" w:cs="Arial"/>
          <w:color w:val="000000"/>
        </w:rPr>
        <w:t>CY 2010 National Cancer Institute Average Annual Cost of Care for individuals 65 and older;</w:t>
      </w:r>
      <w:r w:rsidRPr="00384981">
        <w:rPr>
          <w:rFonts w:ascii="Arial" w:hAnsi="Arial" w:cs="Arial"/>
          <w:color w:val="000000"/>
        </w:rPr>
        <w:t xml:space="preserve"> </w:t>
      </w:r>
      <w:r>
        <w:rPr>
          <w:rFonts w:ascii="Arial" w:hAnsi="Arial" w:cs="Arial"/>
          <w:color w:val="000000"/>
        </w:rPr>
        <w:t xml:space="preserve">and the Centers for Disease Control mortality rate tables </w:t>
      </w:r>
      <w:r w:rsidRPr="00384981">
        <w:rPr>
          <w:rFonts w:ascii="Arial" w:hAnsi="Arial" w:cs="Arial"/>
          <w:color w:val="000000"/>
        </w:rPr>
        <w:t>for the lifetime co</w:t>
      </w:r>
      <w:r>
        <w:rPr>
          <w:rFonts w:ascii="Arial" w:hAnsi="Arial" w:cs="Arial"/>
          <w:color w:val="000000"/>
        </w:rPr>
        <w:t xml:space="preserve">st of care and the expected </w:t>
      </w:r>
      <w:r w:rsidRPr="00384981">
        <w:rPr>
          <w:rFonts w:ascii="Arial" w:hAnsi="Arial" w:cs="Arial"/>
          <w:color w:val="000000"/>
        </w:rPr>
        <w:t xml:space="preserve">prevalence of the </w:t>
      </w:r>
      <w:r>
        <w:rPr>
          <w:rFonts w:ascii="Arial" w:hAnsi="Arial" w:cs="Arial"/>
          <w:color w:val="000000"/>
        </w:rPr>
        <w:t xml:space="preserve">chronic </w:t>
      </w:r>
      <w:r w:rsidRPr="00384981">
        <w:rPr>
          <w:rFonts w:ascii="Arial" w:hAnsi="Arial" w:cs="Arial"/>
          <w:color w:val="000000"/>
        </w:rPr>
        <w:t>illnesses for age and gender</w:t>
      </w:r>
      <w:r>
        <w:rPr>
          <w:rFonts w:ascii="Arial" w:hAnsi="Arial" w:cs="Arial"/>
          <w:color w:val="000000"/>
        </w:rPr>
        <w:t>.</w:t>
      </w:r>
      <w:r>
        <w:rPr>
          <w:rFonts w:ascii="Arial" w:hAnsi="Arial" w:cs="Arial"/>
        </w:rPr>
        <w:t xml:space="preserve"> Based on this information, VA estimates the average medical benefit costs for medical claims in FY 2014 at $15,294</w:t>
      </w:r>
      <w:r w:rsidRPr="006F1420">
        <w:rPr>
          <w:rFonts w:ascii="Arial" w:hAnsi="Arial" w:cs="Arial"/>
        </w:rPr>
        <w:t xml:space="preserve"> </w:t>
      </w:r>
      <w:r>
        <w:rPr>
          <w:rFonts w:ascii="Arial" w:hAnsi="Arial" w:cs="Arial"/>
        </w:rPr>
        <w:t>per family member</w:t>
      </w:r>
      <w:r w:rsidRPr="00B17BF9">
        <w:rPr>
          <w:rFonts w:ascii="Arial" w:hAnsi="Arial" w:cs="Arial"/>
        </w:rPr>
        <w:t xml:space="preserve"> </w:t>
      </w:r>
      <w:r>
        <w:rPr>
          <w:rFonts w:ascii="Arial" w:hAnsi="Arial" w:cs="Arial"/>
        </w:rPr>
        <w:t>as the primary payer and at 20% or $3,059 per family member as the last payer. This cost is increased using past CHAMPVA claim payment history at a</w:t>
      </w:r>
      <w:r w:rsidRPr="00EA79C2">
        <w:rPr>
          <w:rFonts w:ascii="Arial" w:hAnsi="Arial" w:cs="Arial"/>
        </w:rPr>
        <w:t xml:space="preserve"> rate of 5.3%</w:t>
      </w:r>
      <w:r>
        <w:rPr>
          <w:rFonts w:ascii="Arial" w:hAnsi="Arial" w:cs="Arial"/>
        </w:rPr>
        <w:t xml:space="preserve"> annually.  </w:t>
      </w:r>
    </w:p>
    <w:p w:rsidR="00D32F8C" w:rsidRDefault="00D32F8C" w:rsidP="00D32F8C">
      <w:pPr>
        <w:rPr>
          <w:rFonts w:ascii="Arial" w:hAnsi="Arial" w:cs="Arial"/>
        </w:rPr>
      </w:pPr>
    </w:p>
    <w:p w:rsidR="00D32F8C" w:rsidRDefault="00D32F8C" w:rsidP="00D32F8C">
      <w:pPr>
        <w:rPr>
          <w:rFonts w:ascii="Arial" w:hAnsi="Arial" w:cs="Arial"/>
        </w:rPr>
      </w:pPr>
      <w:r>
        <w:rPr>
          <w:rFonts w:ascii="Arial" w:hAnsi="Arial" w:cs="Arial"/>
        </w:rPr>
        <w:t xml:space="preserve">Based on the projected Camp </w:t>
      </w:r>
      <w:proofErr w:type="spellStart"/>
      <w:r>
        <w:rPr>
          <w:rFonts w:ascii="Arial" w:hAnsi="Arial" w:cs="Arial"/>
        </w:rPr>
        <w:t>Lejeune</w:t>
      </w:r>
      <w:proofErr w:type="spellEnd"/>
      <w:r>
        <w:rPr>
          <w:rFonts w:ascii="Arial" w:hAnsi="Arial" w:cs="Arial"/>
        </w:rPr>
        <w:t xml:space="preserve"> family member population for one or more of the 15 medical conditions or illnesses, VA anticipates the family member caseload in FY 2014 at 2,880 for those with OHI and 720 for those without insurance. </w:t>
      </w:r>
    </w:p>
    <w:p w:rsidR="00D32F8C" w:rsidRDefault="00D32F8C" w:rsidP="00D32F8C">
      <w:pPr>
        <w:rPr>
          <w:rFonts w:ascii="Arial" w:hAnsi="Arial" w:cs="Arial"/>
        </w:rPr>
      </w:pPr>
    </w:p>
    <w:p w:rsidR="00D32F8C" w:rsidRDefault="00D32F8C" w:rsidP="00D32F8C">
      <w:pPr>
        <w:rPr>
          <w:rFonts w:ascii="Arial" w:hAnsi="Arial" w:cs="Arial"/>
        </w:rPr>
      </w:pPr>
      <w:r>
        <w:rPr>
          <w:rFonts w:ascii="Arial" w:hAnsi="Arial" w:cs="Arial"/>
        </w:rPr>
        <w:t xml:space="preserve">Therefore, the annual medical costs are estimated to be $19,821,600 in FY2014 and $282,987,020 over a five year period.  </w:t>
      </w:r>
      <w:r w:rsidRPr="00E37D92">
        <w:rPr>
          <w:rFonts w:ascii="Arial" w:hAnsi="Arial" w:cs="Arial"/>
        </w:rPr>
        <w:t xml:space="preserve"> </w:t>
      </w:r>
    </w:p>
    <w:p w:rsidR="00D32F8C" w:rsidRDefault="00D32F8C" w:rsidP="00D32F8C">
      <w:pPr>
        <w:rPr>
          <w:rFonts w:ascii="Arial" w:hAnsi="Arial" w:cs="Arial"/>
        </w:rPr>
      </w:pPr>
      <w:r>
        <w:rPr>
          <w:rFonts w:ascii="Arial" w:hAnsi="Arial" w:cs="Arial"/>
        </w:rPr>
        <w:t xml:space="preserve">   </w:t>
      </w:r>
    </w:p>
    <w:p w:rsidR="00D32F8C" w:rsidRDefault="00D32F8C" w:rsidP="00D32F8C">
      <w:pPr>
        <w:rPr>
          <w:rFonts w:ascii="Arial" w:hAnsi="Arial" w:cs="Arial"/>
        </w:rPr>
      </w:pPr>
    </w:p>
    <w:p w:rsidR="00D32F8C" w:rsidRDefault="00D32F8C" w:rsidP="00D32F8C">
      <w:pPr>
        <w:rPr>
          <w:rFonts w:ascii="Arial" w:hAnsi="Arial" w:cs="Arial"/>
        </w:rPr>
      </w:pPr>
    </w:p>
    <w:p w:rsidR="00D32F8C" w:rsidRDefault="00D32F8C" w:rsidP="00D32F8C">
      <w:pPr>
        <w:rPr>
          <w:rFonts w:ascii="Arial" w:hAnsi="Arial" w:cs="Arial"/>
        </w:rPr>
      </w:pPr>
    </w:p>
    <w:tbl>
      <w:tblPr>
        <w:tblW w:w="9640" w:type="dxa"/>
        <w:tblInd w:w="98" w:type="dxa"/>
        <w:tblLayout w:type="fixed"/>
        <w:tblLook w:val="04A0"/>
      </w:tblPr>
      <w:tblGrid>
        <w:gridCol w:w="980"/>
        <w:gridCol w:w="1190"/>
        <w:gridCol w:w="1036"/>
        <w:gridCol w:w="1484"/>
        <w:gridCol w:w="1170"/>
        <w:gridCol w:w="900"/>
        <w:gridCol w:w="1440"/>
        <w:gridCol w:w="1440"/>
      </w:tblGrid>
      <w:tr w:rsidR="00D32F8C" w:rsidRPr="004E2891" w:rsidTr="00D56AEB">
        <w:trPr>
          <w:trHeight w:val="1320"/>
        </w:trPr>
        <w:tc>
          <w:tcPr>
            <w:tcW w:w="980" w:type="dxa"/>
            <w:tcBorders>
              <w:top w:val="single" w:sz="8" w:space="0" w:color="auto"/>
              <w:left w:val="single" w:sz="8" w:space="0" w:color="auto"/>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lastRenderedPageBreak/>
              <w:t>Fiscal Year</w:t>
            </w:r>
          </w:p>
        </w:tc>
        <w:tc>
          <w:tcPr>
            <w:tcW w:w="1190" w:type="dxa"/>
            <w:tcBorders>
              <w:top w:val="single" w:sz="8" w:space="0" w:color="auto"/>
              <w:left w:val="nil"/>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FM Caseload as Primary Payer </w:t>
            </w:r>
          </w:p>
        </w:tc>
        <w:tc>
          <w:tcPr>
            <w:tcW w:w="1036" w:type="dxa"/>
            <w:tcBorders>
              <w:top w:val="single" w:sz="8" w:space="0" w:color="auto"/>
              <w:left w:val="nil"/>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Medical Cost Per FM as Primary Payer  </w:t>
            </w:r>
          </w:p>
        </w:tc>
        <w:tc>
          <w:tcPr>
            <w:tcW w:w="1484" w:type="dxa"/>
            <w:tcBorders>
              <w:top w:val="single" w:sz="8" w:space="0" w:color="auto"/>
              <w:left w:val="nil"/>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Total Medical Cost as Primary Payer  </w:t>
            </w:r>
          </w:p>
        </w:tc>
        <w:tc>
          <w:tcPr>
            <w:tcW w:w="1170" w:type="dxa"/>
            <w:tcBorders>
              <w:top w:val="single" w:sz="8" w:space="0" w:color="auto"/>
              <w:left w:val="nil"/>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FM Caseload as Last Payer  </w:t>
            </w:r>
          </w:p>
        </w:tc>
        <w:tc>
          <w:tcPr>
            <w:tcW w:w="900" w:type="dxa"/>
            <w:tcBorders>
              <w:top w:val="single" w:sz="8" w:space="0" w:color="auto"/>
              <w:left w:val="nil"/>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Cost Per FM as Last Payer  </w:t>
            </w:r>
          </w:p>
        </w:tc>
        <w:tc>
          <w:tcPr>
            <w:tcW w:w="1440" w:type="dxa"/>
            <w:tcBorders>
              <w:top w:val="single" w:sz="8" w:space="0" w:color="auto"/>
              <w:left w:val="nil"/>
              <w:bottom w:val="single" w:sz="4" w:space="0" w:color="auto"/>
              <w:right w:val="single" w:sz="4"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Total Medical Cost as Last  Payer  </w:t>
            </w:r>
          </w:p>
        </w:tc>
        <w:tc>
          <w:tcPr>
            <w:tcW w:w="1440" w:type="dxa"/>
            <w:tcBorders>
              <w:top w:val="single" w:sz="8" w:space="0" w:color="auto"/>
              <w:left w:val="nil"/>
              <w:bottom w:val="single" w:sz="4" w:space="0" w:color="auto"/>
              <w:right w:val="single" w:sz="8" w:space="0" w:color="auto"/>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Total Medical Cost</w:t>
            </w:r>
          </w:p>
        </w:tc>
      </w:tr>
      <w:tr w:rsidR="00D32F8C" w:rsidRPr="004E2891" w:rsidTr="00D56AEB">
        <w:trPr>
          <w:trHeight w:val="26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2014</w:t>
            </w:r>
          </w:p>
        </w:tc>
        <w:tc>
          <w:tcPr>
            <w:tcW w:w="119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720</w:t>
            </w:r>
          </w:p>
        </w:tc>
        <w:tc>
          <w:tcPr>
            <w:tcW w:w="1036"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$15,294</w:t>
            </w:r>
          </w:p>
        </w:tc>
        <w:tc>
          <w:tcPr>
            <w:tcW w:w="1484"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$11,011,680</w:t>
            </w:r>
          </w:p>
        </w:tc>
        <w:tc>
          <w:tcPr>
            <w:tcW w:w="117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2,880</w:t>
            </w:r>
          </w:p>
        </w:tc>
        <w:tc>
          <w:tcPr>
            <w:tcW w:w="90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$3,059</w:t>
            </w:r>
          </w:p>
        </w:tc>
        <w:tc>
          <w:tcPr>
            <w:tcW w:w="1440"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$8,809,920</w:t>
            </w:r>
          </w:p>
        </w:tc>
        <w:tc>
          <w:tcPr>
            <w:tcW w:w="1440" w:type="dxa"/>
            <w:tcBorders>
              <w:top w:val="nil"/>
              <w:left w:val="nil"/>
              <w:bottom w:val="single" w:sz="4" w:space="0" w:color="auto"/>
              <w:right w:val="single" w:sz="8"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$19,821,600</w:t>
            </w:r>
          </w:p>
        </w:tc>
      </w:tr>
      <w:tr w:rsidR="00D32F8C" w:rsidRPr="004E2891" w:rsidTr="00D56AEB">
        <w:trPr>
          <w:trHeight w:val="26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2015</w:t>
            </w:r>
          </w:p>
        </w:tc>
        <w:tc>
          <w:tcPr>
            <w:tcW w:w="119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1,320</w:t>
            </w:r>
          </w:p>
        </w:tc>
        <w:tc>
          <w:tcPr>
            <w:tcW w:w="1036"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$16,105</w:t>
            </w:r>
          </w:p>
        </w:tc>
        <w:tc>
          <w:tcPr>
            <w:tcW w:w="1484"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$21,258,048</w:t>
            </w:r>
          </w:p>
        </w:tc>
        <w:tc>
          <w:tcPr>
            <w:tcW w:w="117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5,280</w:t>
            </w:r>
          </w:p>
        </w:tc>
        <w:tc>
          <w:tcPr>
            <w:tcW w:w="90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$3,221</w:t>
            </w:r>
          </w:p>
        </w:tc>
        <w:tc>
          <w:tcPr>
            <w:tcW w:w="1440"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$17,006,880</w:t>
            </w:r>
          </w:p>
        </w:tc>
        <w:tc>
          <w:tcPr>
            <w:tcW w:w="1440" w:type="dxa"/>
            <w:tcBorders>
              <w:top w:val="nil"/>
              <w:left w:val="nil"/>
              <w:bottom w:val="single" w:sz="4" w:space="0" w:color="auto"/>
              <w:right w:val="single" w:sz="8"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$38,264,928</w:t>
            </w:r>
          </w:p>
        </w:tc>
      </w:tr>
      <w:tr w:rsidR="00D32F8C" w:rsidRPr="004E2891" w:rsidTr="00D56AEB">
        <w:trPr>
          <w:trHeight w:val="26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2016</w:t>
            </w:r>
          </w:p>
        </w:tc>
        <w:tc>
          <w:tcPr>
            <w:tcW w:w="119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1,920</w:t>
            </w:r>
          </w:p>
        </w:tc>
        <w:tc>
          <w:tcPr>
            <w:tcW w:w="1036"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$16,958</w:t>
            </w:r>
          </w:p>
        </w:tc>
        <w:tc>
          <w:tcPr>
            <w:tcW w:w="1484"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$32,559,600</w:t>
            </w:r>
          </w:p>
        </w:tc>
        <w:tc>
          <w:tcPr>
            <w:tcW w:w="117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7,680</w:t>
            </w:r>
          </w:p>
        </w:tc>
        <w:tc>
          <w:tcPr>
            <w:tcW w:w="90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$3,392</w:t>
            </w:r>
          </w:p>
        </w:tc>
        <w:tc>
          <w:tcPr>
            <w:tcW w:w="1440"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$26,050,560</w:t>
            </w:r>
          </w:p>
        </w:tc>
        <w:tc>
          <w:tcPr>
            <w:tcW w:w="1440" w:type="dxa"/>
            <w:tcBorders>
              <w:top w:val="nil"/>
              <w:left w:val="nil"/>
              <w:bottom w:val="single" w:sz="4" w:space="0" w:color="auto"/>
              <w:right w:val="single" w:sz="8"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$58,610,160</w:t>
            </w:r>
          </w:p>
        </w:tc>
      </w:tr>
      <w:tr w:rsidR="00D32F8C" w:rsidRPr="004E2891" w:rsidTr="00D56AEB">
        <w:trPr>
          <w:trHeight w:val="26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2017</w:t>
            </w:r>
          </w:p>
        </w:tc>
        <w:tc>
          <w:tcPr>
            <w:tcW w:w="119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2,520</w:t>
            </w:r>
          </w:p>
        </w:tc>
        <w:tc>
          <w:tcPr>
            <w:tcW w:w="1036"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$17,857</w:t>
            </w:r>
          </w:p>
        </w:tc>
        <w:tc>
          <w:tcPr>
            <w:tcW w:w="1484"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$44,999,402</w:t>
            </w:r>
          </w:p>
        </w:tc>
        <w:tc>
          <w:tcPr>
            <w:tcW w:w="117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10,080</w:t>
            </w:r>
          </w:p>
        </w:tc>
        <w:tc>
          <w:tcPr>
            <w:tcW w:w="90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$3,571</w:t>
            </w:r>
          </w:p>
        </w:tc>
        <w:tc>
          <w:tcPr>
            <w:tcW w:w="1440"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$35,995,680</w:t>
            </w:r>
          </w:p>
        </w:tc>
        <w:tc>
          <w:tcPr>
            <w:tcW w:w="1440" w:type="dxa"/>
            <w:tcBorders>
              <w:top w:val="nil"/>
              <w:left w:val="nil"/>
              <w:bottom w:val="single" w:sz="4" w:space="0" w:color="auto"/>
              <w:right w:val="single" w:sz="8"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$80,995,082</w:t>
            </w:r>
          </w:p>
        </w:tc>
      </w:tr>
      <w:tr w:rsidR="00D32F8C" w:rsidRPr="004E2891" w:rsidTr="00D56AEB">
        <w:trPr>
          <w:trHeight w:val="264"/>
        </w:trPr>
        <w:tc>
          <w:tcPr>
            <w:tcW w:w="980" w:type="dxa"/>
            <w:tcBorders>
              <w:top w:val="nil"/>
              <w:left w:val="single" w:sz="8" w:space="0" w:color="auto"/>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2018</w:t>
            </w:r>
          </w:p>
        </w:tc>
        <w:tc>
          <w:tcPr>
            <w:tcW w:w="119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2,520</w:t>
            </w:r>
          </w:p>
        </w:tc>
        <w:tc>
          <w:tcPr>
            <w:tcW w:w="1036"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$18,803</w:t>
            </w:r>
          </w:p>
        </w:tc>
        <w:tc>
          <w:tcPr>
            <w:tcW w:w="1484"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$47,384,370</w:t>
            </w:r>
          </w:p>
        </w:tc>
        <w:tc>
          <w:tcPr>
            <w:tcW w:w="117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10,080</w:t>
            </w:r>
          </w:p>
        </w:tc>
        <w:tc>
          <w:tcPr>
            <w:tcW w:w="900" w:type="dxa"/>
            <w:tcBorders>
              <w:top w:val="nil"/>
              <w:left w:val="nil"/>
              <w:bottom w:val="single" w:sz="4" w:space="0" w:color="auto"/>
              <w:right w:val="single" w:sz="4" w:space="0" w:color="auto"/>
            </w:tcBorders>
            <w:shd w:val="clear" w:color="auto" w:fill="auto"/>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$3,761</w:t>
            </w:r>
          </w:p>
        </w:tc>
        <w:tc>
          <w:tcPr>
            <w:tcW w:w="1440" w:type="dxa"/>
            <w:tcBorders>
              <w:top w:val="nil"/>
              <w:left w:val="nil"/>
              <w:bottom w:val="single" w:sz="4" w:space="0" w:color="auto"/>
              <w:right w:val="single" w:sz="4"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$37,910,880</w:t>
            </w:r>
          </w:p>
        </w:tc>
        <w:tc>
          <w:tcPr>
            <w:tcW w:w="1440" w:type="dxa"/>
            <w:tcBorders>
              <w:top w:val="nil"/>
              <w:left w:val="nil"/>
              <w:bottom w:val="single" w:sz="4" w:space="0" w:color="auto"/>
              <w:right w:val="single" w:sz="8" w:space="0" w:color="auto"/>
            </w:tcBorders>
            <w:shd w:val="clear" w:color="auto" w:fill="auto"/>
            <w:noWrap/>
            <w:vAlign w:val="center"/>
            <w:hideMark/>
          </w:tcPr>
          <w:p w:rsidR="00D32F8C" w:rsidRPr="004E2891" w:rsidRDefault="00D32F8C" w:rsidP="00D56AEB">
            <w:pPr>
              <w:jc w:val="center"/>
              <w:rPr>
                <w:rFonts w:ascii="Arial" w:hAnsi="Arial" w:cs="Arial"/>
                <w:color w:val="000000"/>
                <w:sz w:val="20"/>
                <w:szCs w:val="20"/>
              </w:rPr>
            </w:pPr>
            <w:r w:rsidRPr="004E2891">
              <w:rPr>
                <w:rFonts w:ascii="Arial" w:hAnsi="Arial" w:cs="Arial"/>
                <w:color w:val="000000"/>
                <w:sz w:val="20"/>
                <w:szCs w:val="20"/>
              </w:rPr>
              <w:t>$85,295,250</w:t>
            </w:r>
          </w:p>
        </w:tc>
      </w:tr>
      <w:tr w:rsidR="00D32F8C" w:rsidRPr="004E2891" w:rsidTr="00D56AEB">
        <w:trPr>
          <w:trHeight w:val="540"/>
        </w:trPr>
        <w:tc>
          <w:tcPr>
            <w:tcW w:w="980" w:type="dxa"/>
            <w:tcBorders>
              <w:top w:val="nil"/>
              <w:left w:val="single" w:sz="8" w:space="0" w:color="auto"/>
              <w:bottom w:val="single" w:sz="8" w:space="0" w:color="auto"/>
              <w:right w:val="single" w:sz="4" w:space="0" w:color="auto"/>
            </w:tcBorders>
            <w:shd w:val="clear" w:color="000000" w:fill="FFFFFF"/>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5-Year Total</w:t>
            </w:r>
          </w:p>
        </w:tc>
        <w:tc>
          <w:tcPr>
            <w:tcW w:w="2226" w:type="dxa"/>
            <w:gridSpan w:val="2"/>
            <w:tcBorders>
              <w:top w:val="single" w:sz="4" w:space="0" w:color="auto"/>
              <w:left w:val="nil"/>
              <w:bottom w:val="single" w:sz="8" w:space="0" w:color="auto"/>
              <w:right w:val="single" w:sz="4" w:space="0" w:color="000000"/>
            </w:tcBorders>
            <w:shd w:val="clear" w:color="000000" w:fill="C5BE97"/>
            <w:vAlign w:val="center"/>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   </w:t>
            </w:r>
          </w:p>
        </w:tc>
        <w:tc>
          <w:tcPr>
            <w:tcW w:w="1484" w:type="dxa"/>
            <w:tcBorders>
              <w:top w:val="nil"/>
              <w:left w:val="nil"/>
              <w:bottom w:val="single" w:sz="8" w:space="0" w:color="auto"/>
              <w:right w:val="single" w:sz="4" w:space="0" w:color="auto"/>
            </w:tcBorders>
            <w:shd w:val="clear" w:color="000000" w:fill="FFFFFF"/>
            <w:vAlign w:val="bottom"/>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$157,213,100</w:t>
            </w:r>
          </w:p>
        </w:tc>
        <w:tc>
          <w:tcPr>
            <w:tcW w:w="2070" w:type="dxa"/>
            <w:gridSpan w:val="2"/>
            <w:tcBorders>
              <w:top w:val="single" w:sz="4" w:space="0" w:color="auto"/>
              <w:left w:val="nil"/>
              <w:bottom w:val="single" w:sz="8" w:space="0" w:color="auto"/>
              <w:right w:val="single" w:sz="4" w:space="0" w:color="000000"/>
            </w:tcBorders>
            <w:shd w:val="clear" w:color="000000" w:fill="C5BE97"/>
            <w:vAlign w:val="bottom"/>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 xml:space="preserve">   </w:t>
            </w:r>
          </w:p>
        </w:tc>
        <w:tc>
          <w:tcPr>
            <w:tcW w:w="1440" w:type="dxa"/>
            <w:tcBorders>
              <w:top w:val="nil"/>
              <w:left w:val="nil"/>
              <w:bottom w:val="single" w:sz="8" w:space="0" w:color="auto"/>
              <w:right w:val="single" w:sz="4" w:space="0" w:color="auto"/>
            </w:tcBorders>
            <w:shd w:val="clear" w:color="000000" w:fill="FFFFFF"/>
            <w:vAlign w:val="bottom"/>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$125,773,920</w:t>
            </w:r>
          </w:p>
        </w:tc>
        <w:tc>
          <w:tcPr>
            <w:tcW w:w="1440" w:type="dxa"/>
            <w:tcBorders>
              <w:top w:val="nil"/>
              <w:left w:val="nil"/>
              <w:bottom w:val="single" w:sz="8" w:space="0" w:color="auto"/>
              <w:right w:val="single" w:sz="8" w:space="0" w:color="auto"/>
            </w:tcBorders>
            <w:shd w:val="clear" w:color="000000" w:fill="FFFFFF"/>
            <w:vAlign w:val="bottom"/>
            <w:hideMark/>
          </w:tcPr>
          <w:p w:rsidR="00D32F8C" w:rsidRPr="004E2891" w:rsidRDefault="00D32F8C" w:rsidP="00D56AEB">
            <w:pPr>
              <w:jc w:val="center"/>
              <w:rPr>
                <w:rFonts w:ascii="Arial" w:hAnsi="Arial" w:cs="Arial"/>
                <w:b/>
                <w:bCs/>
                <w:color w:val="000000"/>
                <w:sz w:val="20"/>
                <w:szCs w:val="20"/>
              </w:rPr>
            </w:pPr>
            <w:r w:rsidRPr="004E2891">
              <w:rPr>
                <w:rFonts w:ascii="Arial" w:hAnsi="Arial" w:cs="Arial"/>
                <w:b/>
                <w:bCs/>
                <w:color w:val="000000"/>
                <w:sz w:val="20"/>
                <w:szCs w:val="20"/>
              </w:rPr>
              <w:t>$282,987,020</w:t>
            </w:r>
          </w:p>
        </w:tc>
      </w:tr>
    </w:tbl>
    <w:p w:rsidR="00D32F8C" w:rsidRPr="00BE3107" w:rsidRDefault="00D32F8C" w:rsidP="00D32F8C">
      <w:pPr>
        <w:rPr>
          <w:rFonts w:ascii="Arial" w:hAnsi="Arial" w:cs="Arial"/>
          <w:b/>
          <w:i/>
          <w:sz w:val="20"/>
          <w:szCs w:val="20"/>
        </w:rPr>
      </w:pPr>
      <w:r w:rsidRPr="00BE3107">
        <w:rPr>
          <w:rFonts w:ascii="Arial" w:hAnsi="Arial" w:cs="Arial"/>
          <w:b/>
          <w:i/>
          <w:sz w:val="20"/>
          <w:szCs w:val="20"/>
        </w:rPr>
        <w:t>Note: Numbers may not add due to rounding.</w:t>
      </w:r>
    </w:p>
    <w:p w:rsidR="00D32F8C" w:rsidRDefault="00D32F8C" w:rsidP="00D32F8C">
      <w:pPr>
        <w:rPr>
          <w:rFonts w:ascii="Arial" w:hAnsi="Arial" w:cs="Arial"/>
          <w:b/>
        </w:rPr>
      </w:pPr>
    </w:p>
    <w:p w:rsidR="00D32F8C" w:rsidRDefault="00D32F8C" w:rsidP="00D32F8C">
      <w:pPr>
        <w:rPr>
          <w:rFonts w:ascii="Arial" w:hAnsi="Arial" w:cs="Arial"/>
          <w:b/>
        </w:rPr>
      </w:pPr>
    </w:p>
    <w:p w:rsidR="00D32F8C" w:rsidRDefault="00D32F8C" w:rsidP="00D32F8C">
      <w:pPr>
        <w:rPr>
          <w:rFonts w:ascii="Arial" w:hAnsi="Arial" w:cs="Arial"/>
        </w:rPr>
      </w:pPr>
      <w:r>
        <w:rPr>
          <w:rFonts w:ascii="Arial" w:hAnsi="Arial" w:cs="Arial"/>
          <w:b/>
        </w:rPr>
        <w:t>Claims Processing Costs</w:t>
      </w:r>
      <w:r w:rsidRPr="00CC499F" w:rsidDel="00054DBF">
        <w:rPr>
          <w:rFonts w:ascii="Arial" w:hAnsi="Arial" w:cs="Arial"/>
        </w:rPr>
        <w:t xml:space="preserve"> </w:t>
      </w:r>
    </w:p>
    <w:p w:rsidR="00D32F8C" w:rsidRPr="006129E2" w:rsidRDefault="00D32F8C" w:rsidP="00D32F8C">
      <w:pPr>
        <w:rPr>
          <w:rFonts w:ascii="Arial" w:hAnsi="Arial" w:cs="Arial"/>
        </w:rPr>
      </w:pPr>
    </w:p>
    <w:p w:rsidR="00D32F8C" w:rsidRPr="00D75221" w:rsidRDefault="00D32F8C" w:rsidP="00D32F8C">
      <w:pPr>
        <w:rPr>
          <w:rFonts w:ascii="Arial" w:hAnsi="Arial" w:cs="Arial"/>
        </w:rPr>
      </w:pPr>
      <w:r>
        <w:rPr>
          <w:rFonts w:ascii="Arial" w:hAnsi="Arial" w:cs="Arial"/>
          <w:color w:val="000000" w:themeColor="text1"/>
        </w:rPr>
        <w:t>I</w:t>
      </w:r>
      <w:r w:rsidRPr="00D75221">
        <w:rPr>
          <w:rFonts w:ascii="Arial" w:hAnsi="Arial" w:cs="Arial"/>
          <w:color w:val="000000" w:themeColor="text1"/>
        </w:rPr>
        <w:t>n order to expedite the processing of the family member claims, VHA will use existing system capabilities at the Austin Financial Services Center</w:t>
      </w:r>
      <w:r>
        <w:rPr>
          <w:rFonts w:ascii="Arial" w:hAnsi="Arial" w:cs="Arial"/>
          <w:color w:val="000000" w:themeColor="text1"/>
        </w:rPr>
        <w:t xml:space="preserve"> (FSC)</w:t>
      </w:r>
      <w:r w:rsidRPr="007F5328">
        <w:rPr>
          <w:rFonts w:ascii="Arial" w:hAnsi="Arial" w:cs="Arial"/>
        </w:rPr>
        <w:t xml:space="preserve"> </w:t>
      </w:r>
      <w:r>
        <w:rPr>
          <w:rFonts w:ascii="Arial" w:hAnsi="Arial" w:cs="Arial"/>
        </w:rPr>
        <w:t>to process claims and provide customer service support with calls</w:t>
      </w:r>
      <w:r w:rsidRPr="00D75221">
        <w:rPr>
          <w:rFonts w:ascii="Arial" w:hAnsi="Arial" w:cs="Arial"/>
          <w:color w:val="000000" w:themeColor="text1"/>
        </w:rPr>
        <w:t xml:space="preserve">.  </w:t>
      </w:r>
      <w:r>
        <w:rPr>
          <w:rFonts w:ascii="Arial" w:hAnsi="Arial" w:cs="Arial"/>
          <w:color w:val="000000" w:themeColor="text1"/>
        </w:rPr>
        <w:t>The costs include</w:t>
      </w:r>
      <w:r w:rsidRPr="00D75221">
        <w:rPr>
          <w:rFonts w:ascii="Arial" w:hAnsi="Arial" w:cs="Arial"/>
          <w:color w:val="000000" w:themeColor="text1"/>
        </w:rPr>
        <w:t xml:space="preserve"> </w:t>
      </w:r>
      <w:r>
        <w:rPr>
          <w:rFonts w:ascii="Arial" w:hAnsi="Arial" w:cs="Arial"/>
        </w:rPr>
        <w:t>labor</w:t>
      </w:r>
      <w:r w:rsidRPr="00D75221">
        <w:rPr>
          <w:rFonts w:ascii="Arial" w:hAnsi="Arial" w:cs="Arial"/>
        </w:rPr>
        <w:t xml:space="preserve">, software </w:t>
      </w:r>
      <w:r w:rsidRPr="00D75221">
        <w:rPr>
          <w:rFonts w:ascii="Arial" w:hAnsi="Arial" w:cs="Arial"/>
          <w:color w:val="000000" w:themeColor="text1"/>
        </w:rPr>
        <w:t>licenses</w:t>
      </w:r>
      <w:r w:rsidRPr="00D75221">
        <w:rPr>
          <w:rFonts w:ascii="Arial" w:hAnsi="Arial" w:cs="Arial"/>
        </w:rPr>
        <w:t xml:space="preserve">, </w:t>
      </w:r>
      <w:r>
        <w:rPr>
          <w:rFonts w:ascii="Arial" w:hAnsi="Arial" w:cs="Arial"/>
        </w:rPr>
        <w:t>computer hardware and system</w:t>
      </w:r>
      <w:r w:rsidRPr="00D75221">
        <w:rPr>
          <w:rFonts w:ascii="Arial" w:hAnsi="Arial" w:cs="Arial"/>
        </w:rPr>
        <w:t xml:space="preserve"> </w:t>
      </w:r>
      <w:r>
        <w:rPr>
          <w:rFonts w:ascii="Arial" w:hAnsi="Arial" w:cs="Arial"/>
        </w:rPr>
        <w:t xml:space="preserve">administration and </w:t>
      </w:r>
      <w:r w:rsidRPr="00D75221">
        <w:rPr>
          <w:rFonts w:ascii="Arial" w:hAnsi="Arial" w:cs="Arial"/>
        </w:rPr>
        <w:t>maintenance</w:t>
      </w:r>
      <w:r>
        <w:rPr>
          <w:rFonts w:ascii="Arial" w:hAnsi="Arial" w:cs="Arial"/>
        </w:rPr>
        <w:t xml:space="preserve">. </w:t>
      </w:r>
      <w:r>
        <w:rPr>
          <w:rFonts w:ascii="Arial" w:hAnsi="Arial" w:cs="Arial"/>
          <w:color w:val="000000" w:themeColor="text1"/>
        </w:rPr>
        <w:t xml:space="preserve">Based on the projected workload and past history with CHAMPVA and </w:t>
      </w:r>
      <w:proofErr w:type="spellStart"/>
      <w:r>
        <w:rPr>
          <w:rFonts w:ascii="Arial" w:hAnsi="Arial" w:cs="Arial"/>
          <w:color w:val="000000" w:themeColor="text1"/>
        </w:rPr>
        <w:t>Spina</w:t>
      </w:r>
      <w:proofErr w:type="spellEnd"/>
      <w:r>
        <w:rPr>
          <w:rFonts w:ascii="Arial" w:hAnsi="Arial" w:cs="Arial"/>
          <w:color w:val="000000" w:themeColor="text1"/>
        </w:rPr>
        <w:t xml:space="preserve"> Bifida programs, </w:t>
      </w:r>
      <w:r w:rsidRPr="00D75221">
        <w:rPr>
          <w:rFonts w:ascii="Arial" w:hAnsi="Arial" w:cs="Arial"/>
        </w:rPr>
        <w:t xml:space="preserve">VA estimates this cost at $1 million per year and $5 million over a five year period. </w:t>
      </w:r>
    </w:p>
    <w:p w:rsidR="00D32F8C" w:rsidRPr="00A0485A" w:rsidRDefault="00D32F8C" w:rsidP="00D32F8C">
      <w:pPr>
        <w:rPr>
          <w:rFonts w:ascii="Arial" w:hAnsi="Arial" w:cs="Arial"/>
        </w:rPr>
      </w:pPr>
    </w:p>
    <w:p w:rsidR="00D32F8C" w:rsidRDefault="00D32F8C" w:rsidP="00D32F8C">
      <w:pPr>
        <w:rPr>
          <w:rFonts w:ascii="Arial" w:hAnsi="Arial" w:cs="Arial"/>
        </w:rPr>
      </w:pPr>
    </w:p>
    <w:p w:rsidR="00D32F8C" w:rsidRDefault="00D32F8C" w:rsidP="00D32F8C">
      <w:pPr>
        <w:rPr>
          <w:rFonts w:ascii="Arial" w:hAnsi="Arial" w:cs="Arial"/>
          <w:b/>
          <w:bCs/>
          <w:color w:val="000000"/>
          <w:sz w:val="18"/>
          <w:szCs w:val="18"/>
        </w:rPr>
      </w:pPr>
      <w:r w:rsidRPr="007E6C1E">
        <w:rPr>
          <w:rFonts w:ascii="Arial" w:hAnsi="Arial" w:cs="Arial"/>
          <w:b/>
        </w:rPr>
        <w:t>Estimated Impact:</w:t>
      </w:r>
      <w:r w:rsidRPr="0007097D">
        <w:rPr>
          <w:rFonts w:ascii="Arial" w:hAnsi="Arial" w:cs="Arial"/>
        </w:rPr>
        <w:t xml:space="preserve"> </w:t>
      </w:r>
      <w:r>
        <w:rPr>
          <w:rFonts w:ascii="Arial" w:hAnsi="Arial" w:cs="Arial"/>
        </w:rPr>
        <w:t xml:space="preserve">VA has determined that there are costs associated with this rulemaking.  The total </w:t>
      </w:r>
      <w:r w:rsidRPr="00C46D32">
        <w:rPr>
          <w:rFonts w:ascii="Arial" w:hAnsi="Arial" w:cs="Arial"/>
        </w:rPr>
        <w:t>estimated cost</w:t>
      </w:r>
      <w:r>
        <w:rPr>
          <w:rFonts w:ascii="Arial" w:hAnsi="Arial" w:cs="Arial"/>
        </w:rPr>
        <w:t>s</w:t>
      </w:r>
      <w:r w:rsidRPr="00C46D32">
        <w:rPr>
          <w:rFonts w:ascii="Arial" w:hAnsi="Arial" w:cs="Arial"/>
        </w:rPr>
        <w:t xml:space="preserve"> for </w:t>
      </w:r>
      <w:r>
        <w:rPr>
          <w:rFonts w:ascii="Arial" w:hAnsi="Arial" w:cs="Arial"/>
        </w:rPr>
        <w:t xml:space="preserve">this rulemaking are estimated to be $21,671,952 in FY2014 and </w:t>
      </w:r>
      <w:r>
        <w:rPr>
          <w:rFonts w:ascii="Arial" w:hAnsi="Arial" w:cs="Arial"/>
          <w:bCs/>
          <w:color w:val="000000"/>
        </w:rPr>
        <w:t>$293,882,986 over a five year period. There is $53M funded for this regulation in the current year.  The chart below is a summary of the previous charts.</w:t>
      </w:r>
      <w:r w:rsidRPr="00103BBA">
        <w:rPr>
          <w:rFonts w:ascii="Arial" w:hAnsi="Arial" w:cs="Arial"/>
          <w:b/>
          <w:bCs/>
          <w:color w:val="000000"/>
          <w:sz w:val="18"/>
          <w:szCs w:val="18"/>
        </w:rPr>
        <w:t xml:space="preserve"> </w:t>
      </w:r>
      <w:r>
        <w:rPr>
          <w:rFonts w:ascii="Arial" w:hAnsi="Arial" w:cs="Arial"/>
          <w:b/>
          <w:bCs/>
          <w:color w:val="000000"/>
          <w:sz w:val="18"/>
          <w:szCs w:val="18"/>
        </w:rPr>
        <w:t xml:space="preserve"> </w:t>
      </w:r>
    </w:p>
    <w:p w:rsidR="00D32F8C" w:rsidRDefault="00D32F8C" w:rsidP="00D32F8C">
      <w:pPr>
        <w:rPr>
          <w:rFonts w:ascii="Arial" w:hAnsi="Arial" w:cs="Arial"/>
          <w:b/>
          <w:bCs/>
          <w:color w:val="000000"/>
          <w:sz w:val="18"/>
          <w:szCs w:val="18"/>
        </w:rPr>
      </w:pPr>
    </w:p>
    <w:tbl>
      <w:tblPr>
        <w:tblW w:w="8470" w:type="dxa"/>
        <w:tblInd w:w="98" w:type="dxa"/>
        <w:tblLook w:val="04A0"/>
      </w:tblPr>
      <w:tblGrid>
        <w:gridCol w:w="1090"/>
        <w:gridCol w:w="1710"/>
        <w:gridCol w:w="1980"/>
        <w:gridCol w:w="1890"/>
        <w:gridCol w:w="1800"/>
      </w:tblGrid>
      <w:tr w:rsidR="00D32F8C" w:rsidRPr="00A02806" w:rsidTr="00D56AEB">
        <w:trPr>
          <w:trHeight w:val="528"/>
        </w:trPr>
        <w:tc>
          <w:tcPr>
            <w:tcW w:w="1090" w:type="dxa"/>
            <w:tcBorders>
              <w:top w:val="single" w:sz="8" w:space="0" w:color="auto"/>
              <w:left w:val="single" w:sz="8" w:space="0" w:color="auto"/>
              <w:bottom w:val="single" w:sz="4" w:space="0" w:color="auto"/>
              <w:right w:val="single" w:sz="4" w:space="0" w:color="auto"/>
            </w:tcBorders>
            <w:shd w:val="clear" w:color="000000" w:fill="C5BE97"/>
            <w:vAlign w:val="bottom"/>
            <w:hideMark/>
          </w:tcPr>
          <w:p w:rsidR="00D32F8C" w:rsidRPr="005432F6" w:rsidRDefault="00D32F8C" w:rsidP="00D56AEB">
            <w:pPr>
              <w:jc w:val="center"/>
              <w:rPr>
                <w:rFonts w:ascii="Arial" w:hAnsi="Arial" w:cs="Arial"/>
                <w:b/>
                <w:bCs/>
                <w:color w:val="000000"/>
                <w:sz w:val="20"/>
                <w:szCs w:val="20"/>
              </w:rPr>
            </w:pPr>
            <w:r w:rsidRPr="005432F6">
              <w:rPr>
                <w:rFonts w:ascii="Arial" w:hAnsi="Arial" w:cs="Arial"/>
                <w:b/>
                <w:bCs/>
                <w:color w:val="000000"/>
                <w:sz w:val="20"/>
                <w:szCs w:val="20"/>
              </w:rPr>
              <w:t>Fiscal Year</w:t>
            </w:r>
          </w:p>
        </w:tc>
        <w:tc>
          <w:tcPr>
            <w:tcW w:w="1710" w:type="dxa"/>
            <w:tcBorders>
              <w:top w:val="single" w:sz="8" w:space="0" w:color="auto"/>
              <w:left w:val="nil"/>
              <w:bottom w:val="single" w:sz="4" w:space="0" w:color="auto"/>
              <w:right w:val="single" w:sz="4" w:space="0" w:color="auto"/>
            </w:tcBorders>
            <w:shd w:val="clear" w:color="000000" w:fill="C5BE97"/>
            <w:vAlign w:val="bottom"/>
            <w:hideMark/>
          </w:tcPr>
          <w:p w:rsidR="00D32F8C" w:rsidRPr="005432F6" w:rsidRDefault="00D32F8C" w:rsidP="00D56AEB">
            <w:pPr>
              <w:jc w:val="center"/>
              <w:rPr>
                <w:rFonts w:ascii="Arial" w:hAnsi="Arial" w:cs="Arial"/>
                <w:b/>
                <w:bCs/>
                <w:color w:val="000000"/>
                <w:sz w:val="20"/>
                <w:szCs w:val="20"/>
              </w:rPr>
            </w:pPr>
            <w:r w:rsidRPr="005432F6">
              <w:rPr>
                <w:rFonts w:ascii="Arial" w:hAnsi="Arial" w:cs="Arial"/>
                <w:b/>
                <w:bCs/>
                <w:color w:val="000000"/>
                <w:sz w:val="20"/>
                <w:szCs w:val="20"/>
              </w:rPr>
              <w:t>Total FTE Costs</w:t>
            </w:r>
          </w:p>
        </w:tc>
        <w:tc>
          <w:tcPr>
            <w:tcW w:w="1980" w:type="dxa"/>
            <w:tcBorders>
              <w:top w:val="single" w:sz="8" w:space="0" w:color="auto"/>
              <w:left w:val="nil"/>
              <w:bottom w:val="single" w:sz="4" w:space="0" w:color="auto"/>
              <w:right w:val="single" w:sz="4" w:space="0" w:color="auto"/>
            </w:tcBorders>
            <w:shd w:val="clear" w:color="000000" w:fill="C5BE97"/>
            <w:vAlign w:val="bottom"/>
            <w:hideMark/>
          </w:tcPr>
          <w:p w:rsidR="00D32F8C" w:rsidRPr="005432F6" w:rsidRDefault="00D32F8C" w:rsidP="00D56AEB">
            <w:pPr>
              <w:jc w:val="center"/>
              <w:rPr>
                <w:rFonts w:ascii="Arial" w:hAnsi="Arial" w:cs="Arial"/>
                <w:b/>
                <w:bCs/>
                <w:color w:val="000000"/>
                <w:sz w:val="20"/>
                <w:szCs w:val="20"/>
              </w:rPr>
            </w:pPr>
            <w:r w:rsidRPr="005432F6">
              <w:rPr>
                <w:rFonts w:ascii="Arial" w:hAnsi="Arial" w:cs="Arial"/>
                <w:b/>
                <w:bCs/>
                <w:color w:val="000000"/>
                <w:sz w:val="20"/>
                <w:szCs w:val="20"/>
              </w:rPr>
              <w:t>Total Medical Claims Costs</w:t>
            </w:r>
          </w:p>
        </w:tc>
        <w:tc>
          <w:tcPr>
            <w:tcW w:w="1890" w:type="dxa"/>
            <w:tcBorders>
              <w:top w:val="single" w:sz="8" w:space="0" w:color="auto"/>
              <w:left w:val="nil"/>
              <w:bottom w:val="single" w:sz="4" w:space="0" w:color="auto"/>
              <w:right w:val="nil"/>
            </w:tcBorders>
            <w:shd w:val="clear" w:color="000000" w:fill="C5BE97"/>
            <w:vAlign w:val="bottom"/>
            <w:hideMark/>
          </w:tcPr>
          <w:p w:rsidR="00D32F8C" w:rsidRPr="005432F6" w:rsidRDefault="00D32F8C" w:rsidP="00D56AEB">
            <w:pPr>
              <w:jc w:val="center"/>
              <w:rPr>
                <w:rFonts w:ascii="Arial" w:hAnsi="Arial" w:cs="Arial"/>
                <w:b/>
                <w:bCs/>
                <w:color w:val="000000"/>
                <w:sz w:val="20"/>
                <w:szCs w:val="20"/>
              </w:rPr>
            </w:pPr>
            <w:r w:rsidRPr="005432F6">
              <w:rPr>
                <w:rFonts w:ascii="Arial" w:hAnsi="Arial" w:cs="Arial"/>
                <w:b/>
                <w:bCs/>
                <w:color w:val="000000"/>
                <w:sz w:val="20"/>
                <w:szCs w:val="20"/>
              </w:rPr>
              <w:t>Claims Processing Costs</w:t>
            </w:r>
          </w:p>
        </w:tc>
        <w:tc>
          <w:tcPr>
            <w:tcW w:w="1800" w:type="dxa"/>
            <w:tcBorders>
              <w:top w:val="single" w:sz="8" w:space="0" w:color="auto"/>
              <w:left w:val="single" w:sz="4" w:space="0" w:color="auto"/>
              <w:bottom w:val="single" w:sz="4" w:space="0" w:color="auto"/>
              <w:right w:val="single" w:sz="8" w:space="0" w:color="auto"/>
            </w:tcBorders>
            <w:shd w:val="clear" w:color="000000" w:fill="C5BE97"/>
            <w:vAlign w:val="bottom"/>
            <w:hideMark/>
          </w:tcPr>
          <w:p w:rsidR="00D32F8C" w:rsidRPr="005432F6" w:rsidRDefault="00D32F8C" w:rsidP="00D56AEB">
            <w:pPr>
              <w:jc w:val="center"/>
              <w:rPr>
                <w:rFonts w:ascii="Arial" w:hAnsi="Arial" w:cs="Arial"/>
                <w:b/>
                <w:bCs/>
                <w:color w:val="000000"/>
                <w:sz w:val="20"/>
                <w:szCs w:val="20"/>
              </w:rPr>
            </w:pPr>
            <w:r w:rsidRPr="005432F6">
              <w:rPr>
                <w:rFonts w:ascii="Arial" w:hAnsi="Arial" w:cs="Arial"/>
                <w:b/>
                <w:bCs/>
                <w:color w:val="000000"/>
                <w:sz w:val="20"/>
                <w:szCs w:val="20"/>
              </w:rPr>
              <w:t>Total Costs</w:t>
            </w:r>
          </w:p>
        </w:tc>
      </w:tr>
      <w:tr w:rsidR="00D32F8C" w:rsidRPr="00A02806"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5432F6" w:rsidRDefault="00D32F8C" w:rsidP="00D56AEB">
            <w:pPr>
              <w:jc w:val="center"/>
              <w:rPr>
                <w:rFonts w:ascii="Arial" w:hAnsi="Arial" w:cs="Arial"/>
                <w:color w:val="000000"/>
                <w:sz w:val="20"/>
                <w:szCs w:val="20"/>
              </w:rPr>
            </w:pPr>
            <w:r w:rsidRPr="005432F6">
              <w:rPr>
                <w:rFonts w:ascii="Arial" w:hAnsi="Arial" w:cs="Arial"/>
                <w:color w:val="000000"/>
                <w:sz w:val="20"/>
                <w:szCs w:val="20"/>
              </w:rPr>
              <w:t>2014</w:t>
            </w:r>
          </w:p>
        </w:tc>
        <w:tc>
          <w:tcPr>
            <w:tcW w:w="171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$850,352</w:t>
            </w:r>
          </w:p>
        </w:tc>
        <w:tc>
          <w:tcPr>
            <w:tcW w:w="198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$19,821,600</w:t>
            </w:r>
          </w:p>
        </w:tc>
        <w:tc>
          <w:tcPr>
            <w:tcW w:w="1890" w:type="dxa"/>
            <w:tcBorders>
              <w:top w:val="nil"/>
              <w:left w:val="nil"/>
              <w:bottom w:val="single" w:sz="4" w:space="0" w:color="auto"/>
              <w:right w:val="nil"/>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$1,000,000</w:t>
            </w:r>
          </w:p>
        </w:tc>
        <w:tc>
          <w:tcPr>
            <w:tcW w:w="1800" w:type="dxa"/>
            <w:tcBorders>
              <w:top w:val="nil"/>
              <w:left w:val="single" w:sz="4" w:space="0" w:color="auto"/>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$21,671,952</w:t>
            </w:r>
          </w:p>
        </w:tc>
      </w:tr>
      <w:tr w:rsidR="00D32F8C" w:rsidRPr="00A02806"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5432F6" w:rsidRDefault="00D32F8C" w:rsidP="00D56AEB">
            <w:pPr>
              <w:jc w:val="center"/>
              <w:rPr>
                <w:rFonts w:ascii="Arial" w:hAnsi="Arial" w:cs="Arial"/>
                <w:color w:val="000000"/>
                <w:sz w:val="20"/>
                <w:szCs w:val="20"/>
              </w:rPr>
            </w:pPr>
            <w:r w:rsidRPr="005432F6">
              <w:rPr>
                <w:rFonts w:ascii="Arial" w:hAnsi="Arial" w:cs="Arial"/>
                <w:color w:val="000000"/>
                <w:sz w:val="20"/>
                <w:szCs w:val="20"/>
              </w:rPr>
              <w:t>2015</w:t>
            </w:r>
          </w:p>
        </w:tc>
        <w:tc>
          <w:tcPr>
            <w:tcW w:w="171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$1,211,088</w:t>
            </w:r>
          </w:p>
        </w:tc>
        <w:tc>
          <w:tcPr>
            <w:tcW w:w="198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$38,264,928</w:t>
            </w:r>
          </w:p>
        </w:tc>
        <w:tc>
          <w:tcPr>
            <w:tcW w:w="1890" w:type="dxa"/>
            <w:tcBorders>
              <w:top w:val="nil"/>
              <w:left w:val="nil"/>
              <w:bottom w:val="single" w:sz="4" w:space="0" w:color="auto"/>
              <w:right w:val="nil"/>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$1,000,000</w:t>
            </w:r>
          </w:p>
        </w:tc>
        <w:tc>
          <w:tcPr>
            <w:tcW w:w="1800" w:type="dxa"/>
            <w:tcBorders>
              <w:top w:val="nil"/>
              <w:left w:val="single" w:sz="4" w:space="0" w:color="auto"/>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$40,476,016</w:t>
            </w:r>
          </w:p>
        </w:tc>
      </w:tr>
      <w:tr w:rsidR="00D32F8C" w:rsidRPr="00A02806"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5432F6" w:rsidRDefault="00D32F8C" w:rsidP="00D56AEB">
            <w:pPr>
              <w:jc w:val="center"/>
              <w:rPr>
                <w:rFonts w:ascii="Arial" w:hAnsi="Arial" w:cs="Arial"/>
                <w:color w:val="000000"/>
                <w:sz w:val="20"/>
                <w:szCs w:val="20"/>
              </w:rPr>
            </w:pPr>
            <w:r w:rsidRPr="005432F6">
              <w:rPr>
                <w:rFonts w:ascii="Arial" w:hAnsi="Arial" w:cs="Arial"/>
                <w:color w:val="000000"/>
                <w:sz w:val="20"/>
                <w:szCs w:val="20"/>
              </w:rPr>
              <w:t>2016</w:t>
            </w:r>
          </w:p>
        </w:tc>
        <w:tc>
          <w:tcPr>
            <w:tcW w:w="171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$1,246,281</w:t>
            </w:r>
          </w:p>
        </w:tc>
        <w:tc>
          <w:tcPr>
            <w:tcW w:w="198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$58,610,160</w:t>
            </w:r>
          </w:p>
        </w:tc>
        <w:tc>
          <w:tcPr>
            <w:tcW w:w="1890" w:type="dxa"/>
            <w:tcBorders>
              <w:top w:val="nil"/>
              <w:left w:val="nil"/>
              <w:bottom w:val="single" w:sz="4" w:space="0" w:color="auto"/>
              <w:right w:val="nil"/>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$1,000,000</w:t>
            </w:r>
          </w:p>
        </w:tc>
        <w:tc>
          <w:tcPr>
            <w:tcW w:w="1800" w:type="dxa"/>
            <w:tcBorders>
              <w:top w:val="nil"/>
              <w:left w:val="single" w:sz="4" w:space="0" w:color="auto"/>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$60,856,441</w:t>
            </w:r>
          </w:p>
        </w:tc>
      </w:tr>
      <w:tr w:rsidR="00D32F8C" w:rsidRPr="00A02806"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5432F6" w:rsidRDefault="00D32F8C" w:rsidP="00D56AEB">
            <w:pPr>
              <w:jc w:val="center"/>
              <w:rPr>
                <w:rFonts w:ascii="Arial" w:hAnsi="Arial" w:cs="Arial"/>
                <w:color w:val="000000"/>
                <w:sz w:val="20"/>
                <w:szCs w:val="20"/>
              </w:rPr>
            </w:pPr>
            <w:r w:rsidRPr="005432F6">
              <w:rPr>
                <w:rFonts w:ascii="Arial" w:hAnsi="Arial" w:cs="Arial"/>
                <w:color w:val="000000"/>
                <w:sz w:val="20"/>
                <w:szCs w:val="20"/>
              </w:rPr>
              <w:t>2017</w:t>
            </w:r>
          </w:p>
        </w:tc>
        <w:tc>
          <w:tcPr>
            <w:tcW w:w="171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$1,270,616</w:t>
            </w:r>
          </w:p>
        </w:tc>
        <w:tc>
          <w:tcPr>
            <w:tcW w:w="198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$80,995,082</w:t>
            </w:r>
          </w:p>
        </w:tc>
        <w:tc>
          <w:tcPr>
            <w:tcW w:w="1890" w:type="dxa"/>
            <w:tcBorders>
              <w:top w:val="nil"/>
              <w:left w:val="nil"/>
              <w:bottom w:val="single" w:sz="4" w:space="0" w:color="auto"/>
              <w:right w:val="nil"/>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$1,000,000</w:t>
            </w:r>
          </w:p>
        </w:tc>
        <w:tc>
          <w:tcPr>
            <w:tcW w:w="1800" w:type="dxa"/>
            <w:tcBorders>
              <w:top w:val="nil"/>
              <w:left w:val="single" w:sz="4" w:space="0" w:color="auto"/>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$83,265,698</w:t>
            </w:r>
          </w:p>
        </w:tc>
      </w:tr>
      <w:tr w:rsidR="00D32F8C" w:rsidRPr="00A02806" w:rsidTr="00D56AEB">
        <w:trPr>
          <w:trHeight w:val="264"/>
        </w:trPr>
        <w:tc>
          <w:tcPr>
            <w:tcW w:w="1090" w:type="dxa"/>
            <w:tcBorders>
              <w:top w:val="nil"/>
              <w:left w:val="single" w:sz="8" w:space="0" w:color="auto"/>
              <w:bottom w:val="single" w:sz="4" w:space="0" w:color="auto"/>
              <w:right w:val="single" w:sz="4" w:space="0" w:color="auto"/>
            </w:tcBorders>
            <w:shd w:val="clear" w:color="auto" w:fill="auto"/>
            <w:noWrap/>
            <w:vAlign w:val="bottom"/>
            <w:hideMark/>
          </w:tcPr>
          <w:p w:rsidR="00D32F8C" w:rsidRPr="005432F6" w:rsidRDefault="00D32F8C" w:rsidP="00D56AEB">
            <w:pPr>
              <w:jc w:val="center"/>
              <w:rPr>
                <w:rFonts w:ascii="Arial" w:hAnsi="Arial" w:cs="Arial"/>
                <w:color w:val="000000"/>
                <w:sz w:val="20"/>
                <w:szCs w:val="20"/>
              </w:rPr>
            </w:pPr>
            <w:r w:rsidRPr="005432F6">
              <w:rPr>
                <w:rFonts w:ascii="Arial" w:hAnsi="Arial" w:cs="Arial"/>
                <w:color w:val="000000"/>
                <w:sz w:val="20"/>
                <w:szCs w:val="20"/>
              </w:rPr>
              <w:t>2018</w:t>
            </w:r>
          </w:p>
        </w:tc>
        <w:tc>
          <w:tcPr>
            <w:tcW w:w="171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$1,317,629</w:t>
            </w:r>
          </w:p>
        </w:tc>
        <w:tc>
          <w:tcPr>
            <w:tcW w:w="1980" w:type="dxa"/>
            <w:tcBorders>
              <w:top w:val="nil"/>
              <w:left w:val="nil"/>
              <w:bottom w:val="single" w:sz="4" w:space="0" w:color="auto"/>
              <w:right w:val="single" w:sz="4"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$85,295,250</w:t>
            </w:r>
          </w:p>
        </w:tc>
        <w:tc>
          <w:tcPr>
            <w:tcW w:w="1890" w:type="dxa"/>
            <w:tcBorders>
              <w:top w:val="nil"/>
              <w:left w:val="nil"/>
              <w:bottom w:val="single" w:sz="4" w:space="0" w:color="auto"/>
              <w:right w:val="nil"/>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$1,000,000</w:t>
            </w:r>
          </w:p>
        </w:tc>
        <w:tc>
          <w:tcPr>
            <w:tcW w:w="1800" w:type="dxa"/>
            <w:tcBorders>
              <w:top w:val="nil"/>
              <w:left w:val="single" w:sz="4" w:space="0" w:color="auto"/>
              <w:bottom w:val="single" w:sz="4" w:space="0" w:color="auto"/>
              <w:right w:val="single" w:sz="8" w:space="0" w:color="auto"/>
            </w:tcBorders>
            <w:shd w:val="clear" w:color="auto" w:fill="auto"/>
            <w:noWrap/>
            <w:vAlign w:val="bottom"/>
            <w:hideMark/>
          </w:tcPr>
          <w:p w:rsidR="00D32F8C" w:rsidRDefault="00D32F8C" w:rsidP="00D56AEB">
            <w:pPr>
              <w:jc w:val="center"/>
              <w:rPr>
                <w:rFonts w:ascii="Arial" w:hAnsi="Arial" w:cs="Arial"/>
                <w:color w:val="000000"/>
                <w:sz w:val="20"/>
                <w:szCs w:val="20"/>
              </w:rPr>
            </w:pPr>
            <w:r>
              <w:rPr>
                <w:rFonts w:ascii="Arial" w:hAnsi="Arial" w:cs="Arial"/>
                <w:color w:val="000000"/>
                <w:sz w:val="20"/>
                <w:szCs w:val="20"/>
              </w:rPr>
              <w:t>$87,612,879</w:t>
            </w:r>
          </w:p>
        </w:tc>
      </w:tr>
      <w:tr w:rsidR="00D32F8C" w:rsidRPr="00A02806" w:rsidTr="00D56AEB">
        <w:trPr>
          <w:trHeight w:val="276"/>
        </w:trPr>
        <w:tc>
          <w:tcPr>
            <w:tcW w:w="1090" w:type="dxa"/>
            <w:tcBorders>
              <w:top w:val="nil"/>
              <w:left w:val="single" w:sz="8" w:space="0" w:color="auto"/>
              <w:bottom w:val="single" w:sz="8" w:space="0" w:color="auto"/>
              <w:right w:val="single" w:sz="4" w:space="0" w:color="auto"/>
            </w:tcBorders>
            <w:shd w:val="clear" w:color="auto" w:fill="auto"/>
            <w:noWrap/>
            <w:vAlign w:val="bottom"/>
            <w:hideMark/>
          </w:tcPr>
          <w:p w:rsidR="00D32F8C" w:rsidRPr="005432F6" w:rsidRDefault="00D32F8C" w:rsidP="00D56AEB">
            <w:pPr>
              <w:jc w:val="center"/>
              <w:rPr>
                <w:rFonts w:ascii="Arial" w:hAnsi="Arial" w:cs="Arial"/>
                <w:b/>
                <w:bCs/>
                <w:color w:val="000000"/>
                <w:sz w:val="20"/>
                <w:szCs w:val="20"/>
              </w:rPr>
            </w:pPr>
            <w:r w:rsidRPr="005432F6">
              <w:rPr>
                <w:rFonts w:ascii="Arial" w:hAnsi="Arial" w:cs="Arial"/>
                <w:b/>
                <w:bCs/>
                <w:color w:val="000000"/>
                <w:sz w:val="20"/>
                <w:szCs w:val="20"/>
              </w:rPr>
              <w:t>5-Year Total</w:t>
            </w:r>
          </w:p>
        </w:tc>
        <w:tc>
          <w:tcPr>
            <w:tcW w:w="1710" w:type="dxa"/>
            <w:tcBorders>
              <w:top w:val="nil"/>
              <w:left w:val="nil"/>
              <w:bottom w:val="single" w:sz="8" w:space="0" w:color="auto"/>
              <w:right w:val="single" w:sz="4" w:space="0" w:color="auto"/>
            </w:tcBorders>
            <w:shd w:val="clear" w:color="auto" w:fill="auto"/>
            <w:noWrap/>
            <w:vAlign w:val="bottom"/>
            <w:hideMark/>
          </w:tcPr>
          <w:p w:rsidR="00D32F8C" w:rsidRDefault="00D32F8C" w:rsidP="00D56AEB">
            <w:pPr>
              <w:jc w:val="center"/>
              <w:rPr>
                <w:rFonts w:ascii="Arial" w:hAnsi="Arial" w:cs="Arial"/>
                <w:b/>
                <w:bCs/>
                <w:color w:val="000000"/>
                <w:sz w:val="20"/>
                <w:szCs w:val="20"/>
              </w:rPr>
            </w:pPr>
            <w:r>
              <w:rPr>
                <w:rFonts w:ascii="Arial" w:hAnsi="Arial" w:cs="Arial"/>
                <w:b/>
                <w:bCs/>
                <w:color w:val="000000"/>
                <w:sz w:val="20"/>
                <w:szCs w:val="20"/>
              </w:rPr>
              <w:t>$5,895,966</w:t>
            </w:r>
          </w:p>
        </w:tc>
        <w:tc>
          <w:tcPr>
            <w:tcW w:w="1980" w:type="dxa"/>
            <w:tcBorders>
              <w:top w:val="nil"/>
              <w:left w:val="nil"/>
              <w:bottom w:val="single" w:sz="8" w:space="0" w:color="auto"/>
              <w:right w:val="single" w:sz="4" w:space="0" w:color="auto"/>
            </w:tcBorders>
            <w:shd w:val="clear" w:color="auto" w:fill="auto"/>
            <w:noWrap/>
            <w:vAlign w:val="bottom"/>
            <w:hideMark/>
          </w:tcPr>
          <w:p w:rsidR="00D32F8C" w:rsidRDefault="00D32F8C" w:rsidP="00D56AEB">
            <w:pPr>
              <w:jc w:val="center"/>
              <w:rPr>
                <w:rFonts w:ascii="Arial" w:hAnsi="Arial" w:cs="Arial"/>
                <w:b/>
                <w:bCs/>
                <w:color w:val="000000"/>
                <w:sz w:val="20"/>
                <w:szCs w:val="20"/>
              </w:rPr>
            </w:pPr>
            <w:r>
              <w:rPr>
                <w:rFonts w:ascii="Arial" w:hAnsi="Arial" w:cs="Arial"/>
                <w:b/>
                <w:bCs/>
                <w:color w:val="000000"/>
                <w:sz w:val="20"/>
                <w:szCs w:val="20"/>
              </w:rPr>
              <w:t>$282,987,020</w:t>
            </w:r>
          </w:p>
        </w:tc>
        <w:tc>
          <w:tcPr>
            <w:tcW w:w="1890" w:type="dxa"/>
            <w:tcBorders>
              <w:top w:val="nil"/>
              <w:left w:val="nil"/>
              <w:bottom w:val="single" w:sz="8" w:space="0" w:color="auto"/>
              <w:right w:val="nil"/>
            </w:tcBorders>
            <w:shd w:val="clear" w:color="auto" w:fill="auto"/>
            <w:noWrap/>
            <w:vAlign w:val="bottom"/>
            <w:hideMark/>
          </w:tcPr>
          <w:p w:rsidR="00D32F8C" w:rsidRDefault="00D32F8C" w:rsidP="00D56AEB">
            <w:pPr>
              <w:jc w:val="center"/>
              <w:rPr>
                <w:rFonts w:ascii="Arial" w:hAnsi="Arial" w:cs="Arial"/>
                <w:b/>
                <w:bCs/>
                <w:color w:val="000000"/>
                <w:sz w:val="20"/>
                <w:szCs w:val="20"/>
              </w:rPr>
            </w:pPr>
            <w:r>
              <w:rPr>
                <w:rFonts w:ascii="Arial" w:hAnsi="Arial" w:cs="Arial"/>
                <w:b/>
                <w:bCs/>
                <w:color w:val="000000"/>
                <w:sz w:val="20"/>
                <w:szCs w:val="20"/>
              </w:rPr>
              <w:t>$5,000,000</w:t>
            </w:r>
          </w:p>
        </w:tc>
        <w:tc>
          <w:tcPr>
            <w:tcW w:w="1800" w:type="dxa"/>
            <w:tcBorders>
              <w:top w:val="nil"/>
              <w:left w:val="single" w:sz="4" w:space="0" w:color="auto"/>
              <w:bottom w:val="single" w:sz="8" w:space="0" w:color="auto"/>
              <w:right w:val="single" w:sz="8" w:space="0" w:color="auto"/>
            </w:tcBorders>
            <w:shd w:val="clear" w:color="auto" w:fill="auto"/>
            <w:noWrap/>
            <w:vAlign w:val="bottom"/>
            <w:hideMark/>
          </w:tcPr>
          <w:p w:rsidR="00D32F8C" w:rsidRDefault="00D32F8C" w:rsidP="00D56AEB">
            <w:pPr>
              <w:jc w:val="center"/>
              <w:rPr>
                <w:rFonts w:ascii="Arial" w:hAnsi="Arial" w:cs="Arial"/>
                <w:b/>
                <w:bCs/>
                <w:color w:val="000000"/>
                <w:sz w:val="20"/>
                <w:szCs w:val="20"/>
              </w:rPr>
            </w:pPr>
            <w:r>
              <w:rPr>
                <w:rFonts w:ascii="Arial" w:hAnsi="Arial" w:cs="Arial"/>
                <w:b/>
                <w:bCs/>
                <w:color w:val="000000"/>
                <w:sz w:val="20"/>
                <w:szCs w:val="20"/>
              </w:rPr>
              <w:t>$293,882,986</w:t>
            </w:r>
          </w:p>
        </w:tc>
      </w:tr>
    </w:tbl>
    <w:p w:rsidR="00D32F8C" w:rsidRPr="00BE3107" w:rsidRDefault="00D32F8C" w:rsidP="00D32F8C">
      <w:pPr>
        <w:rPr>
          <w:rFonts w:ascii="Arial" w:hAnsi="Arial" w:cs="Arial"/>
          <w:b/>
          <w:i/>
          <w:sz w:val="20"/>
          <w:szCs w:val="20"/>
        </w:rPr>
      </w:pPr>
      <w:r w:rsidRPr="00BE3107">
        <w:rPr>
          <w:rFonts w:ascii="Arial" w:hAnsi="Arial" w:cs="Arial"/>
          <w:b/>
          <w:i/>
          <w:sz w:val="20"/>
          <w:szCs w:val="20"/>
        </w:rPr>
        <w:t>Note: Numbers may not add due to rounding.</w:t>
      </w:r>
    </w:p>
    <w:p w:rsidR="00D32F8C" w:rsidRDefault="00D32F8C" w:rsidP="00D32F8C">
      <w:pPr>
        <w:rPr>
          <w:rFonts w:ascii="Arial" w:hAnsi="Arial" w:cs="Arial"/>
        </w:rPr>
      </w:pPr>
      <w:bookmarkStart w:id="0" w:name="_GoBack"/>
      <w:bookmarkEnd w:id="0"/>
    </w:p>
    <w:p w:rsidR="00D32F8C" w:rsidRDefault="00D32F8C" w:rsidP="00D32F8C">
      <w:pPr>
        <w:rPr>
          <w:rFonts w:ascii="Arial" w:hAnsi="Arial" w:cs="Arial"/>
        </w:rPr>
      </w:pPr>
    </w:p>
    <w:p w:rsidR="00D32F8C" w:rsidRPr="007E6C1E" w:rsidRDefault="00D32F8C" w:rsidP="00D32F8C">
      <w:pPr>
        <w:rPr>
          <w:rFonts w:ascii="Arial" w:hAnsi="Arial" w:cs="Arial"/>
          <w:b/>
        </w:rPr>
      </w:pPr>
      <w:r w:rsidRPr="007E6C1E">
        <w:rPr>
          <w:rFonts w:ascii="Arial" w:hAnsi="Arial" w:cs="Arial"/>
          <w:b/>
        </w:rPr>
        <w:t>Submitted by:</w:t>
      </w:r>
    </w:p>
    <w:p w:rsidR="00D32F8C" w:rsidRPr="007E6C1E" w:rsidRDefault="00D32F8C" w:rsidP="00D32F8C">
      <w:pPr>
        <w:rPr>
          <w:rFonts w:ascii="Arial" w:hAnsi="Arial" w:cs="Arial"/>
        </w:rPr>
      </w:pPr>
      <w:r w:rsidRPr="007E6C1E">
        <w:rPr>
          <w:rFonts w:ascii="Arial" w:hAnsi="Arial" w:cs="Arial"/>
        </w:rPr>
        <w:t>Kristin J. Cunningham</w:t>
      </w:r>
    </w:p>
    <w:p w:rsidR="00D32F8C" w:rsidRPr="007E6C1E" w:rsidRDefault="00D32F8C" w:rsidP="00D32F8C">
      <w:pPr>
        <w:rPr>
          <w:rFonts w:ascii="Arial" w:hAnsi="Arial" w:cs="Arial"/>
        </w:rPr>
      </w:pPr>
      <w:r w:rsidRPr="007E6C1E">
        <w:rPr>
          <w:rFonts w:ascii="Arial" w:hAnsi="Arial" w:cs="Arial"/>
        </w:rPr>
        <w:t>Director, Business Policy</w:t>
      </w:r>
    </w:p>
    <w:p w:rsidR="00D32F8C" w:rsidRPr="007E6C1E" w:rsidRDefault="00D32F8C" w:rsidP="00D32F8C">
      <w:pPr>
        <w:rPr>
          <w:rFonts w:ascii="Arial" w:hAnsi="Arial" w:cs="Arial"/>
        </w:rPr>
      </w:pPr>
      <w:r w:rsidRPr="007E6C1E">
        <w:rPr>
          <w:rFonts w:ascii="Arial" w:hAnsi="Arial" w:cs="Arial"/>
        </w:rPr>
        <w:t>VHA Chief Business Office</w:t>
      </w:r>
    </w:p>
    <w:p w:rsidR="00D32F8C" w:rsidRPr="007E6C1E" w:rsidRDefault="00D32F8C" w:rsidP="00D32F8C">
      <w:pPr>
        <w:rPr>
          <w:rFonts w:ascii="Arial" w:hAnsi="Arial" w:cs="Arial"/>
        </w:rPr>
      </w:pPr>
      <w:r w:rsidRPr="007E6C1E">
        <w:rPr>
          <w:rFonts w:ascii="Arial" w:hAnsi="Arial" w:cs="Arial"/>
        </w:rPr>
        <w:t>Washington, DC</w:t>
      </w:r>
    </w:p>
    <w:p w:rsidR="00D32F8C" w:rsidRPr="008C09FE" w:rsidRDefault="00D32F8C" w:rsidP="00D32F8C">
      <w:pPr>
        <w:rPr>
          <w:rFonts w:ascii="Arial" w:hAnsi="Arial" w:cs="Arial"/>
          <w:b/>
        </w:rPr>
      </w:pPr>
      <w:r w:rsidRPr="007E6C1E">
        <w:rPr>
          <w:rFonts w:ascii="Arial" w:hAnsi="Arial" w:cs="Arial"/>
        </w:rPr>
        <w:t xml:space="preserve">Date: </w:t>
      </w:r>
      <w:r>
        <w:rPr>
          <w:rFonts w:ascii="Arial" w:hAnsi="Arial" w:cs="Arial"/>
        </w:rPr>
        <w:t>May 29, 2013</w:t>
      </w:r>
    </w:p>
    <w:p w:rsidR="00D32F8C" w:rsidRDefault="00D32F8C" w:rsidP="00CA7CBB">
      <w:pPr>
        <w:rPr>
          <w:rFonts w:ascii="Arial" w:hAnsi="Arial" w:cs="Arial"/>
          <w:b/>
        </w:rPr>
      </w:pPr>
    </w:p>
    <w:p w:rsidR="00421AE6" w:rsidRPr="008C09FE" w:rsidRDefault="00421AE6" w:rsidP="00421AE6">
      <w:pPr>
        <w:jc w:val="center"/>
        <w:rPr>
          <w:rFonts w:ascii="Arial" w:hAnsi="Arial" w:cs="Arial"/>
          <w:b/>
        </w:rPr>
      </w:pPr>
      <w:r w:rsidRPr="008C09FE">
        <w:rPr>
          <w:rFonts w:ascii="Arial" w:hAnsi="Arial" w:cs="Arial"/>
          <w:b/>
        </w:rPr>
        <w:t xml:space="preserve">(Attachment </w:t>
      </w:r>
      <w:r>
        <w:rPr>
          <w:rFonts w:ascii="Arial" w:hAnsi="Arial" w:cs="Arial"/>
          <w:b/>
        </w:rPr>
        <w:t>2</w:t>
      </w:r>
      <w:r w:rsidRPr="008C09FE">
        <w:rPr>
          <w:rFonts w:ascii="Arial" w:hAnsi="Arial" w:cs="Arial"/>
          <w:b/>
        </w:rPr>
        <w:t>)</w:t>
      </w:r>
    </w:p>
    <w:p w:rsidR="00421AE6" w:rsidRPr="00D32F8C" w:rsidRDefault="00D32F8C" w:rsidP="00D32F8C">
      <w:pPr>
        <w:jc w:val="center"/>
        <w:rPr>
          <w:rFonts w:ascii="Arial" w:hAnsi="Arial" w:cs="Arial"/>
          <w:i/>
        </w:rPr>
      </w:pPr>
      <w:r w:rsidRPr="00D32F8C">
        <w:rPr>
          <w:rFonts w:ascii="Arial" w:hAnsi="Arial" w:cs="Arial"/>
          <w:i/>
        </w:rPr>
        <w:t>(Memo applies to AO79 as well)</w:t>
      </w:r>
    </w:p>
    <w:p w:rsidR="00421AE6" w:rsidRDefault="00421AE6" w:rsidP="00CA7CBB">
      <w:pPr>
        <w:rPr>
          <w:rFonts w:ascii="Arial" w:hAnsi="Arial" w:cs="Arial"/>
          <w:b/>
        </w:rPr>
      </w:pPr>
    </w:p>
    <w:p w:rsidR="00421AE6" w:rsidRDefault="00421AE6" w:rsidP="00CA7CBB">
      <w:pPr>
        <w:rPr>
          <w:rFonts w:ascii="Arial" w:hAnsi="Arial" w:cs="Arial"/>
          <w:b/>
        </w:rPr>
      </w:pPr>
    </w:p>
    <w:p w:rsidR="00421AE6" w:rsidRDefault="00D32F8C" w:rsidP="00CA7CBB">
      <w:pPr>
        <w:rPr>
          <w:rFonts w:ascii="Arial" w:hAnsi="Arial" w:cs="Arial"/>
          <w:b/>
        </w:rPr>
      </w:pPr>
      <w:r>
        <w:rPr>
          <w:rFonts w:ascii="Arial" w:hAnsi="Arial" w:cs="Arial"/>
          <w:b/>
          <w:noProof/>
        </w:rPr>
        <w:drawing>
          <wp:inline distT="0" distB="0" distL="0" distR="0">
            <wp:extent cx="5943600" cy="5648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5648325"/>
                    </a:xfrm>
                    <a:prstGeom prst="rect">
                      <a:avLst/>
                    </a:prstGeom>
                    <a:noFill/>
                    <a:ln w="9525">
                      <a:noFill/>
                      <a:miter lim="800000"/>
                      <a:headEnd/>
                      <a:tailEnd/>
                    </a:ln>
                  </pic:spPr>
                </pic:pic>
              </a:graphicData>
            </a:graphic>
          </wp:inline>
        </w:drawing>
      </w:r>
    </w:p>
    <w:p w:rsidR="00421AE6" w:rsidRPr="008C09FE" w:rsidRDefault="00421AE6" w:rsidP="00CA7CBB">
      <w:pPr>
        <w:rPr>
          <w:rFonts w:ascii="Arial" w:hAnsi="Arial" w:cs="Arial"/>
          <w:b/>
        </w:rPr>
      </w:pPr>
    </w:p>
    <w:sectPr w:rsidR="00421AE6" w:rsidRPr="008C09FE" w:rsidSect="00F1747B">
      <w:footerReference w:type="even" r:id="rId9"/>
      <w:footerReference w:type="default" r:id="rId10"/>
      <w:pgSz w:w="12240" w:h="15840"/>
      <w:pgMar w:top="72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5C3" w:rsidRDefault="001135C3">
      <w:r>
        <w:separator/>
      </w:r>
    </w:p>
  </w:endnote>
  <w:endnote w:type="continuationSeparator" w:id="0">
    <w:p w:rsidR="001135C3" w:rsidRDefault="00113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B" w:rsidRDefault="00D40335" w:rsidP="00C70993">
    <w:pPr>
      <w:pStyle w:val="Footer"/>
      <w:framePr w:wrap="around" w:vAnchor="text" w:hAnchor="margin" w:xAlign="center" w:y="1"/>
      <w:rPr>
        <w:rStyle w:val="PageNumber"/>
      </w:rPr>
    </w:pPr>
    <w:r>
      <w:rPr>
        <w:rStyle w:val="PageNumber"/>
      </w:rPr>
      <w:fldChar w:fldCharType="begin"/>
    </w:r>
    <w:r w:rsidR="00F1747B">
      <w:rPr>
        <w:rStyle w:val="PageNumber"/>
      </w:rPr>
      <w:instrText xml:space="preserve">PAGE  </w:instrText>
    </w:r>
    <w:r>
      <w:rPr>
        <w:rStyle w:val="PageNumber"/>
      </w:rPr>
      <w:fldChar w:fldCharType="end"/>
    </w:r>
  </w:p>
  <w:p w:rsidR="00F1747B" w:rsidRDefault="00F1747B" w:rsidP="00F174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7B" w:rsidRDefault="00D40335" w:rsidP="00C70993">
    <w:pPr>
      <w:pStyle w:val="Footer"/>
      <w:framePr w:wrap="around" w:vAnchor="text" w:hAnchor="margin" w:xAlign="center" w:y="1"/>
      <w:rPr>
        <w:rStyle w:val="PageNumber"/>
      </w:rPr>
    </w:pPr>
    <w:r>
      <w:rPr>
        <w:rStyle w:val="PageNumber"/>
      </w:rPr>
      <w:fldChar w:fldCharType="begin"/>
    </w:r>
    <w:r w:rsidR="00F1747B">
      <w:rPr>
        <w:rStyle w:val="PageNumber"/>
      </w:rPr>
      <w:instrText xml:space="preserve">PAGE  </w:instrText>
    </w:r>
    <w:r>
      <w:rPr>
        <w:rStyle w:val="PageNumber"/>
      </w:rPr>
      <w:fldChar w:fldCharType="separate"/>
    </w:r>
    <w:r w:rsidR="00FA5D83">
      <w:rPr>
        <w:rStyle w:val="PageNumber"/>
        <w:noProof/>
      </w:rPr>
      <w:t>5</w:t>
    </w:r>
    <w:r>
      <w:rPr>
        <w:rStyle w:val="PageNumber"/>
      </w:rPr>
      <w:fldChar w:fldCharType="end"/>
    </w:r>
  </w:p>
  <w:p w:rsidR="008F1CE3" w:rsidRDefault="008F1CE3" w:rsidP="00F1747B">
    <w:pPr>
      <w:pStyle w:val="Footer"/>
      <w:ind w:right="360"/>
      <w:rPr>
        <w:rFonts w:ascii="Arial" w:hAnsi="Arial" w:cs="Arial"/>
        <w:vanish/>
        <w:sz w:val="24"/>
        <w:szCs w:val="24"/>
      </w:rPr>
    </w:pPr>
    <w:r>
      <w:rPr>
        <w:rFonts w:ascii="Arial" w:hAnsi="Arial" w:cs="Arial"/>
        <w:vanish/>
        <w:sz w:val="24"/>
        <w:szCs w:val="24"/>
      </w:rPr>
      <w:t>CKRUGER/lbh  05/20/04   281   28A   28   20F  H/vrc-28/28/Kruger/GOE fund use letter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5C3" w:rsidRDefault="001135C3">
      <w:r>
        <w:separator/>
      </w:r>
    </w:p>
  </w:footnote>
  <w:footnote w:type="continuationSeparator" w:id="0">
    <w:p w:rsidR="001135C3" w:rsidRDefault="00113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7435B6"/>
    <w:lvl w:ilvl="0">
      <w:numFmt w:val="decimal"/>
      <w:lvlText w:val="*"/>
      <w:lvlJc w:val="left"/>
    </w:lvl>
  </w:abstractNum>
  <w:abstractNum w:abstractNumId="1">
    <w:nsid w:val="143B4CA8"/>
    <w:multiLevelType w:val="hybridMultilevel"/>
    <w:tmpl w:val="0E1804AE"/>
    <w:lvl w:ilvl="0" w:tplc="704438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43F2509A"/>
    <w:multiLevelType w:val="hybridMultilevel"/>
    <w:tmpl w:val="DD3E2C0E"/>
    <w:lvl w:ilvl="0" w:tplc="6F941FA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E47983"/>
    <w:multiLevelType w:val="hybridMultilevel"/>
    <w:tmpl w:val="27729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4D1E75"/>
    <w:multiLevelType w:val="hybridMultilevel"/>
    <w:tmpl w:val="D220C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BF53E2"/>
    <w:multiLevelType w:val="hybridMultilevel"/>
    <w:tmpl w:val="8F342ED2"/>
    <w:lvl w:ilvl="0" w:tplc="6F941FA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7C6BA1"/>
    <w:multiLevelType w:val="hybridMultilevel"/>
    <w:tmpl w:val="6BC6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lvlOverride w:ilvl="0">
      <w:lvl w:ilvl="0">
        <w:start w:val="1"/>
        <w:numFmt w:val="bullet"/>
        <w:lvlText w:val=""/>
        <w:legacy w:legacy="1" w:legacySpace="120" w:legacyIndent="360"/>
        <w:lvlJc w:val="left"/>
        <w:pPr>
          <w:ind w:left="540" w:hanging="360"/>
        </w:pPr>
        <w:rPr>
          <w:rFonts w:ascii="Symbol" w:hAnsi="Symbol" w:hint="default"/>
        </w:rPr>
      </w:lvl>
    </w:lvlOverride>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F45DA"/>
    <w:rsid w:val="00016BFC"/>
    <w:rsid w:val="00033292"/>
    <w:rsid w:val="00036711"/>
    <w:rsid w:val="00084985"/>
    <w:rsid w:val="000E76C7"/>
    <w:rsid w:val="001135C3"/>
    <w:rsid w:val="001B1BDB"/>
    <w:rsid w:val="00212817"/>
    <w:rsid w:val="00223074"/>
    <w:rsid w:val="002962F5"/>
    <w:rsid w:val="00421AE6"/>
    <w:rsid w:val="00425BDC"/>
    <w:rsid w:val="005050DC"/>
    <w:rsid w:val="00515955"/>
    <w:rsid w:val="005C046A"/>
    <w:rsid w:val="006C2563"/>
    <w:rsid w:val="006C3E59"/>
    <w:rsid w:val="00703A69"/>
    <w:rsid w:val="00733D99"/>
    <w:rsid w:val="007D2553"/>
    <w:rsid w:val="00845B3D"/>
    <w:rsid w:val="008C09FE"/>
    <w:rsid w:val="008E4ACD"/>
    <w:rsid w:val="008F1CE3"/>
    <w:rsid w:val="00910683"/>
    <w:rsid w:val="00924523"/>
    <w:rsid w:val="00986EB2"/>
    <w:rsid w:val="009F5CA5"/>
    <w:rsid w:val="00AB348D"/>
    <w:rsid w:val="00B31F6B"/>
    <w:rsid w:val="00BF45DA"/>
    <w:rsid w:val="00C2687F"/>
    <w:rsid w:val="00C3683E"/>
    <w:rsid w:val="00C70993"/>
    <w:rsid w:val="00CA7CBB"/>
    <w:rsid w:val="00D32F8C"/>
    <w:rsid w:val="00D40335"/>
    <w:rsid w:val="00D6076C"/>
    <w:rsid w:val="00DD2253"/>
    <w:rsid w:val="00E20A79"/>
    <w:rsid w:val="00E255C3"/>
    <w:rsid w:val="00E47B36"/>
    <w:rsid w:val="00E65F06"/>
    <w:rsid w:val="00EB0D2E"/>
    <w:rsid w:val="00F1747B"/>
    <w:rsid w:val="00F600A8"/>
    <w:rsid w:val="00F97A59"/>
    <w:rsid w:val="00FA5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F06"/>
    <w:rPr>
      <w:sz w:val="24"/>
      <w:szCs w:val="24"/>
    </w:rPr>
  </w:style>
  <w:style w:type="paragraph" w:styleId="Heading1">
    <w:name w:val="heading 1"/>
    <w:basedOn w:val="Normal"/>
    <w:next w:val="Normal"/>
    <w:qFormat/>
    <w:rsid w:val="00E65F06"/>
    <w:pPr>
      <w:keepNext/>
      <w:outlineLvl w:val="0"/>
    </w:pPr>
    <w:rPr>
      <w:rFonts w:ascii="Arial" w:hAnsi="Arial" w:cs="Arial"/>
      <w:b/>
      <w:bCs/>
    </w:rPr>
  </w:style>
  <w:style w:type="paragraph" w:styleId="Heading2">
    <w:name w:val="heading 2"/>
    <w:basedOn w:val="Normal"/>
    <w:next w:val="Normal"/>
    <w:qFormat/>
    <w:rsid w:val="00E65F06"/>
    <w:pPr>
      <w:keepNext/>
      <w:outlineLvl w:val="1"/>
    </w:pPr>
    <w:rPr>
      <w:rFonts w:ascii="Arial" w:hAnsi="Arial" w:cs="Arial"/>
    </w:rPr>
  </w:style>
  <w:style w:type="paragraph" w:styleId="Heading3">
    <w:name w:val="heading 3"/>
    <w:basedOn w:val="Normal"/>
    <w:next w:val="Normal"/>
    <w:qFormat/>
    <w:rsid w:val="00E65F06"/>
    <w:pPr>
      <w:keepNext/>
      <w:ind w:left="-2340"/>
      <w:jc w:val="center"/>
      <w:outlineLvl w:val="2"/>
    </w:pPr>
    <w:rPr>
      <w:rFonts w:ascii="Arial" w:hAnsi="Arial" w:cs="Arial"/>
      <w:b/>
      <w:bCs/>
      <w:color w:val="000080"/>
    </w:rPr>
  </w:style>
  <w:style w:type="paragraph" w:styleId="Heading4">
    <w:name w:val="heading 4"/>
    <w:basedOn w:val="Normal"/>
    <w:next w:val="Normal"/>
    <w:qFormat/>
    <w:rsid w:val="00E65F06"/>
    <w:pPr>
      <w:keepNext/>
      <w:tabs>
        <w:tab w:val="left" w:pos="360"/>
        <w:tab w:val="left" w:pos="720"/>
        <w:tab w:val="right" w:pos="9360"/>
      </w:tabs>
      <w:ind w:right="144"/>
      <w:outlineLvl w:val="3"/>
    </w:pPr>
    <w:rPr>
      <w:rFonts w:ascii="Arial" w:hAnsi="Arial" w:cs="Arial"/>
      <w:b/>
      <w:bCs/>
    </w:rPr>
  </w:style>
  <w:style w:type="paragraph" w:styleId="Heading5">
    <w:name w:val="heading 5"/>
    <w:basedOn w:val="Normal"/>
    <w:next w:val="Normal"/>
    <w:qFormat/>
    <w:rsid w:val="00E65F06"/>
    <w:pPr>
      <w:keepNext/>
      <w:outlineLvl w:val="4"/>
    </w:pPr>
    <w:rPr>
      <w:b/>
      <w:bCs/>
      <w:iCs/>
      <w:u w:val="single"/>
    </w:rPr>
  </w:style>
  <w:style w:type="paragraph" w:styleId="Heading6">
    <w:name w:val="heading 6"/>
    <w:basedOn w:val="Normal"/>
    <w:next w:val="Normal"/>
    <w:qFormat/>
    <w:rsid w:val="00E65F06"/>
    <w:pPr>
      <w:keepNext/>
      <w:outlineLvl w:val="5"/>
    </w:pPr>
    <w:rPr>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5F06"/>
    <w:pPr>
      <w:tabs>
        <w:tab w:val="center" w:pos="4320"/>
        <w:tab w:val="right" w:pos="8640"/>
      </w:tabs>
    </w:pPr>
    <w:rPr>
      <w:sz w:val="20"/>
      <w:szCs w:val="20"/>
    </w:rPr>
  </w:style>
  <w:style w:type="paragraph" w:styleId="BodyText">
    <w:name w:val="Body Text"/>
    <w:basedOn w:val="Normal"/>
    <w:rsid w:val="00E65F06"/>
    <w:rPr>
      <w:rFonts w:ascii="Arial" w:hAnsi="Arial" w:cs="Arial"/>
    </w:rPr>
  </w:style>
  <w:style w:type="paragraph" w:styleId="Header">
    <w:name w:val="header"/>
    <w:basedOn w:val="Normal"/>
    <w:rsid w:val="00E65F06"/>
    <w:pPr>
      <w:tabs>
        <w:tab w:val="center" w:pos="4320"/>
        <w:tab w:val="right" w:pos="8640"/>
      </w:tabs>
    </w:pPr>
  </w:style>
  <w:style w:type="character" w:styleId="Hyperlink">
    <w:name w:val="Hyperlink"/>
    <w:basedOn w:val="DefaultParagraphFont"/>
    <w:rsid w:val="00E65F06"/>
    <w:rPr>
      <w:color w:val="0000FF"/>
      <w:u w:val="single"/>
    </w:rPr>
  </w:style>
  <w:style w:type="paragraph" w:styleId="NormalWeb">
    <w:name w:val="Normal (Web)"/>
    <w:basedOn w:val="Normal"/>
    <w:rsid w:val="00E65F06"/>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E65F06"/>
    <w:rPr>
      <w:color w:val="800080"/>
      <w:u w:val="single"/>
    </w:rPr>
  </w:style>
  <w:style w:type="paragraph" w:styleId="BodyText2">
    <w:name w:val="Body Text 2"/>
    <w:basedOn w:val="Normal"/>
    <w:rsid w:val="00E65F06"/>
    <w:pPr>
      <w:tabs>
        <w:tab w:val="left" w:pos="360"/>
        <w:tab w:val="left" w:pos="720"/>
        <w:tab w:val="right" w:pos="9360"/>
      </w:tabs>
      <w:ind w:right="144"/>
    </w:pPr>
  </w:style>
  <w:style w:type="character" w:customStyle="1" w:styleId="bodytext1">
    <w:name w:val="bodytext1"/>
    <w:basedOn w:val="DefaultParagraphFont"/>
    <w:rsid w:val="00E65F06"/>
    <w:rPr>
      <w:rFonts w:ascii="Helvetica" w:hAnsi="Helvetica" w:hint="default"/>
      <w:color w:val="000000"/>
      <w:sz w:val="20"/>
    </w:rPr>
  </w:style>
  <w:style w:type="paragraph" w:customStyle="1" w:styleId="Preformatted">
    <w:name w:val="Preformatted"/>
    <w:basedOn w:val="Normal"/>
    <w:rsid w:val="00E65F0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styleId="BalloonText">
    <w:name w:val="Balloon Text"/>
    <w:basedOn w:val="Normal"/>
    <w:semiHidden/>
    <w:rsid w:val="00CA7CBB"/>
    <w:rPr>
      <w:rFonts w:ascii="Tahoma" w:hAnsi="Tahoma" w:cs="Tahoma"/>
      <w:sz w:val="16"/>
      <w:szCs w:val="16"/>
    </w:rPr>
  </w:style>
  <w:style w:type="character" w:styleId="PageNumber">
    <w:name w:val="page number"/>
    <w:basedOn w:val="DefaultParagraphFont"/>
    <w:rsid w:val="00F1747B"/>
  </w:style>
  <w:style w:type="paragraph" w:styleId="BodyTextIndent">
    <w:name w:val="Body Text Indent"/>
    <w:basedOn w:val="Normal"/>
    <w:rsid w:val="008C09FE"/>
    <w:pPr>
      <w:spacing w:after="120"/>
      <w:ind w:left="360"/>
    </w:pPr>
  </w:style>
  <w:style w:type="paragraph" w:styleId="Title">
    <w:name w:val="Title"/>
    <w:basedOn w:val="Normal"/>
    <w:qFormat/>
    <w:rsid w:val="008C09FE"/>
    <w:pPr>
      <w:jc w:val="center"/>
    </w:pPr>
    <w:rPr>
      <w:b/>
      <w:bCs/>
    </w:rPr>
  </w:style>
  <w:style w:type="paragraph" w:styleId="NoSpacing">
    <w:name w:val="No Spacing"/>
    <w:uiPriority w:val="1"/>
    <w:qFormat/>
    <w:rsid w:val="00D32F8C"/>
    <w:rPr>
      <w:rFonts w:eastAsia="Calibri"/>
      <w:sz w:val="24"/>
      <w:szCs w:val="24"/>
    </w:rPr>
  </w:style>
  <w:style w:type="paragraph" w:styleId="ListParagraph">
    <w:name w:val="List Paragraph"/>
    <w:basedOn w:val="Normal"/>
    <w:uiPriority w:val="34"/>
    <w:qFormat/>
    <w:rsid w:val="00D32F8C"/>
    <w:pPr>
      <w:spacing w:after="20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2159</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vba</Company>
  <LinksUpToDate>false</LinksUpToDate>
  <CharactersWithSpaces>13908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VRECKRUG</dc:creator>
  <cp:keywords/>
  <dc:description/>
  <cp:lastModifiedBy>vacoshorem</cp:lastModifiedBy>
  <cp:revision>4</cp:revision>
  <cp:lastPrinted>2007-04-17T19:50:00Z</cp:lastPrinted>
  <dcterms:created xsi:type="dcterms:W3CDTF">2013-06-04T12:22:00Z</dcterms:created>
  <dcterms:modified xsi:type="dcterms:W3CDTF">2013-06-05T15:33:00Z</dcterms:modified>
</cp:coreProperties>
</file>