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166" w:rsidRPr="00565C99" w:rsidRDefault="00B92166">
      <w:pPr>
        <w:tabs>
          <w:tab w:val="left" w:pos="540"/>
          <w:tab w:val="left" w:pos="1080"/>
          <w:tab w:val="left" w:pos="1620"/>
        </w:tabs>
        <w:rPr>
          <w:b/>
          <w:sz w:val="24"/>
          <w:u w:val="single"/>
        </w:rPr>
      </w:pPr>
      <w:r w:rsidRPr="00565C99">
        <w:rPr>
          <w:b/>
          <w:sz w:val="24"/>
        </w:rPr>
        <w:t>A.</w:t>
      </w:r>
      <w:r w:rsidRPr="00565C99">
        <w:rPr>
          <w:b/>
          <w:sz w:val="24"/>
        </w:rPr>
        <w:tab/>
      </w:r>
      <w:r w:rsidRPr="00565C99">
        <w:rPr>
          <w:b/>
          <w:sz w:val="24"/>
          <w:u w:val="single"/>
        </w:rPr>
        <w:t>JUSTIFICATION</w:t>
      </w:r>
    </w:p>
    <w:p w:rsidR="00B92166" w:rsidRDefault="00B92166">
      <w:pPr>
        <w:tabs>
          <w:tab w:val="left" w:pos="540"/>
          <w:tab w:val="left" w:pos="1080"/>
          <w:tab w:val="left" w:pos="162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Pr>
          <w:b/>
          <w:sz w:val="24"/>
        </w:rPr>
        <w:t>1.</w:t>
      </w:r>
      <w:r>
        <w:rPr>
          <w:b/>
          <w:sz w:val="24"/>
        </w:rPr>
        <w:tab/>
        <w:t>Explain the circumstances that make the collection of information necessary.  Identify legal or administrative requirements that necessitate the collection of information.</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40"/>
          <w:tab w:val="left" w:pos="1080"/>
          <w:tab w:val="left" w:pos="1620"/>
        </w:tabs>
        <w:rPr>
          <w:sz w:val="24"/>
        </w:rPr>
      </w:pPr>
      <w:r>
        <w:rPr>
          <w:sz w:val="24"/>
        </w:rPr>
        <w:tab/>
        <w:t xml:space="preserve">Public Law 105-33 amended the statutory provision of 38 U.S.C. 1729 to authorize VA to bill “reasonable charges” instead of “reasonable cost” for medical care or services provided or furnished to a </w:t>
      </w:r>
      <w:r w:rsidR="00070536">
        <w:rPr>
          <w:sz w:val="24"/>
        </w:rPr>
        <w:t>Veteran</w:t>
      </w:r>
      <w:r>
        <w:rPr>
          <w:sz w:val="24"/>
        </w:rPr>
        <w:t>:</w:t>
      </w:r>
    </w:p>
    <w:p w:rsidR="00B92166" w:rsidRDefault="00B92166">
      <w:pPr>
        <w:tabs>
          <w:tab w:val="left" w:pos="540"/>
          <w:tab w:val="left" w:pos="1080"/>
          <w:tab w:val="left" w:pos="1620"/>
        </w:tabs>
        <w:rPr>
          <w:sz w:val="24"/>
        </w:rPr>
      </w:pPr>
    </w:p>
    <w:p w:rsidR="00B92166" w:rsidRDefault="00B92166">
      <w:pPr>
        <w:tabs>
          <w:tab w:val="left" w:pos="540"/>
          <w:tab w:val="left" w:pos="1080"/>
          <w:tab w:val="left" w:pos="1620"/>
        </w:tabs>
        <w:rPr>
          <w:sz w:val="24"/>
        </w:rPr>
      </w:pPr>
      <w:r>
        <w:rPr>
          <w:sz w:val="24"/>
        </w:rPr>
        <w:tab/>
        <w:t>(a)</w:t>
      </w:r>
      <w:r>
        <w:rPr>
          <w:sz w:val="24"/>
        </w:rPr>
        <w:tab/>
        <w:t xml:space="preserve">For a non-service connected disability for which the </w:t>
      </w:r>
      <w:r w:rsidR="00070536">
        <w:rPr>
          <w:sz w:val="24"/>
        </w:rPr>
        <w:t>Veteran</w:t>
      </w:r>
      <w:r>
        <w:rPr>
          <w:sz w:val="24"/>
        </w:rPr>
        <w:t xml:space="preserve"> is entitled to care (or the payment of expenses of care) under a health-plan contract;</w:t>
      </w:r>
    </w:p>
    <w:p w:rsidR="00B92166" w:rsidRDefault="00B92166">
      <w:pPr>
        <w:tabs>
          <w:tab w:val="left" w:pos="540"/>
          <w:tab w:val="left" w:pos="1080"/>
          <w:tab w:val="left" w:pos="1620"/>
        </w:tabs>
        <w:rPr>
          <w:sz w:val="24"/>
        </w:rPr>
      </w:pPr>
    </w:p>
    <w:p w:rsidR="00B92166" w:rsidRDefault="00B92166">
      <w:pPr>
        <w:tabs>
          <w:tab w:val="left" w:pos="540"/>
          <w:tab w:val="left" w:pos="1080"/>
          <w:tab w:val="left" w:pos="1620"/>
        </w:tabs>
        <w:rPr>
          <w:sz w:val="24"/>
        </w:rPr>
      </w:pPr>
      <w:r>
        <w:rPr>
          <w:sz w:val="24"/>
        </w:rPr>
        <w:tab/>
        <w:t>(b)</w:t>
      </w:r>
      <w:r>
        <w:rPr>
          <w:sz w:val="24"/>
        </w:rPr>
        <w:tab/>
        <w:t xml:space="preserve">For a non-service connected disability incurred incident to the </w:t>
      </w:r>
      <w:r w:rsidR="00070536">
        <w:rPr>
          <w:sz w:val="24"/>
        </w:rPr>
        <w:t>Veteran</w:t>
      </w:r>
      <w:r>
        <w:rPr>
          <w:sz w:val="24"/>
        </w:rPr>
        <w:t>’s employment and covered under a worker’s compensation law or plan that provides reimbursement or indemnification for such care and services; or</w:t>
      </w:r>
    </w:p>
    <w:p w:rsidR="00B92166" w:rsidRDefault="00B92166">
      <w:pPr>
        <w:tabs>
          <w:tab w:val="left" w:pos="540"/>
          <w:tab w:val="left" w:pos="1080"/>
          <w:tab w:val="left" w:pos="1620"/>
        </w:tabs>
        <w:rPr>
          <w:sz w:val="24"/>
        </w:rPr>
      </w:pPr>
    </w:p>
    <w:p w:rsidR="00B92166" w:rsidRDefault="00B92166">
      <w:pPr>
        <w:tabs>
          <w:tab w:val="left" w:pos="540"/>
          <w:tab w:val="left" w:pos="1080"/>
          <w:tab w:val="left" w:pos="1620"/>
        </w:tabs>
        <w:rPr>
          <w:sz w:val="24"/>
        </w:rPr>
      </w:pPr>
      <w:r>
        <w:rPr>
          <w:sz w:val="24"/>
        </w:rPr>
        <w:tab/>
        <w:t>(c)</w:t>
      </w:r>
      <w:r>
        <w:rPr>
          <w:sz w:val="24"/>
        </w:rPr>
        <w:tab/>
        <w:t>For a non-service connected disability incurred as a result of a motor vehicle accident in a State that requires automobile accident reparations insurance.</w:t>
      </w:r>
    </w:p>
    <w:p w:rsidR="00B92166" w:rsidRDefault="00B92166">
      <w:pPr>
        <w:tabs>
          <w:tab w:val="left" w:pos="540"/>
          <w:tab w:val="left" w:pos="1080"/>
          <w:tab w:val="left" w:pos="1620"/>
        </w:tabs>
        <w:rPr>
          <w:sz w:val="24"/>
        </w:rPr>
      </w:pPr>
    </w:p>
    <w:p w:rsidR="00AE74B0" w:rsidRDefault="00AE74B0">
      <w:pPr>
        <w:tabs>
          <w:tab w:val="left" w:pos="540"/>
          <w:tab w:val="left" w:pos="1080"/>
          <w:tab w:val="left" w:pos="1620"/>
        </w:tabs>
        <w:rPr>
          <w:sz w:val="24"/>
        </w:rPr>
      </w:pPr>
      <w:r>
        <w:rPr>
          <w:sz w:val="24"/>
        </w:rPr>
        <w:t>“Reasonable charges” are collected from available data</w:t>
      </w:r>
      <w:r w:rsidR="005A6BD5">
        <w:rPr>
          <w:sz w:val="24"/>
        </w:rPr>
        <w:t xml:space="preserve"> (</w:t>
      </w:r>
      <w:r w:rsidR="009614F9">
        <w:rPr>
          <w:sz w:val="24"/>
        </w:rPr>
        <w:t xml:space="preserve">that </w:t>
      </w:r>
      <w:r w:rsidR="005A6BD5">
        <w:rPr>
          <w:sz w:val="24"/>
        </w:rPr>
        <w:t>include</w:t>
      </w:r>
      <w:r w:rsidR="009614F9">
        <w:rPr>
          <w:sz w:val="24"/>
        </w:rPr>
        <w:t>s</w:t>
      </w:r>
      <w:r w:rsidR="005A6BD5">
        <w:rPr>
          <w:sz w:val="24"/>
        </w:rPr>
        <w:t xml:space="preserve"> complexity of care, degree of skill, provider specialty, </w:t>
      </w:r>
      <w:r w:rsidR="00A83497">
        <w:rPr>
          <w:sz w:val="24"/>
        </w:rPr>
        <w:t xml:space="preserve">and third party payer </w:t>
      </w:r>
      <w:r w:rsidR="005A6BD5">
        <w:rPr>
          <w:sz w:val="24"/>
        </w:rPr>
        <w:t xml:space="preserve">prevailing charges in other area) </w:t>
      </w:r>
      <w:r>
        <w:rPr>
          <w:sz w:val="24"/>
        </w:rPr>
        <w:t xml:space="preserve">to set the local market charges for each geographic area where VA provides care. </w:t>
      </w:r>
      <w:r w:rsidR="005A6BD5">
        <w:rPr>
          <w:sz w:val="24"/>
        </w:rPr>
        <w:t xml:space="preserve">“Reasonable cost”, on the other hand, does not factor all of these criteria and can impact the amount reimbursed to the VA. </w:t>
      </w:r>
      <w:r w:rsidR="00A83497">
        <w:rPr>
          <w:sz w:val="24"/>
        </w:rPr>
        <w:t xml:space="preserve">In the circumstances described above, third party payers set their </w:t>
      </w:r>
      <w:r w:rsidR="002C3900">
        <w:rPr>
          <w:sz w:val="24"/>
        </w:rPr>
        <w:t>allowable rate structure</w:t>
      </w:r>
      <w:r w:rsidR="00A83497">
        <w:rPr>
          <w:sz w:val="24"/>
        </w:rPr>
        <w:t xml:space="preserve"> for compensable care based on their </w:t>
      </w:r>
      <w:r w:rsidR="00DE2F9F">
        <w:rPr>
          <w:sz w:val="24"/>
        </w:rPr>
        <w:t>payment</w:t>
      </w:r>
      <w:r w:rsidR="00A83497">
        <w:rPr>
          <w:sz w:val="24"/>
        </w:rPr>
        <w:t xml:space="preserve"> methodology, thus the importance </w:t>
      </w:r>
      <w:r w:rsidR="00D16DD6">
        <w:rPr>
          <w:sz w:val="24"/>
        </w:rPr>
        <w:t xml:space="preserve">in obtaining </w:t>
      </w:r>
      <w:r w:rsidR="00A83497">
        <w:rPr>
          <w:sz w:val="24"/>
        </w:rPr>
        <w:t xml:space="preserve">this information to ensure VA is reimbursed similarly to non-government entities. </w:t>
      </w:r>
      <w:r w:rsidR="00784EDC">
        <w:rPr>
          <w:sz w:val="24"/>
        </w:rPr>
        <w:t>VA also utilizes reasonable charges to settle subrogated c</w:t>
      </w:r>
      <w:r w:rsidR="0097076E">
        <w:rPr>
          <w:sz w:val="24"/>
        </w:rPr>
        <w:t>laim</w:t>
      </w:r>
      <w:r w:rsidR="008E71EA">
        <w:rPr>
          <w:sz w:val="24"/>
        </w:rPr>
        <w:t>s for worker’s compensation or motor vehicle accident</w:t>
      </w:r>
      <w:r w:rsidR="00356748">
        <w:rPr>
          <w:sz w:val="24"/>
        </w:rPr>
        <w:t>s.</w:t>
      </w:r>
    </w:p>
    <w:p w:rsidR="00AE74B0" w:rsidRDefault="00AE74B0">
      <w:pPr>
        <w:tabs>
          <w:tab w:val="left" w:pos="540"/>
          <w:tab w:val="left" w:pos="1080"/>
          <w:tab w:val="left" w:pos="162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b/>
          <w:sz w:val="24"/>
        </w:rPr>
        <w:t>2.</w:t>
      </w:r>
      <w:r>
        <w:rPr>
          <w:b/>
          <w:sz w:val="24"/>
        </w:rPr>
        <w:tab/>
        <w:t>Indicate how, by whom, and for what purposes the information is to be used; indicate actual use the agency has made of the information received from current collection.</w:t>
      </w:r>
    </w:p>
    <w:p w:rsidR="00B92166" w:rsidRDefault="00B92166">
      <w:pPr>
        <w:pStyle w:val="Heade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40"/>
          <w:tab w:val="left" w:pos="1080"/>
          <w:tab w:val="left" w:pos="1620"/>
        </w:tabs>
        <w:rPr>
          <w:sz w:val="24"/>
          <w:szCs w:val="24"/>
        </w:rPr>
      </w:pPr>
      <w:r>
        <w:rPr>
          <w:sz w:val="24"/>
        </w:rPr>
        <w:tab/>
        <w:t>Under the provisions of 38 CFR, Section 17.101(a)(</w:t>
      </w:r>
      <w:r w:rsidR="001651BC">
        <w:rPr>
          <w:sz w:val="24"/>
        </w:rPr>
        <w:t>4</w:t>
      </w:r>
      <w:r>
        <w:rPr>
          <w:sz w:val="24"/>
        </w:rPr>
        <w:t xml:space="preserve">), entitled “Amount of Recovery or Collection - Third Party Liability”, a third-party payer that is liable for reimbursing VA for health care VA provided to </w:t>
      </w:r>
      <w:r w:rsidR="00070536">
        <w:rPr>
          <w:sz w:val="24"/>
        </w:rPr>
        <w:t>Veteran</w:t>
      </w:r>
      <w:r>
        <w:rPr>
          <w:sz w:val="24"/>
        </w:rPr>
        <w:t>s with non- service-connected conditions continues to have the option of paying either the billed charges as described in Section 17.101 or the amount the health plan demonstrates it would pay to providers other than entities of the United States for the same care or services in the same geographic area.  If the amount submitted for payment is less than the amount billed, VA will accept the submission as payment, subject to verification at VA’s discretion.  A VA employee having responsibility for collection of such charges may request that the third party payer submit evidence or information to substantiate the appropriateness of the payment amount (e.g., health plan policies, provider agreements, medical evidence, proof of payment to other providers demonstrating the amount paid for the same care and</w:t>
      </w:r>
      <w:r>
        <w:rPr>
          <w:color w:val="00FF00"/>
          <w:sz w:val="24"/>
        </w:rPr>
        <w:t xml:space="preserve"> </w:t>
      </w:r>
      <w:r>
        <w:rPr>
          <w:sz w:val="24"/>
        </w:rPr>
        <w:t xml:space="preserve">services VA provided).  This information would be needed to determine whether the third-party payer has met the test of properly demonstrating its equivalent private sector provider payment amount for the same care or services and within the same geographic area as provided by </w:t>
      </w:r>
      <w:r w:rsidRPr="00976F9E">
        <w:rPr>
          <w:sz w:val="24"/>
        </w:rPr>
        <w:t>VA.</w:t>
      </w:r>
      <w:r w:rsidR="00976F9E" w:rsidRPr="00976F9E">
        <w:rPr>
          <w:sz w:val="24"/>
        </w:rPr>
        <w:t xml:space="preserve">  </w:t>
      </w:r>
      <w:r w:rsidR="00976F9E" w:rsidRPr="00976F9E">
        <w:rPr>
          <w:sz w:val="24"/>
          <w:szCs w:val="24"/>
        </w:rPr>
        <w:t xml:space="preserve">This form provides for requesting patient medical records, health </w:t>
      </w:r>
      <w:r w:rsidR="00976F9E" w:rsidRPr="00976F9E">
        <w:rPr>
          <w:sz w:val="24"/>
          <w:szCs w:val="24"/>
        </w:rPr>
        <w:lastRenderedPageBreak/>
        <w:t>plan policies, provider agreements and any type or records that provide evidence of medical services and proof of payments made to others for the same medical care and services.</w:t>
      </w:r>
    </w:p>
    <w:p w:rsidR="008E71EA" w:rsidRDefault="008E71EA">
      <w:pPr>
        <w:tabs>
          <w:tab w:val="left" w:pos="540"/>
          <w:tab w:val="left" w:pos="1080"/>
          <w:tab w:val="left" w:pos="1620"/>
        </w:tabs>
        <w:rPr>
          <w:sz w:val="24"/>
          <w:szCs w:val="24"/>
        </w:rPr>
      </w:pPr>
    </w:p>
    <w:p w:rsidR="008E71EA" w:rsidRDefault="00D16DD6">
      <w:pPr>
        <w:tabs>
          <w:tab w:val="left" w:pos="540"/>
          <w:tab w:val="left" w:pos="1080"/>
          <w:tab w:val="left" w:pos="1620"/>
        </w:tabs>
        <w:rPr>
          <w:sz w:val="24"/>
        </w:rPr>
      </w:pPr>
      <w:r>
        <w:rPr>
          <w:sz w:val="24"/>
          <w:szCs w:val="24"/>
        </w:rPr>
        <w:tab/>
      </w:r>
      <w:r w:rsidR="008E71EA">
        <w:rPr>
          <w:sz w:val="24"/>
          <w:szCs w:val="24"/>
        </w:rPr>
        <w:t xml:space="preserve">If VA accepts the submitted payment that is less than the billed charges, the third party payer can be subject to rate verification. In the </w:t>
      </w:r>
      <w:r>
        <w:rPr>
          <w:sz w:val="24"/>
          <w:szCs w:val="24"/>
        </w:rPr>
        <w:t xml:space="preserve">event that </w:t>
      </w:r>
      <w:r w:rsidR="008E71EA">
        <w:rPr>
          <w:sz w:val="24"/>
          <w:szCs w:val="24"/>
        </w:rPr>
        <w:t xml:space="preserve">rate verification is conducted, </w:t>
      </w:r>
      <w:r>
        <w:rPr>
          <w:sz w:val="24"/>
          <w:szCs w:val="24"/>
        </w:rPr>
        <w:t xml:space="preserve">the results can be used to negotiate better rates, recoup underpayments, or amend agreements. </w:t>
      </w:r>
      <w:r w:rsidR="00777F54">
        <w:rPr>
          <w:sz w:val="24"/>
          <w:szCs w:val="24"/>
        </w:rPr>
        <w:t>Absent a</w:t>
      </w:r>
      <w:r w:rsidR="00DE2F9F">
        <w:rPr>
          <w:sz w:val="24"/>
          <w:szCs w:val="24"/>
        </w:rPr>
        <w:t xml:space="preserve"> third party payer </w:t>
      </w:r>
      <w:r w:rsidR="002C3900">
        <w:rPr>
          <w:sz w:val="24"/>
          <w:szCs w:val="24"/>
        </w:rPr>
        <w:t>agreement,</w:t>
      </w:r>
      <w:r w:rsidR="00777F54">
        <w:rPr>
          <w:sz w:val="24"/>
          <w:szCs w:val="24"/>
        </w:rPr>
        <w:t xml:space="preserve"> VA should also be reimbursed billed charges or the amount third party payers would pay to non-government entities. </w:t>
      </w:r>
    </w:p>
    <w:p w:rsidR="00B92166" w:rsidRDefault="00B92166">
      <w:pPr>
        <w:tabs>
          <w:tab w:val="left" w:pos="540"/>
          <w:tab w:val="left" w:pos="1080"/>
          <w:tab w:val="left" w:pos="162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b/>
          <w:sz w:val="24"/>
        </w:rPr>
        <w:t>3.</w:t>
      </w:r>
      <w:r>
        <w:rPr>
          <w:b/>
          <w:sz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Pr>
          <w:b/>
          <w:sz w:val="24"/>
        </w:rPr>
        <w:t>Also described any consideration of using information technology to reduce burden.</w:t>
      </w:r>
      <w:proofErr w:type="gramEnd"/>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40"/>
          <w:tab w:val="left" w:pos="1080"/>
          <w:tab w:val="left" w:pos="1620"/>
        </w:tabs>
        <w:rPr>
          <w:sz w:val="24"/>
          <w:szCs w:val="24"/>
        </w:rPr>
      </w:pPr>
      <w:r>
        <w:rPr>
          <w:sz w:val="24"/>
        </w:rPr>
        <w:tab/>
        <w:t xml:space="preserve">The collection of information does not involve the use of automated, electronic, mechanical, or other technological collection techniques.  Additionally, VA determined that automating this data collection is not economically </w:t>
      </w:r>
      <w:r w:rsidRPr="00976F9E">
        <w:rPr>
          <w:sz w:val="24"/>
        </w:rPr>
        <w:t>feasible.</w:t>
      </w:r>
      <w:r w:rsidR="00976F9E" w:rsidRPr="00976F9E">
        <w:rPr>
          <w:sz w:val="24"/>
        </w:rPr>
        <w:t xml:space="preserve">  </w:t>
      </w:r>
      <w:r w:rsidR="00976F9E" w:rsidRPr="00976F9E">
        <w:rPr>
          <w:sz w:val="24"/>
          <w:szCs w:val="24"/>
        </w:rPr>
        <w:t>Actual claims data has to be collected from various 3</w:t>
      </w:r>
      <w:r w:rsidR="00976F9E" w:rsidRPr="00976F9E">
        <w:rPr>
          <w:sz w:val="24"/>
          <w:szCs w:val="24"/>
          <w:vertAlign w:val="superscript"/>
        </w:rPr>
        <w:t>rd</w:t>
      </w:r>
      <w:r w:rsidR="00976F9E" w:rsidRPr="00976F9E">
        <w:rPr>
          <w:sz w:val="24"/>
          <w:szCs w:val="24"/>
        </w:rPr>
        <w:t xml:space="preserve"> Party payers in various locations.</w:t>
      </w:r>
      <w:r w:rsidR="00976F9E">
        <w:rPr>
          <w:sz w:val="24"/>
          <w:szCs w:val="24"/>
        </w:rPr>
        <w:t xml:space="preserve">  When VA provides the </w:t>
      </w:r>
      <w:r w:rsidR="00976F9E" w:rsidRPr="00976F9E">
        <w:rPr>
          <w:sz w:val="24"/>
          <w:szCs w:val="24"/>
        </w:rPr>
        <w:t>data</w:t>
      </w:r>
      <w:r w:rsidR="00D11501">
        <w:rPr>
          <w:sz w:val="24"/>
          <w:szCs w:val="24"/>
        </w:rPr>
        <w:t>,</w:t>
      </w:r>
      <w:r w:rsidR="00976F9E" w:rsidRPr="00976F9E">
        <w:rPr>
          <w:sz w:val="24"/>
          <w:szCs w:val="24"/>
        </w:rPr>
        <w:t xml:space="preserve"> medical records have to be pulled on a claim by claim basis.  In order for this to be done electronically </w:t>
      </w:r>
      <w:r w:rsidR="00D11501">
        <w:rPr>
          <w:sz w:val="24"/>
          <w:szCs w:val="24"/>
        </w:rPr>
        <w:t>VHA</w:t>
      </w:r>
      <w:r w:rsidR="00976F9E" w:rsidRPr="00976F9E">
        <w:rPr>
          <w:sz w:val="24"/>
          <w:szCs w:val="24"/>
        </w:rPr>
        <w:t xml:space="preserve"> systems would have to be set up to allow for patient records and physician documentation to be pulled automatically from various systems.  </w:t>
      </w:r>
      <w:r w:rsidR="00D11501">
        <w:rPr>
          <w:sz w:val="24"/>
          <w:szCs w:val="24"/>
        </w:rPr>
        <w:t>VA</w:t>
      </w:r>
      <w:r w:rsidR="00976F9E" w:rsidRPr="00976F9E">
        <w:rPr>
          <w:sz w:val="24"/>
          <w:szCs w:val="24"/>
        </w:rPr>
        <w:t xml:space="preserve"> believe</w:t>
      </w:r>
      <w:r w:rsidR="00D11501">
        <w:rPr>
          <w:sz w:val="24"/>
          <w:szCs w:val="24"/>
        </w:rPr>
        <w:t>s</w:t>
      </w:r>
      <w:r w:rsidR="00976F9E" w:rsidRPr="00976F9E">
        <w:rPr>
          <w:sz w:val="24"/>
          <w:szCs w:val="24"/>
        </w:rPr>
        <w:t xml:space="preserve"> there has to be some manual intervention to obtain the records from various data systems.</w:t>
      </w:r>
    </w:p>
    <w:p w:rsidR="00D16DD6" w:rsidRDefault="00D16DD6">
      <w:pPr>
        <w:tabs>
          <w:tab w:val="left" w:pos="540"/>
          <w:tab w:val="left" w:pos="1080"/>
          <w:tab w:val="left" w:pos="1620"/>
        </w:tabs>
        <w:rPr>
          <w:sz w:val="24"/>
          <w:szCs w:val="24"/>
        </w:rPr>
      </w:pPr>
    </w:p>
    <w:p w:rsidR="00D16DD6" w:rsidRDefault="00D16DD6">
      <w:pPr>
        <w:tabs>
          <w:tab w:val="left" w:pos="540"/>
          <w:tab w:val="left" w:pos="1080"/>
          <w:tab w:val="left" w:pos="1620"/>
        </w:tabs>
        <w:rPr>
          <w:sz w:val="24"/>
        </w:rPr>
      </w:pPr>
      <w:r>
        <w:rPr>
          <w:sz w:val="24"/>
        </w:rPr>
        <w:tab/>
        <w:t>The requested claims data used to determine if VA is being reimbursed similarly with ot</w:t>
      </w:r>
      <w:r w:rsidR="00456915">
        <w:rPr>
          <w:sz w:val="24"/>
        </w:rPr>
        <w:t>her non-government entities in the same geographic area requires a large sample that would yield a statistically valid sample to deduce or confirm appropriate reimbursement. The third party p</w:t>
      </w:r>
      <w:r w:rsidR="000D5F69">
        <w:rPr>
          <w:sz w:val="24"/>
        </w:rPr>
        <w:t>ayer can provide the data to VA;</w:t>
      </w:r>
      <w:r w:rsidR="00456915">
        <w:rPr>
          <w:sz w:val="24"/>
        </w:rPr>
        <w:t xml:space="preserve"> however, the VA does not have the capacity to store large volume of data for the purpose of data analysis. VA can, however, if given the access to </w:t>
      </w:r>
      <w:r w:rsidR="009614F9">
        <w:rPr>
          <w:sz w:val="24"/>
        </w:rPr>
        <w:t xml:space="preserve">third </w:t>
      </w:r>
      <w:r w:rsidR="00456915">
        <w:rPr>
          <w:sz w:val="24"/>
        </w:rPr>
        <w:t>party payer’s database, analyze claims data that has been compiled electronically</w:t>
      </w:r>
      <w:r w:rsidR="000D5F69">
        <w:rPr>
          <w:sz w:val="24"/>
        </w:rPr>
        <w:t xml:space="preserve"> or through automation. </w:t>
      </w:r>
    </w:p>
    <w:p w:rsidR="00B92166" w:rsidRDefault="00B92166">
      <w:pPr>
        <w:tabs>
          <w:tab w:val="left" w:pos="540"/>
          <w:tab w:val="left" w:pos="1080"/>
          <w:tab w:val="left" w:pos="1620"/>
        </w:tabs>
        <w:rPr>
          <w:sz w:val="24"/>
        </w:rPr>
      </w:pPr>
    </w:p>
    <w:p w:rsidR="00B92166" w:rsidRDefault="00B92166">
      <w:pPr>
        <w:tabs>
          <w:tab w:val="left" w:pos="540"/>
          <w:tab w:val="left" w:pos="1080"/>
          <w:tab w:val="left" w:pos="1620"/>
        </w:tabs>
        <w:rPr>
          <w:b/>
          <w:sz w:val="24"/>
        </w:rPr>
      </w:pPr>
      <w:r>
        <w:rPr>
          <w:b/>
          <w:sz w:val="24"/>
        </w:rPr>
        <w:t>4.</w:t>
      </w:r>
      <w:r>
        <w:rPr>
          <w:b/>
          <w:sz w:val="24"/>
        </w:rPr>
        <w:tab/>
        <w:t>Describe efforts to identify duplication.  Show specifically why any similar information already available cannot be used or modified for use for the purposes described in Item 2 above.</w:t>
      </w:r>
    </w:p>
    <w:p w:rsidR="00B92166" w:rsidRDefault="00B92166">
      <w:pPr>
        <w:pStyle w:val="Heade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Pr="00976F9E" w:rsidRDefault="00B92166" w:rsidP="00070536">
      <w:pPr>
        <w:pStyle w:val="CommentText"/>
        <w:rPr>
          <w:sz w:val="24"/>
          <w:szCs w:val="24"/>
        </w:rPr>
      </w:pPr>
      <w:r>
        <w:rPr>
          <w:sz w:val="24"/>
        </w:rPr>
        <w:tab/>
        <w:t>This information is not available elsewhere and there is no duplication.</w:t>
      </w:r>
      <w:r w:rsidR="00976F9E">
        <w:rPr>
          <w:sz w:val="24"/>
        </w:rPr>
        <w:t xml:space="preserve"> </w:t>
      </w:r>
      <w:r w:rsidR="00976F9E">
        <w:rPr>
          <w:rFonts w:ascii="Arial" w:hAnsi="Arial" w:cs="Arial"/>
        </w:rPr>
        <w:t xml:space="preserve"> </w:t>
      </w:r>
      <w:r w:rsidR="00976F9E" w:rsidRPr="00C93E6C">
        <w:rPr>
          <w:rFonts w:ascii="Arial" w:hAnsi="Arial" w:cs="Arial"/>
        </w:rPr>
        <w:t xml:space="preserve"> </w:t>
      </w:r>
      <w:r w:rsidR="00976F9E" w:rsidRPr="00976F9E">
        <w:rPr>
          <w:sz w:val="24"/>
          <w:szCs w:val="24"/>
        </w:rPr>
        <w:t>In order to make the comparison of the 3</w:t>
      </w:r>
      <w:r w:rsidR="00976F9E" w:rsidRPr="00976F9E">
        <w:rPr>
          <w:sz w:val="24"/>
          <w:szCs w:val="24"/>
          <w:vertAlign w:val="superscript"/>
        </w:rPr>
        <w:t>rd</w:t>
      </w:r>
      <w:r w:rsidR="00976F9E" w:rsidRPr="00976F9E">
        <w:rPr>
          <w:sz w:val="24"/>
          <w:szCs w:val="24"/>
        </w:rPr>
        <w:t xml:space="preserve"> Party Payer data to VA data </w:t>
      </w:r>
      <w:r w:rsidR="00976F9E">
        <w:rPr>
          <w:sz w:val="24"/>
          <w:szCs w:val="24"/>
        </w:rPr>
        <w:t>VA has</w:t>
      </w:r>
      <w:r w:rsidR="00976F9E" w:rsidRPr="00976F9E">
        <w:rPr>
          <w:sz w:val="24"/>
          <w:szCs w:val="24"/>
        </w:rPr>
        <w:t xml:space="preserve"> to make sure we are comparing the same medical services provided in the same graphical area for the same timeframe.  There are adjustments to the billable charges and collections for the areas in which the </w:t>
      </w:r>
      <w:r w:rsidR="00070536">
        <w:rPr>
          <w:sz w:val="24"/>
          <w:szCs w:val="24"/>
        </w:rPr>
        <w:t>Veteran</w:t>
      </w:r>
      <w:r w:rsidR="00976F9E" w:rsidRPr="00976F9E">
        <w:rPr>
          <w:sz w:val="24"/>
          <w:szCs w:val="24"/>
        </w:rPr>
        <w:t xml:space="preserve"> is provided care.   Therefore, the records being evaluated for comparison are unique and one of a kind patient claim data.  </w:t>
      </w:r>
      <w:r w:rsidR="002C3900" w:rsidRPr="00976F9E">
        <w:rPr>
          <w:sz w:val="24"/>
          <w:szCs w:val="24"/>
        </w:rPr>
        <w:t>The reimbursement</w:t>
      </w:r>
      <w:r w:rsidR="00976F9E" w:rsidRPr="00976F9E">
        <w:rPr>
          <w:sz w:val="24"/>
          <w:szCs w:val="24"/>
        </w:rPr>
        <w:t xml:space="preserve"> received from the payer has to be based on the same geographical area for the same timeframe to judge if the 3</w:t>
      </w:r>
      <w:r w:rsidR="00976F9E" w:rsidRPr="00976F9E">
        <w:rPr>
          <w:sz w:val="24"/>
          <w:szCs w:val="24"/>
          <w:vertAlign w:val="superscript"/>
        </w:rPr>
        <w:t>rd</w:t>
      </w:r>
      <w:r w:rsidR="00976F9E" w:rsidRPr="00976F9E">
        <w:rPr>
          <w:sz w:val="24"/>
          <w:szCs w:val="24"/>
        </w:rPr>
        <w:t xml:space="preserve"> Party payers are paying us the same as the pay others in the community for the same care.  This information that is collected from the 3</w:t>
      </w:r>
      <w:r w:rsidR="00976F9E" w:rsidRPr="00976F9E">
        <w:rPr>
          <w:sz w:val="24"/>
          <w:szCs w:val="24"/>
          <w:vertAlign w:val="superscript"/>
        </w:rPr>
        <w:t>rd</w:t>
      </w:r>
      <w:r w:rsidR="00976F9E" w:rsidRPr="00976F9E">
        <w:rPr>
          <w:sz w:val="24"/>
          <w:szCs w:val="24"/>
        </w:rPr>
        <w:t xml:space="preserve"> Party Payers has to be based on the same type of medical care  rendered using the same MS-DRG, CPT and HCPCS codes for the same timeframe and for the same locality in </w:t>
      </w:r>
      <w:r w:rsidR="00070536">
        <w:rPr>
          <w:sz w:val="24"/>
          <w:szCs w:val="24"/>
        </w:rPr>
        <w:t xml:space="preserve">order to compare reimbursement we receive to </w:t>
      </w:r>
      <w:r w:rsidR="00976F9E" w:rsidRPr="00976F9E">
        <w:rPr>
          <w:sz w:val="24"/>
          <w:szCs w:val="24"/>
        </w:rPr>
        <w:t xml:space="preserve">VA. </w:t>
      </w:r>
    </w:p>
    <w:p w:rsidR="00B92166" w:rsidRDefault="00B92166" w:rsidP="00070536">
      <w:pPr>
        <w:tabs>
          <w:tab w:val="left" w:pos="540"/>
          <w:tab w:val="left" w:pos="1080"/>
          <w:tab w:val="left" w:pos="162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Pr>
          <w:b/>
          <w:sz w:val="24"/>
        </w:rPr>
        <w:t>5.</w:t>
      </w:r>
      <w:r>
        <w:rPr>
          <w:b/>
          <w:sz w:val="24"/>
        </w:rPr>
        <w:tab/>
        <w:t>If the collection of information impacts small businesses or other small entities, describe any methods used to minimize burden.</w:t>
      </w:r>
    </w:p>
    <w:p w:rsidR="00B92166" w:rsidRDefault="00B92166">
      <w:pPr>
        <w:pStyle w:val="Heade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sz w:val="24"/>
        </w:rPr>
        <w:lastRenderedPageBreak/>
        <w:tab/>
        <w:t>No small businesses or other small entities are impacted by this information collection.</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Pr>
          <w:b/>
          <w:sz w:val="24"/>
        </w:rPr>
        <w:t>6.</w:t>
      </w:r>
      <w:r>
        <w:rPr>
          <w:b/>
          <w:sz w:val="24"/>
        </w:rPr>
        <w:tab/>
        <w:t>Describe the consequences to Federal program or policy activities if the collection is not conducted or is conducted less frequently as well as any technical or legal obstacles to reducing burden.</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40"/>
          <w:tab w:val="left" w:pos="1080"/>
          <w:tab w:val="left" w:pos="1620"/>
        </w:tabs>
        <w:rPr>
          <w:sz w:val="24"/>
        </w:rPr>
      </w:pPr>
      <w:r>
        <w:rPr>
          <w:sz w:val="24"/>
        </w:rPr>
        <w:tab/>
        <w:t>If the collection were not conducted, VA would not be able to determine whether the third-party payer has met the test of properly demonstrating its equivalent private sector provider payment amount for the same care or services and within the same geographic area as provided by VA.</w:t>
      </w:r>
      <w:r w:rsidR="00AD4DBD">
        <w:rPr>
          <w:sz w:val="24"/>
        </w:rPr>
        <w:t xml:space="preserve"> This would also create disparate provider reimbursement </w:t>
      </w:r>
      <w:r w:rsidR="00DE2F9F">
        <w:rPr>
          <w:sz w:val="24"/>
        </w:rPr>
        <w:t>to</w:t>
      </w:r>
      <w:r w:rsidR="00AD4DBD">
        <w:rPr>
          <w:sz w:val="24"/>
        </w:rPr>
        <w:t xml:space="preserve"> VA from third party payers and set precedence for non-competitive pricing for care or services rendered to Veterans with non-service connected conditions.  </w:t>
      </w:r>
    </w:p>
    <w:p w:rsidR="00B92166" w:rsidRDefault="00B92166">
      <w:pPr>
        <w:tabs>
          <w:tab w:val="left" w:pos="540"/>
          <w:tab w:val="left" w:pos="1080"/>
          <w:tab w:val="left" w:pos="162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Pr>
          <w:b/>
          <w:sz w:val="24"/>
        </w:rPr>
        <w:t>7</w:t>
      </w:r>
      <w:r>
        <w:rPr>
          <w:sz w:val="24"/>
        </w:rPr>
        <w:t>.</w:t>
      </w:r>
      <w:r>
        <w:rPr>
          <w:sz w:val="24"/>
        </w:rPr>
        <w:tab/>
      </w:r>
      <w:r>
        <w:rPr>
          <w:b/>
          <w:sz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40"/>
          <w:tab w:val="left" w:pos="1080"/>
          <w:tab w:val="left" w:pos="1620"/>
        </w:tabs>
        <w:rPr>
          <w:sz w:val="24"/>
        </w:rPr>
      </w:pPr>
      <w:r>
        <w:rPr>
          <w:sz w:val="24"/>
        </w:rPr>
        <w:tab/>
        <w:t>The information collection is in accordance with 5 CFR 1320.6.</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Pr>
          <w:b/>
          <w:sz w:val="24"/>
        </w:rPr>
        <w:t>8.</w:t>
      </w:r>
      <w:r>
        <w:rPr>
          <w:b/>
          <w:sz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3E33FD" w:rsidRPr="003E33FD" w:rsidRDefault="003E33FD" w:rsidP="003E33FD">
      <w:pPr>
        <w:pStyle w:val="HTMLPreformatted"/>
        <w:tabs>
          <w:tab w:val="left" w:pos="540"/>
        </w:tabs>
        <w:rPr>
          <w:rFonts w:ascii="Times New Roman" w:hAnsi="Times New Roman" w:cs="Times New Roman"/>
          <w:sz w:val="24"/>
          <w:szCs w:val="24"/>
        </w:rPr>
      </w:pPr>
    </w:p>
    <w:p w:rsidR="007D1699" w:rsidRPr="007D1699" w:rsidRDefault="00B92166" w:rsidP="00D415BE">
      <w:pPr>
        <w:tabs>
          <w:tab w:val="left" w:pos="547"/>
          <w:tab w:val="left" w:pos="1080"/>
          <w:tab w:val="left" w:pos="1627"/>
          <w:tab w:val="left" w:pos="2160"/>
          <w:tab w:val="left" w:pos="2880"/>
        </w:tabs>
        <w:rPr>
          <w:sz w:val="24"/>
          <w:szCs w:val="24"/>
        </w:rPr>
      </w:pPr>
      <w:r w:rsidRPr="003E33FD">
        <w:rPr>
          <w:sz w:val="24"/>
          <w:szCs w:val="24"/>
        </w:rPr>
        <w:tab/>
      </w:r>
      <w:r w:rsidR="007D1699" w:rsidRPr="007D1699">
        <w:rPr>
          <w:sz w:val="24"/>
          <w:szCs w:val="24"/>
        </w:rPr>
        <w:t xml:space="preserve">The notice of Proposed Information Collection Activity was published in the Federal Register on </w:t>
      </w:r>
      <w:r w:rsidR="00A56F20">
        <w:rPr>
          <w:sz w:val="24"/>
          <w:szCs w:val="24"/>
        </w:rPr>
        <w:t>June 6</w:t>
      </w:r>
      <w:r w:rsidR="00D415BE">
        <w:rPr>
          <w:sz w:val="24"/>
          <w:szCs w:val="24"/>
        </w:rPr>
        <w:t>, 201</w:t>
      </w:r>
      <w:r w:rsidR="003058EB">
        <w:rPr>
          <w:sz w:val="24"/>
          <w:szCs w:val="24"/>
        </w:rPr>
        <w:t xml:space="preserve">4 (Vol. </w:t>
      </w:r>
      <w:r w:rsidR="00A56F20">
        <w:rPr>
          <w:sz w:val="24"/>
          <w:szCs w:val="24"/>
        </w:rPr>
        <w:t>79</w:t>
      </w:r>
      <w:r w:rsidR="00D415BE">
        <w:rPr>
          <w:sz w:val="24"/>
          <w:szCs w:val="24"/>
        </w:rPr>
        <w:t>, p</w:t>
      </w:r>
      <w:r w:rsidR="007D1699" w:rsidRPr="007D1699">
        <w:rPr>
          <w:sz w:val="24"/>
          <w:szCs w:val="24"/>
        </w:rPr>
        <w:t>age</w:t>
      </w:r>
      <w:r w:rsidR="00A56F20">
        <w:rPr>
          <w:sz w:val="24"/>
          <w:szCs w:val="24"/>
        </w:rPr>
        <w:t xml:space="preserve"> 32822</w:t>
      </w:r>
      <w:r w:rsidR="003058EB">
        <w:rPr>
          <w:sz w:val="24"/>
          <w:szCs w:val="24"/>
        </w:rPr>
        <w:t>)</w:t>
      </w:r>
      <w:r w:rsidR="007D1699">
        <w:rPr>
          <w:sz w:val="24"/>
          <w:szCs w:val="24"/>
        </w:rPr>
        <w:t xml:space="preserve">.  </w:t>
      </w:r>
      <w:r w:rsidR="007D1699" w:rsidRPr="007D1699">
        <w:rPr>
          <w:sz w:val="24"/>
          <w:szCs w:val="24"/>
        </w:rPr>
        <w:t xml:space="preserve"> We received no comments in response to this notice.</w:t>
      </w:r>
      <w:bookmarkStart w:id="0" w:name="_GoBack"/>
      <w:bookmarkEnd w:id="0"/>
    </w:p>
    <w:p w:rsidR="007D1699" w:rsidRPr="007D1699" w:rsidRDefault="007D1699" w:rsidP="007D1699">
      <w:pPr>
        <w:pStyle w:val="HTMLPreformatted"/>
        <w:rPr>
          <w:rFonts w:ascii="Times New Roman" w:hAnsi="Times New Roman" w:cs="Times New Roman"/>
          <w:sz w:val="24"/>
          <w:szCs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b/>
          <w:sz w:val="24"/>
        </w:rPr>
        <w:t>9</w:t>
      </w:r>
      <w:r>
        <w:rPr>
          <w:sz w:val="24"/>
        </w:rPr>
        <w:t>.</w:t>
      </w:r>
      <w:r>
        <w:rPr>
          <w:sz w:val="24"/>
        </w:rPr>
        <w:tab/>
      </w:r>
      <w:r>
        <w:rPr>
          <w:b/>
          <w:sz w:val="24"/>
        </w:rPr>
        <w:t>Explain any decision to provide any payment or gift to respondents, other than remuneration of contractors or grantees.</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sz w:val="24"/>
        </w:rPr>
        <w:tab/>
        <w:t>No payment or gift is provided to respondents.</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b/>
          <w:sz w:val="24"/>
        </w:rPr>
        <w:t>10.</w:t>
      </w:r>
      <w:r>
        <w:rPr>
          <w:b/>
          <w:sz w:val="24"/>
        </w:rPr>
        <w:tab/>
        <w:t>Describe any assurance of confidentiality provided to respondents and the basis for the assurance in statue, regulation, or agency policy.</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40"/>
          <w:tab w:val="left" w:pos="1080"/>
          <w:tab w:val="left" w:pos="1620"/>
        </w:tabs>
        <w:rPr>
          <w:sz w:val="24"/>
        </w:rPr>
      </w:pPr>
      <w:r>
        <w:rPr>
          <w:color w:val="00FF00"/>
          <w:sz w:val="24"/>
        </w:rPr>
        <w:tab/>
      </w:r>
      <w:r>
        <w:rPr>
          <w:sz w:val="24"/>
        </w:rPr>
        <w:t>Assurance of confidentiality is contained in Title 38, U.S.C., Sections 5701 and 7332.  The records are maintained in the Privacy Act System of records identified as 24VA136, Patient Medical Records-VA as set forth in the 200</w:t>
      </w:r>
      <w:r w:rsidR="00B57EBD">
        <w:rPr>
          <w:sz w:val="24"/>
        </w:rPr>
        <w:t>3</w:t>
      </w:r>
      <w:r>
        <w:rPr>
          <w:sz w:val="24"/>
        </w:rPr>
        <w:t xml:space="preserve"> Compilation of Privacy Act Issuances via online GPO access at </w:t>
      </w:r>
      <w:hyperlink r:id="rId8" w:history="1">
        <w:r w:rsidR="00B57EBD" w:rsidRPr="00F0010E">
          <w:rPr>
            <w:rStyle w:val="Hyperlink"/>
            <w:sz w:val="24"/>
          </w:rPr>
          <w:t>http://www.access.gpo.gov/su_docs/aces/2003_pa.html</w:t>
        </w:r>
      </w:hyperlink>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pStyle w:val="BodyText3"/>
        <w:tabs>
          <w:tab w:val="clear" w:pos="540"/>
          <w:tab w:val="clear" w:pos="1080"/>
          <w:tab w:val="clear" w:pos="1620"/>
          <w:tab w:val="clear" w:pos="2160"/>
          <w:tab w:val="left" w:pos="504"/>
          <w:tab w:val="left" w:pos="1008"/>
          <w:tab w:val="left" w:pos="1512"/>
          <w:tab w:val="left" w:pos="2016"/>
        </w:tabs>
        <w:rPr>
          <w:sz w:val="24"/>
        </w:rPr>
      </w:pPr>
      <w:r>
        <w:rPr>
          <w:sz w:val="24"/>
        </w:rPr>
        <w:t>11.</w:t>
      </w:r>
      <w:r>
        <w:rPr>
          <w:sz w:val="24"/>
        </w:rPr>
        <w:tab/>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w:t>
      </w:r>
      <w:r>
        <w:rPr>
          <w:sz w:val="24"/>
        </w:rPr>
        <w:lastRenderedPageBreak/>
        <w:t>persons from whom the information is requested, and any steps to be taken to obtain their consent.</w:t>
      </w:r>
    </w:p>
    <w:p w:rsidR="00B92166" w:rsidRDefault="00B92166">
      <w:pPr>
        <w:pStyle w:val="BodyText3"/>
        <w:tabs>
          <w:tab w:val="clear" w:pos="540"/>
          <w:tab w:val="clear" w:pos="1080"/>
          <w:tab w:val="clear" w:pos="1620"/>
          <w:tab w:val="clear" w:pos="2160"/>
          <w:tab w:val="left" w:pos="504"/>
          <w:tab w:val="left" w:pos="1008"/>
          <w:tab w:val="left" w:pos="1512"/>
          <w:tab w:val="left" w:pos="2016"/>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sz w:val="24"/>
        </w:rPr>
        <w:tab/>
        <w:t>There are no questions of a sensitive nature.</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ind w:right="3744"/>
        <w:rPr>
          <w:sz w:val="24"/>
        </w:rPr>
      </w:pPr>
    </w:p>
    <w:p w:rsidR="00B92166" w:rsidRPr="00CE5097"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16"/>
          <w:szCs w:val="16"/>
        </w:rPr>
      </w:pPr>
      <w:r>
        <w:rPr>
          <w:b/>
          <w:sz w:val="24"/>
        </w:rPr>
        <w:t>12.</w:t>
      </w:r>
      <w:r>
        <w:rPr>
          <w:b/>
          <w:sz w:val="24"/>
        </w:rPr>
        <w:tab/>
        <w:t>Estimate of the hour burden of the collection of information:</w:t>
      </w:r>
    </w:p>
    <w:p w:rsidR="00B92166" w:rsidRPr="00CE5097"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16"/>
          <w:szCs w:val="16"/>
        </w:rPr>
      </w:pPr>
    </w:p>
    <w:p w:rsidR="00B92166" w:rsidRDefault="00B92166" w:rsidP="00976F9E">
      <w:pPr>
        <w:tabs>
          <w:tab w:val="left" w:pos="540"/>
          <w:tab w:val="left" w:pos="1080"/>
          <w:tab w:val="left" w:pos="1620"/>
        </w:tabs>
        <w:rPr>
          <w:sz w:val="24"/>
        </w:rPr>
      </w:pPr>
      <w:r>
        <w:rPr>
          <w:sz w:val="24"/>
        </w:rPr>
        <w:tab/>
        <w:t>a.</w:t>
      </w:r>
      <w:r>
        <w:rPr>
          <w:sz w:val="24"/>
        </w:rPr>
        <w:tab/>
        <w:t>Number of respondents is estimated at 400 per year.</w:t>
      </w:r>
    </w:p>
    <w:p w:rsidR="00B92166" w:rsidRDefault="00B92166" w:rsidP="00976F9E">
      <w:pPr>
        <w:tabs>
          <w:tab w:val="left" w:pos="540"/>
          <w:tab w:val="left" w:pos="1080"/>
          <w:tab w:val="left" w:pos="1620"/>
        </w:tabs>
        <w:rPr>
          <w:sz w:val="24"/>
        </w:rPr>
      </w:pPr>
      <w:r>
        <w:rPr>
          <w:sz w:val="24"/>
        </w:rPr>
        <w:tab/>
        <w:t>b.</w:t>
      </w:r>
      <w:r>
        <w:rPr>
          <w:sz w:val="24"/>
        </w:rPr>
        <w:tab/>
        <w:t>Frequency of response is once per year.</w:t>
      </w:r>
    </w:p>
    <w:p w:rsidR="00B92166" w:rsidRDefault="00B92166" w:rsidP="00976F9E">
      <w:pPr>
        <w:tabs>
          <w:tab w:val="left" w:pos="540"/>
          <w:tab w:val="left" w:pos="1080"/>
          <w:tab w:val="left" w:pos="1620"/>
        </w:tabs>
        <w:rPr>
          <w:sz w:val="24"/>
        </w:rPr>
      </w:pPr>
      <w:r>
        <w:rPr>
          <w:b/>
          <w:sz w:val="24"/>
        </w:rPr>
        <w:tab/>
      </w:r>
      <w:r>
        <w:rPr>
          <w:sz w:val="24"/>
        </w:rPr>
        <w:t>c.</w:t>
      </w:r>
      <w:r>
        <w:rPr>
          <w:sz w:val="24"/>
        </w:rPr>
        <w:tab/>
        <w:t>Estimated average burden per respondent is 2 hours.</w:t>
      </w:r>
    </w:p>
    <w:p w:rsidR="00B92166" w:rsidRDefault="00B92166" w:rsidP="00976F9E">
      <w:pPr>
        <w:tabs>
          <w:tab w:val="left" w:pos="540"/>
          <w:tab w:val="left" w:pos="1080"/>
          <w:tab w:val="left" w:pos="1620"/>
        </w:tabs>
        <w:rPr>
          <w:b/>
          <w:sz w:val="24"/>
        </w:rPr>
      </w:pPr>
      <w:r>
        <w:rPr>
          <w:sz w:val="24"/>
        </w:rPr>
        <w:tab/>
        <w:t>d.</w:t>
      </w:r>
      <w:r>
        <w:rPr>
          <w:sz w:val="24"/>
        </w:rPr>
        <w:tab/>
        <w:t>Annual burden is 800 hours.</w:t>
      </w:r>
    </w:p>
    <w:p w:rsidR="00B92166" w:rsidRPr="00976F9E" w:rsidRDefault="00976F9E" w:rsidP="001651BC">
      <w:pPr>
        <w:pStyle w:val="CommentText"/>
        <w:tabs>
          <w:tab w:val="left" w:pos="540"/>
          <w:tab w:val="left" w:pos="1080"/>
        </w:tabs>
        <w:rPr>
          <w:sz w:val="24"/>
          <w:szCs w:val="24"/>
        </w:rPr>
      </w:pPr>
      <w:r>
        <w:rPr>
          <w:sz w:val="24"/>
        </w:rPr>
        <w:tab/>
      </w:r>
      <w:r w:rsidR="00B92166">
        <w:rPr>
          <w:sz w:val="24"/>
        </w:rPr>
        <w:t>e.</w:t>
      </w:r>
      <w:r w:rsidR="00B92166">
        <w:rPr>
          <w:sz w:val="24"/>
        </w:rPr>
        <w:tab/>
        <w:t>Estimated cost to respond</w:t>
      </w:r>
      <w:r w:rsidR="001651BC">
        <w:rPr>
          <w:sz w:val="24"/>
        </w:rPr>
        <w:t>ents is $19,200 (800 hours x $24</w:t>
      </w:r>
      <w:r w:rsidR="00B92166">
        <w:rPr>
          <w:sz w:val="24"/>
        </w:rPr>
        <w:t xml:space="preserve"> per hour</w:t>
      </w:r>
      <w:r w:rsidR="00B92166" w:rsidRPr="00976F9E">
        <w:rPr>
          <w:sz w:val="24"/>
        </w:rPr>
        <w:t>).</w:t>
      </w:r>
      <w:r w:rsidRPr="00976F9E">
        <w:rPr>
          <w:sz w:val="24"/>
        </w:rPr>
        <w:t xml:space="preserve">  </w:t>
      </w:r>
    </w:p>
    <w:p w:rsidR="00B92166" w:rsidRDefault="00B92166">
      <w:pPr>
        <w:tabs>
          <w:tab w:val="left" w:pos="540"/>
          <w:tab w:val="left" w:pos="1080"/>
          <w:tab w:val="left" w:pos="1620"/>
        </w:tabs>
        <w:rPr>
          <w:sz w:val="24"/>
        </w:rPr>
      </w:pPr>
    </w:p>
    <w:p w:rsidR="00B92166" w:rsidRDefault="00B92166">
      <w:pPr>
        <w:pStyle w:val="BodyText3"/>
        <w:tabs>
          <w:tab w:val="clear" w:pos="540"/>
          <w:tab w:val="clear" w:pos="1080"/>
          <w:tab w:val="clear" w:pos="1620"/>
          <w:tab w:val="clear" w:pos="2160"/>
          <w:tab w:val="left" w:pos="504"/>
          <w:tab w:val="left" w:pos="1008"/>
          <w:tab w:val="left" w:pos="1512"/>
          <w:tab w:val="left" w:pos="2016"/>
        </w:tabs>
        <w:rPr>
          <w:sz w:val="24"/>
        </w:rPr>
      </w:pPr>
      <w:r>
        <w:rPr>
          <w:sz w:val="24"/>
        </w:rPr>
        <w:t>13.</w:t>
      </w:r>
      <w:r>
        <w:rPr>
          <w:sz w:val="24"/>
        </w:rPr>
        <w:tab/>
        <w:t xml:space="preserve">Provide an estimate of the total annual cost burden to respondents or </w:t>
      </w:r>
      <w:proofErr w:type="spellStart"/>
      <w:r>
        <w:rPr>
          <w:sz w:val="24"/>
        </w:rPr>
        <w:t>recordkeepers</w:t>
      </w:r>
      <w:proofErr w:type="spellEnd"/>
      <w:r>
        <w:rPr>
          <w:sz w:val="24"/>
        </w:rPr>
        <w:t xml:space="preserve"> resulting from the collection of information.  (Do not include the cost of any hour burden shown in Items 12 and 14).</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Pr="00CE5097" w:rsidRDefault="00B92166">
      <w:pPr>
        <w:tabs>
          <w:tab w:val="left" w:pos="540"/>
          <w:tab w:val="left" w:pos="1080"/>
          <w:tab w:val="left" w:pos="1620"/>
        </w:tabs>
        <w:rPr>
          <w:sz w:val="16"/>
          <w:szCs w:val="16"/>
        </w:rPr>
      </w:pPr>
      <w:r>
        <w:rPr>
          <w:b/>
          <w:sz w:val="24"/>
        </w:rPr>
        <w:tab/>
      </w:r>
      <w:r>
        <w:rPr>
          <w:sz w:val="24"/>
        </w:rPr>
        <w:t>This submission does not involve any recordkeeping requirements.</w:t>
      </w:r>
    </w:p>
    <w:p w:rsidR="00B92166" w:rsidRPr="00CE5097" w:rsidRDefault="00B92166">
      <w:pPr>
        <w:tabs>
          <w:tab w:val="left" w:pos="540"/>
          <w:tab w:val="left" w:pos="1080"/>
          <w:tab w:val="left" w:pos="1620"/>
        </w:tabs>
        <w:rPr>
          <w:sz w:val="16"/>
          <w:szCs w:val="16"/>
        </w:rPr>
      </w:pPr>
    </w:p>
    <w:p w:rsidR="00B92166" w:rsidRPr="00CE5097" w:rsidRDefault="00B92166">
      <w:pPr>
        <w:pStyle w:val="BodyText3"/>
        <w:tabs>
          <w:tab w:val="clear" w:pos="540"/>
          <w:tab w:val="clear" w:pos="1080"/>
          <w:tab w:val="clear" w:pos="1620"/>
          <w:tab w:val="clear" w:pos="2160"/>
          <w:tab w:val="left" w:pos="504"/>
          <w:tab w:val="left" w:pos="1008"/>
          <w:tab w:val="left" w:pos="1512"/>
          <w:tab w:val="left" w:pos="2016"/>
        </w:tabs>
        <w:rPr>
          <w:sz w:val="16"/>
          <w:szCs w:val="16"/>
        </w:rPr>
      </w:pPr>
      <w:r>
        <w:rPr>
          <w:sz w:val="24"/>
        </w:rPr>
        <w:t>14.</w:t>
      </w:r>
      <w:r>
        <w:rPr>
          <w:sz w:val="24"/>
        </w:rPr>
        <w:tab/>
        <w:t xml:space="preserve">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w:t>
      </w:r>
    </w:p>
    <w:p w:rsidR="00B92166" w:rsidRPr="00976F9E" w:rsidRDefault="00B92166">
      <w:pPr>
        <w:pStyle w:val="BodyText3"/>
        <w:tabs>
          <w:tab w:val="clear" w:pos="540"/>
          <w:tab w:val="clear" w:pos="1080"/>
          <w:tab w:val="clear" w:pos="1620"/>
          <w:tab w:val="clear" w:pos="2160"/>
          <w:tab w:val="left" w:pos="504"/>
          <w:tab w:val="left" w:pos="1008"/>
          <w:tab w:val="left" w:pos="1512"/>
          <w:tab w:val="left" w:pos="2016"/>
        </w:tabs>
        <w:rPr>
          <w:b w:val="0"/>
          <w:sz w:val="16"/>
          <w:szCs w:val="16"/>
        </w:rPr>
      </w:pPr>
    </w:p>
    <w:p w:rsidR="00B92166" w:rsidRPr="00976F9E" w:rsidRDefault="00B92166">
      <w:pPr>
        <w:pStyle w:val="BodyText3"/>
        <w:tabs>
          <w:tab w:val="clear" w:pos="540"/>
          <w:tab w:val="clear" w:pos="1080"/>
          <w:tab w:val="clear" w:pos="1620"/>
          <w:tab w:val="clear" w:pos="2160"/>
          <w:tab w:val="left" w:pos="504"/>
          <w:tab w:val="left" w:pos="1008"/>
          <w:tab w:val="left" w:pos="1512"/>
          <w:tab w:val="left" w:pos="2016"/>
        </w:tabs>
        <w:rPr>
          <w:b w:val="0"/>
          <w:sz w:val="24"/>
          <w:szCs w:val="24"/>
        </w:rPr>
      </w:pPr>
      <w:r w:rsidRPr="00976F9E">
        <w:rPr>
          <w:b w:val="0"/>
          <w:sz w:val="24"/>
        </w:rPr>
        <w:tab/>
        <w:t>The estimated annual cost to the Federal Government is $</w:t>
      </w:r>
      <w:r w:rsidR="00C3199B">
        <w:rPr>
          <w:b w:val="0"/>
          <w:sz w:val="24"/>
        </w:rPr>
        <w:t>940.2</w:t>
      </w:r>
      <w:r w:rsidR="00D415BE" w:rsidRPr="00976F9E">
        <w:rPr>
          <w:b w:val="0"/>
          <w:sz w:val="24"/>
        </w:rPr>
        <w:t>0</w:t>
      </w:r>
      <w:r w:rsidR="00976F9E" w:rsidRPr="00976F9E">
        <w:rPr>
          <w:b w:val="0"/>
          <w:sz w:val="24"/>
        </w:rPr>
        <w:t xml:space="preserve">.  </w:t>
      </w:r>
      <w:r w:rsidR="00976F9E" w:rsidRPr="00976F9E">
        <w:rPr>
          <w:b w:val="0"/>
          <w:sz w:val="24"/>
          <w:szCs w:val="24"/>
        </w:rPr>
        <w:t>This includes estimated time that is spent per document to read the request for medical records and respond.</w:t>
      </w:r>
    </w:p>
    <w:tbl>
      <w:tblPr>
        <w:tblW w:w="8102" w:type="dxa"/>
        <w:tblInd w:w="828" w:type="dxa"/>
        <w:tblLook w:val="0000" w:firstRow="0" w:lastRow="0" w:firstColumn="0" w:lastColumn="0" w:noHBand="0" w:noVBand="0"/>
      </w:tblPr>
      <w:tblGrid>
        <w:gridCol w:w="996"/>
        <w:gridCol w:w="236"/>
        <w:gridCol w:w="1018"/>
        <w:gridCol w:w="1230"/>
        <w:gridCol w:w="1159"/>
        <w:gridCol w:w="1003"/>
        <w:gridCol w:w="1380"/>
        <w:gridCol w:w="1080"/>
      </w:tblGrid>
      <w:tr w:rsidR="00CE5097" w:rsidRPr="00976F9E" w:rsidTr="00D415BE">
        <w:trPr>
          <w:trHeight w:val="477"/>
        </w:trPr>
        <w:tc>
          <w:tcPr>
            <w:tcW w:w="996" w:type="dxa"/>
            <w:tcBorders>
              <w:top w:val="nil"/>
              <w:left w:val="nil"/>
              <w:bottom w:val="nil"/>
              <w:right w:val="nil"/>
            </w:tcBorders>
            <w:shd w:val="clear" w:color="auto" w:fill="auto"/>
            <w:noWrap/>
            <w:vAlign w:val="bottom"/>
          </w:tcPr>
          <w:p w:rsidR="00CE5097" w:rsidRPr="00976F9E" w:rsidRDefault="00CE5097" w:rsidP="001B5AB4">
            <w:pPr>
              <w:rPr>
                <w:sz w:val="24"/>
                <w:szCs w:val="24"/>
              </w:rPr>
            </w:pPr>
          </w:p>
        </w:tc>
        <w:tc>
          <w:tcPr>
            <w:tcW w:w="236" w:type="dxa"/>
            <w:tcBorders>
              <w:top w:val="nil"/>
              <w:left w:val="nil"/>
              <w:bottom w:val="nil"/>
              <w:right w:val="nil"/>
            </w:tcBorders>
            <w:shd w:val="clear" w:color="auto" w:fill="auto"/>
            <w:noWrap/>
            <w:vAlign w:val="bottom"/>
          </w:tcPr>
          <w:p w:rsidR="00CE5097" w:rsidRPr="00976F9E" w:rsidRDefault="00CE5097" w:rsidP="001B5AB4">
            <w:pPr>
              <w:rPr>
                <w:sz w:val="24"/>
                <w:szCs w:val="24"/>
              </w:rPr>
            </w:pPr>
          </w:p>
        </w:tc>
        <w:tc>
          <w:tcPr>
            <w:tcW w:w="1018" w:type="dxa"/>
            <w:tcBorders>
              <w:top w:val="nil"/>
              <w:left w:val="nil"/>
              <w:bottom w:val="single" w:sz="4" w:space="0" w:color="auto"/>
              <w:right w:val="nil"/>
            </w:tcBorders>
            <w:shd w:val="clear" w:color="auto" w:fill="auto"/>
            <w:noWrap/>
            <w:vAlign w:val="bottom"/>
          </w:tcPr>
          <w:p w:rsidR="00CE5097" w:rsidRPr="00976F9E" w:rsidRDefault="00CE5097" w:rsidP="001B5AB4">
            <w:pPr>
              <w:jc w:val="center"/>
              <w:rPr>
                <w:sz w:val="24"/>
                <w:szCs w:val="24"/>
              </w:rPr>
            </w:pPr>
            <w:r w:rsidRPr="00976F9E">
              <w:rPr>
                <w:sz w:val="24"/>
                <w:szCs w:val="24"/>
              </w:rPr>
              <w:t>Salary</w:t>
            </w:r>
          </w:p>
        </w:tc>
        <w:tc>
          <w:tcPr>
            <w:tcW w:w="1230" w:type="dxa"/>
            <w:tcBorders>
              <w:top w:val="nil"/>
              <w:left w:val="nil"/>
              <w:bottom w:val="single" w:sz="4" w:space="0" w:color="auto"/>
              <w:right w:val="nil"/>
            </w:tcBorders>
            <w:shd w:val="clear" w:color="auto" w:fill="auto"/>
            <w:noWrap/>
            <w:vAlign w:val="bottom"/>
          </w:tcPr>
          <w:p w:rsidR="00CE5097" w:rsidRPr="00976F9E" w:rsidRDefault="00CE5097" w:rsidP="001B5AB4">
            <w:pPr>
              <w:jc w:val="center"/>
              <w:rPr>
                <w:sz w:val="24"/>
                <w:szCs w:val="24"/>
              </w:rPr>
            </w:pPr>
            <w:r w:rsidRPr="00976F9E">
              <w:rPr>
                <w:sz w:val="24"/>
                <w:szCs w:val="24"/>
              </w:rPr>
              <w:t>Responses</w:t>
            </w:r>
          </w:p>
        </w:tc>
        <w:tc>
          <w:tcPr>
            <w:tcW w:w="1159" w:type="dxa"/>
            <w:tcBorders>
              <w:top w:val="nil"/>
              <w:left w:val="nil"/>
              <w:bottom w:val="single" w:sz="4" w:space="0" w:color="auto"/>
              <w:right w:val="nil"/>
            </w:tcBorders>
            <w:shd w:val="clear" w:color="auto" w:fill="auto"/>
            <w:noWrap/>
            <w:vAlign w:val="bottom"/>
          </w:tcPr>
          <w:p w:rsidR="00CE5097" w:rsidRPr="00976F9E" w:rsidRDefault="00CE5097" w:rsidP="001B5AB4">
            <w:pPr>
              <w:jc w:val="center"/>
              <w:rPr>
                <w:sz w:val="24"/>
                <w:szCs w:val="24"/>
              </w:rPr>
            </w:pPr>
            <w:r w:rsidRPr="00976F9E">
              <w:rPr>
                <w:sz w:val="24"/>
                <w:szCs w:val="24"/>
              </w:rPr>
              <w:t>Equals</w:t>
            </w:r>
          </w:p>
        </w:tc>
        <w:tc>
          <w:tcPr>
            <w:tcW w:w="1003" w:type="dxa"/>
            <w:tcBorders>
              <w:top w:val="nil"/>
              <w:left w:val="nil"/>
              <w:bottom w:val="single" w:sz="4" w:space="0" w:color="auto"/>
              <w:right w:val="nil"/>
            </w:tcBorders>
            <w:shd w:val="clear" w:color="auto" w:fill="auto"/>
            <w:noWrap/>
            <w:vAlign w:val="bottom"/>
          </w:tcPr>
          <w:p w:rsidR="00CE5097" w:rsidRPr="00976F9E" w:rsidRDefault="00CE5097" w:rsidP="001B5AB4">
            <w:pPr>
              <w:jc w:val="center"/>
              <w:rPr>
                <w:sz w:val="24"/>
                <w:szCs w:val="24"/>
              </w:rPr>
            </w:pPr>
            <w:r w:rsidRPr="00976F9E">
              <w:rPr>
                <w:sz w:val="24"/>
                <w:szCs w:val="24"/>
              </w:rPr>
              <w:t>Minutes</w:t>
            </w:r>
          </w:p>
        </w:tc>
        <w:tc>
          <w:tcPr>
            <w:tcW w:w="1380" w:type="dxa"/>
            <w:tcBorders>
              <w:left w:val="nil"/>
              <w:bottom w:val="single" w:sz="4" w:space="0" w:color="auto"/>
              <w:right w:val="nil"/>
            </w:tcBorders>
            <w:shd w:val="clear" w:color="auto" w:fill="auto"/>
            <w:noWrap/>
            <w:vAlign w:val="bottom"/>
          </w:tcPr>
          <w:p w:rsidR="00CE5097" w:rsidRPr="00976F9E" w:rsidRDefault="00DE7691" w:rsidP="001B5AB4">
            <w:pPr>
              <w:jc w:val="center"/>
              <w:rPr>
                <w:sz w:val="24"/>
                <w:szCs w:val="24"/>
              </w:rPr>
            </w:pPr>
            <w:r w:rsidRPr="00976F9E">
              <w:rPr>
                <w:b/>
                <w:sz w:val="24"/>
                <w:szCs w:val="24"/>
              </w:rPr>
              <w:t>÷</w:t>
            </w:r>
            <w:r w:rsidRPr="00976F9E">
              <w:rPr>
                <w:sz w:val="24"/>
                <w:szCs w:val="24"/>
              </w:rPr>
              <w:t xml:space="preserve"> by </w:t>
            </w:r>
            <w:r w:rsidR="00CE5097" w:rsidRPr="00976F9E">
              <w:rPr>
                <w:sz w:val="24"/>
                <w:szCs w:val="24"/>
              </w:rPr>
              <w:t>60</w:t>
            </w:r>
          </w:p>
        </w:tc>
        <w:tc>
          <w:tcPr>
            <w:tcW w:w="1080" w:type="dxa"/>
            <w:tcBorders>
              <w:top w:val="nil"/>
              <w:left w:val="nil"/>
              <w:bottom w:val="single" w:sz="4" w:space="0" w:color="auto"/>
              <w:right w:val="nil"/>
            </w:tcBorders>
            <w:shd w:val="clear" w:color="auto" w:fill="auto"/>
            <w:noWrap/>
            <w:vAlign w:val="bottom"/>
          </w:tcPr>
          <w:p w:rsidR="00CE5097" w:rsidRPr="00976F9E" w:rsidRDefault="00CE5097" w:rsidP="001B5AB4">
            <w:pPr>
              <w:jc w:val="center"/>
              <w:rPr>
                <w:sz w:val="24"/>
                <w:szCs w:val="24"/>
              </w:rPr>
            </w:pPr>
            <w:r w:rsidRPr="00976F9E">
              <w:rPr>
                <w:sz w:val="24"/>
                <w:szCs w:val="24"/>
              </w:rPr>
              <w:t>Total</w:t>
            </w:r>
          </w:p>
        </w:tc>
      </w:tr>
      <w:tr w:rsidR="00CE5097" w:rsidRPr="00976F9E" w:rsidTr="00D415BE">
        <w:trPr>
          <w:trHeight w:val="360"/>
        </w:trPr>
        <w:tc>
          <w:tcPr>
            <w:tcW w:w="996" w:type="dxa"/>
            <w:tcBorders>
              <w:top w:val="nil"/>
              <w:left w:val="nil"/>
              <w:bottom w:val="nil"/>
              <w:right w:val="nil"/>
            </w:tcBorders>
            <w:shd w:val="clear" w:color="auto" w:fill="auto"/>
            <w:noWrap/>
            <w:vAlign w:val="bottom"/>
          </w:tcPr>
          <w:p w:rsidR="00CE5097" w:rsidRPr="00976F9E" w:rsidRDefault="00CE5097" w:rsidP="001B5AB4">
            <w:pPr>
              <w:rPr>
                <w:sz w:val="24"/>
                <w:szCs w:val="24"/>
              </w:rPr>
            </w:pPr>
            <w:r w:rsidRPr="00976F9E">
              <w:rPr>
                <w:sz w:val="24"/>
                <w:szCs w:val="24"/>
              </w:rPr>
              <w:t>Admin Process</w:t>
            </w:r>
          </w:p>
        </w:tc>
        <w:tc>
          <w:tcPr>
            <w:tcW w:w="236" w:type="dxa"/>
            <w:tcBorders>
              <w:top w:val="nil"/>
              <w:left w:val="nil"/>
              <w:bottom w:val="nil"/>
              <w:right w:val="nil"/>
            </w:tcBorders>
            <w:shd w:val="clear" w:color="auto" w:fill="auto"/>
            <w:noWrap/>
            <w:vAlign w:val="bottom"/>
          </w:tcPr>
          <w:p w:rsidR="00CE5097" w:rsidRPr="00976F9E" w:rsidRDefault="00CE5097" w:rsidP="001B5AB4">
            <w:pPr>
              <w:rPr>
                <w:sz w:val="24"/>
                <w:szCs w:val="24"/>
              </w:rPr>
            </w:pPr>
          </w:p>
        </w:tc>
        <w:tc>
          <w:tcPr>
            <w:tcW w:w="1018" w:type="dxa"/>
            <w:tcBorders>
              <w:top w:val="nil"/>
              <w:left w:val="nil"/>
              <w:bottom w:val="nil"/>
              <w:right w:val="nil"/>
            </w:tcBorders>
            <w:shd w:val="clear" w:color="auto" w:fill="auto"/>
            <w:noWrap/>
            <w:vAlign w:val="bottom"/>
          </w:tcPr>
          <w:p w:rsidR="00CE5097" w:rsidRPr="00976F9E" w:rsidRDefault="00DE7691" w:rsidP="00C3199B">
            <w:pPr>
              <w:rPr>
                <w:sz w:val="24"/>
                <w:szCs w:val="24"/>
              </w:rPr>
            </w:pPr>
            <w:r w:rsidRPr="00976F9E">
              <w:rPr>
                <w:sz w:val="24"/>
                <w:szCs w:val="24"/>
              </w:rPr>
              <w:t>$</w:t>
            </w:r>
            <w:r w:rsidR="00C3199B">
              <w:rPr>
                <w:sz w:val="24"/>
                <w:szCs w:val="24"/>
              </w:rPr>
              <w:t>18.69*</w:t>
            </w:r>
            <w:r w:rsidR="00CE5097" w:rsidRPr="00976F9E">
              <w:rPr>
                <w:sz w:val="24"/>
                <w:szCs w:val="24"/>
              </w:rPr>
              <w:t xml:space="preserve"> </w:t>
            </w:r>
          </w:p>
        </w:tc>
        <w:tc>
          <w:tcPr>
            <w:tcW w:w="1230" w:type="dxa"/>
            <w:tcBorders>
              <w:top w:val="nil"/>
              <w:left w:val="nil"/>
              <w:bottom w:val="nil"/>
              <w:right w:val="nil"/>
            </w:tcBorders>
            <w:shd w:val="clear" w:color="auto" w:fill="auto"/>
            <w:vAlign w:val="bottom"/>
          </w:tcPr>
          <w:p w:rsidR="00CE5097" w:rsidRPr="00976F9E" w:rsidRDefault="00CE5097" w:rsidP="001B5AB4">
            <w:pPr>
              <w:jc w:val="center"/>
              <w:rPr>
                <w:sz w:val="24"/>
                <w:szCs w:val="24"/>
              </w:rPr>
            </w:pPr>
            <w:r w:rsidRPr="00976F9E">
              <w:rPr>
                <w:sz w:val="24"/>
                <w:szCs w:val="24"/>
              </w:rPr>
              <w:t>400</w:t>
            </w:r>
          </w:p>
        </w:tc>
        <w:tc>
          <w:tcPr>
            <w:tcW w:w="1159" w:type="dxa"/>
            <w:tcBorders>
              <w:top w:val="nil"/>
              <w:left w:val="nil"/>
              <w:bottom w:val="nil"/>
              <w:right w:val="nil"/>
            </w:tcBorders>
            <w:shd w:val="clear" w:color="auto" w:fill="auto"/>
            <w:noWrap/>
            <w:vAlign w:val="bottom"/>
          </w:tcPr>
          <w:p w:rsidR="00CE5097" w:rsidRPr="00976F9E" w:rsidRDefault="00DE7691" w:rsidP="00D415BE">
            <w:pPr>
              <w:rPr>
                <w:sz w:val="24"/>
                <w:szCs w:val="24"/>
              </w:rPr>
            </w:pPr>
            <w:r w:rsidRPr="00976F9E">
              <w:rPr>
                <w:sz w:val="24"/>
                <w:szCs w:val="24"/>
              </w:rPr>
              <w:t>$</w:t>
            </w:r>
            <w:r w:rsidR="00D415BE" w:rsidRPr="00976F9E">
              <w:rPr>
                <w:sz w:val="24"/>
                <w:szCs w:val="24"/>
              </w:rPr>
              <w:t>7,400</w:t>
            </w:r>
            <w:r w:rsidR="00CE5097" w:rsidRPr="00976F9E">
              <w:rPr>
                <w:sz w:val="24"/>
                <w:szCs w:val="24"/>
              </w:rPr>
              <w:t xml:space="preserve"> </w:t>
            </w:r>
          </w:p>
        </w:tc>
        <w:tc>
          <w:tcPr>
            <w:tcW w:w="1003" w:type="dxa"/>
            <w:tcBorders>
              <w:top w:val="nil"/>
              <w:left w:val="nil"/>
              <w:bottom w:val="nil"/>
              <w:right w:val="nil"/>
            </w:tcBorders>
            <w:shd w:val="clear" w:color="auto" w:fill="auto"/>
            <w:noWrap/>
            <w:vAlign w:val="bottom"/>
          </w:tcPr>
          <w:p w:rsidR="00CE5097" w:rsidRPr="00976F9E" w:rsidRDefault="00CE5097" w:rsidP="001B5AB4">
            <w:pPr>
              <w:jc w:val="center"/>
              <w:rPr>
                <w:sz w:val="24"/>
                <w:szCs w:val="24"/>
              </w:rPr>
            </w:pPr>
            <w:r w:rsidRPr="00976F9E">
              <w:rPr>
                <w:sz w:val="24"/>
                <w:szCs w:val="24"/>
              </w:rPr>
              <w:t>3</w:t>
            </w:r>
          </w:p>
        </w:tc>
        <w:tc>
          <w:tcPr>
            <w:tcW w:w="1380" w:type="dxa"/>
            <w:tcBorders>
              <w:top w:val="nil"/>
              <w:left w:val="nil"/>
              <w:bottom w:val="nil"/>
              <w:right w:val="nil"/>
            </w:tcBorders>
            <w:shd w:val="clear" w:color="auto" w:fill="auto"/>
            <w:noWrap/>
            <w:vAlign w:val="bottom"/>
          </w:tcPr>
          <w:p w:rsidR="00CE5097" w:rsidRPr="00976F9E" w:rsidRDefault="00CE5097" w:rsidP="001B5AB4">
            <w:pPr>
              <w:jc w:val="center"/>
              <w:rPr>
                <w:sz w:val="24"/>
                <w:szCs w:val="24"/>
              </w:rPr>
            </w:pPr>
            <w:r w:rsidRPr="00976F9E">
              <w:rPr>
                <w:sz w:val="24"/>
                <w:szCs w:val="24"/>
              </w:rPr>
              <w:t>60</w:t>
            </w:r>
          </w:p>
        </w:tc>
        <w:tc>
          <w:tcPr>
            <w:tcW w:w="1080" w:type="dxa"/>
            <w:tcBorders>
              <w:top w:val="nil"/>
              <w:left w:val="nil"/>
              <w:bottom w:val="nil"/>
              <w:right w:val="nil"/>
            </w:tcBorders>
            <w:shd w:val="clear" w:color="auto" w:fill="auto"/>
            <w:noWrap/>
            <w:vAlign w:val="bottom"/>
          </w:tcPr>
          <w:p w:rsidR="00CE5097" w:rsidRPr="00976F9E" w:rsidRDefault="00CE5097" w:rsidP="00C3199B">
            <w:pPr>
              <w:rPr>
                <w:sz w:val="24"/>
                <w:szCs w:val="24"/>
              </w:rPr>
            </w:pPr>
            <w:r w:rsidRPr="00976F9E">
              <w:rPr>
                <w:sz w:val="24"/>
                <w:szCs w:val="24"/>
              </w:rPr>
              <w:t xml:space="preserve">  </w:t>
            </w:r>
            <w:r w:rsidR="00DE7691" w:rsidRPr="00976F9E">
              <w:rPr>
                <w:sz w:val="24"/>
                <w:szCs w:val="24"/>
              </w:rPr>
              <w:t>$</w:t>
            </w:r>
            <w:r w:rsidR="00C3199B">
              <w:rPr>
                <w:sz w:val="24"/>
                <w:szCs w:val="24"/>
              </w:rPr>
              <w:t>373</w:t>
            </w:r>
            <w:r w:rsidR="00D415BE" w:rsidRPr="00976F9E">
              <w:rPr>
                <w:sz w:val="24"/>
                <w:szCs w:val="24"/>
              </w:rPr>
              <w:t>.</w:t>
            </w:r>
            <w:r w:rsidR="00C3199B">
              <w:rPr>
                <w:sz w:val="24"/>
                <w:szCs w:val="24"/>
              </w:rPr>
              <w:t>8</w:t>
            </w:r>
            <w:r w:rsidR="00D415BE" w:rsidRPr="00976F9E">
              <w:rPr>
                <w:sz w:val="24"/>
                <w:szCs w:val="24"/>
              </w:rPr>
              <w:t>0</w:t>
            </w:r>
            <w:r w:rsidRPr="00976F9E">
              <w:rPr>
                <w:sz w:val="24"/>
                <w:szCs w:val="24"/>
              </w:rPr>
              <w:t xml:space="preserve"> </w:t>
            </w:r>
          </w:p>
        </w:tc>
      </w:tr>
      <w:tr w:rsidR="00CE5097" w:rsidRPr="00976F9E" w:rsidTr="00D415BE">
        <w:trPr>
          <w:trHeight w:val="390"/>
        </w:trPr>
        <w:tc>
          <w:tcPr>
            <w:tcW w:w="2250" w:type="dxa"/>
            <w:gridSpan w:val="3"/>
            <w:tcBorders>
              <w:top w:val="nil"/>
              <w:left w:val="nil"/>
              <w:bottom w:val="nil"/>
              <w:right w:val="nil"/>
            </w:tcBorders>
            <w:shd w:val="clear" w:color="auto" w:fill="auto"/>
            <w:noWrap/>
            <w:vAlign w:val="bottom"/>
          </w:tcPr>
          <w:p w:rsidR="00CE5097" w:rsidRPr="00976F9E" w:rsidRDefault="00006391" w:rsidP="00D415BE">
            <w:pPr>
              <w:rPr>
                <w:sz w:val="24"/>
                <w:szCs w:val="24"/>
              </w:rPr>
            </w:pPr>
            <w:r w:rsidRPr="00976F9E">
              <w:rPr>
                <w:sz w:val="24"/>
                <w:szCs w:val="24"/>
              </w:rPr>
              <w:t>(</w:t>
            </w:r>
            <w:r w:rsidR="001651BC">
              <w:rPr>
                <w:sz w:val="24"/>
                <w:szCs w:val="24"/>
              </w:rPr>
              <w:t xml:space="preserve">2014 </w:t>
            </w:r>
            <w:r w:rsidRPr="00976F9E">
              <w:rPr>
                <w:sz w:val="24"/>
                <w:szCs w:val="24"/>
              </w:rPr>
              <w:t>GS - 5 Step 5)</w:t>
            </w:r>
          </w:p>
        </w:tc>
        <w:tc>
          <w:tcPr>
            <w:tcW w:w="1230" w:type="dxa"/>
            <w:tcBorders>
              <w:top w:val="nil"/>
              <w:left w:val="nil"/>
              <w:bottom w:val="nil"/>
              <w:right w:val="nil"/>
            </w:tcBorders>
            <w:shd w:val="clear" w:color="auto" w:fill="auto"/>
            <w:noWrap/>
            <w:vAlign w:val="bottom"/>
          </w:tcPr>
          <w:p w:rsidR="00CE5097" w:rsidRPr="00976F9E" w:rsidRDefault="00CE5097" w:rsidP="001B5AB4"/>
        </w:tc>
        <w:tc>
          <w:tcPr>
            <w:tcW w:w="1159" w:type="dxa"/>
            <w:tcBorders>
              <w:top w:val="nil"/>
              <w:left w:val="nil"/>
              <w:bottom w:val="nil"/>
              <w:right w:val="nil"/>
            </w:tcBorders>
            <w:shd w:val="clear" w:color="auto" w:fill="auto"/>
            <w:noWrap/>
            <w:vAlign w:val="bottom"/>
          </w:tcPr>
          <w:p w:rsidR="00CE5097" w:rsidRPr="00976F9E" w:rsidRDefault="00CE5097" w:rsidP="001B5AB4"/>
        </w:tc>
        <w:tc>
          <w:tcPr>
            <w:tcW w:w="1003" w:type="dxa"/>
            <w:tcBorders>
              <w:top w:val="nil"/>
              <w:left w:val="nil"/>
              <w:bottom w:val="nil"/>
              <w:right w:val="nil"/>
            </w:tcBorders>
            <w:shd w:val="clear" w:color="auto" w:fill="auto"/>
            <w:noWrap/>
            <w:vAlign w:val="bottom"/>
          </w:tcPr>
          <w:p w:rsidR="00CE5097" w:rsidRPr="00976F9E" w:rsidRDefault="00CE5097" w:rsidP="001B5AB4"/>
        </w:tc>
        <w:tc>
          <w:tcPr>
            <w:tcW w:w="1380" w:type="dxa"/>
            <w:tcBorders>
              <w:top w:val="nil"/>
              <w:left w:val="nil"/>
              <w:bottom w:val="nil"/>
              <w:right w:val="nil"/>
            </w:tcBorders>
            <w:shd w:val="clear" w:color="auto" w:fill="auto"/>
            <w:noWrap/>
            <w:vAlign w:val="bottom"/>
          </w:tcPr>
          <w:p w:rsidR="00CE5097" w:rsidRPr="00976F9E" w:rsidRDefault="00CE5097" w:rsidP="001B5AB4"/>
        </w:tc>
        <w:tc>
          <w:tcPr>
            <w:tcW w:w="1080" w:type="dxa"/>
            <w:tcBorders>
              <w:top w:val="nil"/>
              <w:left w:val="nil"/>
              <w:bottom w:val="nil"/>
              <w:right w:val="nil"/>
            </w:tcBorders>
            <w:shd w:val="clear" w:color="auto" w:fill="auto"/>
            <w:noWrap/>
            <w:vAlign w:val="bottom"/>
          </w:tcPr>
          <w:p w:rsidR="00CE5097" w:rsidRPr="00976F9E" w:rsidRDefault="00CE5097" w:rsidP="001B5AB4"/>
        </w:tc>
      </w:tr>
      <w:tr w:rsidR="00CE5097" w:rsidRPr="00976F9E" w:rsidTr="00D415BE">
        <w:trPr>
          <w:trHeight w:val="330"/>
        </w:trPr>
        <w:tc>
          <w:tcPr>
            <w:tcW w:w="996" w:type="dxa"/>
            <w:tcBorders>
              <w:top w:val="nil"/>
              <w:left w:val="nil"/>
              <w:bottom w:val="nil"/>
              <w:right w:val="nil"/>
            </w:tcBorders>
            <w:shd w:val="clear" w:color="auto" w:fill="auto"/>
            <w:noWrap/>
            <w:vAlign w:val="bottom"/>
          </w:tcPr>
          <w:p w:rsidR="00CE5097" w:rsidRPr="00976F9E" w:rsidRDefault="00CE5097" w:rsidP="001B5AB4">
            <w:pPr>
              <w:rPr>
                <w:sz w:val="24"/>
                <w:szCs w:val="24"/>
              </w:rPr>
            </w:pPr>
            <w:r w:rsidRPr="00976F9E">
              <w:rPr>
                <w:sz w:val="24"/>
                <w:szCs w:val="24"/>
              </w:rPr>
              <w:t>Super. Review</w:t>
            </w:r>
          </w:p>
        </w:tc>
        <w:tc>
          <w:tcPr>
            <w:tcW w:w="236" w:type="dxa"/>
            <w:tcBorders>
              <w:top w:val="nil"/>
              <w:left w:val="nil"/>
              <w:bottom w:val="nil"/>
              <w:right w:val="nil"/>
            </w:tcBorders>
            <w:shd w:val="clear" w:color="auto" w:fill="auto"/>
            <w:noWrap/>
            <w:vAlign w:val="bottom"/>
          </w:tcPr>
          <w:p w:rsidR="00CE5097" w:rsidRPr="00976F9E" w:rsidRDefault="00CE5097" w:rsidP="001B5AB4">
            <w:pPr>
              <w:rPr>
                <w:sz w:val="24"/>
                <w:szCs w:val="24"/>
              </w:rPr>
            </w:pPr>
          </w:p>
        </w:tc>
        <w:tc>
          <w:tcPr>
            <w:tcW w:w="1018" w:type="dxa"/>
            <w:tcBorders>
              <w:top w:val="nil"/>
              <w:left w:val="nil"/>
              <w:bottom w:val="nil"/>
              <w:right w:val="nil"/>
            </w:tcBorders>
            <w:shd w:val="clear" w:color="auto" w:fill="auto"/>
            <w:noWrap/>
            <w:vAlign w:val="bottom"/>
          </w:tcPr>
          <w:p w:rsidR="00CE5097" w:rsidRPr="00976F9E" w:rsidRDefault="00C3199B" w:rsidP="00145F05">
            <w:pPr>
              <w:rPr>
                <w:sz w:val="24"/>
                <w:szCs w:val="24"/>
              </w:rPr>
            </w:pPr>
            <w:r>
              <w:rPr>
                <w:sz w:val="24"/>
                <w:szCs w:val="24"/>
              </w:rPr>
              <w:t xml:space="preserve"> $</w:t>
            </w:r>
            <w:r w:rsidR="00D415BE" w:rsidRPr="00976F9E">
              <w:rPr>
                <w:sz w:val="24"/>
                <w:szCs w:val="24"/>
              </w:rPr>
              <w:t>28.</w:t>
            </w:r>
            <w:r>
              <w:rPr>
                <w:sz w:val="24"/>
                <w:szCs w:val="24"/>
              </w:rPr>
              <w:t>32</w:t>
            </w:r>
            <w:r w:rsidR="00976F9E" w:rsidRPr="00976F9E">
              <w:rPr>
                <w:sz w:val="24"/>
                <w:szCs w:val="24"/>
              </w:rPr>
              <w:t>*</w:t>
            </w:r>
            <w:r w:rsidR="00CE5097" w:rsidRPr="00976F9E">
              <w:rPr>
                <w:sz w:val="24"/>
                <w:szCs w:val="24"/>
              </w:rPr>
              <w:t xml:space="preserve"> </w:t>
            </w:r>
          </w:p>
        </w:tc>
        <w:tc>
          <w:tcPr>
            <w:tcW w:w="1230" w:type="dxa"/>
            <w:tcBorders>
              <w:top w:val="nil"/>
              <w:left w:val="nil"/>
              <w:bottom w:val="nil"/>
              <w:right w:val="nil"/>
            </w:tcBorders>
            <w:shd w:val="clear" w:color="auto" w:fill="auto"/>
            <w:noWrap/>
            <w:vAlign w:val="bottom"/>
          </w:tcPr>
          <w:p w:rsidR="00CE5097" w:rsidRPr="00976F9E" w:rsidRDefault="00CE5097" w:rsidP="001B5AB4">
            <w:pPr>
              <w:jc w:val="center"/>
              <w:rPr>
                <w:sz w:val="24"/>
                <w:szCs w:val="24"/>
              </w:rPr>
            </w:pPr>
            <w:r w:rsidRPr="00976F9E">
              <w:rPr>
                <w:sz w:val="24"/>
                <w:szCs w:val="24"/>
              </w:rPr>
              <w:t>400</w:t>
            </w:r>
          </w:p>
        </w:tc>
        <w:tc>
          <w:tcPr>
            <w:tcW w:w="1159" w:type="dxa"/>
            <w:tcBorders>
              <w:top w:val="nil"/>
              <w:left w:val="nil"/>
              <w:bottom w:val="nil"/>
              <w:right w:val="nil"/>
            </w:tcBorders>
            <w:shd w:val="clear" w:color="auto" w:fill="auto"/>
            <w:noWrap/>
            <w:vAlign w:val="bottom"/>
          </w:tcPr>
          <w:p w:rsidR="00CE5097" w:rsidRPr="00976F9E" w:rsidRDefault="00CE5097" w:rsidP="00145F05">
            <w:pPr>
              <w:rPr>
                <w:sz w:val="24"/>
                <w:szCs w:val="24"/>
              </w:rPr>
            </w:pPr>
            <w:r w:rsidRPr="00976F9E">
              <w:rPr>
                <w:sz w:val="24"/>
                <w:szCs w:val="24"/>
              </w:rPr>
              <w:t xml:space="preserve">     </w:t>
            </w:r>
            <w:r w:rsidR="00006391" w:rsidRPr="00976F9E">
              <w:rPr>
                <w:sz w:val="24"/>
                <w:szCs w:val="24"/>
              </w:rPr>
              <w:t>$</w:t>
            </w:r>
            <w:r w:rsidR="00D415BE" w:rsidRPr="00976F9E">
              <w:rPr>
                <w:sz w:val="24"/>
                <w:szCs w:val="24"/>
              </w:rPr>
              <w:t>11,</w:t>
            </w:r>
            <w:r w:rsidR="00145F05" w:rsidRPr="00976F9E">
              <w:rPr>
                <w:sz w:val="24"/>
                <w:szCs w:val="24"/>
              </w:rPr>
              <w:t>216</w:t>
            </w:r>
            <w:r w:rsidR="004A0091" w:rsidRPr="00976F9E">
              <w:rPr>
                <w:sz w:val="24"/>
                <w:szCs w:val="24"/>
              </w:rPr>
              <w:t xml:space="preserve"> </w:t>
            </w:r>
          </w:p>
        </w:tc>
        <w:tc>
          <w:tcPr>
            <w:tcW w:w="1003" w:type="dxa"/>
            <w:tcBorders>
              <w:top w:val="nil"/>
              <w:left w:val="nil"/>
              <w:bottom w:val="nil"/>
              <w:right w:val="nil"/>
            </w:tcBorders>
            <w:shd w:val="clear" w:color="auto" w:fill="auto"/>
            <w:noWrap/>
            <w:vAlign w:val="bottom"/>
          </w:tcPr>
          <w:p w:rsidR="00CE5097" w:rsidRPr="00976F9E" w:rsidRDefault="00CE5097" w:rsidP="001B5AB4">
            <w:pPr>
              <w:jc w:val="center"/>
              <w:rPr>
                <w:sz w:val="24"/>
                <w:szCs w:val="24"/>
              </w:rPr>
            </w:pPr>
            <w:r w:rsidRPr="00976F9E">
              <w:rPr>
                <w:sz w:val="24"/>
                <w:szCs w:val="24"/>
              </w:rPr>
              <w:t>3</w:t>
            </w:r>
          </w:p>
        </w:tc>
        <w:tc>
          <w:tcPr>
            <w:tcW w:w="1380" w:type="dxa"/>
            <w:tcBorders>
              <w:top w:val="nil"/>
              <w:left w:val="nil"/>
              <w:bottom w:val="nil"/>
              <w:right w:val="nil"/>
            </w:tcBorders>
            <w:shd w:val="clear" w:color="auto" w:fill="auto"/>
            <w:noWrap/>
            <w:vAlign w:val="bottom"/>
          </w:tcPr>
          <w:p w:rsidR="00CE5097" w:rsidRPr="00976F9E" w:rsidRDefault="00CE5097" w:rsidP="001B5AB4">
            <w:pPr>
              <w:jc w:val="center"/>
              <w:rPr>
                <w:sz w:val="24"/>
                <w:szCs w:val="24"/>
              </w:rPr>
            </w:pPr>
            <w:r w:rsidRPr="00976F9E">
              <w:rPr>
                <w:sz w:val="24"/>
                <w:szCs w:val="24"/>
              </w:rPr>
              <w:t>60</w:t>
            </w:r>
          </w:p>
        </w:tc>
        <w:tc>
          <w:tcPr>
            <w:tcW w:w="1080" w:type="dxa"/>
            <w:tcBorders>
              <w:top w:val="nil"/>
              <w:left w:val="nil"/>
              <w:bottom w:val="single" w:sz="4" w:space="0" w:color="auto"/>
              <w:right w:val="nil"/>
            </w:tcBorders>
            <w:shd w:val="clear" w:color="auto" w:fill="auto"/>
            <w:noWrap/>
            <w:vAlign w:val="bottom"/>
          </w:tcPr>
          <w:p w:rsidR="00CE5097" w:rsidRPr="00976F9E" w:rsidRDefault="00CE5097" w:rsidP="00D415BE">
            <w:pPr>
              <w:rPr>
                <w:sz w:val="24"/>
                <w:szCs w:val="24"/>
              </w:rPr>
            </w:pPr>
            <w:r w:rsidRPr="00976F9E">
              <w:rPr>
                <w:sz w:val="24"/>
                <w:szCs w:val="24"/>
              </w:rPr>
              <w:t xml:space="preserve">  </w:t>
            </w:r>
            <w:r w:rsidR="00006391" w:rsidRPr="00976F9E">
              <w:rPr>
                <w:sz w:val="24"/>
                <w:szCs w:val="24"/>
              </w:rPr>
              <w:t>$</w:t>
            </w:r>
            <w:r w:rsidR="00C3199B">
              <w:rPr>
                <w:sz w:val="24"/>
                <w:szCs w:val="24"/>
              </w:rPr>
              <w:t>566.4</w:t>
            </w:r>
            <w:r w:rsidR="00D415BE" w:rsidRPr="00976F9E">
              <w:rPr>
                <w:sz w:val="24"/>
                <w:szCs w:val="24"/>
              </w:rPr>
              <w:t>0</w:t>
            </w:r>
            <w:r w:rsidRPr="00976F9E">
              <w:rPr>
                <w:sz w:val="24"/>
                <w:szCs w:val="24"/>
              </w:rPr>
              <w:t xml:space="preserve"> </w:t>
            </w:r>
          </w:p>
        </w:tc>
      </w:tr>
      <w:tr w:rsidR="00CE5097" w:rsidRPr="00976F9E" w:rsidTr="00D415BE">
        <w:trPr>
          <w:trHeight w:val="315"/>
        </w:trPr>
        <w:tc>
          <w:tcPr>
            <w:tcW w:w="2250" w:type="dxa"/>
            <w:gridSpan w:val="3"/>
            <w:tcBorders>
              <w:top w:val="nil"/>
              <w:left w:val="nil"/>
              <w:bottom w:val="nil"/>
              <w:right w:val="nil"/>
            </w:tcBorders>
            <w:shd w:val="clear" w:color="auto" w:fill="auto"/>
            <w:noWrap/>
            <w:vAlign w:val="bottom"/>
          </w:tcPr>
          <w:p w:rsidR="00CE5097" w:rsidRPr="00976F9E" w:rsidRDefault="00006391" w:rsidP="00BB56D9">
            <w:pPr>
              <w:rPr>
                <w:sz w:val="24"/>
                <w:szCs w:val="24"/>
              </w:rPr>
            </w:pPr>
            <w:r w:rsidRPr="00976F9E">
              <w:rPr>
                <w:sz w:val="24"/>
                <w:szCs w:val="24"/>
              </w:rPr>
              <w:t>(</w:t>
            </w:r>
            <w:r w:rsidR="00B53215" w:rsidRPr="00976F9E">
              <w:rPr>
                <w:sz w:val="24"/>
                <w:szCs w:val="24"/>
              </w:rPr>
              <w:t>20</w:t>
            </w:r>
            <w:r w:rsidR="001651BC">
              <w:rPr>
                <w:sz w:val="24"/>
                <w:szCs w:val="24"/>
              </w:rPr>
              <w:t>14</w:t>
            </w:r>
            <w:r w:rsidR="00B53215" w:rsidRPr="00976F9E">
              <w:rPr>
                <w:sz w:val="24"/>
                <w:szCs w:val="24"/>
              </w:rPr>
              <w:t xml:space="preserve"> GS - 9 Step 5)</w:t>
            </w:r>
          </w:p>
          <w:p w:rsidR="00976F9E" w:rsidRPr="00976F9E" w:rsidRDefault="00976F9E" w:rsidP="00BB56D9">
            <w:pPr>
              <w:rPr>
                <w:sz w:val="24"/>
                <w:szCs w:val="24"/>
              </w:rPr>
            </w:pPr>
          </w:p>
        </w:tc>
        <w:tc>
          <w:tcPr>
            <w:tcW w:w="1230" w:type="dxa"/>
            <w:tcBorders>
              <w:top w:val="nil"/>
              <w:left w:val="nil"/>
              <w:bottom w:val="nil"/>
              <w:right w:val="nil"/>
            </w:tcBorders>
            <w:shd w:val="clear" w:color="auto" w:fill="auto"/>
            <w:noWrap/>
            <w:vAlign w:val="bottom"/>
          </w:tcPr>
          <w:p w:rsidR="00CE5097" w:rsidRPr="00976F9E" w:rsidRDefault="00CE5097" w:rsidP="001B5AB4">
            <w:pPr>
              <w:rPr>
                <w:sz w:val="24"/>
                <w:szCs w:val="24"/>
              </w:rPr>
            </w:pPr>
          </w:p>
        </w:tc>
        <w:tc>
          <w:tcPr>
            <w:tcW w:w="1159" w:type="dxa"/>
            <w:tcBorders>
              <w:top w:val="nil"/>
              <w:left w:val="nil"/>
              <w:bottom w:val="nil"/>
              <w:right w:val="nil"/>
            </w:tcBorders>
            <w:shd w:val="clear" w:color="auto" w:fill="auto"/>
            <w:noWrap/>
            <w:vAlign w:val="bottom"/>
          </w:tcPr>
          <w:p w:rsidR="00CE5097" w:rsidRPr="00976F9E" w:rsidRDefault="00CE5097" w:rsidP="001B5AB4">
            <w:pPr>
              <w:rPr>
                <w:sz w:val="24"/>
                <w:szCs w:val="24"/>
              </w:rPr>
            </w:pPr>
          </w:p>
        </w:tc>
        <w:tc>
          <w:tcPr>
            <w:tcW w:w="1003" w:type="dxa"/>
            <w:tcBorders>
              <w:top w:val="nil"/>
              <w:left w:val="nil"/>
              <w:bottom w:val="nil"/>
              <w:right w:val="nil"/>
            </w:tcBorders>
            <w:shd w:val="clear" w:color="auto" w:fill="auto"/>
            <w:noWrap/>
            <w:vAlign w:val="bottom"/>
          </w:tcPr>
          <w:p w:rsidR="00CE5097" w:rsidRPr="00976F9E" w:rsidRDefault="00CE5097" w:rsidP="001B5AB4">
            <w:pPr>
              <w:rPr>
                <w:sz w:val="24"/>
                <w:szCs w:val="24"/>
              </w:rPr>
            </w:pPr>
          </w:p>
        </w:tc>
        <w:tc>
          <w:tcPr>
            <w:tcW w:w="1380" w:type="dxa"/>
            <w:tcBorders>
              <w:top w:val="nil"/>
              <w:left w:val="nil"/>
              <w:bottom w:val="nil"/>
              <w:right w:val="nil"/>
            </w:tcBorders>
            <w:shd w:val="clear" w:color="auto" w:fill="auto"/>
            <w:noWrap/>
            <w:vAlign w:val="bottom"/>
          </w:tcPr>
          <w:p w:rsidR="00CE5097" w:rsidRPr="00976F9E" w:rsidRDefault="00CE5097" w:rsidP="001B5AB4">
            <w:pPr>
              <w:rPr>
                <w:sz w:val="24"/>
                <w:szCs w:val="24"/>
              </w:rPr>
            </w:pPr>
          </w:p>
        </w:tc>
        <w:tc>
          <w:tcPr>
            <w:tcW w:w="1080" w:type="dxa"/>
            <w:tcBorders>
              <w:top w:val="nil"/>
              <w:left w:val="nil"/>
              <w:right w:val="nil"/>
            </w:tcBorders>
            <w:shd w:val="clear" w:color="auto" w:fill="auto"/>
            <w:noWrap/>
            <w:vAlign w:val="bottom"/>
          </w:tcPr>
          <w:p w:rsidR="00CE5097" w:rsidRPr="00976F9E" w:rsidRDefault="00CE5097" w:rsidP="001B5AB4">
            <w:pPr>
              <w:rPr>
                <w:sz w:val="24"/>
                <w:szCs w:val="24"/>
              </w:rPr>
            </w:pPr>
          </w:p>
        </w:tc>
      </w:tr>
    </w:tbl>
    <w:p w:rsidR="00976F9E" w:rsidRPr="00976F9E" w:rsidRDefault="00976F9E" w:rsidP="00976F9E">
      <w:pPr>
        <w:pStyle w:val="CommentText"/>
        <w:ind w:left="360"/>
        <w:rPr>
          <w:rFonts w:ascii="Arial" w:hAnsi="Arial" w:cs="Arial"/>
        </w:rPr>
      </w:pPr>
      <w:r w:rsidRPr="00976F9E">
        <w:rPr>
          <w:rFonts w:ascii="Arial" w:hAnsi="Arial" w:cs="Arial"/>
        </w:rPr>
        <w:t>*Washington locality area salaries.</w:t>
      </w:r>
    </w:p>
    <w:p w:rsidR="00B92166" w:rsidRDefault="00B92166">
      <w:pPr>
        <w:pStyle w:val="BodyText3"/>
        <w:tabs>
          <w:tab w:val="clear" w:pos="540"/>
          <w:tab w:val="clear" w:pos="1080"/>
          <w:tab w:val="clear" w:pos="1620"/>
          <w:tab w:val="clear" w:pos="2160"/>
          <w:tab w:val="left" w:pos="504"/>
          <w:tab w:val="left" w:pos="1008"/>
          <w:tab w:val="left" w:pos="1512"/>
          <w:tab w:val="left" w:pos="2016"/>
        </w:tabs>
        <w:rPr>
          <w:b w:val="0"/>
          <w:bCs/>
          <w:sz w:val="24"/>
        </w:rPr>
      </w:pPr>
    </w:p>
    <w:p w:rsidR="00B92166" w:rsidRDefault="00A56F20">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hyperlink r:id="rId9" w:history="1">
        <w:proofErr w:type="gramStart"/>
        <w:r w:rsidR="003058EB" w:rsidRPr="003058EB">
          <w:rPr>
            <w:rStyle w:val="Hyperlink"/>
            <w:sz w:val="24"/>
            <w:szCs w:val="24"/>
          </w:rPr>
          <w:t>http://www.opm.gov/policy-data-oversight/pay-leave/salaries-wages/2014/general-schedule/</w:t>
        </w:r>
      </w:hyperlink>
      <w:r w:rsidR="003058EB" w:rsidRPr="003058EB">
        <w:rPr>
          <w:sz w:val="24"/>
          <w:szCs w:val="24"/>
        </w:rPr>
        <w:t xml:space="preserve"> </w:t>
      </w:r>
      <w:r w:rsidR="00D415BE">
        <w:rPr>
          <w:b/>
          <w:sz w:val="24"/>
        </w:rPr>
        <w:br w:type="page"/>
      </w:r>
      <w:r w:rsidR="00B92166">
        <w:rPr>
          <w:b/>
          <w:sz w:val="24"/>
        </w:rPr>
        <w:lastRenderedPageBreak/>
        <w:t>15.</w:t>
      </w:r>
      <w:proofErr w:type="gramEnd"/>
      <w:r w:rsidR="00B92166">
        <w:rPr>
          <w:b/>
          <w:sz w:val="24"/>
        </w:rPr>
        <w:tab/>
        <w:t>Explain the reason for any changes in Items 13 or 14 of the OMB 83-1.</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00D415BE">
        <w:rPr>
          <w:sz w:val="24"/>
        </w:rPr>
        <w:t>There is no change in burden</w:t>
      </w:r>
      <w:r>
        <w:rPr>
          <w:sz w:val="24"/>
        </w:rPr>
        <w:t>.</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pStyle w:val="BodyText3"/>
        <w:tabs>
          <w:tab w:val="clear" w:pos="540"/>
          <w:tab w:val="clear" w:pos="1080"/>
          <w:tab w:val="clear" w:pos="1620"/>
          <w:tab w:val="clear" w:pos="2160"/>
          <w:tab w:val="left" w:pos="504"/>
          <w:tab w:val="left" w:pos="1008"/>
          <w:tab w:val="left" w:pos="1512"/>
          <w:tab w:val="left" w:pos="2016"/>
        </w:tabs>
        <w:rPr>
          <w:sz w:val="24"/>
        </w:rPr>
      </w:pPr>
      <w:r>
        <w:rPr>
          <w:sz w:val="24"/>
        </w:rPr>
        <w:t>16.</w:t>
      </w:r>
      <w:r>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sz w:val="24"/>
        </w:rPr>
        <w:tab/>
        <w:t>There are no plans to publish the results of the information collected.</w:t>
      </w:r>
    </w:p>
    <w:p w:rsidR="00B92166" w:rsidRDefault="00B92166">
      <w:pPr>
        <w:tabs>
          <w:tab w:val="left" w:pos="540"/>
          <w:tab w:val="left" w:pos="1080"/>
          <w:tab w:val="left" w:pos="1620"/>
        </w:tabs>
        <w:rPr>
          <w:sz w:val="24"/>
        </w:rPr>
      </w:pPr>
    </w:p>
    <w:p w:rsidR="00B92166" w:rsidRDefault="00B92166">
      <w:pPr>
        <w:pStyle w:val="BodyText3"/>
        <w:tabs>
          <w:tab w:val="clear" w:pos="540"/>
          <w:tab w:val="clear" w:pos="1080"/>
          <w:tab w:val="clear" w:pos="1620"/>
          <w:tab w:val="clear" w:pos="2160"/>
          <w:tab w:val="left" w:pos="504"/>
          <w:tab w:val="left" w:pos="1008"/>
          <w:tab w:val="left" w:pos="1512"/>
          <w:tab w:val="left" w:pos="2016"/>
        </w:tabs>
        <w:rPr>
          <w:sz w:val="24"/>
        </w:rPr>
      </w:pPr>
      <w:r>
        <w:rPr>
          <w:sz w:val="24"/>
        </w:rPr>
        <w:t>17.</w:t>
      </w:r>
      <w:r>
        <w:rPr>
          <w:sz w:val="24"/>
        </w:rPr>
        <w:tab/>
        <w:t xml:space="preserve">If seeking approval to omit the expiration date for OMB approval of the information collection, explain the reasons that display would be inappropriate. </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4"/>
        </w:rPr>
      </w:pPr>
      <w:r>
        <w:rPr>
          <w:sz w:val="24"/>
        </w:rPr>
        <w:tab/>
      </w:r>
      <w:r w:rsidR="0076160F">
        <w:rPr>
          <w:sz w:val="24"/>
        </w:rPr>
        <w:t xml:space="preserve">VA </w:t>
      </w:r>
      <w:r>
        <w:rPr>
          <w:sz w:val="24"/>
        </w:rPr>
        <w:t>do</w:t>
      </w:r>
      <w:r w:rsidR="0076160F">
        <w:rPr>
          <w:sz w:val="24"/>
        </w:rPr>
        <w:t>es</w:t>
      </w:r>
      <w:r>
        <w:rPr>
          <w:sz w:val="24"/>
        </w:rPr>
        <w:t xml:space="preserve"> not seek approval to omit the expiration date</w:t>
      </w:r>
      <w:r w:rsidR="0076160F">
        <w:rPr>
          <w:sz w:val="24"/>
        </w:rPr>
        <w:t xml:space="preserve"> for OMB approval</w:t>
      </w:r>
      <w:r>
        <w:rPr>
          <w:sz w:val="24"/>
        </w:rPr>
        <w:t>.</w:t>
      </w:r>
    </w:p>
    <w:p w:rsidR="00B92166" w:rsidRDefault="00B9216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4"/>
        </w:rPr>
      </w:pPr>
    </w:p>
    <w:p w:rsidR="00B92166" w:rsidRDefault="00B92166">
      <w:pPr>
        <w:pStyle w:val="BodyText3"/>
        <w:tabs>
          <w:tab w:val="clear" w:pos="540"/>
          <w:tab w:val="clear" w:pos="1080"/>
          <w:tab w:val="clear" w:pos="1620"/>
          <w:tab w:val="clear" w:pos="2160"/>
          <w:tab w:val="left" w:pos="504"/>
          <w:tab w:val="left" w:pos="1008"/>
          <w:tab w:val="left" w:pos="1512"/>
          <w:tab w:val="left" w:pos="2016"/>
        </w:tabs>
        <w:rPr>
          <w:sz w:val="24"/>
        </w:rPr>
      </w:pPr>
      <w:r>
        <w:rPr>
          <w:sz w:val="24"/>
        </w:rPr>
        <w:t>18.</w:t>
      </w:r>
      <w:r>
        <w:rPr>
          <w:sz w:val="24"/>
        </w:rPr>
        <w:tab/>
        <w:t>Explain each exception to the certification statement identified in Item 19, “Certification for Paperwork Reduction Act Submissions,” of OMB 83-I.</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sz w:val="24"/>
        </w:rPr>
        <w:tab/>
        <w:t>There are no exceptions to the certification statement.</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pStyle w:val="Heading2"/>
        <w:tabs>
          <w:tab w:val="clear" w:pos="540"/>
          <w:tab w:val="clear" w:pos="1080"/>
          <w:tab w:val="clear" w:pos="1620"/>
          <w:tab w:val="clear" w:pos="2160"/>
          <w:tab w:val="left" w:pos="504"/>
          <w:tab w:val="left" w:pos="1008"/>
          <w:tab w:val="left" w:pos="1512"/>
          <w:tab w:val="left" w:pos="2016"/>
        </w:tabs>
      </w:pPr>
      <w:r>
        <w:t>B.</w:t>
      </w:r>
      <w:r>
        <w:tab/>
        <w:t>COLLECTIONS OF INFORMATION EMPLOYING STATISTICAL METHODS</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sz w:val="24"/>
        </w:rPr>
        <w:tab/>
        <w:t>No statistical methods are used in this data collection.</w:t>
      </w:r>
    </w:p>
    <w:p w:rsidR="00B92166" w:rsidRDefault="00B9216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4"/>
        </w:rPr>
      </w:pPr>
    </w:p>
    <w:sectPr w:rsidR="00B92166" w:rsidSect="008563FF">
      <w:headerReference w:type="default" r:id="rId10"/>
      <w:footerReference w:type="default" r:id="rId11"/>
      <w:headerReference w:type="first" r:id="rId12"/>
      <w:footerReference w:type="first" r:id="rId13"/>
      <w:footnotePr>
        <w:pos w:val="sectEnd"/>
      </w:footnotePr>
      <w:endnotePr>
        <w:numFmt w:val="decimal"/>
        <w:numStart w:val="0"/>
      </w:endnotePr>
      <w:pgSz w:w="12240" w:h="15840" w:code="1"/>
      <w:pgMar w:top="1440" w:right="1152" w:bottom="1152" w:left="1152" w:header="72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CB0" w:rsidRDefault="00E12CB0">
      <w:r>
        <w:separator/>
      </w:r>
    </w:p>
  </w:endnote>
  <w:endnote w:type="continuationSeparator" w:id="0">
    <w:p w:rsidR="00E12CB0" w:rsidRDefault="00E1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36" w:rsidRPr="00565C99" w:rsidRDefault="00070536">
    <w:pPr>
      <w:pStyle w:val="Footer"/>
      <w:tabs>
        <w:tab w:val="clear" w:pos="4320"/>
        <w:tab w:val="clear" w:pos="8640"/>
        <w:tab w:val="right" w:pos="9360"/>
      </w:tabs>
      <w:rPr>
        <w:b/>
        <w:sz w:val="24"/>
        <w:szCs w:val="24"/>
      </w:rPr>
    </w:pPr>
    <w:r>
      <w:tab/>
    </w:r>
    <w:r w:rsidRPr="00565C99">
      <w:rPr>
        <w:b/>
        <w:sz w:val="24"/>
        <w:szCs w:val="24"/>
      </w:rPr>
      <w:t xml:space="preserve">Page </w:t>
    </w:r>
    <w:r w:rsidRPr="00565C99">
      <w:rPr>
        <w:rStyle w:val="PageNumber"/>
        <w:b/>
        <w:sz w:val="24"/>
        <w:szCs w:val="24"/>
      </w:rPr>
      <w:fldChar w:fldCharType="begin"/>
    </w:r>
    <w:r w:rsidRPr="00565C99">
      <w:rPr>
        <w:rStyle w:val="PageNumber"/>
        <w:b/>
        <w:sz w:val="24"/>
        <w:szCs w:val="24"/>
      </w:rPr>
      <w:instrText xml:space="preserve"> PAGE </w:instrText>
    </w:r>
    <w:r w:rsidRPr="00565C99">
      <w:rPr>
        <w:rStyle w:val="PageNumber"/>
        <w:b/>
        <w:sz w:val="24"/>
        <w:szCs w:val="24"/>
      </w:rPr>
      <w:fldChar w:fldCharType="separate"/>
    </w:r>
    <w:r w:rsidR="00A56F20">
      <w:rPr>
        <w:rStyle w:val="PageNumber"/>
        <w:b/>
        <w:noProof/>
        <w:sz w:val="24"/>
        <w:szCs w:val="24"/>
      </w:rPr>
      <w:t>2</w:t>
    </w:r>
    <w:r w:rsidRPr="00565C99">
      <w:rPr>
        <w:rStyle w:val="PageNumbe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36" w:rsidRPr="00565C99" w:rsidRDefault="00070536">
    <w:pPr>
      <w:pStyle w:val="Footer"/>
      <w:tabs>
        <w:tab w:val="clear" w:pos="4320"/>
        <w:tab w:val="clear" w:pos="8640"/>
        <w:tab w:val="right" w:pos="9360"/>
      </w:tabs>
      <w:rPr>
        <w:b/>
        <w:sz w:val="24"/>
        <w:szCs w:val="24"/>
      </w:rPr>
    </w:pPr>
    <w:r>
      <w:tab/>
    </w:r>
    <w:r w:rsidRPr="00565C99">
      <w:rPr>
        <w:b/>
        <w:sz w:val="24"/>
        <w:szCs w:val="24"/>
      </w:rPr>
      <w:t>Page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CB0" w:rsidRDefault="00E12CB0">
      <w:r>
        <w:separator/>
      </w:r>
    </w:p>
  </w:footnote>
  <w:footnote w:type="continuationSeparator" w:id="0">
    <w:p w:rsidR="00E12CB0" w:rsidRDefault="00E12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36" w:rsidRDefault="00070536">
    <w:pPr>
      <w:jc w:val="center"/>
      <w:rPr>
        <w:b/>
        <w:sz w:val="28"/>
      </w:rPr>
    </w:pPr>
    <w:r>
      <w:rPr>
        <w:b/>
        <w:sz w:val="28"/>
      </w:rPr>
      <w:t>Supporting Statement for 2900-0606, Continued</w:t>
    </w:r>
  </w:p>
  <w:p w:rsidR="00070536" w:rsidRDefault="00070536">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36" w:rsidRDefault="00070536">
    <w:pPr>
      <w:jc w:val="center"/>
      <w:rPr>
        <w:b/>
        <w:sz w:val="26"/>
      </w:rPr>
    </w:pPr>
    <w:r>
      <w:rPr>
        <w:b/>
        <w:sz w:val="26"/>
      </w:rPr>
      <w:t xml:space="preserve">Supporting Statement for </w:t>
    </w:r>
    <w:r>
      <w:rPr>
        <w:rStyle w:val="EmailStyle34"/>
        <w:rFonts w:ascii="Times New Roman" w:hAnsi="Times New Roman"/>
        <w:b/>
        <w:sz w:val="26"/>
      </w:rPr>
      <w:t xml:space="preserve">Collection or Recovery by VA for Medical Care or Services Provided or Furnished to a Veteran for a </w:t>
    </w:r>
    <w:proofErr w:type="spellStart"/>
    <w:r>
      <w:rPr>
        <w:rStyle w:val="EmailStyle34"/>
        <w:rFonts w:ascii="Times New Roman" w:hAnsi="Times New Roman"/>
        <w:b/>
        <w:sz w:val="26"/>
      </w:rPr>
      <w:t>Nonservice</w:t>
    </w:r>
    <w:proofErr w:type="spellEnd"/>
    <w:r>
      <w:rPr>
        <w:rStyle w:val="EmailStyle34"/>
        <w:rFonts w:ascii="Times New Roman" w:hAnsi="Times New Roman"/>
        <w:b/>
        <w:sz w:val="26"/>
      </w:rPr>
      <w:t>-Connected Disability</w:t>
    </w:r>
  </w:p>
  <w:p w:rsidR="00070536" w:rsidRDefault="00070536">
    <w:pPr>
      <w:pStyle w:val="Header"/>
      <w:jc w:val="center"/>
      <w:rPr>
        <w:b/>
        <w:sz w:val="26"/>
      </w:rPr>
    </w:pPr>
    <w:r>
      <w:rPr>
        <w:b/>
        <w:sz w:val="26"/>
      </w:rPr>
      <w:t>38 CFR 17.101 (a) (4)</w:t>
    </w:r>
  </w:p>
  <w:p w:rsidR="00070536" w:rsidRDefault="00070536">
    <w:pPr>
      <w:pStyle w:val="Header"/>
      <w:jc w:val="center"/>
      <w:rPr>
        <w:b/>
        <w:sz w:val="26"/>
      </w:rPr>
    </w:pPr>
    <w:r>
      <w:rPr>
        <w:b/>
        <w:sz w:val="26"/>
      </w:rPr>
      <w:t>2900-0606</w:t>
    </w:r>
  </w:p>
  <w:p w:rsidR="00070536" w:rsidRDefault="0007053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1">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720900A9"/>
    <w:multiLevelType w:val="hybridMultilevel"/>
    <w:tmpl w:val="D144B0DE"/>
    <w:lvl w:ilvl="0" w:tplc="3836FCDA">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pos w:val="sectEnd"/>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C99"/>
    <w:rsid w:val="00006391"/>
    <w:rsid w:val="00006BDC"/>
    <w:rsid w:val="00036E35"/>
    <w:rsid w:val="0006223A"/>
    <w:rsid w:val="00070536"/>
    <w:rsid w:val="00091BB5"/>
    <w:rsid w:val="00095254"/>
    <w:rsid w:val="000A3B93"/>
    <w:rsid w:val="000C01ED"/>
    <w:rsid w:val="000D5F69"/>
    <w:rsid w:val="001078C8"/>
    <w:rsid w:val="00141511"/>
    <w:rsid w:val="00144819"/>
    <w:rsid w:val="00145F05"/>
    <w:rsid w:val="00160012"/>
    <w:rsid w:val="001651BC"/>
    <w:rsid w:val="001B5AB4"/>
    <w:rsid w:val="001D2010"/>
    <w:rsid w:val="00217421"/>
    <w:rsid w:val="00263BC4"/>
    <w:rsid w:val="0029011E"/>
    <w:rsid w:val="002C3900"/>
    <w:rsid w:val="002E721F"/>
    <w:rsid w:val="003058EB"/>
    <w:rsid w:val="00356748"/>
    <w:rsid w:val="003817A2"/>
    <w:rsid w:val="003A15AD"/>
    <w:rsid w:val="003B72A2"/>
    <w:rsid w:val="003D46C1"/>
    <w:rsid w:val="003E33FD"/>
    <w:rsid w:val="00456915"/>
    <w:rsid w:val="004A0091"/>
    <w:rsid w:val="004F14C4"/>
    <w:rsid w:val="00523CA5"/>
    <w:rsid w:val="00523CED"/>
    <w:rsid w:val="00551DDF"/>
    <w:rsid w:val="00554A90"/>
    <w:rsid w:val="00565C99"/>
    <w:rsid w:val="00585A05"/>
    <w:rsid w:val="005A6BD5"/>
    <w:rsid w:val="005E20E2"/>
    <w:rsid w:val="005E6A8B"/>
    <w:rsid w:val="005F4958"/>
    <w:rsid w:val="00602CC2"/>
    <w:rsid w:val="00647816"/>
    <w:rsid w:val="006A6E3B"/>
    <w:rsid w:val="006C4367"/>
    <w:rsid w:val="006E0E9D"/>
    <w:rsid w:val="006F7A0C"/>
    <w:rsid w:val="00705C71"/>
    <w:rsid w:val="00722E25"/>
    <w:rsid w:val="00756899"/>
    <w:rsid w:val="0076160F"/>
    <w:rsid w:val="00777F54"/>
    <w:rsid w:val="00784EDC"/>
    <w:rsid w:val="00790161"/>
    <w:rsid w:val="007D1699"/>
    <w:rsid w:val="00803F41"/>
    <w:rsid w:val="00806B73"/>
    <w:rsid w:val="00820123"/>
    <w:rsid w:val="008563FF"/>
    <w:rsid w:val="008E71EA"/>
    <w:rsid w:val="008E7FDF"/>
    <w:rsid w:val="00913950"/>
    <w:rsid w:val="009614F9"/>
    <w:rsid w:val="0097076E"/>
    <w:rsid w:val="00976F9E"/>
    <w:rsid w:val="009B4132"/>
    <w:rsid w:val="009B77ED"/>
    <w:rsid w:val="009F2E35"/>
    <w:rsid w:val="00A56F20"/>
    <w:rsid w:val="00A83497"/>
    <w:rsid w:val="00AD3D53"/>
    <w:rsid w:val="00AD4DBD"/>
    <w:rsid w:val="00AE74B0"/>
    <w:rsid w:val="00AF3986"/>
    <w:rsid w:val="00B53215"/>
    <w:rsid w:val="00B57EBD"/>
    <w:rsid w:val="00B92166"/>
    <w:rsid w:val="00BB56D9"/>
    <w:rsid w:val="00BB606E"/>
    <w:rsid w:val="00C3199B"/>
    <w:rsid w:val="00C65206"/>
    <w:rsid w:val="00C755F7"/>
    <w:rsid w:val="00C87250"/>
    <w:rsid w:val="00C92808"/>
    <w:rsid w:val="00C93E6C"/>
    <w:rsid w:val="00C96AB8"/>
    <w:rsid w:val="00CA3F27"/>
    <w:rsid w:val="00CE5097"/>
    <w:rsid w:val="00D11501"/>
    <w:rsid w:val="00D16DD6"/>
    <w:rsid w:val="00D33F34"/>
    <w:rsid w:val="00D35166"/>
    <w:rsid w:val="00D415BE"/>
    <w:rsid w:val="00D46D29"/>
    <w:rsid w:val="00D50715"/>
    <w:rsid w:val="00DA233E"/>
    <w:rsid w:val="00DE2F9F"/>
    <w:rsid w:val="00DE7691"/>
    <w:rsid w:val="00E10E17"/>
    <w:rsid w:val="00E12CB0"/>
    <w:rsid w:val="00F10F6A"/>
    <w:rsid w:val="00F23AB4"/>
    <w:rsid w:val="00F35D89"/>
    <w:rsid w:val="00F464EE"/>
    <w:rsid w:val="00FB32A5"/>
    <w:rsid w:val="00FC7ED9"/>
    <w:rsid w:val="00FE5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ED9"/>
  </w:style>
  <w:style w:type="paragraph" w:styleId="Heading2">
    <w:name w:val="heading 2"/>
    <w:basedOn w:val="Normal"/>
    <w:next w:val="Normal"/>
    <w:qFormat/>
    <w:rsid w:val="00FC7ED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4">
    <w:name w:val="heading 4"/>
    <w:basedOn w:val="Normal"/>
    <w:next w:val="Normal"/>
    <w:qFormat/>
    <w:rsid w:val="00FC7ED9"/>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FC7ED9"/>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7ED9"/>
    <w:pPr>
      <w:tabs>
        <w:tab w:val="center" w:pos="4320"/>
        <w:tab w:val="right" w:pos="8640"/>
      </w:tabs>
    </w:pPr>
  </w:style>
  <w:style w:type="paragraph" w:styleId="Footer">
    <w:name w:val="footer"/>
    <w:basedOn w:val="Normal"/>
    <w:rsid w:val="00FC7ED9"/>
    <w:pPr>
      <w:tabs>
        <w:tab w:val="center" w:pos="4320"/>
        <w:tab w:val="right" w:pos="8640"/>
      </w:tabs>
    </w:pPr>
  </w:style>
  <w:style w:type="paragraph" w:styleId="BodyText3">
    <w:name w:val="Body Text 3"/>
    <w:basedOn w:val="Normal"/>
    <w:rsid w:val="00FC7ED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rsid w:val="00FC7ED9"/>
    <w:rPr>
      <w:color w:val="0000FF"/>
      <w:u w:val="single"/>
    </w:rPr>
  </w:style>
  <w:style w:type="character" w:styleId="PageNumber">
    <w:name w:val="page number"/>
    <w:basedOn w:val="DefaultParagraphFont"/>
    <w:rsid w:val="00FC7ED9"/>
  </w:style>
  <w:style w:type="character" w:customStyle="1" w:styleId="EmailStyle34">
    <w:name w:val="EmailStyle34"/>
    <w:rsid w:val="00FC7ED9"/>
    <w:rPr>
      <w:rFonts w:ascii="Arial" w:hAnsi="Arial"/>
      <w:color w:val="000000"/>
      <w:sz w:val="20"/>
    </w:rPr>
  </w:style>
  <w:style w:type="paragraph" w:styleId="HTMLPreformatted">
    <w:name w:val="HTML Preformatted"/>
    <w:basedOn w:val="Normal"/>
    <w:rsid w:val="003E3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CommentReference">
    <w:name w:val="annotation reference"/>
    <w:rsid w:val="003B72A2"/>
    <w:rPr>
      <w:sz w:val="16"/>
      <w:szCs w:val="16"/>
    </w:rPr>
  </w:style>
  <w:style w:type="paragraph" w:styleId="CommentText">
    <w:name w:val="annotation text"/>
    <w:basedOn w:val="Normal"/>
    <w:link w:val="CommentTextChar"/>
    <w:rsid w:val="003B72A2"/>
  </w:style>
  <w:style w:type="character" w:customStyle="1" w:styleId="CommentTextChar">
    <w:name w:val="Comment Text Char"/>
    <w:basedOn w:val="DefaultParagraphFont"/>
    <w:link w:val="CommentText"/>
    <w:rsid w:val="003B72A2"/>
  </w:style>
  <w:style w:type="paragraph" w:styleId="CommentSubject">
    <w:name w:val="annotation subject"/>
    <w:basedOn w:val="CommentText"/>
    <w:next w:val="CommentText"/>
    <w:link w:val="CommentSubjectChar"/>
    <w:rsid w:val="003B72A2"/>
    <w:rPr>
      <w:b/>
      <w:bCs/>
    </w:rPr>
  </w:style>
  <w:style w:type="character" w:customStyle="1" w:styleId="CommentSubjectChar">
    <w:name w:val="Comment Subject Char"/>
    <w:link w:val="CommentSubject"/>
    <w:rsid w:val="003B72A2"/>
    <w:rPr>
      <w:b/>
      <w:bCs/>
    </w:rPr>
  </w:style>
  <w:style w:type="paragraph" w:styleId="BalloonText">
    <w:name w:val="Balloon Text"/>
    <w:basedOn w:val="Normal"/>
    <w:link w:val="BalloonTextChar"/>
    <w:rsid w:val="003B72A2"/>
    <w:rPr>
      <w:rFonts w:ascii="Tahoma" w:hAnsi="Tahoma" w:cs="Tahoma"/>
      <w:sz w:val="16"/>
      <w:szCs w:val="16"/>
    </w:rPr>
  </w:style>
  <w:style w:type="character" w:customStyle="1" w:styleId="BalloonTextChar">
    <w:name w:val="Balloon Text Char"/>
    <w:link w:val="BalloonText"/>
    <w:rsid w:val="003B72A2"/>
    <w:rPr>
      <w:rFonts w:ascii="Tahoma" w:hAnsi="Tahoma" w:cs="Tahoma"/>
      <w:sz w:val="16"/>
      <w:szCs w:val="16"/>
    </w:rPr>
  </w:style>
  <w:style w:type="character" w:styleId="FollowedHyperlink">
    <w:name w:val="FollowedHyperlink"/>
    <w:rsid w:val="00BB56D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ED9"/>
  </w:style>
  <w:style w:type="paragraph" w:styleId="Heading2">
    <w:name w:val="heading 2"/>
    <w:basedOn w:val="Normal"/>
    <w:next w:val="Normal"/>
    <w:qFormat/>
    <w:rsid w:val="00FC7ED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4">
    <w:name w:val="heading 4"/>
    <w:basedOn w:val="Normal"/>
    <w:next w:val="Normal"/>
    <w:qFormat/>
    <w:rsid w:val="00FC7ED9"/>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FC7ED9"/>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7ED9"/>
    <w:pPr>
      <w:tabs>
        <w:tab w:val="center" w:pos="4320"/>
        <w:tab w:val="right" w:pos="8640"/>
      </w:tabs>
    </w:pPr>
  </w:style>
  <w:style w:type="paragraph" w:styleId="Footer">
    <w:name w:val="footer"/>
    <w:basedOn w:val="Normal"/>
    <w:rsid w:val="00FC7ED9"/>
    <w:pPr>
      <w:tabs>
        <w:tab w:val="center" w:pos="4320"/>
        <w:tab w:val="right" w:pos="8640"/>
      </w:tabs>
    </w:pPr>
  </w:style>
  <w:style w:type="paragraph" w:styleId="BodyText3">
    <w:name w:val="Body Text 3"/>
    <w:basedOn w:val="Normal"/>
    <w:rsid w:val="00FC7ED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rsid w:val="00FC7ED9"/>
    <w:rPr>
      <w:color w:val="0000FF"/>
      <w:u w:val="single"/>
    </w:rPr>
  </w:style>
  <w:style w:type="character" w:styleId="PageNumber">
    <w:name w:val="page number"/>
    <w:basedOn w:val="DefaultParagraphFont"/>
    <w:rsid w:val="00FC7ED9"/>
  </w:style>
  <w:style w:type="character" w:customStyle="1" w:styleId="EmailStyle34">
    <w:name w:val="EmailStyle34"/>
    <w:rsid w:val="00FC7ED9"/>
    <w:rPr>
      <w:rFonts w:ascii="Arial" w:hAnsi="Arial"/>
      <w:color w:val="000000"/>
      <w:sz w:val="20"/>
    </w:rPr>
  </w:style>
  <w:style w:type="paragraph" w:styleId="HTMLPreformatted">
    <w:name w:val="HTML Preformatted"/>
    <w:basedOn w:val="Normal"/>
    <w:rsid w:val="003E3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CommentReference">
    <w:name w:val="annotation reference"/>
    <w:rsid w:val="003B72A2"/>
    <w:rPr>
      <w:sz w:val="16"/>
      <w:szCs w:val="16"/>
    </w:rPr>
  </w:style>
  <w:style w:type="paragraph" w:styleId="CommentText">
    <w:name w:val="annotation text"/>
    <w:basedOn w:val="Normal"/>
    <w:link w:val="CommentTextChar"/>
    <w:rsid w:val="003B72A2"/>
  </w:style>
  <w:style w:type="character" w:customStyle="1" w:styleId="CommentTextChar">
    <w:name w:val="Comment Text Char"/>
    <w:basedOn w:val="DefaultParagraphFont"/>
    <w:link w:val="CommentText"/>
    <w:rsid w:val="003B72A2"/>
  </w:style>
  <w:style w:type="paragraph" w:styleId="CommentSubject">
    <w:name w:val="annotation subject"/>
    <w:basedOn w:val="CommentText"/>
    <w:next w:val="CommentText"/>
    <w:link w:val="CommentSubjectChar"/>
    <w:rsid w:val="003B72A2"/>
    <w:rPr>
      <w:b/>
      <w:bCs/>
    </w:rPr>
  </w:style>
  <w:style w:type="character" w:customStyle="1" w:styleId="CommentSubjectChar">
    <w:name w:val="Comment Subject Char"/>
    <w:link w:val="CommentSubject"/>
    <w:rsid w:val="003B72A2"/>
    <w:rPr>
      <w:b/>
      <w:bCs/>
    </w:rPr>
  </w:style>
  <w:style w:type="paragraph" w:styleId="BalloonText">
    <w:name w:val="Balloon Text"/>
    <w:basedOn w:val="Normal"/>
    <w:link w:val="BalloonTextChar"/>
    <w:rsid w:val="003B72A2"/>
    <w:rPr>
      <w:rFonts w:ascii="Tahoma" w:hAnsi="Tahoma" w:cs="Tahoma"/>
      <w:sz w:val="16"/>
      <w:szCs w:val="16"/>
    </w:rPr>
  </w:style>
  <w:style w:type="character" w:customStyle="1" w:styleId="BalloonTextChar">
    <w:name w:val="Balloon Text Char"/>
    <w:link w:val="BalloonText"/>
    <w:rsid w:val="003B72A2"/>
    <w:rPr>
      <w:rFonts w:ascii="Tahoma" w:hAnsi="Tahoma" w:cs="Tahoma"/>
      <w:sz w:val="16"/>
      <w:szCs w:val="16"/>
    </w:rPr>
  </w:style>
  <w:style w:type="character" w:styleId="FollowedHyperlink">
    <w:name w:val="FollowedHyperlink"/>
    <w:rsid w:val="00BB56D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cess.gpo.gov/su_docs/aces/2003_pa.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m.gov/policy-data-oversight/pay-leave/salaries-wages/2014/general-schedu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1968</Words>
  <Characters>10925</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Supporting Statement for Submission of Evidence</vt:lpstr>
    </vt:vector>
  </TitlesOfParts>
  <Company>VHA</Company>
  <LinksUpToDate>false</LinksUpToDate>
  <CharactersWithSpaces>12868</CharactersWithSpaces>
  <SharedDoc>false</SharedDoc>
  <HLinks>
    <vt:vector size="12" baseType="variant">
      <vt:variant>
        <vt:i4>6946858</vt:i4>
      </vt:variant>
      <vt:variant>
        <vt:i4>3</vt:i4>
      </vt:variant>
      <vt:variant>
        <vt:i4>0</vt:i4>
      </vt:variant>
      <vt:variant>
        <vt:i4>5</vt:i4>
      </vt:variant>
      <vt:variant>
        <vt:lpwstr>http://www.opm.gov/oca/11tables/indexgs.asp</vt:lpwstr>
      </vt:variant>
      <vt:variant>
        <vt:lpwstr/>
      </vt:variant>
      <vt:variant>
        <vt:i4>1966094</vt:i4>
      </vt:variant>
      <vt:variant>
        <vt:i4>0</vt:i4>
      </vt:variant>
      <vt:variant>
        <vt:i4>0</vt:i4>
      </vt:variant>
      <vt:variant>
        <vt:i4>5</vt:i4>
      </vt:variant>
      <vt:variant>
        <vt:lpwstr>http://www.access.gpo.gov/su_docs/aces/2003_pa.html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Submission of Evidence</dc:title>
  <dc:creator>VA</dc:creator>
  <cp:lastModifiedBy>Manuel, Howard L.</cp:lastModifiedBy>
  <cp:revision>2</cp:revision>
  <cp:lastPrinted>2007-12-28T13:29:00Z</cp:lastPrinted>
  <dcterms:created xsi:type="dcterms:W3CDTF">2014-07-29T16:21:00Z</dcterms:created>
  <dcterms:modified xsi:type="dcterms:W3CDTF">2014-07-29T16:21:00Z</dcterms:modified>
</cp:coreProperties>
</file>