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FD311D">
        <w:rPr>
          <w:sz w:val="28"/>
        </w:rPr>
        <w:t>2900</w:t>
      </w:r>
      <w:r>
        <w:rPr>
          <w:sz w:val="28"/>
        </w:rPr>
        <w:t>-</w:t>
      </w:r>
      <w:r w:rsidR="00FD311D">
        <w:rPr>
          <w:sz w:val="28"/>
        </w:rPr>
        <w:t>0770</w:t>
      </w:r>
      <w:r>
        <w:rPr>
          <w:sz w:val="28"/>
        </w:rPr>
        <w:t>)</w:t>
      </w:r>
    </w:p>
    <w:p w:rsidR="008B2E1F" w:rsidRDefault="00E70B07"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47625</wp:posOffset>
                </wp:positionH>
                <wp:positionV relativeFrom="paragraph">
                  <wp:posOffset>73025</wp:posOffset>
                </wp:positionV>
                <wp:extent cx="5943600" cy="0"/>
                <wp:effectExtent l="9525" t="15875" r="9525"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5pt,5.75pt" to="471.7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S7REg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" o:allowincell="f" strokeweight="1.5pt"/>
            </w:pict>
          </mc:Fallback>
        </mc:AlternateContent>
      </w:r>
    </w:p>
    <w:p w:rsidR="00E50293" w:rsidRPr="009239AA" w:rsidRDefault="005E714A" w:rsidP="00434E33">
      <w:pPr>
        <w:rPr>
          <w:b/>
        </w:rPr>
      </w:pPr>
      <w:r w:rsidRPr="00434E33">
        <w:rPr>
          <w:b/>
        </w:rPr>
        <w:t>TITLE OF INFORMATION COLLECTION:</w:t>
      </w:r>
      <w:r>
        <w:t xml:space="preserve">  </w:t>
      </w:r>
    </w:p>
    <w:p w:rsidR="005E714A" w:rsidRDefault="005E714A">
      <w:bookmarkStart w:id="0" w:name="_GoBack"/>
      <w:bookmarkEnd w:id="0"/>
    </w:p>
    <w:p w:rsidR="008B2E1F" w:rsidRPr="000E416F" w:rsidRDefault="00B808D3">
      <w:pPr>
        <w:rPr>
          <w:b/>
          <w:sz w:val="28"/>
          <w:szCs w:val="28"/>
        </w:rPr>
      </w:pPr>
      <w:r>
        <w:rPr>
          <w:b/>
          <w:sz w:val="28"/>
          <w:szCs w:val="28"/>
        </w:rPr>
        <w:t xml:space="preserve">NAC </w:t>
      </w:r>
      <w:r w:rsidR="009E0C12" w:rsidRPr="000E416F">
        <w:rPr>
          <w:b/>
          <w:sz w:val="28"/>
          <w:szCs w:val="28"/>
        </w:rPr>
        <w:t xml:space="preserve">Customer Response Survey </w:t>
      </w:r>
    </w:p>
    <w:p w:rsidR="008B2E1F" w:rsidRDefault="008B2E1F">
      <w:pPr>
        <w:rPr>
          <w:b/>
        </w:rPr>
      </w:pPr>
    </w:p>
    <w:p w:rsidR="001B0AAA" w:rsidRDefault="00F15956">
      <w:r>
        <w:rPr>
          <w:b/>
        </w:rPr>
        <w:t>PURPOSE</w:t>
      </w:r>
      <w:r w:rsidRPr="009239AA">
        <w:rPr>
          <w:b/>
        </w:rPr>
        <w:t>:</w:t>
      </w:r>
      <w:r w:rsidR="00C14CC4" w:rsidRPr="009239AA">
        <w:rPr>
          <w:b/>
        </w:rPr>
        <w:t xml:space="preserve">  </w:t>
      </w:r>
    </w:p>
    <w:p w:rsidR="00C8488C" w:rsidRPr="00C95D15" w:rsidRDefault="00C8488C"/>
    <w:p w:rsidR="00C8488C" w:rsidRPr="00C95D15" w:rsidRDefault="009E0C12" w:rsidP="00610880">
      <w:r w:rsidRPr="00C95D15">
        <w:t>The National Acquisition Center Survey is information that will be gathered and used by the National Acquisition Center’s senior staff to assess customer satisfaction with delivered products/services of the VA’s various Federal Supply Schedules, National Contracts, Blanket Purchase Agreements, and o</w:t>
      </w:r>
      <w:r w:rsidR="00C95D15">
        <w:t>ther national contract programs.</w:t>
      </w: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C8488C" w:rsidRDefault="00C8488C"/>
    <w:p w:rsidR="00434E33" w:rsidRDefault="00C95D15">
      <w:r>
        <w:t xml:space="preserve">Respondents are Federal customers of the VA’s various Federal Supply Schedules, National Contracts, Blanket Purchase Agreements, and other national contract programs that relate to medical, surgical, pharmaceutical, patient Mobility devices, dental, laboratory, and medical services, and the vendors that supply the aforementioned items. </w:t>
      </w:r>
      <w:r w:rsidR="000E416F">
        <w:br/>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CA71E5">
      <w:pPr>
        <w:pStyle w:val="BodyTextIndent"/>
        <w:tabs>
          <w:tab w:val="left" w:pos="450"/>
          <w:tab w:val="left" w:pos="4950"/>
          <w:tab w:val="left" w:pos="5400"/>
        </w:tabs>
        <w:ind w:left="0"/>
        <w:rPr>
          <w:bCs/>
          <w:sz w:val="24"/>
        </w:rPr>
      </w:pPr>
      <w:r w:rsidRPr="00F06866">
        <w:rPr>
          <w:bCs/>
          <w:sz w:val="24"/>
        </w:rPr>
        <w:t xml:space="preserve">[ ] </w:t>
      </w:r>
      <w:r w:rsidR="00CA71E5">
        <w:rPr>
          <w:bCs/>
          <w:sz w:val="24"/>
        </w:rPr>
        <w:tab/>
      </w:r>
      <w:r w:rsidR="00F06866" w:rsidRPr="00F06866">
        <w:rPr>
          <w:bCs/>
          <w:sz w:val="24"/>
        </w:rPr>
        <w:t>Customer Comment Card/Complaint Form</w:t>
      </w:r>
      <w:r w:rsidRPr="00F06866">
        <w:rPr>
          <w:bCs/>
          <w:sz w:val="24"/>
        </w:rPr>
        <w:t xml:space="preserve"> </w:t>
      </w:r>
      <w:r w:rsidRPr="00F06866">
        <w:rPr>
          <w:bCs/>
          <w:sz w:val="24"/>
        </w:rPr>
        <w:tab/>
        <w:t>[</w:t>
      </w:r>
      <w:r w:rsidR="009E0C12">
        <w:rPr>
          <w:bCs/>
          <w:sz w:val="24"/>
        </w:rPr>
        <w:t>X</w:t>
      </w:r>
      <w:r w:rsidRPr="00F06866">
        <w:rPr>
          <w:bCs/>
          <w:sz w:val="24"/>
        </w:rPr>
        <w:t xml:space="preserve">] </w:t>
      </w:r>
      <w:r w:rsidR="00CA71E5">
        <w:rPr>
          <w:bCs/>
          <w:sz w:val="24"/>
        </w:rPr>
        <w:tab/>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CA71E5">
      <w:pPr>
        <w:pStyle w:val="BodyTextIndent"/>
        <w:tabs>
          <w:tab w:val="left" w:pos="450"/>
          <w:tab w:val="left" w:pos="4950"/>
          <w:tab w:val="left" w:pos="5400"/>
        </w:tabs>
        <w:ind w:left="0"/>
        <w:rPr>
          <w:bCs/>
          <w:sz w:val="24"/>
        </w:rPr>
      </w:pPr>
      <w:r w:rsidRPr="00F06866">
        <w:rPr>
          <w:bCs/>
          <w:sz w:val="24"/>
        </w:rPr>
        <w:t>[ ]</w:t>
      </w:r>
      <w:r w:rsidR="00CA71E5">
        <w:rPr>
          <w:bCs/>
          <w:sz w:val="24"/>
        </w:rPr>
        <w:t xml:space="preserve"> </w:t>
      </w:r>
      <w:r w:rsidR="00CA71E5">
        <w:rPr>
          <w:bCs/>
          <w:sz w:val="24"/>
        </w:rPr>
        <w:tab/>
      </w:r>
      <w:r w:rsidR="00F06866" w:rsidRPr="00F06866">
        <w:rPr>
          <w:bCs/>
          <w:sz w:val="24"/>
        </w:rPr>
        <w:t>Usability</w:t>
      </w:r>
      <w:r w:rsidR="009239AA">
        <w:rPr>
          <w:bCs/>
          <w:sz w:val="24"/>
        </w:rPr>
        <w:t xml:space="preserve"> Testing (e.g., Website or Software</w:t>
      </w:r>
      <w:r w:rsidR="00F06866">
        <w:rPr>
          <w:bCs/>
          <w:sz w:val="24"/>
        </w:rPr>
        <w:tab/>
        <w:t>[</w:t>
      </w:r>
      <w:r w:rsidR="00CA71E5">
        <w:rPr>
          <w:bCs/>
          <w:sz w:val="24"/>
        </w:rPr>
        <w:t xml:space="preserve"> </w:t>
      </w:r>
      <w:r w:rsidR="00F06866">
        <w:rPr>
          <w:bCs/>
          <w:sz w:val="24"/>
        </w:rPr>
        <w:t xml:space="preserve">] </w:t>
      </w:r>
      <w:r w:rsidR="00CA71E5">
        <w:rPr>
          <w:bCs/>
          <w:sz w:val="24"/>
        </w:rPr>
        <w:tab/>
      </w:r>
      <w:r w:rsidR="00F06866">
        <w:rPr>
          <w:bCs/>
          <w:sz w:val="24"/>
        </w:rPr>
        <w:t>Small Discussion Group</w:t>
      </w:r>
    </w:p>
    <w:p w:rsidR="00F06866" w:rsidRPr="00F06866" w:rsidRDefault="00935ADA" w:rsidP="00CA71E5">
      <w:pPr>
        <w:pStyle w:val="BodyTextIndent"/>
        <w:tabs>
          <w:tab w:val="left" w:pos="450"/>
          <w:tab w:val="left" w:pos="4950"/>
          <w:tab w:val="left" w:pos="5400"/>
        </w:tabs>
        <w:ind w:left="0"/>
        <w:rPr>
          <w:bCs/>
          <w:sz w:val="24"/>
        </w:rPr>
      </w:pPr>
      <w:r>
        <w:rPr>
          <w:bCs/>
          <w:sz w:val="24"/>
        </w:rPr>
        <w:t>[</w:t>
      </w:r>
      <w:r w:rsidR="00CF6542">
        <w:rPr>
          <w:bCs/>
          <w:sz w:val="24"/>
        </w:rPr>
        <w:t xml:space="preserve"> </w:t>
      </w:r>
      <w:r w:rsidR="00CA71E5">
        <w:rPr>
          <w:bCs/>
          <w:sz w:val="24"/>
        </w:rPr>
        <w:t>]</w:t>
      </w:r>
      <w:r w:rsidR="00CA71E5">
        <w:rPr>
          <w:bCs/>
          <w:sz w:val="24"/>
        </w:rPr>
        <w:tab/>
      </w:r>
      <w:r>
        <w:rPr>
          <w:bCs/>
          <w:sz w:val="24"/>
        </w:rPr>
        <w:t xml:space="preserve">Focus Group  </w:t>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w:t>
      </w:r>
      <w:r w:rsidR="00CA71E5">
        <w:rPr>
          <w:bCs/>
          <w:sz w:val="24"/>
        </w:rPr>
        <w:tab/>
      </w:r>
      <w:r w:rsidR="00F06866">
        <w:rPr>
          <w:bCs/>
          <w:sz w:val="24"/>
        </w:rPr>
        <w:t>Other:</w:t>
      </w:r>
      <w:r w:rsidR="00F06866" w:rsidRPr="00F06866">
        <w:rPr>
          <w:bCs/>
          <w:sz w:val="24"/>
          <w:u w:val="single"/>
        </w:rPr>
        <w:t xml:space="preserve"> ______________________</w:t>
      </w:r>
    </w:p>
    <w:p w:rsidR="00434E33" w:rsidRDefault="00434E33" w:rsidP="00CA71E5">
      <w:pPr>
        <w:pStyle w:val="Header"/>
        <w:tabs>
          <w:tab w:val="clear" w:pos="4320"/>
          <w:tab w:val="clear" w:pos="8640"/>
          <w:tab w:val="left" w:pos="450"/>
          <w:tab w:val="left" w:pos="540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D84269">
      <w:r w:rsidRPr="00D84269">
        <w:t>Name:</w:t>
      </w:r>
      <w:r w:rsidR="00D84269">
        <w:t xml:space="preserve"> Raymond E. Schraeder</w:t>
      </w: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7A3A1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8F6DE0">
        <w:t xml:space="preserve"> </w:t>
      </w:r>
      <w:r w:rsidR="007A3A11">
        <w:t>X</w:t>
      </w:r>
      <w:r w:rsidR="008F6DE0">
        <w:t xml:space="preserve"> </w:t>
      </w:r>
      <w:r w:rsidR="009239AA">
        <w:t>] Yes  [</w:t>
      </w:r>
      <w:r w:rsidR="007A3A11">
        <w:t xml:space="preserve"> </w:t>
      </w:r>
      <w:r w:rsidR="009239AA">
        <w:t xml:space="preserve">]  No </w:t>
      </w:r>
    </w:p>
    <w:p w:rsidR="00C86E91" w:rsidRDefault="009C13B9" w:rsidP="00C86E91">
      <w:pPr>
        <w:pStyle w:val="ListParagraph"/>
        <w:numPr>
          <w:ilvl w:val="0"/>
          <w:numId w:val="18"/>
        </w:numPr>
      </w:pPr>
      <w:r>
        <w:lastRenderedPageBreak/>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8F6DE0">
        <w:t xml:space="preserve"> </w:t>
      </w:r>
      <w:r w:rsidR="007A3A11">
        <w:t>X</w:t>
      </w:r>
      <w:r w:rsidR="008F6DE0">
        <w:t xml:space="preserve"> </w:t>
      </w:r>
      <w:r w:rsidR="009239AA">
        <w:t>]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  ] Yes [</w:t>
      </w:r>
      <w:r w:rsidR="009E0C12">
        <w:t>X</w:t>
      </w:r>
      <w:r>
        <w:t xml:space="preserve">] No  </w:t>
      </w: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1620"/>
        <w:gridCol w:w="2070"/>
        <w:gridCol w:w="1723"/>
      </w:tblGrid>
      <w:tr w:rsidR="00EF2095" w:rsidTr="008B2E1F">
        <w:trPr>
          <w:trHeight w:val="827"/>
        </w:trPr>
        <w:tc>
          <w:tcPr>
            <w:tcW w:w="4248" w:type="dxa"/>
            <w:vAlign w:val="center"/>
          </w:tcPr>
          <w:p w:rsidR="006832D9" w:rsidRPr="008B2E1F" w:rsidRDefault="00E40B50" w:rsidP="008B2E1F">
            <w:pPr>
              <w:rPr>
                <w:b/>
                <w:sz w:val="22"/>
                <w:szCs w:val="22"/>
              </w:rPr>
            </w:pPr>
            <w:r w:rsidRPr="008B2E1F">
              <w:rPr>
                <w:b/>
                <w:sz w:val="22"/>
                <w:szCs w:val="22"/>
              </w:rPr>
              <w:t>Category of Respondent</w:t>
            </w:r>
            <w:r w:rsidR="008F6DE0">
              <w:t xml:space="preserve">: </w:t>
            </w:r>
            <w:r w:rsidR="008F6DE0">
              <w:br/>
              <w:t>Individuals &amp; Households</w:t>
            </w:r>
          </w:p>
        </w:tc>
        <w:tc>
          <w:tcPr>
            <w:tcW w:w="1620" w:type="dxa"/>
            <w:vAlign w:val="center"/>
          </w:tcPr>
          <w:p w:rsidR="006832D9" w:rsidRPr="008B2E1F" w:rsidRDefault="006832D9" w:rsidP="008B2E1F">
            <w:pPr>
              <w:jc w:val="center"/>
              <w:rPr>
                <w:b/>
                <w:sz w:val="22"/>
                <w:szCs w:val="22"/>
              </w:rPr>
            </w:pPr>
            <w:r w:rsidRPr="008B2E1F">
              <w:rPr>
                <w:b/>
                <w:sz w:val="22"/>
                <w:szCs w:val="22"/>
              </w:rPr>
              <w:t>N</w:t>
            </w:r>
            <w:r w:rsidR="009F5923" w:rsidRPr="008B2E1F">
              <w:rPr>
                <w:b/>
                <w:sz w:val="22"/>
                <w:szCs w:val="22"/>
              </w:rPr>
              <w:t>o.</w:t>
            </w:r>
            <w:r w:rsidRPr="008B2E1F">
              <w:rPr>
                <w:b/>
                <w:sz w:val="22"/>
                <w:szCs w:val="22"/>
              </w:rPr>
              <w:t xml:space="preserve"> of Respondents</w:t>
            </w:r>
          </w:p>
        </w:tc>
        <w:tc>
          <w:tcPr>
            <w:tcW w:w="2070" w:type="dxa"/>
            <w:vAlign w:val="center"/>
          </w:tcPr>
          <w:p w:rsidR="006832D9" w:rsidRPr="00CA71E5" w:rsidRDefault="006832D9" w:rsidP="008B2E1F">
            <w:pPr>
              <w:rPr>
                <w:b/>
                <w:sz w:val="22"/>
                <w:szCs w:val="22"/>
              </w:rPr>
            </w:pPr>
            <w:r w:rsidRPr="00CA71E5">
              <w:rPr>
                <w:b/>
                <w:sz w:val="22"/>
                <w:szCs w:val="22"/>
              </w:rPr>
              <w:t>Participation Time</w:t>
            </w:r>
          </w:p>
          <w:p w:rsidR="008B2E1F" w:rsidRPr="00CA71E5" w:rsidRDefault="008B2E1F" w:rsidP="008B2E1F">
            <w:pPr>
              <w:jc w:val="center"/>
              <w:rPr>
                <w:b/>
                <w:sz w:val="22"/>
                <w:szCs w:val="22"/>
              </w:rPr>
            </w:pPr>
            <w:r w:rsidRPr="00CA71E5">
              <w:rPr>
                <w:b/>
                <w:sz w:val="22"/>
                <w:szCs w:val="22"/>
              </w:rPr>
              <w:t>( × minutes =)</w:t>
            </w:r>
          </w:p>
        </w:tc>
        <w:tc>
          <w:tcPr>
            <w:tcW w:w="1723" w:type="dxa"/>
            <w:vAlign w:val="center"/>
          </w:tcPr>
          <w:p w:rsidR="006832D9" w:rsidRPr="00CA71E5" w:rsidRDefault="006832D9" w:rsidP="008B2E1F">
            <w:pPr>
              <w:jc w:val="center"/>
              <w:rPr>
                <w:b/>
                <w:sz w:val="22"/>
                <w:szCs w:val="22"/>
              </w:rPr>
            </w:pPr>
            <w:r w:rsidRPr="00CA71E5">
              <w:rPr>
                <w:b/>
                <w:sz w:val="22"/>
                <w:szCs w:val="22"/>
              </w:rPr>
              <w:t>Burden</w:t>
            </w:r>
          </w:p>
          <w:p w:rsidR="008B2E1F" w:rsidRPr="00CA71E5" w:rsidRDefault="008B2E1F" w:rsidP="008B2E1F">
            <w:pPr>
              <w:jc w:val="center"/>
              <w:rPr>
                <w:b/>
                <w:sz w:val="22"/>
                <w:szCs w:val="22"/>
              </w:rPr>
            </w:pPr>
            <w:r w:rsidRPr="00CA71E5">
              <w:rPr>
                <w:b/>
                <w:sz w:val="22"/>
                <w:szCs w:val="22"/>
              </w:rPr>
              <w:t>(÷ 60 =)</w:t>
            </w:r>
          </w:p>
        </w:tc>
      </w:tr>
      <w:tr w:rsidR="00EF2095" w:rsidTr="008B2E1F">
        <w:trPr>
          <w:trHeight w:val="274"/>
        </w:trPr>
        <w:tc>
          <w:tcPr>
            <w:tcW w:w="4248" w:type="dxa"/>
          </w:tcPr>
          <w:p w:rsidR="006832D9" w:rsidRDefault="008F6DE0" w:rsidP="008F6DE0">
            <w:r>
              <w:t>VA Form</w:t>
            </w:r>
          </w:p>
        </w:tc>
        <w:tc>
          <w:tcPr>
            <w:tcW w:w="1620" w:type="dxa"/>
          </w:tcPr>
          <w:p w:rsidR="006832D9" w:rsidRPr="008F6DE0" w:rsidRDefault="008F6DE0" w:rsidP="008B2E1F">
            <w:pPr>
              <w:jc w:val="center"/>
              <w:rPr>
                <w:color w:val="BFBFBF" w:themeColor="background1" w:themeShade="BF"/>
              </w:rPr>
            </w:pPr>
            <w:r w:rsidRPr="008F6DE0">
              <w:t>1000</w:t>
            </w:r>
          </w:p>
        </w:tc>
        <w:tc>
          <w:tcPr>
            <w:tcW w:w="2070" w:type="dxa"/>
          </w:tcPr>
          <w:p w:rsidR="006832D9" w:rsidRPr="008F6DE0" w:rsidRDefault="008F6DE0" w:rsidP="008B2E1F">
            <w:pPr>
              <w:jc w:val="center"/>
              <w:rPr>
                <w:color w:val="BFBFBF" w:themeColor="background1" w:themeShade="BF"/>
              </w:rPr>
            </w:pPr>
            <w:r w:rsidRPr="008F6DE0">
              <w:t>5</w:t>
            </w:r>
          </w:p>
        </w:tc>
        <w:tc>
          <w:tcPr>
            <w:tcW w:w="1723" w:type="dxa"/>
          </w:tcPr>
          <w:p w:rsidR="006832D9" w:rsidRPr="008F6DE0" w:rsidRDefault="008F6DE0" w:rsidP="008B2E1F">
            <w:pPr>
              <w:jc w:val="center"/>
              <w:rPr>
                <w:color w:val="BFBFBF" w:themeColor="background1" w:themeShade="BF"/>
              </w:rPr>
            </w:pPr>
            <w:r w:rsidRPr="008F6DE0">
              <w:t>83</w:t>
            </w:r>
          </w:p>
        </w:tc>
      </w:tr>
      <w:tr w:rsidR="00EF2095" w:rsidTr="008B2E1F">
        <w:trPr>
          <w:trHeight w:val="289"/>
        </w:trPr>
        <w:tc>
          <w:tcPr>
            <w:tcW w:w="4248" w:type="dxa"/>
          </w:tcPr>
          <w:p w:rsidR="006832D9" w:rsidRPr="0001027E" w:rsidRDefault="006832D9" w:rsidP="00843796">
            <w:pPr>
              <w:rPr>
                <w:b/>
              </w:rPr>
            </w:pPr>
            <w:r w:rsidRPr="0001027E">
              <w:rPr>
                <w:b/>
              </w:rPr>
              <w:t>Totals</w:t>
            </w:r>
          </w:p>
        </w:tc>
        <w:tc>
          <w:tcPr>
            <w:tcW w:w="1620" w:type="dxa"/>
          </w:tcPr>
          <w:p w:rsidR="006832D9" w:rsidRPr="0001027E" w:rsidRDefault="006832D9" w:rsidP="00843796">
            <w:pPr>
              <w:rPr>
                <w:b/>
              </w:rPr>
            </w:pPr>
          </w:p>
        </w:tc>
        <w:tc>
          <w:tcPr>
            <w:tcW w:w="2070" w:type="dxa"/>
          </w:tcPr>
          <w:p w:rsidR="006832D9" w:rsidRDefault="006832D9" w:rsidP="00843796"/>
        </w:tc>
        <w:tc>
          <w:tcPr>
            <w:tcW w:w="1723" w:type="dxa"/>
          </w:tcPr>
          <w:p w:rsidR="006832D9" w:rsidRPr="0001027E" w:rsidRDefault="008F6DE0" w:rsidP="008F6DE0">
            <w:pPr>
              <w:jc w:val="center"/>
              <w:rPr>
                <w:b/>
              </w:rPr>
            </w:pPr>
            <w:r>
              <w:rPr>
                <w:b/>
              </w:rPr>
              <w:t>83</w:t>
            </w:r>
          </w:p>
        </w:tc>
      </w:tr>
    </w:tbl>
    <w:p w:rsidR="00F3170F" w:rsidRDefault="00F3170F"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w:t>
      </w:r>
      <w:r w:rsidR="008F6DE0">
        <w:t xml:space="preserve"> $3,486.00.</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sidRPr="008D0F58">
        <w:rPr>
          <w:b/>
        </w:rPr>
        <w:t>The</w:t>
      </w:r>
      <w:r w:rsidR="0069403B" w:rsidRPr="008D0F58">
        <w:rPr>
          <w:b/>
        </w:rPr>
        <w:t xml:space="preserve"> select</w:t>
      </w:r>
      <w:r w:rsidRPr="008D0F58">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D84269">
        <w:t>X</w:t>
      </w:r>
      <w:r>
        <w:t>] No</w:t>
      </w:r>
    </w:p>
    <w:p w:rsidR="00636621" w:rsidRDefault="00636621" w:rsidP="00636621">
      <w:pPr>
        <w:pStyle w:val="ListParagraph"/>
      </w:pPr>
    </w:p>
    <w:p w:rsidR="00636621" w:rsidRDefault="00636621" w:rsidP="001B0AAA">
      <w:r w:rsidRPr="003043B7">
        <w:t>If the answer is yes,</w:t>
      </w:r>
      <w:r w:rsidRPr="00636621">
        <w:t xml:space="preserve">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r w:rsidR="00D84269">
        <w:t xml:space="preserve"> No respondents are selected</w:t>
      </w:r>
      <w:r w:rsidR="008D0F58">
        <w:t>, they are given the opportunity to respond to the survey and only do so if they desire. There is no requirement that anyone respond at any time.</w:t>
      </w:r>
    </w:p>
    <w:p w:rsidR="00A403BB" w:rsidRDefault="00A403BB" w:rsidP="00A403BB">
      <w:pPr>
        <w:pStyle w:val="ListParagraph"/>
      </w:pPr>
    </w:p>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CA71E5" w:rsidRDefault="00CA71E5"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r w:rsidR="000E416F">
        <w:t>X</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CA71E5" w:rsidRDefault="00CA71E5" w:rsidP="001B0AAA">
      <w:pPr>
        <w:ind w:left="720"/>
      </w:pPr>
    </w:p>
    <w:p w:rsidR="00F24CFC" w:rsidRDefault="00F24CFC" w:rsidP="00F24CFC">
      <w:pPr>
        <w:pStyle w:val="ListParagraph"/>
        <w:numPr>
          <w:ilvl w:val="0"/>
          <w:numId w:val="17"/>
        </w:numPr>
      </w:pPr>
      <w:r>
        <w:t>Will interviewers or facilitators be used?  [  ] Yes [</w:t>
      </w:r>
      <w:r w:rsidR="000E416F">
        <w:t>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0E1" w:rsidRDefault="00CE10E1">
      <w:r>
        <w:separator/>
      </w:r>
    </w:p>
  </w:endnote>
  <w:endnote w:type="continuationSeparator" w:id="0">
    <w:p w:rsidR="00CE10E1" w:rsidRDefault="00CE10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53FE7">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BE080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0E1" w:rsidRDefault="00CE10E1">
      <w:r>
        <w:separator/>
      </w:r>
    </w:p>
  </w:footnote>
  <w:footnote w:type="continuationSeparator" w:id="0">
    <w:p w:rsidR="00CE10E1" w:rsidRDefault="00CE10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21390"/>
    <w:rsid w:val="00023A57"/>
    <w:rsid w:val="00047A64"/>
    <w:rsid w:val="00067329"/>
    <w:rsid w:val="000B2838"/>
    <w:rsid w:val="000D44CA"/>
    <w:rsid w:val="000E200B"/>
    <w:rsid w:val="000E416F"/>
    <w:rsid w:val="000F68BE"/>
    <w:rsid w:val="001110E7"/>
    <w:rsid w:val="001927A4"/>
    <w:rsid w:val="00194AC6"/>
    <w:rsid w:val="001A23B0"/>
    <w:rsid w:val="001A25CC"/>
    <w:rsid w:val="001B0AAA"/>
    <w:rsid w:val="001C39F7"/>
    <w:rsid w:val="001D0AC4"/>
    <w:rsid w:val="00237B48"/>
    <w:rsid w:val="0024521E"/>
    <w:rsid w:val="00263C3D"/>
    <w:rsid w:val="00274D0B"/>
    <w:rsid w:val="00283EDF"/>
    <w:rsid w:val="002A5A51"/>
    <w:rsid w:val="002B052D"/>
    <w:rsid w:val="002B34CD"/>
    <w:rsid w:val="002B3C95"/>
    <w:rsid w:val="002D0B92"/>
    <w:rsid w:val="003043B7"/>
    <w:rsid w:val="00316184"/>
    <w:rsid w:val="00353FE7"/>
    <w:rsid w:val="00370E36"/>
    <w:rsid w:val="003D5BBE"/>
    <w:rsid w:val="003E3C61"/>
    <w:rsid w:val="003F1C5B"/>
    <w:rsid w:val="00434E33"/>
    <w:rsid w:val="00441434"/>
    <w:rsid w:val="0045264C"/>
    <w:rsid w:val="004876EC"/>
    <w:rsid w:val="004D6E14"/>
    <w:rsid w:val="005009B0"/>
    <w:rsid w:val="005A1006"/>
    <w:rsid w:val="005E714A"/>
    <w:rsid w:val="005F693D"/>
    <w:rsid w:val="00610880"/>
    <w:rsid w:val="006140A0"/>
    <w:rsid w:val="00636621"/>
    <w:rsid w:val="00642B49"/>
    <w:rsid w:val="006832D9"/>
    <w:rsid w:val="0069403B"/>
    <w:rsid w:val="006F3DDE"/>
    <w:rsid w:val="00704678"/>
    <w:rsid w:val="007425E7"/>
    <w:rsid w:val="007A3A11"/>
    <w:rsid w:val="007F7080"/>
    <w:rsid w:val="00802607"/>
    <w:rsid w:val="008101A5"/>
    <w:rsid w:val="00822664"/>
    <w:rsid w:val="00843796"/>
    <w:rsid w:val="00895229"/>
    <w:rsid w:val="008B2E1F"/>
    <w:rsid w:val="008B2EB3"/>
    <w:rsid w:val="008D0F58"/>
    <w:rsid w:val="008F0203"/>
    <w:rsid w:val="008F50D4"/>
    <w:rsid w:val="008F6DE0"/>
    <w:rsid w:val="009239AA"/>
    <w:rsid w:val="00935ADA"/>
    <w:rsid w:val="00946B6C"/>
    <w:rsid w:val="00955A71"/>
    <w:rsid w:val="00960D61"/>
    <w:rsid w:val="0096108F"/>
    <w:rsid w:val="009C13B9"/>
    <w:rsid w:val="009D01A2"/>
    <w:rsid w:val="009E0C12"/>
    <w:rsid w:val="009F5923"/>
    <w:rsid w:val="00A403BB"/>
    <w:rsid w:val="00A674DF"/>
    <w:rsid w:val="00A83AA6"/>
    <w:rsid w:val="00A934D6"/>
    <w:rsid w:val="00AE1809"/>
    <w:rsid w:val="00B808D3"/>
    <w:rsid w:val="00B80D76"/>
    <w:rsid w:val="00BA2105"/>
    <w:rsid w:val="00BA7E06"/>
    <w:rsid w:val="00BB43B5"/>
    <w:rsid w:val="00BB6219"/>
    <w:rsid w:val="00BD290F"/>
    <w:rsid w:val="00BE0804"/>
    <w:rsid w:val="00C14CC4"/>
    <w:rsid w:val="00C33C52"/>
    <w:rsid w:val="00C40D8B"/>
    <w:rsid w:val="00C8407A"/>
    <w:rsid w:val="00C8488C"/>
    <w:rsid w:val="00C86E91"/>
    <w:rsid w:val="00C95D15"/>
    <w:rsid w:val="00CA2650"/>
    <w:rsid w:val="00CA71E5"/>
    <w:rsid w:val="00CB1078"/>
    <w:rsid w:val="00CB23C9"/>
    <w:rsid w:val="00CC6FAF"/>
    <w:rsid w:val="00CE10E1"/>
    <w:rsid w:val="00CF6542"/>
    <w:rsid w:val="00D24698"/>
    <w:rsid w:val="00D6383F"/>
    <w:rsid w:val="00D84269"/>
    <w:rsid w:val="00DB59D0"/>
    <w:rsid w:val="00DC33D3"/>
    <w:rsid w:val="00E26329"/>
    <w:rsid w:val="00E40B50"/>
    <w:rsid w:val="00E50293"/>
    <w:rsid w:val="00E65FFC"/>
    <w:rsid w:val="00E70B07"/>
    <w:rsid w:val="00E744EA"/>
    <w:rsid w:val="00E80951"/>
    <w:rsid w:val="00E86CC6"/>
    <w:rsid w:val="00EB56B3"/>
    <w:rsid w:val="00ED6492"/>
    <w:rsid w:val="00EF2095"/>
    <w:rsid w:val="00F06866"/>
    <w:rsid w:val="00F158F5"/>
    <w:rsid w:val="00F15956"/>
    <w:rsid w:val="00F24CFC"/>
    <w:rsid w:val="00F3170F"/>
    <w:rsid w:val="00F976B0"/>
    <w:rsid w:val="00FA6DE7"/>
    <w:rsid w:val="00FC0A8E"/>
    <w:rsid w:val="00FD311D"/>
    <w:rsid w:val="00FD7852"/>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591</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Harvey-Pryor, Cynthia</cp:lastModifiedBy>
  <cp:revision>3</cp:revision>
  <cp:lastPrinted>2010-10-04T15:59:00Z</cp:lastPrinted>
  <dcterms:created xsi:type="dcterms:W3CDTF">2015-04-30T12:01:00Z</dcterms:created>
  <dcterms:modified xsi:type="dcterms:W3CDTF">2015-04-30T12:32:00Z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