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8B2E1F" w:rsidRDefault="00E70B07" w:rsidP="00434E33">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47625</wp:posOffset>
                </wp:positionH>
                <wp:positionV relativeFrom="paragraph">
                  <wp:posOffset>73025</wp:posOffset>
                </wp:positionV>
                <wp:extent cx="5943600" cy="0"/>
                <wp:effectExtent l="952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75pt" to="471.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" o:allowincell="f" strokeweight="1.5pt"/>
            </w:pict>
          </mc:Fallback>
        </mc:AlternateContent>
      </w:r>
    </w:p>
    <w:p w:rsidR="00E50293" w:rsidRPr="009239AA" w:rsidRDefault="005E714A" w:rsidP="00434E33">
      <w:pPr>
        <w:rPr>
          <w:b/>
        </w:rPr>
      </w:pPr>
      <w:r w:rsidRPr="00434E33">
        <w:rPr>
          <w:b/>
        </w:rPr>
        <w:t>TITLE OF INFORMATION COLLECTION:</w:t>
      </w:r>
      <w:r>
        <w:t xml:space="preserve">  </w:t>
      </w:r>
    </w:p>
    <w:p w:rsidR="0011297A" w:rsidRPr="0011297A" w:rsidRDefault="00DB6B3E" w:rsidP="0011297A">
      <w:r>
        <w:t xml:space="preserve">Interview and </w:t>
      </w:r>
      <w:r w:rsidR="0077078E">
        <w:t xml:space="preserve">Discussion Group Protocols for the </w:t>
      </w:r>
      <w:r w:rsidR="0011297A" w:rsidRPr="0011297A">
        <w:t>Institute of Medicine Evaluation of the Department of Veterans Affairs Mental Health Services</w:t>
      </w:r>
    </w:p>
    <w:p w:rsidR="008B2E1F" w:rsidRDefault="008B2E1F">
      <w:pPr>
        <w:rPr>
          <w:b/>
        </w:rPr>
      </w:pPr>
    </w:p>
    <w:p w:rsidR="001B0AAA" w:rsidRDefault="00F15956">
      <w:r>
        <w:rPr>
          <w:b/>
        </w:rPr>
        <w:t>PURPOSE</w:t>
      </w:r>
      <w:r w:rsidRPr="009239AA">
        <w:rPr>
          <w:b/>
        </w:rPr>
        <w:t>:</w:t>
      </w:r>
      <w:r w:rsidR="00C14CC4" w:rsidRPr="009239AA">
        <w:rPr>
          <w:b/>
        </w:rPr>
        <w:t xml:space="preserve">  </w:t>
      </w:r>
    </w:p>
    <w:p w:rsidR="00C8488C" w:rsidRDefault="0011297A">
      <w:r w:rsidRPr="00FB0062">
        <w:t xml:space="preserve">Sponsored by the Department of Veterans Affairs (VA), the </w:t>
      </w:r>
      <w:r>
        <w:t>Evaluation of the VA Mental Health Services</w:t>
      </w:r>
      <w:r w:rsidRPr="00FB0062">
        <w:t xml:space="preserve"> project is mandated in Section 726 of the FY 2013 National Defense Authorization Act (NDAA).</w:t>
      </w:r>
      <w:r>
        <w:t xml:space="preserve"> </w:t>
      </w:r>
      <w:r w:rsidRPr="00FB0062">
        <w:t xml:space="preserve">The VA has tasked an </w:t>
      </w:r>
      <w:r>
        <w:t>Institute of Medicine (</w:t>
      </w:r>
      <w:r w:rsidRPr="00FB0062">
        <w:t>IOM</w:t>
      </w:r>
      <w:r>
        <w:t>)</w:t>
      </w:r>
      <w:r w:rsidRPr="00FB0062">
        <w:t xml:space="preserve">-appointed </w:t>
      </w:r>
      <w:r>
        <w:t>c</w:t>
      </w:r>
      <w:r w:rsidRPr="00FB0062">
        <w:t xml:space="preserve">ommittee to carry out the project with the goal of assessing the quality of the mental health care being provided to veterans of </w:t>
      </w:r>
      <w:r>
        <w:t xml:space="preserve">the </w:t>
      </w:r>
      <w:r w:rsidRPr="00FB0062">
        <w:t>Iraq and Afghanistan</w:t>
      </w:r>
      <w:r>
        <w:t xml:space="preserve"> wars</w:t>
      </w:r>
      <w:r w:rsidRPr="00FB0062">
        <w:t xml:space="preserve">. </w:t>
      </w:r>
      <w:r>
        <w:t>The committee’s recommendations</w:t>
      </w:r>
      <w:r w:rsidRPr="00FB0062">
        <w:t xml:space="preserve"> </w:t>
      </w:r>
      <w:r>
        <w:t xml:space="preserve">will assist </w:t>
      </w:r>
      <w:r w:rsidRPr="00FB0062">
        <w:t>the VA to improve not only the quality of mental health care services for these veterans, but also veterans’ access to VA</w:t>
      </w:r>
      <w:r>
        <w:t xml:space="preserve"> mental health</w:t>
      </w:r>
      <w:r w:rsidRPr="00FB0062">
        <w:t xml:space="preserve"> services.</w:t>
      </w:r>
    </w:p>
    <w:p w:rsidR="00C8488C" w:rsidRDefault="00C8488C"/>
    <w:p w:rsidR="0011297A" w:rsidRDefault="0011297A">
      <w:r w:rsidRPr="00FB0062">
        <w:t>The legislation directs the IOM committee to assess the quality of the mental health care being provided to such veterans (including the extent to which veterans are afforded choices with respect to modes of treatment) through site visits to facilities of the Veterans Health Administration (including at least one site visit in each Veterans Integrated Service Network</w:t>
      </w:r>
      <w:r>
        <w:t xml:space="preserve"> [VISN]</w:t>
      </w:r>
      <w:r w:rsidRPr="00FB0062">
        <w:t>)</w:t>
      </w:r>
      <w:r>
        <w:t xml:space="preserve">. </w:t>
      </w:r>
    </w:p>
    <w:p w:rsidR="0011297A" w:rsidRDefault="0011297A"/>
    <w:p w:rsidR="0011297A" w:rsidRDefault="0011297A">
      <w:r>
        <w:t xml:space="preserve">The IOM </w:t>
      </w:r>
      <w:r w:rsidRPr="00FB0062">
        <w:t>will conduct site visits in each of the 21 VISNs where veterans receive their mental health care. The purpose of the site visits is twofold: First, to determine the quality of the mental health care being provided, including the extent to which veterans are afforded choices with respect to modes of treatment; and second, to learn why some VA-eligible veterans are not seeking mental health services through VA facilities.</w:t>
      </w:r>
    </w:p>
    <w:p w:rsidR="00FD5366" w:rsidRDefault="00FD5366"/>
    <w:p w:rsidR="00FD5366" w:rsidRDefault="00FD5366">
      <w:r>
        <w:t>See accompanying statement of task for a complete description of the IOM study.</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11297A" w:rsidRPr="00FB0062" w:rsidRDefault="0011297A" w:rsidP="0011297A">
      <w:pPr>
        <w:adjustRightInd w:val="0"/>
      </w:pPr>
      <w:r w:rsidRPr="00FB0062">
        <w:t xml:space="preserve">The </w:t>
      </w:r>
      <w:r>
        <w:t>respondents</w:t>
      </w:r>
      <w:r w:rsidRPr="00FB0062">
        <w:t xml:space="preserve"> for the site visits consist of the following </w:t>
      </w:r>
    </w:p>
    <w:p w:rsidR="0011297A" w:rsidRPr="00FB0062" w:rsidRDefault="0011297A" w:rsidP="0011297A">
      <w:pPr>
        <w:pStyle w:val="ListParagraph"/>
        <w:numPr>
          <w:ilvl w:val="0"/>
          <w:numId w:val="19"/>
        </w:numPr>
        <w:adjustRightInd w:val="0"/>
        <w:ind w:left="360"/>
      </w:pPr>
      <w:r w:rsidRPr="00FB0062">
        <w:t xml:space="preserve">Veterans who are currently receiving </w:t>
      </w:r>
      <w:r>
        <w:t xml:space="preserve">mental health </w:t>
      </w:r>
      <w:r w:rsidRPr="00FB0062">
        <w:t xml:space="preserve">services at the VA facility; </w:t>
      </w:r>
    </w:p>
    <w:p w:rsidR="0011297A" w:rsidRPr="00FB0062" w:rsidRDefault="0011297A" w:rsidP="0011297A">
      <w:pPr>
        <w:pStyle w:val="ListParagraph"/>
        <w:numPr>
          <w:ilvl w:val="0"/>
          <w:numId w:val="19"/>
        </w:numPr>
        <w:adjustRightInd w:val="0"/>
        <w:ind w:left="360"/>
      </w:pPr>
      <w:r w:rsidRPr="00FB0062">
        <w:t xml:space="preserve">Veterans who are not using VA </w:t>
      </w:r>
      <w:r>
        <w:t xml:space="preserve">mental health </w:t>
      </w:r>
      <w:r w:rsidRPr="00FB0062">
        <w:t xml:space="preserve">services; </w:t>
      </w:r>
    </w:p>
    <w:p w:rsidR="0011297A" w:rsidRPr="00FB0062" w:rsidRDefault="0011297A" w:rsidP="0011297A">
      <w:pPr>
        <w:pStyle w:val="ListParagraph"/>
        <w:numPr>
          <w:ilvl w:val="0"/>
          <w:numId w:val="19"/>
        </w:numPr>
        <w:adjustRightInd w:val="0"/>
        <w:ind w:left="360"/>
      </w:pPr>
      <w:r w:rsidRPr="00FB0062">
        <w:t xml:space="preserve">Family members </w:t>
      </w:r>
      <w:r>
        <w:t xml:space="preserve">or friends </w:t>
      </w:r>
      <w:r w:rsidRPr="00FB0062">
        <w:t xml:space="preserve">of veterans not seeking </w:t>
      </w:r>
      <w:r>
        <w:t xml:space="preserve">mental health </w:t>
      </w:r>
      <w:r w:rsidRPr="00FB0062">
        <w:t xml:space="preserve">services; </w:t>
      </w:r>
    </w:p>
    <w:p w:rsidR="0011297A" w:rsidRPr="00FB0062" w:rsidRDefault="0011297A" w:rsidP="0011297A">
      <w:pPr>
        <w:pStyle w:val="ListParagraph"/>
        <w:numPr>
          <w:ilvl w:val="0"/>
          <w:numId w:val="19"/>
        </w:numPr>
        <w:adjustRightInd w:val="0"/>
        <w:ind w:left="360"/>
      </w:pPr>
      <w:r w:rsidRPr="00FB0062">
        <w:t xml:space="preserve">Community-based service providers, including peer support specialists; </w:t>
      </w:r>
    </w:p>
    <w:p w:rsidR="00EB6458" w:rsidRDefault="00EB6458" w:rsidP="00EB6458">
      <w:pPr>
        <w:adjustRightInd w:val="0"/>
      </w:pPr>
    </w:p>
    <w:p w:rsidR="0011297A" w:rsidRPr="00FB0062" w:rsidRDefault="0011297A" w:rsidP="00EB6458">
      <w:pPr>
        <w:adjustRightInd w:val="0"/>
      </w:pPr>
      <w:r w:rsidRPr="00FB0062">
        <w:t xml:space="preserve">VA </w:t>
      </w:r>
      <w:r w:rsidR="00EB6458">
        <w:t>staff, such as b</w:t>
      </w:r>
      <w:r w:rsidRPr="00FB0062">
        <w:t>ehavioral health service providers and administrators</w:t>
      </w:r>
      <w:r w:rsidR="00EB6458">
        <w:t>, also will be respondents for the site visits</w:t>
      </w:r>
      <w:r w:rsidRPr="00FB0062">
        <w:t>.</w:t>
      </w:r>
    </w:p>
    <w:p w:rsidR="008C04BE" w:rsidRDefault="008C04BE">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CA71E5">
      <w:pPr>
        <w:pStyle w:val="BodyTextIndent"/>
        <w:tabs>
          <w:tab w:val="left" w:pos="450"/>
          <w:tab w:val="left" w:pos="4950"/>
          <w:tab w:val="left" w:pos="5400"/>
        </w:tabs>
        <w:ind w:left="0"/>
        <w:rPr>
          <w:bCs/>
          <w:sz w:val="24"/>
        </w:rPr>
      </w:pPr>
      <w:r w:rsidRPr="00F06866">
        <w:rPr>
          <w:bCs/>
          <w:sz w:val="24"/>
        </w:rPr>
        <w:t xml:space="preserve">[ ] </w:t>
      </w:r>
      <w:r w:rsidR="00CA71E5">
        <w:rPr>
          <w:bCs/>
          <w:sz w:val="24"/>
        </w:rPr>
        <w:tab/>
      </w:r>
      <w:r w:rsidR="00F06866" w:rsidRPr="00F06866">
        <w:rPr>
          <w:bCs/>
          <w:sz w:val="24"/>
        </w:rPr>
        <w:t>Customer Comment Card/Complaint Form</w:t>
      </w:r>
      <w:r w:rsidRPr="00F06866">
        <w:rPr>
          <w:bCs/>
          <w:sz w:val="24"/>
        </w:rPr>
        <w:t xml:space="preserve"> </w:t>
      </w:r>
      <w:r w:rsidRPr="00F06866">
        <w:rPr>
          <w:bCs/>
          <w:sz w:val="24"/>
        </w:rPr>
        <w:tab/>
        <w:t xml:space="preserve">[ ] </w:t>
      </w:r>
      <w:r w:rsidR="00CA71E5">
        <w:rPr>
          <w:bCs/>
          <w:sz w:val="24"/>
        </w:rPr>
        <w:tab/>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CA71E5">
      <w:pPr>
        <w:pStyle w:val="BodyTextIndent"/>
        <w:tabs>
          <w:tab w:val="left" w:pos="450"/>
          <w:tab w:val="left" w:pos="4950"/>
          <w:tab w:val="left" w:pos="5400"/>
        </w:tabs>
        <w:ind w:left="0"/>
        <w:rPr>
          <w:bCs/>
          <w:sz w:val="24"/>
        </w:rPr>
      </w:pPr>
      <w:r w:rsidRPr="00F06866">
        <w:rPr>
          <w:bCs/>
          <w:sz w:val="24"/>
        </w:rPr>
        <w:t>[ ]</w:t>
      </w:r>
      <w:r w:rsidR="00CA71E5">
        <w:rPr>
          <w:bCs/>
          <w:sz w:val="24"/>
        </w:rPr>
        <w:t xml:space="preserve"> </w:t>
      </w:r>
      <w:r w:rsidR="00CA71E5">
        <w:rPr>
          <w:bCs/>
          <w:sz w:val="24"/>
        </w:rPr>
        <w:tab/>
      </w:r>
      <w:r w:rsidR="00F06866" w:rsidRPr="00F06866">
        <w:rPr>
          <w:bCs/>
          <w:sz w:val="24"/>
        </w:rPr>
        <w:t>Usability</w:t>
      </w:r>
      <w:r w:rsidR="009239AA">
        <w:rPr>
          <w:bCs/>
          <w:sz w:val="24"/>
        </w:rPr>
        <w:t xml:space="preserve"> Testing (e.g., Website or Software</w:t>
      </w:r>
      <w:r w:rsidR="00F06866">
        <w:rPr>
          <w:bCs/>
          <w:sz w:val="24"/>
        </w:rPr>
        <w:tab/>
        <w:t>[</w:t>
      </w:r>
      <w:r w:rsidR="008C04BE">
        <w:rPr>
          <w:bCs/>
          <w:sz w:val="24"/>
        </w:rPr>
        <w:t>x</w:t>
      </w:r>
      <w:r w:rsidR="00F06866">
        <w:rPr>
          <w:bCs/>
          <w:sz w:val="24"/>
        </w:rPr>
        <w:t xml:space="preserve">] </w:t>
      </w:r>
      <w:r w:rsidR="00CA71E5">
        <w:rPr>
          <w:bCs/>
          <w:sz w:val="24"/>
        </w:rPr>
        <w:tab/>
      </w:r>
      <w:r w:rsidR="00F06866">
        <w:rPr>
          <w:bCs/>
          <w:sz w:val="24"/>
        </w:rPr>
        <w:t>Small Discussion Group</w:t>
      </w:r>
    </w:p>
    <w:p w:rsidR="00F06866" w:rsidRPr="00DB6B3E" w:rsidRDefault="00935ADA" w:rsidP="00CA71E5">
      <w:pPr>
        <w:pStyle w:val="BodyTextIndent"/>
        <w:tabs>
          <w:tab w:val="left" w:pos="450"/>
          <w:tab w:val="left" w:pos="4950"/>
          <w:tab w:val="left" w:pos="5400"/>
        </w:tabs>
        <w:ind w:left="0"/>
        <w:rPr>
          <w:bCs/>
          <w:sz w:val="24"/>
        </w:rPr>
      </w:pPr>
      <w:r>
        <w:rPr>
          <w:bCs/>
          <w:sz w:val="24"/>
        </w:rPr>
        <w:t>[</w:t>
      </w:r>
      <w:r w:rsidR="00CF6542">
        <w:rPr>
          <w:bCs/>
          <w:sz w:val="24"/>
        </w:rPr>
        <w:t xml:space="preserve"> </w:t>
      </w:r>
      <w:r w:rsidR="00CA71E5">
        <w:rPr>
          <w:bCs/>
          <w:sz w:val="24"/>
        </w:rPr>
        <w:t>]</w:t>
      </w:r>
      <w:r w:rsidR="00CA71E5">
        <w:rPr>
          <w:bCs/>
          <w:sz w:val="24"/>
        </w:rPr>
        <w:tab/>
      </w:r>
      <w:r>
        <w:rPr>
          <w:bCs/>
          <w:sz w:val="24"/>
        </w:rPr>
        <w:t xml:space="preserve">Focus Group  </w:t>
      </w:r>
      <w:r>
        <w:rPr>
          <w:bCs/>
          <w:sz w:val="24"/>
        </w:rPr>
        <w:tab/>
      </w:r>
      <w:r w:rsidR="00F06866" w:rsidRPr="00F06866">
        <w:rPr>
          <w:bCs/>
          <w:sz w:val="24"/>
        </w:rPr>
        <w:t>[</w:t>
      </w:r>
      <w:proofErr w:type="gramStart"/>
      <w:r w:rsidR="006133C8">
        <w:rPr>
          <w:bCs/>
          <w:sz w:val="24"/>
        </w:rPr>
        <w:t>x</w:t>
      </w:r>
      <w:r w:rsidR="00F06866">
        <w:rPr>
          <w:bCs/>
          <w:sz w:val="24"/>
        </w:rPr>
        <w:t xml:space="preserve"> </w:t>
      </w:r>
      <w:r w:rsidR="00F06866" w:rsidRPr="00F06866">
        <w:rPr>
          <w:bCs/>
          <w:sz w:val="24"/>
        </w:rPr>
        <w:t>]</w:t>
      </w:r>
      <w:proofErr w:type="gramEnd"/>
      <w:r w:rsidR="00F06866">
        <w:rPr>
          <w:bCs/>
          <w:sz w:val="24"/>
        </w:rPr>
        <w:t xml:space="preserve"> </w:t>
      </w:r>
      <w:r w:rsidR="00CA71E5">
        <w:rPr>
          <w:bCs/>
          <w:sz w:val="24"/>
        </w:rPr>
        <w:tab/>
      </w:r>
      <w:r w:rsidR="00F06866">
        <w:rPr>
          <w:bCs/>
          <w:sz w:val="24"/>
        </w:rPr>
        <w:t>Other</w:t>
      </w:r>
      <w:r w:rsidR="00F06866" w:rsidRPr="00DB6B3E">
        <w:rPr>
          <w:bCs/>
          <w:sz w:val="24"/>
        </w:rPr>
        <w:t xml:space="preserve">: </w:t>
      </w:r>
      <w:r w:rsidR="006133C8" w:rsidRPr="00DB6B3E">
        <w:rPr>
          <w:bCs/>
          <w:sz w:val="24"/>
        </w:rPr>
        <w:t>One-on-one interviews</w:t>
      </w:r>
    </w:p>
    <w:p w:rsidR="00434E33" w:rsidRDefault="00434E33" w:rsidP="00CA71E5">
      <w:pPr>
        <w:pStyle w:val="Header"/>
        <w:tabs>
          <w:tab w:val="clear" w:pos="4320"/>
          <w:tab w:val="clear" w:pos="8640"/>
          <w:tab w:val="left" w:pos="450"/>
          <w:tab w:val="left" w:pos="5400"/>
        </w:tabs>
      </w:pPr>
    </w:p>
    <w:p w:rsidR="00DB6B3E" w:rsidRDefault="00DB6B3E">
      <w:pPr>
        <w:rPr>
          <w:b/>
        </w:rPr>
      </w:pPr>
    </w:p>
    <w:p w:rsidR="00DB6B3E" w:rsidRDefault="00DB6B3E">
      <w:pPr>
        <w:rPr>
          <w:b/>
        </w:rPr>
      </w:pPr>
    </w:p>
    <w:p w:rsidR="00CA2650" w:rsidRDefault="00441434">
      <w:pPr>
        <w:rPr>
          <w:b/>
        </w:rPr>
      </w:pPr>
      <w:r>
        <w:rPr>
          <w:b/>
        </w:rPr>
        <w:lastRenderedPageBreak/>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Pr="00DB6B3E" w:rsidRDefault="008101A5" w:rsidP="008101A5">
      <w:pPr>
        <w:pStyle w:val="ListParagraph"/>
        <w:numPr>
          <w:ilvl w:val="0"/>
          <w:numId w:val="14"/>
        </w:numPr>
      </w:pPr>
      <w:r w:rsidRPr="00DB6B3E">
        <w:t xml:space="preserve">The results are </w:t>
      </w:r>
      <w:r w:rsidRPr="00DB6B3E">
        <w:rPr>
          <w:u w:val="single"/>
        </w:rPr>
        <w:t>not</w:t>
      </w:r>
      <w:r w:rsidRPr="00DB6B3E">
        <w:t xml:space="preserve"> intended to be disseminated to the public.</w:t>
      </w:r>
      <w:r w:rsidRPr="00DB6B3E">
        <w:tab/>
      </w:r>
      <w:r w:rsidRPr="00DB6B3E">
        <w:tab/>
      </w:r>
    </w:p>
    <w:p w:rsidR="008101A5" w:rsidRPr="00DB6B3E" w:rsidRDefault="008101A5" w:rsidP="008101A5">
      <w:pPr>
        <w:pStyle w:val="ListParagraph"/>
        <w:numPr>
          <w:ilvl w:val="0"/>
          <w:numId w:val="14"/>
        </w:numPr>
      </w:pPr>
      <w:r w:rsidRPr="00DB6B3E">
        <w:t xml:space="preserve">Information gathered will not be used for the purpose of </w:t>
      </w:r>
      <w:r w:rsidRPr="00DB6B3E">
        <w:rPr>
          <w:u w:val="single"/>
        </w:rPr>
        <w:t>substantially</w:t>
      </w:r>
      <w:r w:rsidRPr="00DB6B3E">
        <w:t xml:space="preserve"> informing </w:t>
      </w:r>
      <w:r w:rsidRPr="00DB6B3E">
        <w:rPr>
          <w:u w:val="single"/>
        </w:rPr>
        <w:t xml:space="preserve">influential </w:t>
      </w:r>
      <w:r w:rsidRPr="00DB6B3E">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rsidR="00DB6B3E">
        <w:t>Abigail</w:t>
      </w:r>
      <w:proofErr w:type="spellEnd"/>
      <w:r w:rsidR="00DB6B3E">
        <w:t xml:space="preserve"> Mitchell</w:t>
      </w:r>
      <w:r>
        <w:t>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8C04BE">
        <w:t xml:space="preserve"> </w:t>
      </w:r>
      <w:r w:rsidR="009239AA">
        <w:t>] Yes  [</w:t>
      </w:r>
      <w:r w:rsidR="00DB6B3E">
        <w:t>x</w:t>
      </w:r>
      <w:r w:rsidR="009239AA">
        <w:t>]  No</w:t>
      </w:r>
      <w:r w:rsidR="00DB6B3E">
        <w:t>*</w:t>
      </w:r>
      <w:r w:rsidR="009239AA">
        <w:t xml:space="preserve">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DB6B3E" w:rsidRPr="00DB6B3E" w:rsidRDefault="00DB6B3E" w:rsidP="00C86E91">
      <w:pPr>
        <w:pStyle w:val="ListParagraph"/>
        <w:ind w:left="0"/>
      </w:pPr>
      <w:r>
        <w:rPr>
          <w:b/>
        </w:rPr>
        <w:t>*</w:t>
      </w:r>
      <w:r w:rsidRPr="00DB6B3E">
        <w:t>R</w:t>
      </w:r>
      <w:r>
        <w:rPr>
          <w:color w:val="000000"/>
        </w:rPr>
        <w:t>espondents’ contact information, such as name and phone number, will be obtained for scheduling purposes only and will be excluded from any data to be analyzed.</w:t>
      </w:r>
    </w:p>
    <w:p w:rsidR="00DB6B3E" w:rsidRDefault="00DB6B3E"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F667D5">
        <w:t>x</w:t>
      </w:r>
      <w:r>
        <w:t xml:space="preserve">] No  </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r w:rsidR="00CA71E5">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620"/>
        <w:gridCol w:w="2070"/>
        <w:gridCol w:w="1723"/>
      </w:tblGrid>
      <w:tr w:rsidR="00EF2095" w:rsidTr="008B2E1F">
        <w:trPr>
          <w:trHeight w:val="827"/>
        </w:trPr>
        <w:tc>
          <w:tcPr>
            <w:tcW w:w="4248" w:type="dxa"/>
            <w:vAlign w:val="center"/>
          </w:tcPr>
          <w:p w:rsidR="006832D9" w:rsidRPr="008B2E1F" w:rsidRDefault="00E40B50" w:rsidP="008B2E1F">
            <w:pPr>
              <w:rPr>
                <w:b/>
                <w:sz w:val="22"/>
                <w:szCs w:val="22"/>
              </w:rPr>
            </w:pPr>
            <w:r w:rsidRPr="008B2E1F">
              <w:rPr>
                <w:b/>
                <w:sz w:val="22"/>
                <w:szCs w:val="22"/>
              </w:rPr>
              <w:t>Category of Respondent</w:t>
            </w:r>
          </w:p>
        </w:tc>
        <w:tc>
          <w:tcPr>
            <w:tcW w:w="1620" w:type="dxa"/>
            <w:vAlign w:val="center"/>
          </w:tcPr>
          <w:p w:rsidR="006832D9" w:rsidRPr="008B2E1F" w:rsidRDefault="006832D9" w:rsidP="008B2E1F">
            <w:pPr>
              <w:jc w:val="center"/>
              <w:rPr>
                <w:b/>
                <w:sz w:val="22"/>
                <w:szCs w:val="22"/>
              </w:rPr>
            </w:pPr>
            <w:r w:rsidRPr="008B2E1F">
              <w:rPr>
                <w:b/>
                <w:sz w:val="22"/>
                <w:szCs w:val="22"/>
              </w:rPr>
              <w:t>N</w:t>
            </w:r>
            <w:r w:rsidR="009F5923" w:rsidRPr="008B2E1F">
              <w:rPr>
                <w:b/>
                <w:sz w:val="22"/>
                <w:szCs w:val="22"/>
              </w:rPr>
              <w:t>o.</w:t>
            </w:r>
            <w:r w:rsidRPr="008B2E1F">
              <w:rPr>
                <w:b/>
                <w:sz w:val="22"/>
                <w:szCs w:val="22"/>
              </w:rPr>
              <w:t xml:space="preserve"> of Respondents</w:t>
            </w:r>
          </w:p>
        </w:tc>
        <w:tc>
          <w:tcPr>
            <w:tcW w:w="2070" w:type="dxa"/>
            <w:vAlign w:val="center"/>
          </w:tcPr>
          <w:p w:rsidR="006832D9" w:rsidRPr="00CA71E5" w:rsidRDefault="006832D9" w:rsidP="008B2E1F">
            <w:pPr>
              <w:rPr>
                <w:b/>
                <w:sz w:val="22"/>
                <w:szCs w:val="22"/>
              </w:rPr>
            </w:pPr>
            <w:r w:rsidRPr="00CA71E5">
              <w:rPr>
                <w:b/>
                <w:sz w:val="22"/>
                <w:szCs w:val="22"/>
              </w:rPr>
              <w:t>Participation Time</w:t>
            </w:r>
          </w:p>
          <w:p w:rsidR="008B2E1F" w:rsidRPr="00CA71E5" w:rsidRDefault="008B2E1F" w:rsidP="008B2E1F">
            <w:pPr>
              <w:jc w:val="center"/>
              <w:rPr>
                <w:b/>
                <w:sz w:val="22"/>
                <w:szCs w:val="22"/>
              </w:rPr>
            </w:pPr>
            <w:r w:rsidRPr="00CA71E5">
              <w:rPr>
                <w:b/>
                <w:sz w:val="22"/>
                <w:szCs w:val="22"/>
              </w:rPr>
              <w:t>( × minutes =)</w:t>
            </w:r>
          </w:p>
        </w:tc>
        <w:tc>
          <w:tcPr>
            <w:tcW w:w="1723" w:type="dxa"/>
            <w:vAlign w:val="center"/>
          </w:tcPr>
          <w:p w:rsidR="006832D9" w:rsidRPr="00CA71E5" w:rsidRDefault="006832D9" w:rsidP="008B2E1F">
            <w:pPr>
              <w:jc w:val="center"/>
              <w:rPr>
                <w:b/>
                <w:sz w:val="22"/>
                <w:szCs w:val="22"/>
              </w:rPr>
            </w:pPr>
            <w:r w:rsidRPr="00CA71E5">
              <w:rPr>
                <w:b/>
                <w:sz w:val="22"/>
                <w:szCs w:val="22"/>
              </w:rPr>
              <w:t>Burden</w:t>
            </w:r>
          </w:p>
          <w:p w:rsidR="008B2E1F" w:rsidRPr="00CA71E5" w:rsidRDefault="008B2E1F" w:rsidP="008B2E1F">
            <w:pPr>
              <w:jc w:val="center"/>
              <w:rPr>
                <w:b/>
                <w:sz w:val="22"/>
                <w:szCs w:val="22"/>
              </w:rPr>
            </w:pPr>
            <w:r w:rsidRPr="00CA71E5">
              <w:rPr>
                <w:b/>
                <w:sz w:val="22"/>
                <w:szCs w:val="22"/>
              </w:rPr>
              <w:t>(÷ 60 =)</w:t>
            </w:r>
          </w:p>
        </w:tc>
      </w:tr>
      <w:tr w:rsidR="00EF2095" w:rsidTr="008B2E1F">
        <w:trPr>
          <w:trHeight w:val="274"/>
        </w:trPr>
        <w:tc>
          <w:tcPr>
            <w:tcW w:w="4248" w:type="dxa"/>
          </w:tcPr>
          <w:p w:rsidR="006832D9" w:rsidRDefault="004808FA" w:rsidP="00843796">
            <w:r>
              <w:t>Individuals or Households</w:t>
            </w:r>
          </w:p>
        </w:tc>
        <w:tc>
          <w:tcPr>
            <w:tcW w:w="1620" w:type="dxa"/>
          </w:tcPr>
          <w:p w:rsidR="006832D9" w:rsidRPr="006133C8" w:rsidRDefault="004808FA" w:rsidP="008B2E1F">
            <w:pPr>
              <w:jc w:val="center"/>
            </w:pPr>
            <w:r>
              <w:t>1200</w:t>
            </w:r>
          </w:p>
        </w:tc>
        <w:tc>
          <w:tcPr>
            <w:tcW w:w="2070" w:type="dxa"/>
          </w:tcPr>
          <w:p w:rsidR="006832D9" w:rsidRPr="006133C8" w:rsidRDefault="004808FA" w:rsidP="008B2E1F">
            <w:pPr>
              <w:jc w:val="center"/>
            </w:pPr>
            <w:r>
              <w:t>60</w:t>
            </w:r>
          </w:p>
        </w:tc>
        <w:tc>
          <w:tcPr>
            <w:tcW w:w="1723" w:type="dxa"/>
          </w:tcPr>
          <w:p w:rsidR="006832D9" w:rsidRPr="006133C8" w:rsidRDefault="004808FA" w:rsidP="008B2E1F">
            <w:pPr>
              <w:jc w:val="center"/>
            </w:pPr>
            <w:r>
              <w:t>1200</w:t>
            </w:r>
          </w:p>
        </w:tc>
      </w:tr>
      <w:tr w:rsidR="006133C8" w:rsidRPr="004808FA" w:rsidTr="008B2E1F">
        <w:trPr>
          <w:trHeight w:val="289"/>
        </w:trPr>
        <w:tc>
          <w:tcPr>
            <w:tcW w:w="4248" w:type="dxa"/>
          </w:tcPr>
          <w:p w:rsidR="006133C8" w:rsidRPr="004808FA" w:rsidRDefault="004808FA" w:rsidP="00843796">
            <w:r w:rsidRPr="004808FA">
              <w:t>Private Sector</w:t>
            </w:r>
          </w:p>
        </w:tc>
        <w:tc>
          <w:tcPr>
            <w:tcW w:w="1620" w:type="dxa"/>
          </w:tcPr>
          <w:p w:rsidR="006133C8" w:rsidRPr="004808FA" w:rsidRDefault="006133C8" w:rsidP="006133C8">
            <w:pPr>
              <w:jc w:val="center"/>
            </w:pPr>
            <w:r w:rsidRPr="004808FA">
              <w:t>450</w:t>
            </w:r>
          </w:p>
        </w:tc>
        <w:tc>
          <w:tcPr>
            <w:tcW w:w="2070" w:type="dxa"/>
          </w:tcPr>
          <w:p w:rsidR="006133C8" w:rsidRPr="004808FA" w:rsidRDefault="006133C8" w:rsidP="006133C8">
            <w:pPr>
              <w:jc w:val="center"/>
            </w:pPr>
            <w:r w:rsidRPr="004808FA">
              <w:t>60</w:t>
            </w:r>
          </w:p>
        </w:tc>
        <w:tc>
          <w:tcPr>
            <w:tcW w:w="1723" w:type="dxa"/>
          </w:tcPr>
          <w:p w:rsidR="006133C8" w:rsidRPr="004808FA" w:rsidRDefault="004808FA" w:rsidP="006133C8">
            <w:pPr>
              <w:jc w:val="center"/>
            </w:pPr>
            <w:r w:rsidRPr="004808FA">
              <w:t>450</w:t>
            </w:r>
          </w:p>
        </w:tc>
      </w:tr>
      <w:tr w:rsidR="004808FA" w:rsidRPr="004808FA" w:rsidTr="008B2E1F">
        <w:trPr>
          <w:trHeight w:val="289"/>
        </w:trPr>
        <w:tc>
          <w:tcPr>
            <w:tcW w:w="4248" w:type="dxa"/>
          </w:tcPr>
          <w:p w:rsidR="004808FA" w:rsidRPr="004808FA" w:rsidRDefault="004808FA" w:rsidP="00843796">
            <w:r>
              <w:t>Federal Government</w:t>
            </w:r>
          </w:p>
        </w:tc>
        <w:tc>
          <w:tcPr>
            <w:tcW w:w="1620" w:type="dxa"/>
          </w:tcPr>
          <w:p w:rsidR="004808FA" w:rsidRPr="004808FA" w:rsidRDefault="004808FA" w:rsidP="006133C8">
            <w:pPr>
              <w:jc w:val="center"/>
            </w:pPr>
            <w:r>
              <w:t>650</w:t>
            </w:r>
          </w:p>
        </w:tc>
        <w:tc>
          <w:tcPr>
            <w:tcW w:w="2070" w:type="dxa"/>
          </w:tcPr>
          <w:p w:rsidR="004808FA" w:rsidRPr="004808FA" w:rsidRDefault="004808FA" w:rsidP="006133C8">
            <w:pPr>
              <w:jc w:val="center"/>
            </w:pPr>
            <w:r>
              <w:t>60</w:t>
            </w:r>
          </w:p>
        </w:tc>
        <w:tc>
          <w:tcPr>
            <w:tcW w:w="1723" w:type="dxa"/>
          </w:tcPr>
          <w:p w:rsidR="004808FA" w:rsidRPr="004808FA" w:rsidRDefault="004808FA" w:rsidP="006133C8">
            <w:pPr>
              <w:jc w:val="center"/>
            </w:pPr>
            <w:r>
              <w:t>650</w:t>
            </w:r>
          </w:p>
        </w:tc>
      </w:tr>
      <w:tr w:rsidR="00EF2095" w:rsidTr="008B2E1F">
        <w:trPr>
          <w:trHeight w:val="289"/>
        </w:trPr>
        <w:tc>
          <w:tcPr>
            <w:tcW w:w="4248" w:type="dxa"/>
          </w:tcPr>
          <w:p w:rsidR="006832D9" w:rsidRPr="0001027E" w:rsidRDefault="006832D9" w:rsidP="00843796">
            <w:pPr>
              <w:rPr>
                <w:b/>
              </w:rPr>
            </w:pPr>
            <w:r w:rsidRPr="0001027E">
              <w:rPr>
                <w:b/>
              </w:rPr>
              <w:t>Totals</w:t>
            </w:r>
          </w:p>
        </w:tc>
        <w:tc>
          <w:tcPr>
            <w:tcW w:w="1620" w:type="dxa"/>
          </w:tcPr>
          <w:p w:rsidR="006832D9" w:rsidRPr="0001027E" w:rsidRDefault="004808FA" w:rsidP="004808FA">
            <w:pPr>
              <w:jc w:val="center"/>
              <w:rPr>
                <w:b/>
              </w:rPr>
            </w:pPr>
            <w:r>
              <w:rPr>
                <w:b/>
              </w:rPr>
              <w:t>2300</w:t>
            </w:r>
          </w:p>
        </w:tc>
        <w:tc>
          <w:tcPr>
            <w:tcW w:w="2070" w:type="dxa"/>
          </w:tcPr>
          <w:p w:rsidR="006832D9" w:rsidRPr="004808FA" w:rsidRDefault="004808FA" w:rsidP="004808FA">
            <w:pPr>
              <w:jc w:val="center"/>
              <w:rPr>
                <w:b/>
              </w:rPr>
            </w:pPr>
            <w:r>
              <w:rPr>
                <w:b/>
              </w:rPr>
              <w:t>138,000</w:t>
            </w:r>
          </w:p>
        </w:tc>
        <w:tc>
          <w:tcPr>
            <w:tcW w:w="1723" w:type="dxa"/>
          </w:tcPr>
          <w:p w:rsidR="006832D9" w:rsidRPr="0001027E" w:rsidRDefault="004808FA" w:rsidP="004808FA">
            <w:pPr>
              <w:jc w:val="center"/>
              <w:rPr>
                <w:b/>
              </w:rPr>
            </w:pPr>
            <w:r>
              <w:rPr>
                <w:b/>
              </w:rPr>
              <w:t>2300</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w:t>
      </w:r>
      <w:r w:rsidR="004808FA">
        <w:t xml:space="preserve"> to the Federal government is</w:t>
      </w:r>
      <w:bookmarkStart w:id="0" w:name="_GoBack"/>
      <w:bookmarkEnd w:id="0"/>
      <w:r w:rsidR="004808FA">
        <w:t xml:space="preserve"> </w:t>
      </w:r>
      <w:r w:rsidR="004808FA" w:rsidRPr="00DB6B3E">
        <w:rPr>
          <w:u w:val="single"/>
        </w:rPr>
        <w:t>$</w:t>
      </w:r>
      <w:r w:rsidR="00DB6B3E">
        <w:rPr>
          <w:u w:val="single"/>
        </w:rPr>
        <w:t>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lastRenderedPageBreak/>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F667D5">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EB6458" w:rsidRDefault="00EB6458" w:rsidP="00EB6458">
      <w:pPr>
        <w:pStyle w:val="Default"/>
        <w:spacing w:line="276" w:lineRule="auto"/>
        <w:rPr>
          <w:rFonts w:ascii="Times New Roman" w:hAnsi="Times New Roman" w:cs="Times New Roman"/>
          <w:sz w:val="22"/>
          <w:szCs w:val="22"/>
        </w:rPr>
      </w:pPr>
    </w:p>
    <w:p w:rsidR="00EB6458" w:rsidRPr="00FB0062" w:rsidRDefault="00394086" w:rsidP="00EB6458">
      <w:pPr>
        <w:pStyle w:val="Default"/>
        <w:spacing w:line="276" w:lineRule="auto"/>
        <w:rPr>
          <w:rFonts w:ascii="Times New Roman" w:hAnsi="Times New Roman" w:cs="Times New Roman"/>
          <w:sz w:val="22"/>
          <w:szCs w:val="22"/>
        </w:rPr>
      </w:pPr>
      <w:r>
        <w:rPr>
          <w:rFonts w:ascii="Times New Roman" w:hAnsi="Times New Roman" w:cs="Times New Roman"/>
          <w:sz w:val="22"/>
          <w:szCs w:val="22"/>
        </w:rPr>
        <w:t>S</w:t>
      </w:r>
      <w:r w:rsidR="00EB6458" w:rsidRPr="00FB0062">
        <w:rPr>
          <w:rFonts w:ascii="Times New Roman" w:hAnsi="Times New Roman" w:cs="Times New Roman"/>
          <w:sz w:val="22"/>
          <w:szCs w:val="22"/>
        </w:rPr>
        <w:t>ite visit</w:t>
      </w:r>
      <w:r>
        <w:rPr>
          <w:rFonts w:ascii="Times New Roman" w:hAnsi="Times New Roman" w:cs="Times New Roman"/>
          <w:sz w:val="22"/>
          <w:szCs w:val="22"/>
        </w:rPr>
        <w:t>s</w:t>
      </w:r>
      <w:r w:rsidR="00EB6458" w:rsidRPr="00FB0062">
        <w:rPr>
          <w:rFonts w:ascii="Times New Roman" w:hAnsi="Times New Roman" w:cs="Times New Roman"/>
          <w:sz w:val="22"/>
          <w:szCs w:val="22"/>
        </w:rPr>
        <w:t xml:space="preserve"> </w:t>
      </w:r>
      <w:r>
        <w:rPr>
          <w:rFonts w:ascii="Times New Roman" w:hAnsi="Times New Roman" w:cs="Times New Roman"/>
          <w:sz w:val="22"/>
          <w:szCs w:val="22"/>
        </w:rPr>
        <w:t>will be conducted</w:t>
      </w:r>
      <w:r w:rsidR="00EB6458" w:rsidRPr="00FB0062">
        <w:rPr>
          <w:rFonts w:ascii="Times New Roman" w:hAnsi="Times New Roman" w:cs="Times New Roman"/>
          <w:sz w:val="22"/>
          <w:szCs w:val="22"/>
        </w:rPr>
        <w:t xml:space="preserve"> at </w:t>
      </w:r>
      <w:r w:rsidR="00EB6458">
        <w:rPr>
          <w:rFonts w:ascii="Times New Roman" w:hAnsi="Times New Roman" w:cs="Times New Roman"/>
          <w:sz w:val="22"/>
          <w:szCs w:val="22"/>
        </w:rPr>
        <w:t>VA</w:t>
      </w:r>
      <w:r w:rsidR="00EB6458" w:rsidRPr="00FB0062">
        <w:rPr>
          <w:rFonts w:ascii="Times New Roman" w:hAnsi="Times New Roman" w:cs="Times New Roman"/>
          <w:sz w:val="22"/>
          <w:szCs w:val="22"/>
        </w:rPr>
        <w:t xml:space="preserve"> </w:t>
      </w:r>
      <w:r w:rsidR="00EB6458">
        <w:rPr>
          <w:rFonts w:ascii="Times New Roman" w:hAnsi="Times New Roman" w:cs="Times New Roman"/>
          <w:sz w:val="22"/>
          <w:szCs w:val="22"/>
        </w:rPr>
        <w:t>medical centers (VAMC)</w:t>
      </w:r>
      <w:r w:rsidR="00EB6458" w:rsidRPr="00FB0062">
        <w:rPr>
          <w:rFonts w:ascii="Times New Roman" w:hAnsi="Times New Roman" w:cs="Times New Roman"/>
          <w:sz w:val="22"/>
          <w:szCs w:val="22"/>
        </w:rPr>
        <w:t>, outpatient clinics</w:t>
      </w:r>
      <w:r w:rsidR="00EB6458">
        <w:rPr>
          <w:rFonts w:ascii="Times New Roman" w:hAnsi="Times New Roman" w:cs="Times New Roman"/>
          <w:sz w:val="22"/>
          <w:szCs w:val="22"/>
        </w:rPr>
        <w:t>, and Vet Centers</w:t>
      </w:r>
      <w:r w:rsidR="00EB6458" w:rsidRPr="00FB0062">
        <w:rPr>
          <w:rFonts w:ascii="Times New Roman" w:hAnsi="Times New Roman" w:cs="Times New Roman"/>
          <w:sz w:val="22"/>
          <w:szCs w:val="22"/>
        </w:rPr>
        <w:t xml:space="preserve"> where </w:t>
      </w:r>
      <w:r w:rsidR="00EB6458">
        <w:rPr>
          <w:rFonts w:ascii="Times New Roman" w:hAnsi="Times New Roman" w:cs="Times New Roman"/>
          <w:sz w:val="22"/>
          <w:szCs w:val="22"/>
        </w:rPr>
        <w:t>Veteran</w:t>
      </w:r>
      <w:r w:rsidR="00EB6458" w:rsidRPr="00FB0062">
        <w:rPr>
          <w:rFonts w:ascii="Times New Roman" w:hAnsi="Times New Roman" w:cs="Times New Roman"/>
          <w:sz w:val="22"/>
          <w:szCs w:val="22"/>
        </w:rPr>
        <w:t xml:space="preserve">s of </w:t>
      </w:r>
      <w:r>
        <w:rPr>
          <w:rFonts w:ascii="Times New Roman" w:hAnsi="Times New Roman" w:cs="Times New Roman"/>
          <w:sz w:val="22"/>
          <w:szCs w:val="22"/>
        </w:rPr>
        <w:t>the Iraq and Afghanistan wars</w:t>
      </w:r>
      <w:r w:rsidR="00EB6458" w:rsidRPr="00FB0062">
        <w:rPr>
          <w:rFonts w:ascii="Times New Roman" w:hAnsi="Times New Roman" w:cs="Times New Roman"/>
          <w:sz w:val="22"/>
          <w:szCs w:val="22"/>
        </w:rPr>
        <w:t xml:space="preserve"> seek psychiatric services and psychosocial supports. Site visit activities will also occur in non-VA settings that may be providing mental health services to </w:t>
      </w:r>
      <w:r>
        <w:rPr>
          <w:rFonts w:ascii="Times New Roman" w:hAnsi="Times New Roman" w:cs="Times New Roman"/>
          <w:sz w:val="22"/>
          <w:szCs w:val="22"/>
        </w:rPr>
        <w:t>V</w:t>
      </w:r>
      <w:r w:rsidR="00EB6458">
        <w:rPr>
          <w:rFonts w:ascii="Times New Roman" w:hAnsi="Times New Roman" w:cs="Times New Roman"/>
          <w:sz w:val="22"/>
          <w:szCs w:val="22"/>
        </w:rPr>
        <w:t>eteran</w:t>
      </w:r>
      <w:r w:rsidR="00EB6458" w:rsidRPr="00FB0062">
        <w:rPr>
          <w:rFonts w:ascii="Times New Roman" w:hAnsi="Times New Roman" w:cs="Times New Roman"/>
          <w:sz w:val="22"/>
          <w:szCs w:val="22"/>
        </w:rPr>
        <w:t xml:space="preserve">s, such as in community clinics, organizations that may provide peer supports, local </w:t>
      </w:r>
      <w:r w:rsidR="00EB6458">
        <w:rPr>
          <w:rFonts w:ascii="Times New Roman" w:hAnsi="Times New Roman" w:cs="Times New Roman"/>
          <w:sz w:val="22"/>
          <w:szCs w:val="22"/>
        </w:rPr>
        <w:t>Veteran</w:t>
      </w:r>
      <w:r w:rsidR="00EB6458" w:rsidRPr="00FB0062">
        <w:rPr>
          <w:rFonts w:ascii="Times New Roman" w:hAnsi="Times New Roman" w:cs="Times New Roman"/>
          <w:sz w:val="22"/>
          <w:szCs w:val="22"/>
        </w:rPr>
        <w:t xml:space="preserve">s Service Organizations, among others.  </w:t>
      </w:r>
    </w:p>
    <w:p w:rsidR="00EB6458" w:rsidRPr="00FB0062" w:rsidRDefault="00EB6458" w:rsidP="00EB6458">
      <w:pPr>
        <w:pStyle w:val="Default"/>
        <w:spacing w:line="276" w:lineRule="auto"/>
        <w:rPr>
          <w:rFonts w:ascii="Times New Roman" w:hAnsi="Times New Roman" w:cs="Times New Roman"/>
          <w:sz w:val="22"/>
          <w:szCs w:val="22"/>
        </w:rPr>
      </w:pPr>
    </w:p>
    <w:p w:rsidR="00EB6458" w:rsidRPr="00FB0062" w:rsidRDefault="00EB6458" w:rsidP="00EB6458">
      <w:pPr>
        <w:pStyle w:val="Default"/>
        <w:spacing w:line="276" w:lineRule="auto"/>
        <w:rPr>
          <w:rFonts w:ascii="Times New Roman" w:hAnsi="Times New Roman" w:cs="Times New Roman"/>
          <w:sz w:val="22"/>
          <w:szCs w:val="22"/>
        </w:rPr>
      </w:pPr>
      <w:r>
        <w:rPr>
          <w:rFonts w:ascii="Times New Roman" w:hAnsi="Times New Roman" w:cs="Times New Roman"/>
          <w:sz w:val="22"/>
          <w:szCs w:val="22"/>
        </w:rPr>
        <w:t>Veteran</w:t>
      </w:r>
      <w:r w:rsidRPr="00FB0062">
        <w:rPr>
          <w:rFonts w:ascii="Times New Roman" w:hAnsi="Times New Roman" w:cs="Times New Roman"/>
          <w:sz w:val="22"/>
          <w:szCs w:val="22"/>
        </w:rPr>
        <w:t xml:space="preserve">s will be recruited via outreach to various patient liaisons, including clinical staff working with the Returning Service Members program, the Program Manager for Women </w:t>
      </w:r>
      <w:r>
        <w:rPr>
          <w:rFonts w:ascii="Times New Roman" w:hAnsi="Times New Roman" w:cs="Times New Roman"/>
          <w:sz w:val="22"/>
          <w:szCs w:val="22"/>
        </w:rPr>
        <w:t>Veteran</w:t>
      </w:r>
      <w:r w:rsidRPr="00FB0062">
        <w:rPr>
          <w:rFonts w:ascii="Times New Roman" w:hAnsi="Times New Roman" w:cs="Times New Roman"/>
          <w:sz w:val="22"/>
          <w:szCs w:val="22"/>
        </w:rPr>
        <w:t xml:space="preserve">s, and the Mental Health Consumer and Advocate Council for each VAMC. </w:t>
      </w:r>
      <w:r>
        <w:rPr>
          <w:rFonts w:ascii="Times New Roman" w:hAnsi="Times New Roman" w:cs="Times New Roman"/>
          <w:sz w:val="22"/>
          <w:szCs w:val="22"/>
        </w:rPr>
        <w:t xml:space="preserve">Veterans not seeking </w:t>
      </w:r>
      <w:r w:rsidR="00394086">
        <w:rPr>
          <w:rFonts w:ascii="Times New Roman" w:hAnsi="Times New Roman" w:cs="Times New Roman"/>
          <w:sz w:val="22"/>
          <w:szCs w:val="22"/>
        </w:rPr>
        <w:t xml:space="preserve">VA </w:t>
      </w:r>
      <w:r>
        <w:rPr>
          <w:rFonts w:ascii="Times New Roman" w:hAnsi="Times New Roman" w:cs="Times New Roman"/>
          <w:sz w:val="22"/>
          <w:szCs w:val="22"/>
        </w:rPr>
        <w:t xml:space="preserve">services will be recruited through contacts made during the conduct of the environmental scan of the communities in which the VISNs are located. </w:t>
      </w:r>
    </w:p>
    <w:p w:rsidR="004D6E14" w:rsidRDefault="004D6E14" w:rsidP="00A403BB">
      <w:pPr>
        <w:rPr>
          <w:b/>
        </w:rPr>
      </w:pPr>
    </w:p>
    <w:p w:rsidR="00A403BB" w:rsidRDefault="00A403BB" w:rsidP="00A403BB">
      <w:pPr>
        <w:rPr>
          <w:b/>
        </w:rPr>
      </w:pPr>
      <w:r>
        <w:rPr>
          <w:b/>
        </w:rPr>
        <w:t>Administration of the Instrument</w:t>
      </w:r>
    </w:p>
    <w:p w:rsidR="00CA71E5" w:rsidRDefault="00CA71E5" w:rsidP="00A403BB">
      <w:pPr>
        <w:rPr>
          <w:b/>
        </w:rPr>
      </w:pP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4808FA" w:rsidP="001B0AAA">
      <w:pPr>
        <w:ind w:left="720"/>
      </w:pPr>
      <w:r>
        <w:t>[x</w:t>
      </w:r>
      <w:r w:rsidR="00A403BB">
        <w:t>] Telephone</w:t>
      </w:r>
      <w:r w:rsidR="00A403BB">
        <w:tab/>
      </w:r>
    </w:p>
    <w:p w:rsidR="001B0AAA" w:rsidRDefault="00A403BB" w:rsidP="001B0AAA">
      <w:pPr>
        <w:ind w:left="720"/>
      </w:pPr>
      <w:r>
        <w:t>[</w:t>
      </w:r>
      <w:r w:rsidR="00F667D5">
        <w:t>x</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CA71E5" w:rsidRDefault="00CA71E5" w:rsidP="001B0AAA">
      <w:pPr>
        <w:ind w:left="720"/>
      </w:pPr>
    </w:p>
    <w:p w:rsidR="00F24CFC" w:rsidRDefault="00F24CFC" w:rsidP="00F24CFC">
      <w:pPr>
        <w:pStyle w:val="ListParagraph"/>
        <w:numPr>
          <w:ilvl w:val="0"/>
          <w:numId w:val="17"/>
        </w:numPr>
      </w:pPr>
      <w:r>
        <w:t>Will interviewers or facilitators be used?  [</w:t>
      </w:r>
      <w:r w:rsidR="00F667D5">
        <w:t>x</w:t>
      </w:r>
      <w:r>
        <w:t>] Yes [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667D5" w:rsidRDefault="00F667D5">
      <w:pPr>
        <w:rPr>
          <w:b/>
          <w:bCs/>
          <w:sz w:val="28"/>
        </w:rPr>
      </w:pPr>
      <w:r>
        <w:rPr>
          <w:sz w:val="28"/>
        </w:rPr>
        <w:br w:type="page"/>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E70B07"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xml:space="preserve">: Provide a brief description of the targeted group or groups for this collection of information.  </w:t>
      </w:r>
      <w:r w:rsidRPr="00AA1145">
        <w:t>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Default="00CF6542" w:rsidP="00295057">
      <w:r>
        <w:rPr>
          <w:b/>
        </w:rPr>
        <w:t xml:space="preserve">Submit </w:t>
      </w:r>
      <w:r w:rsidR="00F24CFC" w:rsidRPr="00F24CFC">
        <w:rPr>
          <w:b/>
        </w:rPr>
        <w:t>all instruments, instructions, and scripts are submitted with the request.</w:t>
      </w: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C86" w:rsidRDefault="00383C86">
      <w:r>
        <w:separator/>
      </w:r>
    </w:p>
  </w:endnote>
  <w:endnote w:type="continuationSeparator" w:id="0">
    <w:p w:rsidR="00383C86" w:rsidRDefault="0038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8E670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C86" w:rsidRDefault="00383C86">
      <w:r>
        <w:separator/>
      </w:r>
    </w:p>
  </w:footnote>
  <w:footnote w:type="continuationSeparator" w:id="0">
    <w:p w:rsidR="00383C86" w:rsidRDefault="00383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0D1700"/>
    <w:multiLevelType w:val="hybridMultilevel"/>
    <w:tmpl w:val="FA1E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B2838"/>
    <w:rsid w:val="000D44CA"/>
    <w:rsid w:val="000E200B"/>
    <w:rsid w:val="000F68BE"/>
    <w:rsid w:val="001110E7"/>
    <w:rsid w:val="0011297A"/>
    <w:rsid w:val="001927A4"/>
    <w:rsid w:val="00194AC6"/>
    <w:rsid w:val="001A23B0"/>
    <w:rsid w:val="001A25CC"/>
    <w:rsid w:val="001B0AAA"/>
    <w:rsid w:val="001C39F7"/>
    <w:rsid w:val="001D0AC4"/>
    <w:rsid w:val="00237B48"/>
    <w:rsid w:val="0024521E"/>
    <w:rsid w:val="00263C3D"/>
    <w:rsid w:val="00274D0B"/>
    <w:rsid w:val="00295057"/>
    <w:rsid w:val="002B052D"/>
    <w:rsid w:val="002B34CD"/>
    <w:rsid w:val="002B3C95"/>
    <w:rsid w:val="002B5BC1"/>
    <w:rsid w:val="002D0B92"/>
    <w:rsid w:val="00353FE7"/>
    <w:rsid w:val="00370E36"/>
    <w:rsid w:val="00383C86"/>
    <w:rsid w:val="00394086"/>
    <w:rsid w:val="003D5BBE"/>
    <w:rsid w:val="003E3C61"/>
    <w:rsid w:val="003F1C5B"/>
    <w:rsid w:val="00434E33"/>
    <w:rsid w:val="00441434"/>
    <w:rsid w:val="0045264C"/>
    <w:rsid w:val="004808FA"/>
    <w:rsid w:val="004876EC"/>
    <w:rsid w:val="004D6E14"/>
    <w:rsid w:val="005009B0"/>
    <w:rsid w:val="005A1006"/>
    <w:rsid w:val="005E714A"/>
    <w:rsid w:val="005F36FB"/>
    <w:rsid w:val="005F693D"/>
    <w:rsid w:val="006133C8"/>
    <w:rsid w:val="006140A0"/>
    <w:rsid w:val="00636621"/>
    <w:rsid w:val="00642B49"/>
    <w:rsid w:val="006832D9"/>
    <w:rsid w:val="0069403B"/>
    <w:rsid w:val="006F3DDE"/>
    <w:rsid w:val="00704678"/>
    <w:rsid w:val="007425E7"/>
    <w:rsid w:val="0077078E"/>
    <w:rsid w:val="007F7080"/>
    <w:rsid w:val="00802607"/>
    <w:rsid w:val="008101A5"/>
    <w:rsid w:val="00822664"/>
    <w:rsid w:val="00843796"/>
    <w:rsid w:val="00895229"/>
    <w:rsid w:val="008B2E1F"/>
    <w:rsid w:val="008B2EB3"/>
    <w:rsid w:val="008C04BE"/>
    <w:rsid w:val="008E6706"/>
    <w:rsid w:val="008F0203"/>
    <w:rsid w:val="008F50D4"/>
    <w:rsid w:val="009239AA"/>
    <w:rsid w:val="00935ADA"/>
    <w:rsid w:val="00946B6C"/>
    <w:rsid w:val="00955A71"/>
    <w:rsid w:val="0096108F"/>
    <w:rsid w:val="009C13B9"/>
    <w:rsid w:val="009D01A2"/>
    <w:rsid w:val="009D3361"/>
    <w:rsid w:val="009F5923"/>
    <w:rsid w:val="00A337A0"/>
    <w:rsid w:val="00A403BB"/>
    <w:rsid w:val="00A674DF"/>
    <w:rsid w:val="00A83AA6"/>
    <w:rsid w:val="00A934D6"/>
    <w:rsid w:val="00AA1145"/>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A71E5"/>
    <w:rsid w:val="00CB1078"/>
    <w:rsid w:val="00CB23C9"/>
    <w:rsid w:val="00CC6FAF"/>
    <w:rsid w:val="00CF6542"/>
    <w:rsid w:val="00D24698"/>
    <w:rsid w:val="00D6383F"/>
    <w:rsid w:val="00DB59D0"/>
    <w:rsid w:val="00DB6B3E"/>
    <w:rsid w:val="00DC33D3"/>
    <w:rsid w:val="00E26329"/>
    <w:rsid w:val="00E40B50"/>
    <w:rsid w:val="00E50293"/>
    <w:rsid w:val="00E65FFC"/>
    <w:rsid w:val="00E70B07"/>
    <w:rsid w:val="00E744EA"/>
    <w:rsid w:val="00E80951"/>
    <w:rsid w:val="00E86CC6"/>
    <w:rsid w:val="00EB56B3"/>
    <w:rsid w:val="00EB6458"/>
    <w:rsid w:val="00ED6492"/>
    <w:rsid w:val="00EF2095"/>
    <w:rsid w:val="00F06866"/>
    <w:rsid w:val="00F158F5"/>
    <w:rsid w:val="00F15956"/>
    <w:rsid w:val="00F24CFC"/>
    <w:rsid w:val="00F3170F"/>
    <w:rsid w:val="00F667D5"/>
    <w:rsid w:val="00F976B0"/>
    <w:rsid w:val="00FA6DE7"/>
    <w:rsid w:val="00FC0A8E"/>
    <w:rsid w:val="00FD311D"/>
    <w:rsid w:val="00FD5366"/>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EB6458"/>
    <w:pPr>
      <w:autoSpaceDE w:val="0"/>
      <w:autoSpaceDN w:val="0"/>
      <w:adjustRightInd w:val="0"/>
    </w:pPr>
    <w:rPr>
      <w:rFonts w:ascii="Garamond" w:eastAsiaTheme="minorEastAsia"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EB6458"/>
    <w:pPr>
      <w:autoSpaceDE w:val="0"/>
      <w:autoSpaceDN w:val="0"/>
      <w:adjustRightInd w:val="0"/>
    </w:pPr>
    <w:rPr>
      <w:rFonts w:ascii="Garamond" w:eastAsiaTheme="minorEastAsia"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1387</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Abigail Mitchell</cp:lastModifiedBy>
  <cp:revision>5</cp:revision>
  <cp:lastPrinted>2010-10-04T15:59:00Z</cp:lastPrinted>
  <dcterms:created xsi:type="dcterms:W3CDTF">2014-11-03T17:02:00Z</dcterms:created>
  <dcterms:modified xsi:type="dcterms:W3CDTF">2014-11-04T16:11:00Z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