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23" w:rsidRDefault="00973823" w:rsidP="00F06866">
      <w:pPr>
        <w:pStyle w:val="Heading2"/>
        <w:tabs>
          <w:tab w:val="left" w:pos="900"/>
        </w:tabs>
        <w:ind w:right="-180"/>
        <w:rPr>
          <w:sz w:val="28"/>
        </w:rPr>
      </w:pPr>
    </w:p>
    <w:p w:rsidR="00973823" w:rsidRDefault="00973823" w:rsidP="00F06866">
      <w:pPr>
        <w:pStyle w:val="Heading2"/>
        <w:tabs>
          <w:tab w:val="left" w:pos="900"/>
        </w:tabs>
        <w:ind w:right="-180"/>
        <w:rPr>
          <w:sz w:val="28"/>
        </w:rPr>
      </w:pPr>
    </w:p>
    <w:p w:rsidR="00973823" w:rsidRDefault="00973823" w:rsidP="00F06866">
      <w:pPr>
        <w:pStyle w:val="Heading2"/>
        <w:tabs>
          <w:tab w:val="left" w:pos="900"/>
        </w:tabs>
        <w:ind w:right="-180"/>
        <w:rPr>
          <w:sz w:val="28"/>
        </w:rPr>
      </w:pPr>
    </w:p>
    <w:p w:rsidR="00973823" w:rsidRDefault="00973823" w:rsidP="00F06866">
      <w:pPr>
        <w:pStyle w:val="Heading2"/>
        <w:tabs>
          <w:tab w:val="left" w:pos="900"/>
        </w:tabs>
        <w:ind w:right="-180"/>
        <w:rPr>
          <w:sz w:val="28"/>
        </w:rPr>
      </w:pPr>
    </w:p>
    <w:p w:rsidR="00973823" w:rsidRPr="00973823" w:rsidRDefault="00973823" w:rsidP="00973823">
      <w:pPr>
        <w:spacing w:after="200" w:line="276" w:lineRule="auto"/>
        <w:rPr>
          <w:rFonts w:ascii="Arial" w:eastAsia="Calibri" w:hAnsi="Arial" w:cs="Arial"/>
          <w:sz w:val="22"/>
          <w:szCs w:val="22"/>
        </w:rPr>
      </w:pPr>
    </w:p>
    <w:p w:rsidR="00973823" w:rsidRPr="00973823" w:rsidRDefault="00973823" w:rsidP="00973823">
      <w:pPr>
        <w:spacing w:after="200" w:line="276" w:lineRule="auto"/>
        <w:jc w:val="center"/>
        <w:rPr>
          <w:rFonts w:ascii="Arial" w:eastAsia="Calibri" w:hAnsi="Arial" w:cs="Arial"/>
          <w:sz w:val="22"/>
          <w:szCs w:val="22"/>
        </w:rPr>
      </w:pPr>
      <w:r w:rsidRPr="00973823">
        <w:rPr>
          <w:rFonts w:ascii="Arial" w:eastAsia="Calibri" w:hAnsi="Arial" w:cs="Arial"/>
          <w:noProof/>
          <w:sz w:val="22"/>
          <w:szCs w:val="22"/>
        </w:rPr>
        <w:drawing>
          <wp:inline distT="0" distB="0" distL="0" distR="0" wp14:anchorId="67D9C67F" wp14:editId="28A0F18C">
            <wp:extent cx="2007256" cy="2019300"/>
            <wp:effectExtent l="19050" t="0" r="0" b="0"/>
            <wp:docPr id="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973823" w:rsidRPr="00973823" w:rsidRDefault="00973823" w:rsidP="00973823">
      <w:pPr>
        <w:keepNext/>
        <w:keepLines/>
        <w:spacing w:line="276" w:lineRule="auto"/>
        <w:jc w:val="center"/>
        <w:outlineLvl w:val="0"/>
        <w:rPr>
          <w:rFonts w:asciiTheme="majorHAnsi" w:eastAsiaTheme="majorEastAsia" w:hAnsiTheme="majorHAnsi" w:cstheme="majorBidi"/>
          <w:b/>
          <w:bCs/>
          <w:color w:val="365F91" w:themeColor="accent1" w:themeShade="BF"/>
          <w:sz w:val="48"/>
          <w:szCs w:val="48"/>
        </w:rPr>
      </w:pPr>
      <w:bookmarkStart w:id="0" w:name="_GoBack"/>
      <w:bookmarkEnd w:id="0"/>
    </w:p>
    <w:p w:rsidR="00973823" w:rsidRPr="00973823" w:rsidRDefault="00973823" w:rsidP="00973823">
      <w:pPr>
        <w:keepNext/>
        <w:keepLines/>
        <w:spacing w:line="276" w:lineRule="auto"/>
        <w:jc w:val="center"/>
        <w:outlineLvl w:val="0"/>
        <w:rPr>
          <w:rFonts w:eastAsiaTheme="majorEastAsia"/>
          <w:b/>
          <w:bCs/>
          <w:color w:val="365F91" w:themeColor="accent1" w:themeShade="BF"/>
          <w:sz w:val="48"/>
          <w:szCs w:val="48"/>
        </w:rPr>
      </w:pPr>
      <w:r w:rsidRPr="00973823">
        <w:rPr>
          <w:rFonts w:eastAsiaTheme="majorEastAsia"/>
          <w:b/>
          <w:bCs/>
          <w:color w:val="365F91" w:themeColor="accent1" w:themeShade="BF"/>
          <w:sz w:val="48"/>
          <w:szCs w:val="48"/>
        </w:rPr>
        <w:br/>
        <w:t>TITLE</w:t>
      </w:r>
    </w:p>
    <w:p w:rsidR="00973823" w:rsidRPr="00973823" w:rsidRDefault="00973823" w:rsidP="00973823">
      <w:pPr>
        <w:spacing w:after="200" w:line="276" w:lineRule="auto"/>
        <w:rPr>
          <w:rFonts w:ascii="Calibri" w:eastAsia="Calibri" w:hAnsi="Calibri"/>
          <w:sz w:val="22"/>
          <w:szCs w:val="22"/>
        </w:rPr>
      </w:pPr>
    </w:p>
    <w:p w:rsidR="00973823" w:rsidRPr="00973823" w:rsidRDefault="00973823" w:rsidP="00973823">
      <w:pPr>
        <w:jc w:val="center"/>
        <w:rPr>
          <w:rFonts w:eastAsia="Calibri"/>
          <w:color w:val="17365D" w:themeColor="text2" w:themeShade="BF"/>
          <w:sz w:val="22"/>
          <w:szCs w:val="22"/>
        </w:rPr>
      </w:pPr>
      <w:r w:rsidRPr="00973823">
        <w:rPr>
          <w:rFonts w:eastAsia="Calibri"/>
          <w:color w:val="17365D" w:themeColor="text2" w:themeShade="BF"/>
          <w:sz w:val="22"/>
          <w:szCs w:val="22"/>
        </w:rPr>
        <w:t>OMB 2900-</w:t>
      </w:r>
      <w:r>
        <w:rPr>
          <w:rFonts w:eastAsia="Calibri"/>
          <w:color w:val="17365D" w:themeColor="text2" w:themeShade="BF"/>
          <w:sz w:val="22"/>
          <w:szCs w:val="22"/>
        </w:rPr>
        <w:t>0770</w:t>
      </w:r>
    </w:p>
    <w:p w:rsidR="00973823" w:rsidRPr="00973823" w:rsidRDefault="00973823" w:rsidP="00973823">
      <w:pPr>
        <w:jc w:val="center"/>
        <w:rPr>
          <w:rFonts w:eastAsia="Calibri"/>
          <w:color w:val="17365D" w:themeColor="text2" w:themeShade="BF"/>
          <w:sz w:val="22"/>
          <w:szCs w:val="22"/>
        </w:rPr>
      </w:pPr>
      <w:r>
        <w:rPr>
          <w:rFonts w:eastAsia="Calibri"/>
          <w:color w:val="17365D" w:themeColor="text2" w:themeShade="BF"/>
          <w:sz w:val="22"/>
          <w:szCs w:val="22"/>
        </w:rPr>
        <w:t>Estimated burden:  5</w:t>
      </w:r>
      <w:r w:rsidRPr="00973823">
        <w:rPr>
          <w:rFonts w:eastAsia="Calibri"/>
          <w:color w:val="17365D" w:themeColor="text2" w:themeShade="BF"/>
          <w:sz w:val="22"/>
          <w:szCs w:val="22"/>
        </w:rPr>
        <w:t xml:space="preserve"> minutes</w:t>
      </w:r>
    </w:p>
    <w:p w:rsidR="00973823" w:rsidRPr="00973823" w:rsidRDefault="00973823" w:rsidP="00973823">
      <w:pPr>
        <w:jc w:val="center"/>
        <w:rPr>
          <w:rFonts w:eastAsia="Calibri"/>
          <w:color w:val="17365D" w:themeColor="text2" w:themeShade="BF"/>
          <w:sz w:val="22"/>
          <w:szCs w:val="22"/>
        </w:rPr>
      </w:pPr>
      <w:r w:rsidRPr="00973823">
        <w:rPr>
          <w:rFonts w:eastAsia="Calibri"/>
          <w:color w:val="17365D" w:themeColor="text2" w:themeShade="BF"/>
          <w:sz w:val="22"/>
          <w:szCs w:val="22"/>
        </w:rPr>
        <w:t>Expiration Date xx/xx/</w:t>
      </w:r>
      <w:proofErr w:type="spellStart"/>
      <w:r w:rsidRPr="00973823">
        <w:rPr>
          <w:rFonts w:eastAsia="Calibri"/>
          <w:color w:val="17365D" w:themeColor="text2" w:themeShade="BF"/>
          <w:sz w:val="22"/>
          <w:szCs w:val="22"/>
        </w:rPr>
        <w:t>xxxx</w:t>
      </w:r>
      <w:proofErr w:type="spellEnd"/>
    </w:p>
    <w:p w:rsidR="00973823" w:rsidRPr="00973823" w:rsidRDefault="00973823" w:rsidP="00973823">
      <w:pPr>
        <w:spacing w:after="200" w:line="276" w:lineRule="auto"/>
        <w:rPr>
          <w:rFonts w:ascii="Arial" w:eastAsia="Calibri" w:hAnsi="Arial" w:cs="Arial"/>
          <w:color w:val="17365D" w:themeColor="text2" w:themeShade="BF"/>
          <w:sz w:val="22"/>
          <w:szCs w:val="22"/>
        </w:rPr>
      </w:pPr>
    </w:p>
    <w:p w:rsidR="00973823" w:rsidRPr="00973823" w:rsidRDefault="00973823" w:rsidP="00973823">
      <w:pPr>
        <w:spacing w:after="200" w:line="276" w:lineRule="auto"/>
        <w:rPr>
          <w:rFonts w:ascii="Arial" w:eastAsia="Calibri" w:hAnsi="Arial" w:cs="Arial"/>
          <w:color w:val="17365D" w:themeColor="text2" w:themeShade="BF"/>
          <w:sz w:val="22"/>
          <w:szCs w:val="22"/>
        </w:rPr>
      </w:pPr>
    </w:p>
    <w:p w:rsidR="00973823" w:rsidRPr="00973823" w:rsidRDefault="00973823" w:rsidP="00973823">
      <w:pPr>
        <w:spacing w:after="200" w:line="276" w:lineRule="auto"/>
        <w:rPr>
          <w:rFonts w:ascii="Arial" w:eastAsia="Calibri" w:hAnsi="Arial" w:cs="Arial"/>
          <w:color w:val="17365D" w:themeColor="text2" w:themeShade="BF"/>
          <w:sz w:val="22"/>
          <w:szCs w:val="22"/>
        </w:rPr>
      </w:pPr>
    </w:p>
    <w:p w:rsidR="00973823" w:rsidRPr="00973823" w:rsidRDefault="00973823" w:rsidP="00973823">
      <w:pPr>
        <w:spacing w:after="120"/>
        <w:ind w:left="144" w:right="144"/>
        <w:jc w:val="both"/>
        <w:rPr>
          <w:rFonts w:ascii="Arial" w:eastAsia="Calibri" w:hAnsi="Arial" w:cs="Arial"/>
          <w:color w:val="244061" w:themeColor="accent1" w:themeShade="80"/>
          <w:sz w:val="20"/>
          <w:szCs w:val="20"/>
        </w:rPr>
      </w:pPr>
      <w:r w:rsidRPr="00973823">
        <w:rPr>
          <w:rFonts w:ascii="Arial" w:eastAsia="Calibri" w:hAnsi="Arial" w:cs="Arial"/>
          <w:b/>
          <w:bCs/>
          <w:color w:val="244061" w:themeColor="accent1" w:themeShade="80"/>
          <w:sz w:val="20"/>
          <w:szCs w:val="20"/>
        </w:rPr>
        <w:t xml:space="preserve">The Paperwork Reduction Act of 1995: </w:t>
      </w:r>
      <w:r w:rsidRPr="00973823">
        <w:rPr>
          <w:rFonts w:ascii="Arial" w:eastAsia="Calibri" w:hAnsi="Arial" w:cs="Arial"/>
          <w:color w:val="244061" w:themeColor="accent1" w:themeShade="80"/>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00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973823" w:rsidRPr="00973823" w:rsidRDefault="00973823" w:rsidP="00973823">
      <w:pPr>
        <w:spacing w:after="120"/>
        <w:ind w:left="144" w:right="144"/>
        <w:jc w:val="both"/>
        <w:rPr>
          <w:rFonts w:asciiTheme="majorHAnsi" w:eastAsiaTheme="majorEastAsia" w:hAnsiTheme="majorHAnsi"/>
          <w:sz w:val="20"/>
          <w:szCs w:val="20"/>
        </w:rPr>
      </w:pPr>
    </w:p>
    <w:p w:rsidR="00973823" w:rsidRPr="00973823" w:rsidRDefault="00973823" w:rsidP="00973823">
      <w:pPr>
        <w:tabs>
          <w:tab w:val="center" w:pos="4680"/>
          <w:tab w:val="right" w:pos="9360"/>
        </w:tabs>
        <w:rPr>
          <w:rFonts w:ascii="Arial" w:eastAsia="Calibri" w:hAnsi="Arial" w:cs="Arial"/>
          <w:b/>
          <w:sz w:val="16"/>
          <w:szCs w:val="16"/>
        </w:rPr>
      </w:pPr>
    </w:p>
    <w:p w:rsidR="00973823" w:rsidRPr="00973823" w:rsidRDefault="00973823" w:rsidP="00973823">
      <w:pPr>
        <w:tabs>
          <w:tab w:val="center" w:pos="4680"/>
          <w:tab w:val="right" w:pos="9360"/>
        </w:tabs>
        <w:rPr>
          <w:rFonts w:ascii="Arial" w:eastAsia="Calibri" w:hAnsi="Arial" w:cs="Arial"/>
          <w:b/>
          <w:color w:val="1F497D" w:themeColor="text2"/>
          <w:sz w:val="16"/>
          <w:szCs w:val="16"/>
        </w:rPr>
      </w:pPr>
    </w:p>
    <w:p w:rsidR="00973823" w:rsidRPr="00973823" w:rsidRDefault="00973823" w:rsidP="00973823">
      <w:pPr>
        <w:tabs>
          <w:tab w:val="center" w:pos="4680"/>
          <w:tab w:val="right" w:pos="9360"/>
        </w:tabs>
        <w:rPr>
          <w:rFonts w:ascii="Arial" w:eastAsia="Calibri" w:hAnsi="Arial" w:cs="Arial"/>
          <w:b/>
          <w:color w:val="1F497D" w:themeColor="text2"/>
          <w:sz w:val="16"/>
          <w:szCs w:val="16"/>
        </w:rPr>
      </w:pPr>
      <w:r w:rsidRPr="00973823">
        <w:rPr>
          <w:rFonts w:ascii="Arial" w:eastAsia="Calibri" w:hAnsi="Arial" w:cs="Arial"/>
          <w:b/>
          <w:color w:val="1F497D" w:themeColor="text2"/>
          <w:sz w:val="16"/>
          <w:szCs w:val="16"/>
        </w:rPr>
        <w:t>VA Form 10-0526</w:t>
      </w:r>
      <w:r w:rsidRPr="00973823">
        <w:rPr>
          <w:rFonts w:ascii="Arial" w:eastAsia="Calibri" w:hAnsi="Arial" w:cs="Arial"/>
          <w:b/>
          <w:color w:val="1F497D" w:themeColor="text2"/>
          <w:sz w:val="16"/>
          <w:szCs w:val="16"/>
        </w:rPr>
        <w:br/>
        <w:t>Nov 2011</w:t>
      </w:r>
    </w:p>
    <w:p w:rsidR="00973823" w:rsidRDefault="00973823" w:rsidP="00F06866">
      <w:pPr>
        <w:pStyle w:val="Heading2"/>
        <w:tabs>
          <w:tab w:val="left" w:pos="900"/>
        </w:tabs>
        <w:ind w:right="-180"/>
        <w:rPr>
          <w:sz w:val="28"/>
        </w:rPr>
      </w:pPr>
    </w:p>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50293" w:rsidRPr="009239AA" w:rsidRDefault="000F6066"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011607">
      <w:r w:rsidRPr="00011607">
        <w:t>10-10121</w:t>
      </w:r>
      <w:r>
        <w:t xml:space="preserve"> Caribbean Healthcare System Pathology and Laborato</w:t>
      </w:r>
      <w:r w:rsidRPr="00011607">
        <w:t>ry Medicine Service</w:t>
      </w:r>
      <w:r>
        <w:t xml:space="preserve"> Patient Satisfaction Survey</w:t>
      </w:r>
    </w:p>
    <w:p w:rsidR="00011607" w:rsidRDefault="00011607"/>
    <w:p w:rsidR="001B0AAA" w:rsidRDefault="00F15956">
      <w:r>
        <w:rPr>
          <w:b/>
        </w:rPr>
        <w:t>PURPOSE</w:t>
      </w:r>
      <w:r w:rsidRPr="009239AA">
        <w:rPr>
          <w:b/>
        </w:rPr>
        <w:t>:</w:t>
      </w:r>
      <w:r w:rsidR="00C14CC4" w:rsidRPr="009239AA">
        <w:rPr>
          <w:b/>
        </w:rPr>
        <w:t xml:space="preserve">  </w:t>
      </w:r>
    </w:p>
    <w:p w:rsidR="00C8488C" w:rsidRDefault="00C8488C"/>
    <w:p w:rsidR="008E696F" w:rsidRDefault="008E696F" w:rsidP="008E696F">
      <w:pPr>
        <w:pStyle w:val="NumberedlistitalicSubNumberedlistbody4SubNumberedlistitem4"/>
        <w:rPr>
          <w:rFonts w:ascii="Calibri" w:hAnsi="Calibri"/>
          <w:sz w:val="24"/>
          <w:szCs w:val="24"/>
        </w:rPr>
      </w:pPr>
      <w:r>
        <w:rPr>
          <w:rFonts w:ascii="Calibri" w:hAnsi="Calibri"/>
          <w:sz w:val="24"/>
          <w:szCs w:val="24"/>
        </w:rPr>
        <w:t xml:space="preserve">The Pathology and Laboratory Medicine Service is requesting authorization to have a standardized satisfaction survey at the Outpatient Clinics for the VA Caribbean Healthcare System.  The CAP Accreditation Program requires that the Laboratory Department measure our patient respondents within the past 2 years.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8E696F">
      <w:r>
        <w:t xml:space="preserve">The veteran patient’s or family members will provide feedback of </w:t>
      </w:r>
      <w:r w:rsidR="000F6066">
        <w:t xml:space="preserve">the experience </w:t>
      </w:r>
      <w:r>
        <w:t xml:space="preserve">during their visit to </w:t>
      </w:r>
      <w:r w:rsidR="000F6066">
        <w:t>our</w:t>
      </w:r>
      <w:r>
        <w:t xml:space="preserve"> Outpatient Laboratory.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F606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0F6066" w:rsidP="009C13B9">
      <w:r>
        <w:t xml:space="preserve">Name:  </w:t>
      </w:r>
      <w:r w:rsidRPr="000F6066">
        <w:rPr>
          <w:u w:val="single"/>
        </w:rPr>
        <w:t xml:space="preserve">Athena </w:t>
      </w:r>
      <w:proofErr w:type="spellStart"/>
      <w:r w:rsidRPr="000F6066">
        <w:rPr>
          <w:u w:val="single"/>
        </w:rPr>
        <w:t>Perdomo</w:t>
      </w:r>
      <w:proofErr w:type="spellEnd"/>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F6066">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w:t>
      </w:r>
      <w:r w:rsidR="000F6066">
        <w:t>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F6066" w:rsidP="00843796">
            <w:pPr>
              <w:rPr>
                <w:b/>
              </w:rPr>
            </w:pPr>
            <w:r>
              <w:rPr>
                <w:b/>
              </w:rPr>
              <w:t>1,000</w:t>
            </w:r>
          </w:p>
        </w:tc>
        <w:tc>
          <w:tcPr>
            <w:tcW w:w="1710" w:type="dxa"/>
          </w:tcPr>
          <w:p w:rsidR="006832D9" w:rsidRDefault="000F6066" w:rsidP="00843796">
            <w:r>
              <w:t>5 minutes</w:t>
            </w:r>
          </w:p>
        </w:tc>
        <w:tc>
          <w:tcPr>
            <w:tcW w:w="1003" w:type="dxa"/>
          </w:tcPr>
          <w:p w:rsidR="006832D9" w:rsidRPr="0001027E" w:rsidRDefault="000F6066" w:rsidP="00843796">
            <w:pPr>
              <w:rPr>
                <w:b/>
              </w:rPr>
            </w:pPr>
            <w:r>
              <w:rPr>
                <w:b/>
              </w:rPr>
              <w:t xml:space="preserve">  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C86E91" w:rsidRPr="000F6066">
        <w:rPr>
          <w:u w:val="single"/>
        </w:rPr>
        <w:t xml:space="preserve"> </w:t>
      </w:r>
      <w:r w:rsidR="000F6066" w:rsidRPr="000F6066">
        <w:rPr>
          <w:u w:val="single"/>
        </w:rPr>
        <w:t>none</w:t>
      </w:r>
      <w:r w:rsidR="000F6066">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F6066">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0F6066">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0F6066" w:rsidP="001B0AAA">
      <w:pPr>
        <w:ind w:left="720"/>
        <w:rPr>
          <w:u w:val="single"/>
        </w:rPr>
      </w:pPr>
      <w:r>
        <w:t>[X</w:t>
      </w:r>
      <w:r w:rsidR="00A403BB">
        <w:t>] Other, Explain</w:t>
      </w:r>
      <w:r w:rsidR="00E4051C">
        <w:t xml:space="preserve">:   </w:t>
      </w:r>
      <w:r w:rsidRPr="000F6066">
        <w:rPr>
          <w:u w:val="single"/>
        </w:rPr>
        <w:t>paper sheet</w:t>
      </w:r>
    </w:p>
    <w:p w:rsidR="00973823" w:rsidRDefault="00973823" w:rsidP="001B0AAA">
      <w:pPr>
        <w:ind w:left="720"/>
      </w:pPr>
    </w:p>
    <w:p w:rsidR="00F24CFC" w:rsidRDefault="00F24CFC" w:rsidP="00F24CFC">
      <w:pPr>
        <w:pStyle w:val="ListParagraph"/>
        <w:numPr>
          <w:ilvl w:val="0"/>
          <w:numId w:val="17"/>
        </w:numPr>
      </w:pPr>
      <w:r>
        <w:t>Will interviewers or fac</w:t>
      </w:r>
      <w:r w:rsidR="000F6066">
        <w:t>ilitators be used?  [  ] Yes [X</w:t>
      </w:r>
      <w:r>
        <w:t>] No</w:t>
      </w:r>
    </w:p>
    <w:p w:rsidR="007C5E55" w:rsidRDefault="007C5E55" w:rsidP="007C5E55"/>
    <w:p w:rsidR="007C5E55" w:rsidRDefault="007C5E55" w:rsidP="007C5E55"/>
    <w:p w:rsidR="007C5E55" w:rsidRDefault="007C5E55" w:rsidP="007C5E55"/>
    <w:p w:rsidR="007C5E55" w:rsidRDefault="007C5E55" w:rsidP="007C5E55"/>
    <w:p w:rsidR="007C5E55" w:rsidRDefault="007C5E55" w:rsidP="007C5E55"/>
    <w:p w:rsidR="007C5E55" w:rsidRDefault="007C5E55" w:rsidP="007C5E55"/>
    <w:p w:rsidR="00F24CFC" w:rsidRDefault="00F24CFC" w:rsidP="00F24CFC">
      <w:pPr>
        <w:pStyle w:val="ListParagraph"/>
        <w:ind w:left="360"/>
      </w:pPr>
      <w:r>
        <w:lastRenderedPageBreak/>
        <w:t xml:space="preserve"> </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F6066"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973823" w:rsidRDefault="00973823" w:rsidP="00F24CFC"/>
    <w:p w:rsidR="00973823" w:rsidRPr="003F1C5B" w:rsidRDefault="00973823" w:rsidP="00F24CFC"/>
    <w:p w:rsidR="005E714A" w:rsidRPr="00525947" w:rsidRDefault="00CF6542" w:rsidP="00525947">
      <w:pPr>
        <w:rPr>
          <w:b/>
        </w:rPr>
      </w:pPr>
      <w:r>
        <w:rPr>
          <w:b/>
        </w:rPr>
        <w:lastRenderedPageBreak/>
        <w:t xml:space="preserve">Submit </w:t>
      </w:r>
      <w:r w:rsidR="00F24CFC" w:rsidRPr="00F24CFC">
        <w:rPr>
          <w:b/>
        </w:rPr>
        <w:t>all instruments, instructions, and scripts are submitted with the request.</w:t>
      </w:r>
    </w:p>
    <w:sectPr w:rsidR="005E714A" w:rsidRPr="00525947"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67" w:rsidRDefault="006C2367">
      <w:r>
        <w:separator/>
      </w:r>
    </w:p>
  </w:endnote>
  <w:endnote w:type="continuationSeparator" w:id="0">
    <w:p w:rsidR="006C2367" w:rsidRDefault="006C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9453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738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67" w:rsidRDefault="006C2367">
      <w:r>
        <w:separator/>
      </w:r>
    </w:p>
  </w:footnote>
  <w:footnote w:type="continuationSeparator" w:id="0">
    <w:p w:rsidR="006C2367" w:rsidRDefault="006C2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607"/>
    <w:rsid w:val="00021390"/>
    <w:rsid w:val="00023A57"/>
    <w:rsid w:val="00047A64"/>
    <w:rsid w:val="00067329"/>
    <w:rsid w:val="000B2838"/>
    <w:rsid w:val="000D44CA"/>
    <w:rsid w:val="000E200B"/>
    <w:rsid w:val="000F6066"/>
    <w:rsid w:val="000F68BE"/>
    <w:rsid w:val="001110E7"/>
    <w:rsid w:val="001927A4"/>
    <w:rsid w:val="00194AC6"/>
    <w:rsid w:val="001A23B0"/>
    <w:rsid w:val="001A25CC"/>
    <w:rsid w:val="001B0AAA"/>
    <w:rsid w:val="001C39F7"/>
    <w:rsid w:val="001D0AC4"/>
    <w:rsid w:val="00237B48"/>
    <w:rsid w:val="0024521E"/>
    <w:rsid w:val="00263C3D"/>
    <w:rsid w:val="002651E0"/>
    <w:rsid w:val="00274D0B"/>
    <w:rsid w:val="002B052D"/>
    <w:rsid w:val="002B34CD"/>
    <w:rsid w:val="002B3C95"/>
    <w:rsid w:val="002D0B92"/>
    <w:rsid w:val="00353FE7"/>
    <w:rsid w:val="003D5BBE"/>
    <w:rsid w:val="003E3C61"/>
    <w:rsid w:val="003F1C5B"/>
    <w:rsid w:val="00434E33"/>
    <w:rsid w:val="00441434"/>
    <w:rsid w:val="0045264C"/>
    <w:rsid w:val="004876EC"/>
    <w:rsid w:val="004D6E14"/>
    <w:rsid w:val="005009B0"/>
    <w:rsid w:val="00525947"/>
    <w:rsid w:val="005A1006"/>
    <w:rsid w:val="005E714A"/>
    <w:rsid w:val="005F693D"/>
    <w:rsid w:val="006140A0"/>
    <w:rsid w:val="00636621"/>
    <w:rsid w:val="00642B49"/>
    <w:rsid w:val="006832D9"/>
    <w:rsid w:val="0069403B"/>
    <w:rsid w:val="006C2367"/>
    <w:rsid w:val="006F3DDE"/>
    <w:rsid w:val="00704678"/>
    <w:rsid w:val="007425E7"/>
    <w:rsid w:val="007C5E55"/>
    <w:rsid w:val="007F7080"/>
    <w:rsid w:val="00802607"/>
    <w:rsid w:val="008101A5"/>
    <w:rsid w:val="00822664"/>
    <w:rsid w:val="00843796"/>
    <w:rsid w:val="00863667"/>
    <w:rsid w:val="00895229"/>
    <w:rsid w:val="008B2EB3"/>
    <w:rsid w:val="008E696F"/>
    <w:rsid w:val="008F0203"/>
    <w:rsid w:val="008F50D4"/>
    <w:rsid w:val="009018CC"/>
    <w:rsid w:val="009239AA"/>
    <w:rsid w:val="00935ADA"/>
    <w:rsid w:val="00946B6C"/>
    <w:rsid w:val="00955A71"/>
    <w:rsid w:val="0096108F"/>
    <w:rsid w:val="00973823"/>
    <w:rsid w:val="009C13B9"/>
    <w:rsid w:val="009C3158"/>
    <w:rsid w:val="009D01A2"/>
    <w:rsid w:val="009F5923"/>
    <w:rsid w:val="00A30749"/>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94532"/>
    <w:rsid w:val="00DB59D0"/>
    <w:rsid w:val="00DC33D3"/>
    <w:rsid w:val="00E26329"/>
    <w:rsid w:val="00E4051C"/>
    <w:rsid w:val="00E40B50"/>
    <w:rsid w:val="00E50293"/>
    <w:rsid w:val="00E65FFC"/>
    <w:rsid w:val="00E744EA"/>
    <w:rsid w:val="00E80951"/>
    <w:rsid w:val="00E86CC6"/>
    <w:rsid w:val="00EB56B3"/>
    <w:rsid w:val="00EC2CB7"/>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umberedlistitalicSubNumberedlistbody4SubNumberedlistitem4">
    <w:name w:val="Numbered_list_italicSubNumbered_list_body_4SubNumbered_list_item_4"/>
    <w:basedOn w:val="Normal"/>
    <w:rsid w:val="008E696F"/>
    <w:rPr>
      <w:rFonts w:ascii="Arial" w:eastAsiaTheme="minorHAns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umberedlistitalicSubNumberedlistbody4SubNumberedlistitem4">
    <w:name w:val="Numbered_list_italicSubNumbered_list_body_4SubNumbered_list_item_4"/>
    <w:basedOn w:val="Normal"/>
    <w:rsid w:val="008E696F"/>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77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566E-FCEA-47AE-9232-87B6D6DA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Manuel, Howard L.</cp:lastModifiedBy>
  <cp:revision>2</cp:revision>
  <cp:lastPrinted>2010-10-04T15:59:00Z</cp:lastPrinted>
  <dcterms:created xsi:type="dcterms:W3CDTF">2014-10-02T18:21:00Z</dcterms:created>
  <dcterms:modified xsi:type="dcterms:W3CDTF">2014-10-02T18:21:00Z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