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1D" w:rsidRDefault="00DD5A1D" w:rsidP="009766E4">
      <w:pPr>
        <w:widowControl/>
        <w:tabs>
          <w:tab w:val="center" w:pos="4680"/>
        </w:tabs>
        <w:jc w:val="center"/>
        <w:outlineLvl w:val="0"/>
        <w:rPr>
          <w:b/>
          <w:bCs/>
        </w:rPr>
      </w:pPr>
      <w:r>
        <w:rPr>
          <w:b/>
          <w:bCs/>
        </w:rPr>
        <w:t>SUPPORTING STATEMENT</w:t>
      </w:r>
    </w:p>
    <w:p w:rsidR="00DD5A1D" w:rsidRDefault="00DD5A1D" w:rsidP="009766E4">
      <w:pPr>
        <w:widowControl/>
        <w:tabs>
          <w:tab w:val="center" w:pos="4680"/>
        </w:tabs>
        <w:jc w:val="center"/>
        <w:outlineLvl w:val="0"/>
      </w:pPr>
      <w:r>
        <w:rPr>
          <w:b/>
          <w:bCs/>
        </w:rPr>
        <w:t>ENVIRONMENTAL PROTECTION AGENCY</w:t>
      </w:r>
    </w:p>
    <w:p w:rsidR="00DD5A1D" w:rsidRDefault="00DD5A1D" w:rsidP="009766E4">
      <w:pPr>
        <w:widowControl/>
        <w:tabs>
          <w:tab w:val="center" w:pos="4680"/>
        </w:tabs>
        <w:jc w:val="center"/>
      </w:pPr>
    </w:p>
    <w:p w:rsidR="00737371" w:rsidRDefault="00DD5A1D" w:rsidP="009766E4">
      <w:pPr>
        <w:widowControl/>
        <w:jc w:val="center"/>
        <w:outlineLvl w:val="0"/>
        <w:rPr>
          <w:b/>
          <w:bCs/>
        </w:rPr>
      </w:pPr>
      <w:r>
        <w:rPr>
          <w:b/>
          <w:bCs/>
        </w:rPr>
        <w:t xml:space="preserve">NSPS </w:t>
      </w:r>
      <w:r w:rsidR="005971B8">
        <w:rPr>
          <w:b/>
          <w:bCs/>
        </w:rPr>
        <w:t xml:space="preserve">Review </w:t>
      </w:r>
      <w:r>
        <w:rPr>
          <w:b/>
          <w:bCs/>
        </w:rPr>
        <w:t>for Kraft Pulp Mills</w:t>
      </w:r>
    </w:p>
    <w:p w:rsidR="00DD5A1D" w:rsidRDefault="00DD5A1D" w:rsidP="009766E4">
      <w:pPr>
        <w:widowControl/>
        <w:jc w:val="center"/>
        <w:outlineLvl w:val="0"/>
        <w:rPr>
          <w:b/>
          <w:bCs/>
        </w:rPr>
      </w:pPr>
      <w:r>
        <w:rPr>
          <w:b/>
          <w:bCs/>
        </w:rPr>
        <w:t xml:space="preserve">(40 CFR </w:t>
      </w:r>
      <w:proofErr w:type="gramStart"/>
      <w:r>
        <w:rPr>
          <w:b/>
          <w:bCs/>
        </w:rPr>
        <w:t>Part</w:t>
      </w:r>
      <w:proofErr w:type="gramEnd"/>
      <w:r>
        <w:rPr>
          <w:b/>
          <w:bCs/>
        </w:rPr>
        <w:t xml:space="preserve"> 60, Subpart </w:t>
      </w:r>
      <w:proofErr w:type="spellStart"/>
      <w:r>
        <w:rPr>
          <w:b/>
          <w:bCs/>
        </w:rPr>
        <w:t>BB</w:t>
      </w:r>
      <w:r w:rsidR="005971B8">
        <w:rPr>
          <w:b/>
          <w:bCs/>
        </w:rPr>
        <w:t>a</w:t>
      </w:r>
      <w:proofErr w:type="spellEnd"/>
      <w:r>
        <w:rPr>
          <w:b/>
          <w:bCs/>
        </w:rPr>
        <w:t>)</w:t>
      </w:r>
    </w:p>
    <w:p w:rsidR="00E35769" w:rsidRDefault="00E35769" w:rsidP="009766E4">
      <w:pPr>
        <w:widowControl/>
        <w:ind w:firstLine="720"/>
        <w:outlineLvl w:val="0"/>
        <w:rPr>
          <w:b/>
          <w:bCs/>
        </w:rPr>
      </w:pPr>
    </w:p>
    <w:p w:rsidR="00E35769" w:rsidRDefault="00E35769" w:rsidP="009766E4">
      <w:pPr>
        <w:widowControl/>
        <w:outlineLvl w:val="0"/>
      </w:pPr>
      <w:r>
        <w:rPr>
          <w:b/>
          <w:bCs/>
        </w:rPr>
        <w:t>Part A of the Supporting Statement</w:t>
      </w:r>
    </w:p>
    <w:p w:rsidR="00DD5A1D" w:rsidRDefault="00DD5A1D" w:rsidP="009766E4">
      <w:pPr>
        <w:widowControl/>
      </w:pPr>
    </w:p>
    <w:p w:rsidR="00DD5A1D" w:rsidRDefault="00DD5A1D" w:rsidP="009766E4">
      <w:pPr>
        <w:widowControl/>
        <w:rPr>
          <w:b/>
          <w:bCs/>
        </w:rPr>
      </w:pPr>
      <w:r>
        <w:rPr>
          <w:b/>
          <w:bCs/>
        </w:rPr>
        <w:t>1.  Identification of the Information Collection</w:t>
      </w:r>
    </w:p>
    <w:p w:rsidR="00DD5A1D" w:rsidRDefault="00DD5A1D" w:rsidP="009766E4">
      <w:pPr>
        <w:widowControl/>
      </w:pPr>
    </w:p>
    <w:p w:rsidR="00DD5A1D" w:rsidRPr="00E35769" w:rsidRDefault="00DD5A1D" w:rsidP="009766E4">
      <w:pPr>
        <w:widowControl/>
        <w:rPr>
          <w:bCs/>
          <w:i/>
        </w:rPr>
      </w:pPr>
      <w:r w:rsidRPr="00E35769">
        <w:rPr>
          <w:bCs/>
          <w:i/>
        </w:rPr>
        <w:t>(a)  Title of the Information Collection</w:t>
      </w:r>
    </w:p>
    <w:p w:rsidR="004641F9" w:rsidRDefault="004641F9" w:rsidP="009766E4">
      <w:pPr>
        <w:widowControl/>
        <w:ind w:firstLine="720"/>
        <w:rPr>
          <w:b/>
          <w:bCs/>
        </w:rPr>
      </w:pPr>
    </w:p>
    <w:p w:rsidR="00DD5A1D" w:rsidRDefault="00E35769" w:rsidP="009766E4">
      <w:pPr>
        <w:widowControl/>
        <w:ind w:firstLine="720"/>
        <w:rPr>
          <w:bCs/>
        </w:rPr>
      </w:pPr>
      <w:r>
        <w:t>“</w:t>
      </w:r>
      <w:r w:rsidR="00DD5A1D">
        <w:t xml:space="preserve">NSPS </w:t>
      </w:r>
      <w:r w:rsidR="001541D0">
        <w:t>R</w:t>
      </w:r>
      <w:r w:rsidR="005971B8">
        <w:t xml:space="preserve">eview </w:t>
      </w:r>
      <w:r w:rsidR="00DD5A1D">
        <w:t>for</w:t>
      </w:r>
      <w:r w:rsidR="00DD5A1D">
        <w:rPr>
          <w:b/>
        </w:rPr>
        <w:t xml:space="preserve"> </w:t>
      </w:r>
      <w:r w:rsidR="00DD5A1D">
        <w:t>Kraft Pulp Mills</w:t>
      </w:r>
      <w:r w:rsidR="00DD5A1D">
        <w:rPr>
          <w:bCs/>
        </w:rPr>
        <w:t xml:space="preserve"> (40 CFR </w:t>
      </w:r>
      <w:proofErr w:type="gramStart"/>
      <w:r w:rsidR="00DD5A1D">
        <w:rPr>
          <w:bCs/>
        </w:rPr>
        <w:t>Part</w:t>
      </w:r>
      <w:proofErr w:type="gramEnd"/>
      <w:r w:rsidR="00DD5A1D">
        <w:rPr>
          <w:bCs/>
        </w:rPr>
        <w:t xml:space="preserve"> 60, Subpart </w:t>
      </w:r>
      <w:proofErr w:type="spellStart"/>
      <w:r w:rsidR="00DD5A1D">
        <w:rPr>
          <w:bCs/>
        </w:rPr>
        <w:t>BB</w:t>
      </w:r>
      <w:r w:rsidR="005971B8">
        <w:rPr>
          <w:bCs/>
        </w:rPr>
        <w:t>a</w:t>
      </w:r>
      <w:proofErr w:type="spellEnd"/>
      <w:r w:rsidR="00DD5A1D">
        <w:rPr>
          <w:bCs/>
        </w:rPr>
        <w:t>)</w:t>
      </w:r>
      <w:r>
        <w:rPr>
          <w:bCs/>
        </w:rPr>
        <w:t xml:space="preserve">.” </w:t>
      </w:r>
      <w:r w:rsidR="008B4A04">
        <w:rPr>
          <w:bCs/>
        </w:rPr>
        <w:t xml:space="preserve">This is a new ICR. </w:t>
      </w:r>
      <w:r>
        <w:rPr>
          <w:bCs/>
        </w:rPr>
        <w:t xml:space="preserve">The </w:t>
      </w:r>
      <w:r w:rsidR="009D086C">
        <w:rPr>
          <w:bCs/>
        </w:rPr>
        <w:t xml:space="preserve">EPA </w:t>
      </w:r>
      <w:r w:rsidR="00C71035">
        <w:rPr>
          <w:bCs/>
        </w:rPr>
        <w:t>information collection request (</w:t>
      </w:r>
      <w:r w:rsidR="009D086C">
        <w:rPr>
          <w:bCs/>
        </w:rPr>
        <w:t>ICR</w:t>
      </w:r>
      <w:r w:rsidR="00C71035">
        <w:rPr>
          <w:bCs/>
        </w:rPr>
        <w:t>)</w:t>
      </w:r>
      <w:r w:rsidR="009D086C">
        <w:rPr>
          <w:bCs/>
        </w:rPr>
        <w:t xml:space="preserve"> </w:t>
      </w:r>
      <w:r>
        <w:rPr>
          <w:bCs/>
        </w:rPr>
        <w:t>tracking n</w:t>
      </w:r>
      <w:r w:rsidR="009D086C">
        <w:rPr>
          <w:bCs/>
        </w:rPr>
        <w:t xml:space="preserve">umber </w:t>
      </w:r>
      <w:r>
        <w:rPr>
          <w:bCs/>
        </w:rPr>
        <w:t xml:space="preserve">is </w:t>
      </w:r>
      <w:r w:rsidR="00637AC5">
        <w:rPr>
          <w:bCs/>
        </w:rPr>
        <w:t>2485.0</w:t>
      </w:r>
      <w:r w:rsidR="00455679">
        <w:rPr>
          <w:bCs/>
        </w:rPr>
        <w:t>2</w:t>
      </w:r>
      <w:r w:rsidR="00C36655">
        <w:rPr>
          <w:bCs/>
        </w:rPr>
        <w:t>.</w:t>
      </w:r>
      <w:r w:rsidR="00F87EA0">
        <w:rPr>
          <w:bCs/>
        </w:rPr>
        <w:t xml:space="preserve"> The OMB control </w:t>
      </w:r>
      <w:r w:rsidR="00F87EA0" w:rsidRPr="00637AC5">
        <w:rPr>
          <w:bCs/>
        </w:rPr>
        <w:t>number is 2060-NEW.</w:t>
      </w:r>
    </w:p>
    <w:p w:rsidR="00F87EA0" w:rsidRPr="00F87EA0" w:rsidRDefault="00F87EA0" w:rsidP="009766E4">
      <w:pPr>
        <w:widowControl/>
        <w:ind w:firstLine="720"/>
        <w:rPr>
          <w:bCs/>
        </w:rPr>
      </w:pPr>
    </w:p>
    <w:p w:rsidR="00B24B79" w:rsidRPr="00B45B26" w:rsidRDefault="00DD5A1D" w:rsidP="009766E4">
      <w:pPr>
        <w:widowControl/>
        <w:rPr>
          <w:i/>
        </w:rPr>
      </w:pPr>
      <w:r w:rsidRPr="00B45B26">
        <w:rPr>
          <w:bCs/>
          <w:i/>
        </w:rPr>
        <w:t>(b)  Short Characterization/Abstract</w:t>
      </w:r>
    </w:p>
    <w:p w:rsidR="00DD5A1D" w:rsidRDefault="00DD5A1D" w:rsidP="009766E4">
      <w:pPr>
        <w:widowControl/>
      </w:pPr>
    </w:p>
    <w:p w:rsidR="00DD5A1D" w:rsidRDefault="00DD5A1D" w:rsidP="00830567">
      <w:pPr>
        <w:widowControl/>
        <w:ind w:firstLine="720"/>
      </w:pPr>
      <w:r>
        <w:t>The New Sour</w:t>
      </w:r>
      <w:r w:rsidR="00DB603D">
        <w:t>ce Performance Standards (NSPS)</w:t>
      </w:r>
      <w:r>
        <w:t xml:space="preserve"> for</w:t>
      </w:r>
      <w:r w:rsidR="00502A8E">
        <w:t xml:space="preserve"> Kraft Pulp Mills</w:t>
      </w:r>
      <w:r>
        <w:t xml:space="preserve"> </w:t>
      </w:r>
      <w:r w:rsidR="00502A8E">
        <w:t>(</w:t>
      </w:r>
      <w:r>
        <w:t xml:space="preserve">40 CFR </w:t>
      </w:r>
      <w:r w:rsidR="00157975">
        <w:t>P</w:t>
      </w:r>
      <w:r>
        <w:t xml:space="preserve">art 60, </w:t>
      </w:r>
      <w:r w:rsidR="00157975">
        <w:t>S</w:t>
      </w:r>
      <w:r>
        <w:t>ubpart BB</w:t>
      </w:r>
      <w:r w:rsidR="00795B40">
        <w:t>)</w:t>
      </w:r>
      <w:r>
        <w:t xml:space="preserve"> were proposed on September 24, 1976, and promulgated on February 23, 1978. Revision</w:t>
      </w:r>
      <w:r w:rsidR="005971B8">
        <w:t>s</w:t>
      </w:r>
      <w:r>
        <w:t xml:space="preserve"> to the standards w</w:t>
      </w:r>
      <w:r w:rsidR="005971B8">
        <w:t>ere</w:t>
      </w:r>
      <w:r>
        <w:t xml:space="preserve"> promulgated on May 20, 1986</w:t>
      </w:r>
      <w:r w:rsidR="00D73F9B">
        <w:t xml:space="preserve"> as a result of the NSPS review required under the Clean Air Act (CAA)</w:t>
      </w:r>
      <w:r w:rsidR="00E35769">
        <w:t>. This information collection is for a new</w:t>
      </w:r>
      <w:r w:rsidR="00D73F9B">
        <w:t xml:space="preserve"> </w:t>
      </w:r>
      <w:r w:rsidR="00157975">
        <w:t>S</w:t>
      </w:r>
      <w:r w:rsidR="00D73F9B">
        <w:t xml:space="preserve">ubpart </w:t>
      </w:r>
      <w:proofErr w:type="spellStart"/>
      <w:r w:rsidR="00D73F9B">
        <w:t>BBa</w:t>
      </w:r>
      <w:proofErr w:type="spellEnd"/>
      <w:r w:rsidR="00E35769">
        <w:t>, which will apply to</w:t>
      </w:r>
      <w:r w:rsidR="00D73F9B">
        <w:t xml:space="preserve"> </w:t>
      </w:r>
      <w:r w:rsidR="00E35769">
        <w:t>emission units which commence construction</w:t>
      </w:r>
      <w:r w:rsidR="00D73F9B">
        <w:t>, modifi</w:t>
      </w:r>
      <w:r w:rsidR="00E35769">
        <w:t>cation or reconstruction after</w:t>
      </w:r>
      <w:r w:rsidR="00D73F9B">
        <w:t xml:space="preserve"> </w:t>
      </w:r>
      <w:r w:rsidR="008E1871">
        <w:t>May 23, 2013</w:t>
      </w:r>
      <w:r>
        <w:t>. The</w:t>
      </w:r>
      <w:r w:rsidR="00E35769">
        <w:t>se</w:t>
      </w:r>
      <w:r>
        <w:t xml:space="preserve"> </w:t>
      </w:r>
      <w:r w:rsidR="00E35769">
        <w:t xml:space="preserve">standards limit emissions of particulate matter </w:t>
      </w:r>
      <w:r w:rsidR="00737371">
        <w:t xml:space="preserve">(PM) </w:t>
      </w:r>
      <w:r w:rsidR="00E35769">
        <w:t>(where applicable) and total reduced sulfur (TRS) from</w:t>
      </w:r>
      <w:r>
        <w:t xml:space="preserve"> the following </w:t>
      </w:r>
      <w:r w:rsidR="005971B8">
        <w:t>sources</w:t>
      </w:r>
      <w:r>
        <w:t xml:space="preserve"> at kraft pulp mills: recovery furnaces, smelt dissolving tanks</w:t>
      </w:r>
      <w:r w:rsidR="005971B8">
        <w:t xml:space="preserve"> (SDTs)</w:t>
      </w:r>
      <w:r>
        <w:t xml:space="preserve">, lime kilns, digester systems, brown stock washer </w:t>
      </w:r>
      <w:r w:rsidR="008E1871">
        <w:t xml:space="preserve">(BSW) </w:t>
      </w:r>
      <w:r>
        <w:t xml:space="preserve">systems, multiple effect evaporator systems and condensate stripper systems. </w:t>
      </w:r>
      <w:r w:rsidR="00DB603D">
        <w:t>At</w:t>
      </w:r>
      <w:r>
        <w:t xml:space="preserve"> pulp mills</w:t>
      </w:r>
      <w:r w:rsidR="005971B8">
        <w:t xml:space="preserve"> </w:t>
      </w:r>
      <w:r>
        <w:t xml:space="preserve">where kraft pulping is combined with neutral sulfite semi-chemical pulping, the provisions of this subpart are applicable when any portion of the material charged to an affected </w:t>
      </w:r>
      <w:r w:rsidR="00DB603D">
        <w:t>source</w:t>
      </w:r>
      <w:r>
        <w:t xml:space="preserve"> is produced by the kraft pulping operation. </w:t>
      </w:r>
      <w:r w:rsidR="00CE713B">
        <w:t xml:space="preserve">This subpart includes provisions specifying </w:t>
      </w:r>
      <w:r w:rsidR="00CE713B" w:rsidRPr="00217695">
        <w:t>that sources comply</w:t>
      </w:r>
      <w:r w:rsidR="00CE713B">
        <w:t>ing</w:t>
      </w:r>
      <w:r w:rsidR="00CE713B" w:rsidRPr="00217695">
        <w:t xml:space="preserve"> with th</w:t>
      </w:r>
      <w:r w:rsidR="00CE713B">
        <w:t>e</w:t>
      </w:r>
      <w:r w:rsidR="00CE713B" w:rsidRPr="00217695">
        <w:t xml:space="preserve"> TRS standard </w:t>
      </w:r>
      <w:r w:rsidR="00CE713B">
        <w:t>for digester systems, BSW systems, evaporator systems and condensate stripper systems</w:t>
      </w:r>
      <w:r w:rsidR="00CE713B" w:rsidRPr="00217695">
        <w:t xml:space="preserve"> by venting to a </w:t>
      </w:r>
      <w:r w:rsidR="00CE713B">
        <w:t xml:space="preserve">control </w:t>
      </w:r>
      <w:r w:rsidR="00CE713B" w:rsidRPr="00217695">
        <w:t>device must collect the gases in a closed-vent system subje</w:t>
      </w:r>
      <w:r w:rsidR="00CE713B">
        <w:t>ct to the provisions of 40 CFR Part 63, S</w:t>
      </w:r>
      <w:r w:rsidR="00CE713B" w:rsidRPr="00217695">
        <w:t>ubpart S.</w:t>
      </w:r>
      <w:r w:rsidR="00CE713B">
        <w:t xml:space="preserve"> </w:t>
      </w:r>
      <w:r w:rsidR="00830567">
        <w:t>Facilities may be exempt from the TRS standard in the NSPS if the facility can demonstrate that TRS emissions from a brown stock washer cannot feasibly be controlled either technically or economically.</w:t>
      </w:r>
      <w:r w:rsidR="00F1350C">
        <w:t xml:space="preserve"> </w:t>
      </w:r>
      <w:r>
        <w:t xml:space="preserve">This information is being collected to assure compliance with 40 CFR </w:t>
      </w:r>
      <w:r w:rsidR="002A35DD">
        <w:t>P</w:t>
      </w:r>
      <w:r w:rsidR="000762D1">
        <w:t>a</w:t>
      </w:r>
      <w:r>
        <w:t xml:space="preserve">rt 60, </w:t>
      </w:r>
      <w:r w:rsidR="002A35DD">
        <w:t>S</w:t>
      </w:r>
      <w:r>
        <w:t xml:space="preserve">ubpart </w:t>
      </w:r>
      <w:proofErr w:type="spellStart"/>
      <w:r>
        <w:t>BB</w:t>
      </w:r>
      <w:r w:rsidR="005971B8">
        <w:t>a</w:t>
      </w:r>
      <w:proofErr w:type="spellEnd"/>
      <w:r>
        <w:t>.</w:t>
      </w:r>
    </w:p>
    <w:p w:rsidR="00DD5A1D" w:rsidRDefault="00DD5A1D" w:rsidP="009766E4">
      <w:pPr>
        <w:widowControl/>
      </w:pPr>
    </w:p>
    <w:p w:rsidR="00DD5A1D" w:rsidRDefault="00DD5A1D" w:rsidP="009766E4">
      <w:pPr>
        <w:widowControl/>
      </w:pPr>
      <w:r>
        <w:tab/>
        <w:t xml:space="preserve">In general, all NSPS require initial notifications, performance tests and periodic reports by the owners/operators of the affected </w:t>
      </w:r>
      <w:r w:rsidR="00DB603D">
        <w:t>sources</w:t>
      </w:r>
      <w:r>
        <w:t>. The</w:t>
      </w:r>
      <w:r w:rsidR="00DB603D">
        <w:t xml:space="preserve"> owners/operators</w:t>
      </w:r>
      <w:r>
        <w:t xml:space="preserve"> are also required to maintain records of the occurrence and duration of any </w:t>
      </w:r>
      <w:r w:rsidR="0013406C">
        <w:t>startup, shutdown</w:t>
      </w:r>
      <w:r w:rsidR="00DC5C08">
        <w:t xml:space="preserve"> or </w:t>
      </w:r>
      <w:r>
        <w:t xml:space="preserve">malfunction in the operation of an affected </w:t>
      </w:r>
      <w:r w:rsidR="005971B8">
        <w:t>source</w:t>
      </w:r>
      <w:r>
        <w:t xml:space="preserve">, or any period during which the monitoring system is inoperative. These notifications, reports and records are essential in determining compliance and are required of all affected </w:t>
      </w:r>
      <w:r w:rsidR="00C03F56">
        <w:t>sources</w:t>
      </w:r>
      <w:r>
        <w:t xml:space="preserve"> subject to NSPS. A semiannual summary report</w:t>
      </w:r>
      <w:r w:rsidR="00250FEF">
        <w:t xml:space="preserve">, or an excess emissions report in the event there are periods of excess emissions, </w:t>
      </w:r>
      <w:r>
        <w:t>is also required.</w:t>
      </w:r>
    </w:p>
    <w:p w:rsidR="00DD5A1D" w:rsidRDefault="00DD5A1D" w:rsidP="009766E4">
      <w:pPr>
        <w:widowControl/>
      </w:pPr>
    </w:p>
    <w:p w:rsidR="00DD5A1D" w:rsidRDefault="00DD5A1D" w:rsidP="009766E4">
      <w:pPr>
        <w:widowControl/>
      </w:pPr>
      <w:r>
        <w:lastRenderedPageBreak/>
        <w:tab/>
        <w:t xml:space="preserve">Any owner/operator subject to the provisions of this part shall maintain a file of these measurements and retain the file for at least </w:t>
      </w:r>
      <w:r w:rsidR="00C26CDE">
        <w:t xml:space="preserve">2 </w:t>
      </w:r>
      <w:r>
        <w:t>years following the date of such measurements, maintenance reports and records. All reports are sent to the delegated state or local authority.</w:t>
      </w:r>
      <w:r w:rsidR="005971B8">
        <w:t xml:space="preserve"> </w:t>
      </w:r>
      <w:r>
        <w:t>In the event that there is no such delegated authority, the reports are sent directly to the U</w:t>
      </w:r>
      <w:r w:rsidR="00795B40">
        <w:t>.</w:t>
      </w:r>
      <w:r>
        <w:t>S</w:t>
      </w:r>
      <w:r w:rsidR="00795B40">
        <w:t>.</w:t>
      </w:r>
      <w:r>
        <w:t xml:space="preserve"> Environmental Protection Agency (EPA) </w:t>
      </w:r>
      <w:r w:rsidR="000D6777">
        <w:t>r</w:t>
      </w:r>
      <w:r>
        <w:t xml:space="preserve">egional </w:t>
      </w:r>
      <w:r w:rsidR="00E35769">
        <w:t>o</w:t>
      </w:r>
      <w:r>
        <w:t>ffice.</w:t>
      </w:r>
    </w:p>
    <w:p w:rsidR="00DD5A1D" w:rsidRDefault="00DD5A1D" w:rsidP="009766E4">
      <w:pPr>
        <w:widowControl/>
      </w:pPr>
    </w:p>
    <w:p w:rsidR="00C03F56" w:rsidRDefault="008B4A04" w:rsidP="009766E4">
      <w:pPr>
        <w:widowControl/>
        <w:ind w:firstLine="720"/>
      </w:pPr>
      <w:r>
        <w:t xml:space="preserve">Compared to a related NSPS (Subpart BB), </w:t>
      </w:r>
      <w:r w:rsidR="002E6AF2">
        <w:t>S</w:t>
      </w:r>
      <w:r w:rsidR="00E35769">
        <w:t xml:space="preserve">ubpart </w:t>
      </w:r>
      <w:proofErr w:type="spellStart"/>
      <w:r w:rsidR="00E35769">
        <w:t>BBa</w:t>
      </w:r>
      <w:proofErr w:type="spellEnd"/>
      <w:r w:rsidR="00E35769">
        <w:t xml:space="preserve"> </w:t>
      </w:r>
      <w:r w:rsidR="00C03F56">
        <w:t>eliminate</w:t>
      </w:r>
      <w:r w:rsidR="002E6AF2">
        <w:t>s</w:t>
      </w:r>
      <w:r w:rsidR="00C03F56">
        <w:t xml:space="preserve"> the startup, shutdown and malfunction </w:t>
      </w:r>
      <w:r w:rsidR="0016651D">
        <w:t xml:space="preserve">(SSM) </w:t>
      </w:r>
      <w:r w:rsidR="00C03F56">
        <w:t>exemption</w:t>
      </w:r>
      <w:r w:rsidR="0016651D">
        <w:t xml:space="preserve">, </w:t>
      </w:r>
      <w:r w:rsidR="00C03F56">
        <w:t>add</w:t>
      </w:r>
      <w:r w:rsidR="002E6AF2">
        <w:t>s</w:t>
      </w:r>
      <w:r w:rsidR="00C03F56">
        <w:t xml:space="preserve"> provisions to provide an affirmative defense against civil penalties for exceedances of emission standards caused by malfunctions, </w:t>
      </w:r>
      <w:r w:rsidR="0098077E">
        <w:t xml:space="preserve">adds </w:t>
      </w:r>
      <w:r w:rsidR="005C5775">
        <w:t>electrostatic precipitator (</w:t>
      </w:r>
      <w:r w:rsidR="0098077E">
        <w:t>ESP</w:t>
      </w:r>
      <w:r w:rsidR="005C5775">
        <w:t>)</w:t>
      </w:r>
      <w:r w:rsidR="0098077E">
        <w:t xml:space="preserve"> </w:t>
      </w:r>
      <w:r w:rsidR="005C5775">
        <w:t xml:space="preserve">and combination ESP/wet scrubber </w:t>
      </w:r>
      <w:r w:rsidR="0098077E">
        <w:t xml:space="preserve">parameter monitoring, </w:t>
      </w:r>
      <w:r w:rsidR="008E1871">
        <w:t xml:space="preserve">adds 5-year repeat performance testing </w:t>
      </w:r>
      <w:r w:rsidR="00C03F56">
        <w:t>and add</w:t>
      </w:r>
      <w:r w:rsidR="002E6AF2">
        <w:t>s</w:t>
      </w:r>
      <w:r w:rsidR="00C03F56">
        <w:t xml:space="preserve"> a requirement for electronic submittal of performance test data.</w:t>
      </w:r>
    </w:p>
    <w:p w:rsidR="00C03F56" w:rsidRDefault="00C03F56" w:rsidP="009766E4">
      <w:pPr>
        <w:widowControl/>
        <w:ind w:firstLine="720"/>
      </w:pPr>
    </w:p>
    <w:p w:rsidR="0016651D" w:rsidRDefault="008968A2" w:rsidP="009766E4">
      <w:pPr>
        <w:widowControl/>
        <w:ind w:firstLine="720"/>
        <w:rPr>
          <w:highlight w:val="yellow"/>
        </w:rPr>
      </w:pPr>
      <w:r>
        <w:t xml:space="preserve">Potential respondents are owners </w:t>
      </w:r>
      <w:r w:rsidRPr="006E543E">
        <w:t>and operators of new</w:t>
      </w:r>
      <w:r w:rsidR="00207C2D" w:rsidRPr="006E543E">
        <w:t>, modified, or reconstructed</w:t>
      </w:r>
      <w:r w:rsidR="0016651D" w:rsidRPr="006E543E">
        <w:t xml:space="preserve"> source</w:t>
      </w:r>
      <w:r w:rsidRPr="006E543E">
        <w:t>s</w:t>
      </w:r>
      <w:r w:rsidR="0016651D" w:rsidRPr="006E543E">
        <w:t xml:space="preserve"> (emission units)</w:t>
      </w:r>
      <w:r w:rsidRPr="006E543E">
        <w:t xml:space="preserve"> at kr</w:t>
      </w:r>
      <w:r w:rsidR="00DE2041" w:rsidRPr="006E543E">
        <w:t xml:space="preserve">aft pulp mills. It is estimated </w:t>
      </w:r>
      <w:r w:rsidRPr="006E543E">
        <w:t>that</w:t>
      </w:r>
      <w:r w:rsidR="00DB603D" w:rsidRPr="006E543E">
        <w:t xml:space="preserve"> </w:t>
      </w:r>
      <w:r w:rsidR="0016651D" w:rsidRPr="006E543E">
        <w:t xml:space="preserve">two kraft pulp mills per year (for a total of six mills) will have new, modified, or reconstructed emission units that become subject to </w:t>
      </w:r>
      <w:r w:rsidR="00157975">
        <w:t>S</w:t>
      </w:r>
      <w:r w:rsidR="0016651D" w:rsidRPr="006E543E">
        <w:t xml:space="preserve">ubpart </w:t>
      </w:r>
      <w:proofErr w:type="spellStart"/>
      <w:r w:rsidR="0016651D" w:rsidRPr="006E543E">
        <w:t>BBa</w:t>
      </w:r>
      <w:proofErr w:type="spellEnd"/>
      <w:r w:rsidR="0016651D" w:rsidRPr="006E543E">
        <w:t xml:space="preserve"> in the next </w:t>
      </w:r>
      <w:r w:rsidR="00C26CDE">
        <w:t>3</w:t>
      </w:r>
      <w:r w:rsidR="00C26CDE" w:rsidRPr="006E543E">
        <w:t xml:space="preserve"> </w:t>
      </w:r>
      <w:r w:rsidR="0016651D" w:rsidRPr="006E543E">
        <w:t>years. Mills can have more</w:t>
      </w:r>
      <w:r w:rsidR="0016651D">
        <w:t xml:space="preserve"> than one emission unit (e.g., digester, recovery furnace, SDT, lime kiln) onsite.</w:t>
      </w:r>
    </w:p>
    <w:p w:rsidR="00DD5A1D" w:rsidRDefault="00DD5A1D" w:rsidP="009766E4">
      <w:pPr>
        <w:widowControl/>
      </w:pPr>
    </w:p>
    <w:p w:rsidR="00DD5A1D" w:rsidRDefault="00DD5A1D" w:rsidP="009766E4">
      <w:pPr>
        <w:widowControl/>
        <w:rPr>
          <w:bCs/>
        </w:rPr>
      </w:pPr>
      <w:r>
        <w:tab/>
        <w:t xml:space="preserve">All of the kraft pulp mills in the United States are owned and operated by the </w:t>
      </w:r>
      <w:r w:rsidR="00207C2D">
        <w:t>k</w:t>
      </w:r>
      <w:r>
        <w:t xml:space="preserve">raft </w:t>
      </w:r>
      <w:r w:rsidR="00207C2D">
        <w:t>p</w:t>
      </w:r>
      <w:r>
        <w:t xml:space="preserve">ulp </w:t>
      </w:r>
      <w:r w:rsidR="00207C2D">
        <w:t>m</w:t>
      </w:r>
      <w:r>
        <w:t xml:space="preserve">ill industry (the “Affected Public”). None of the facilities in the United States are owned by state, local, </w:t>
      </w:r>
      <w:r w:rsidR="00207C2D">
        <w:t xml:space="preserve">or </w:t>
      </w:r>
      <w:r>
        <w:t xml:space="preserve">tribal </w:t>
      </w:r>
      <w:r w:rsidR="00207C2D">
        <w:t xml:space="preserve">governments </w:t>
      </w:r>
      <w:r>
        <w:t xml:space="preserve">or </w:t>
      </w:r>
      <w:r w:rsidR="00207C2D">
        <w:t xml:space="preserve">by </w:t>
      </w:r>
      <w:r>
        <w:t>the Federal government</w:t>
      </w:r>
      <w:r w:rsidR="009D086C">
        <w:t>; all these facilities are</w:t>
      </w:r>
      <w:r>
        <w:t xml:space="preserve"> privately</w:t>
      </w:r>
      <w:r w:rsidR="00795B40">
        <w:t>-</w:t>
      </w:r>
      <w:r>
        <w:t>owned</w:t>
      </w:r>
      <w:r w:rsidR="00795B40">
        <w:t>,</w:t>
      </w:r>
      <w:r>
        <w:t xml:space="preserve"> for-profit businesses. The burden to the “Affected Public” </w:t>
      </w:r>
      <w:r w:rsidR="00DC1425">
        <w:t>may be found</w:t>
      </w:r>
      <w:r>
        <w:t xml:space="preserve"> </w:t>
      </w:r>
      <w:r w:rsidR="00795B40">
        <w:t xml:space="preserve">below </w:t>
      </w:r>
      <w:r>
        <w:t xml:space="preserve">in Table 1: Annual </w:t>
      </w:r>
      <w:r w:rsidR="00795B40">
        <w:t>Respondent</w:t>
      </w:r>
      <w:r>
        <w:t xml:space="preserve"> Burden and Cost </w:t>
      </w:r>
      <w:r w:rsidR="00486FC4">
        <w:t>-</w:t>
      </w:r>
      <w:r>
        <w:t xml:space="preserve"> NSPS </w:t>
      </w:r>
      <w:r w:rsidR="00207C2D">
        <w:t xml:space="preserve">Review </w:t>
      </w:r>
      <w:r>
        <w:t>for Kraft Pulp Mills</w:t>
      </w:r>
      <w:r>
        <w:rPr>
          <w:bCs/>
        </w:rPr>
        <w:t xml:space="preserve"> (40 CFR Part 60, Subpart </w:t>
      </w:r>
      <w:proofErr w:type="spellStart"/>
      <w:r>
        <w:rPr>
          <w:bCs/>
        </w:rPr>
        <w:t>BB</w:t>
      </w:r>
      <w:r w:rsidR="00207C2D">
        <w:rPr>
          <w:bCs/>
        </w:rPr>
        <w:t>a</w:t>
      </w:r>
      <w:proofErr w:type="spellEnd"/>
      <w:r>
        <w:t xml:space="preserve">). </w:t>
      </w:r>
      <w:r w:rsidR="00603D20">
        <w:t>T</w:t>
      </w:r>
      <w:r w:rsidR="00DC1425">
        <w:t xml:space="preserve">he burden to the “Federal Government” is attributed to work performed by </w:t>
      </w:r>
      <w:r w:rsidR="00795B40">
        <w:t xml:space="preserve">either </w:t>
      </w:r>
      <w:r w:rsidR="00486FC4">
        <w:t>F</w:t>
      </w:r>
      <w:r w:rsidR="00DC1425">
        <w:t>ederal employees or government contractors</w:t>
      </w:r>
      <w:r w:rsidR="00795B40">
        <w:t>. T</w:t>
      </w:r>
      <w:r w:rsidR="00DC1425">
        <w:t xml:space="preserve">his burden may be found </w:t>
      </w:r>
      <w:r w:rsidR="00795B40">
        <w:t xml:space="preserve">below </w:t>
      </w:r>
      <w:r w:rsidR="00DC1425">
        <w:t>in</w:t>
      </w:r>
      <w:r>
        <w:t xml:space="preserve"> Table 2: Average Annual EPA Burden </w:t>
      </w:r>
      <w:r w:rsidR="00795B40">
        <w:t xml:space="preserve">and Cost </w:t>
      </w:r>
      <w:r w:rsidR="00486FC4">
        <w:t>-</w:t>
      </w:r>
      <w:r>
        <w:t xml:space="preserve"> NSPS </w:t>
      </w:r>
      <w:r w:rsidR="00207C2D">
        <w:t xml:space="preserve">Review </w:t>
      </w:r>
      <w:r>
        <w:t>for Kraft Pulp Mills</w:t>
      </w:r>
      <w:r>
        <w:rPr>
          <w:bCs/>
        </w:rPr>
        <w:t xml:space="preserve"> (40 CFR Part 60, Subpart </w:t>
      </w:r>
      <w:proofErr w:type="spellStart"/>
      <w:r>
        <w:rPr>
          <w:bCs/>
        </w:rPr>
        <w:t>BB</w:t>
      </w:r>
      <w:r w:rsidR="00207C2D">
        <w:rPr>
          <w:bCs/>
        </w:rPr>
        <w:t>a</w:t>
      </w:r>
      <w:proofErr w:type="spellEnd"/>
      <w:r>
        <w:t>).</w:t>
      </w:r>
    </w:p>
    <w:p w:rsidR="00DD5A1D" w:rsidRDefault="00DD5A1D" w:rsidP="009766E4">
      <w:pPr>
        <w:widowControl/>
      </w:pPr>
    </w:p>
    <w:p w:rsidR="00DD5A1D" w:rsidRDefault="00DD5A1D" w:rsidP="009766E4">
      <w:pPr>
        <w:widowControl/>
      </w:pPr>
      <w:r>
        <w:rPr>
          <w:b/>
          <w:bCs/>
        </w:rPr>
        <w:t>2.  Need for and Use of the Collection</w:t>
      </w:r>
    </w:p>
    <w:p w:rsidR="00DD5A1D" w:rsidRDefault="00DD5A1D" w:rsidP="009766E4">
      <w:pPr>
        <w:widowControl/>
      </w:pPr>
    </w:p>
    <w:p w:rsidR="00DD5A1D" w:rsidRPr="00B45B26" w:rsidRDefault="00DD5A1D" w:rsidP="009766E4">
      <w:pPr>
        <w:widowControl/>
        <w:rPr>
          <w:i/>
        </w:rPr>
      </w:pPr>
      <w:r w:rsidRPr="00B45B26">
        <w:rPr>
          <w:bCs/>
          <w:i/>
        </w:rPr>
        <w:t>(a)  Need/Authority for the Collection</w:t>
      </w:r>
    </w:p>
    <w:p w:rsidR="00DD5A1D" w:rsidRDefault="00DD5A1D" w:rsidP="009766E4">
      <w:pPr>
        <w:widowControl/>
      </w:pPr>
    </w:p>
    <w:p w:rsidR="00DD5A1D" w:rsidRDefault="00DD5A1D" w:rsidP="009766E4">
      <w:pPr>
        <w:widowControl/>
        <w:pBdr>
          <w:top w:val="single" w:sz="6" w:space="0" w:color="FFFFFF"/>
          <w:left w:val="single" w:sz="6" w:space="0" w:color="FFFFFF"/>
          <w:bottom w:val="single" w:sz="6" w:space="0" w:color="FFFFFF"/>
          <w:right w:val="single" w:sz="6" w:space="0" w:color="FFFFFF"/>
        </w:pBdr>
        <w:ind w:firstLine="720"/>
      </w:pPr>
      <w:r>
        <w:t xml:space="preserve">The EPA is charged under section 111 of the CAA, as amended, to establish standards of performance for new stationary sources that reflect: </w:t>
      </w:r>
    </w:p>
    <w:p w:rsidR="00DD5A1D" w:rsidRDefault="00DD5A1D" w:rsidP="009766E4">
      <w:pPr>
        <w:widowControl/>
        <w:pBdr>
          <w:top w:val="single" w:sz="6" w:space="0" w:color="FFFFFF"/>
          <w:left w:val="single" w:sz="6" w:space="0" w:color="FFFFFF"/>
          <w:bottom w:val="single" w:sz="6" w:space="0" w:color="FFFFFF"/>
          <w:right w:val="single" w:sz="6" w:space="0" w:color="FFFFFF"/>
        </w:pBdr>
      </w:pPr>
    </w:p>
    <w:p w:rsidR="00DD5A1D" w:rsidRDefault="00DD5A1D" w:rsidP="009766E4">
      <w:pPr>
        <w:widowControl/>
        <w:pBdr>
          <w:top w:val="single" w:sz="6" w:space="0" w:color="FFFFFF"/>
          <w:left w:val="single" w:sz="6" w:space="0" w:color="FFFFFF"/>
          <w:bottom w:val="single" w:sz="6" w:space="0" w:color="FFFFFF"/>
          <w:right w:val="single" w:sz="6" w:space="0" w:color="FFFFFF"/>
        </w:pBdr>
        <w:ind w:left="1440" w:right="1440"/>
      </w:pPr>
      <w:r>
        <w:rPr>
          <w:b/>
          <w:bCs/>
        </w:rPr>
        <w:t>. . .</w:t>
      </w:r>
      <w:r>
        <w:t xml:space="preserve"> </w:t>
      </w:r>
      <w:proofErr w:type="gramStart"/>
      <w:r>
        <w:t>application</w:t>
      </w:r>
      <w:proofErr w:type="gramEnd"/>
      <w:r>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5971B8">
        <w:t xml:space="preserve"> </w:t>
      </w:r>
      <w:r>
        <w:t xml:space="preserve"> Section 111(a</w:t>
      </w:r>
      <w:proofErr w:type="gramStart"/>
      <w:r>
        <w:t>)(</w:t>
      </w:r>
      <w:proofErr w:type="gramEnd"/>
      <w:r>
        <w:t>l).</w:t>
      </w:r>
    </w:p>
    <w:p w:rsidR="00DD5A1D" w:rsidRDefault="00DD5A1D" w:rsidP="009766E4">
      <w:pPr>
        <w:widowControl/>
        <w:pBdr>
          <w:top w:val="single" w:sz="6" w:space="0" w:color="FFFFFF"/>
          <w:left w:val="single" w:sz="6" w:space="0" w:color="FFFFFF"/>
          <w:bottom w:val="single" w:sz="6" w:space="0" w:color="FFFFFF"/>
          <w:right w:val="single" w:sz="6" w:space="0" w:color="FFFFFF"/>
        </w:pBdr>
      </w:pPr>
    </w:p>
    <w:p w:rsidR="00DD5A1D" w:rsidRDefault="00DD5A1D" w:rsidP="009766E4">
      <w:pPr>
        <w:widowControl/>
        <w:pBdr>
          <w:top w:val="single" w:sz="6" w:space="0" w:color="FFFFFF"/>
          <w:left w:val="single" w:sz="6" w:space="0" w:color="FFFFFF"/>
          <w:bottom w:val="single" w:sz="6" w:space="0" w:color="FFFFFF"/>
          <w:right w:val="single" w:sz="6" w:space="0" w:color="FFFFFF"/>
        </w:pBdr>
      </w:pPr>
      <w:r>
        <w:t>The Agency refers to this charge as selecting the</w:t>
      </w:r>
      <w:r w:rsidR="00066D99">
        <w:t xml:space="preserve"> best system of emission reduction (BSER), formerly referred to as</w:t>
      </w:r>
      <w:r>
        <w:t xml:space="preserve"> best demonstrated technology (BDT). Section 111 also requires that the Administrator review and, if appropriate, revise such standards every </w:t>
      </w:r>
      <w:r w:rsidR="00C26CDE">
        <w:t xml:space="preserve">8 </w:t>
      </w:r>
      <w:r>
        <w:t xml:space="preserve">years. </w:t>
      </w:r>
    </w:p>
    <w:p w:rsidR="00DD5A1D" w:rsidRDefault="00DD5A1D" w:rsidP="009766E4">
      <w:pPr>
        <w:widowControl/>
        <w:ind w:firstLine="720"/>
      </w:pPr>
    </w:p>
    <w:p w:rsidR="00DD5A1D" w:rsidRDefault="00DD5A1D" w:rsidP="009766E4">
      <w:pPr>
        <w:widowControl/>
        <w:ind w:firstLine="720"/>
      </w:pPr>
      <w:r>
        <w:lastRenderedPageBreak/>
        <w:t>In addition, section 114(a) states that the Administrator may require any owner or operator subject to any requirement of this Act to:</w:t>
      </w:r>
    </w:p>
    <w:p w:rsidR="00DD5A1D" w:rsidRDefault="00DD5A1D" w:rsidP="009766E4">
      <w:pPr>
        <w:widowControl/>
      </w:pPr>
    </w:p>
    <w:p w:rsidR="00DD5A1D" w:rsidRDefault="00DD5A1D" w:rsidP="009766E4">
      <w:pPr>
        <w:widowControl/>
        <w:ind w:left="1440" w:right="1440"/>
      </w:pPr>
      <w:r>
        <w:t>(A) Establish and maintain such records; (B) make such reports;</w:t>
      </w:r>
      <w:r w:rsidR="005971B8">
        <w:t xml:space="preserve"> </w:t>
      </w:r>
      <w:r>
        <w:t>(C)</w:t>
      </w:r>
      <w:r w:rsidR="00A62930">
        <w:t> </w:t>
      </w:r>
      <w:r>
        <w:t>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D5A1D" w:rsidRDefault="00DD5A1D" w:rsidP="009766E4">
      <w:pPr>
        <w:widowControl/>
        <w:ind w:left="1440" w:right="1440"/>
      </w:pPr>
    </w:p>
    <w:p w:rsidR="00DD5A1D" w:rsidRDefault="00DD5A1D" w:rsidP="009766E4">
      <w:pPr>
        <w:widowControl/>
        <w:ind w:firstLine="720"/>
      </w:pPr>
      <w:r>
        <w:t xml:space="preserve">In the Administrator's judgment, </w:t>
      </w:r>
      <w:r w:rsidR="00C71035">
        <w:t xml:space="preserve">PM and </w:t>
      </w:r>
      <w:r>
        <w:t>TRS emissions from kraft pulp mills cause or contribute to air pollution that may reasonably be anticipated to endanger public health or welfare.</w:t>
      </w:r>
      <w:r w:rsidR="005971B8">
        <w:t xml:space="preserve"> </w:t>
      </w:r>
      <w:r w:rsidR="0016651D">
        <w:t>Therefore, NSPS were</w:t>
      </w:r>
      <w:r>
        <w:t xml:space="preserve"> promulgated for this source category at 40 CFR </w:t>
      </w:r>
      <w:r w:rsidR="00157975">
        <w:t>P</w:t>
      </w:r>
      <w:r>
        <w:t xml:space="preserve">art 60, </w:t>
      </w:r>
      <w:r w:rsidR="00157975">
        <w:t>S</w:t>
      </w:r>
      <w:r>
        <w:t>ubpart BB</w:t>
      </w:r>
      <w:r w:rsidR="0016651D">
        <w:t xml:space="preserve">. Subpart </w:t>
      </w:r>
      <w:proofErr w:type="spellStart"/>
      <w:r w:rsidR="0016651D">
        <w:t>BBa</w:t>
      </w:r>
      <w:proofErr w:type="spellEnd"/>
      <w:r w:rsidR="0016651D">
        <w:t xml:space="preserve"> was developed following the second review of </w:t>
      </w:r>
      <w:r w:rsidR="00157975">
        <w:t>S</w:t>
      </w:r>
      <w:r w:rsidR="0016651D">
        <w:t xml:space="preserve">ubpart BB. </w:t>
      </w:r>
    </w:p>
    <w:p w:rsidR="00DD5A1D" w:rsidRDefault="00DD5A1D" w:rsidP="009766E4">
      <w:pPr>
        <w:widowControl/>
      </w:pPr>
    </w:p>
    <w:p w:rsidR="00DD5A1D" w:rsidRPr="00B45B26" w:rsidRDefault="00DD5A1D" w:rsidP="009766E4">
      <w:pPr>
        <w:widowControl/>
        <w:rPr>
          <w:i/>
        </w:rPr>
      </w:pPr>
      <w:r w:rsidRPr="00B45B26">
        <w:rPr>
          <w:bCs/>
          <w:i/>
        </w:rPr>
        <w:t xml:space="preserve">(b)  </w:t>
      </w:r>
      <w:r w:rsidR="00A62930">
        <w:rPr>
          <w:bCs/>
          <w:i/>
        </w:rPr>
        <w:t>Use</w:t>
      </w:r>
      <w:r w:rsidRPr="00B45B26">
        <w:rPr>
          <w:bCs/>
          <w:i/>
        </w:rPr>
        <w:t>/Users of the Data</w:t>
      </w:r>
    </w:p>
    <w:p w:rsidR="00DD5A1D" w:rsidRDefault="00DD5A1D" w:rsidP="009766E4">
      <w:pPr>
        <w:widowControl/>
      </w:pPr>
    </w:p>
    <w:p w:rsidR="00805ABB" w:rsidRDefault="00805ABB" w:rsidP="009766E4">
      <w:pPr>
        <w:widowControl/>
        <w:ind w:firstLine="720"/>
      </w:pPr>
      <w:r>
        <w:t xml:space="preserve">The control of PM and TRS from kraft pulp mills not only requires the installation of properly designed equipment, but also the operation and maintenance of that equipment. Emissions of PM and TRS from kraft pulp mills are the result of </w:t>
      </w:r>
      <w:r w:rsidR="00C71035">
        <w:t>operation of the affected sources</w:t>
      </w:r>
      <w:r>
        <w:t>.</w:t>
      </w:r>
    </w:p>
    <w:p w:rsidR="00805ABB" w:rsidRDefault="00805ABB" w:rsidP="009766E4">
      <w:pPr>
        <w:widowControl/>
        <w:ind w:firstLine="720"/>
      </w:pPr>
    </w:p>
    <w:p w:rsidR="000D6777" w:rsidRDefault="00805ABB" w:rsidP="009766E4">
      <w:pPr>
        <w:widowControl/>
        <w:ind w:firstLine="720"/>
      </w:pPr>
      <w:r>
        <w:t xml:space="preserve">The standards are achieved by the reduction of pollutant emissions using </w:t>
      </w:r>
      <w:r w:rsidR="00066D99">
        <w:t xml:space="preserve">process changes and </w:t>
      </w:r>
      <w:r>
        <w:t>control technology. The notifications required in the applicable regulations are used to inform the Agency or delegated authority when a source becomes subject to the requirements of the regulations. The reviewing authority may then inspect the source to ensure that the pollution control devices are properly installed and operated and the regulations are being met.</w:t>
      </w:r>
    </w:p>
    <w:p w:rsidR="000D6777" w:rsidRDefault="000D6777" w:rsidP="009766E4">
      <w:pPr>
        <w:widowControl/>
        <w:ind w:firstLine="720"/>
      </w:pPr>
    </w:p>
    <w:p w:rsidR="00FC41F1" w:rsidRDefault="00DD5A1D" w:rsidP="009766E4">
      <w:pPr>
        <w:widowControl/>
        <w:ind w:firstLine="720"/>
      </w:pPr>
      <w:r>
        <w:t>Performance test</w:t>
      </w:r>
      <w:r w:rsidR="00805ABB">
        <w:t xml:space="preserve"> report</w:t>
      </w:r>
      <w:r>
        <w:t xml:space="preserve">s are </w:t>
      </w:r>
      <w:r w:rsidR="00805ABB">
        <w:t>needed</w:t>
      </w:r>
      <w:r w:rsidR="006352D8">
        <w:t>,</w:t>
      </w:r>
      <w:r w:rsidR="00805ABB">
        <w:t xml:space="preserve"> as these are the Agency’s record of a source’s</w:t>
      </w:r>
      <w:r>
        <w:t xml:space="preserve"> initial </w:t>
      </w:r>
      <w:r w:rsidR="00066D99">
        <w:t xml:space="preserve">and ongoing </w:t>
      </w:r>
      <w:r>
        <w:t>capability to comply with the emission standard</w:t>
      </w:r>
      <w:r w:rsidR="005971B8">
        <w:t xml:space="preserve"> </w:t>
      </w:r>
      <w:r w:rsidR="000D6777">
        <w:t xml:space="preserve">and note the operating conditions under which compliance was achieved. </w:t>
      </w:r>
      <w:r w:rsidR="00FC41F1">
        <w:t xml:space="preserve">The </w:t>
      </w:r>
      <w:r w:rsidR="00805ABB">
        <w:t>periodic</w:t>
      </w:r>
      <w:r w:rsidR="00FC41F1">
        <w:t xml:space="preserve"> reports are used </w:t>
      </w:r>
      <w:r w:rsidR="00805ABB">
        <w:t xml:space="preserve">for problem identification, as a check on source operation and maintenance and for </w:t>
      </w:r>
      <w:r w:rsidR="00FC41F1">
        <w:t xml:space="preserve">compliance determinations. </w:t>
      </w:r>
      <w:r w:rsidR="000D6777">
        <w:t>The information generated by the monitoring, recordkeeping and reporting requirements described in this ICR is used by the Agency to ensure that mills affected by the NSPS continue to operate the</w:t>
      </w:r>
      <w:r w:rsidR="00066D99">
        <w:t>ir processes and</w:t>
      </w:r>
      <w:r w:rsidR="000D6777">
        <w:t xml:space="preserve"> control equipment used to achieve compliance with the NSPS.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rsidR="00DD5A1D" w:rsidRDefault="00DD5A1D" w:rsidP="009766E4">
      <w:pPr>
        <w:widowControl/>
      </w:pPr>
    </w:p>
    <w:p w:rsidR="00DD5A1D" w:rsidRDefault="00DD5A1D" w:rsidP="009766E4">
      <w:pPr>
        <w:keepNext/>
        <w:widowControl/>
      </w:pPr>
      <w:r>
        <w:rPr>
          <w:b/>
          <w:bCs/>
        </w:rPr>
        <w:lastRenderedPageBreak/>
        <w:t>3.  Non</w:t>
      </w:r>
      <w:r w:rsidR="009D086C">
        <w:rPr>
          <w:b/>
          <w:bCs/>
        </w:rPr>
        <w:t>-</w:t>
      </w:r>
      <w:r>
        <w:rPr>
          <w:b/>
          <w:bCs/>
        </w:rPr>
        <w:t>duplication, Consultations, and Other Collection Criteria</w:t>
      </w:r>
    </w:p>
    <w:p w:rsidR="00DD5A1D" w:rsidRDefault="00DD5A1D" w:rsidP="009766E4">
      <w:pPr>
        <w:keepNext/>
        <w:widowControl/>
      </w:pPr>
    </w:p>
    <w:p w:rsidR="00DD5A1D" w:rsidRPr="00B45B26" w:rsidRDefault="00DD5A1D">
      <w:pPr>
        <w:keepNext/>
        <w:widowControl/>
        <w:rPr>
          <w:i/>
        </w:rPr>
      </w:pPr>
      <w:r w:rsidRPr="00B45B26">
        <w:rPr>
          <w:bCs/>
          <w:i/>
        </w:rPr>
        <w:t>(a)  Non</w:t>
      </w:r>
      <w:r w:rsidR="009D086C" w:rsidRPr="00B45B26">
        <w:rPr>
          <w:bCs/>
          <w:i/>
        </w:rPr>
        <w:t>-</w:t>
      </w:r>
      <w:r w:rsidRPr="00B45B26">
        <w:rPr>
          <w:bCs/>
          <w:i/>
        </w:rPr>
        <w:t>duplication</w:t>
      </w:r>
    </w:p>
    <w:p w:rsidR="00DD5A1D" w:rsidRDefault="00DD5A1D">
      <w:pPr>
        <w:keepNext/>
        <w:widowControl/>
      </w:pPr>
    </w:p>
    <w:p w:rsidR="00DD5A1D" w:rsidRDefault="00DD5A1D">
      <w:pPr>
        <w:keepNext/>
        <w:widowControl/>
        <w:ind w:firstLine="720"/>
      </w:pPr>
      <w:r>
        <w:t>If the subject standards have not been delegated, the information is sent directly to the appropriate EPA regional office.</w:t>
      </w:r>
      <w:r w:rsidR="005971B8">
        <w:t xml:space="preserve"> </w:t>
      </w:r>
      <w:r>
        <w:t>Otherwise, the information is sent directly to the delegated state or local agency.</w:t>
      </w:r>
      <w:r w:rsidR="005971B8">
        <w:t xml:space="preserve"> </w:t>
      </w:r>
      <w:r>
        <w:t>If a state or local agency has adopted their own similar standards to implement the Federal standards, a copy of the report submitted to the state or local agency can be sent to the Administrator in lieu of the report required by the Federal standards.</w:t>
      </w:r>
      <w:r w:rsidR="005971B8">
        <w:t xml:space="preserve"> </w:t>
      </w:r>
      <w:r>
        <w:t>Therefore, no duplication exists.</w:t>
      </w:r>
    </w:p>
    <w:p w:rsidR="00DD5A1D" w:rsidRDefault="00DD5A1D" w:rsidP="009766E4">
      <w:pPr>
        <w:widowControl/>
      </w:pPr>
    </w:p>
    <w:p w:rsidR="00DD5A1D" w:rsidRPr="00B45B26" w:rsidRDefault="00DD5A1D" w:rsidP="009766E4">
      <w:pPr>
        <w:widowControl/>
        <w:rPr>
          <w:i/>
        </w:rPr>
      </w:pPr>
      <w:r w:rsidRPr="00B45B26">
        <w:rPr>
          <w:bCs/>
          <w:i/>
        </w:rPr>
        <w:t>(b)  Public Notice Required Prior to ICR Submission to OMB</w:t>
      </w:r>
    </w:p>
    <w:p w:rsidR="00DD5A1D" w:rsidRDefault="00ED1985" w:rsidP="009873CA">
      <w:pPr>
        <w:widowControl/>
        <w:spacing w:before="240"/>
        <w:ind w:firstLine="720"/>
      </w:pPr>
      <w:r>
        <w:t>T</w:t>
      </w:r>
      <w:r w:rsidR="007559E7">
        <w:t xml:space="preserve">he </w:t>
      </w:r>
      <w:r w:rsidR="006352D8">
        <w:t>preamble to the proposed NSPS review (78 FR 31316) provided public notice of this ICR</w:t>
      </w:r>
      <w:r w:rsidR="007559E7">
        <w:t xml:space="preserve">. </w:t>
      </w:r>
      <w:r w:rsidR="009873CA">
        <w:t xml:space="preserve">No comments specifically relating to the burden estimates in this ICR were received. However, the text of this ICR was updated following proposal of the NSPS review to reflect changes made to the final rule as a result of public comments. These changes did not impact the burden estimates. </w:t>
      </w:r>
    </w:p>
    <w:p w:rsidR="00DD5A1D" w:rsidRDefault="00DD5A1D" w:rsidP="009766E4">
      <w:pPr>
        <w:widowControl/>
      </w:pPr>
    </w:p>
    <w:p w:rsidR="00DD5A1D" w:rsidRPr="00B45B26" w:rsidRDefault="00DD5A1D" w:rsidP="009766E4">
      <w:pPr>
        <w:widowControl/>
        <w:rPr>
          <w:i/>
        </w:rPr>
      </w:pPr>
      <w:r w:rsidRPr="00B45B26">
        <w:rPr>
          <w:bCs/>
          <w:i/>
        </w:rPr>
        <w:t>(c)  Consultations</w:t>
      </w:r>
    </w:p>
    <w:p w:rsidR="00DD5A1D" w:rsidRDefault="00DD5A1D" w:rsidP="009766E4">
      <w:pPr>
        <w:widowControl/>
      </w:pPr>
    </w:p>
    <w:p w:rsidR="00DD5A1D" w:rsidRDefault="002E165B" w:rsidP="009766E4">
      <w:pPr>
        <w:widowControl/>
        <w:ind w:firstLine="720"/>
        <w:rPr>
          <w:bCs/>
        </w:rPr>
      </w:pPr>
      <w:r>
        <w:t xml:space="preserve">During development of the NSPS revisions, the EPA held meetings and conference calls with representatives </w:t>
      </w:r>
      <w:r w:rsidR="00367D1C">
        <w:t>of the kraft pulp mill industry including the</w:t>
      </w:r>
      <w:r>
        <w:t xml:space="preserve"> American Fores</w:t>
      </w:r>
      <w:r w:rsidR="00367D1C">
        <w:t>t and Paper Association (AF&amp;PA)</w:t>
      </w:r>
      <w:r>
        <w:t xml:space="preserve"> and National Council for Air and Stream Improvement (NCASI). </w:t>
      </w:r>
      <w:r w:rsidR="00367D1C">
        <w:t xml:space="preserve">Projections of the number of new, modified and reconstructed affected sources expected to be subject to the new Subpart </w:t>
      </w:r>
      <w:proofErr w:type="spellStart"/>
      <w:r w:rsidR="00367D1C">
        <w:t>BBa</w:t>
      </w:r>
      <w:proofErr w:type="spellEnd"/>
      <w:r w:rsidR="00367D1C">
        <w:t xml:space="preserve"> were discussed with the industry representatives prior to development of this ICR. </w:t>
      </w:r>
    </w:p>
    <w:p w:rsidR="00DD5A1D" w:rsidRDefault="00DD5A1D" w:rsidP="009766E4">
      <w:pPr>
        <w:widowControl/>
        <w:pBdr>
          <w:top w:val="single" w:sz="6" w:space="0" w:color="FFFFFF"/>
          <w:left w:val="single" w:sz="6" w:space="0" w:color="FFFFFF"/>
          <w:bottom w:val="single" w:sz="6" w:space="0" w:color="FFFFFF"/>
          <w:right w:val="single" w:sz="6" w:space="0" w:color="FFFFFF"/>
        </w:pBdr>
        <w:ind w:firstLine="720"/>
      </w:pPr>
    </w:p>
    <w:p w:rsidR="00DD5A1D" w:rsidRPr="00B45B26" w:rsidRDefault="00DD5A1D" w:rsidP="009766E4">
      <w:pPr>
        <w:widowControl/>
        <w:rPr>
          <w:i/>
        </w:rPr>
      </w:pPr>
      <w:r w:rsidRPr="00B45B26">
        <w:rPr>
          <w:bCs/>
          <w:i/>
        </w:rPr>
        <w:t>(d)  Effects of Less Frequent Collection</w:t>
      </w:r>
    </w:p>
    <w:p w:rsidR="00DD5A1D" w:rsidRDefault="00DD5A1D" w:rsidP="009766E4">
      <w:pPr>
        <w:widowControl/>
      </w:pPr>
    </w:p>
    <w:p w:rsidR="00DD5A1D" w:rsidRDefault="00DD5A1D" w:rsidP="009766E4">
      <w:pPr>
        <w:widowControl/>
        <w:ind w:firstLine="720"/>
      </w:pPr>
      <w:r>
        <w:t>Less frequent information collection would decrease the margin of assurance that facilities are continuing to meet the standards.</w:t>
      </w:r>
      <w:r w:rsidR="005971B8">
        <w:t xml:space="preserve"> </w:t>
      </w:r>
      <w:r>
        <w:t>Requirements for information gathering and recordkeeping are useful techniques to ensure that good operation and maintenance practices are applied and emission limitations are met.</w:t>
      </w:r>
      <w:r w:rsidR="005971B8">
        <w:t xml:space="preserve"> </w:t>
      </w:r>
      <w:r>
        <w:t xml:space="preserve">If the information required by these standards was collected less frequently, the </w:t>
      </w:r>
      <w:r w:rsidR="002E165B">
        <w:t>likelihood of detecting poor</w:t>
      </w:r>
      <w:r>
        <w:t xml:space="preserve"> operation and maintenance of control equipment and </w:t>
      </w:r>
      <w:r w:rsidR="002E165B">
        <w:t>noncompliance</w:t>
      </w:r>
      <w:r>
        <w:t xml:space="preserve"> would </w:t>
      </w:r>
      <w:r w:rsidR="002E165B">
        <w:t>decrease</w:t>
      </w:r>
      <w:r>
        <w:t>.</w:t>
      </w:r>
    </w:p>
    <w:p w:rsidR="00DD5A1D" w:rsidRDefault="00DD5A1D" w:rsidP="009766E4">
      <w:pPr>
        <w:widowControl/>
      </w:pPr>
    </w:p>
    <w:p w:rsidR="00DD5A1D" w:rsidRPr="00B45B26" w:rsidRDefault="00DD5A1D" w:rsidP="009766E4">
      <w:pPr>
        <w:widowControl/>
        <w:rPr>
          <w:i/>
        </w:rPr>
      </w:pPr>
      <w:r w:rsidRPr="00B45B26">
        <w:rPr>
          <w:bCs/>
          <w:i/>
        </w:rPr>
        <w:t>(e)  General Guidelines</w:t>
      </w:r>
    </w:p>
    <w:p w:rsidR="00DD5A1D" w:rsidRDefault="00DD5A1D" w:rsidP="009766E4">
      <w:pPr>
        <w:widowControl/>
      </w:pPr>
    </w:p>
    <w:p w:rsidR="00DD5A1D" w:rsidRDefault="002E165B" w:rsidP="009766E4">
      <w:pPr>
        <w:widowControl/>
        <w:ind w:firstLine="720"/>
      </w:pPr>
      <w:r>
        <w:t>None of t</w:t>
      </w:r>
      <w:r w:rsidR="00DD5A1D">
        <w:t xml:space="preserve">hese reporting or recordkeeping requirements violate any of the regulations </w:t>
      </w:r>
      <w:r w:rsidR="00C71035">
        <w:t>established</w:t>
      </w:r>
      <w:r w:rsidR="00DD5A1D">
        <w:t xml:space="preserve"> by </w:t>
      </w:r>
      <w:r>
        <w:t>the Office of Management and Budget (</w:t>
      </w:r>
      <w:r w:rsidR="00DD5A1D">
        <w:t>OMB</w:t>
      </w:r>
      <w:r>
        <w:t>) at</w:t>
      </w:r>
      <w:r w:rsidR="00DD5A1D">
        <w:t xml:space="preserve"> 5 CFR 1320.5.</w:t>
      </w:r>
    </w:p>
    <w:p w:rsidR="00DD5A1D" w:rsidRDefault="00DD5A1D" w:rsidP="009766E4">
      <w:pPr>
        <w:widowControl/>
      </w:pPr>
      <w:r>
        <w:t xml:space="preserve"> </w:t>
      </w:r>
      <w:r>
        <w:tab/>
      </w:r>
    </w:p>
    <w:p w:rsidR="00DD5A1D" w:rsidRPr="00B45B26" w:rsidRDefault="00DD5A1D" w:rsidP="009766E4">
      <w:pPr>
        <w:widowControl/>
        <w:rPr>
          <w:bCs/>
          <w:i/>
        </w:rPr>
      </w:pPr>
      <w:r w:rsidRPr="00B45B26">
        <w:rPr>
          <w:bCs/>
          <w:i/>
        </w:rPr>
        <w:t>(f)  Confidentiality</w:t>
      </w:r>
    </w:p>
    <w:p w:rsidR="00DD5A1D" w:rsidRDefault="00DD5A1D" w:rsidP="009766E4">
      <w:pPr>
        <w:widowControl/>
        <w:ind w:firstLine="720"/>
      </w:pPr>
    </w:p>
    <w:p w:rsidR="00DD5A1D" w:rsidRPr="002E165B" w:rsidRDefault="002E165B" w:rsidP="009766E4">
      <w:pPr>
        <w:widowControl/>
        <w:ind w:firstLine="720"/>
      </w:pPr>
      <w:r>
        <w:t xml:space="preserve">Some respondents may consider process data to be confidential. </w:t>
      </w:r>
      <w:r w:rsidR="00DD5A1D">
        <w:t xml:space="preserve">Any </w:t>
      </w:r>
      <w:r>
        <w:t xml:space="preserve">such </w:t>
      </w:r>
      <w:r w:rsidR="00DD5A1D">
        <w:t xml:space="preserve">information submitted to the Agency for which a claim of confidentiality is made will be safeguarded </w:t>
      </w:r>
      <w:r w:rsidR="00DD5A1D">
        <w:lastRenderedPageBreak/>
        <w:t xml:space="preserve">according to the Agency policies set forth in </w:t>
      </w:r>
      <w:r w:rsidR="00157975">
        <w:t>T</w:t>
      </w:r>
      <w:r w:rsidR="00DD5A1D">
        <w:t xml:space="preserve">itle 40, </w:t>
      </w:r>
      <w:r w:rsidR="00157975">
        <w:t>C</w:t>
      </w:r>
      <w:r w:rsidR="00DD5A1D">
        <w:t xml:space="preserve">hapter 1, </w:t>
      </w:r>
      <w:r w:rsidR="00157975">
        <w:t>P</w:t>
      </w:r>
      <w:r w:rsidR="00DD5A1D">
        <w:t xml:space="preserve">art 2, </w:t>
      </w:r>
      <w:r w:rsidR="00157975">
        <w:t>S</w:t>
      </w:r>
      <w:r w:rsidR="00DD5A1D">
        <w:t xml:space="preserve">ubpart B - Confidentiality of Business Information (CBI) (see 40 CFR 2; 41 </w:t>
      </w:r>
      <w:r w:rsidR="00DD5A1D" w:rsidRPr="002E165B">
        <w:t>FR 36902, September 1, 1976; amended by 43</w:t>
      </w:r>
      <w:r w:rsidR="00486FC4">
        <w:t> </w:t>
      </w:r>
      <w:r w:rsidR="00DD5A1D" w:rsidRPr="002E165B">
        <w:t>FR 40000, September 8, 1978; 43 FR 42251, September 20, 1978; 44 FR 17674, March 23, 1979).</w:t>
      </w:r>
    </w:p>
    <w:p w:rsidR="00DD5A1D" w:rsidRPr="002E165B" w:rsidRDefault="00DD5A1D" w:rsidP="009766E4">
      <w:pPr>
        <w:widowControl/>
      </w:pPr>
    </w:p>
    <w:p w:rsidR="00DD5A1D" w:rsidRPr="00B45B26" w:rsidRDefault="00DD5A1D" w:rsidP="009766E4">
      <w:pPr>
        <w:widowControl/>
        <w:rPr>
          <w:i/>
        </w:rPr>
      </w:pPr>
      <w:r w:rsidRPr="00B45B26">
        <w:rPr>
          <w:bCs/>
          <w:i/>
        </w:rPr>
        <w:t>(g)  Sensitive Questions</w:t>
      </w:r>
    </w:p>
    <w:p w:rsidR="00DD5A1D" w:rsidRDefault="00DD5A1D" w:rsidP="009766E4">
      <w:pPr>
        <w:widowControl/>
        <w:ind w:firstLine="720"/>
      </w:pPr>
    </w:p>
    <w:p w:rsidR="00DD5A1D" w:rsidRDefault="002E165B" w:rsidP="009766E4">
      <w:pPr>
        <w:widowControl/>
        <w:ind w:firstLine="720"/>
      </w:pPr>
      <w:r>
        <w:t>None of t</w:t>
      </w:r>
      <w:r w:rsidR="00DD5A1D">
        <w:t xml:space="preserve">he reporting or recordkeeping requirements </w:t>
      </w:r>
      <w:r>
        <w:t>contain</w:t>
      </w:r>
      <w:r w:rsidR="00DD5A1D">
        <w:t xml:space="preserve"> sensitive questions.</w:t>
      </w:r>
    </w:p>
    <w:p w:rsidR="00DD5A1D" w:rsidRDefault="00DD5A1D" w:rsidP="009766E4">
      <w:pPr>
        <w:widowControl/>
        <w:ind w:firstLine="720"/>
      </w:pPr>
    </w:p>
    <w:p w:rsidR="00DD5A1D" w:rsidRDefault="00DD5A1D" w:rsidP="009766E4">
      <w:pPr>
        <w:keepNext/>
        <w:widowControl/>
        <w:rPr>
          <w:b/>
          <w:bCs/>
        </w:rPr>
      </w:pPr>
      <w:r>
        <w:rPr>
          <w:b/>
          <w:bCs/>
        </w:rPr>
        <w:t>4.  The Respondents and the Information Requested</w:t>
      </w:r>
    </w:p>
    <w:p w:rsidR="00DD5A1D" w:rsidRDefault="00DD5A1D" w:rsidP="009766E4">
      <w:pPr>
        <w:keepNext/>
        <w:widowControl/>
        <w:rPr>
          <w:b/>
          <w:bCs/>
        </w:rPr>
      </w:pPr>
    </w:p>
    <w:p w:rsidR="00DD5A1D" w:rsidRPr="00B45B26" w:rsidRDefault="00DD5A1D">
      <w:pPr>
        <w:keepNext/>
        <w:widowControl/>
        <w:rPr>
          <w:bCs/>
          <w:i/>
        </w:rPr>
      </w:pPr>
      <w:r w:rsidRPr="00B45B26">
        <w:rPr>
          <w:bCs/>
          <w:i/>
        </w:rPr>
        <w:t>(a)  Respondents/</w:t>
      </w:r>
      <w:r w:rsidR="00BE64C7">
        <w:rPr>
          <w:bCs/>
          <w:i/>
        </w:rPr>
        <w:t>NAICS</w:t>
      </w:r>
      <w:r w:rsidRPr="00B45B26">
        <w:rPr>
          <w:bCs/>
          <w:i/>
        </w:rPr>
        <w:t xml:space="preserve"> Codes</w:t>
      </w:r>
    </w:p>
    <w:p w:rsidR="00DD5A1D" w:rsidRDefault="00DD5A1D">
      <w:pPr>
        <w:keepNext/>
        <w:widowControl/>
      </w:pPr>
    </w:p>
    <w:p w:rsidR="00DD5A1D" w:rsidRDefault="00DD5A1D">
      <w:pPr>
        <w:keepNext/>
        <w:widowControl/>
        <w:ind w:firstLine="720"/>
      </w:pPr>
      <w:r>
        <w:t xml:space="preserve">The respondents to the recordkeeping and reporting requirements </w:t>
      </w:r>
      <w:r w:rsidR="00FC41F1">
        <w:t xml:space="preserve">are </w:t>
      </w:r>
      <w:r>
        <w:t>kraft pulp mills.</w:t>
      </w:r>
      <w:r w:rsidR="005971B8">
        <w:t xml:space="preserve"> </w:t>
      </w:r>
      <w:r>
        <w:t xml:space="preserve">The </w:t>
      </w:r>
      <w:r w:rsidR="00BE64C7">
        <w:t xml:space="preserve">North American </w:t>
      </w:r>
      <w:r>
        <w:t>Industr</w:t>
      </w:r>
      <w:r w:rsidR="00BE64C7">
        <w:t>y</w:t>
      </w:r>
      <w:r>
        <w:t xml:space="preserve"> Classification </w:t>
      </w:r>
      <w:r w:rsidR="00BE64C7">
        <w:t xml:space="preserve">System </w:t>
      </w:r>
      <w:r>
        <w:t>(</w:t>
      </w:r>
      <w:r w:rsidR="00BE64C7">
        <w:t>NAICS</w:t>
      </w:r>
      <w:r>
        <w:t xml:space="preserve">) code for respondents affected by the standards is </w:t>
      </w:r>
      <w:r w:rsidR="0039661A">
        <w:t>3221—Pulp, Paper, and Paperboard Mills</w:t>
      </w:r>
      <w:r>
        <w:t>.</w:t>
      </w:r>
    </w:p>
    <w:p w:rsidR="00DD5A1D" w:rsidRDefault="00DD5A1D" w:rsidP="009766E4">
      <w:pPr>
        <w:widowControl/>
        <w:ind w:firstLine="720"/>
      </w:pPr>
    </w:p>
    <w:p w:rsidR="00DD5A1D" w:rsidRPr="00B45B26" w:rsidRDefault="00DD5A1D" w:rsidP="009766E4">
      <w:pPr>
        <w:widowControl/>
        <w:rPr>
          <w:i/>
        </w:rPr>
      </w:pPr>
      <w:r w:rsidRPr="00B45B26">
        <w:rPr>
          <w:bCs/>
          <w:i/>
        </w:rPr>
        <w:t>(b)  Information Requested</w:t>
      </w:r>
    </w:p>
    <w:p w:rsidR="00DD5A1D" w:rsidRDefault="00DD5A1D" w:rsidP="009766E4">
      <w:pPr>
        <w:widowControl/>
      </w:pPr>
    </w:p>
    <w:p w:rsidR="00DD5A1D" w:rsidRDefault="00B45B26" w:rsidP="009766E4">
      <w:pPr>
        <w:widowControl/>
        <w:ind w:firstLine="720"/>
      </w:pPr>
      <w:r w:rsidRPr="000D6777">
        <w:rPr>
          <w:bCs/>
          <w:u w:val="single"/>
        </w:rPr>
        <w:t>(</w:t>
      </w:r>
      <w:r w:rsidR="00DD5A1D" w:rsidRPr="000D6777">
        <w:rPr>
          <w:bCs/>
          <w:u w:val="single"/>
        </w:rPr>
        <w:t>i)  Data Items</w:t>
      </w:r>
      <w:r w:rsidR="0039661A">
        <w:rPr>
          <w:bCs/>
          <w:u w:val="single"/>
        </w:rPr>
        <w:t>, Including Recordkeeping Requirements</w:t>
      </w:r>
      <w:r w:rsidRPr="000D6777">
        <w:rPr>
          <w:bCs/>
        </w:rPr>
        <w:t xml:space="preserve">.  </w:t>
      </w:r>
      <w:r w:rsidR="0039661A">
        <w:t>All data i</w:t>
      </w:r>
      <w:r w:rsidR="00084E62">
        <w:t>n this ICR that are</w:t>
      </w:r>
      <w:r w:rsidR="00DD5A1D">
        <w:t xml:space="preserve"> recorded </w:t>
      </w:r>
      <w:r w:rsidR="0039661A">
        <w:t>and/</w:t>
      </w:r>
      <w:r w:rsidR="00DD5A1D">
        <w:t xml:space="preserve">or reported </w:t>
      </w:r>
      <w:r w:rsidR="00084E62">
        <w:t>are</w:t>
      </w:r>
      <w:r w:rsidR="00DD5A1D">
        <w:t xml:space="preserve"> required by</w:t>
      </w:r>
      <w:r w:rsidR="0039661A">
        <w:t xml:space="preserve"> the</w:t>
      </w:r>
      <w:r w:rsidR="00DD5A1D">
        <w:t xml:space="preserve"> NSPS </w:t>
      </w:r>
      <w:r w:rsidR="0039661A">
        <w:t xml:space="preserve">Review </w:t>
      </w:r>
      <w:r w:rsidR="00DD5A1D">
        <w:t xml:space="preserve">for Kraft Pulp Mills (40 CFR </w:t>
      </w:r>
      <w:r w:rsidR="00157975">
        <w:t>P</w:t>
      </w:r>
      <w:r w:rsidR="00DD5A1D">
        <w:t xml:space="preserve">art 60, </w:t>
      </w:r>
      <w:r w:rsidR="00157975">
        <w:t>S</w:t>
      </w:r>
      <w:r w:rsidR="00DD5A1D">
        <w:t xml:space="preserve">ubpart </w:t>
      </w:r>
      <w:proofErr w:type="spellStart"/>
      <w:r w:rsidR="00DD5A1D">
        <w:t>BB</w:t>
      </w:r>
      <w:r w:rsidR="0039661A">
        <w:t>a</w:t>
      </w:r>
      <w:proofErr w:type="spellEnd"/>
      <w:r w:rsidR="00DD5A1D">
        <w:t>).</w:t>
      </w:r>
    </w:p>
    <w:p w:rsidR="00DD5A1D" w:rsidRDefault="00DD5A1D" w:rsidP="009766E4">
      <w:pPr>
        <w:widowControl/>
        <w:ind w:firstLine="720"/>
      </w:pPr>
    </w:p>
    <w:p w:rsidR="00DD5A1D" w:rsidRDefault="00DD5A1D" w:rsidP="009766E4">
      <w:pPr>
        <w:widowControl/>
        <w:ind w:firstLine="720"/>
      </w:pPr>
      <w:r>
        <w:t>A source must make the following reports:</w:t>
      </w:r>
    </w:p>
    <w:p w:rsidR="00DD5A1D" w:rsidRDefault="00DD5A1D" w:rsidP="009766E4">
      <w:pPr>
        <w:widowControl/>
        <w:ind w:firstLine="720"/>
      </w:pPr>
    </w:p>
    <w:tbl>
      <w:tblPr>
        <w:tblW w:w="5000" w:type="pct"/>
        <w:jc w:val="center"/>
        <w:tblCellMar>
          <w:left w:w="120" w:type="dxa"/>
          <w:right w:w="120" w:type="dxa"/>
        </w:tblCellMar>
        <w:tblLook w:val="0000"/>
      </w:tblPr>
      <w:tblGrid>
        <w:gridCol w:w="6601"/>
        <w:gridCol w:w="2999"/>
      </w:tblGrid>
      <w:tr w:rsidR="00DD5A1D" w:rsidTr="001541D0">
        <w:trPr>
          <w:cantSplit/>
          <w:tblHeader/>
          <w:jc w:val="center"/>
        </w:trPr>
        <w:tc>
          <w:tcPr>
            <w:tcW w:w="5000" w:type="pct"/>
            <w:gridSpan w:val="2"/>
            <w:tcBorders>
              <w:top w:val="single" w:sz="8" w:space="0" w:color="000000"/>
              <w:left w:val="single" w:sz="8" w:space="0" w:color="000000"/>
              <w:bottom w:val="single" w:sz="8" w:space="0" w:color="000000"/>
              <w:right w:val="single" w:sz="8" w:space="0" w:color="000000"/>
            </w:tcBorders>
            <w:vAlign w:val="center"/>
          </w:tcPr>
          <w:p w:rsidR="00DD5A1D" w:rsidRDefault="00DD5A1D" w:rsidP="009766E4">
            <w:pPr>
              <w:widowControl/>
              <w:spacing w:after="58"/>
              <w:jc w:val="center"/>
              <w:rPr>
                <w:b/>
              </w:rPr>
            </w:pPr>
            <w:r>
              <w:rPr>
                <w:b/>
              </w:rPr>
              <w:t>Notifications</w:t>
            </w:r>
            <w:r w:rsidR="00B04A62">
              <w:rPr>
                <w:b/>
              </w:rPr>
              <w:t xml:space="preserve"> and Reports for 40 CFR </w:t>
            </w:r>
            <w:r w:rsidR="00157975">
              <w:rPr>
                <w:b/>
              </w:rPr>
              <w:t>P</w:t>
            </w:r>
            <w:r w:rsidR="00B04A62">
              <w:rPr>
                <w:b/>
              </w:rPr>
              <w:t xml:space="preserve">art 60, </w:t>
            </w:r>
            <w:r w:rsidR="00157975">
              <w:rPr>
                <w:b/>
              </w:rPr>
              <w:t>S</w:t>
            </w:r>
            <w:r w:rsidR="00B04A62">
              <w:rPr>
                <w:b/>
              </w:rPr>
              <w:t xml:space="preserve">ubpart </w:t>
            </w:r>
            <w:proofErr w:type="spellStart"/>
            <w:r w:rsidR="00B04A62">
              <w:rPr>
                <w:b/>
              </w:rPr>
              <w:t>BBa</w:t>
            </w:r>
            <w:proofErr w:type="spellEnd"/>
          </w:p>
        </w:tc>
      </w:tr>
      <w:tr w:rsidR="00DD5A1D" w:rsidTr="00830567">
        <w:trPr>
          <w:cantSplit/>
          <w:jc w:val="center"/>
        </w:trPr>
        <w:tc>
          <w:tcPr>
            <w:tcW w:w="3438" w:type="pct"/>
            <w:tcBorders>
              <w:top w:val="single" w:sz="8" w:space="0" w:color="000000"/>
              <w:left w:val="single" w:sz="7" w:space="0" w:color="000000"/>
              <w:bottom w:val="single" w:sz="7" w:space="0" w:color="000000"/>
              <w:right w:val="single" w:sz="7" w:space="0" w:color="000000"/>
            </w:tcBorders>
            <w:vAlign w:val="center"/>
          </w:tcPr>
          <w:p w:rsidR="00DD5A1D" w:rsidRDefault="00DD5A1D" w:rsidP="005E146D">
            <w:pPr>
              <w:widowControl/>
              <w:spacing w:after="58"/>
            </w:pPr>
            <w:r>
              <w:t>Notification of construction or reconstruction</w:t>
            </w:r>
          </w:p>
        </w:tc>
        <w:tc>
          <w:tcPr>
            <w:tcW w:w="1562" w:type="pct"/>
            <w:tcBorders>
              <w:top w:val="single" w:sz="8" w:space="0" w:color="000000"/>
              <w:left w:val="single" w:sz="7" w:space="0" w:color="000000"/>
              <w:bottom w:val="single" w:sz="7" w:space="0" w:color="000000"/>
              <w:right w:val="single" w:sz="7" w:space="0" w:color="000000"/>
            </w:tcBorders>
            <w:vAlign w:val="center"/>
          </w:tcPr>
          <w:p w:rsidR="00DD5A1D" w:rsidRDefault="00DD5A1D" w:rsidP="005E146D">
            <w:pPr>
              <w:widowControl/>
              <w:spacing w:after="58"/>
            </w:pPr>
            <w:r>
              <w:t>60.7(a)(1), 60.15</w:t>
            </w:r>
          </w:p>
        </w:tc>
      </w:tr>
      <w:tr w:rsidR="00164C85" w:rsidTr="00830567">
        <w:trPr>
          <w:cantSplit/>
          <w:jc w:val="center"/>
        </w:trPr>
        <w:tc>
          <w:tcPr>
            <w:tcW w:w="3438" w:type="pct"/>
            <w:tcBorders>
              <w:top w:val="single" w:sz="8"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Notification of initial performance test</w:t>
            </w:r>
          </w:p>
        </w:tc>
        <w:tc>
          <w:tcPr>
            <w:tcW w:w="1562" w:type="pct"/>
            <w:tcBorders>
              <w:top w:val="single" w:sz="8"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60.8(d)</w:t>
            </w:r>
          </w:p>
        </w:tc>
      </w:tr>
      <w:tr w:rsidR="00DD5A1D" w:rsidTr="00830567">
        <w:trPr>
          <w:cantSplit/>
          <w:jc w:val="center"/>
        </w:trPr>
        <w:tc>
          <w:tcPr>
            <w:tcW w:w="3438" w:type="pct"/>
            <w:tcBorders>
              <w:top w:val="single" w:sz="8" w:space="0" w:color="000000"/>
              <w:left w:val="single" w:sz="7" w:space="0" w:color="000000"/>
              <w:bottom w:val="single" w:sz="7" w:space="0" w:color="000000"/>
              <w:right w:val="single" w:sz="7" w:space="0" w:color="000000"/>
            </w:tcBorders>
            <w:vAlign w:val="center"/>
          </w:tcPr>
          <w:p w:rsidR="00DD5A1D" w:rsidRDefault="00DD5A1D" w:rsidP="005E146D">
            <w:pPr>
              <w:widowControl/>
              <w:spacing w:after="58"/>
            </w:pPr>
            <w:r>
              <w:t>Notification of actual startup</w:t>
            </w:r>
          </w:p>
        </w:tc>
        <w:tc>
          <w:tcPr>
            <w:tcW w:w="1562" w:type="pct"/>
            <w:tcBorders>
              <w:top w:val="single" w:sz="8" w:space="0" w:color="000000"/>
              <w:left w:val="single" w:sz="7" w:space="0" w:color="000000"/>
              <w:bottom w:val="single" w:sz="7" w:space="0" w:color="000000"/>
              <w:right w:val="single" w:sz="7" w:space="0" w:color="000000"/>
            </w:tcBorders>
            <w:vAlign w:val="center"/>
          </w:tcPr>
          <w:p w:rsidR="00DD5A1D" w:rsidRDefault="00DD5A1D" w:rsidP="005E146D">
            <w:pPr>
              <w:widowControl/>
              <w:spacing w:after="58"/>
            </w:pPr>
            <w:r>
              <w:t>60.7(a)(3)</w:t>
            </w:r>
          </w:p>
        </w:tc>
      </w:tr>
      <w:tr w:rsidR="00164C85" w:rsidTr="00830567">
        <w:trPr>
          <w:cantSplit/>
          <w:jc w:val="center"/>
        </w:trPr>
        <w:tc>
          <w:tcPr>
            <w:tcW w:w="3438" w:type="pct"/>
            <w:tcBorders>
              <w:top w:val="single" w:sz="7"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Notification of demonstration of continuous monitoring system</w:t>
            </w:r>
            <w:r w:rsidR="00E363AB">
              <w:t xml:space="preserve"> (CMS)</w:t>
            </w:r>
          </w:p>
        </w:tc>
        <w:tc>
          <w:tcPr>
            <w:tcW w:w="1562" w:type="pct"/>
            <w:tcBorders>
              <w:top w:val="single" w:sz="7"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60.7(a)(5)</w:t>
            </w:r>
          </w:p>
        </w:tc>
      </w:tr>
      <w:tr w:rsidR="00164C85" w:rsidTr="00830567">
        <w:trPr>
          <w:cantSplit/>
          <w:jc w:val="center"/>
        </w:trPr>
        <w:tc>
          <w:tcPr>
            <w:tcW w:w="3438" w:type="pct"/>
            <w:tcBorders>
              <w:top w:val="single" w:sz="7"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Notification of physical or operational changes</w:t>
            </w:r>
          </w:p>
        </w:tc>
        <w:tc>
          <w:tcPr>
            <w:tcW w:w="1562" w:type="pct"/>
            <w:tcBorders>
              <w:top w:val="single" w:sz="7"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60.7(a)(4)</w:t>
            </w:r>
          </w:p>
        </w:tc>
      </w:tr>
      <w:tr w:rsidR="00164C85" w:rsidTr="00830567">
        <w:trPr>
          <w:cantSplit/>
          <w:jc w:val="center"/>
        </w:trPr>
        <w:tc>
          <w:tcPr>
            <w:tcW w:w="3438" w:type="pct"/>
            <w:tcBorders>
              <w:top w:val="single" w:sz="7"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Notification of opacity or visible emissions observations</w:t>
            </w:r>
          </w:p>
        </w:tc>
        <w:tc>
          <w:tcPr>
            <w:tcW w:w="1562" w:type="pct"/>
            <w:tcBorders>
              <w:top w:val="single" w:sz="7"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60.7(a)(6)</w:t>
            </w:r>
          </w:p>
        </w:tc>
      </w:tr>
      <w:tr w:rsidR="00164C85" w:rsidTr="00830567">
        <w:trPr>
          <w:cantSplit/>
          <w:jc w:val="center"/>
        </w:trPr>
        <w:tc>
          <w:tcPr>
            <w:tcW w:w="3438" w:type="pct"/>
            <w:tcBorders>
              <w:top w:val="single" w:sz="7" w:space="0" w:color="000000"/>
              <w:left w:val="single" w:sz="7" w:space="0" w:color="000000"/>
              <w:bottom w:val="single" w:sz="7" w:space="0" w:color="000000"/>
              <w:right w:val="single" w:sz="7" w:space="0" w:color="000000"/>
            </w:tcBorders>
            <w:vAlign w:val="center"/>
          </w:tcPr>
          <w:p w:rsidR="00164C85" w:rsidRDefault="00B04A62" w:rsidP="005E146D">
            <w:pPr>
              <w:widowControl/>
              <w:spacing w:after="58"/>
            </w:pPr>
            <w:r>
              <w:t>Report of</w:t>
            </w:r>
            <w:r w:rsidR="00164C85">
              <w:t xml:space="preserve"> performance test results</w:t>
            </w:r>
          </w:p>
        </w:tc>
        <w:tc>
          <w:tcPr>
            <w:tcW w:w="1562" w:type="pct"/>
            <w:tcBorders>
              <w:top w:val="single" w:sz="7" w:space="0" w:color="000000"/>
              <w:left w:val="single" w:sz="7" w:space="0" w:color="000000"/>
              <w:bottom w:val="single" w:sz="7" w:space="0" w:color="000000"/>
              <w:right w:val="single" w:sz="7" w:space="0" w:color="000000"/>
            </w:tcBorders>
            <w:vAlign w:val="center"/>
          </w:tcPr>
          <w:p w:rsidR="00164C85" w:rsidRDefault="00164C85" w:rsidP="005E146D">
            <w:pPr>
              <w:widowControl/>
              <w:spacing w:after="58"/>
            </w:pPr>
            <w:r>
              <w:t>60.8(a)</w:t>
            </w:r>
            <w:r w:rsidR="00B04A62">
              <w:t>, 60.28</w:t>
            </w:r>
            <w:r w:rsidR="00753538">
              <w:t>8</w:t>
            </w:r>
            <w:r w:rsidR="00B04A62">
              <w:t>a(</w:t>
            </w:r>
            <w:r w:rsidR="00753538">
              <w:t>b</w:t>
            </w:r>
            <w:r w:rsidR="00B04A62">
              <w:t>)</w:t>
            </w:r>
          </w:p>
        </w:tc>
      </w:tr>
      <w:tr w:rsidR="00E363AB" w:rsidTr="00830567">
        <w:trPr>
          <w:cantSplit/>
          <w:jc w:val="center"/>
        </w:trPr>
        <w:tc>
          <w:tcPr>
            <w:tcW w:w="3438" w:type="pct"/>
            <w:tcBorders>
              <w:top w:val="single" w:sz="7" w:space="0" w:color="000000"/>
              <w:left w:val="single" w:sz="7" w:space="0" w:color="000000"/>
              <w:bottom w:val="single" w:sz="7" w:space="0" w:color="000000"/>
              <w:right w:val="single" w:sz="7" w:space="0" w:color="000000"/>
            </w:tcBorders>
            <w:vAlign w:val="center"/>
          </w:tcPr>
          <w:p w:rsidR="00E363AB" w:rsidRDefault="00E363AB" w:rsidP="005E146D">
            <w:pPr>
              <w:widowControl/>
              <w:spacing w:after="58"/>
            </w:pPr>
            <w:r>
              <w:t>Report of continuous emissions monitoring system (CEMS) relative accuracy test audit (RATA) data</w:t>
            </w:r>
            <w:r w:rsidR="00B40994">
              <w:t xml:space="preserve"> </w:t>
            </w:r>
            <w:r w:rsidR="00B40994" w:rsidRPr="005E146D">
              <w:rPr>
                <w:vertAlign w:val="superscript"/>
              </w:rPr>
              <w:t>a</w:t>
            </w:r>
          </w:p>
        </w:tc>
        <w:tc>
          <w:tcPr>
            <w:tcW w:w="1562" w:type="pct"/>
            <w:tcBorders>
              <w:top w:val="single" w:sz="7" w:space="0" w:color="000000"/>
              <w:left w:val="single" w:sz="7" w:space="0" w:color="000000"/>
              <w:bottom w:val="single" w:sz="7" w:space="0" w:color="000000"/>
              <w:right w:val="single" w:sz="7" w:space="0" w:color="000000"/>
            </w:tcBorders>
            <w:vAlign w:val="center"/>
          </w:tcPr>
          <w:p w:rsidR="00E363AB" w:rsidRDefault="00CD1A82" w:rsidP="005E146D">
            <w:pPr>
              <w:widowControl/>
              <w:spacing w:after="58"/>
            </w:pPr>
            <w:r>
              <w:t>60.</w:t>
            </w:r>
            <w:r w:rsidR="00D61C29">
              <w:t>13</w:t>
            </w:r>
            <w:r>
              <w:t>(</w:t>
            </w:r>
            <w:r w:rsidR="001A0221">
              <w:t>c</w:t>
            </w:r>
            <w:r>
              <w:t>), 60.288a(c)</w:t>
            </w:r>
          </w:p>
        </w:tc>
      </w:tr>
      <w:tr w:rsidR="00DD5A1D" w:rsidTr="00830567">
        <w:trPr>
          <w:cantSplit/>
          <w:jc w:val="center"/>
        </w:trPr>
        <w:tc>
          <w:tcPr>
            <w:tcW w:w="3438" w:type="pct"/>
            <w:tcBorders>
              <w:top w:val="single" w:sz="7" w:space="0" w:color="000000"/>
              <w:left w:val="single" w:sz="7" w:space="0" w:color="000000"/>
              <w:bottom w:val="single" w:sz="7" w:space="0" w:color="000000"/>
              <w:right w:val="single" w:sz="7" w:space="0" w:color="000000"/>
            </w:tcBorders>
            <w:vAlign w:val="center"/>
          </w:tcPr>
          <w:p w:rsidR="00DD5A1D" w:rsidRDefault="00164C85" w:rsidP="005E146D">
            <w:pPr>
              <w:widowControl/>
              <w:spacing w:after="58"/>
            </w:pPr>
            <w:r>
              <w:t>Semiannual report</w:t>
            </w:r>
          </w:p>
        </w:tc>
        <w:tc>
          <w:tcPr>
            <w:tcW w:w="1562" w:type="pct"/>
            <w:tcBorders>
              <w:top w:val="single" w:sz="7" w:space="0" w:color="000000"/>
              <w:left w:val="single" w:sz="7" w:space="0" w:color="000000"/>
              <w:bottom w:val="single" w:sz="7" w:space="0" w:color="000000"/>
              <w:right w:val="single" w:sz="7" w:space="0" w:color="000000"/>
            </w:tcBorders>
            <w:vAlign w:val="center"/>
          </w:tcPr>
          <w:p w:rsidR="00DD5A1D" w:rsidRDefault="00B04A62" w:rsidP="005E146D">
            <w:pPr>
              <w:widowControl/>
              <w:spacing w:after="58"/>
            </w:pPr>
            <w:r>
              <w:t>60.7(c), 60.28</w:t>
            </w:r>
            <w:r w:rsidR="00753538">
              <w:t>8</w:t>
            </w:r>
            <w:r w:rsidR="007F2E4D">
              <w:t>a</w:t>
            </w:r>
            <w:r>
              <w:t>(</w:t>
            </w:r>
            <w:r w:rsidR="00753538">
              <w:t>a</w:t>
            </w:r>
            <w:r>
              <w:t>)</w:t>
            </w:r>
          </w:p>
        </w:tc>
      </w:tr>
      <w:tr w:rsidR="00DD5A1D" w:rsidTr="00830567">
        <w:trPr>
          <w:cantSplit/>
          <w:jc w:val="center"/>
        </w:trPr>
        <w:tc>
          <w:tcPr>
            <w:tcW w:w="3438" w:type="pct"/>
            <w:tcBorders>
              <w:top w:val="single" w:sz="7" w:space="0" w:color="000000"/>
              <w:left w:val="single" w:sz="7" w:space="0" w:color="000000"/>
              <w:bottom w:val="single" w:sz="7" w:space="0" w:color="000000"/>
              <w:right w:val="single" w:sz="7" w:space="0" w:color="000000"/>
            </w:tcBorders>
            <w:vAlign w:val="center"/>
          </w:tcPr>
          <w:p w:rsidR="00DD5A1D" w:rsidRDefault="00164C85" w:rsidP="005E146D">
            <w:pPr>
              <w:widowControl/>
              <w:spacing w:after="58"/>
            </w:pPr>
            <w:r w:rsidRPr="00164C85">
              <w:t>Excess emissions/monitoring</w:t>
            </w:r>
            <w:r w:rsidR="00B04A62">
              <w:t xml:space="preserve"> </w:t>
            </w:r>
            <w:r w:rsidRPr="00164C85">
              <w:t>systems report</w:t>
            </w:r>
          </w:p>
        </w:tc>
        <w:tc>
          <w:tcPr>
            <w:tcW w:w="1562" w:type="pct"/>
            <w:tcBorders>
              <w:top w:val="single" w:sz="7" w:space="0" w:color="000000"/>
              <w:left w:val="single" w:sz="7" w:space="0" w:color="000000"/>
              <w:bottom w:val="single" w:sz="7" w:space="0" w:color="000000"/>
              <w:right w:val="single" w:sz="7" w:space="0" w:color="000000"/>
            </w:tcBorders>
            <w:vAlign w:val="center"/>
          </w:tcPr>
          <w:p w:rsidR="00DD5A1D" w:rsidRDefault="00164C85" w:rsidP="005E146D">
            <w:pPr>
              <w:widowControl/>
              <w:spacing w:after="58"/>
            </w:pPr>
            <w:r>
              <w:t>60.7(c)</w:t>
            </w:r>
            <w:r w:rsidR="00B04A62">
              <w:t>, 60.28</w:t>
            </w:r>
            <w:r w:rsidR="00753538">
              <w:t>8</w:t>
            </w:r>
            <w:r w:rsidR="007F2E4D">
              <w:t>a</w:t>
            </w:r>
            <w:r w:rsidR="00B04A62">
              <w:t>(</w:t>
            </w:r>
            <w:r w:rsidR="00753538">
              <w:t>a</w:t>
            </w:r>
            <w:r w:rsidR="00B04A62">
              <w:t>)</w:t>
            </w:r>
          </w:p>
        </w:tc>
      </w:tr>
      <w:tr w:rsidR="00DD5A1D" w:rsidTr="00830567">
        <w:trPr>
          <w:cantSplit/>
          <w:jc w:val="center"/>
        </w:trPr>
        <w:tc>
          <w:tcPr>
            <w:tcW w:w="3438" w:type="pct"/>
            <w:tcBorders>
              <w:top w:val="single" w:sz="7" w:space="0" w:color="000000"/>
              <w:left w:val="single" w:sz="7" w:space="0" w:color="000000"/>
              <w:bottom w:val="single" w:sz="7" w:space="0" w:color="000000"/>
              <w:right w:val="single" w:sz="7" w:space="0" w:color="000000"/>
            </w:tcBorders>
            <w:vAlign w:val="center"/>
          </w:tcPr>
          <w:p w:rsidR="00DD5A1D" w:rsidRDefault="00B04A62" w:rsidP="005E146D">
            <w:pPr>
              <w:widowControl/>
              <w:spacing w:after="58"/>
            </w:pPr>
            <w:r>
              <w:t>Malfunction</w:t>
            </w:r>
            <w:r w:rsidR="00164C85">
              <w:t xml:space="preserve"> report</w:t>
            </w:r>
          </w:p>
        </w:tc>
        <w:tc>
          <w:tcPr>
            <w:tcW w:w="1562" w:type="pct"/>
            <w:tcBorders>
              <w:top w:val="single" w:sz="7" w:space="0" w:color="000000"/>
              <w:left w:val="single" w:sz="7" w:space="0" w:color="000000"/>
              <w:bottom w:val="single" w:sz="7" w:space="0" w:color="000000"/>
              <w:right w:val="single" w:sz="7" w:space="0" w:color="000000"/>
            </w:tcBorders>
            <w:vAlign w:val="center"/>
          </w:tcPr>
          <w:p w:rsidR="00DD5A1D" w:rsidRDefault="00B04A62" w:rsidP="005E146D">
            <w:pPr>
              <w:widowControl/>
              <w:spacing w:after="58"/>
            </w:pPr>
            <w:r>
              <w:t>60.28</w:t>
            </w:r>
            <w:r w:rsidR="00753538">
              <w:t>8</w:t>
            </w:r>
            <w:r>
              <w:t>a(</w:t>
            </w:r>
            <w:r w:rsidR="00753538">
              <w:t>d</w:t>
            </w:r>
            <w:r>
              <w:t>)</w:t>
            </w:r>
          </w:p>
        </w:tc>
      </w:tr>
    </w:tbl>
    <w:p w:rsidR="00B40994" w:rsidRDefault="00B40994" w:rsidP="0004363E">
      <w:pPr>
        <w:widowControl/>
      </w:pPr>
      <w:proofErr w:type="gramStart"/>
      <w:r w:rsidRPr="00465945">
        <w:rPr>
          <w:sz w:val="20"/>
          <w:szCs w:val="20"/>
          <w:vertAlign w:val="superscript"/>
        </w:rPr>
        <w:t>a</w:t>
      </w:r>
      <w:proofErr w:type="gramEnd"/>
      <w:r w:rsidRPr="00465945">
        <w:rPr>
          <w:sz w:val="20"/>
          <w:szCs w:val="20"/>
        </w:rPr>
        <w:t xml:space="preserve"> </w:t>
      </w:r>
      <w:r w:rsidR="00083D21" w:rsidRPr="00465945">
        <w:rPr>
          <w:sz w:val="20"/>
          <w:szCs w:val="20"/>
        </w:rPr>
        <w:t>EPA’s Electronic Reporting Tool (</w:t>
      </w:r>
      <w:r w:rsidRPr="00465945">
        <w:rPr>
          <w:sz w:val="20"/>
          <w:szCs w:val="20"/>
        </w:rPr>
        <w:t>ERT</w:t>
      </w:r>
      <w:r w:rsidR="00083D21" w:rsidRPr="00465945">
        <w:rPr>
          <w:sz w:val="20"/>
          <w:szCs w:val="20"/>
        </w:rPr>
        <w:t>)</w:t>
      </w:r>
      <w:r w:rsidRPr="00465945">
        <w:rPr>
          <w:sz w:val="20"/>
          <w:szCs w:val="20"/>
        </w:rPr>
        <w:t xml:space="preserve"> does not currently support </w:t>
      </w:r>
      <w:r w:rsidR="002D7D70" w:rsidRPr="00465945">
        <w:rPr>
          <w:sz w:val="20"/>
          <w:szCs w:val="20"/>
        </w:rPr>
        <w:t xml:space="preserve">reporting of </w:t>
      </w:r>
      <w:r w:rsidRPr="00465945">
        <w:rPr>
          <w:sz w:val="20"/>
          <w:szCs w:val="20"/>
        </w:rPr>
        <w:t>TRS CEMS RATA</w:t>
      </w:r>
      <w:r w:rsidR="0004363E">
        <w:rPr>
          <w:sz w:val="20"/>
          <w:szCs w:val="20"/>
        </w:rPr>
        <w:t>.</w:t>
      </w:r>
      <w:r w:rsidR="0004363E" w:rsidDel="0004363E">
        <w:rPr>
          <w:rStyle w:val="CommentReference"/>
        </w:rPr>
        <w:t xml:space="preserve"> </w:t>
      </w:r>
    </w:p>
    <w:p w:rsidR="00DD5A1D" w:rsidRDefault="00DD5A1D" w:rsidP="00B40994">
      <w:pPr>
        <w:keepNext/>
        <w:widowControl/>
        <w:ind w:firstLine="720"/>
      </w:pPr>
      <w:r>
        <w:lastRenderedPageBreak/>
        <w:t xml:space="preserve">A source must </w:t>
      </w:r>
      <w:r w:rsidR="00B04A62">
        <w:t>maintain</w:t>
      </w:r>
      <w:r>
        <w:t xml:space="preserve"> the following records:</w:t>
      </w:r>
    </w:p>
    <w:p w:rsidR="00DD5A1D" w:rsidRDefault="00DD5A1D" w:rsidP="00B40994">
      <w:pPr>
        <w:keepNext/>
        <w:widowControl/>
      </w:pPr>
    </w:p>
    <w:tbl>
      <w:tblPr>
        <w:tblW w:w="0" w:type="auto"/>
        <w:jc w:val="center"/>
        <w:tblLayout w:type="fixed"/>
        <w:tblCellMar>
          <w:left w:w="120" w:type="dxa"/>
          <w:right w:w="120" w:type="dxa"/>
        </w:tblCellMar>
        <w:tblLook w:val="0000"/>
      </w:tblPr>
      <w:tblGrid>
        <w:gridCol w:w="6480"/>
        <w:gridCol w:w="2880"/>
      </w:tblGrid>
      <w:tr w:rsidR="00DD5A1D">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DD5A1D" w:rsidRDefault="00DD5A1D" w:rsidP="00B40994">
            <w:pPr>
              <w:keepNext/>
              <w:widowControl/>
              <w:spacing w:after="58"/>
              <w:jc w:val="center"/>
              <w:rPr>
                <w:b/>
              </w:rPr>
            </w:pPr>
            <w:r>
              <w:rPr>
                <w:b/>
              </w:rPr>
              <w:t xml:space="preserve">Recordkeeping </w:t>
            </w:r>
            <w:r w:rsidR="00B04A62">
              <w:rPr>
                <w:b/>
              </w:rPr>
              <w:t xml:space="preserve">for 40 CFR </w:t>
            </w:r>
            <w:r w:rsidR="00157975">
              <w:rPr>
                <w:b/>
              </w:rPr>
              <w:t>P</w:t>
            </w:r>
            <w:r w:rsidR="00B04A62">
              <w:rPr>
                <w:b/>
              </w:rPr>
              <w:t xml:space="preserve">art 60, </w:t>
            </w:r>
            <w:r w:rsidR="00157975">
              <w:rPr>
                <w:b/>
              </w:rPr>
              <w:t>S</w:t>
            </w:r>
            <w:r w:rsidR="00B04A62">
              <w:rPr>
                <w:b/>
              </w:rPr>
              <w:t xml:space="preserve">ubpart </w:t>
            </w:r>
            <w:proofErr w:type="spellStart"/>
            <w:r w:rsidR="00B04A62">
              <w:rPr>
                <w:b/>
              </w:rPr>
              <w:t>BBa</w:t>
            </w:r>
            <w:proofErr w:type="spellEnd"/>
          </w:p>
        </w:tc>
      </w:tr>
      <w:tr w:rsidR="00E363AB" w:rsidTr="00E363AB">
        <w:trPr>
          <w:cantSplit/>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E363AB" w:rsidRDefault="00E363AB" w:rsidP="0004363E">
            <w:pPr>
              <w:keepNext/>
              <w:widowControl/>
              <w:spacing w:after="58"/>
            </w:pPr>
            <w:r>
              <w:t>Records of CMS performance evaluations</w:t>
            </w:r>
          </w:p>
        </w:tc>
        <w:tc>
          <w:tcPr>
            <w:tcW w:w="2880" w:type="dxa"/>
            <w:tcBorders>
              <w:top w:val="single" w:sz="7" w:space="0" w:color="000000"/>
              <w:left w:val="single" w:sz="7" w:space="0" w:color="000000"/>
              <w:bottom w:val="single" w:sz="7" w:space="0" w:color="000000"/>
              <w:right w:val="single" w:sz="7" w:space="0" w:color="000000"/>
            </w:tcBorders>
            <w:vAlign w:val="center"/>
          </w:tcPr>
          <w:p w:rsidR="00E363AB" w:rsidRDefault="001A0221" w:rsidP="00EA42B2">
            <w:pPr>
              <w:keepNext/>
              <w:widowControl/>
              <w:spacing w:after="58"/>
            </w:pPr>
            <w:r>
              <w:t xml:space="preserve">60.7(f), </w:t>
            </w:r>
            <w:r w:rsidR="00E363AB">
              <w:t>60.287a(a)</w:t>
            </w:r>
          </w:p>
        </w:tc>
      </w:tr>
      <w:tr w:rsidR="00E363AB" w:rsidTr="00E363AB">
        <w:trPr>
          <w:cantSplit/>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E363AB" w:rsidRDefault="00E363AB" w:rsidP="0004363E">
            <w:pPr>
              <w:keepNext/>
              <w:widowControl/>
              <w:spacing w:after="58"/>
            </w:pPr>
            <w:r>
              <w:t xml:space="preserve">Records of opacity and TRS </w:t>
            </w:r>
            <w:r w:rsidR="001A0221">
              <w:t xml:space="preserve">monitoring </w:t>
            </w:r>
            <w:r>
              <w:t>data</w:t>
            </w:r>
          </w:p>
        </w:tc>
        <w:tc>
          <w:tcPr>
            <w:tcW w:w="2880" w:type="dxa"/>
            <w:tcBorders>
              <w:top w:val="single" w:sz="7" w:space="0" w:color="000000"/>
              <w:left w:val="single" w:sz="7" w:space="0" w:color="000000"/>
              <w:bottom w:val="single" w:sz="7" w:space="0" w:color="000000"/>
              <w:right w:val="single" w:sz="7" w:space="0" w:color="000000"/>
            </w:tcBorders>
            <w:vAlign w:val="center"/>
          </w:tcPr>
          <w:p w:rsidR="00E363AB" w:rsidRDefault="001A0221" w:rsidP="00EA42B2">
            <w:pPr>
              <w:keepNext/>
              <w:widowControl/>
              <w:spacing w:after="58"/>
            </w:pPr>
            <w:r>
              <w:t xml:space="preserve">60.7(f), </w:t>
            </w:r>
            <w:r w:rsidR="00E363AB">
              <w:t>60.287a(b)(1)-(2)</w:t>
            </w:r>
          </w:p>
        </w:tc>
      </w:tr>
      <w:tr w:rsidR="005E40E7" w:rsidTr="00E363AB">
        <w:trPr>
          <w:cantSplit/>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5E40E7" w:rsidRDefault="005E40E7" w:rsidP="009766E4">
            <w:pPr>
              <w:widowControl/>
              <w:spacing w:after="58"/>
            </w:pPr>
            <w:r>
              <w:t>Records of operating parameters</w:t>
            </w:r>
          </w:p>
        </w:tc>
        <w:tc>
          <w:tcPr>
            <w:tcW w:w="2880" w:type="dxa"/>
            <w:tcBorders>
              <w:top w:val="single" w:sz="7" w:space="0" w:color="000000"/>
              <w:left w:val="single" w:sz="7" w:space="0" w:color="000000"/>
              <w:bottom w:val="single" w:sz="7" w:space="0" w:color="000000"/>
              <w:right w:val="single" w:sz="7" w:space="0" w:color="000000"/>
            </w:tcBorders>
            <w:vAlign w:val="center"/>
          </w:tcPr>
          <w:p w:rsidR="005E40E7" w:rsidRDefault="007F2E4D" w:rsidP="00E363AB">
            <w:pPr>
              <w:widowControl/>
              <w:spacing w:after="58"/>
            </w:pPr>
            <w:r>
              <w:t>60.7(f), 60.28</w:t>
            </w:r>
            <w:r w:rsidR="00E363AB">
              <w:t>7</w:t>
            </w:r>
            <w:r>
              <w:t>a(</w:t>
            </w:r>
            <w:r w:rsidR="00E363AB">
              <w:t>b</w:t>
            </w:r>
            <w:r>
              <w:t>)</w:t>
            </w:r>
            <w:r w:rsidR="00E363AB">
              <w:t>(3)</w:t>
            </w:r>
            <w:r>
              <w:t>-(</w:t>
            </w:r>
            <w:r w:rsidR="00E363AB">
              <w:t>6</w:t>
            </w:r>
            <w:r>
              <w:t>)</w:t>
            </w:r>
          </w:p>
        </w:tc>
      </w:tr>
      <w:tr w:rsidR="005E40E7" w:rsidTr="00E363AB">
        <w:trPr>
          <w:cantSplit/>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5E40E7" w:rsidRDefault="005E40E7" w:rsidP="00364A4E">
            <w:pPr>
              <w:widowControl/>
              <w:spacing w:after="58"/>
            </w:pPr>
            <w:r>
              <w:t xml:space="preserve">Records of </w:t>
            </w:r>
            <w:r w:rsidR="006D26ED">
              <w:t xml:space="preserve">startups, shutdowns and </w:t>
            </w:r>
            <w:r>
              <w:t>malfunctions</w:t>
            </w:r>
            <w:r w:rsidR="007F2E4D">
              <w:t xml:space="preserve"> and periods where the continuous monitoring system is inoperative</w:t>
            </w:r>
          </w:p>
        </w:tc>
        <w:tc>
          <w:tcPr>
            <w:tcW w:w="2880" w:type="dxa"/>
            <w:tcBorders>
              <w:top w:val="single" w:sz="7" w:space="0" w:color="000000"/>
              <w:left w:val="single" w:sz="7" w:space="0" w:color="000000"/>
              <w:bottom w:val="single" w:sz="7" w:space="0" w:color="000000"/>
              <w:right w:val="single" w:sz="7" w:space="0" w:color="000000"/>
            </w:tcBorders>
            <w:vAlign w:val="center"/>
          </w:tcPr>
          <w:p w:rsidR="005E40E7" w:rsidRDefault="007F2E4D" w:rsidP="00E363AB">
            <w:pPr>
              <w:widowControl/>
              <w:spacing w:after="58"/>
            </w:pPr>
            <w:r>
              <w:t>60.7(b), 60.28</w:t>
            </w:r>
            <w:r w:rsidR="00E363AB">
              <w:t>7</w:t>
            </w:r>
            <w:r>
              <w:t>a(</w:t>
            </w:r>
            <w:r w:rsidR="00E363AB">
              <w:t>c</w:t>
            </w:r>
            <w:r>
              <w:t>)</w:t>
            </w:r>
          </w:p>
        </w:tc>
      </w:tr>
      <w:tr w:rsidR="00DD5A1D" w:rsidTr="00E363AB">
        <w:trPr>
          <w:cantSplit/>
          <w:jc w:val="center"/>
        </w:trPr>
        <w:tc>
          <w:tcPr>
            <w:tcW w:w="6480" w:type="dxa"/>
            <w:tcBorders>
              <w:top w:val="single" w:sz="7" w:space="0" w:color="000000"/>
              <w:left w:val="single" w:sz="7" w:space="0" w:color="000000"/>
              <w:bottom w:val="single" w:sz="7" w:space="0" w:color="000000"/>
              <w:right w:val="single" w:sz="7" w:space="0" w:color="000000"/>
            </w:tcBorders>
          </w:tcPr>
          <w:p w:rsidR="00DD5A1D" w:rsidRDefault="00DD5A1D" w:rsidP="009766E4">
            <w:pPr>
              <w:widowControl/>
              <w:spacing w:after="58"/>
            </w:pPr>
            <w:bookmarkStart w:id="0" w:name="_GoBack"/>
            <w:bookmarkEnd w:id="0"/>
            <w:r>
              <w:t xml:space="preserve">Maintain and retain files for at least </w:t>
            </w:r>
            <w:r w:rsidR="00C26CDE">
              <w:t xml:space="preserve">2 </w:t>
            </w:r>
            <w:r>
              <w:t>years</w:t>
            </w:r>
          </w:p>
        </w:tc>
        <w:tc>
          <w:tcPr>
            <w:tcW w:w="2880" w:type="dxa"/>
            <w:tcBorders>
              <w:top w:val="single" w:sz="7" w:space="0" w:color="000000"/>
              <w:left w:val="single" w:sz="7" w:space="0" w:color="000000"/>
              <w:bottom w:val="single" w:sz="7" w:space="0" w:color="000000"/>
              <w:right w:val="single" w:sz="7" w:space="0" w:color="000000"/>
            </w:tcBorders>
            <w:vAlign w:val="center"/>
          </w:tcPr>
          <w:p w:rsidR="00DD5A1D" w:rsidRDefault="00DD5A1D" w:rsidP="009766E4">
            <w:pPr>
              <w:widowControl/>
              <w:spacing w:after="58"/>
            </w:pPr>
            <w:r>
              <w:t>60.7(f)</w:t>
            </w:r>
          </w:p>
        </w:tc>
      </w:tr>
    </w:tbl>
    <w:p w:rsidR="00EA42B2" w:rsidRDefault="00EA42B2" w:rsidP="009766E4">
      <w:pPr>
        <w:widowControl/>
      </w:pPr>
    </w:p>
    <w:p w:rsidR="00DD5A1D" w:rsidRPr="00B45B26" w:rsidRDefault="00DD5A1D" w:rsidP="009766E4">
      <w:pPr>
        <w:widowControl/>
        <w:outlineLvl w:val="0"/>
        <w:rPr>
          <w:i/>
        </w:rPr>
      </w:pPr>
      <w:r w:rsidRPr="00B45B26">
        <w:rPr>
          <w:i/>
        </w:rPr>
        <w:t>Electronic Reporting</w:t>
      </w:r>
    </w:p>
    <w:p w:rsidR="00DD5A1D" w:rsidRDefault="00DD5A1D" w:rsidP="009766E4">
      <w:pPr>
        <w:widowControl/>
      </w:pPr>
    </w:p>
    <w:p w:rsidR="00DD5A1D" w:rsidRDefault="00322276" w:rsidP="009766E4">
      <w:pPr>
        <w:widowControl/>
        <w:pBdr>
          <w:top w:val="single" w:sz="6" w:space="0" w:color="FFFFFF"/>
          <w:left w:val="single" w:sz="6" w:space="0" w:color="FFFFFF"/>
          <w:bottom w:val="single" w:sz="6" w:space="0" w:color="FFFFFF"/>
          <w:right w:val="single" w:sz="6" w:space="0" w:color="FFFFFF"/>
        </w:pBdr>
        <w:ind w:firstLine="720"/>
        <w:rPr>
          <w:color w:val="000000"/>
        </w:rPr>
      </w:pPr>
      <w:r w:rsidRPr="00322276">
        <w:rPr>
          <w:color w:val="000000"/>
        </w:rPr>
        <w:t xml:space="preserve">Currently, sources are using monitoring equipment that provides automated parameter data, e.g., </w:t>
      </w:r>
      <w:r>
        <w:rPr>
          <w:color w:val="000000"/>
        </w:rPr>
        <w:t>continuous emissions monitoring</w:t>
      </w:r>
      <w:r w:rsidRPr="00322276">
        <w:rPr>
          <w:color w:val="000000"/>
        </w:rPr>
        <w:t>.</w:t>
      </w:r>
      <w:r>
        <w:rPr>
          <w:color w:val="000000"/>
        </w:rPr>
        <w:t xml:space="preserve"> </w:t>
      </w:r>
      <w:r w:rsidRPr="00322276">
        <w:rPr>
          <w:color w:val="000000"/>
        </w:rPr>
        <w:t xml:space="preserve">Although personnel </w:t>
      </w:r>
      <w:r>
        <w:rPr>
          <w:color w:val="000000"/>
        </w:rPr>
        <w:t>at the so</w:t>
      </w:r>
      <w:r w:rsidRPr="00322276">
        <w:rPr>
          <w:color w:val="000000"/>
        </w:rPr>
        <w:t>urce</w:t>
      </w:r>
      <w:r>
        <w:rPr>
          <w:color w:val="000000"/>
        </w:rPr>
        <w:t>s</w:t>
      </w:r>
      <w:r w:rsidRPr="00322276">
        <w:rPr>
          <w:color w:val="000000"/>
        </w:rPr>
        <w:t xml:space="preserve"> still need to evaluate the data, this type of monitoring</w:t>
      </w:r>
      <w:r>
        <w:rPr>
          <w:color w:val="000000"/>
        </w:rPr>
        <w:t xml:space="preserve"> </w:t>
      </w:r>
      <w:r w:rsidRPr="00322276">
        <w:rPr>
          <w:color w:val="000000"/>
        </w:rPr>
        <w:t>equipment has significantly reduced the burden associated with monitoring and recordkeeping.</w:t>
      </w:r>
      <w:r>
        <w:rPr>
          <w:color w:val="000000"/>
        </w:rPr>
        <w:t xml:space="preserve"> </w:t>
      </w:r>
      <w:r w:rsidRPr="00322276">
        <w:rPr>
          <w:color w:val="000000"/>
        </w:rPr>
        <w:t>Modern pulp and paper facilities employ distributive controls on their manufacturing process and</w:t>
      </w:r>
      <w:r>
        <w:rPr>
          <w:color w:val="000000"/>
        </w:rPr>
        <w:t xml:space="preserve"> </w:t>
      </w:r>
      <w:r w:rsidRPr="00322276">
        <w:rPr>
          <w:color w:val="000000"/>
        </w:rPr>
        <w:t>have integrated many of the compliance recordkeeping and reporting requirements into their</w:t>
      </w:r>
      <w:r>
        <w:rPr>
          <w:color w:val="000000"/>
        </w:rPr>
        <w:t xml:space="preserve"> </w:t>
      </w:r>
      <w:r w:rsidRPr="00322276">
        <w:rPr>
          <w:color w:val="000000"/>
        </w:rPr>
        <w:t>systems. In addition, some regulatory agencies are setting up electronic reporting systems to</w:t>
      </w:r>
      <w:r>
        <w:rPr>
          <w:color w:val="000000"/>
        </w:rPr>
        <w:t xml:space="preserve"> </w:t>
      </w:r>
      <w:r w:rsidRPr="00322276">
        <w:rPr>
          <w:color w:val="000000"/>
        </w:rPr>
        <w:t>allow sources to report electronically which is reducing the reporting burden. However,</w:t>
      </w:r>
      <w:r>
        <w:rPr>
          <w:color w:val="000000"/>
        </w:rPr>
        <w:t xml:space="preserve"> </w:t>
      </w:r>
      <w:r w:rsidRPr="00322276">
        <w:rPr>
          <w:color w:val="000000"/>
        </w:rPr>
        <w:t>electronic reporting systems are still not widely used by the regulatory agencies. It is estimated</w:t>
      </w:r>
      <w:r>
        <w:rPr>
          <w:color w:val="000000"/>
        </w:rPr>
        <w:t xml:space="preserve"> </w:t>
      </w:r>
      <w:r w:rsidRPr="00322276">
        <w:rPr>
          <w:color w:val="000000"/>
        </w:rPr>
        <w:t>that approximately 10 percent of the respondents currently use electronic reporting. As part of</w:t>
      </w:r>
      <w:r>
        <w:rPr>
          <w:color w:val="000000"/>
        </w:rPr>
        <w:t xml:space="preserve"> </w:t>
      </w:r>
      <w:r w:rsidRPr="00322276">
        <w:rPr>
          <w:color w:val="000000"/>
        </w:rPr>
        <w:t xml:space="preserve">the </w:t>
      </w:r>
      <w:r>
        <w:rPr>
          <w:color w:val="000000"/>
        </w:rPr>
        <w:t xml:space="preserve">NSPS revisions for </w:t>
      </w:r>
      <w:r w:rsidR="00157975">
        <w:rPr>
          <w:color w:val="000000"/>
        </w:rPr>
        <w:t>S</w:t>
      </w:r>
      <w:r>
        <w:rPr>
          <w:color w:val="000000"/>
        </w:rPr>
        <w:t xml:space="preserve">ubpart </w:t>
      </w:r>
      <w:proofErr w:type="spellStart"/>
      <w:r>
        <w:rPr>
          <w:color w:val="000000"/>
        </w:rPr>
        <w:t>BBa</w:t>
      </w:r>
      <w:proofErr w:type="spellEnd"/>
      <w:r w:rsidRPr="00322276">
        <w:rPr>
          <w:color w:val="000000"/>
        </w:rPr>
        <w:t>, respondents would be required to report test results using EPA’s</w:t>
      </w:r>
      <w:r>
        <w:rPr>
          <w:color w:val="000000"/>
        </w:rPr>
        <w:t xml:space="preserve"> </w:t>
      </w:r>
      <w:r w:rsidRPr="00322276">
        <w:rPr>
          <w:color w:val="000000"/>
        </w:rPr>
        <w:t>Electronic Reporting Tool (ERT) for test methods supported by the ERT.</w:t>
      </w:r>
      <w:r w:rsidR="00A02D86" w:rsidRPr="00A65FDE">
        <w:rPr>
          <w:rStyle w:val="FootnoteReference"/>
          <w:color w:val="000000"/>
          <w:vertAlign w:val="superscript"/>
        </w:rPr>
        <w:footnoteReference w:id="1"/>
      </w:r>
    </w:p>
    <w:p w:rsidR="00DD5A1D" w:rsidRDefault="00DD5A1D" w:rsidP="009766E4">
      <w:pPr>
        <w:widowControl/>
        <w:pBdr>
          <w:top w:val="single" w:sz="6" w:space="0" w:color="FFFFFF"/>
          <w:left w:val="single" w:sz="6" w:space="0" w:color="FFFFFF"/>
          <w:bottom w:val="single" w:sz="6" w:space="0" w:color="FFFFFF"/>
          <w:right w:val="single" w:sz="6" w:space="0" w:color="FFFFFF"/>
        </w:pBdr>
        <w:ind w:firstLine="720"/>
        <w:rPr>
          <w:color w:val="000000"/>
        </w:rPr>
      </w:pPr>
    </w:p>
    <w:p w:rsidR="00DD5A1D" w:rsidRDefault="00B45B26" w:rsidP="00465945">
      <w:pPr>
        <w:keepNext/>
        <w:widowControl/>
        <w:pBdr>
          <w:top w:val="single" w:sz="6" w:space="0" w:color="FFFFFF"/>
          <w:left w:val="single" w:sz="6" w:space="0" w:color="FFFFFF"/>
          <w:bottom w:val="single" w:sz="6" w:space="0" w:color="FFFFFF"/>
          <w:right w:val="single" w:sz="6" w:space="0" w:color="FFFFFF"/>
        </w:pBdr>
        <w:ind w:firstLine="720"/>
        <w:rPr>
          <w:color w:val="000000"/>
        </w:rPr>
      </w:pPr>
      <w:r w:rsidRPr="000D6777">
        <w:rPr>
          <w:color w:val="000000"/>
        </w:rPr>
        <w:t xml:space="preserve">(ii) </w:t>
      </w:r>
      <w:r w:rsidRPr="000D6777">
        <w:rPr>
          <w:color w:val="000000"/>
          <w:u w:val="single"/>
        </w:rPr>
        <w:t>Respondent Activities</w:t>
      </w:r>
      <w:r w:rsidRPr="000D6777">
        <w:rPr>
          <w:color w:val="000000"/>
        </w:rPr>
        <w:t>.</w:t>
      </w:r>
      <w:r>
        <w:rPr>
          <w:color w:val="000000"/>
        </w:rPr>
        <w:t xml:space="preserve">  </w:t>
      </w:r>
      <w:r w:rsidR="009427CF">
        <w:rPr>
          <w:color w:val="000000"/>
        </w:rPr>
        <w:t xml:space="preserve">The respondent activities required by </w:t>
      </w:r>
      <w:r w:rsidR="00157975">
        <w:rPr>
          <w:color w:val="000000"/>
        </w:rPr>
        <w:t>S</w:t>
      </w:r>
      <w:r w:rsidR="009427CF">
        <w:rPr>
          <w:color w:val="000000"/>
        </w:rPr>
        <w:t xml:space="preserve">ubpart </w:t>
      </w:r>
      <w:proofErr w:type="spellStart"/>
      <w:r w:rsidR="009427CF">
        <w:rPr>
          <w:color w:val="000000"/>
        </w:rPr>
        <w:t>BBa</w:t>
      </w:r>
      <w:proofErr w:type="spellEnd"/>
      <w:r w:rsidR="009427CF">
        <w:rPr>
          <w:color w:val="000000"/>
        </w:rPr>
        <w:t xml:space="preserve"> are listed in the following table.</w:t>
      </w:r>
    </w:p>
    <w:p w:rsidR="00DD5A1D" w:rsidRDefault="00DD5A1D" w:rsidP="00465945">
      <w:pPr>
        <w:keepNext/>
        <w:widowControl/>
      </w:pPr>
    </w:p>
    <w:tbl>
      <w:tblPr>
        <w:tblW w:w="0" w:type="auto"/>
        <w:jc w:val="center"/>
        <w:tblLayout w:type="fixed"/>
        <w:tblCellMar>
          <w:left w:w="120" w:type="dxa"/>
          <w:right w:w="120" w:type="dxa"/>
        </w:tblCellMar>
        <w:tblLook w:val="0000"/>
      </w:tblPr>
      <w:tblGrid>
        <w:gridCol w:w="9360"/>
      </w:tblGrid>
      <w:tr w:rsidR="00DD5A1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DD5A1D" w:rsidRDefault="00DD5A1D" w:rsidP="00465945">
            <w:pPr>
              <w:keepNext/>
              <w:widowControl/>
              <w:spacing w:after="55"/>
              <w:jc w:val="center"/>
              <w:rPr>
                <w:b/>
                <w:bCs/>
              </w:rPr>
            </w:pPr>
            <w:r>
              <w:rPr>
                <w:b/>
                <w:bCs/>
              </w:rPr>
              <w:t>Respondent Activities</w:t>
            </w:r>
          </w:p>
        </w:tc>
      </w:tr>
      <w:tr w:rsidR="00DD5A1D" w:rsidTr="005E146D">
        <w:trPr>
          <w:cantSplit/>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DD5A1D" w:rsidRPr="00E36549" w:rsidRDefault="00DD5A1D" w:rsidP="00465945">
            <w:pPr>
              <w:keepNext/>
              <w:widowControl/>
              <w:spacing w:after="55"/>
            </w:pPr>
            <w:r w:rsidRPr="00E36549">
              <w:t xml:space="preserve">Read </w:t>
            </w:r>
            <w:r w:rsidR="00496C54" w:rsidRPr="00E36549">
              <w:t>and understand the rule requirements</w:t>
            </w:r>
            <w:r w:rsidRPr="00E36549">
              <w:t>.</w:t>
            </w:r>
          </w:p>
        </w:tc>
      </w:tr>
      <w:tr w:rsidR="00A65FDE" w:rsidTr="005E146D">
        <w:trPr>
          <w:cantSplit/>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A65FDE" w:rsidRPr="00E36549" w:rsidRDefault="00A65FDE" w:rsidP="00236792">
            <w:pPr>
              <w:keepNext/>
              <w:widowControl/>
              <w:spacing w:after="55"/>
            </w:pPr>
            <w:r w:rsidRPr="00E36549">
              <w:t>Install, calibrate, maintain and operate CMS</w:t>
            </w:r>
            <w:r w:rsidR="008724AA" w:rsidRPr="00E36549">
              <w:t>.</w:t>
            </w:r>
          </w:p>
        </w:tc>
      </w:tr>
      <w:tr w:rsidR="00DD5A1D" w:rsidTr="005E146D">
        <w:trPr>
          <w:cantSplit/>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DD5A1D" w:rsidRPr="00E36549" w:rsidRDefault="00496C54" w:rsidP="005E146D">
            <w:pPr>
              <w:widowControl/>
              <w:spacing w:after="55"/>
            </w:pPr>
            <w:r w:rsidRPr="00E36549">
              <w:t>Conduct</w:t>
            </w:r>
            <w:r w:rsidR="00F44B44" w:rsidRPr="00E36549">
              <w:t xml:space="preserve"> </w:t>
            </w:r>
            <w:r w:rsidR="00DD5A1D" w:rsidRPr="00E36549">
              <w:t>performance test</w:t>
            </w:r>
            <w:r w:rsidR="00F44B44" w:rsidRPr="00E36549">
              <w:t xml:space="preserve">s using EPA </w:t>
            </w:r>
            <w:r w:rsidR="00DD5A1D" w:rsidRPr="00E36549">
              <w:t>Reference Method</w:t>
            </w:r>
            <w:r w:rsidR="00F44B44" w:rsidRPr="00E36549">
              <w:t>s</w:t>
            </w:r>
            <w:r w:rsidR="00DD5A1D" w:rsidRPr="00E36549">
              <w:t xml:space="preserve"> 5, </w:t>
            </w:r>
            <w:r w:rsidR="009C5C57" w:rsidRPr="00E36549">
              <w:t>9, 16</w:t>
            </w:r>
            <w:r w:rsidRPr="00E36549">
              <w:t xml:space="preserve"> (or 16A, 16B, 16C)</w:t>
            </w:r>
            <w:r w:rsidR="009C5C57" w:rsidRPr="00E36549">
              <w:t xml:space="preserve"> and 202</w:t>
            </w:r>
            <w:r w:rsidRPr="00E36549">
              <w:t>.</w:t>
            </w:r>
          </w:p>
        </w:tc>
      </w:tr>
      <w:tr w:rsidR="00DD5A1D" w:rsidTr="005E146D">
        <w:trPr>
          <w:cantSplit/>
          <w:jc w:val="center"/>
        </w:trPr>
        <w:tc>
          <w:tcPr>
            <w:tcW w:w="9360" w:type="dxa"/>
            <w:tcBorders>
              <w:top w:val="single" w:sz="7" w:space="0" w:color="000000"/>
              <w:left w:val="single" w:sz="7" w:space="0" w:color="000000"/>
              <w:bottom w:val="single" w:sz="4" w:space="0" w:color="auto"/>
              <w:right w:val="single" w:sz="7" w:space="0" w:color="000000"/>
            </w:tcBorders>
            <w:vAlign w:val="center"/>
          </w:tcPr>
          <w:p w:rsidR="00DD5A1D" w:rsidRPr="00E36549" w:rsidRDefault="00DD5A1D" w:rsidP="005E146D">
            <w:pPr>
              <w:widowControl/>
              <w:spacing w:after="55"/>
            </w:pPr>
            <w:r w:rsidRPr="00E36549">
              <w:t>Write the notifications and reports listed above.</w:t>
            </w:r>
          </w:p>
        </w:tc>
      </w:tr>
      <w:tr w:rsidR="00705041" w:rsidTr="005E146D">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705041" w:rsidRPr="00E36549" w:rsidRDefault="00705041" w:rsidP="005E146D">
            <w:pPr>
              <w:widowControl/>
              <w:spacing w:after="55"/>
            </w:pPr>
            <w:r w:rsidRPr="00E36549">
              <w:t>Develop a record system</w:t>
            </w:r>
            <w:r w:rsidR="008724AA" w:rsidRPr="00E36549">
              <w:t xml:space="preserve"> (e.g., develop, acquire, install and utilize technology and systems for the purpose of processing information; adjust the existing ways to comply with any previously applicable instructions and requirements).</w:t>
            </w:r>
          </w:p>
        </w:tc>
      </w:tr>
      <w:tr w:rsidR="00DD5A1D" w:rsidTr="005E146D">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sidR="00DD5A1D" w:rsidRDefault="00DD5A1D" w:rsidP="005E146D">
            <w:pPr>
              <w:widowControl/>
              <w:spacing w:after="55"/>
              <w:rPr>
                <w:color w:val="000000"/>
              </w:rPr>
            </w:pPr>
            <w:r>
              <w:rPr>
                <w:color w:val="000000"/>
              </w:rPr>
              <w:t>Enter information required to be recorded above.</w:t>
            </w:r>
          </w:p>
        </w:tc>
      </w:tr>
      <w:tr w:rsidR="00DD5A1D" w:rsidTr="005E146D">
        <w:trPr>
          <w:cantSplit/>
          <w:jc w:val="center"/>
        </w:trPr>
        <w:tc>
          <w:tcPr>
            <w:tcW w:w="9360" w:type="dxa"/>
            <w:tcBorders>
              <w:top w:val="single" w:sz="7" w:space="0" w:color="000000"/>
              <w:left w:val="single" w:sz="7" w:space="0" w:color="000000"/>
              <w:bottom w:val="single" w:sz="7" w:space="0" w:color="000000"/>
              <w:right w:val="single" w:sz="7" w:space="0" w:color="000000"/>
            </w:tcBorders>
            <w:vAlign w:val="center"/>
          </w:tcPr>
          <w:p w:rsidR="00DD5A1D" w:rsidRDefault="00DD5A1D" w:rsidP="005E146D">
            <w:pPr>
              <w:widowControl/>
              <w:spacing w:after="55"/>
            </w:pPr>
            <w:r>
              <w:t>Transmit, or otherwise disclose the information.</w:t>
            </w:r>
          </w:p>
        </w:tc>
      </w:tr>
    </w:tbl>
    <w:p w:rsidR="000867D7" w:rsidRDefault="000867D7" w:rsidP="009766E4">
      <w:pPr>
        <w:widowControl/>
      </w:pPr>
    </w:p>
    <w:p w:rsidR="000867D7" w:rsidRDefault="000867D7" w:rsidP="009766E4">
      <w:pPr>
        <w:widowControl/>
        <w:ind w:firstLine="720"/>
      </w:pPr>
      <w:r>
        <w:lastRenderedPageBreak/>
        <w:t>In addition to the respondent activities listed above, EPA is including an estimate of the burden associated with performing an affirmative defense. The EPA is providing this as an illustrative example of the potential additional administrative burden a source may incur to assert in an affirmative defense in response to an action to enforce the standards set forth in the applicable subpart. See section 6(b</w:t>
      </w:r>
      <w:proofErr w:type="gramStart"/>
      <w:r>
        <w:t>)(</w:t>
      </w:r>
      <w:proofErr w:type="gramEnd"/>
      <w:r>
        <w:t>iv) of this ICR for details.</w:t>
      </w:r>
    </w:p>
    <w:p w:rsidR="00DD5A1D" w:rsidRDefault="00DD5A1D" w:rsidP="009766E4">
      <w:pPr>
        <w:widowControl/>
      </w:pPr>
      <w:r>
        <w:tab/>
      </w:r>
    </w:p>
    <w:p w:rsidR="00DD5A1D" w:rsidRDefault="00DD5A1D" w:rsidP="009766E4">
      <w:pPr>
        <w:widowControl/>
        <w:outlineLvl w:val="0"/>
        <w:rPr>
          <w:b/>
          <w:bCs/>
        </w:rPr>
      </w:pPr>
      <w:r>
        <w:rPr>
          <w:b/>
          <w:bCs/>
        </w:rPr>
        <w:t>5.  The Information Collected: Agency Activities, Collection Methodology, and Information Management</w:t>
      </w:r>
    </w:p>
    <w:p w:rsidR="00DD5A1D" w:rsidRDefault="00DD5A1D" w:rsidP="009766E4">
      <w:pPr>
        <w:widowControl/>
        <w:rPr>
          <w:b/>
          <w:bCs/>
        </w:rPr>
      </w:pPr>
    </w:p>
    <w:p w:rsidR="00DD5A1D" w:rsidRPr="00B45B26" w:rsidRDefault="00DD5A1D" w:rsidP="009766E4">
      <w:pPr>
        <w:widowControl/>
        <w:rPr>
          <w:i/>
        </w:rPr>
      </w:pPr>
      <w:r w:rsidRPr="00B45B26">
        <w:rPr>
          <w:bCs/>
          <w:i/>
        </w:rPr>
        <w:t>(a)  Agency Activities</w:t>
      </w:r>
    </w:p>
    <w:p w:rsidR="00DD5A1D" w:rsidRDefault="00DD5A1D" w:rsidP="009766E4">
      <w:pPr>
        <w:widowControl/>
      </w:pPr>
    </w:p>
    <w:p w:rsidR="00DD5A1D" w:rsidRDefault="000867D7" w:rsidP="009766E4">
      <w:pPr>
        <w:widowControl/>
        <w:ind w:firstLine="720"/>
      </w:pPr>
      <w:r>
        <w:t xml:space="preserve">The </w:t>
      </w:r>
      <w:r w:rsidR="00DD5A1D">
        <w:t>EPA conducts the following activities in connection with the acquisition, analysis, storage and distribution of the required information.</w:t>
      </w:r>
    </w:p>
    <w:p w:rsidR="005C5775" w:rsidRDefault="005C5775" w:rsidP="009766E4">
      <w:pPr>
        <w:widowControl/>
        <w:ind w:firstLine="720"/>
      </w:pPr>
    </w:p>
    <w:tbl>
      <w:tblPr>
        <w:tblW w:w="0" w:type="auto"/>
        <w:jc w:val="center"/>
        <w:tblLayout w:type="fixed"/>
        <w:tblCellMar>
          <w:left w:w="120" w:type="dxa"/>
          <w:right w:w="120" w:type="dxa"/>
        </w:tblCellMar>
        <w:tblLook w:val="0000"/>
      </w:tblPr>
      <w:tblGrid>
        <w:gridCol w:w="9360"/>
      </w:tblGrid>
      <w:tr w:rsidR="00DD5A1D">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DD5A1D" w:rsidRDefault="00DD5A1D" w:rsidP="009766E4">
            <w:pPr>
              <w:widowControl/>
              <w:spacing w:after="52"/>
              <w:jc w:val="center"/>
              <w:rPr>
                <w:b/>
                <w:bCs/>
              </w:rPr>
            </w:pPr>
            <w:r>
              <w:rPr>
                <w:b/>
                <w:bCs/>
              </w:rPr>
              <w:t>Agency Activities</w:t>
            </w:r>
          </w:p>
        </w:tc>
      </w:tr>
      <w:tr w:rsidR="00DD5A1D">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DD5A1D" w:rsidRDefault="00DD5A1D" w:rsidP="009766E4">
            <w:pPr>
              <w:widowControl/>
              <w:spacing w:after="52"/>
            </w:pPr>
            <w:r>
              <w:t xml:space="preserve">Observe initial </w:t>
            </w:r>
            <w:r w:rsidR="002D5EE9">
              <w:t xml:space="preserve">and repeat </w:t>
            </w:r>
            <w:r>
              <w:t>performance tests.</w:t>
            </w:r>
          </w:p>
        </w:tc>
      </w:tr>
      <w:tr w:rsidR="00DD5A1D">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sidR="00DD5A1D" w:rsidRDefault="00DD5A1D" w:rsidP="009766E4">
            <w:pPr>
              <w:widowControl/>
              <w:spacing w:after="52"/>
            </w:pPr>
            <w:r>
              <w:t>Review reports, inc</w:t>
            </w:r>
            <w:r w:rsidR="00655EEC">
              <w:t>luding performance test reports and</w:t>
            </w:r>
            <w:r>
              <w:t xml:space="preserve"> excess emissions reports, required to be submitted by industry.</w:t>
            </w:r>
          </w:p>
        </w:tc>
      </w:tr>
      <w:tr w:rsidR="00655EEC" w:rsidTr="00655EEC">
        <w:trPr>
          <w:cantSplit/>
          <w:jc w:val="center"/>
        </w:trPr>
        <w:tc>
          <w:tcPr>
            <w:tcW w:w="9360" w:type="dxa"/>
            <w:tcBorders>
              <w:top w:val="single" w:sz="4" w:space="0" w:color="auto"/>
              <w:left w:val="single" w:sz="7" w:space="0" w:color="000000"/>
              <w:bottom w:val="single" w:sz="4" w:space="0" w:color="auto"/>
              <w:right w:val="single" w:sz="7" w:space="0" w:color="000000"/>
            </w:tcBorders>
            <w:vAlign w:val="center"/>
          </w:tcPr>
          <w:p w:rsidR="00655EEC" w:rsidRDefault="00655EEC" w:rsidP="00364A4E">
            <w:pPr>
              <w:widowControl/>
              <w:spacing w:after="72"/>
            </w:pPr>
            <w:r>
              <w:t>Review notifications, including notifications of construction/reconstruction, performance test and actual startup.</w:t>
            </w:r>
          </w:p>
        </w:tc>
      </w:tr>
    </w:tbl>
    <w:p w:rsidR="00DD5A1D" w:rsidRDefault="00DD5A1D" w:rsidP="009766E4">
      <w:pPr>
        <w:widowControl/>
        <w:rPr>
          <w:b/>
          <w:bCs/>
        </w:rPr>
      </w:pPr>
    </w:p>
    <w:p w:rsidR="00DD5A1D" w:rsidRPr="00B45B26" w:rsidRDefault="00DD5A1D" w:rsidP="009766E4">
      <w:pPr>
        <w:keepNext/>
        <w:widowControl/>
        <w:rPr>
          <w:i/>
        </w:rPr>
      </w:pPr>
      <w:r w:rsidRPr="00B45B26">
        <w:rPr>
          <w:bCs/>
          <w:i/>
        </w:rPr>
        <w:t>(b)  Collection Methodology and Management</w:t>
      </w:r>
    </w:p>
    <w:p w:rsidR="00DD5A1D" w:rsidRDefault="00DD5A1D" w:rsidP="009766E4">
      <w:pPr>
        <w:keepNext/>
        <w:widowControl/>
      </w:pPr>
    </w:p>
    <w:p w:rsidR="00DD5A1D" w:rsidRDefault="00DD5A1D">
      <w:pPr>
        <w:keepNext/>
        <w:widowControl/>
        <w:ind w:right="-180" w:firstLine="720"/>
      </w:pPr>
      <w:r>
        <w:t>Following notification of startup, the reviewing authority could inspect the source to determine whether the pollution control devices are properly installed and operated.</w:t>
      </w:r>
      <w:r w:rsidR="005971B8">
        <w:t xml:space="preserve"> </w:t>
      </w:r>
      <w:r>
        <w:t xml:space="preserve">Performance test reports are used by the Agency to discern a source’s initial </w:t>
      </w:r>
      <w:r w:rsidR="00A65FDE">
        <w:t xml:space="preserve">and ongoing </w:t>
      </w:r>
      <w:r>
        <w:t>capability to comply with the emission standard, and note the operating conditions under which compliance was achieved.</w:t>
      </w:r>
      <w:r w:rsidR="005971B8">
        <w:t xml:space="preserve"> </w:t>
      </w:r>
      <w:r>
        <w:t>Data and records maintained by the respondents are tabulated and published for use in compliance and enforcement programs.</w:t>
      </w:r>
      <w:r w:rsidR="005971B8">
        <w:t xml:space="preserve"> </w:t>
      </w:r>
      <w:r>
        <w:t>The semiannual reports are used for problem identification, as a check on source operation and maintenance and for compliance determinations.</w:t>
      </w:r>
    </w:p>
    <w:p w:rsidR="00DD5A1D" w:rsidRDefault="00DD5A1D" w:rsidP="009766E4">
      <w:pPr>
        <w:widowControl/>
        <w:ind w:right="-180" w:firstLine="720"/>
      </w:pPr>
    </w:p>
    <w:p w:rsidR="00DD5A1D" w:rsidRDefault="00DD5A1D" w:rsidP="009766E4">
      <w:pPr>
        <w:widowControl/>
        <w:ind w:firstLine="720"/>
      </w:pPr>
      <w:r>
        <w:t xml:space="preserve">Information contained in the reports is entered into </w:t>
      </w:r>
      <w:r w:rsidR="00655EEC">
        <w:t xml:space="preserve">the Air Facility System </w:t>
      </w:r>
      <w:r w:rsidR="000B2FD0">
        <w:t xml:space="preserve">(AFS), </w:t>
      </w:r>
      <w:r>
        <w:t>which is operated and maintained by the EPA</w:t>
      </w:r>
      <w:r w:rsidR="000B2FD0">
        <w:t>’s</w:t>
      </w:r>
      <w:r>
        <w:t xml:space="preserve"> Office of Compliance.</w:t>
      </w:r>
      <w:r w:rsidR="005971B8">
        <w:t xml:space="preserve"> </w:t>
      </w:r>
      <w:r w:rsidR="00D444FD">
        <w:t xml:space="preserve">The </w:t>
      </w:r>
      <w:r w:rsidR="000B2FD0">
        <w:t>AFS</w:t>
      </w:r>
      <w:r>
        <w:t xml:space="preserve"> is </w:t>
      </w:r>
      <w:r w:rsidR="00632EB9">
        <w:t xml:space="preserve">the </w:t>
      </w:r>
      <w:r>
        <w:t>EPA</w:t>
      </w:r>
      <w:r w:rsidR="00832FC5">
        <w:t>’s</w:t>
      </w:r>
      <w:r>
        <w:t xml:space="preserve"> database for the collection, maintenance and retrieval of </w:t>
      </w:r>
      <w:r w:rsidR="000B2FD0">
        <w:t xml:space="preserve">air </w:t>
      </w:r>
      <w:r>
        <w:t xml:space="preserve">compliance data for </w:t>
      </w:r>
      <w:r w:rsidR="000B2FD0">
        <w:t>over</w:t>
      </w:r>
      <w:r>
        <w:t xml:space="preserve"> 125,000 industrial and government-owned facilities.</w:t>
      </w:r>
      <w:r w:rsidR="005971B8">
        <w:t xml:space="preserve"> </w:t>
      </w:r>
      <w:r w:rsidR="000B2FD0">
        <w:t xml:space="preserve">The </w:t>
      </w:r>
      <w:r>
        <w:t xml:space="preserve">EPA uses </w:t>
      </w:r>
      <w:r w:rsidR="00D444FD">
        <w:t xml:space="preserve">the </w:t>
      </w:r>
      <w:r w:rsidR="000B2FD0">
        <w:t>AF</w:t>
      </w:r>
      <w:r>
        <w:t>S for tracking air pollution compliance and enforcement by local and state regulatory agencies, EPA regional offices and EPA headquarters.</w:t>
      </w:r>
      <w:r w:rsidR="005971B8">
        <w:t xml:space="preserve"> </w:t>
      </w:r>
      <w:r w:rsidR="000B2FD0">
        <w:t xml:space="preserve">The </w:t>
      </w:r>
      <w:r>
        <w:t xml:space="preserve">EPA </w:t>
      </w:r>
      <w:r w:rsidR="000B2FD0">
        <w:t xml:space="preserve">and its </w:t>
      </w:r>
      <w:r>
        <w:t>delegated Authorities can edit, store, retrieve and analyze the data.</w:t>
      </w:r>
    </w:p>
    <w:p w:rsidR="00DD5A1D" w:rsidRDefault="00DD5A1D" w:rsidP="009766E4">
      <w:pPr>
        <w:widowControl/>
      </w:pPr>
    </w:p>
    <w:p w:rsidR="00DD5A1D" w:rsidRDefault="00DD5A1D" w:rsidP="009766E4">
      <w:pPr>
        <w:widowControl/>
        <w:ind w:firstLine="720"/>
      </w:pPr>
      <w:r>
        <w:t xml:space="preserve">The records required by this regulation must be retained by the owner or operator for </w:t>
      </w:r>
      <w:r w:rsidR="00C26CDE">
        <w:t xml:space="preserve">2 </w:t>
      </w:r>
      <w:r>
        <w:t>years.</w:t>
      </w:r>
    </w:p>
    <w:p w:rsidR="001C6B2A" w:rsidRDefault="001C6B2A" w:rsidP="009766E4">
      <w:pPr>
        <w:widowControl/>
        <w:ind w:firstLine="720"/>
        <w:rPr>
          <w:b/>
          <w:bCs/>
        </w:rPr>
      </w:pPr>
    </w:p>
    <w:p w:rsidR="00DD5A1D" w:rsidRPr="00B45B26" w:rsidRDefault="00DD5A1D" w:rsidP="009766E4">
      <w:pPr>
        <w:widowControl/>
        <w:rPr>
          <w:i/>
        </w:rPr>
      </w:pPr>
      <w:r w:rsidRPr="00B45B26">
        <w:rPr>
          <w:bCs/>
          <w:i/>
        </w:rPr>
        <w:t>(c)  Small Entity Flexibility</w:t>
      </w:r>
    </w:p>
    <w:p w:rsidR="00DD5A1D" w:rsidRDefault="00DD5A1D" w:rsidP="009766E4">
      <w:pPr>
        <w:widowControl/>
      </w:pPr>
    </w:p>
    <w:p w:rsidR="00DD5A1D" w:rsidRDefault="00EC34EE" w:rsidP="009766E4">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Most</w:t>
      </w:r>
      <w:r w:rsidR="00DD5A1D" w:rsidRPr="001D4B72">
        <w:rPr>
          <w:color w:val="000000"/>
        </w:rPr>
        <w:t xml:space="preserve"> of the respondents are large entities (i.e., large businesses).</w:t>
      </w:r>
      <w:r w:rsidR="005971B8">
        <w:rPr>
          <w:color w:val="000000"/>
        </w:rPr>
        <w:t xml:space="preserve"> </w:t>
      </w:r>
      <w:r w:rsidR="00DD5A1D" w:rsidRPr="001D4B72">
        <w:rPr>
          <w:color w:val="000000"/>
        </w:rPr>
        <w:t xml:space="preserve">However, the impact on small entities (i.e., small businesses) was taken into consideration during the development of the </w:t>
      </w:r>
      <w:r w:rsidR="00DD5A1D" w:rsidRPr="001D4B72">
        <w:rPr>
          <w:color w:val="000000"/>
        </w:rPr>
        <w:lastRenderedPageBreak/>
        <w:t>regulation.</w:t>
      </w:r>
      <w:r w:rsidR="005971B8">
        <w:rPr>
          <w:color w:val="000000"/>
        </w:rPr>
        <w:t xml:space="preserve"> </w:t>
      </w:r>
      <w:r w:rsidR="00DD5A1D" w:rsidRPr="001D4B72">
        <w:rPr>
          <w:color w:val="000000"/>
        </w:rPr>
        <w:t>Due to technical considerations involving the process operations and the types of control equipment employed, the recordkeeping and reporting requirements are the same for both small and large entities.</w:t>
      </w:r>
      <w:r w:rsidR="005971B8">
        <w:rPr>
          <w:color w:val="000000"/>
        </w:rPr>
        <w:t xml:space="preserve"> </w:t>
      </w:r>
      <w:r w:rsidR="00DD5A1D" w:rsidRPr="001D4B72">
        <w:rPr>
          <w:color w:val="000000"/>
        </w:rPr>
        <w:t xml:space="preserve">The Agency considers these </w:t>
      </w:r>
      <w:r>
        <w:rPr>
          <w:color w:val="000000"/>
        </w:rPr>
        <w:t xml:space="preserve">requirements </w:t>
      </w:r>
      <w:r w:rsidR="00DD5A1D" w:rsidRPr="001D4B72">
        <w:rPr>
          <w:color w:val="000000"/>
        </w:rPr>
        <w:t>to be the minimum needed to ensure compliance and, therefore, cannot reduce them further for small entities.</w:t>
      </w:r>
      <w:r w:rsidR="005971B8">
        <w:rPr>
          <w:color w:val="000000"/>
        </w:rPr>
        <w:t xml:space="preserve"> </w:t>
      </w:r>
      <w:r w:rsidR="00DD5A1D" w:rsidRPr="001D4B72">
        <w:rPr>
          <w:color w:val="000000"/>
        </w:rPr>
        <w:t>To the extent that larger businesses can use economies of scale to reduce their burden,</w:t>
      </w:r>
      <w:r w:rsidR="001C6B2A">
        <w:rPr>
          <w:color w:val="000000"/>
        </w:rPr>
        <w:t xml:space="preserve"> </w:t>
      </w:r>
      <w:r w:rsidR="00DD5A1D" w:rsidRPr="001D4B72">
        <w:rPr>
          <w:color w:val="000000"/>
        </w:rPr>
        <w:t>the overall burden will be reduced.</w:t>
      </w:r>
    </w:p>
    <w:p w:rsidR="00DD5A1D" w:rsidRDefault="00DD5A1D" w:rsidP="009766E4">
      <w:pPr>
        <w:widowControl/>
      </w:pPr>
    </w:p>
    <w:p w:rsidR="00DD5A1D" w:rsidRPr="00B45B26" w:rsidRDefault="00DD5A1D" w:rsidP="009766E4">
      <w:pPr>
        <w:widowControl/>
        <w:rPr>
          <w:i/>
        </w:rPr>
      </w:pPr>
      <w:r w:rsidRPr="00B45B26">
        <w:rPr>
          <w:bCs/>
          <w:i/>
        </w:rPr>
        <w:t>(d)  Collection Schedule</w:t>
      </w:r>
    </w:p>
    <w:p w:rsidR="00DD5A1D" w:rsidRDefault="00DD5A1D" w:rsidP="009766E4">
      <w:pPr>
        <w:widowControl/>
      </w:pPr>
    </w:p>
    <w:p w:rsidR="00DD5A1D" w:rsidRDefault="00DD5A1D" w:rsidP="009766E4">
      <w:pPr>
        <w:widowControl/>
        <w:ind w:firstLine="720"/>
      </w:pPr>
      <w:r>
        <w:t xml:space="preserve">The specific frequency for each information collection activity within this request is shown </w:t>
      </w:r>
      <w:r w:rsidR="001C6B2A">
        <w:t xml:space="preserve">below </w:t>
      </w:r>
      <w:r>
        <w:t xml:space="preserve">in Table 1: Annual </w:t>
      </w:r>
      <w:r w:rsidR="001C6B2A">
        <w:t>Respondent</w:t>
      </w:r>
      <w:r>
        <w:t xml:space="preserve"> Burden</w:t>
      </w:r>
      <w:r w:rsidR="001C6B2A">
        <w:t xml:space="preserve"> and Cost -</w:t>
      </w:r>
      <w:r>
        <w:t xml:space="preserve"> NSPS </w:t>
      </w:r>
      <w:r w:rsidR="00EC34EE">
        <w:t xml:space="preserve">Review </w:t>
      </w:r>
      <w:r>
        <w:t>for Kraft Pulp Mills (40</w:t>
      </w:r>
      <w:r w:rsidR="00486FC4">
        <w:t> </w:t>
      </w:r>
      <w:r>
        <w:t xml:space="preserve">CFR Part 60, Subpart </w:t>
      </w:r>
      <w:proofErr w:type="spellStart"/>
      <w:r>
        <w:t>BB</w:t>
      </w:r>
      <w:r w:rsidR="00EC34EE">
        <w:t>a</w:t>
      </w:r>
      <w:proofErr w:type="spellEnd"/>
      <w:r>
        <w:t>).</w:t>
      </w:r>
    </w:p>
    <w:p w:rsidR="00DD5A1D" w:rsidRDefault="00DD5A1D" w:rsidP="009766E4">
      <w:pPr>
        <w:widowControl/>
        <w:ind w:firstLine="720"/>
      </w:pPr>
    </w:p>
    <w:p w:rsidR="00DD5A1D" w:rsidRDefault="00DD5A1D" w:rsidP="009766E4">
      <w:pPr>
        <w:keepNext/>
        <w:widowControl/>
        <w:outlineLvl w:val="0"/>
        <w:rPr>
          <w:b/>
          <w:bCs/>
        </w:rPr>
      </w:pPr>
      <w:r>
        <w:rPr>
          <w:b/>
          <w:bCs/>
        </w:rPr>
        <w:t>6.  Estimating the Burden and Cost of the Collection</w:t>
      </w:r>
    </w:p>
    <w:p w:rsidR="00DD5A1D" w:rsidRDefault="00DD5A1D" w:rsidP="009766E4">
      <w:pPr>
        <w:keepNext/>
        <w:widowControl/>
      </w:pPr>
    </w:p>
    <w:p w:rsidR="00DD5A1D" w:rsidRDefault="00DD5A1D" w:rsidP="009766E4">
      <w:pPr>
        <w:keepNext/>
        <w:widowControl/>
        <w:ind w:firstLine="720"/>
      </w:pPr>
      <w:r>
        <w:t>Table 1 documents the computation of individual burdens for the recordkeeping and reporting requirements applicable to the industry for the subpart included in this ICR.</w:t>
      </w:r>
      <w:r w:rsidR="005971B8">
        <w:t xml:space="preserve"> </w:t>
      </w:r>
      <w:r>
        <w:t>The individual burdens are expressed under standardized headings believed to be consistent with the concept of burden under the Paperwork Reduction Act.</w:t>
      </w:r>
      <w:r w:rsidR="005971B8">
        <w:t xml:space="preserve"> </w:t>
      </w:r>
      <w:r>
        <w:t>Wherever appropriate, specific tasks and major assumptions have been identified.</w:t>
      </w:r>
      <w:r w:rsidR="005971B8">
        <w:t xml:space="preserve"> </w:t>
      </w:r>
      <w:r>
        <w:t>Responses to this information collection are mandatory.</w:t>
      </w:r>
    </w:p>
    <w:p w:rsidR="00DD5A1D" w:rsidRDefault="00DD5A1D" w:rsidP="009766E4">
      <w:pPr>
        <w:widowControl/>
        <w:ind w:firstLine="720"/>
      </w:pPr>
    </w:p>
    <w:p w:rsidR="00DD5A1D" w:rsidRDefault="00DD5A1D" w:rsidP="009766E4">
      <w:pPr>
        <w:widowControl/>
        <w:ind w:firstLine="720"/>
      </w:pPr>
      <w:r>
        <w:t>The Agency may not conduct or sponsor, and a person is not required to respond to, a collection of information unless it displays a currently valid OMB Control Number.</w:t>
      </w:r>
    </w:p>
    <w:p w:rsidR="00DD5A1D" w:rsidRDefault="00DD5A1D" w:rsidP="009766E4">
      <w:pPr>
        <w:widowControl/>
      </w:pPr>
    </w:p>
    <w:p w:rsidR="00DD5A1D" w:rsidRPr="00B45B26" w:rsidRDefault="00DD5A1D" w:rsidP="009766E4">
      <w:pPr>
        <w:widowControl/>
        <w:rPr>
          <w:i/>
        </w:rPr>
      </w:pPr>
      <w:r w:rsidRPr="00B45B26">
        <w:rPr>
          <w:bCs/>
          <w:i/>
        </w:rPr>
        <w:t>(a)  Estimating Respondent Burden</w:t>
      </w:r>
    </w:p>
    <w:p w:rsidR="00DD5A1D" w:rsidRDefault="00DD5A1D" w:rsidP="009766E4">
      <w:pPr>
        <w:widowControl/>
      </w:pPr>
    </w:p>
    <w:p w:rsidR="00DD5A1D" w:rsidRDefault="00DD5A1D" w:rsidP="009766E4">
      <w:pPr>
        <w:widowControl/>
        <w:ind w:firstLine="720"/>
      </w:pPr>
      <w:r>
        <w:t xml:space="preserve">The average annual burden to industry over the next </w:t>
      </w:r>
      <w:r w:rsidR="00C26CDE">
        <w:t xml:space="preserve">3 </w:t>
      </w:r>
      <w:r>
        <w:t xml:space="preserve">years from these recordkeeping and reporting requirements is estimated to be </w:t>
      </w:r>
      <w:r w:rsidR="0098077E">
        <w:t>1,905</w:t>
      </w:r>
      <w:r w:rsidR="00286188" w:rsidRPr="00AB0D9B">
        <w:t xml:space="preserve"> hours</w:t>
      </w:r>
      <w:r w:rsidR="00286188">
        <w:t xml:space="preserve"> per year </w:t>
      </w:r>
      <w:r>
        <w:t>(To</w:t>
      </w:r>
      <w:r w:rsidR="00390931">
        <w:t>tal Labor Hours from Table 1).</w:t>
      </w:r>
      <w:r w:rsidR="005971B8">
        <w:t xml:space="preserve"> </w:t>
      </w:r>
      <w:r>
        <w:t>These hours are based on Agency studies and background documents from the development of the regulation, Agency knowledge and experience with the NSPS program, the previously approved ICR</w:t>
      </w:r>
      <w:r w:rsidR="00E36549">
        <w:t xml:space="preserve"> for </w:t>
      </w:r>
      <w:r w:rsidR="00157975">
        <w:t>S</w:t>
      </w:r>
      <w:r w:rsidR="00E36549">
        <w:t>ubpart BB</w:t>
      </w:r>
      <w:r>
        <w:t xml:space="preserve"> and any comments received.</w:t>
      </w:r>
    </w:p>
    <w:p w:rsidR="00DD5A1D" w:rsidRDefault="00DD5A1D" w:rsidP="009766E4">
      <w:pPr>
        <w:widowControl/>
        <w:rPr>
          <w:b/>
          <w:bCs/>
        </w:rPr>
      </w:pPr>
    </w:p>
    <w:p w:rsidR="00DD5A1D" w:rsidRPr="00B45B26" w:rsidRDefault="00DD5A1D" w:rsidP="009766E4">
      <w:pPr>
        <w:keepNext/>
        <w:widowControl/>
        <w:rPr>
          <w:bCs/>
          <w:i/>
        </w:rPr>
      </w:pPr>
      <w:r w:rsidRPr="00B45B26">
        <w:rPr>
          <w:bCs/>
          <w:i/>
        </w:rPr>
        <w:t>(b)  Estimating Respondent Costs</w:t>
      </w:r>
    </w:p>
    <w:p w:rsidR="00DD5A1D" w:rsidRDefault="00DD5A1D" w:rsidP="009766E4">
      <w:pPr>
        <w:keepNext/>
        <w:widowControl/>
        <w:rPr>
          <w:b/>
          <w:bCs/>
        </w:rPr>
      </w:pPr>
    </w:p>
    <w:p w:rsidR="00DD5A1D" w:rsidRDefault="00DD5A1D">
      <w:pPr>
        <w:keepNext/>
        <w:widowControl/>
        <w:ind w:firstLine="720"/>
        <w:outlineLvl w:val="0"/>
      </w:pPr>
      <w:r w:rsidRPr="000D6777">
        <w:rPr>
          <w:bCs/>
        </w:rPr>
        <w:t xml:space="preserve">(i)  </w:t>
      </w:r>
      <w:r w:rsidRPr="000D6777">
        <w:rPr>
          <w:bCs/>
          <w:u w:val="single"/>
        </w:rPr>
        <w:t>Estimating Labor Costs</w:t>
      </w:r>
      <w:r w:rsidR="00B45B26" w:rsidRPr="000D6777">
        <w:rPr>
          <w:bCs/>
        </w:rPr>
        <w:t>.</w:t>
      </w:r>
      <w:r w:rsidR="00084E62">
        <w:rPr>
          <w:bCs/>
        </w:rPr>
        <w:t xml:space="preserve"> </w:t>
      </w:r>
      <w:r w:rsidR="00286188">
        <w:t>Labor rates and associated costs are based on Bureau of Labor Statistics (BLS) data. Technical, management and clerical average hourly rates for private industry workers were taken from the United States Department of Labor, Bureau of Labor of Statistics, September, 201</w:t>
      </w:r>
      <w:r w:rsidR="007B0DDE">
        <w:t>2</w:t>
      </w:r>
      <w:r w:rsidR="00286188">
        <w:t xml:space="preserve">, “Table 2. </w:t>
      </w:r>
      <w:proofErr w:type="gramStart"/>
      <w:r w:rsidR="00286188">
        <w:t xml:space="preserve">Civilian Workers, by Occupational and Industry group.” </w:t>
      </w:r>
      <w:hyperlink r:id="rId8" w:history="1">
        <w:r w:rsidR="007B0DDE" w:rsidRPr="00966DCE">
          <w:rPr>
            <w:rStyle w:val="Hyperlink"/>
          </w:rPr>
          <w:t>http://www.bls.gov/news.release/ecec.t02.htm</w:t>
        </w:r>
      </w:hyperlink>
      <w:r w:rsidR="007B0DDE">
        <w:t>.</w:t>
      </w:r>
      <w:proofErr w:type="gramEnd"/>
      <w:r w:rsidR="007B0DDE">
        <w:t xml:space="preserve"> Wages for occupational groups are used as the basis for the labor rates, with a total compensation of $48.23 per hour for technical, $58.33 per hour for managerial, and $24.19 per hour for clerical. These rates represent salaries plus fringe benefits and do not include the cost of overhead. An overhead rate of 110 percent was used to account for these costs. The fully-burdened hourly wage rates used to represent respondent labor costs are: technical at $101.28, management at $122.49, and clerical at $50.80.</w:t>
      </w:r>
    </w:p>
    <w:p w:rsidR="009D086C" w:rsidRDefault="009D086C" w:rsidP="00FC7AAF">
      <w:pPr>
        <w:widowControl/>
        <w:ind w:firstLine="1440"/>
        <w:rPr>
          <w:b/>
          <w:bCs/>
        </w:rPr>
      </w:pPr>
    </w:p>
    <w:p w:rsidR="00DD5A1D" w:rsidRDefault="00DD5A1D" w:rsidP="00FC7AAF">
      <w:pPr>
        <w:widowControl/>
        <w:ind w:firstLine="720"/>
        <w:outlineLvl w:val="0"/>
      </w:pPr>
      <w:r w:rsidRPr="000D6777">
        <w:rPr>
          <w:bCs/>
        </w:rPr>
        <w:lastRenderedPageBreak/>
        <w:t xml:space="preserve">(ii)  </w:t>
      </w:r>
      <w:r w:rsidRPr="000D6777">
        <w:rPr>
          <w:bCs/>
          <w:u w:val="single"/>
        </w:rPr>
        <w:t xml:space="preserve">Estimating Capital/Startup and Operation and Maintenance </w:t>
      </w:r>
      <w:r w:rsidR="007B0DDE">
        <w:rPr>
          <w:bCs/>
          <w:u w:val="single"/>
        </w:rPr>
        <w:t xml:space="preserve">(O&amp;M) </w:t>
      </w:r>
      <w:r w:rsidRPr="000D6777">
        <w:rPr>
          <w:bCs/>
          <w:u w:val="single"/>
        </w:rPr>
        <w:t>Costs</w:t>
      </w:r>
      <w:r w:rsidR="000D6777" w:rsidRPr="000D6777">
        <w:rPr>
          <w:bCs/>
        </w:rPr>
        <w:t xml:space="preserve">. </w:t>
      </w:r>
      <w:r>
        <w:t xml:space="preserve">The type of industry costs associated with the information collection activities in the subject standard </w:t>
      </w:r>
      <w:r w:rsidR="00D57163">
        <w:t>include labor costs (</w:t>
      </w:r>
      <w:r>
        <w:t xml:space="preserve">which are </w:t>
      </w:r>
      <w:r w:rsidR="00D57163">
        <w:t>addressed elsewhere in this ICR)</w:t>
      </w:r>
      <w:r>
        <w:t xml:space="preserve"> and the costs associated with continuous monitoring</w:t>
      </w:r>
      <w:r w:rsidR="00D57163">
        <w:t xml:space="preserve"> and performance testing</w:t>
      </w:r>
      <w:r>
        <w:t>.</w:t>
      </w:r>
      <w:r w:rsidR="005971B8">
        <w:t xml:space="preserve"> </w:t>
      </w:r>
      <w:r>
        <w:t>The capital/startup costs are one-time costs when a facility becomes subject to the regulation</w:t>
      </w:r>
      <w:r w:rsidR="007B0DDE">
        <w:t xml:space="preserve"> and include startup costs for </w:t>
      </w:r>
      <w:r w:rsidR="00DF5A9A">
        <w:t>continuous monitoring systems (</w:t>
      </w:r>
      <w:r w:rsidR="007B0DDE">
        <w:t>CMS</w:t>
      </w:r>
      <w:r w:rsidR="00DF5A9A">
        <w:t>)</w:t>
      </w:r>
      <w:r w:rsidR="00D57163">
        <w:t xml:space="preserve"> and the purchase of stack testing services</w:t>
      </w:r>
      <w:r>
        <w:t>.</w:t>
      </w:r>
      <w:r w:rsidR="005971B8">
        <w:t xml:space="preserve"> </w:t>
      </w:r>
      <w:r>
        <w:t xml:space="preserve">The annual </w:t>
      </w:r>
      <w:r w:rsidR="007B0DDE">
        <w:t>O&amp;M</w:t>
      </w:r>
      <w:r>
        <w:t xml:space="preserve"> costs are the ongoing costs to </w:t>
      </w:r>
      <w:r w:rsidR="00904285">
        <w:t xml:space="preserve">operate and </w:t>
      </w:r>
      <w:r>
        <w:t>maintain the monitor</w:t>
      </w:r>
      <w:r w:rsidR="00D57163">
        <w:t xml:space="preserve"> and the cost for 5-year repeat stack tests (which are not incurred during the initial 3-year ICR period but would be incurred in future ICR renewal years)</w:t>
      </w:r>
      <w:r>
        <w:t>.</w:t>
      </w:r>
      <w:r w:rsidR="00D57163">
        <w:t xml:space="preserve"> </w:t>
      </w:r>
    </w:p>
    <w:p w:rsidR="00DD5A1D" w:rsidRDefault="00DD5A1D" w:rsidP="00FC7AAF">
      <w:pPr>
        <w:widowControl/>
        <w:spacing w:line="248" w:lineRule="auto"/>
      </w:pPr>
    </w:p>
    <w:p w:rsidR="00D57163" w:rsidRDefault="00DD5A1D" w:rsidP="00FC7AAF">
      <w:pPr>
        <w:widowControl/>
        <w:spacing w:line="248" w:lineRule="auto"/>
        <w:ind w:firstLine="720"/>
        <w:outlineLvl w:val="0"/>
      </w:pPr>
      <w:r w:rsidRPr="000D6777">
        <w:rPr>
          <w:bCs/>
        </w:rPr>
        <w:t xml:space="preserve">(iii)  </w:t>
      </w:r>
      <w:r w:rsidRPr="000D6777">
        <w:rPr>
          <w:bCs/>
          <w:u w:val="single"/>
        </w:rPr>
        <w:t>Capital/Startup vs. Operation and Maintenance (O&amp;M) Costs</w:t>
      </w:r>
      <w:r w:rsidR="000D6777" w:rsidRPr="000D6777">
        <w:rPr>
          <w:bCs/>
          <w:u w:val="single"/>
        </w:rPr>
        <w:t>.</w:t>
      </w:r>
      <w:r w:rsidR="00084E62">
        <w:rPr>
          <w:bCs/>
          <w:u w:val="single"/>
        </w:rPr>
        <w:t xml:space="preserve"> </w:t>
      </w:r>
      <w:r w:rsidR="00D57163">
        <w:t>The table below summarizes the capital/startup and O&amp;M costs associated with CMS and performance tests.</w:t>
      </w:r>
    </w:p>
    <w:p w:rsidR="00D57163" w:rsidRDefault="00D57163" w:rsidP="009766E4">
      <w:pPr>
        <w:widowControl/>
        <w:autoSpaceDE/>
        <w:autoSpaceDN/>
        <w:adjustRightInd/>
      </w:pPr>
    </w:p>
    <w:p w:rsidR="00D57163" w:rsidRDefault="00471FAA" w:rsidP="009766E4">
      <w:pPr>
        <w:keepNext/>
        <w:widowControl/>
        <w:spacing w:line="248" w:lineRule="auto"/>
        <w:jc w:val="center"/>
      </w:pPr>
      <w:r>
        <w:rPr>
          <w:b/>
          <w:bCs/>
        </w:rPr>
        <w:t>Capital/Startup vs. Operation and Maintenance (O&amp;M)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2700"/>
        <w:gridCol w:w="1170"/>
        <w:gridCol w:w="1260"/>
        <w:gridCol w:w="900"/>
        <w:gridCol w:w="1170"/>
        <w:gridCol w:w="1260"/>
        <w:gridCol w:w="1080"/>
      </w:tblGrid>
      <w:tr w:rsidR="00FE5A10" w:rsidTr="00236792">
        <w:trPr>
          <w:cantSplit/>
          <w:trHeight w:val="271"/>
          <w:tblHeader/>
          <w:jc w:val="center"/>
        </w:trPr>
        <w:tc>
          <w:tcPr>
            <w:tcW w:w="2700" w:type="dxa"/>
            <w:shd w:val="clear" w:color="auto" w:fill="auto"/>
            <w:vAlign w:val="bottom"/>
          </w:tcPr>
          <w:p w:rsidR="00DD5A1D" w:rsidRPr="003B67FB" w:rsidRDefault="00DD5A1D" w:rsidP="009766E4">
            <w:pPr>
              <w:keepNext/>
              <w:widowControl/>
              <w:spacing w:line="247" w:lineRule="auto"/>
              <w:jc w:val="center"/>
              <w:rPr>
                <w:b/>
                <w:sz w:val="18"/>
                <w:szCs w:val="18"/>
              </w:rPr>
            </w:pPr>
            <w:r w:rsidRPr="003B67FB">
              <w:rPr>
                <w:b/>
                <w:sz w:val="18"/>
                <w:szCs w:val="18"/>
              </w:rPr>
              <w:t>(A)</w:t>
            </w:r>
          </w:p>
          <w:p w:rsidR="00DD5A1D" w:rsidRPr="003B67FB" w:rsidRDefault="00DD5A1D">
            <w:pPr>
              <w:keepNext/>
              <w:widowControl/>
              <w:spacing w:after="52" w:line="247" w:lineRule="auto"/>
              <w:jc w:val="center"/>
              <w:rPr>
                <w:b/>
                <w:sz w:val="18"/>
                <w:szCs w:val="18"/>
              </w:rPr>
            </w:pPr>
            <w:r w:rsidRPr="003B67FB">
              <w:rPr>
                <w:b/>
                <w:sz w:val="18"/>
                <w:szCs w:val="18"/>
              </w:rPr>
              <w:t>Continuous Monitoring Device</w:t>
            </w:r>
          </w:p>
        </w:tc>
        <w:tc>
          <w:tcPr>
            <w:tcW w:w="1170" w:type="dxa"/>
            <w:shd w:val="clear" w:color="auto" w:fill="auto"/>
            <w:vAlign w:val="bottom"/>
          </w:tcPr>
          <w:p w:rsidR="00DD5A1D" w:rsidRPr="003B67FB" w:rsidRDefault="00DD5A1D">
            <w:pPr>
              <w:keepNext/>
              <w:widowControl/>
              <w:spacing w:line="247" w:lineRule="auto"/>
              <w:jc w:val="center"/>
              <w:rPr>
                <w:b/>
                <w:sz w:val="18"/>
                <w:szCs w:val="18"/>
              </w:rPr>
            </w:pPr>
            <w:r w:rsidRPr="003B67FB">
              <w:rPr>
                <w:b/>
                <w:sz w:val="18"/>
                <w:szCs w:val="18"/>
              </w:rPr>
              <w:t>(B)</w:t>
            </w:r>
          </w:p>
          <w:p w:rsidR="00DD5A1D" w:rsidRPr="003B67FB" w:rsidRDefault="00DD5A1D" w:rsidP="004D6BB0">
            <w:pPr>
              <w:keepNext/>
              <w:widowControl/>
              <w:spacing w:line="247" w:lineRule="auto"/>
              <w:jc w:val="center"/>
              <w:rPr>
                <w:b/>
                <w:sz w:val="18"/>
                <w:szCs w:val="18"/>
              </w:rPr>
            </w:pPr>
            <w:r w:rsidRPr="003B67FB">
              <w:rPr>
                <w:b/>
                <w:sz w:val="18"/>
                <w:szCs w:val="18"/>
              </w:rPr>
              <w:t>Capital/</w:t>
            </w:r>
          </w:p>
          <w:p w:rsidR="00DD5A1D" w:rsidRPr="003B67FB" w:rsidRDefault="00DD5A1D">
            <w:pPr>
              <w:keepNext/>
              <w:widowControl/>
              <w:spacing w:after="52" w:line="247" w:lineRule="auto"/>
              <w:jc w:val="center"/>
              <w:rPr>
                <w:b/>
                <w:sz w:val="18"/>
                <w:szCs w:val="18"/>
              </w:rPr>
            </w:pPr>
            <w:r w:rsidRPr="003B67FB">
              <w:rPr>
                <w:b/>
                <w:sz w:val="18"/>
                <w:szCs w:val="18"/>
              </w:rPr>
              <w:t>Startup Cost for One Respondent</w:t>
            </w:r>
          </w:p>
        </w:tc>
        <w:tc>
          <w:tcPr>
            <w:tcW w:w="1260" w:type="dxa"/>
            <w:shd w:val="clear" w:color="auto" w:fill="auto"/>
            <w:vAlign w:val="bottom"/>
          </w:tcPr>
          <w:p w:rsidR="00DD5A1D" w:rsidRPr="003B67FB" w:rsidRDefault="00DD5A1D">
            <w:pPr>
              <w:keepNext/>
              <w:widowControl/>
              <w:spacing w:line="247" w:lineRule="auto"/>
              <w:jc w:val="center"/>
              <w:rPr>
                <w:b/>
                <w:sz w:val="18"/>
                <w:szCs w:val="18"/>
              </w:rPr>
            </w:pPr>
            <w:r w:rsidRPr="003B67FB">
              <w:rPr>
                <w:b/>
                <w:sz w:val="18"/>
                <w:szCs w:val="18"/>
              </w:rPr>
              <w:t>(C)</w:t>
            </w:r>
          </w:p>
          <w:p w:rsidR="00DD5A1D" w:rsidRPr="003B67FB" w:rsidRDefault="00DD5A1D">
            <w:pPr>
              <w:keepNext/>
              <w:widowControl/>
              <w:spacing w:after="52" w:line="247" w:lineRule="auto"/>
              <w:jc w:val="center"/>
              <w:rPr>
                <w:b/>
                <w:sz w:val="18"/>
                <w:szCs w:val="18"/>
              </w:rPr>
            </w:pPr>
            <w:r w:rsidRPr="003B67FB">
              <w:rPr>
                <w:b/>
                <w:sz w:val="18"/>
                <w:szCs w:val="18"/>
              </w:rPr>
              <w:t xml:space="preserve">Number of New Respondents </w:t>
            </w:r>
          </w:p>
        </w:tc>
        <w:tc>
          <w:tcPr>
            <w:tcW w:w="900" w:type="dxa"/>
            <w:shd w:val="clear" w:color="auto" w:fill="auto"/>
            <w:vAlign w:val="bottom"/>
          </w:tcPr>
          <w:p w:rsidR="00DD5A1D" w:rsidRPr="003B67FB" w:rsidRDefault="00DD5A1D">
            <w:pPr>
              <w:keepNext/>
              <w:widowControl/>
              <w:spacing w:line="247" w:lineRule="auto"/>
              <w:jc w:val="center"/>
              <w:rPr>
                <w:b/>
                <w:sz w:val="18"/>
                <w:szCs w:val="18"/>
              </w:rPr>
            </w:pPr>
            <w:r w:rsidRPr="003B67FB">
              <w:rPr>
                <w:b/>
                <w:sz w:val="18"/>
                <w:szCs w:val="18"/>
              </w:rPr>
              <w:t>(D)</w:t>
            </w:r>
          </w:p>
          <w:p w:rsidR="00DD5A1D" w:rsidRPr="003B67FB" w:rsidRDefault="00DD5A1D">
            <w:pPr>
              <w:keepNext/>
              <w:widowControl/>
              <w:spacing w:line="247" w:lineRule="auto"/>
              <w:jc w:val="center"/>
              <w:rPr>
                <w:b/>
                <w:sz w:val="18"/>
                <w:szCs w:val="18"/>
              </w:rPr>
            </w:pPr>
            <w:r w:rsidRPr="003B67FB">
              <w:rPr>
                <w:b/>
                <w:sz w:val="18"/>
                <w:szCs w:val="18"/>
              </w:rPr>
              <w:t>Total Capital/</w:t>
            </w:r>
            <w:r w:rsidR="000909E9" w:rsidRPr="003B67FB">
              <w:rPr>
                <w:b/>
                <w:sz w:val="18"/>
                <w:szCs w:val="18"/>
              </w:rPr>
              <w:t xml:space="preserve"> </w:t>
            </w:r>
            <w:r w:rsidRPr="003B67FB">
              <w:rPr>
                <w:b/>
                <w:sz w:val="18"/>
                <w:szCs w:val="18"/>
              </w:rPr>
              <w:t xml:space="preserve">Startup Cost </w:t>
            </w:r>
          </w:p>
          <w:p w:rsidR="00DD5A1D" w:rsidRPr="003B67FB" w:rsidRDefault="00DD5A1D">
            <w:pPr>
              <w:keepNext/>
              <w:widowControl/>
              <w:spacing w:line="247" w:lineRule="auto"/>
              <w:jc w:val="center"/>
              <w:rPr>
                <w:b/>
                <w:sz w:val="18"/>
                <w:szCs w:val="18"/>
              </w:rPr>
            </w:pPr>
            <w:r w:rsidRPr="003B67FB">
              <w:rPr>
                <w:b/>
                <w:sz w:val="18"/>
                <w:szCs w:val="18"/>
              </w:rPr>
              <w:t xml:space="preserve">(B X C) </w:t>
            </w:r>
          </w:p>
        </w:tc>
        <w:tc>
          <w:tcPr>
            <w:tcW w:w="1170" w:type="dxa"/>
            <w:shd w:val="clear" w:color="auto" w:fill="auto"/>
            <w:vAlign w:val="bottom"/>
          </w:tcPr>
          <w:p w:rsidR="00DD5A1D" w:rsidRPr="003B67FB" w:rsidRDefault="00DD5A1D">
            <w:pPr>
              <w:keepNext/>
              <w:widowControl/>
              <w:spacing w:line="247" w:lineRule="auto"/>
              <w:jc w:val="center"/>
              <w:rPr>
                <w:b/>
                <w:sz w:val="18"/>
                <w:szCs w:val="18"/>
              </w:rPr>
            </w:pPr>
            <w:r w:rsidRPr="003B67FB">
              <w:rPr>
                <w:b/>
                <w:sz w:val="18"/>
                <w:szCs w:val="18"/>
              </w:rPr>
              <w:t>(E)</w:t>
            </w:r>
          </w:p>
          <w:p w:rsidR="00DD5A1D" w:rsidRPr="003B67FB" w:rsidRDefault="00DD5A1D">
            <w:pPr>
              <w:keepNext/>
              <w:widowControl/>
              <w:spacing w:after="52" w:line="247" w:lineRule="auto"/>
              <w:jc w:val="center"/>
              <w:rPr>
                <w:b/>
                <w:sz w:val="18"/>
                <w:szCs w:val="18"/>
              </w:rPr>
            </w:pPr>
            <w:r w:rsidRPr="003B67FB">
              <w:rPr>
                <w:b/>
                <w:sz w:val="18"/>
                <w:szCs w:val="18"/>
              </w:rPr>
              <w:t>Annual O&amp;M Costs for One Respondent</w:t>
            </w:r>
          </w:p>
        </w:tc>
        <w:tc>
          <w:tcPr>
            <w:tcW w:w="1260" w:type="dxa"/>
            <w:shd w:val="clear" w:color="auto" w:fill="auto"/>
            <w:vAlign w:val="bottom"/>
          </w:tcPr>
          <w:p w:rsidR="00DD5A1D" w:rsidRPr="003B67FB" w:rsidRDefault="00DD5A1D">
            <w:pPr>
              <w:keepNext/>
              <w:widowControl/>
              <w:spacing w:line="247" w:lineRule="auto"/>
              <w:jc w:val="center"/>
              <w:rPr>
                <w:b/>
                <w:sz w:val="18"/>
                <w:szCs w:val="18"/>
              </w:rPr>
            </w:pPr>
            <w:r w:rsidRPr="003B67FB">
              <w:rPr>
                <w:b/>
                <w:sz w:val="18"/>
                <w:szCs w:val="18"/>
              </w:rPr>
              <w:t>(F)</w:t>
            </w:r>
          </w:p>
          <w:p w:rsidR="00DD5A1D" w:rsidRPr="003B67FB" w:rsidRDefault="00DD5A1D">
            <w:pPr>
              <w:keepNext/>
              <w:widowControl/>
              <w:spacing w:after="52" w:line="247" w:lineRule="auto"/>
              <w:jc w:val="center"/>
              <w:rPr>
                <w:b/>
                <w:sz w:val="18"/>
                <w:szCs w:val="18"/>
              </w:rPr>
            </w:pPr>
            <w:r w:rsidRPr="003B67FB">
              <w:rPr>
                <w:b/>
                <w:sz w:val="18"/>
                <w:szCs w:val="18"/>
              </w:rPr>
              <w:t xml:space="preserve">Number of Respondents with O&amp;M </w:t>
            </w:r>
          </w:p>
        </w:tc>
        <w:tc>
          <w:tcPr>
            <w:tcW w:w="1080" w:type="dxa"/>
            <w:shd w:val="clear" w:color="auto" w:fill="auto"/>
            <w:vAlign w:val="bottom"/>
          </w:tcPr>
          <w:p w:rsidR="00DD5A1D" w:rsidRPr="003B67FB" w:rsidRDefault="00DD5A1D">
            <w:pPr>
              <w:keepNext/>
              <w:widowControl/>
              <w:spacing w:line="247" w:lineRule="auto"/>
              <w:jc w:val="center"/>
              <w:rPr>
                <w:b/>
                <w:sz w:val="18"/>
                <w:szCs w:val="18"/>
                <w:lang w:val="es-ES"/>
              </w:rPr>
            </w:pPr>
            <w:r w:rsidRPr="003B67FB">
              <w:rPr>
                <w:b/>
                <w:sz w:val="18"/>
                <w:szCs w:val="18"/>
                <w:lang w:val="es-ES"/>
              </w:rPr>
              <w:t>(G)</w:t>
            </w:r>
          </w:p>
          <w:p w:rsidR="00DD5A1D" w:rsidRPr="003B67FB" w:rsidRDefault="00DD5A1D">
            <w:pPr>
              <w:keepNext/>
              <w:widowControl/>
              <w:spacing w:line="247" w:lineRule="auto"/>
              <w:jc w:val="center"/>
              <w:rPr>
                <w:b/>
                <w:sz w:val="18"/>
                <w:szCs w:val="18"/>
                <w:lang w:val="es-ES"/>
              </w:rPr>
            </w:pPr>
            <w:r w:rsidRPr="003B67FB">
              <w:rPr>
                <w:b/>
                <w:sz w:val="18"/>
                <w:szCs w:val="18"/>
                <w:lang w:val="es-ES"/>
              </w:rPr>
              <w:t>Total O&amp;M,</w:t>
            </w:r>
          </w:p>
          <w:p w:rsidR="00DD5A1D" w:rsidRPr="003B67FB" w:rsidRDefault="00DD5A1D">
            <w:pPr>
              <w:keepNext/>
              <w:widowControl/>
              <w:spacing w:after="52" w:line="247" w:lineRule="auto"/>
              <w:jc w:val="center"/>
              <w:rPr>
                <w:b/>
                <w:sz w:val="18"/>
                <w:szCs w:val="18"/>
                <w:lang w:val="es-ES"/>
              </w:rPr>
            </w:pPr>
            <w:r w:rsidRPr="003B67FB">
              <w:rPr>
                <w:b/>
                <w:sz w:val="18"/>
                <w:szCs w:val="18"/>
                <w:lang w:val="es-ES"/>
              </w:rPr>
              <w:t>(E X F)</w:t>
            </w:r>
          </w:p>
        </w:tc>
      </w:tr>
      <w:tr w:rsidR="00FE5A10" w:rsidTr="00236792">
        <w:trPr>
          <w:cantSplit/>
          <w:jc w:val="center"/>
        </w:trPr>
        <w:tc>
          <w:tcPr>
            <w:tcW w:w="2700" w:type="dxa"/>
            <w:shd w:val="clear" w:color="auto" w:fill="auto"/>
            <w:vAlign w:val="center"/>
          </w:tcPr>
          <w:p w:rsidR="00DD5A1D" w:rsidRPr="00FE5A10" w:rsidRDefault="00DD5A1D" w:rsidP="005E146D">
            <w:pPr>
              <w:widowControl/>
              <w:spacing w:after="52" w:line="247" w:lineRule="auto"/>
              <w:rPr>
                <w:sz w:val="18"/>
                <w:szCs w:val="18"/>
              </w:rPr>
            </w:pPr>
            <w:r w:rsidRPr="00FE5A10">
              <w:rPr>
                <w:sz w:val="18"/>
                <w:szCs w:val="18"/>
              </w:rPr>
              <w:t>Opacity monitor</w:t>
            </w:r>
          </w:p>
        </w:tc>
        <w:tc>
          <w:tcPr>
            <w:tcW w:w="117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$40,000</w:t>
            </w:r>
          </w:p>
        </w:tc>
        <w:tc>
          <w:tcPr>
            <w:tcW w:w="1260" w:type="dxa"/>
            <w:shd w:val="clear" w:color="auto" w:fill="auto"/>
            <w:vAlign w:val="center"/>
          </w:tcPr>
          <w:p w:rsidR="00DD5A1D" w:rsidRPr="00FE5A10" w:rsidRDefault="00E36549" w:rsidP="005E146D">
            <w:pPr>
              <w:widowControl/>
              <w:spacing w:after="52" w:line="247" w:lineRule="auto"/>
              <w:jc w:val="center"/>
              <w:rPr>
                <w:sz w:val="18"/>
                <w:szCs w:val="18"/>
              </w:rPr>
            </w:pPr>
            <w:r w:rsidRPr="00FE5A10">
              <w:rPr>
                <w:sz w:val="18"/>
                <w:szCs w:val="18"/>
              </w:rPr>
              <w:t>2</w:t>
            </w:r>
          </w:p>
        </w:tc>
        <w:tc>
          <w:tcPr>
            <w:tcW w:w="900" w:type="dxa"/>
            <w:shd w:val="clear" w:color="auto" w:fill="auto"/>
            <w:vAlign w:val="center"/>
          </w:tcPr>
          <w:p w:rsidR="00DD5A1D" w:rsidRPr="00FE5A10" w:rsidRDefault="00904285" w:rsidP="005E146D">
            <w:pPr>
              <w:widowControl/>
              <w:spacing w:after="52" w:line="247" w:lineRule="auto"/>
              <w:jc w:val="center"/>
              <w:rPr>
                <w:sz w:val="18"/>
                <w:szCs w:val="18"/>
              </w:rPr>
            </w:pPr>
            <w:r w:rsidRPr="00FE5A10">
              <w:rPr>
                <w:sz w:val="18"/>
                <w:szCs w:val="18"/>
              </w:rPr>
              <w:t>$</w:t>
            </w:r>
            <w:r w:rsidR="000909E9" w:rsidRPr="00FE5A10">
              <w:rPr>
                <w:sz w:val="18"/>
                <w:szCs w:val="18"/>
              </w:rPr>
              <w:t>80,000</w:t>
            </w:r>
          </w:p>
        </w:tc>
        <w:tc>
          <w:tcPr>
            <w:tcW w:w="117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$8,600</w:t>
            </w:r>
          </w:p>
        </w:tc>
        <w:tc>
          <w:tcPr>
            <w:tcW w:w="1260" w:type="dxa"/>
            <w:shd w:val="clear" w:color="auto" w:fill="auto"/>
            <w:vAlign w:val="center"/>
          </w:tcPr>
          <w:p w:rsidR="00DD5A1D" w:rsidRPr="00FE5A10" w:rsidRDefault="00E36549" w:rsidP="005E146D">
            <w:pPr>
              <w:widowControl/>
              <w:spacing w:after="52" w:line="247" w:lineRule="auto"/>
              <w:jc w:val="center"/>
              <w:rPr>
                <w:sz w:val="18"/>
                <w:szCs w:val="18"/>
              </w:rPr>
            </w:pPr>
            <w:r w:rsidRPr="00FE5A10">
              <w:rPr>
                <w:sz w:val="18"/>
                <w:szCs w:val="18"/>
              </w:rPr>
              <w:t>4</w:t>
            </w:r>
          </w:p>
        </w:tc>
        <w:tc>
          <w:tcPr>
            <w:tcW w:w="108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w:t>
            </w:r>
            <w:r w:rsidR="000909E9" w:rsidRPr="00FE5A10">
              <w:rPr>
                <w:sz w:val="18"/>
                <w:szCs w:val="18"/>
              </w:rPr>
              <w:t>34,400</w:t>
            </w:r>
          </w:p>
        </w:tc>
      </w:tr>
      <w:tr w:rsidR="00FE5A10" w:rsidTr="00236792">
        <w:trPr>
          <w:cantSplit/>
          <w:trHeight w:val="63"/>
          <w:jc w:val="center"/>
        </w:trPr>
        <w:tc>
          <w:tcPr>
            <w:tcW w:w="2700" w:type="dxa"/>
            <w:shd w:val="clear" w:color="auto" w:fill="auto"/>
            <w:vAlign w:val="center"/>
          </w:tcPr>
          <w:p w:rsidR="00DD5A1D" w:rsidRPr="00FE5A10" w:rsidRDefault="00DD5A1D" w:rsidP="005E146D">
            <w:pPr>
              <w:widowControl/>
              <w:spacing w:after="52" w:line="247" w:lineRule="auto"/>
              <w:rPr>
                <w:sz w:val="18"/>
                <w:szCs w:val="18"/>
              </w:rPr>
            </w:pPr>
            <w:r w:rsidRPr="00FE5A10">
              <w:rPr>
                <w:sz w:val="18"/>
                <w:szCs w:val="18"/>
              </w:rPr>
              <w:t>TRS monitor</w:t>
            </w:r>
          </w:p>
        </w:tc>
        <w:tc>
          <w:tcPr>
            <w:tcW w:w="117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$108,000</w:t>
            </w:r>
          </w:p>
        </w:tc>
        <w:tc>
          <w:tcPr>
            <w:tcW w:w="1260" w:type="dxa"/>
            <w:shd w:val="clear" w:color="auto" w:fill="auto"/>
            <w:vAlign w:val="center"/>
          </w:tcPr>
          <w:p w:rsidR="00DD5A1D" w:rsidRPr="00FE5A10" w:rsidRDefault="00E36549" w:rsidP="005E146D">
            <w:pPr>
              <w:widowControl/>
              <w:spacing w:after="52" w:line="247" w:lineRule="auto"/>
              <w:jc w:val="center"/>
              <w:rPr>
                <w:sz w:val="18"/>
                <w:szCs w:val="18"/>
              </w:rPr>
            </w:pPr>
            <w:r w:rsidRPr="00FE5A10">
              <w:rPr>
                <w:sz w:val="18"/>
                <w:szCs w:val="18"/>
              </w:rPr>
              <w:t>2</w:t>
            </w:r>
          </w:p>
        </w:tc>
        <w:tc>
          <w:tcPr>
            <w:tcW w:w="90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w:t>
            </w:r>
            <w:r w:rsidR="000909E9" w:rsidRPr="00FE5A10">
              <w:rPr>
                <w:sz w:val="18"/>
                <w:szCs w:val="18"/>
              </w:rPr>
              <w:t>216</w:t>
            </w:r>
            <w:r w:rsidRPr="00FE5A10">
              <w:rPr>
                <w:sz w:val="18"/>
                <w:szCs w:val="18"/>
              </w:rPr>
              <w:t>,000</w:t>
            </w:r>
          </w:p>
        </w:tc>
        <w:tc>
          <w:tcPr>
            <w:tcW w:w="117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$23,000</w:t>
            </w:r>
          </w:p>
        </w:tc>
        <w:tc>
          <w:tcPr>
            <w:tcW w:w="1260" w:type="dxa"/>
            <w:shd w:val="clear" w:color="auto" w:fill="auto"/>
            <w:vAlign w:val="center"/>
          </w:tcPr>
          <w:p w:rsidR="00DD5A1D" w:rsidRPr="00FE5A10" w:rsidRDefault="00E36549" w:rsidP="005E146D">
            <w:pPr>
              <w:widowControl/>
              <w:spacing w:after="52" w:line="247" w:lineRule="auto"/>
              <w:jc w:val="center"/>
              <w:rPr>
                <w:sz w:val="18"/>
                <w:szCs w:val="18"/>
              </w:rPr>
            </w:pPr>
            <w:r w:rsidRPr="00FE5A10">
              <w:rPr>
                <w:sz w:val="18"/>
                <w:szCs w:val="18"/>
              </w:rPr>
              <w:t>4</w:t>
            </w:r>
          </w:p>
        </w:tc>
        <w:tc>
          <w:tcPr>
            <w:tcW w:w="1080" w:type="dxa"/>
            <w:shd w:val="clear" w:color="auto" w:fill="auto"/>
            <w:vAlign w:val="center"/>
          </w:tcPr>
          <w:p w:rsidR="00DD5A1D" w:rsidRPr="00FE5A10" w:rsidRDefault="00F21A0B" w:rsidP="005E146D">
            <w:pPr>
              <w:widowControl/>
              <w:spacing w:after="52" w:line="247" w:lineRule="auto"/>
              <w:jc w:val="center"/>
              <w:rPr>
                <w:sz w:val="18"/>
                <w:szCs w:val="18"/>
              </w:rPr>
            </w:pPr>
            <w:r w:rsidRPr="00FE5A10">
              <w:rPr>
                <w:sz w:val="18"/>
                <w:szCs w:val="18"/>
              </w:rPr>
              <w:t>$</w:t>
            </w:r>
            <w:r w:rsidR="000909E9" w:rsidRPr="00FE5A10">
              <w:rPr>
                <w:sz w:val="18"/>
                <w:szCs w:val="18"/>
              </w:rPr>
              <w:t>9</w:t>
            </w:r>
            <w:r w:rsidRPr="00FE5A10">
              <w:rPr>
                <w:sz w:val="18"/>
                <w:szCs w:val="18"/>
              </w:rPr>
              <w:t>2</w:t>
            </w:r>
            <w:r w:rsidR="00DD5A1D" w:rsidRPr="00FE5A10">
              <w:rPr>
                <w:sz w:val="18"/>
                <w:szCs w:val="18"/>
              </w:rPr>
              <w:t>,000</w:t>
            </w:r>
          </w:p>
        </w:tc>
      </w:tr>
      <w:tr w:rsidR="0098077E" w:rsidTr="00236792">
        <w:trPr>
          <w:cantSplit/>
          <w:jc w:val="center"/>
        </w:trPr>
        <w:tc>
          <w:tcPr>
            <w:tcW w:w="2700" w:type="dxa"/>
            <w:shd w:val="clear" w:color="auto" w:fill="auto"/>
            <w:vAlign w:val="center"/>
          </w:tcPr>
          <w:p w:rsidR="0098077E" w:rsidRPr="00FE5A10" w:rsidRDefault="0098077E" w:rsidP="005E146D">
            <w:pPr>
              <w:widowControl/>
              <w:spacing w:after="52" w:line="247" w:lineRule="auto"/>
              <w:rPr>
                <w:sz w:val="18"/>
                <w:szCs w:val="18"/>
              </w:rPr>
            </w:pPr>
            <w:r w:rsidRPr="0098077E">
              <w:rPr>
                <w:sz w:val="18"/>
                <w:szCs w:val="18"/>
              </w:rPr>
              <w:t>ESP voltage and current monitors</w:t>
            </w:r>
          </w:p>
        </w:tc>
        <w:tc>
          <w:tcPr>
            <w:tcW w:w="1170" w:type="dxa"/>
            <w:shd w:val="clear" w:color="auto" w:fill="auto"/>
            <w:vAlign w:val="center"/>
          </w:tcPr>
          <w:p w:rsidR="0098077E" w:rsidRPr="00FE5A10" w:rsidRDefault="0098077E" w:rsidP="005E146D">
            <w:pPr>
              <w:widowControl/>
              <w:spacing w:after="52" w:line="247" w:lineRule="auto"/>
              <w:jc w:val="center"/>
              <w:rPr>
                <w:sz w:val="18"/>
                <w:szCs w:val="18"/>
              </w:rPr>
            </w:pPr>
            <w:r>
              <w:rPr>
                <w:sz w:val="18"/>
                <w:szCs w:val="18"/>
              </w:rPr>
              <w:t>$</w:t>
            </w:r>
            <w:r w:rsidRPr="0098077E">
              <w:rPr>
                <w:sz w:val="18"/>
                <w:szCs w:val="18"/>
              </w:rPr>
              <w:t>31</w:t>
            </w:r>
            <w:r>
              <w:rPr>
                <w:sz w:val="18"/>
                <w:szCs w:val="18"/>
              </w:rPr>
              <w:t>,</w:t>
            </w:r>
            <w:r w:rsidRPr="0098077E">
              <w:rPr>
                <w:sz w:val="18"/>
                <w:szCs w:val="18"/>
              </w:rPr>
              <w:t>000</w:t>
            </w:r>
          </w:p>
        </w:tc>
        <w:tc>
          <w:tcPr>
            <w:tcW w:w="1260" w:type="dxa"/>
            <w:shd w:val="clear" w:color="auto" w:fill="auto"/>
            <w:vAlign w:val="center"/>
          </w:tcPr>
          <w:p w:rsidR="0098077E" w:rsidRPr="00FE5A10" w:rsidRDefault="0098077E" w:rsidP="005E146D">
            <w:pPr>
              <w:widowControl/>
              <w:spacing w:after="52" w:line="247" w:lineRule="auto"/>
              <w:jc w:val="center"/>
              <w:rPr>
                <w:sz w:val="18"/>
                <w:szCs w:val="18"/>
              </w:rPr>
            </w:pPr>
            <w:r>
              <w:rPr>
                <w:sz w:val="18"/>
                <w:szCs w:val="18"/>
              </w:rPr>
              <w:t>2</w:t>
            </w:r>
          </w:p>
        </w:tc>
        <w:tc>
          <w:tcPr>
            <w:tcW w:w="900" w:type="dxa"/>
            <w:shd w:val="clear" w:color="auto" w:fill="auto"/>
            <w:vAlign w:val="center"/>
          </w:tcPr>
          <w:p w:rsidR="0098077E" w:rsidRPr="00FE5A10" w:rsidRDefault="0098077E" w:rsidP="005E146D">
            <w:pPr>
              <w:widowControl/>
              <w:spacing w:after="52" w:line="247" w:lineRule="auto"/>
              <w:jc w:val="center"/>
              <w:rPr>
                <w:sz w:val="18"/>
                <w:szCs w:val="18"/>
              </w:rPr>
            </w:pPr>
            <w:r>
              <w:rPr>
                <w:sz w:val="18"/>
                <w:szCs w:val="18"/>
              </w:rPr>
              <w:t>$62,000</w:t>
            </w:r>
          </w:p>
        </w:tc>
        <w:tc>
          <w:tcPr>
            <w:tcW w:w="1170" w:type="dxa"/>
            <w:shd w:val="clear" w:color="auto" w:fill="auto"/>
            <w:vAlign w:val="center"/>
          </w:tcPr>
          <w:p w:rsidR="0098077E" w:rsidRPr="00FE5A10" w:rsidRDefault="0098077E" w:rsidP="005E146D">
            <w:pPr>
              <w:widowControl/>
              <w:spacing w:after="52" w:line="247" w:lineRule="auto"/>
              <w:jc w:val="center"/>
              <w:rPr>
                <w:sz w:val="18"/>
                <w:szCs w:val="18"/>
              </w:rPr>
            </w:pPr>
            <w:r>
              <w:rPr>
                <w:sz w:val="18"/>
                <w:szCs w:val="18"/>
              </w:rPr>
              <w:t>$4,200</w:t>
            </w:r>
          </w:p>
        </w:tc>
        <w:tc>
          <w:tcPr>
            <w:tcW w:w="1260" w:type="dxa"/>
            <w:shd w:val="clear" w:color="auto" w:fill="auto"/>
            <w:vAlign w:val="center"/>
          </w:tcPr>
          <w:p w:rsidR="0098077E" w:rsidRPr="00FE5A10" w:rsidRDefault="0098077E" w:rsidP="005E146D">
            <w:pPr>
              <w:widowControl/>
              <w:spacing w:after="52" w:line="247" w:lineRule="auto"/>
              <w:jc w:val="center"/>
              <w:rPr>
                <w:sz w:val="18"/>
                <w:szCs w:val="18"/>
              </w:rPr>
            </w:pPr>
            <w:r>
              <w:rPr>
                <w:sz w:val="18"/>
                <w:szCs w:val="18"/>
              </w:rPr>
              <w:t>4</w:t>
            </w:r>
          </w:p>
        </w:tc>
        <w:tc>
          <w:tcPr>
            <w:tcW w:w="1080" w:type="dxa"/>
            <w:shd w:val="clear" w:color="auto" w:fill="auto"/>
            <w:vAlign w:val="center"/>
          </w:tcPr>
          <w:p w:rsidR="0098077E" w:rsidRPr="00FE5A10" w:rsidRDefault="0098077E" w:rsidP="005E146D">
            <w:pPr>
              <w:widowControl/>
              <w:spacing w:after="52" w:line="247" w:lineRule="auto"/>
              <w:jc w:val="center"/>
              <w:rPr>
                <w:sz w:val="18"/>
                <w:szCs w:val="18"/>
              </w:rPr>
            </w:pPr>
            <w:r>
              <w:rPr>
                <w:sz w:val="18"/>
                <w:szCs w:val="18"/>
              </w:rPr>
              <w:t>$16,800</w:t>
            </w:r>
          </w:p>
        </w:tc>
      </w:tr>
      <w:tr w:rsidR="00FE5A10" w:rsidTr="00236792">
        <w:trPr>
          <w:cantSplit/>
          <w:jc w:val="center"/>
        </w:trPr>
        <w:tc>
          <w:tcPr>
            <w:tcW w:w="2700" w:type="dxa"/>
            <w:shd w:val="clear" w:color="auto" w:fill="auto"/>
            <w:vAlign w:val="center"/>
          </w:tcPr>
          <w:p w:rsidR="00DD5A1D" w:rsidRPr="00FE5A10" w:rsidRDefault="00DD5A1D" w:rsidP="005E146D">
            <w:pPr>
              <w:widowControl/>
              <w:spacing w:after="52" w:line="247" w:lineRule="auto"/>
              <w:rPr>
                <w:sz w:val="18"/>
                <w:szCs w:val="18"/>
              </w:rPr>
            </w:pPr>
            <w:r w:rsidRPr="00FE5A10">
              <w:rPr>
                <w:sz w:val="18"/>
                <w:szCs w:val="18"/>
              </w:rPr>
              <w:t xml:space="preserve">Scrubber pressure </w:t>
            </w:r>
            <w:r w:rsidR="007B0DDE" w:rsidRPr="00FE5A10">
              <w:rPr>
                <w:sz w:val="18"/>
                <w:szCs w:val="18"/>
              </w:rPr>
              <w:t xml:space="preserve">drop </w:t>
            </w:r>
            <w:r w:rsidRPr="00FE5A10">
              <w:rPr>
                <w:sz w:val="18"/>
                <w:szCs w:val="18"/>
              </w:rPr>
              <w:t>monitor</w:t>
            </w:r>
            <w:r w:rsidR="006E746B" w:rsidRPr="00FE5A10">
              <w:rPr>
                <w:sz w:val="18"/>
                <w:szCs w:val="18"/>
              </w:rPr>
              <w:t xml:space="preserve"> </w:t>
            </w:r>
            <w:r w:rsidR="0098077E">
              <w:rPr>
                <w:sz w:val="18"/>
                <w:szCs w:val="18"/>
                <w:vertAlign w:val="superscript"/>
              </w:rPr>
              <w:t>a</w:t>
            </w:r>
          </w:p>
        </w:tc>
        <w:tc>
          <w:tcPr>
            <w:tcW w:w="117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$350</w:t>
            </w:r>
          </w:p>
        </w:tc>
        <w:tc>
          <w:tcPr>
            <w:tcW w:w="1260" w:type="dxa"/>
            <w:shd w:val="clear" w:color="auto" w:fill="auto"/>
            <w:vAlign w:val="center"/>
          </w:tcPr>
          <w:p w:rsidR="00DD5A1D" w:rsidRPr="00FE5A10" w:rsidRDefault="00E36549" w:rsidP="005E146D">
            <w:pPr>
              <w:widowControl/>
              <w:spacing w:after="52" w:line="247" w:lineRule="auto"/>
              <w:jc w:val="center"/>
              <w:rPr>
                <w:sz w:val="18"/>
                <w:szCs w:val="18"/>
              </w:rPr>
            </w:pPr>
            <w:r w:rsidRPr="00FE5A10">
              <w:rPr>
                <w:sz w:val="18"/>
                <w:szCs w:val="18"/>
              </w:rPr>
              <w:t>2</w:t>
            </w:r>
          </w:p>
        </w:tc>
        <w:tc>
          <w:tcPr>
            <w:tcW w:w="90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w:t>
            </w:r>
            <w:r w:rsidR="000909E9" w:rsidRPr="00FE5A10">
              <w:rPr>
                <w:sz w:val="18"/>
                <w:szCs w:val="18"/>
              </w:rPr>
              <w:t>700</w:t>
            </w:r>
          </w:p>
        </w:tc>
        <w:tc>
          <w:tcPr>
            <w:tcW w:w="117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w:t>
            </w:r>
            <w:r w:rsidR="000909E9" w:rsidRPr="00FE5A10">
              <w:rPr>
                <w:sz w:val="18"/>
                <w:szCs w:val="18"/>
              </w:rPr>
              <w:t>7</w:t>
            </w:r>
            <w:r w:rsidRPr="00FE5A10">
              <w:rPr>
                <w:sz w:val="18"/>
                <w:szCs w:val="18"/>
              </w:rPr>
              <w:t>0</w:t>
            </w:r>
          </w:p>
        </w:tc>
        <w:tc>
          <w:tcPr>
            <w:tcW w:w="1260" w:type="dxa"/>
            <w:shd w:val="clear" w:color="auto" w:fill="auto"/>
            <w:vAlign w:val="center"/>
          </w:tcPr>
          <w:p w:rsidR="00DD5A1D" w:rsidRPr="00FE5A10" w:rsidRDefault="00E36549" w:rsidP="005E146D">
            <w:pPr>
              <w:widowControl/>
              <w:spacing w:after="52" w:line="247" w:lineRule="auto"/>
              <w:jc w:val="center"/>
              <w:rPr>
                <w:sz w:val="18"/>
                <w:szCs w:val="18"/>
              </w:rPr>
            </w:pPr>
            <w:r w:rsidRPr="00FE5A10">
              <w:rPr>
                <w:sz w:val="18"/>
                <w:szCs w:val="18"/>
              </w:rPr>
              <w:t>4</w:t>
            </w:r>
          </w:p>
        </w:tc>
        <w:tc>
          <w:tcPr>
            <w:tcW w:w="108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w:t>
            </w:r>
            <w:r w:rsidR="000909E9" w:rsidRPr="00FE5A10">
              <w:rPr>
                <w:sz w:val="18"/>
                <w:szCs w:val="18"/>
              </w:rPr>
              <w:t>28</w:t>
            </w:r>
            <w:r w:rsidRPr="00FE5A10">
              <w:rPr>
                <w:sz w:val="18"/>
                <w:szCs w:val="18"/>
              </w:rPr>
              <w:t>0</w:t>
            </w:r>
          </w:p>
        </w:tc>
      </w:tr>
      <w:tr w:rsidR="00FE5A10" w:rsidTr="00236792">
        <w:trPr>
          <w:cantSplit/>
          <w:jc w:val="center"/>
        </w:trPr>
        <w:tc>
          <w:tcPr>
            <w:tcW w:w="2700" w:type="dxa"/>
            <w:shd w:val="clear" w:color="auto" w:fill="auto"/>
            <w:vAlign w:val="center"/>
          </w:tcPr>
          <w:p w:rsidR="00DD5A1D" w:rsidRPr="00FE5A10" w:rsidRDefault="00DD5A1D" w:rsidP="005E146D">
            <w:pPr>
              <w:widowControl/>
              <w:spacing w:after="52" w:line="247" w:lineRule="auto"/>
              <w:rPr>
                <w:sz w:val="18"/>
                <w:szCs w:val="18"/>
              </w:rPr>
            </w:pPr>
            <w:r w:rsidRPr="00FE5A10">
              <w:rPr>
                <w:sz w:val="18"/>
                <w:szCs w:val="18"/>
              </w:rPr>
              <w:t>Scrubber liquid flow rate monitor</w:t>
            </w:r>
            <w:r w:rsidR="006E746B" w:rsidRPr="00FE5A10">
              <w:rPr>
                <w:sz w:val="18"/>
                <w:szCs w:val="18"/>
              </w:rPr>
              <w:t xml:space="preserve"> </w:t>
            </w:r>
            <w:r w:rsidR="0098077E" w:rsidRPr="0098077E">
              <w:rPr>
                <w:sz w:val="18"/>
                <w:szCs w:val="18"/>
                <w:vertAlign w:val="superscript"/>
              </w:rPr>
              <w:t>a</w:t>
            </w:r>
          </w:p>
        </w:tc>
        <w:tc>
          <w:tcPr>
            <w:tcW w:w="117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$15,500</w:t>
            </w:r>
          </w:p>
        </w:tc>
        <w:tc>
          <w:tcPr>
            <w:tcW w:w="1260" w:type="dxa"/>
            <w:shd w:val="clear" w:color="auto" w:fill="auto"/>
            <w:vAlign w:val="center"/>
          </w:tcPr>
          <w:p w:rsidR="00DD5A1D" w:rsidRPr="00FE5A10" w:rsidRDefault="00E36549" w:rsidP="005E146D">
            <w:pPr>
              <w:widowControl/>
              <w:spacing w:after="52" w:line="247" w:lineRule="auto"/>
              <w:jc w:val="center"/>
              <w:rPr>
                <w:sz w:val="18"/>
                <w:szCs w:val="18"/>
              </w:rPr>
            </w:pPr>
            <w:r w:rsidRPr="00FE5A10">
              <w:rPr>
                <w:sz w:val="18"/>
                <w:szCs w:val="18"/>
              </w:rPr>
              <w:t>2</w:t>
            </w:r>
          </w:p>
        </w:tc>
        <w:tc>
          <w:tcPr>
            <w:tcW w:w="90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w:t>
            </w:r>
            <w:r w:rsidR="000909E9" w:rsidRPr="00FE5A10">
              <w:rPr>
                <w:sz w:val="18"/>
                <w:szCs w:val="18"/>
              </w:rPr>
              <w:t>31,000</w:t>
            </w:r>
          </w:p>
        </w:tc>
        <w:tc>
          <w:tcPr>
            <w:tcW w:w="117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w:t>
            </w:r>
            <w:r w:rsidR="000909E9" w:rsidRPr="00FE5A10">
              <w:rPr>
                <w:sz w:val="18"/>
                <w:szCs w:val="18"/>
              </w:rPr>
              <w:t>3,10</w:t>
            </w:r>
            <w:r w:rsidRPr="00FE5A10">
              <w:rPr>
                <w:sz w:val="18"/>
                <w:szCs w:val="18"/>
              </w:rPr>
              <w:t>0</w:t>
            </w:r>
          </w:p>
        </w:tc>
        <w:tc>
          <w:tcPr>
            <w:tcW w:w="1260" w:type="dxa"/>
            <w:shd w:val="clear" w:color="auto" w:fill="auto"/>
            <w:vAlign w:val="center"/>
          </w:tcPr>
          <w:p w:rsidR="00DD5A1D" w:rsidRPr="00FE5A10" w:rsidRDefault="00E36549" w:rsidP="005E146D">
            <w:pPr>
              <w:widowControl/>
              <w:spacing w:after="52" w:line="247" w:lineRule="auto"/>
              <w:jc w:val="center"/>
              <w:rPr>
                <w:sz w:val="18"/>
                <w:szCs w:val="18"/>
              </w:rPr>
            </w:pPr>
            <w:r w:rsidRPr="00FE5A10">
              <w:rPr>
                <w:sz w:val="18"/>
                <w:szCs w:val="18"/>
              </w:rPr>
              <w:t>4</w:t>
            </w:r>
          </w:p>
        </w:tc>
        <w:tc>
          <w:tcPr>
            <w:tcW w:w="1080" w:type="dxa"/>
            <w:shd w:val="clear" w:color="auto" w:fill="auto"/>
            <w:vAlign w:val="center"/>
          </w:tcPr>
          <w:p w:rsidR="00DD5A1D" w:rsidRPr="00FE5A10" w:rsidRDefault="00DD5A1D" w:rsidP="005E146D">
            <w:pPr>
              <w:widowControl/>
              <w:spacing w:after="52" w:line="247" w:lineRule="auto"/>
              <w:jc w:val="center"/>
              <w:rPr>
                <w:sz w:val="18"/>
                <w:szCs w:val="18"/>
              </w:rPr>
            </w:pPr>
            <w:r w:rsidRPr="00FE5A10">
              <w:rPr>
                <w:sz w:val="18"/>
                <w:szCs w:val="18"/>
              </w:rPr>
              <w:t>$</w:t>
            </w:r>
            <w:r w:rsidR="000909E9" w:rsidRPr="00FE5A10">
              <w:rPr>
                <w:sz w:val="18"/>
                <w:szCs w:val="18"/>
              </w:rPr>
              <w:t>12,40</w:t>
            </w:r>
            <w:r w:rsidRPr="00FE5A10">
              <w:rPr>
                <w:sz w:val="18"/>
                <w:szCs w:val="18"/>
              </w:rPr>
              <w:t>0</w:t>
            </w:r>
          </w:p>
        </w:tc>
      </w:tr>
      <w:tr w:rsidR="00FE5A10" w:rsidTr="00236792">
        <w:trPr>
          <w:cantSplit/>
          <w:jc w:val="center"/>
        </w:trPr>
        <w:tc>
          <w:tcPr>
            <w:tcW w:w="2700" w:type="dxa"/>
            <w:shd w:val="clear" w:color="auto" w:fill="auto"/>
            <w:vAlign w:val="center"/>
          </w:tcPr>
          <w:p w:rsidR="000909E9" w:rsidRPr="00FE5A10" w:rsidRDefault="000909E9" w:rsidP="005E146D">
            <w:pPr>
              <w:widowControl/>
              <w:rPr>
                <w:color w:val="000000"/>
                <w:sz w:val="18"/>
                <w:szCs w:val="18"/>
              </w:rPr>
            </w:pPr>
            <w:r w:rsidRPr="00FE5A10">
              <w:rPr>
                <w:color w:val="000000"/>
                <w:sz w:val="18"/>
                <w:szCs w:val="18"/>
              </w:rPr>
              <w:t>Performance tests:</w:t>
            </w:r>
          </w:p>
        </w:tc>
        <w:tc>
          <w:tcPr>
            <w:tcW w:w="117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26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90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17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26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08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r>
      <w:tr w:rsidR="00FE5A10" w:rsidTr="00236792">
        <w:trPr>
          <w:cantSplit/>
          <w:jc w:val="center"/>
        </w:trPr>
        <w:tc>
          <w:tcPr>
            <w:tcW w:w="2700" w:type="dxa"/>
            <w:shd w:val="clear" w:color="auto" w:fill="auto"/>
            <w:vAlign w:val="center"/>
          </w:tcPr>
          <w:p w:rsidR="000909E9" w:rsidRPr="00FE5A10" w:rsidRDefault="006E746B" w:rsidP="005E146D">
            <w:pPr>
              <w:widowControl/>
              <w:ind w:left="159" w:hanging="180"/>
              <w:rPr>
                <w:color w:val="000000"/>
                <w:sz w:val="18"/>
                <w:szCs w:val="18"/>
              </w:rPr>
            </w:pPr>
            <w:r w:rsidRPr="00FE5A10">
              <w:rPr>
                <w:color w:val="000000"/>
                <w:sz w:val="18"/>
                <w:szCs w:val="18"/>
              </w:rPr>
              <w:t xml:space="preserve">   </w:t>
            </w:r>
            <w:r w:rsidR="000909E9" w:rsidRPr="00FE5A10">
              <w:rPr>
                <w:color w:val="000000"/>
                <w:sz w:val="18"/>
                <w:szCs w:val="18"/>
              </w:rPr>
              <w:t xml:space="preserve"> Initial Method 9 for opacity</w:t>
            </w:r>
          </w:p>
        </w:tc>
        <w:tc>
          <w:tcPr>
            <w:tcW w:w="117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$1,000</w:t>
            </w:r>
          </w:p>
        </w:tc>
        <w:tc>
          <w:tcPr>
            <w:tcW w:w="126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2</w:t>
            </w:r>
          </w:p>
        </w:tc>
        <w:tc>
          <w:tcPr>
            <w:tcW w:w="90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$2,000</w:t>
            </w:r>
          </w:p>
        </w:tc>
        <w:tc>
          <w:tcPr>
            <w:tcW w:w="117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26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08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r>
      <w:tr w:rsidR="00FE5A10" w:rsidTr="00236792">
        <w:trPr>
          <w:cantSplit/>
          <w:jc w:val="center"/>
        </w:trPr>
        <w:tc>
          <w:tcPr>
            <w:tcW w:w="2700" w:type="dxa"/>
            <w:shd w:val="clear" w:color="auto" w:fill="auto"/>
            <w:vAlign w:val="center"/>
          </w:tcPr>
          <w:p w:rsidR="000909E9" w:rsidRPr="00FE5A10" w:rsidRDefault="000909E9" w:rsidP="005E146D">
            <w:pPr>
              <w:widowControl/>
              <w:ind w:left="159" w:hanging="180"/>
              <w:rPr>
                <w:color w:val="000000"/>
                <w:sz w:val="18"/>
                <w:szCs w:val="18"/>
              </w:rPr>
            </w:pPr>
            <w:r w:rsidRPr="00FE5A10">
              <w:rPr>
                <w:color w:val="000000"/>
                <w:sz w:val="18"/>
                <w:szCs w:val="18"/>
              </w:rPr>
              <w:t xml:space="preserve">   </w:t>
            </w:r>
            <w:r w:rsidR="006E746B" w:rsidRPr="00FE5A10">
              <w:rPr>
                <w:color w:val="000000"/>
                <w:sz w:val="18"/>
                <w:szCs w:val="18"/>
              </w:rPr>
              <w:t xml:space="preserve"> </w:t>
            </w:r>
            <w:r w:rsidRPr="00FE5A10">
              <w:rPr>
                <w:color w:val="000000"/>
                <w:sz w:val="18"/>
                <w:szCs w:val="18"/>
              </w:rPr>
              <w:t>Initial Method</w:t>
            </w:r>
            <w:r w:rsidR="005C5775">
              <w:rPr>
                <w:color w:val="000000"/>
                <w:sz w:val="18"/>
                <w:szCs w:val="18"/>
              </w:rPr>
              <w:t>s</w:t>
            </w:r>
            <w:r w:rsidRPr="00FE5A10">
              <w:rPr>
                <w:color w:val="000000"/>
                <w:sz w:val="18"/>
                <w:szCs w:val="18"/>
              </w:rPr>
              <w:t xml:space="preserve"> 5 and 202 for PM and </w:t>
            </w:r>
            <w:r w:rsidR="005C5775">
              <w:rPr>
                <w:color w:val="000000"/>
                <w:sz w:val="18"/>
                <w:szCs w:val="18"/>
              </w:rPr>
              <w:t>condensable PM (</w:t>
            </w:r>
            <w:r w:rsidRPr="00FE5A10">
              <w:rPr>
                <w:color w:val="000000"/>
                <w:sz w:val="18"/>
                <w:szCs w:val="18"/>
              </w:rPr>
              <w:t>CPM</w:t>
            </w:r>
            <w:r w:rsidR="005C5775">
              <w:rPr>
                <w:color w:val="000000"/>
                <w:sz w:val="18"/>
                <w:szCs w:val="18"/>
              </w:rPr>
              <w:t>)</w:t>
            </w:r>
          </w:p>
        </w:tc>
        <w:tc>
          <w:tcPr>
            <w:tcW w:w="117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$6,800</w:t>
            </w:r>
          </w:p>
        </w:tc>
        <w:tc>
          <w:tcPr>
            <w:tcW w:w="126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2</w:t>
            </w:r>
          </w:p>
        </w:tc>
        <w:tc>
          <w:tcPr>
            <w:tcW w:w="90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$13,600</w:t>
            </w:r>
          </w:p>
        </w:tc>
        <w:tc>
          <w:tcPr>
            <w:tcW w:w="117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26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08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r>
      <w:tr w:rsidR="00FE5A10" w:rsidTr="00236792">
        <w:trPr>
          <w:cantSplit/>
          <w:jc w:val="center"/>
        </w:trPr>
        <w:tc>
          <w:tcPr>
            <w:tcW w:w="2700" w:type="dxa"/>
            <w:shd w:val="clear" w:color="auto" w:fill="auto"/>
            <w:vAlign w:val="center"/>
          </w:tcPr>
          <w:p w:rsidR="000909E9" w:rsidRPr="00FE5A10" w:rsidRDefault="000909E9" w:rsidP="005E146D">
            <w:pPr>
              <w:widowControl/>
              <w:ind w:left="159" w:hanging="180"/>
              <w:rPr>
                <w:color w:val="000000"/>
                <w:sz w:val="18"/>
                <w:szCs w:val="18"/>
              </w:rPr>
            </w:pPr>
            <w:r w:rsidRPr="00FE5A10">
              <w:rPr>
                <w:color w:val="000000"/>
                <w:sz w:val="18"/>
                <w:szCs w:val="18"/>
              </w:rPr>
              <w:t xml:space="preserve">   </w:t>
            </w:r>
            <w:r w:rsidR="006E746B" w:rsidRPr="00FE5A10">
              <w:rPr>
                <w:color w:val="000000"/>
                <w:sz w:val="18"/>
                <w:szCs w:val="18"/>
              </w:rPr>
              <w:t xml:space="preserve"> </w:t>
            </w:r>
            <w:r w:rsidRPr="00FE5A10">
              <w:rPr>
                <w:color w:val="000000"/>
                <w:sz w:val="18"/>
                <w:szCs w:val="18"/>
              </w:rPr>
              <w:t>Initial Method 16, 16A, 16B or 16C for TRS</w:t>
            </w:r>
          </w:p>
        </w:tc>
        <w:tc>
          <w:tcPr>
            <w:tcW w:w="117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$3,000</w:t>
            </w:r>
          </w:p>
        </w:tc>
        <w:tc>
          <w:tcPr>
            <w:tcW w:w="126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2</w:t>
            </w:r>
          </w:p>
        </w:tc>
        <w:tc>
          <w:tcPr>
            <w:tcW w:w="90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$6,000</w:t>
            </w:r>
          </w:p>
        </w:tc>
        <w:tc>
          <w:tcPr>
            <w:tcW w:w="117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26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08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r>
      <w:tr w:rsidR="00FE5A10" w:rsidTr="00236792">
        <w:trPr>
          <w:cantSplit/>
          <w:jc w:val="center"/>
        </w:trPr>
        <w:tc>
          <w:tcPr>
            <w:tcW w:w="2700" w:type="dxa"/>
            <w:shd w:val="clear" w:color="auto" w:fill="auto"/>
            <w:vAlign w:val="center"/>
          </w:tcPr>
          <w:p w:rsidR="000909E9" w:rsidRPr="00FE5A10" w:rsidRDefault="000909E9" w:rsidP="005E146D">
            <w:pPr>
              <w:widowControl/>
              <w:tabs>
                <w:tab w:val="left" w:pos="159"/>
              </w:tabs>
              <w:ind w:left="159" w:hanging="180"/>
              <w:rPr>
                <w:color w:val="000000"/>
                <w:sz w:val="18"/>
                <w:szCs w:val="18"/>
              </w:rPr>
            </w:pPr>
            <w:r w:rsidRPr="00FE5A10">
              <w:rPr>
                <w:color w:val="000000"/>
                <w:sz w:val="18"/>
                <w:szCs w:val="18"/>
              </w:rPr>
              <w:t xml:space="preserve">  </w:t>
            </w:r>
            <w:r w:rsidR="006E746B" w:rsidRPr="00FE5A10">
              <w:rPr>
                <w:color w:val="000000"/>
                <w:sz w:val="18"/>
                <w:szCs w:val="18"/>
              </w:rPr>
              <w:t xml:space="preserve"> </w:t>
            </w:r>
            <w:r w:rsidRPr="00FE5A10">
              <w:rPr>
                <w:color w:val="000000"/>
                <w:sz w:val="18"/>
                <w:szCs w:val="18"/>
              </w:rPr>
              <w:t xml:space="preserve"> Repeat Method</w:t>
            </w:r>
            <w:r w:rsidR="005C5775">
              <w:rPr>
                <w:color w:val="000000"/>
                <w:sz w:val="18"/>
                <w:szCs w:val="18"/>
              </w:rPr>
              <w:t>s</w:t>
            </w:r>
            <w:r w:rsidRPr="00FE5A10">
              <w:rPr>
                <w:color w:val="000000"/>
                <w:sz w:val="18"/>
                <w:szCs w:val="18"/>
              </w:rPr>
              <w:t xml:space="preserve"> 5 and 202 for PM and CPM (every 5 y</w:t>
            </w:r>
            <w:r w:rsidR="005C5775">
              <w:rPr>
                <w:color w:val="000000"/>
                <w:sz w:val="18"/>
                <w:szCs w:val="18"/>
              </w:rPr>
              <w:t>ea</w:t>
            </w:r>
            <w:r w:rsidRPr="00FE5A10">
              <w:rPr>
                <w:color w:val="000000"/>
                <w:sz w:val="18"/>
                <w:szCs w:val="18"/>
              </w:rPr>
              <w:t xml:space="preserve">rs) </w:t>
            </w:r>
            <w:r w:rsidR="0098077E">
              <w:rPr>
                <w:color w:val="000000"/>
                <w:sz w:val="18"/>
                <w:szCs w:val="18"/>
                <w:vertAlign w:val="superscript"/>
              </w:rPr>
              <w:t>b</w:t>
            </w:r>
          </w:p>
        </w:tc>
        <w:tc>
          <w:tcPr>
            <w:tcW w:w="117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26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90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17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$6,800</w:t>
            </w:r>
          </w:p>
        </w:tc>
        <w:tc>
          <w:tcPr>
            <w:tcW w:w="126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0</w:t>
            </w:r>
          </w:p>
        </w:tc>
        <w:tc>
          <w:tcPr>
            <w:tcW w:w="108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$0</w:t>
            </w:r>
          </w:p>
        </w:tc>
      </w:tr>
      <w:tr w:rsidR="00FE5A10" w:rsidTr="00236792">
        <w:trPr>
          <w:cantSplit/>
          <w:jc w:val="center"/>
        </w:trPr>
        <w:tc>
          <w:tcPr>
            <w:tcW w:w="2700" w:type="dxa"/>
            <w:shd w:val="clear" w:color="auto" w:fill="auto"/>
            <w:vAlign w:val="center"/>
          </w:tcPr>
          <w:p w:rsidR="000909E9" w:rsidRPr="00FE5A10" w:rsidRDefault="000909E9" w:rsidP="005E146D">
            <w:pPr>
              <w:widowControl/>
              <w:ind w:left="159" w:hanging="180"/>
              <w:rPr>
                <w:color w:val="000000"/>
                <w:sz w:val="18"/>
                <w:szCs w:val="18"/>
              </w:rPr>
            </w:pPr>
            <w:r w:rsidRPr="00FE5A10">
              <w:rPr>
                <w:color w:val="000000"/>
                <w:sz w:val="18"/>
                <w:szCs w:val="18"/>
              </w:rPr>
              <w:t xml:space="preserve">   </w:t>
            </w:r>
            <w:r w:rsidR="006E746B" w:rsidRPr="00FE5A10">
              <w:rPr>
                <w:color w:val="000000"/>
                <w:sz w:val="18"/>
                <w:szCs w:val="18"/>
              </w:rPr>
              <w:t xml:space="preserve"> </w:t>
            </w:r>
            <w:r w:rsidRPr="00FE5A10">
              <w:rPr>
                <w:color w:val="000000"/>
                <w:sz w:val="18"/>
                <w:szCs w:val="18"/>
              </w:rPr>
              <w:t>Repeat Method 16, 16A, 16B or 16C for TRS (every 5 y</w:t>
            </w:r>
            <w:r w:rsidR="005C5775">
              <w:rPr>
                <w:color w:val="000000"/>
                <w:sz w:val="18"/>
                <w:szCs w:val="18"/>
              </w:rPr>
              <w:t>ea</w:t>
            </w:r>
            <w:r w:rsidRPr="00FE5A10">
              <w:rPr>
                <w:color w:val="000000"/>
                <w:sz w:val="18"/>
                <w:szCs w:val="18"/>
              </w:rPr>
              <w:t xml:space="preserve">rs) </w:t>
            </w:r>
            <w:r w:rsidR="0098077E">
              <w:rPr>
                <w:color w:val="000000"/>
                <w:sz w:val="18"/>
                <w:szCs w:val="18"/>
                <w:vertAlign w:val="superscript"/>
              </w:rPr>
              <w:t>b</w:t>
            </w:r>
          </w:p>
        </w:tc>
        <w:tc>
          <w:tcPr>
            <w:tcW w:w="117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26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900" w:type="dxa"/>
            <w:shd w:val="clear" w:color="auto" w:fill="D9D9D9" w:themeFill="background1" w:themeFillShade="D9"/>
            <w:vAlign w:val="center"/>
          </w:tcPr>
          <w:p w:rsidR="000909E9" w:rsidRPr="00FE5A10" w:rsidRDefault="000909E9" w:rsidP="005E146D">
            <w:pPr>
              <w:widowControl/>
              <w:jc w:val="center"/>
              <w:rPr>
                <w:color w:val="000000"/>
                <w:sz w:val="18"/>
                <w:szCs w:val="18"/>
              </w:rPr>
            </w:pPr>
          </w:p>
        </w:tc>
        <w:tc>
          <w:tcPr>
            <w:tcW w:w="117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$3,000</w:t>
            </w:r>
          </w:p>
        </w:tc>
        <w:tc>
          <w:tcPr>
            <w:tcW w:w="126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0</w:t>
            </w:r>
          </w:p>
        </w:tc>
        <w:tc>
          <w:tcPr>
            <w:tcW w:w="1080" w:type="dxa"/>
            <w:shd w:val="clear" w:color="auto" w:fill="auto"/>
            <w:vAlign w:val="center"/>
          </w:tcPr>
          <w:p w:rsidR="000909E9" w:rsidRPr="00FE5A10" w:rsidRDefault="000909E9" w:rsidP="005E146D">
            <w:pPr>
              <w:widowControl/>
              <w:jc w:val="center"/>
              <w:rPr>
                <w:color w:val="000000"/>
                <w:sz w:val="18"/>
                <w:szCs w:val="18"/>
              </w:rPr>
            </w:pPr>
            <w:r w:rsidRPr="00FE5A10">
              <w:rPr>
                <w:color w:val="000000"/>
                <w:sz w:val="18"/>
                <w:szCs w:val="18"/>
              </w:rPr>
              <w:t>$0</w:t>
            </w:r>
          </w:p>
        </w:tc>
      </w:tr>
      <w:tr w:rsidR="00FE5A10" w:rsidTr="00236792">
        <w:trPr>
          <w:cantSplit/>
          <w:trHeight w:val="63"/>
          <w:jc w:val="center"/>
        </w:trPr>
        <w:tc>
          <w:tcPr>
            <w:tcW w:w="2700" w:type="dxa"/>
            <w:shd w:val="clear" w:color="auto" w:fill="auto"/>
            <w:vAlign w:val="center"/>
          </w:tcPr>
          <w:p w:rsidR="000909E9" w:rsidRPr="00FE5A10" w:rsidRDefault="000909E9" w:rsidP="005E146D">
            <w:pPr>
              <w:widowControl/>
              <w:spacing w:after="52" w:line="247" w:lineRule="auto"/>
              <w:rPr>
                <w:b/>
                <w:sz w:val="18"/>
                <w:szCs w:val="18"/>
              </w:rPr>
            </w:pPr>
            <w:r w:rsidRPr="00FE5A10">
              <w:rPr>
                <w:b/>
                <w:sz w:val="18"/>
                <w:szCs w:val="18"/>
              </w:rPr>
              <w:t>Total</w:t>
            </w:r>
          </w:p>
        </w:tc>
        <w:tc>
          <w:tcPr>
            <w:tcW w:w="117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126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900" w:type="dxa"/>
            <w:shd w:val="clear" w:color="auto" w:fill="auto"/>
            <w:vAlign w:val="center"/>
          </w:tcPr>
          <w:p w:rsidR="000909E9" w:rsidRPr="00FE5A10" w:rsidRDefault="0098077E" w:rsidP="005E146D">
            <w:pPr>
              <w:widowControl/>
              <w:spacing w:after="52" w:line="247" w:lineRule="auto"/>
              <w:jc w:val="center"/>
              <w:rPr>
                <w:b/>
                <w:sz w:val="18"/>
                <w:szCs w:val="18"/>
              </w:rPr>
            </w:pPr>
            <w:r>
              <w:rPr>
                <w:b/>
                <w:sz w:val="18"/>
                <w:szCs w:val="18"/>
              </w:rPr>
              <w:t>$411</w:t>
            </w:r>
            <w:r w:rsidR="000909E9" w:rsidRPr="00FE5A10">
              <w:rPr>
                <w:b/>
                <w:sz w:val="18"/>
                <w:szCs w:val="18"/>
              </w:rPr>
              <w:t>,300</w:t>
            </w:r>
          </w:p>
        </w:tc>
        <w:tc>
          <w:tcPr>
            <w:tcW w:w="117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126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1080" w:type="dxa"/>
            <w:shd w:val="clear" w:color="auto" w:fill="auto"/>
            <w:vAlign w:val="center"/>
          </w:tcPr>
          <w:p w:rsidR="000909E9" w:rsidRPr="00FE5A10" w:rsidRDefault="0098077E" w:rsidP="005E146D">
            <w:pPr>
              <w:widowControl/>
              <w:spacing w:after="52" w:line="247" w:lineRule="auto"/>
              <w:jc w:val="center"/>
              <w:rPr>
                <w:b/>
                <w:sz w:val="18"/>
                <w:szCs w:val="18"/>
              </w:rPr>
            </w:pPr>
            <w:r>
              <w:rPr>
                <w:b/>
                <w:sz w:val="18"/>
                <w:szCs w:val="18"/>
              </w:rPr>
              <w:t>$155,8</w:t>
            </w:r>
            <w:r w:rsidR="000909E9" w:rsidRPr="00FE5A10">
              <w:rPr>
                <w:b/>
                <w:sz w:val="18"/>
                <w:szCs w:val="18"/>
              </w:rPr>
              <w:t>80</w:t>
            </w:r>
          </w:p>
        </w:tc>
      </w:tr>
      <w:tr w:rsidR="00FE5A10" w:rsidTr="00236792">
        <w:trPr>
          <w:cantSplit/>
          <w:trHeight w:val="63"/>
          <w:jc w:val="center"/>
        </w:trPr>
        <w:tc>
          <w:tcPr>
            <w:tcW w:w="2700" w:type="dxa"/>
            <w:shd w:val="clear" w:color="auto" w:fill="auto"/>
            <w:vAlign w:val="center"/>
          </w:tcPr>
          <w:p w:rsidR="000909E9" w:rsidRPr="00FE5A10" w:rsidRDefault="000909E9" w:rsidP="005E146D">
            <w:pPr>
              <w:widowControl/>
              <w:spacing w:after="52" w:line="247" w:lineRule="auto"/>
              <w:rPr>
                <w:b/>
                <w:sz w:val="18"/>
                <w:szCs w:val="18"/>
              </w:rPr>
            </w:pPr>
            <w:r w:rsidRPr="00FE5A10">
              <w:rPr>
                <w:b/>
                <w:sz w:val="18"/>
                <w:szCs w:val="18"/>
              </w:rPr>
              <w:t>Total capital + O&amp;M cost</w:t>
            </w:r>
          </w:p>
        </w:tc>
        <w:tc>
          <w:tcPr>
            <w:tcW w:w="117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126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90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117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1260" w:type="dxa"/>
            <w:shd w:val="clear" w:color="auto" w:fill="D9D9D9" w:themeFill="background1" w:themeFillShade="D9"/>
            <w:vAlign w:val="center"/>
          </w:tcPr>
          <w:p w:rsidR="000909E9" w:rsidRPr="00FE5A10" w:rsidRDefault="000909E9" w:rsidP="005E146D">
            <w:pPr>
              <w:widowControl/>
              <w:spacing w:after="52" w:line="247" w:lineRule="auto"/>
              <w:jc w:val="center"/>
              <w:rPr>
                <w:b/>
                <w:sz w:val="18"/>
                <w:szCs w:val="18"/>
              </w:rPr>
            </w:pPr>
          </w:p>
        </w:tc>
        <w:tc>
          <w:tcPr>
            <w:tcW w:w="1080" w:type="dxa"/>
            <w:shd w:val="clear" w:color="auto" w:fill="auto"/>
            <w:vAlign w:val="center"/>
          </w:tcPr>
          <w:p w:rsidR="000909E9" w:rsidRPr="00FE5A10" w:rsidRDefault="0098077E" w:rsidP="005E146D">
            <w:pPr>
              <w:widowControl/>
              <w:spacing w:after="52" w:line="247" w:lineRule="auto"/>
              <w:jc w:val="center"/>
              <w:rPr>
                <w:b/>
                <w:sz w:val="18"/>
                <w:szCs w:val="18"/>
              </w:rPr>
            </w:pPr>
            <w:r>
              <w:rPr>
                <w:b/>
                <w:sz w:val="18"/>
                <w:szCs w:val="18"/>
              </w:rPr>
              <w:t>$567</w:t>
            </w:r>
            <w:r w:rsidR="000909E9" w:rsidRPr="00FE5A10">
              <w:rPr>
                <w:b/>
                <w:sz w:val="18"/>
                <w:szCs w:val="18"/>
              </w:rPr>
              <w:t>,</w:t>
            </w:r>
            <w:r>
              <w:rPr>
                <w:b/>
                <w:sz w:val="18"/>
                <w:szCs w:val="18"/>
              </w:rPr>
              <w:t>180</w:t>
            </w:r>
          </w:p>
        </w:tc>
      </w:tr>
    </w:tbl>
    <w:p w:rsidR="006E746B" w:rsidRPr="00FE5A10" w:rsidRDefault="0098077E" w:rsidP="00FC7AAF">
      <w:pPr>
        <w:widowControl/>
        <w:spacing w:line="247" w:lineRule="auto"/>
        <w:rPr>
          <w:sz w:val="18"/>
          <w:szCs w:val="18"/>
        </w:rPr>
      </w:pPr>
      <w:proofErr w:type="gramStart"/>
      <w:r>
        <w:rPr>
          <w:sz w:val="18"/>
          <w:szCs w:val="18"/>
          <w:vertAlign w:val="superscript"/>
        </w:rPr>
        <w:t>a</w:t>
      </w:r>
      <w:proofErr w:type="gramEnd"/>
      <w:r w:rsidR="006E746B" w:rsidRPr="00FE5A10">
        <w:rPr>
          <w:sz w:val="18"/>
          <w:szCs w:val="18"/>
        </w:rPr>
        <w:t xml:space="preserve"> Scrubber monitor O&amp;M costs were estimated as 20 percent of the initial monitor cost.</w:t>
      </w:r>
    </w:p>
    <w:p w:rsidR="00DD5A1D" w:rsidRPr="00FE5A10" w:rsidRDefault="0098077E" w:rsidP="00FC7AAF">
      <w:pPr>
        <w:widowControl/>
        <w:spacing w:line="247" w:lineRule="auto"/>
        <w:rPr>
          <w:sz w:val="18"/>
          <w:szCs w:val="18"/>
        </w:rPr>
      </w:pPr>
      <w:proofErr w:type="gramStart"/>
      <w:r>
        <w:rPr>
          <w:sz w:val="18"/>
          <w:szCs w:val="18"/>
          <w:vertAlign w:val="superscript"/>
        </w:rPr>
        <w:t>b</w:t>
      </w:r>
      <w:proofErr w:type="gramEnd"/>
      <w:r w:rsidR="006E746B" w:rsidRPr="00FE5A10">
        <w:rPr>
          <w:sz w:val="18"/>
          <w:szCs w:val="18"/>
        </w:rPr>
        <w:t xml:space="preserve"> Repeat tests are required in 5-year intervals. No respondents would conduct repeat tests durin</w:t>
      </w:r>
      <w:r w:rsidR="00FE5A10">
        <w:rPr>
          <w:sz w:val="18"/>
          <w:szCs w:val="18"/>
        </w:rPr>
        <w:t>g the initial 3-year ICR period.</w:t>
      </w:r>
    </w:p>
    <w:p w:rsidR="00D26AB2" w:rsidRDefault="00D26AB2" w:rsidP="00FC7AAF">
      <w:pPr>
        <w:widowControl/>
        <w:spacing w:line="247" w:lineRule="auto"/>
        <w:rPr>
          <w:sz w:val="20"/>
          <w:szCs w:val="20"/>
        </w:rPr>
      </w:pPr>
    </w:p>
    <w:p w:rsidR="00DD5A1D" w:rsidRDefault="00DD5A1D" w:rsidP="00FC7AAF">
      <w:pPr>
        <w:widowControl/>
        <w:ind w:firstLine="720"/>
        <w:rPr>
          <w:color w:val="000000"/>
        </w:rPr>
      </w:pPr>
      <w:r w:rsidRPr="00904285">
        <w:t xml:space="preserve">The total capital/startup costs </w:t>
      </w:r>
      <w:r w:rsidR="00904285" w:rsidRPr="00904285">
        <w:t xml:space="preserve">per year </w:t>
      </w:r>
      <w:r w:rsidRPr="00904285">
        <w:t xml:space="preserve">for this ICR are </w:t>
      </w:r>
      <w:r w:rsidR="006C0D8A" w:rsidRPr="00FB0F26">
        <w:t>$</w:t>
      </w:r>
      <w:r w:rsidR="0098077E">
        <w:t>411</w:t>
      </w:r>
      <w:r w:rsidR="00FB0F26">
        <w:t>,300</w:t>
      </w:r>
      <w:r w:rsidRPr="00904285">
        <w:t>.</w:t>
      </w:r>
      <w:r w:rsidR="005971B8" w:rsidRPr="00904285">
        <w:t xml:space="preserve"> </w:t>
      </w:r>
      <w:r w:rsidRPr="00904285">
        <w:t>This is the total of column D in the above table.</w:t>
      </w:r>
      <w:r w:rsidR="00904285" w:rsidRPr="00904285">
        <w:t xml:space="preserve"> </w:t>
      </w:r>
      <w:r w:rsidRPr="00904285">
        <w:rPr>
          <w:color w:val="000000"/>
        </w:rPr>
        <w:t xml:space="preserve">The total operation and maintenance (O&amp;M) costs are </w:t>
      </w:r>
      <w:r w:rsidR="006C0D8A" w:rsidRPr="00904285">
        <w:rPr>
          <w:color w:val="000000"/>
        </w:rPr>
        <w:t>$</w:t>
      </w:r>
      <w:r w:rsidR="0098077E">
        <w:rPr>
          <w:color w:val="000000"/>
        </w:rPr>
        <w:t>155,8</w:t>
      </w:r>
      <w:r w:rsidR="009C6FE8" w:rsidRPr="00FB0F26">
        <w:rPr>
          <w:color w:val="000000"/>
        </w:rPr>
        <w:t>80</w:t>
      </w:r>
      <w:r w:rsidRPr="00904285">
        <w:rPr>
          <w:color w:val="000000"/>
        </w:rPr>
        <w:t>.</w:t>
      </w:r>
      <w:r w:rsidR="005971B8" w:rsidRPr="00904285">
        <w:rPr>
          <w:color w:val="000000"/>
        </w:rPr>
        <w:t xml:space="preserve"> </w:t>
      </w:r>
      <w:r w:rsidRPr="00904285">
        <w:rPr>
          <w:color w:val="000000"/>
        </w:rPr>
        <w:t>This is the total of column G.</w:t>
      </w:r>
      <w:r w:rsidR="00904285" w:rsidRPr="00904285">
        <w:rPr>
          <w:color w:val="000000"/>
        </w:rPr>
        <w:t xml:space="preserve"> </w:t>
      </w:r>
      <w:r w:rsidRPr="00904285">
        <w:rPr>
          <w:color w:val="000000"/>
        </w:rPr>
        <w:t xml:space="preserve">The average annual cost for capital/startup and operation and maintenance costs to industry over the next </w:t>
      </w:r>
      <w:r w:rsidR="00C26CDE">
        <w:rPr>
          <w:color w:val="000000"/>
        </w:rPr>
        <w:t>3</w:t>
      </w:r>
      <w:r w:rsidR="00C26CDE" w:rsidRPr="00904285">
        <w:rPr>
          <w:color w:val="000000"/>
        </w:rPr>
        <w:t xml:space="preserve"> </w:t>
      </w:r>
      <w:r w:rsidRPr="00904285">
        <w:rPr>
          <w:color w:val="000000"/>
        </w:rPr>
        <w:t xml:space="preserve">years of the ICR is estimated to be </w:t>
      </w:r>
      <w:r w:rsidR="006C0D8A" w:rsidRPr="00904285">
        <w:rPr>
          <w:color w:val="000000"/>
        </w:rPr>
        <w:t>$</w:t>
      </w:r>
      <w:r w:rsidR="0098077E">
        <w:rPr>
          <w:color w:val="000000"/>
        </w:rPr>
        <w:t>567,1</w:t>
      </w:r>
      <w:r w:rsidR="00FB0F26">
        <w:rPr>
          <w:color w:val="000000"/>
        </w:rPr>
        <w:t>80</w:t>
      </w:r>
      <w:r w:rsidRPr="00904285">
        <w:rPr>
          <w:color w:val="000000"/>
        </w:rPr>
        <w:t>.</w:t>
      </w:r>
      <w:r w:rsidR="005971B8" w:rsidRPr="00904285">
        <w:rPr>
          <w:color w:val="000000"/>
        </w:rPr>
        <w:t xml:space="preserve"> </w:t>
      </w:r>
      <w:r w:rsidR="005402C1" w:rsidRPr="00904285">
        <w:rPr>
          <w:color w:val="000000"/>
        </w:rPr>
        <w:t>These are recordkeeping costs</w:t>
      </w:r>
      <w:r w:rsidR="00AD258C" w:rsidRPr="00904285">
        <w:rPr>
          <w:color w:val="000000"/>
        </w:rPr>
        <w:t>.</w:t>
      </w:r>
    </w:p>
    <w:p w:rsidR="00BD281B" w:rsidRDefault="00BD281B" w:rsidP="00FC7AAF">
      <w:pPr>
        <w:widowControl/>
        <w:rPr>
          <w:color w:val="000000"/>
        </w:rPr>
      </w:pPr>
    </w:p>
    <w:p w:rsidR="00BD281B" w:rsidRDefault="00BD281B" w:rsidP="00FC7AAF">
      <w:pPr>
        <w:widowControl/>
        <w:ind w:firstLine="720"/>
        <w:rPr>
          <w:color w:val="000000"/>
        </w:rPr>
      </w:pPr>
      <w:proofErr w:type="gramStart"/>
      <w:r w:rsidRPr="00BD281B">
        <w:rPr>
          <w:color w:val="000000"/>
        </w:rPr>
        <w:t xml:space="preserve">(iv) </w:t>
      </w:r>
      <w:r w:rsidRPr="00BD281B">
        <w:rPr>
          <w:color w:val="000000"/>
          <w:u w:val="single"/>
        </w:rPr>
        <w:t>Affirmative</w:t>
      </w:r>
      <w:proofErr w:type="gramEnd"/>
      <w:r w:rsidRPr="00BD281B">
        <w:rPr>
          <w:color w:val="000000"/>
          <w:u w:val="single"/>
        </w:rPr>
        <w:t xml:space="preserve"> Defense, Root Cause Analysis and Malfunction Costs</w:t>
      </w:r>
      <w:r>
        <w:rPr>
          <w:color w:val="000000"/>
        </w:rPr>
        <w:t xml:space="preserve">. </w:t>
      </w:r>
      <w:r w:rsidR="00E33144">
        <w:rPr>
          <w:color w:val="000000"/>
        </w:rPr>
        <w:t xml:space="preserve">The </w:t>
      </w:r>
      <w:r w:rsidRPr="00BD281B">
        <w:rPr>
          <w:color w:val="000000"/>
        </w:rPr>
        <w:t>EPA’s estimate for a affirmative defense and root cause analysis is based on general</w:t>
      </w:r>
      <w:r>
        <w:rPr>
          <w:color w:val="000000"/>
        </w:rPr>
        <w:t xml:space="preserve"> </w:t>
      </w:r>
      <w:r w:rsidRPr="00BD281B">
        <w:rPr>
          <w:color w:val="000000"/>
        </w:rPr>
        <w:t>experience to calculate the time and effort required of a source to review relevant data, interview</w:t>
      </w:r>
      <w:r>
        <w:rPr>
          <w:color w:val="000000"/>
        </w:rPr>
        <w:t xml:space="preserve"> </w:t>
      </w:r>
      <w:r w:rsidRPr="00BD281B">
        <w:rPr>
          <w:color w:val="000000"/>
        </w:rPr>
        <w:t>12</w:t>
      </w:r>
      <w:r>
        <w:rPr>
          <w:color w:val="000000"/>
        </w:rPr>
        <w:t xml:space="preserve"> </w:t>
      </w:r>
      <w:r w:rsidRPr="00BD281B">
        <w:rPr>
          <w:color w:val="000000"/>
        </w:rPr>
        <w:t>plant employees and reconstruct the events prior to a malfunction in order to determine primary</w:t>
      </w:r>
      <w:r>
        <w:rPr>
          <w:color w:val="000000"/>
        </w:rPr>
        <w:t xml:space="preserve"> </w:t>
      </w:r>
      <w:r w:rsidRPr="00BD281B">
        <w:rPr>
          <w:color w:val="000000"/>
        </w:rPr>
        <w:t>and contributing causes. The level of effort also includes time to produce and retain the report in</w:t>
      </w:r>
      <w:r>
        <w:rPr>
          <w:color w:val="000000"/>
        </w:rPr>
        <w:t xml:space="preserve"> </w:t>
      </w:r>
      <w:r w:rsidRPr="00BD281B">
        <w:rPr>
          <w:color w:val="000000"/>
        </w:rPr>
        <w:lastRenderedPageBreak/>
        <w:t>document form so that the source will have it available should EPA or state enforcement</w:t>
      </w:r>
      <w:r>
        <w:rPr>
          <w:color w:val="000000"/>
        </w:rPr>
        <w:t xml:space="preserve"> </w:t>
      </w:r>
      <w:r w:rsidRPr="00BD281B">
        <w:rPr>
          <w:color w:val="000000"/>
        </w:rPr>
        <w:t>agencies ever request to review it.</w:t>
      </w:r>
      <w:r>
        <w:rPr>
          <w:color w:val="000000"/>
        </w:rPr>
        <w:t xml:space="preserve"> </w:t>
      </w:r>
      <w:r w:rsidRPr="00BD281B">
        <w:rPr>
          <w:color w:val="000000"/>
        </w:rPr>
        <w:t>To provide the public with an estimate of the relative magnitude of the burden associated</w:t>
      </w:r>
      <w:r>
        <w:rPr>
          <w:color w:val="000000"/>
        </w:rPr>
        <w:t xml:space="preserve"> </w:t>
      </w:r>
      <w:r w:rsidRPr="00BD281B">
        <w:rPr>
          <w:color w:val="000000"/>
        </w:rPr>
        <w:t>with an assertion of the affirmative defense position adopted by a source, EPA provides an</w:t>
      </w:r>
      <w:r>
        <w:rPr>
          <w:color w:val="000000"/>
        </w:rPr>
        <w:t xml:space="preserve"> </w:t>
      </w:r>
      <w:r w:rsidRPr="00BD281B">
        <w:rPr>
          <w:color w:val="000000"/>
        </w:rPr>
        <w:t>administrative adjustment to this ICR that estimates the costs of the notification, recordkeeping</w:t>
      </w:r>
      <w:r>
        <w:rPr>
          <w:color w:val="000000"/>
        </w:rPr>
        <w:t xml:space="preserve"> </w:t>
      </w:r>
      <w:r w:rsidRPr="00BD281B">
        <w:rPr>
          <w:color w:val="000000"/>
        </w:rPr>
        <w:t>and reporting requirements associated with the assertion of the affirmative defense. EPA’s</w:t>
      </w:r>
      <w:r>
        <w:rPr>
          <w:color w:val="000000"/>
        </w:rPr>
        <w:t xml:space="preserve"> </w:t>
      </w:r>
      <w:r w:rsidRPr="00BD281B">
        <w:rPr>
          <w:color w:val="000000"/>
        </w:rPr>
        <w:t>estimate for the required notification, reports and records, including the root cause analysis,</w:t>
      </w:r>
      <w:r>
        <w:rPr>
          <w:color w:val="000000"/>
        </w:rPr>
        <w:t xml:space="preserve"> </w:t>
      </w:r>
      <w:r w:rsidRPr="00BD281B">
        <w:rPr>
          <w:color w:val="000000"/>
        </w:rPr>
        <w:t xml:space="preserve">associated with a single incident totals approximately </w:t>
      </w:r>
      <w:r w:rsidRPr="00AB0D9B">
        <w:rPr>
          <w:color w:val="000000"/>
        </w:rPr>
        <w:t>$3,</w:t>
      </w:r>
      <w:r w:rsidR="009C6FE8" w:rsidRPr="00AB0D9B">
        <w:rPr>
          <w:color w:val="000000"/>
        </w:rPr>
        <w:t>375</w:t>
      </w:r>
      <w:r w:rsidR="00E33144" w:rsidRPr="00AB0D9B">
        <w:rPr>
          <w:color w:val="000000"/>
        </w:rPr>
        <w:t xml:space="preserve"> </w:t>
      </w:r>
      <w:r w:rsidRPr="00AB0D9B">
        <w:rPr>
          <w:color w:val="000000"/>
        </w:rPr>
        <w:t>and</w:t>
      </w:r>
      <w:r w:rsidRPr="00BD281B">
        <w:rPr>
          <w:color w:val="000000"/>
        </w:rPr>
        <w:t xml:space="preserve"> is based on the time and effort</w:t>
      </w:r>
      <w:r>
        <w:rPr>
          <w:color w:val="000000"/>
        </w:rPr>
        <w:t xml:space="preserve"> </w:t>
      </w:r>
      <w:r w:rsidRPr="00BD281B">
        <w:rPr>
          <w:color w:val="000000"/>
        </w:rPr>
        <w:t>required of a source to review relevant data, interview plant employees and document the events</w:t>
      </w:r>
      <w:r>
        <w:rPr>
          <w:color w:val="000000"/>
        </w:rPr>
        <w:t xml:space="preserve"> </w:t>
      </w:r>
      <w:r w:rsidRPr="00BD281B">
        <w:rPr>
          <w:color w:val="000000"/>
        </w:rPr>
        <w:t>surrounding a malfunction that has caused an exceedance of an emission limit. The estimate also</w:t>
      </w:r>
      <w:r>
        <w:rPr>
          <w:color w:val="000000"/>
        </w:rPr>
        <w:t xml:space="preserve"> </w:t>
      </w:r>
      <w:r w:rsidRPr="00BD281B">
        <w:rPr>
          <w:color w:val="000000"/>
        </w:rPr>
        <w:t xml:space="preserve">includes time to produce and retain the records and reports for submission to EPA. </w:t>
      </w:r>
      <w:r w:rsidR="00E33144">
        <w:rPr>
          <w:color w:val="000000"/>
        </w:rPr>
        <w:t xml:space="preserve">The </w:t>
      </w:r>
      <w:r w:rsidRPr="00BD281B">
        <w:rPr>
          <w:color w:val="000000"/>
        </w:rPr>
        <w:t>EPA</w:t>
      </w:r>
      <w:r>
        <w:rPr>
          <w:color w:val="000000"/>
        </w:rPr>
        <w:t xml:space="preserve"> </w:t>
      </w:r>
      <w:r w:rsidRPr="00BD281B">
        <w:rPr>
          <w:color w:val="000000"/>
        </w:rPr>
        <w:t>provides this illustrative estimate of this burden because these costs are only incurred if there has</w:t>
      </w:r>
      <w:r>
        <w:rPr>
          <w:color w:val="000000"/>
        </w:rPr>
        <w:t xml:space="preserve"> </w:t>
      </w:r>
      <w:r w:rsidRPr="00BD281B">
        <w:rPr>
          <w:color w:val="000000"/>
        </w:rPr>
        <w:t>been a violation and a source chooses to take advantage of the affirmative defense.</w:t>
      </w:r>
      <w:r>
        <w:rPr>
          <w:color w:val="000000"/>
        </w:rPr>
        <w:t xml:space="preserve"> </w:t>
      </w:r>
      <w:r w:rsidRPr="00BD281B">
        <w:rPr>
          <w:color w:val="000000"/>
        </w:rPr>
        <w:t>Of the number of excess emission events reported by source operators, only a small</w:t>
      </w:r>
      <w:r>
        <w:rPr>
          <w:color w:val="000000"/>
        </w:rPr>
        <w:t xml:space="preserve"> </w:t>
      </w:r>
      <w:r w:rsidRPr="00BD281B">
        <w:rPr>
          <w:color w:val="000000"/>
        </w:rPr>
        <w:t>number would be expected to result from a malfunction, and only a subset of excess emissions</w:t>
      </w:r>
      <w:r>
        <w:rPr>
          <w:color w:val="000000"/>
        </w:rPr>
        <w:t xml:space="preserve"> </w:t>
      </w:r>
      <w:r w:rsidRPr="00BD281B">
        <w:rPr>
          <w:color w:val="000000"/>
        </w:rPr>
        <w:t>caused by malfunctions would result in the source choosing to assert the affirmative defense.</w:t>
      </w:r>
      <w:r>
        <w:rPr>
          <w:color w:val="000000"/>
        </w:rPr>
        <w:t xml:space="preserve"> </w:t>
      </w:r>
      <w:r w:rsidRPr="00BD281B">
        <w:rPr>
          <w:color w:val="000000"/>
        </w:rPr>
        <w:t>Thus</w:t>
      </w:r>
      <w:r w:rsidR="00E33144">
        <w:rPr>
          <w:color w:val="000000"/>
        </w:rPr>
        <w:t>,</w:t>
      </w:r>
      <w:r w:rsidRPr="00BD281B">
        <w:rPr>
          <w:color w:val="000000"/>
        </w:rPr>
        <w:t xml:space="preserve"> we believe the number of instances in which source operators might be expected to avail</w:t>
      </w:r>
      <w:r>
        <w:rPr>
          <w:color w:val="000000"/>
        </w:rPr>
        <w:t xml:space="preserve"> </w:t>
      </w:r>
      <w:r w:rsidRPr="00BD281B">
        <w:rPr>
          <w:color w:val="000000"/>
        </w:rPr>
        <w:t>themselves of the affirmative defense will be extremely small. For this reason, we estimate no</w:t>
      </w:r>
      <w:r>
        <w:rPr>
          <w:color w:val="000000"/>
        </w:rPr>
        <w:t xml:space="preserve"> </w:t>
      </w:r>
      <w:r w:rsidRPr="00BD281B">
        <w:rPr>
          <w:color w:val="000000"/>
        </w:rPr>
        <w:t>more than 2 or 3 such occurrences for all sources within a given category over the 3-year period</w:t>
      </w:r>
      <w:r>
        <w:rPr>
          <w:color w:val="000000"/>
        </w:rPr>
        <w:t xml:space="preserve"> </w:t>
      </w:r>
      <w:r w:rsidRPr="00BD281B">
        <w:rPr>
          <w:color w:val="000000"/>
        </w:rPr>
        <w:t>covered by this ICR. For the purpose of this estimate, we are adding two instances of</w:t>
      </w:r>
      <w:r>
        <w:rPr>
          <w:color w:val="000000"/>
        </w:rPr>
        <w:t xml:space="preserve"> </w:t>
      </w:r>
      <w:r w:rsidRPr="00BD281B">
        <w:rPr>
          <w:color w:val="000000"/>
        </w:rPr>
        <w:t>affirmative defense. We expect to gather information on such events in the future and will revise</w:t>
      </w:r>
      <w:r>
        <w:rPr>
          <w:color w:val="000000"/>
        </w:rPr>
        <w:t xml:space="preserve"> </w:t>
      </w:r>
      <w:r w:rsidRPr="00BD281B">
        <w:rPr>
          <w:color w:val="000000"/>
        </w:rPr>
        <w:t>this estimate as better information becomes available.</w:t>
      </w:r>
    </w:p>
    <w:p w:rsidR="00DD5A1D" w:rsidRDefault="00DD5A1D" w:rsidP="00FC7AAF">
      <w:pPr>
        <w:widowControl/>
        <w:rPr>
          <w:color w:val="000000"/>
        </w:rPr>
      </w:pPr>
    </w:p>
    <w:p w:rsidR="00DD5A1D" w:rsidRPr="00D06AF6" w:rsidRDefault="00DD5A1D" w:rsidP="00FC7AAF">
      <w:pPr>
        <w:widowControl/>
        <w:rPr>
          <w:i/>
        </w:rPr>
      </w:pPr>
      <w:r w:rsidRPr="00D06AF6">
        <w:rPr>
          <w:bCs/>
          <w:i/>
        </w:rPr>
        <w:t>(c)  Estimating Agency Burden and Cost</w:t>
      </w:r>
    </w:p>
    <w:p w:rsidR="00DD5A1D" w:rsidRDefault="00DD5A1D" w:rsidP="00FC7AAF">
      <w:pPr>
        <w:widowControl/>
      </w:pPr>
    </w:p>
    <w:p w:rsidR="00DD5A1D" w:rsidRDefault="00201842" w:rsidP="00FC7AAF">
      <w:pPr>
        <w:widowControl/>
        <w:pBdr>
          <w:top w:val="single" w:sz="6" w:space="0" w:color="FFFFFF"/>
          <w:left w:val="single" w:sz="6" w:space="0" w:color="FFFFFF"/>
          <w:bottom w:val="single" w:sz="6" w:space="0" w:color="FFFFFF"/>
          <w:right w:val="single" w:sz="6" w:space="0" w:color="FFFFFF"/>
        </w:pBdr>
        <w:tabs>
          <w:tab w:val="left" w:pos="-1080"/>
        </w:tabs>
        <w:rPr>
          <w:color w:val="000000"/>
        </w:rPr>
      </w:pPr>
      <w:r>
        <w:rPr>
          <w:color w:val="000000"/>
        </w:rPr>
        <w:tab/>
        <w:t>T</w:t>
      </w:r>
      <w:r w:rsidRPr="00201842">
        <w:rPr>
          <w:color w:val="000000"/>
        </w:rPr>
        <w:t xml:space="preserve">he costs </w:t>
      </w:r>
      <w:r>
        <w:rPr>
          <w:color w:val="000000"/>
        </w:rPr>
        <w:t xml:space="preserve">to the Agency </w:t>
      </w:r>
      <w:r w:rsidRPr="00201842">
        <w:rPr>
          <w:color w:val="000000"/>
        </w:rPr>
        <w:t xml:space="preserve">of this NSPS revision </w:t>
      </w:r>
      <w:r>
        <w:rPr>
          <w:color w:val="000000"/>
        </w:rPr>
        <w:t xml:space="preserve">are documented in </w:t>
      </w:r>
      <w:r w:rsidRPr="00201842">
        <w:rPr>
          <w:color w:val="000000"/>
        </w:rPr>
        <w:t>Table</w:t>
      </w:r>
      <w:r>
        <w:rPr>
          <w:color w:val="000000"/>
        </w:rPr>
        <w:t xml:space="preserve"> </w:t>
      </w:r>
      <w:r w:rsidRPr="00201842">
        <w:rPr>
          <w:color w:val="000000"/>
        </w:rPr>
        <w:t xml:space="preserve">2: </w:t>
      </w:r>
      <w:r>
        <w:rPr>
          <w:color w:val="000000"/>
        </w:rPr>
        <w:t xml:space="preserve">Average Annual EPA </w:t>
      </w:r>
      <w:r w:rsidRPr="00201842">
        <w:rPr>
          <w:color w:val="000000"/>
        </w:rPr>
        <w:t>Burden and Cost</w:t>
      </w:r>
      <w:r>
        <w:rPr>
          <w:color w:val="000000"/>
        </w:rPr>
        <w:t xml:space="preserve"> - </w:t>
      </w:r>
      <w:r w:rsidRPr="00201842">
        <w:rPr>
          <w:color w:val="000000"/>
        </w:rPr>
        <w:t xml:space="preserve">NSPS </w:t>
      </w:r>
      <w:r>
        <w:rPr>
          <w:color w:val="000000"/>
        </w:rPr>
        <w:t xml:space="preserve">Review </w:t>
      </w:r>
      <w:r w:rsidRPr="00201842">
        <w:rPr>
          <w:color w:val="000000"/>
        </w:rPr>
        <w:t xml:space="preserve">for </w:t>
      </w:r>
      <w:r>
        <w:rPr>
          <w:color w:val="000000"/>
        </w:rPr>
        <w:t xml:space="preserve">Kraft Pulp Mills. </w:t>
      </w:r>
      <w:r w:rsidR="00DD5A1D">
        <w:rPr>
          <w:color w:val="000000"/>
        </w:rPr>
        <w:t>The only costs to the Agency are those costs associated with analysis of the reported information.</w:t>
      </w:r>
      <w:r w:rsidR="005971B8">
        <w:rPr>
          <w:color w:val="000000"/>
        </w:rPr>
        <w:t xml:space="preserve"> </w:t>
      </w:r>
      <w:r w:rsidRPr="00201842">
        <w:rPr>
          <w:color w:val="000000"/>
        </w:rPr>
        <w:t>Publication and distribution of the information are part of the AFS program.</w:t>
      </w:r>
      <w:r>
        <w:rPr>
          <w:color w:val="000000"/>
        </w:rPr>
        <w:t xml:space="preserve"> </w:t>
      </w:r>
      <w:r w:rsidRPr="00201842">
        <w:rPr>
          <w:color w:val="000000"/>
        </w:rPr>
        <w:t>Examination of</w:t>
      </w:r>
      <w:r>
        <w:rPr>
          <w:color w:val="000000"/>
        </w:rPr>
        <w:t xml:space="preserve"> </w:t>
      </w:r>
      <w:r w:rsidRPr="00201842">
        <w:rPr>
          <w:color w:val="000000"/>
        </w:rPr>
        <w:t>records to be maintained by the respondents will occur as part of the periodic inspection of</w:t>
      </w:r>
      <w:r>
        <w:rPr>
          <w:color w:val="000000"/>
        </w:rPr>
        <w:t xml:space="preserve"> </w:t>
      </w:r>
      <w:r w:rsidRPr="00201842">
        <w:rPr>
          <w:color w:val="000000"/>
        </w:rPr>
        <w:t>sources, which is part of EPA’s overall compliance and enforcement program.</w:t>
      </w:r>
      <w:r>
        <w:rPr>
          <w:color w:val="000000"/>
        </w:rPr>
        <w:t xml:space="preserve"> </w:t>
      </w:r>
      <w:r w:rsidR="00DD5A1D">
        <w:rPr>
          <w:color w:val="000000"/>
        </w:rPr>
        <w:t xml:space="preserve">The average annual Agency cost during the </w:t>
      </w:r>
      <w:r w:rsidR="00C26CDE">
        <w:rPr>
          <w:color w:val="000000"/>
        </w:rPr>
        <w:t xml:space="preserve">3 </w:t>
      </w:r>
      <w:r w:rsidR="00DD5A1D">
        <w:rPr>
          <w:color w:val="000000"/>
        </w:rPr>
        <w:t xml:space="preserve">years of the ICR is estimated to be </w:t>
      </w:r>
      <w:r w:rsidR="006C0D8A" w:rsidRPr="00AD258C">
        <w:rPr>
          <w:color w:val="000000"/>
        </w:rPr>
        <w:t>$</w:t>
      </w:r>
      <w:r w:rsidR="00AB0D9B">
        <w:rPr>
          <w:color w:val="000000"/>
        </w:rPr>
        <w:t>12,748</w:t>
      </w:r>
      <w:r>
        <w:rPr>
          <w:color w:val="000000"/>
        </w:rPr>
        <w:t>.</w:t>
      </w:r>
    </w:p>
    <w:p w:rsidR="005402C1" w:rsidRDefault="005402C1" w:rsidP="00FC7AAF">
      <w:pPr>
        <w:widowControl/>
        <w:pBdr>
          <w:top w:val="single" w:sz="6" w:space="0" w:color="FFFFFF"/>
          <w:left w:val="single" w:sz="6" w:space="0" w:color="FFFFFF"/>
          <w:bottom w:val="single" w:sz="6" w:space="0" w:color="FFFFFF"/>
          <w:right w:val="single" w:sz="6" w:space="0" w:color="FFFFFF"/>
        </w:pBdr>
        <w:tabs>
          <w:tab w:val="left" w:pos="-1080"/>
        </w:tabs>
        <w:ind w:firstLine="720"/>
        <w:rPr>
          <w:color w:val="000000"/>
        </w:rPr>
      </w:pPr>
    </w:p>
    <w:p w:rsidR="00DD5A1D" w:rsidRDefault="00201842" w:rsidP="00FC7AAF">
      <w:pPr>
        <w:widowControl/>
        <w:pBdr>
          <w:top w:val="single" w:sz="6" w:space="0" w:color="FFFFFF"/>
          <w:left w:val="single" w:sz="6" w:space="0" w:color="FFFFFF"/>
          <w:bottom w:val="single" w:sz="6" w:space="0" w:color="FFFFFF"/>
          <w:right w:val="single" w:sz="6" w:space="0" w:color="FFFFFF"/>
        </w:pBdr>
        <w:tabs>
          <w:tab w:val="left" w:pos="-1080"/>
        </w:tabs>
        <w:ind w:firstLine="720"/>
      </w:pPr>
      <w:r>
        <w:t>The Agency labor rates are from the Office of Personnel Management (OPM) “2012 General Schedule” which excludes locality rates of pay. These rates c</w:t>
      </w:r>
      <w:r w:rsidR="00E57DD8">
        <w:t xml:space="preserve">an be obtained from Salary </w:t>
      </w:r>
      <w:r>
        <w:t>Table 201</w:t>
      </w:r>
      <w:r w:rsidR="00E57DD8">
        <w:t>2</w:t>
      </w:r>
      <w:r>
        <w:t xml:space="preserve">-GS, available on the OPM website at </w:t>
      </w:r>
      <w:hyperlink r:id="rId9" w:history="1">
        <w:r w:rsidR="00E57DD8" w:rsidRPr="00966DCE">
          <w:rPr>
            <w:rStyle w:val="Hyperlink"/>
          </w:rPr>
          <w:t>http://www.opm.gov/oca/12tables/html/gs_h.asp</w:t>
        </w:r>
      </w:hyperlink>
      <w:r w:rsidR="00E57DD8">
        <w:t xml:space="preserve">. </w:t>
      </w:r>
      <w:r>
        <w:t>The government employee labor rates are $15.63 per hour for clerical (GS-6, Step 3), $28.88 for</w:t>
      </w:r>
      <w:r w:rsidR="00E57DD8">
        <w:t xml:space="preserve"> </w:t>
      </w:r>
      <w:r>
        <w:t>technical (GS-12, Step 1) and $38.92 for managerial (GS-13, Step 5). These rates were increased</w:t>
      </w:r>
      <w:r w:rsidR="00E57DD8">
        <w:t xml:space="preserve"> </w:t>
      </w:r>
      <w:r>
        <w:t>by 60 percent to include fringe benefits and overhead. The fully-burdened wage rates used to</w:t>
      </w:r>
      <w:r w:rsidR="00E57DD8">
        <w:t xml:space="preserve"> </w:t>
      </w:r>
      <w:r>
        <w:t>represent Agency labor costs are: clerical at $25.01, technical at $46.21 and managerial at $62.27.</w:t>
      </w:r>
    </w:p>
    <w:p w:rsidR="00DD5A1D" w:rsidRDefault="00DD5A1D" w:rsidP="00FC7AAF">
      <w:pPr>
        <w:widowControl/>
        <w:pBdr>
          <w:top w:val="single" w:sz="6" w:space="0" w:color="FFFFFF"/>
          <w:left w:val="single" w:sz="6" w:space="8" w:color="FFFFFF"/>
          <w:bottom w:val="single" w:sz="6" w:space="0" w:color="FFFFFF"/>
          <w:right w:val="single" w:sz="6" w:space="0" w:color="FFFFFF"/>
        </w:pBdr>
      </w:pPr>
    </w:p>
    <w:p w:rsidR="00DD5A1D" w:rsidRPr="00D06AF6" w:rsidRDefault="00DD5A1D" w:rsidP="00FC7AAF">
      <w:pPr>
        <w:widowControl/>
        <w:rPr>
          <w:i/>
        </w:rPr>
      </w:pPr>
      <w:r w:rsidRPr="00D06AF6">
        <w:rPr>
          <w:bCs/>
          <w:i/>
        </w:rPr>
        <w:t>(d)  Estimating the Respondent Universe and Total Burden and Costs</w:t>
      </w:r>
    </w:p>
    <w:p w:rsidR="00DD5A1D" w:rsidRDefault="00DD5A1D" w:rsidP="00FC7AAF">
      <w:pPr>
        <w:widowControl/>
      </w:pPr>
    </w:p>
    <w:p w:rsidR="00DD5A1D" w:rsidRDefault="00DD5A1D" w:rsidP="00FC7AAF">
      <w:pPr>
        <w:widowControl/>
      </w:pPr>
      <w:r>
        <w:tab/>
      </w:r>
      <w:r w:rsidR="00DE2041">
        <w:t xml:space="preserve">It </w:t>
      </w:r>
      <w:r w:rsidR="00DE2041" w:rsidRPr="00694F69">
        <w:t>is estimated that two kraft pulp mills per year (for a total of six mills) will</w:t>
      </w:r>
      <w:r w:rsidR="00DE2041">
        <w:t xml:space="preserve"> have new, modified, or reconstructed emission units that become subject to </w:t>
      </w:r>
      <w:r w:rsidR="00157975">
        <w:t>S</w:t>
      </w:r>
      <w:r w:rsidR="00DE2041">
        <w:t xml:space="preserve">ubpart </w:t>
      </w:r>
      <w:proofErr w:type="spellStart"/>
      <w:r w:rsidR="00DE2041">
        <w:t>BBa</w:t>
      </w:r>
      <w:proofErr w:type="spellEnd"/>
      <w:r w:rsidR="00DE2041">
        <w:t xml:space="preserve"> in the next </w:t>
      </w:r>
      <w:r w:rsidR="00C26CDE">
        <w:t xml:space="preserve">3 </w:t>
      </w:r>
      <w:r w:rsidR="00DE2041">
        <w:t xml:space="preserve">years. </w:t>
      </w:r>
      <w:r>
        <w:t xml:space="preserve">The total annual labor costs are </w:t>
      </w:r>
      <w:r w:rsidR="006C0D8A" w:rsidRPr="00AD258C">
        <w:t>$</w:t>
      </w:r>
      <w:r w:rsidR="008C7DA3">
        <w:t>186,324</w:t>
      </w:r>
      <w:r>
        <w:t>.</w:t>
      </w:r>
      <w:r w:rsidR="005971B8">
        <w:t xml:space="preserve"> </w:t>
      </w:r>
      <w:r>
        <w:t xml:space="preserve">Details regarding these estimates may be found </w:t>
      </w:r>
      <w:r w:rsidR="001C6B2A">
        <w:t xml:space="preserve">below </w:t>
      </w:r>
      <w:r>
        <w:t xml:space="preserve">in </w:t>
      </w:r>
      <w:r>
        <w:lastRenderedPageBreak/>
        <w:t xml:space="preserve">Table 1: Annual Respondents Burden and Cost – NSPS </w:t>
      </w:r>
      <w:r w:rsidR="00DC69C2">
        <w:t xml:space="preserve">Review </w:t>
      </w:r>
      <w:r>
        <w:t>for Kraft Pulp Mills (40 CFR Part</w:t>
      </w:r>
      <w:r w:rsidR="00486FC4">
        <w:t> </w:t>
      </w:r>
      <w:r>
        <w:t xml:space="preserve">60, Subpart </w:t>
      </w:r>
      <w:proofErr w:type="spellStart"/>
      <w:r>
        <w:t>BB</w:t>
      </w:r>
      <w:r w:rsidR="00DC69C2">
        <w:t>a</w:t>
      </w:r>
      <w:proofErr w:type="spellEnd"/>
      <w:r>
        <w:t>).</w:t>
      </w:r>
    </w:p>
    <w:p w:rsidR="00DD5A1D" w:rsidRDefault="00DD5A1D" w:rsidP="00FC7AAF">
      <w:pPr>
        <w:widowControl/>
        <w:ind w:firstLine="720"/>
        <w:rPr>
          <w:b/>
          <w:bCs/>
        </w:rPr>
      </w:pPr>
    </w:p>
    <w:p w:rsidR="00DD5A1D" w:rsidRPr="00D06AF6" w:rsidRDefault="00DD5A1D" w:rsidP="00F534CA">
      <w:pPr>
        <w:keepNext/>
        <w:widowControl/>
        <w:rPr>
          <w:bCs/>
          <w:i/>
        </w:rPr>
      </w:pPr>
      <w:r w:rsidRPr="00D06AF6">
        <w:rPr>
          <w:bCs/>
          <w:i/>
        </w:rPr>
        <w:t>(e)  Bottom Line Burden Hours Burden Hours and Cost Tables</w:t>
      </w:r>
    </w:p>
    <w:p w:rsidR="00DD5A1D" w:rsidRDefault="00DD5A1D" w:rsidP="00F534CA">
      <w:pPr>
        <w:keepNext/>
        <w:widowControl/>
        <w:ind w:firstLine="720"/>
      </w:pPr>
    </w:p>
    <w:p w:rsidR="00DD5A1D" w:rsidRDefault="00DD5A1D" w:rsidP="00F534CA">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DD5A1D" w:rsidRDefault="00DD5A1D" w:rsidP="00FC7AAF">
      <w:pPr>
        <w:widowControl/>
        <w:pBdr>
          <w:top w:val="single" w:sz="6" w:space="0" w:color="FFFFFF"/>
          <w:left w:val="single" w:sz="6" w:space="0" w:color="FFFFFF"/>
          <w:bottom w:val="single" w:sz="6" w:space="0" w:color="FFFFFF"/>
          <w:right w:val="single" w:sz="6" w:space="0" w:color="FFFFFF"/>
        </w:pBdr>
        <w:ind w:firstLine="720"/>
        <w:rPr>
          <w:color w:val="000000"/>
        </w:rPr>
      </w:pPr>
    </w:p>
    <w:p w:rsidR="00DD5A1D" w:rsidRDefault="00DD5A1D" w:rsidP="00FC7AAF">
      <w:pPr>
        <w:widowControl/>
        <w:pBdr>
          <w:top w:val="single" w:sz="6" w:space="0" w:color="FFFFFF"/>
          <w:left w:val="single" w:sz="6" w:space="0" w:color="FFFFFF"/>
          <w:bottom w:val="single" w:sz="6" w:space="0" w:color="FFFFFF"/>
          <w:right w:val="single" w:sz="6" w:space="0" w:color="FFFFFF"/>
        </w:pBdr>
        <w:ind w:firstLine="720"/>
      </w:pPr>
      <w:r w:rsidRPr="000D6777">
        <w:rPr>
          <w:bCs/>
          <w:color w:val="000000"/>
        </w:rPr>
        <w:t xml:space="preserve">(i)  </w:t>
      </w:r>
      <w:r w:rsidRPr="000D6777">
        <w:rPr>
          <w:bCs/>
          <w:color w:val="000000"/>
          <w:u w:val="single"/>
        </w:rPr>
        <w:t>Respondent Tally</w:t>
      </w:r>
      <w:r w:rsidR="00D06AF6" w:rsidRPr="000D6777">
        <w:rPr>
          <w:bCs/>
          <w:color w:val="000000"/>
        </w:rPr>
        <w:t xml:space="preserve">.  </w:t>
      </w:r>
      <w:r>
        <w:rPr>
          <w:color w:val="000000"/>
        </w:rPr>
        <w:t xml:space="preserve">The total annual labor hours </w:t>
      </w:r>
      <w:r w:rsidRPr="00AB0D9B">
        <w:rPr>
          <w:color w:val="000000"/>
        </w:rPr>
        <w:t xml:space="preserve">are </w:t>
      </w:r>
      <w:r w:rsidR="008C7DA3">
        <w:rPr>
          <w:color w:val="000000"/>
        </w:rPr>
        <w:t>1,905</w:t>
      </w:r>
      <w:r w:rsidRPr="00AB0D9B">
        <w:rPr>
          <w:color w:val="000000"/>
        </w:rPr>
        <w:t>.</w:t>
      </w:r>
      <w:r w:rsidR="005971B8" w:rsidRPr="00AB0D9B">
        <w:rPr>
          <w:color w:val="000000"/>
        </w:rPr>
        <w:t xml:space="preserve"> </w:t>
      </w:r>
      <w:r w:rsidRPr="00AB0D9B">
        <w:rPr>
          <w:color w:val="000000"/>
        </w:rPr>
        <w:t>Details</w:t>
      </w:r>
      <w:r>
        <w:rPr>
          <w:color w:val="000000"/>
        </w:rPr>
        <w:t xml:space="preserve"> regarding these estimates may be found</w:t>
      </w:r>
      <w:r w:rsidR="001C6B2A">
        <w:rPr>
          <w:color w:val="000000"/>
        </w:rPr>
        <w:t xml:space="preserve"> below</w:t>
      </w:r>
      <w:r>
        <w:rPr>
          <w:color w:val="000000"/>
        </w:rPr>
        <w:t xml:space="preserve"> in Table 1</w:t>
      </w:r>
      <w:r w:rsidR="001C6B2A">
        <w:rPr>
          <w:color w:val="000000"/>
        </w:rPr>
        <w:t>:</w:t>
      </w:r>
      <w:r>
        <w:rPr>
          <w:color w:val="000000"/>
        </w:rPr>
        <w:t xml:space="preserve"> Annual Respondent Burden and Cost</w:t>
      </w:r>
      <w:r w:rsidR="001C6B2A">
        <w:rPr>
          <w:color w:val="000000"/>
        </w:rPr>
        <w:t xml:space="preserve"> -</w:t>
      </w:r>
      <w:r>
        <w:rPr>
          <w:color w:val="000000"/>
        </w:rPr>
        <w:t xml:space="preserve"> NSPS </w:t>
      </w:r>
      <w:r w:rsidR="00942619">
        <w:rPr>
          <w:color w:val="000000"/>
        </w:rPr>
        <w:t xml:space="preserve">Review </w:t>
      </w:r>
      <w:r>
        <w:t xml:space="preserve">for Kraft Pulp Mills (40 CFR Part 60, Subpart </w:t>
      </w:r>
      <w:proofErr w:type="spellStart"/>
      <w:r>
        <w:t>BB</w:t>
      </w:r>
      <w:r w:rsidR="00942619">
        <w:t>a</w:t>
      </w:r>
      <w:proofErr w:type="spellEnd"/>
      <w:r>
        <w:t>).</w:t>
      </w:r>
      <w:r w:rsidR="005971B8">
        <w:t xml:space="preserve"> </w:t>
      </w:r>
      <w:r>
        <w:rPr>
          <w:color w:val="000000"/>
        </w:rPr>
        <w:t xml:space="preserve">Furthermore, the annual public reporting and recordkeeping burden for this collection of information is estimated to average </w:t>
      </w:r>
      <w:r w:rsidR="00DE2041" w:rsidRPr="00AB0D9B">
        <w:rPr>
          <w:color w:val="000000"/>
        </w:rPr>
        <w:t>22</w:t>
      </w:r>
      <w:r>
        <w:rPr>
          <w:color w:val="000000"/>
        </w:rPr>
        <w:t xml:space="preserve"> hours per response.</w:t>
      </w:r>
    </w:p>
    <w:p w:rsidR="00DD5A1D" w:rsidRDefault="00DD5A1D" w:rsidP="00FC7AAF">
      <w:pPr>
        <w:widowControl/>
        <w:pBdr>
          <w:top w:val="single" w:sz="6" w:space="0" w:color="FFFFFF"/>
          <w:left w:val="single" w:sz="6" w:space="0" w:color="FFFFFF"/>
          <w:bottom w:val="single" w:sz="6" w:space="0" w:color="FFFFFF"/>
          <w:right w:val="single" w:sz="6" w:space="0" w:color="FFFFFF"/>
        </w:pBdr>
        <w:ind w:firstLine="720"/>
        <w:rPr>
          <w:color w:val="000000"/>
        </w:rPr>
      </w:pPr>
    </w:p>
    <w:p w:rsidR="00DD5A1D" w:rsidRDefault="00DD5A1D" w:rsidP="00FC7AAF">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C0D8A" w:rsidRPr="00AD258C">
        <w:rPr>
          <w:color w:val="000000"/>
        </w:rPr>
        <w:t>$</w:t>
      </w:r>
      <w:r w:rsidR="008C7DA3">
        <w:rPr>
          <w:color w:val="000000"/>
        </w:rPr>
        <w:t>567,180</w:t>
      </w:r>
      <w:r w:rsidRPr="00AB0D9B">
        <w:rPr>
          <w:color w:val="000000"/>
        </w:rPr>
        <w:t>.</w:t>
      </w:r>
      <w:r w:rsidR="005971B8">
        <w:rPr>
          <w:color w:val="000000"/>
        </w:rPr>
        <w:t xml:space="preserve"> </w:t>
      </w:r>
      <w:r>
        <w:rPr>
          <w:color w:val="000000"/>
        </w:rPr>
        <w:t>The cost calculations are detailed in Section 6(b</w:t>
      </w:r>
      <w:proofErr w:type="gramStart"/>
      <w:r>
        <w:rPr>
          <w:color w:val="000000"/>
        </w:rPr>
        <w:t>)(</w:t>
      </w:r>
      <w:proofErr w:type="gramEnd"/>
      <w:r>
        <w:rPr>
          <w:color w:val="000000"/>
        </w:rPr>
        <w:t xml:space="preserve">iii), Capital/Startup </w:t>
      </w:r>
      <w:r w:rsidR="00942619">
        <w:rPr>
          <w:color w:val="000000"/>
        </w:rPr>
        <w:t xml:space="preserve">vs. </w:t>
      </w:r>
      <w:r>
        <w:rPr>
          <w:color w:val="000000"/>
        </w:rPr>
        <w:t>Operation and Maintenance (O&amp;M) Costs.</w:t>
      </w:r>
    </w:p>
    <w:p w:rsidR="00DD5A1D" w:rsidRDefault="00DD5A1D" w:rsidP="00FC7AAF">
      <w:pPr>
        <w:widowControl/>
        <w:pBdr>
          <w:top w:val="single" w:sz="6" w:space="0" w:color="FFFFFF"/>
          <w:left w:val="single" w:sz="6" w:space="0" w:color="FFFFFF"/>
          <w:bottom w:val="single" w:sz="6" w:space="0" w:color="FFFFFF"/>
          <w:right w:val="single" w:sz="6" w:space="0" w:color="FFFFFF"/>
        </w:pBdr>
        <w:ind w:firstLine="2160"/>
        <w:rPr>
          <w:color w:val="000000"/>
        </w:rPr>
      </w:pPr>
    </w:p>
    <w:p w:rsidR="00DD5A1D" w:rsidRDefault="00DD5A1D" w:rsidP="00FC7AAF">
      <w:pPr>
        <w:widowControl/>
        <w:pBdr>
          <w:top w:val="single" w:sz="6" w:space="0" w:color="FFFFFF"/>
          <w:left w:val="single" w:sz="6" w:space="0" w:color="FFFFFF"/>
          <w:bottom w:val="single" w:sz="6" w:space="0" w:color="FFFFFF"/>
          <w:right w:val="single" w:sz="6" w:space="0" w:color="FFFFFF"/>
        </w:pBdr>
        <w:ind w:firstLine="720"/>
      </w:pPr>
      <w:r w:rsidRPr="000D6777">
        <w:rPr>
          <w:bCs/>
          <w:color w:val="000000"/>
        </w:rPr>
        <w:t>(</w:t>
      </w:r>
      <w:proofErr w:type="gramStart"/>
      <w:r w:rsidRPr="000D6777">
        <w:rPr>
          <w:bCs/>
          <w:color w:val="000000"/>
        </w:rPr>
        <w:t>ii</w:t>
      </w:r>
      <w:proofErr w:type="gramEnd"/>
      <w:r w:rsidRPr="000D6777">
        <w:rPr>
          <w:bCs/>
          <w:color w:val="000000"/>
        </w:rPr>
        <w:t xml:space="preserve">)  </w:t>
      </w:r>
      <w:r w:rsidRPr="000D6777">
        <w:rPr>
          <w:bCs/>
          <w:color w:val="000000"/>
          <w:u w:val="single"/>
        </w:rPr>
        <w:t>The Agency Tally</w:t>
      </w:r>
      <w:r w:rsidR="00D06AF6" w:rsidRPr="000D6777">
        <w:rPr>
          <w:bCs/>
          <w:color w:val="000000"/>
        </w:rPr>
        <w:t xml:space="preserve">. </w:t>
      </w:r>
      <w:r>
        <w:t xml:space="preserve">The average annual Agency burden and cost over the next </w:t>
      </w:r>
      <w:r w:rsidR="00C26CDE">
        <w:t xml:space="preserve">3 </w:t>
      </w:r>
      <w:r>
        <w:t xml:space="preserve">years is estimated to be </w:t>
      </w:r>
      <w:r w:rsidR="00AB0D9B">
        <w:t>136</w:t>
      </w:r>
      <w:r>
        <w:t xml:space="preserve"> labor hours</w:t>
      </w:r>
      <w:r w:rsidR="001C6B2A">
        <w:t>,</w:t>
      </w:r>
      <w:r>
        <w:t xml:space="preserve"> at a cost of </w:t>
      </w:r>
      <w:r w:rsidR="006C0D8A" w:rsidRPr="00AD258C">
        <w:t>$</w:t>
      </w:r>
      <w:r w:rsidR="00AB0D9B">
        <w:t>12,748</w:t>
      </w:r>
      <w:r w:rsidR="00537891">
        <w:t xml:space="preserve">. </w:t>
      </w:r>
      <w:r>
        <w:t xml:space="preserve">See </w:t>
      </w:r>
      <w:r w:rsidR="001C6B2A">
        <w:t xml:space="preserve">below </w:t>
      </w:r>
      <w:r>
        <w:t>Table 2</w:t>
      </w:r>
      <w:r w:rsidR="001C6B2A">
        <w:t>:</w:t>
      </w:r>
      <w:r>
        <w:t xml:space="preserve"> </w:t>
      </w:r>
      <w:r w:rsidR="00F07C51">
        <w:t xml:space="preserve">Average </w:t>
      </w:r>
      <w:r>
        <w:t xml:space="preserve">Annual </w:t>
      </w:r>
      <w:r w:rsidR="00F07C51">
        <w:t>EPA</w:t>
      </w:r>
      <w:r>
        <w:t xml:space="preserve"> Burden and Cost</w:t>
      </w:r>
      <w:r w:rsidR="00F07C51">
        <w:t xml:space="preserve"> -</w:t>
      </w:r>
      <w:r>
        <w:t xml:space="preserve"> NSPS </w:t>
      </w:r>
      <w:r w:rsidR="00942619">
        <w:t xml:space="preserve">Review </w:t>
      </w:r>
      <w:r>
        <w:t xml:space="preserve">for Kraft Pulp Mills (40 CFR </w:t>
      </w:r>
      <w:proofErr w:type="gramStart"/>
      <w:r>
        <w:t>Part</w:t>
      </w:r>
      <w:proofErr w:type="gramEnd"/>
      <w:r>
        <w:t xml:space="preserve"> 60, Subpart </w:t>
      </w:r>
      <w:proofErr w:type="spellStart"/>
      <w:r>
        <w:t>BB</w:t>
      </w:r>
      <w:r w:rsidR="00942619">
        <w:t>a</w:t>
      </w:r>
      <w:proofErr w:type="spellEnd"/>
      <w:r>
        <w:t>).</w:t>
      </w:r>
    </w:p>
    <w:p w:rsidR="00DD5A1D" w:rsidRDefault="00DD5A1D" w:rsidP="00FC7AAF">
      <w:pPr>
        <w:widowControl/>
      </w:pPr>
    </w:p>
    <w:p w:rsidR="00DD5A1D" w:rsidRPr="00D06AF6" w:rsidRDefault="006C0D8A" w:rsidP="00FC7AAF">
      <w:pPr>
        <w:widowControl/>
        <w:rPr>
          <w:i/>
        </w:rPr>
      </w:pPr>
      <w:r w:rsidRPr="00D06AF6">
        <w:rPr>
          <w:bCs/>
          <w:i/>
        </w:rPr>
        <w:t>(f)  Reasons for Change in Burden</w:t>
      </w:r>
    </w:p>
    <w:p w:rsidR="00DD5A1D" w:rsidRDefault="00DD5A1D" w:rsidP="00FC7AAF">
      <w:pPr>
        <w:widowControl/>
      </w:pPr>
    </w:p>
    <w:p w:rsidR="007E5EBA" w:rsidRPr="009B4FE0" w:rsidRDefault="00914934" w:rsidP="00FC7AAF">
      <w:pPr>
        <w:widowControl/>
        <w:ind w:firstLine="720"/>
      </w:pPr>
      <w:r>
        <w:rPr>
          <w:lang w:eastAsia="en-US"/>
        </w:rPr>
        <w:t>There is no change in burden because this is a new Information Collection.</w:t>
      </w:r>
    </w:p>
    <w:p w:rsidR="00DD5A1D" w:rsidRDefault="00DD5A1D" w:rsidP="00FC7AAF">
      <w:pPr>
        <w:widowControl/>
      </w:pPr>
    </w:p>
    <w:p w:rsidR="00DD5A1D" w:rsidRPr="00D06AF6" w:rsidRDefault="00DD5A1D" w:rsidP="00FC7AAF">
      <w:pPr>
        <w:widowControl/>
        <w:rPr>
          <w:i/>
        </w:rPr>
      </w:pPr>
      <w:r w:rsidRPr="00D06AF6">
        <w:rPr>
          <w:bCs/>
          <w:i/>
        </w:rPr>
        <w:t>(g)  Burden Statement</w:t>
      </w:r>
    </w:p>
    <w:p w:rsidR="00DD5A1D" w:rsidRDefault="00DD5A1D" w:rsidP="00FC7AAF">
      <w:pPr>
        <w:widowControl/>
      </w:pPr>
    </w:p>
    <w:p w:rsidR="00DD5A1D" w:rsidRDefault="00DD5A1D" w:rsidP="00FC7AAF">
      <w:pPr>
        <w:widowControl/>
        <w:ind w:firstLine="720"/>
      </w:pPr>
      <w:r>
        <w:t xml:space="preserve">The annual public reporting and recordkeeping burden for this collection of information is estimated to </w:t>
      </w:r>
      <w:r w:rsidRPr="00AB0D9B">
        <w:t xml:space="preserve">average </w:t>
      </w:r>
      <w:r w:rsidR="00CE51EF">
        <w:t>22</w:t>
      </w:r>
      <w:r w:rsidRPr="00AB0D9B">
        <w:t xml:space="preserve"> hours</w:t>
      </w:r>
      <w:r>
        <w:t xml:space="preserve"> per response.</w:t>
      </w:r>
      <w:r w:rsidR="005971B8">
        <w:t xml:space="preserve"> </w:t>
      </w:r>
      <w:r>
        <w:t>Burden means the total time, effort, or financial resources expended by persons to generate, maintain, retain, disclose or provide information to or for a Federal agency.</w:t>
      </w:r>
      <w:r w:rsidR="005971B8">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DD5A1D" w:rsidRDefault="00DD5A1D" w:rsidP="00FC7AAF">
      <w:pPr>
        <w:widowControl/>
        <w:ind w:firstLine="720"/>
      </w:pPr>
    </w:p>
    <w:p w:rsidR="00DD5A1D" w:rsidRDefault="00DD5A1D" w:rsidP="00FC7AAF">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5971B8">
        <w:rPr>
          <w:color w:val="000000"/>
        </w:rPr>
        <w:t xml:space="preserve"> </w:t>
      </w:r>
      <w:r>
        <w:rPr>
          <w:color w:val="000000"/>
        </w:rPr>
        <w:t>The OMB Control Numbers for EPA</w:t>
      </w:r>
      <w:r w:rsidR="00FD2CC1">
        <w:rPr>
          <w:color w:val="000000"/>
        </w:rPr>
        <w:t>’</w:t>
      </w:r>
      <w:r>
        <w:rPr>
          <w:color w:val="000000"/>
        </w:rPr>
        <w:t xml:space="preserve">s regulations are listed at 40 CFR </w:t>
      </w:r>
      <w:r w:rsidR="00FD2CC1">
        <w:rPr>
          <w:color w:val="000000"/>
        </w:rPr>
        <w:t>P</w:t>
      </w:r>
      <w:r>
        <w:rPr>
          <w:color w:val="000000"/>
        </w:rPr>
        <w:t xml:space="preserve">art 9 and 48 CFR </w:t>
      </w:r>
      <w:r w:rsidR="00FD2CC1">
        <w:rPr>
          <w:color w:val="000000"/>
        </w:rPr>
        <w:t>C</w:t>
      </w:r>
      <w:r>
        <w:rPr>
          <w:color w:val="000000"/>
        </w:rPr>
        <w:t>hapter 15.</w:t>
      </w:r>
    </w:p>
    <w:p w:rsidR="00DD5A1D" w:rsidRDefault="00DD5A1D" w:rsidP="00FC7AAF">
      <w:pPr>
        <w:widowControl/>
      </w:pPr>
    </w:p>
    <w:p w:rsidR="00DD5A1D" w:rsidRDefault="00DD5A1D" w:rsidP="00FC7AAF">
      <w:pPr>
        <w:widowControl/>
        <w:ind w:firstLine="720"/>
      </w:pPr>
      <w:r>
        <w:t>To comment on the Agency</w:t>
      </w:r>
      <w:r w:rsidR="00BD281B">
        <w:t>’</w:t>
      </w:r>
      <w:r>
        <w:t>s need for this information, the accuracy of the provided burden estimates and any suggested methods for minimizing respondent burden, including the use of automated collection techniques, EPA has established a public docket for this ICR under Docket ID Number EPA-HQ-O</w:t>
      </w:r>
      <w:r w:rsidR="00BD281B">
        <w:t>AR</w:t>
      </w:r>
      <w:r>
        <w:t>-</w:t>
      </w:r>
      <w:r w:rsidR="002D5D2F">
        <w:t>201</w:t>
      </w:r>
      <w:r w:rsidR="00BD281B">
        <w:t>2</w:t>
      </w:r>
      <w:r>
        <w:t>-</w:t>
      </w:r>
      <w:r w:rsidR="002D5D2F">
        <w:t>0</w:t>
      </w:r>
      <w:r w:rsidR="00BD281B">
        <w:t>640</w:t>
      </w:r>
      <w:r>
        <w:t>.</w:t>
      </w:r>
      <w:r w:rsidR="005971B8">
        <w:t xml:space="preserve"> </w:t>
      </w:r>
      <w:r>
        <w:t xml:space="preserve">An electronic version of the public docket is available at </w:t>
      </w:r>
      <w:hyperlink r:id="rId10" w:history="1">
        <w:r w:rsidRPr="00F07C51">
          <w:rPr>
            <w:rStyle w:val="Hyperlink"/>
            <w:color w:val="auto"/>
          </w:rPr>
          <w:t>http://www.regulations.gov/</w:t>
        </w:r>
      </w:hyperlink>
      <w:r w:rsidR="00FD2CC1" w:rsidRPr="00FD2CC1">
        <w:rPr>
          <w:rStyle w:val="Hyperlink"/>
          <w:color w:val="auto"/>
          <w:u w:val="none"/>
        </w:rPr>
        <w:t>,</w:t>
      </w:r>
      <w:r>
        <w:t xml:space="preserve"> which may be used to obtain a copy of the draft collection of information, submit or view public comments, access the index listing of the content of the docket and access those documents in the public docket that are available electronically.</w:t>
      </w:r>
      <w:r w:rsidR="005971B8">
        <w:t xml:space="preserve"> </w:t>
      </w:r>
      <w:r>
        <w:t>When in the system, select “search</w:t>
      </w:r>
      <w:r w:rsidR="00FD2CC1">
        <w:t>,</w:t>
      </w:r>
      <w:r>
        <w:t>” th</w:t>
      </w:r>
      <w:r w:rsidR="00FD2CC1">
        <w:t>e</w:t>
      </w:r>
      <w:r>
        <w:t>n key in the docket ID number identified in this document.</w:t>
      </w:r>
      <w:r w:rsidR="005971B8">
        <w:t xml:space="preserve"> </w:t>
      </w:r>
      <w:r>
        <w:t xml:space="preserve">The documents are also available for public viewing at the EPA Docket Center, EPA West, Room 3334, </w:t>
      </w:r>
      <w:proofErr w:type="gramStart"/>
      <w:r w:rsidR="00BD281B">
        <w:t>1301</w:t>
      </w:r>
      <w:proofErr w:type="gramEnd"/>
      <w:r w:rsidR="00BD281B">
        <w:t xml:space="preserve"> Constitution Avenue, NW</w:t>
      </w:r>
      <w:r>
        <w:t>, Washington, DC.</w:t>
      </w:r>
      <w:r w:rsidR="005971B8">
        <w:t xml:space="preserve"> </w:t>
      </w:r>
      <w:r>
        <w:t>The EPA Docket Center Public Reading Room</w:t>
      </w:r>
      <w:r w:rsidR="005971B8">
        <w:t xml:space="preserve"> </w:t>
      </w:r>
      <w:r>
        <w:t>is open from 8:30 a.m. to 4:30 p.m., Monday through Friday, excluding legal holidays.</w:t>
      </w:r>
      <w:r w:rsidR="005971B8">
        <w:t xml:space="preserve"> </w:t>
      </w:r>
      <w:r>
        <w:t>The telephone number for the Reading Room is (202) 566-</w:t>
      </w:r>
      <w:r w:rsidR="00F07C51">
        <w:t>1744</w:t>
      </w:r>
      <w:r>
        <w:t xml:space="preserve">, and the telephone number for the </w:t>
      </w:r>
      <w:r w:rsidR="00BD281B">
        <w:t>docket center</w:t>
      </w:r>
      <w:r>
        <w:t xml:space="preserve"> is (202) 566-</w:t>
      </w:r>
      <w:r w:rsidR="00F07C51">
        <w:t>17</w:t>
      </w:r>
      <w:r w:rsidR="00BD281B">
        <w:t>4</w:t>
      </w:r>
      <w:r w:rsidR="00F07C51">
        <w:t>2</w:t>
      </w:r>
      <w:r>
        <w:rPr>
          <w:rStyle w:val="1"/>
        </w:rPr>
        <w:t>.</w:t>
      </w:r>
      <w:r w:rsidR="005971B8">
        <w:rPr>
          <w:rStyle w:val="1"/>
        </w:rPr>
        <w:t xml:space="preserve"> </w:t>
      </w:r>
      <w:r w:rsidR="00BD281B">
        <w:rPr>
          <w:rStyle w:val="1"/>
        </w:rPr>
        <w:t>S</w:t>
      </w:r>
      <w:r>
        <w:t>end comments to the Office of Information and Regulatory Affairs, Office of Management and Budget</w:t>
      </w:r>
      <w:r w:rsidR="00BD281B">
        <w:t xml:space="preserve"> (OMB), Attention: Desk Officer for EPA, 725 17th Street, N</w:t>
      </w:r>
      <w:r>
        <w:t>W, Washington, DC 20503.</w:t>
      </w:r>
      <w:r w:rsidR="005971B8">
        <w:t xml:space="preserve"> </w:t>
      </w:r>
      <w:r>
        <w:t xml:space="preserve">Please include the EPA </w:t>
      </w:r>
      <w:r w:rsidRPr="00CE51EF">
        <w:t>Docket ID Number EPA-HQ-O</w:t>
      </w:r>
      <w:r w:rsidR="00BD281B" w:rsidRPr="00CE51EF">
        <w:t>AR</w:t>
      </w:r>
      <w:r w:rsidRPr="00CE51EF">
        <w:t>-</w:t>
      </w:r>
      <w:r w:rsidR="002D5D2F" w:rsidRPr="00CE51EF">
        <w:t>201</w:t>
      </w:r>
      <w:r w:rsidR="00BD281B" w:rsidRPr="00CE51EF">
        <w:t>2</w:t>
      </w:r>
      <w:r w:rsidRPr="00CE51EF">
        <w:t>-</w:t>
      </w:r>
      <w:r w:rsidR="002D5D2F" w:rsidRPr="00CE51EF">
        <w:t>0</w:t>
      </w:r>
      <w:r w:rsidR="00BD281B" w:rsidRPr="00CE51EF">
        <w:t>640</w:t>
      </w:r>
      <w:r w:rsidR="002D5D2F" w:rsidRPr="00CE51EF">
        <w:t xml:space="preserve"> </w:t>
      </w:r>
      <w:r w:rsidRPr="00CE51EF">
        <w:t>and OMB Control Number 2060-</w:t>
      </w:r>
      <w:r w:rsidR="000E32DB" w:rsidRPr="00CE51EF">
        <w:t>NEW</w:t>
      </w:r>
      <w:r w:rsidRPr="00CE51EF">
        <w:t xml:space="preserve"> in any</w:t>
      </w:r>
      <w:r>
        <w:t xml:space="preserve"> correspondence.</w:t>
      </w:r>
    </w:p>
    <w:p w:rsidR="00DD5A1D" w:rsidRDefault="00DD5A1D" w:rsidP="00FC7AAF">
      <w:pPr>
        <w:widowControl/>
        <w:rPr>
          <w:b/>
          <w:bCs/>
        </w:rPr>
      </w:pPr>
    </w:p>
    <w:p w:rsidR="00DD5A1D" w:rsidRDefault="00DD5A1D" w:rsidP="00FC7AAF">
      <w:pPr>
        <w:widowControl/>
        <w:outlineLvl w:val="0"/>
      </w:pPr>
      <w:r>
        <w:rPr>
          <w:b/>
          <w:bCs/>
        </w:rPr>
        <w:t>Part B of the Supporting Statement</w:t>
      </w:r>
    </w:p>
    <w:p w:rsidR="00DD5A1D" w:rsidRDefault="00DD5A1D" w:rsidP="00FC7AAF">
      <w:pPr>
        <w:widowControl/>
      </w:pPr>
    </w:p>
    <w:p w:rsidR="00DD5A1D" w:rsidRDefault="00DD5A1D" w:rsidP="00FC7AAF">
      <w:pPr>
        <w:widowControl/>
        <w:ind w:firstLine="720"/>
      </w:pPr>
      <w:r>
        <w:t xml:space="preserve">This part is not applicable because statistical methods </w:t>
      </w:r>
      <w:r w:rsidR="00BD281B">
        <w:t>are not</w:t>
      </w:r>
      <w:r>
        <w:t xml:space="preserve"> used in </w:t>
      </w:r>
      <w:r w:rsidR="00BD281B">
        <w:t xml:space="preserve">data </w:t>
      </w:r>
      <w:r>
        <w:t>collecti</w:t>
      </w:r>
      <w:r w:rsidR="00BD281B">
        <w:t>o</w:t>
      </w:r>
      <w:r>
        <w:t xml:space="preserve">n </w:t>
      </w:r>
      <w:r w:rsidR="00BD281B">
        <w:t>associated with the rule</w:t>
      </w:r>
      <w:r>
        <w:t>.</w:t>
      </w:r>
    </w:p>
    <w:p w:rsidR="00DD5A1D" w:rsidRDefault="00DD5A1D" w:rsidP="00FC7AAF">
      <w:pPr>
        <w:widowControl/>
      </w:pPr>
    </w:p>
    <w:p w:rsidR="00DD5A1D" w:rsidRDefault="00DD5A1D" w:rsidP="00FC7AAF">
      <w:pPr>
        <w:widowControl/>
        <w:sectPr w:rsidR="00DD5A1D">
          <w:headerReference w:type="even" r:id="rId11"/>
          <w:headerReference w:type="default" r:id="rId12"/>
          <w:footerReference w:type="even" r:id="rId13"/>
          <w:type w:val="continuous"/>
          <w:pgSz w:w="12240" w:h="15840" w:code="1"/>
          <w:pgMar w:top="1440" w:right="1440" w:bottom="1440" w:left="1440" w:header="1008" w:footer="0" w:gutter="0"/>
          <w:cols w:space="720"/>
          <w:noEndnote/>
          <w:titlePg/>
        </w:sectPr>
      </w:pPr>
    </w:p>
    <w:p w:rsidR="00B31DB3" w:rsidRDefault="00B31DB3" w:rsidP="00FC7AAF">
      <w:pPr>
        <w:widowControl/>
        <w:tabs>
          <w:tab w:val="left" w:pos="1350"/>
        </w:tabs>
        <w:jc w:val="both"/>
        <w:rPr>
          <w:b/>
          <w:bCs/>
        </w:rPr>
      </w:pPr>
      <w:r>
        <w:rPr>
          <w:b/>
          <w:bCs/>
        </w:rPr>
        <w:lastRenderedPageBreak/>
        <w:t xml:space="preserve">Table 1:  Annual Respondent Burden and Cost – NSPS </w:t>
      </w:r>
      <w:r w:rsidR="000D6777">
        <w:rPr>
          <w:b/>
          <w:bCs/>
        </w:rPr>
        <w:t xml:space="preserve">Review </w:t>
      </w:r>
      <w:r>
        <w:rPr>
          <w:b/>
          <w:bCs/>
        </w:rPr>
        <w:t>for Kraft Pulp Mills (40 C</w:t>
      </w:r>
      <w:r w:rsidR="000D6777">
        <w:rPr>
          <w:b/>
          <w:bCs/>
        </w:rPr>
        <w:t xml:space="preserve">FR </w:t>
      </w:r>
      <w:proofErr w:type="gramStart"/>
      <w:r w:rsidR="000D6777">
        <w:rPr>
          <w:b/>
          <w:bCs/>
        </w:rPr>
        <w:t>Part</w:t>
      </w:r>
      <w:proofErr w:type="gramEnd"/>
      <w:r w:rsidR="000D6777">
        <w:rPr>
          <w:b/>
          <w:bCs/>
        </w:rPr>
        <w:t xml:space="preserve"> 60, Subpart </w:t>
      </w:r>
      <w:proofErr w:type="spellStart"/>
      <w:r w:rsidR="000D6777">
        <w:rPr>
          <w:b/>
          <w:bCs/>
        </w:rPr>
        <w:t>BBa</w:t>
      </w:r>
      <w:proofErr w:type="spellEnd"/>
      <w:r w:rsidR="000D6777">
        <w:rPr>
          <w:b/>
          <w:bCs/>
        </w:rPr>
        <w:t>)</w:t>
      </w:r>
    </w:p>
    <w:tbl>
      <w:tblPr>
        <w:tblW w:w="5000" w:type="pct"/>
        <w:tblLayout w:type="fixed"/>
        <w:tblLook w:val="04A0"/>
      </w:tblPr>
      <w:tblGrid>
        <w:gridCol w:w="4518"/>
        <w:gridCol w:w="1081"/>
        <w:gridCol w:w="1170"/>
        <w:gridCol w:w="1078"/>
        <w:gridCol w:w="1260"/>
        <w:gridCol w:w="991"/>
        <w:gridCol w:w="1260"/>
        <w:gridCol w:w="901"/>
        <w:gridCol w:w="917"/>
      </w:tblGrid>
      <w:tr w:rsidR="000472EA" w:rsidRPr="000472EA" w:rsidTr="000472EA">
        <w:trPr>
          <w:trHeight w:val="332"/>
          <w:tblHeader/>
        </w:trPr>
        <w:tc>
          <w:tcPr>
            <w:tcW w:w="17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756EC" w:rsidRPr="000472EA" w:rsidRDefault="00E756EC" w:rsidP="009766E4">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Burden item</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9766E4">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(A)</w:t>
            </w:r>
            <w:r w:rsidRPr="000472EA">
              <w:rPr>
                <w:rFonts w:eastAsia="Times New Roman"/>
                <w:b/>
                <w:bCs/>
                <w:color w:val="000000"/>
                <w:sz w:val="18"/>
                <w:szCs w:val="18"/>
                <w:lang w:eastAsia="en-US"/>
              </w:rPr>
              <w:br/>
              <w:t xml:space="preserve">Person hours per occurrence </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EB6E5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 xml:space="preserve">(B) </w:t>
            </w:r>
            <w:r w:rsidRPr="000472EA">
              <w:rPr>
                <w:rFonts w:eastAsia="Times New Roman"/>
                <w:b/>
                <w:bCs/>
                <w:color w:val="000000"/>
                <w:sz w:val="18"/>
                <w:szCs w:val="18"/>
                <w:lang w:eastAsia="en-US"/>
              </w:rPr>
              <w:br/>
              <w:t xml:space="preserve">No. of occurrences per respondent per year </w:t>
            </w:r>
          </w:p>
        </w:tc>
        <w:tc>
          <w:tcPr>
            <w:tcW w:w="409"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rsidP="00B40994">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 xml:space="preserve">(C) </w:t>
            </w:r>
            <w:r w:rsidRPr="000472EA">
              <w:rPr>
                <w:rFonts w:eastAsia="Times New Roman"/>
                <w:b/>
                <w:bCs/>
                <w:color w:val="000000"/>
                <w:sz w:val="18"/>
                <w:szCs w:val="18"/>
                <w:lang w:eastAsia="en-US"/>
              </w:rPr>
              <w:br/>
              <w:t>Person hours per respondent per year</w:t>
            </w:r>
            <w:r w:rsidRPr="000472EA">
              <w:rPr>
                <w:rFonts w:eastAsia="Times New Roman"/>
                <w:b/>
                <w:bCs/>
                <w:color w:val="000000"/>
                <w:sz w:val="18"/>
                <w:szCs w:val="18"/>
                <w:lang w:eastAsia="en-US"/>
              </w:rPr>
              <w:br/>
              <w:t xml:space="preserve">(A </w:t>
            </w:r>
            <w:r w:rsidRPr="000472EA">
              <w:rPr>
                <w:rFonts w:ascii="Calibri" w:eastAsia="Times New Roman" w:hAnsi="Calibri"/>
                <w:b/>
                <w:bCs/>
                <w:color w:val="000000"/>
                <w:sz w:val="18"/>
                <w:szCs w:val="18"/>
                <w:lang w:eastAsia="en-US"/>
              </w:rPr>
              <w:t xml:space="preserve">× </w:t>
            </w:r>
            <w:r w:rsidRPr="000472EA">
              <w:rPr>
                <w:rFonts w:eastAsia="Times New Roman"/>
                <w:b/>
                <w:bCs/>
                <w:color w:val="000000"/>
                <w:sz w:val="18"/>
                <w:szCs w:val="18"/>
                <w:lang w:eastAsia="en-US"/>
              </w:rPr>
              <w:t>B)</w:t>
            </w:r>
          </w:p>
        </w:tc>
        <w:tc>
          <w:tcPr>
            <w:tcW w:w="478"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(D)</w:t>
            </w:r>
            <w:r w:rsidRPr="000472EA">
              <w:rPr>
                <w:rFonts w:eastAsia="Times New Roman"/>
                <w:b/>
                <w:bCs/>
                <w:color w:val="000000"/>
                <w:sz w:val="18"/>
                <w:szCs w:val="18"/>
                <w:lang w:eastAsia="en-US"/>
              </w:rPr>
              <w:br/>
              <w:t xml:space="preserve">Respondents per year </w:t>
            </w:r>
            <w:r w:rsidRPr="000472EA">
              <w:rPr>
                <w:rFonts w:eastAsia="Times New Roman"/>
                <w:b/>
                <w:bCs/>
                <w:color w:val="000000"/>
                <w:sz w:val="18"/>
                <w:szCs w:val="18"/>
                <w:vertAlign w:val="superscript"/>
                <w:lang w:eastAsia="en-US"/>
              </w:rPr>
              <w:t>a</w:t>
            </w:r>
            <w:r w:rsidRPr="000472EA">
              <w:rPr>
                <w:rFonts w:eastAsia="Times New Roman"/>
                <w:b/>
                <w:bCs/>
                <w:color w:val="000000"/>
                <w:sz w:val="18"/>
                <w:szCs w:val="18"/>
                <w:lang w:eastAsia="en-US"/>
              </w:rPr>
              <w:t xml:space="preserve"> </w:t>
            </w:r>
          </w:p>
        </w:tc>
        <w:tc>
          <w:tcPr>
            <w:tcW w:w="376"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(E)</w:t>
            </w:r>
            <w:r w:rsidRPr="000472EA">
              <w:rPr>
                <w:rFonts w:eastAsia="Times New Roman"/>
                <w:b/>
                <w:bCs/>
                <w:color w:val="000000"/>
                <w:sz w:val="18"/>
                <w:szCs w:val="18"/>
                <w:lang w:eastAsia="en-US"/>
              </w:rPr>
              <w:br/>
              <w:t>Technical person- hours per year</w:t>
            </w:r>
            <w:r w:rsidRPr="000472EA">
              <w:rPr>
                <w:rFonts w:eastAsia="Times New Roman"/>
                <w:b/>
                <w:bCs/>
                <w:color w:val="000000"/>
                <w:sz w:val="18"/>
                <w:szCs w:val="18"/>
                <w:lang w:eastAsia="en-US"/>
              </w:rPr>
              <w:br/>
              <w:t xml:space="preserve">(C </w:t>
            </w:r>
            <w:r w:rsidRPr="000472EA">
              <w:rPr>
                <w:rFonts w:ascii="Calibri" w:eastAsia="Times New Roman" w:hAnsi="Calibri"/>
                <w:b/>
                <w:bCs/>
                <w:color w:val="000000"/>
                <w:sz w:val="18"/>
                <w:szCs w:val="18"/>
                <w:lang w:eastAsia="en-US"/>
              </w:rPr>
              <w:t xml:space="preserve">× </w:t>
            </w:r>
            <w:r w:rsidRPr="000472EA">
              <w:rPr>
                <w:rFonts w:eastAsia="Times New Roman"/>
                <w:b/>
                <w:bCs/>
                <w:color w:val="000000"/>
                <w:sz w:val="18"/>
                <w:szCs w:val="18"/>
                <w:lang w:eastAsia="en-US"/>
              </w:rPr>
              <w:t>D)</w:t>
            </w:r>
          </w:p>
        </w:tc>
        <w:tc>
          <w:tcPr>
            <w:tcW w:w="478"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(F)</w:t>
            </w:r>
            <w:r w:rsidRPr="000472EA">
              <w:rPr>
                <w:rFonts w:eastAsia="Times New Roman"/>
                <w:b/>
                <w:bCs/>
                <w:color w:val="000000"/>
                <w:sz w:val="18"/>
                <w:szCs w:val="18"/>
                <w:lang w:eastAsia="en-US"/>
              </w:rPr>
              <w:br/>
              <w:t>Manage</w:t>
            </w:r>
            <w:r w:rsidR="000472EA" w:rsidRPr="000472EA">
              <w:rPr>
                <w:rFonts w:eastAsia="Times New Roman"/>
                <w:b/>
                <w:bCs/>
                <w:color w:val="000000"/>
                <w:sz w:val="18"/>
                <w:szCs w:val="18"/>
                <w:lang w:eastAsia="en-US"/>
              </w:rPr>
              <w:t>m</w:t>
            </w:r>
            <w:r w:rsidRPr="000472EA">
              <w:rPr>
                <w:rFonts w:eastAsia="Times New Roman"/>
                <w:b/>
                <w:bCs/>
                <w:color w:val="000000"/>
                <w:sz w:val="18"/>
                <w:szCs w:val="18"/>
                <w:lang w:eastAsia="en-US"/>
              </w:rPr>
              <w:t>ent person hours per year</w:t>
            </w:r>
            <w:r w:rsidRPr="000472EA">
              <w:rPr>
                <w:rFonts w:eastAsia="Times New Roman"/>
                <w:b/>
                <w:bCs/>
                <w:color w:val="000000"/>
                <w:sz w:val="18"/>
                <w:szCs w:val="18"/>
                <w:lang w:eastAsia="en-US"/>
              </w:rPr>
              <w:br/>
              <w:t xml:space="preserve">(E </w:t>
            </w:r>
            <w:r w:rsidRPr="000472EA">
              <w:rPr>
                <w:rFonts w:ascii="Calibri" w:eastAsia="Times New Roman" w:hAnsi="Calibri"/>
                <w:b/>
                <w:bCs/>
                <w:color w:val="000000"/>
                <w:sz w:val="18"/>
                <w:szCs w:val="18"/>
                <w:lang w:eastAsia="en-US"/>
              </w:rPr>
              <w:t xml:space="preserve">× </w:t>
            </w:r>
            <w:r w:rsidRPr="000472EA">
              <w:rPr>
                <w:rFonts w:eastAsia="Times New Roman"/>
                <w:b/>
                <w:bCs/>
                <w:color w:val="000000"/>
                <w:sz w:val="18"/>
                <w:szCs w:val="18"/>
                <w:lang w:eastAsia="en-US"/>
              </w:rPr>
              <w:t>0.05)</w:t>
            </w:r>
          </w:p>
        </w:tc>
        <w:tc>
          <w:tcPr>
            <w:tcW w:w="342"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(G)</w:t>
            </w:r>
            <w:r w:rsidRPr="000472EA">
              <w:rPr>
                <w:rFonts w:eastAsia="Times New Roman"/>
                <w:b/>
                <w:bCs/>
                <w:color w:val="000000"/>
                <w:sz w:val="18"/>
                <w:szCs w:val="18"/>
                <w:lang w:eastAsia="en-US"/>
              </w:rPr>
              <w:br/>
              <w:t>Clerical person hours per year</w:t>
            </w:r>
            <w:r w:rsidRPr="000472EA">
              <w:rPr>
                <w:rFonts w:eastAsia="Times New Roman"/>
                <w:b/>
                <w:bCs/>
                <w:color w:val="000000"/>
                <w:sz w:val="18"/>
                <w:szCs w:val="18"/>
                <w:lang w:eastAsia="en-US"/>
              </w:rPr>
              <w:br/>
              <w:t xml:space="preserve">(E </w:t>
            </w:r>
            <w:r w:rsidRPr="000472EA">
              <w:rPr>
                <w:rFonts w:ascii="Calibri" w:eastAsia="Times New Roman" w:hAnsi="Calibri"/>
                <w:b/>
                <w:bCs/>
                <w:color w:val="000000"/>
                <w:sz w:val="18"/>
                <w:szCs w:val="18"/>
                <w:lang w:eastAsia="en-US"/>
              </w:rPr>
              <w:t xml:space="preserve">× </w:t>
            </w:r>
            <w:r w:rsidRPr="000472EA">
              <w:rPr>
                <w:rFonts w:eastAsia="Times New Roman"/>
                <w:b/>
                <w:bCs/>
                <w:color w:val="000000"/>
                <w:sz w:val="18"/>
                <w:szCs w:val="18"/>
                <w:lang w:eastAsia="en-US"/>
              </w:rPr>
              <w:t>0.1)</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E756EC" w:rsidRPr="000472EA" w:rsidRDefault="00E756EC">
            <w:pPr>
              <w:widowControl/>
              <w:autoSpaceDE/>
              <w:autoSpaceDN/>
              <w:adjustRightInd/>
              <w:jc w:val="center"/>
              <w:rPr>
                <w:rFonts w:eastAsia="Times New Roman"/>
                <w:b/>
                <w:bCs/>
                <w:color w:val="000000"/>
                <w:sz w:val="18"/>
                <w:szCs w:val="18"/>
                <w:lang w:eastAsia="en-US"/>
              </w:rPr>
            </w:pPr>
            <w:r w:rsidRPr="000472EA">
              <w:rPr>
                <w:rFonts w:eastAsia="Times New Roman"/>
                <w:b/>
                <w:bCs/>
                <w:color w:val="000000"/>
                <w:sz w:val="18"/>
                <w:szCs w:val="18"/>
                <w:lang w:eastAsia="en-US"/>
              </w:rPr>
              <w:t>(H)</w:t>
            </w:r>
            <w:r w:rsidRPr="000472EA">
              <w:rPr>
                <w:rFonts w:eastAsia="Times New Roman"/>
                <w:b/>
                <w:bCs/>
                <w:color w:val="000000"/>
                <w:sz w:val="18"/>
                <w:szCs w:val="18"/>
                <w:lang w:eastAsia="en-US"/>
              </w:rPr>
              <w:br/>
              <w:t xml:space="preserve">Total </w:t>
            </w:r>
            <w:r w:rsidR="000472EA" w:rsidRPr="000472EA">
              <w:rPr>
                <w:rFonts w:eastAsia="Times New Roman"/>
                <w:b/>
                <w:bCs/>
                <w:color w:val="000000"/>
                <w:sz w:val="18"/>
                <w:szCs w:val="18"/>
                <w:lang w:eastAsia="en-US"/>
              </w:rPr>
              <w:t>c</w:t>
            </w:r>
            <w:r w:rsidRPr="000472EA">
              <w:rPr>
                <w:rFonts w:eastAsia="Times New Roman"/>
                <w:b/>
                <w:bCs/>
                <w:color w:val="000000"/>
                <w:sz w:val="18"/>
                <w:szCs w:val="18"/>
                <w:lang w:eastAsia="en-US"/>
              </w:rPr>
              <w:t xml:space="preserve">ost </w:t>
            </w:r>
            <w:r w:rsidR="000472EA" w:rsidRPr="000472EA">
              <w:rPr>
                <w:rFonts w:eastAsia="Times New Roman"/>
                <w:b/>
                <w:bCs/>
                <w:color w:val="000000"/>
                <w:sz w:val="18"/>
                <w:szCs w:val="18"/>
                <w:lang w:eastAsia="en-US"/>
              </w:rPr>
              <w:t>p</w:t>
            </w:r>
            <w:r w:rsidRPr="000472EA">
              <w:rPr>
                <w:rFonts w:eastAsia="Times New Roman"/>
                <w:b/>
                <w:bCs/>
                <w:color w:val="000000"/>
                <w:sz w:val="18"/>
                <w:szCs w:val="18"/>
                <w:lang w:eastAsia="en-US"/>
              </w:rPr>
              <w:t xml:space="preserve">er year </w:t>
            </w:r>
            <w:r w:rsidRPr="000472EA">
              <w:rPr>
                <w:rFonts w:eastAsia="Times New Roman"/>
                <w:b/>
                <w:bCs/>
                <w:color w:val="000000"/>
                <w:sz w:val="18"/>
                <w:szCs w:val="18"/>
                <w:vertAlign w:val="superscript"/>
                <w:lang w:eastAsia="en-US"/>
              </w:rPr>
              <w:t>b</w:t>
            </w:r>
          </w:p>
        </w:tc>
      </w:tr>
      <w:tr w:rsidR="000472EA"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rPr>
                <w:rFonts w:eastAsia="Times New Roman"/>
                <w:sz w:val="18"/>
                <w:szCs w:val="18"/>
                <w:lang w:eastAsia="en-US"/>
              </w:rPr>
            </w:pPr>
            <w:r w:rsidRPr="00374099">
              <w:rPr>
                <w:rFonts w:eastAsia="Times New Roman"/>
                <w:sz w:val="18"/>
                <w:szCs w:val="18"/>
                <w:lang w:eastAsia="en-US"/>
              </w:rPr>
              <w:t>1. Applications</w:t>
            </w:r>
          </w:p>
        </w:tc>
        <w:tc>
          <w:tcPr>
            <w:tcW w:w="410"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N/A</w:t>
            </w:r>
          </w:p>
        </w:tc>
        <w:tc>
          <w:tcPr>
            <w:tcW w:w="444"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rPr>
                <w:rFonts w:eastAsia="Times New Roman"/>
                <w:sz w:val="18"/>
                <w:szCs w:val="18"/>
                <w:lang w:eastAsia="en-US"/>
              </w:rPr>
            </w:pPr>
            <w:r w:rsidRPr="00374099">
              <w:rPr>
                <w:rFonts w:eastAsia="Times New Roman"/>
                <w:sz w:val="18"/>
                <w:szCs w:val="18"/>
                <w:lang w:eastAsia="en-US"/>
              </w:rPr>
              <w:t xml:space="preserve">2. Survey and </w:t>
            </w:r>
            <w:r w:rsidR="002D7D70">
              <w:rPr>
                <w:rFonts w:eastAsia="Times New Roman"/>
                <w:sz w:val="18"/>
                <w:szCs w:val="18"/>
                <w:lang w:eastAsia="en-US"/>
              </w:rPr>
              <w:t>s</w:t>
            </w:r>
            <w:r w:rsidRPr="00374099">
              <w:rPr>
                <w:rFonts w:eastAsia="Times New Roman"/>
                <w:sz w:val="18"/>
                <w:szCs w:val="18"/>
                <w:lang w:eastAsia="en-US"/>
              </w:rPr>
              <w:t>tudies</w:t>
            </w:r>
          </w:p>
        </w:tc>
        <w:tc>
          <w:tcPr>
            <w:tcW w:w="410"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N/A</w:t>
            </w:r>
          </w:p>
        </w:tc>
        <w:tc>
          <w:tcPr>
            <w:tcW w:w="444"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0472EA"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rPr>
                <w:rFonts w:eastAsia="Times New Roman"/>
                <w:sz w:val="18"/>
                <w:szCs w:val="18"/>
                <w:lang w:eastAsia="en-US"/>
              </w:rPr>
            </w:pPr>
            <w:r w:rsidRPr="00374099">
              <w:rPr>
                <w:rFonts w:eastAsia="Times New Roman"/>
                <w:sz w:val="18"/>
                <w:szCs w:val="18"/>
                <w:lang w:eastAsia="en-US"/>
              </w:rPr>
              <w:t>3. Reporting requirements</w:t>
            </w:r>
          </w:p>
        </w:tc>
        <w:tc>
          <w:tcPr>
            <w:tcW w:w="410"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A. Read and understand rule requirements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30</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60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3.0</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6.0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$6,749</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B. Required activities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Initial performance tests </w:t>
            </w:r>
            <w:proofErr w:type="spellStart"/>
            <w:r w:rsidRPr="00374099">
              <w:rPr>
                <w:rFonts w:eastAsia="Times New Roman"/>
                <w:sz w:val="18"/>
                <w:szCs w:val="18"/>
                <w:vertAlign w:val="superscript"/>
                <w:lang w:eastAsia="en-US"/>
              </w:rPr>
              <w:t>c,d</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160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$17,998</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5-year repeat performance tests </w:t>
            </w:r>
            <w:proofErr w:type="spellStart"/>
            <w:r w:rsidRPr="00374099">
              <w:rPr>
                <w:rFonts w:eastAsia="Times New Roman"/>
                <w:sz w:val="18"/>
                <w:szCs w:val="18"/>
                <w:vertAlign w:val="superscript"/>
                <w:lang w:eastAsia="en-US"/>
              </w:rPr>
              <w:t>c,d</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Repeated performance tests due to failure </w:t>
            </w:r>
            <w:proofErr w:type="spellStart"/>
            <w:r w:rsidRPr="00374099">
              <w:rPr>
                <w:rFonts w:eastAsia="Times New Roman"/>
                <w:sz w:val="18"/>
                <w:szCs w:val="18"/>
                <w:vertAlign w:val="superscript"/>
                <w:lang w:eastAsia="en-US"/>
              </w:rPr>
              <w:t>c,e</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0.4</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$3,600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C. Gather existing information</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See 3B</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D. Write report</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construction/reconstruction</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$450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Notification of performance test </w:t>
            </w:r>
            <w:r w:rsidRPr="00374099">
              <w:rPr>
                <w:rFonts w:eastAsia="Times New Roman"/>
                <w:sz w:val="18"/>
                <w:szCs w:val="18"/>
                <w:vertAlign w:val="superscript"/>
                <w:lang w:eastAsia="en-US"/>
              </w:rPr>
              <w:t>e</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4.8</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$540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actual startup</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$450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CMS demonstration</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$450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physical or operational changes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$450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Notification of opacity observations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$450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Report of performance test (including submittal through EPA's ERT)</w:t>
            </w:r>
            <w:proofErr w:type="spellStart"/>
            <w:r w:rsidRPr="00374099">
              <w:rPr>
                <w:rFonts w:eastAsia="Times New Roman"/>
                <w:sz w:val="18"/>
                <w:szCs w:val="18"/>
                <w:vertAlign w:val="superscript"/>
                <w:lang w:eastAsia="en-US"/>
              </w:rPr>
              <w:t>e,f</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5</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9.6</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$1,080</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Semiannual report </w:t>
            </w:r>
            <w:proofErr w:type="spellStart"/>
            <w:r w:rsidR="00034139">
              <w:rPr>
                <w:rFonts w:eastAsia="Times New Roman"/>
                <w:sz w:val="18"/>
                <w:szCs w:val="18"/>
                <w:vertAlign w:val="superscript"/>
                <w:lang w:eastAsia="en-US"/>
              </w:rPr>
              <w:t>g</w:t>
            </w:r>
            <w:r w:rsidR="00F71A15">
              <w:rPr>
                <w:rFonts w:eastAsia="Times New Roman"/>
                <w:sz w:val="18"/>
                <w:szCs w:val="18"/>
                <w:vertAlign w:val="superscript"/>
                <w:lang w:eastAsia="en-US"/>
              </w:rPr>
              <w:t>,</w:t>
            </w:r>
            <w:r w:rsidR="00034139">
              <w:rPr>
                <w:rFonts w:eastAsia="Times New Roman"/>
                <w:sz w:val="18"/>
                <w:szCs w:val="18"/>
                <w:vertAlign w:val="superscript"/>
                <w:lang w:eastAsia="en-US"/>
              </w:rPr>
              <w:t>h</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$7,199</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F71A15">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Excess emissions/monitoring systems report </w:t>
            </w:r>
            <w:proofErr w:type="spellStart"/>
            <w:r w:rsidR="00034139">
              <w:rPr>
                <w:rFonts w:eastAsia="Times New Roman"/>
                <w:sz w:val="18"/>
                <w:szCs w:val="18"/>
                <w:vertAlign w:val="superscript"/>
                <w:lang w:eastAsia="en-US"/>
              </w:rPr>
              <w:t>h</w:t>
            </w:r>
            <w:r w:rsidR="00F71A15">
              <w:rPr>
                <w:rFonts w:eastAsia="Times New Roman"/>
                <w:sz w:val="18"/>
                <w:szCs w:val="18"/>
                <w:vertAlign w:val="superscript"/>
                <w:lang w:eastAsia="en-US"/>
              </w:rPr>
              <w:t>,</w:t>
            </w:r>
            <w:r w:rsidR="00034139">
              <w:rPr>
                <w:rFonts w:eastAsia="Times New Roman"/>
                <w:sz w:val="18"/>
                <w:szCs w:val="18"/>
                <w:vertAlign w:val="superscript"/>
                <w:lang w:eastAsia="en-US"/>
              </w:rPr>
              <w:t>i</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20</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160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$17,998</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Malfunction report (affirmative defense) </w:t>
            </w:r>
            <w:proofErr w:type="spellStart"/>
            <w:r w:rsidR="00034139">
              <w:rPr>
                <w:rFonts w:eastAsia="Times New Roman"/>
                <w:sz w:val="18"/>
                <w:szCs w:val="18"/>
                <w:vertAlign w:val="superscript"/>
                <w:lang w:eastAsia="en-US"/>
              </w:rPr>
              <w:t>h</w:t>
            </w:r>
            <w:r w:rsidR="00F71A15">
              <w:rPr>
                <w:rFonts w:eastAsia="Times New Roman"/>
                <w:sz w:val="18"/>
                <w:szCs w:val="18"/>
                <w:vertAlign w:val="superscript"/>
                <w:lang w:eastAsia="en-US"/>
              </w:rPr>
              <w:t>,</w:t>
            </w:r>
            <w:r w:rsidR="00034139">
              <w:rPr>
                <w:rFonts w:eastAsia="Times New Roman"/>
                <w:sz w:val="18"/>
                <w:szCs w:val="18"/>
                <w:vertAlign w:val="superscript"/>
                <w:lang w:eastAsia="en-US"/>
              </w:rPr>
              <w:t>j</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30</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60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240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$26,997</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keepNext/>
              <w:widowControl/>
              <w:autoSpaceDE/>
              <w:autoSpaceDN/>
              <w:adjustRightInd/>
              <w:rPr>
                <w:rFonts w:eastAsia="Times New Roman"/>
                <w:sz w:val="18"/>
                <w:szCs w:val="18"/>
                <w:lang w:eastAsia="en-US"/>
              </w:rPr>
            </w:pPr>
            <w:r w:rsidRPr="00374099">
              <w:rPr>
                <w:rFonts w:eastAsia="Times New Roman"/>
                <w:sz w:val="18"/>
                <w:szCs w:val="18"/>
                <w:lang w:eastAsia="en-US"/>
              </w:rPr>
              <w:t>4. Recordkeeping requirements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keepNext/>
              <w:widowControl/>
              <w:autoSpaceDE/>
              <w:autoSpaceDN/>
              <w:adjustRightInd/>
              <w:jc w:val="right"/>
              <w:rPr>
                <w:rFonts w:eastAsia="Times New Roman"/>
                <w:sz w:val="18"/>
                <w:szCs w:val="18"/>
                <w:lang w:eastAsia="en-US"/>
              </w:rPr>
            </w:pPr>
            <w:r w:rsidRPr="00EB6E5C">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keepNext/>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A. Read instructions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See 3A</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keepNext/>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keepNext/>
              <w:widowControl/>
              <w:autoSpaceDE/>
              <w:autoSpaceDN/>
              <w:adjustRightInd/>
              <w:jc w:val="right"/>
              <w:rPr>
                <w:rFonts w:eastAsia="Times New Roman"/>
                <w:sz w:val="18"/>
                <w:szCs w:val="18"/>
                <w:lang w:eastAsia="en-US"/>
              </w:rPr>
            </w:pPr>
            <w:r w:rsidRPr="00EB6E5C">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B. Plan activities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See 3B</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 xml:space="preserve">C. Implement </w:t>
            </w:r>
            <w:r w:rsidR="002D7D70">
              <w:rPr>
                <w:rFonts w:eastAsia="Times New Roman"/>
                <w:sz w:val="18"/>
                <w:szCs w:val="18"/>
                <w:lang w:eastAsia="en-US"/>
              </w:rPr>
              <w:t>a</w:t>
            </w:r>
            <w:r w:rsidRPr="00374099">
              <w:rPr>
                <w:rFonts w:eastAsia="Times New Roman"/>
                <w:sz w:val="18"/>
                <w:szCs w:val="18"/>
                <w:lang w:eastAsia="en-US"/>
              </w:rPr>
              <w:t>ctivities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See 3B</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D. Develop record system</w:t>
            </w:r>
            <w:r w:rsidR="00034139">
              <w:rPr>
                <w:rFonts w:eastAsia="Times New Roman"/>
                <w:sz w:val="18"/>
                <w:szCs w:val="18"/>
                <w:lang w:eastAsia="en-US"/>
              </w:rPr>
              <w:t xml:space="preserve"> </w:t>
            </w:r>
            <w:r w:rsidR="00034139" w:rsidRPr="00034139">
              <w:rPr>
                <w:rFonts w:eastAsia="Times New Roman"/>
                <w:sz w:val="18"/>
                <w:szCs w:val="18"/>
                <w:vertAlign w:val="superscript"/>
                <w:lang w:eastAsia="en-US"/>
              </w:rPr>
              <w:t>k</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8.0</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$8,999</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firstLineChars="100" w:firstLine="180"/>
              <w:rPr>
                <w:rFonts w:eastAsia="Times New Roman"/>
                <w:sz w:val="18"/>
                <w:szCs w:val="18"/>
                <w:lang w:eastAsia="en-US"/>
              </w:rPr>
            </w:pPr>
            <w:r w:rsidRPr="00374099">
              <w:rPr>
                <w:rFonts w:eastAsia="Times New Roman"/>
                <w:sz w:val="18"/>
                <w:szCs w:val="18"/>
                <w:lang w:eastAsia="en-US"/>
              </w:rPr>
              <w:t>E. Time to enter and transmit information</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 </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04363E">
            <w:pPr>
              <w:widowControl/>
              <w:autoSpaceDE/>
              <w:autoSpaceDN/>
              <w:adjustRightInd/>
              <w:ind w:left="446"/>
              <w:rPr>
                <w:rFonts w:eastAsia="Times New Roman"/>
                <w:sz w:val="18"/>
                <w:szCs w:val="18"/>
                <w:lang w:eastAsia="en-US"/>
              </w:rPr>
            </w:pPr>
            <w:r w:rsidRPr="00374099">
              <w:rPr>
                <w:rFonts w:eastAsia="Times New Roman"/>
                <w:sz w:val="18"/>
                <w:szCs w:val="18"/>
                <w:lang w:eastAsia="en-US"/>
              </w:rPr>
              <w:t xml:space="preserve">Records of </w:t>
            </w:r>
            <w:r w:rsidR="0004363E">
              <w:rPr>
                <w:rFonts w:eastAsia="Times New Roman"/>
                <w:sz w:val="18"/>
                <w:szCs w:val="18"/>
                <w:lang w:eastAsia="en-US"/>
              </w:rPr>
              <w:t>monitoring data</w:t>
            </w:r>
            <w:r w:rsidRPr="00374099">
              <w:rPr>
                <w:rFonts w:eastAsia="Times New Roman"/>
                <w:sz w:val="18"/>
                <w:szCs w:val="18"/>
                <w:lang w:eastAsia="en-US"/>
              </w:rPr>
              <w:t xml:space="preserve"> </w:t>
            </w:r>
            <w:r w:rsidR="00034139">
              <w:rPr>
                <w:rFonts w:eastAsia="Times New Roman"/>
                <w:sz w:val="18"/>
                <w:szCs w:val="18"/>
                <w:vertAlign w:val="superscript"/>
                <w:lang w:eastAsia="en-US"/>
              </w:rPr>
              <w:t>l</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Pr>
                <w:rFonts w:eastAsia="Times New Roman"/>
                <w:sz w:val="18"/>
                <w:szCs w:val="18"/>
                <w:lang w:eastAsia="en-US"/>
              </w:rPr>
              <w:t>0.</w:t>
            </w:r>
            <w:r w:rsidRPr="00374099">
              <w:rPr>
                <w:rFonts w:eastAsia="Times New Roman"/>
                <w:sz w:val="18"/>
                <w:szCs w:val="18"/>
                <w:lang w:eastAsia="en-US"/>
              </w:rPr>
              <w:t>5</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365</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Pr>
                <w:rFonts w:eastAsia="Times New Roman"/>
                <w:sz w:val="18"/>
                <w:szCs w:val="18"/>
                <w:lang w:eastAsia="en-US"/>
              </w:rPr>
              <w:t>183</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Pr>
                <w:rFonts w:eastAsia="Times New Roman"/>
                <w:sz w:val="18"/>
                <w:szCs w:val="18"/>
                <w:lang w:eastAsia="en-US"/>
              </w:rPr>
              <w:t>730</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Pr>
                <w:rFonts w:eastAsia="Times New Roman"/>
                <w:sz w:val="18"/>
                <w:szCs w:val="18"/>
                <w:lang w:eastAsia="en-US"/>
              </w:rPr>
              <w:t>37</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Pr>
                <w:rFonts w:eastAsia="Times New Roman"/>
                <w:sz w:val="18"/>
                <w:szCs w:val="18"/>
                <w:lang w:eastAsia="en-US"/>
              </w:rPr>
              <w:t>73</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$82,116</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Records of malfunctions</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96</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4.8</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9.6</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sz w:val="18"/>
                <w:szCs w:val="18"/>
                <w:lang w:eastAsia="en-US"/>
              </w:rPr>
            </w:pPr>
            <w:r w:rsidRPr="00EB6E5C">
              <w:rPr>
                <w:rFonts w:eastAsia="Times New Roman"/>
                <w:sz w:val="18"/>
                <w:szCs w:val="18"/>
                <w:lang w:eastAsia="en-US"/>
              </w:rPr>
              <w:t>$10,799</w:t>
            </w:r>
          </w:p>
        </w:tc>
      </w:tr>
      <w:tr w:rsidR="00EB6E5C" w:rsidRPr="000472EA" w:rsidTr="005E146D">
        <w:trPr>
          <w:trHeight w:val="70"/>
        </w:trPr>
        <w:tc>
          <w:tcPr>
            <w:tcW w:w="1714" w:type="pct"/>
            <w:tcBorders>
              <w:top w:val="nil"/>
              <w:left w:val="single" w:sz="4" w:space="0" w:color="auto"/>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rPr>
                <w:rFonts w:eastAsia="Times New Roman"/>
                <w:b/>
                <w:bCs/>
                <w:sz w:val="18"/>
                <w:szCs w:val="18"/>
                <w:lang w:eastAsia="en-US"/>
              </w:rPr>
            </w:pPr>
            <w:r w:rsidRPr="00374099">
              <w:rPr>
                <w:rFonts w:eastAsia="Times New Roman"/>
                <w:b/>
                <w:bCs/>
                <w:sz w:val="18"/>
                <w:szCs w:val="18"/>
                <w:lang w:eastAsia="en-US"/>
              </w:rPr>
              <w:t>TOTAL LABOR BURDEN AND COST (rounded)</w:t>
            </w:r>
          </w:p>
        </w:tc>
        <w:tc>
          <w:tcPr>
            <w:tcW w:w="410"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09"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nil"/>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nil"/>
            </w:tcBorders>
            <w:shd w:val="clear" w:color="auto" w:fill="auto"/>
            <w:vAlign w:val="center"/>
            <w:hideMark/>
          </w:tcPr>
          <w:p w:rsidR="00EB6E5C" w:rsidRPr="00374099" w:rsidRDefault="00EB6E5C" w:rsidP="00B350D2">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1,</w:t>
            </w:r>
            <w:r>
              <w:rPr>
                <w:rFonts w:eastAsia="Times New Roman"/>
                <w:b/>
                <w:bCs/>
                <w:sz w:val="18"/>
                <w:szCs w:val="18"/>
                <w:lang w:eastAsia="en-US"/>
              </w:rPr>
              <w:t>905</w:t>
            </w:r>
          </w:p>
        </w:tc>
        <w:tc>
          <w:tcPr>
            <w:tcW w:w="342" w:type="pct"/>
            <w:tcBorders>
              <w:top w:val="nil"/>
              <w:left w:val="nil"/>
              <w:bottom w:val="single" w:sz="4" w:space="0" w:color="auto"/>
              <w:right w:val="single" w:sz="4" w:space="0" w:color="auto"/>
            </w:tcBorders>
            <w:shd w:val="clear" w:color="auto" w:fill="auto"/>
            <w:vAlign w:val="center"/>
            <w:hideMark/>
          </w:tcPr>
          <w:p w:rsidR="00EB6E5C" w:rsidRPr="00374099" w:rsidRDefault="00EB6E5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B6E5C" w:rsidRPr="00EB6E5C" w:rsidRDefault="00EB6E5C" w:rsidP="00B350D2">
            <w:pPr>
              <w:widowControl/>
              <w:autoSpaceDE/>
              <w:autoSpaceDN/>
              <w:adjustRightInd/>
              <w:jc w:val="right"/>
              <w:rPr>
                <w:rFonts w:eastAsia="Times New Roman"/>
                <w:b/>
                <w:bCs/>
                <w:sz w:val="18"/>
                <w:szCs w:val="18"/>
                <w:lang w:eastAsia="en-US"/>
              </w:rPr>
            </w:pPr>
            <w:r w:rsidRPr="00EB6E5C">
              <w:rPr>
                <w:rFonts w:eastAsia="Times New Roman"/>
                <w:b/>
                <w:bCs/>
                <w:sz w:val="18"/>
                <w:szCs w:val="18"/>
                <w:lang w:eastAsia="en-US"/>
              </w:rPr>
              <w:t>$186,324</w:t>
            </w:r>
          </w:p>
        </w:tc>
      </w:tr>
      <w:tr w:rsidR="000472EA" w:rsidRPr="000472EA" w:rsidTr="005E146D">
        <w:trPr>
          <w:trHeight w:val="70"/>
        </w:trPr>
        <w:tc>
          <w:tcPr>
            <w:tcW w:w="1714" w:type="pct"/>
            <w:tcBorders>
              <w:top w:val="nil"/>
              <w:left w:val="single" w:sz="4" w:space="0" w:color="auto"/>
              <w:bottom w:val="single" w:sz="4" w:space="0" w:color="auto"/>
              <w:right w:val="nil"/>
            </w:tcBorders>
            <w:shd w:val="clear" w:color="auto" w:fill="auto"/>
            <w:vAlign w:val="center"/>
            <w:hideMark/>
          </w:tcPr>
          <w:p w:rsidR="00E756EC" w:rsidRPr="00374099" w:rsidRDefault="00E756EC" w:rsidP="005E146D">
            <w:pPr>
              <w:widowControl/>
              <w:autoSpaceDE/>
              <w:autoSpaceDN/>
              <w:adjustRightInd/>
              <w:rPr>
                <w:rFonts w:eastAsia="Times New Roman"/>
                <w:b/>
                <w:bCs/>
                <w:sz w:val="18"/>
                <w:szCs w:val="18"/>
                <w:lang w:eastAsia="en-US"/>
              </w:rPr>
            </w:pPr>
            <w:r w:rsidRPr="00374099">
              <w:rPr>
                <w:rFonts w:eastAsia="Times New Roman"/>
                <w:b/>
                <w:bCs/>
                <w:sz w:val="18"/>
                <w:szCs w:val="18"/>
                <w:lang w:eastAsia="en-US"/>
              </w:rPr>
              <w:t>Total annual responses:</w:t>
            </w:r>
          </w:p>
        </w:tc>
        <w:tc>
          <w:tcPr>
            <w:tcW w:w="410" w:type="pct"/>
            <w:tcBorders>
              <w:top w:val="nil"/>
              <w:left w:val="nil"/>
              <w:bottom w:val="single" w:sz="4" w:space="0" w:color="auto"/>
              <w:right w:val="nil"/>
            </w:tcBorders>
            <w:shd w:val="clear" w:color="auto" w:fill="auto"/>
            <w:vAlign w:val="center"/>
            <w:hideMark/>
          </w:tcPr>
          <w:p w:rsidR="00E756EC" w:rsidRPr="00374099" w:rsidRDefault="00E756EC" w:rsidP="005E146D">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44" w:type="pct"/>
            <w:tcBorders>
              <w:top w:val="nil"/>
              <w:left w:val="nil"/>
              <w:bottom w:val="single" w:sz="4" w:space="0" w:color="auto"/>
              <w:right w:val="nil"/>
            </w:tcBorders>
            <w:shd w:val="clear" w:color="auto" w:fill="auto"/>
            <w:vAlign w:val="center"/>
            <w:hideMark/>
          </w:tcPr>
          <w:p w:rsidR="00E756EC" w:rsidRPr="00374099" w:rsidRDefault="00E756EC" w:rsidP="005E146D">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09" w:type="pct"/>
            <w:tcBorders>
              <w:top w:val="nil"/>
              <w:left w:val="nil"/>
              <w:bottom w:val="single" w:sz="4" w:space="0" w:color="auto"/>
              <w:right w:val="nil"/>
            </w:tcBorders>
            <w:shd w:val="clear" w:color="auto" w:fill="auto"/>
            <w:vAlign w:val="center"/>
            <w:hideMark/>
          </w:tcPr>
          <w:p w:rsidR="00E756EC" w:rsidRPr="00374099" w:rsidRDefault="00E756EC" w:rsidP="005E146D">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78" w:type="pct"/>
            <w:tcBorders>
              <w:top w:val="nil"/>
              <w:left w:val="nil"/>
              <w:bottom w:val="single" w:sz="4" w:space="0" w:color="auto"/>
              <w:right w:val="nil"/>
            </w:tcBorders>
            <w:shd w:val="clear" w:color="auto" w:fill="auto"/>
            <w:vAlign w:val="center"/>
            <w:hideMark/>
          </w:tcPr>
          <w:p w:rsidR="00E756EC" w:rsidRPr="00374099" w:rsidRDefault="00E756EC" w:rsidP="00B350D2">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26</w:t>
            </w:r>
          </w:p>
        </w:tc>
        <w:tc>
          <w:tcPr>
            <w:tcW w:w="376" w:type="pct"/>
            <w:tcBorders>
              <w:top w:val="nil"/>
              <w:left w:val="nil"/>
              <w:bottom w:val="single" w:sz="4" w:space="0" w:color="auto"/>
              <w:right w:val="nil"/>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nil"/>
            </w:tcBorders>
            <w:shd w:val="clear" w:color="auto" w:fill="auto"/>
            <w:vAlign w:val="center"/>
            <w:hideMark/>
          </w:tcPr>
          <w:p w:rsidR="00E756EC" w:rsidRPr="00374099" w:rsidRDefault="00E756EC" w:rsidP="00B350D2">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342" w:type="pct"/>
            <w:tcBorders>
              <w:top w:val="nil"/>
              <w:left w:val="nil"/>
              <w:bottom w:val="single" w:sz="4" w:space="0" w:color="auto"/>
              <w:right w:val="nil"/>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nil"/>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r>
      <w:tr w:rsidR="000472EA" w:rsidRPr="000472EA" w:rsidTr="005E146D">
        <w:trPr>
          <w:trHeight w:val="70"/>
        </w:trPr>
        <w:tc>
          <w:tcPr>
            <w:tcW w:w="1714" w:type="pct"/>
            <w:tcBorders>
              <w:top w:val="single" w:sz="4" w:space="0" w:color="auto"/>
              <w:left w:val="single" w:sz="4" w:space="0" w:color="auto"/>
              <w:bottom w:val="single" w:sz="4" w:space="0" w:color="auto"/>
              <w:right w:val="nil"/>
            </w:tcBorders>
            <w:shd w:val="clear" w:color="auto" w:fill="auto"/>
            <w:vAlign w:val="center"/>
            <w:hideMark/>
          </w:tcPr>
          <w:p w:rsidR="00E756EC" w:rsidRPr="00374099" w:rsidRDefault="00E756EC" w:rsidP="005E146D">
            <w:pPr>
              <w:widowControl/>
              <w:autoSpaceDE/>
              <w:autoSpaceDN/>
              <w:adjustRightInd/>
              <w:rPr>
                <w:rFonts w:eastAsia="Times New Roman"/>
                <w:b/>
                <w:bCs/>
                <w:sz w:val="18"/>
                <w:szCs w:val="18"/>
                <w:lang w:eastAsia="en-US"/>
              </w:rPr>
            </w:pPr>
            <w:r w:rsidRPr="00374099">
              <w:rPr>
                <w:rFonts w:eastAsia="Times New Roman"/>
                <w:b/>
                <w:bCs/>
                <w:sz w:val="18"/>
                <w:szCs w:val="18"/>
                <w:lang w:eastAsia="en-US"/>
              </w:rPr>
              <w:t>Hours per response:</w:t>
            </w:r>
          </w:p>
        </w:tc>
        <w:tc>
          <w:tcPr>
            <w:tcW w:w="410" w:type="pct"/>
            <w:tcBorders>
              <w:top w:val="single" w:sz="4" w:space="0" w:color="auto"/>
              <w:left w:val="nil"/>
              <w:bottom w:val="single" w:sz="4" w:space="0" w:color="auto"/>
              <w:right w:val="nil"/>
            </w:tcBorders>
            <w:shd w:val="clear" w:color="auto" w:fill="auto"/>
            <w:vAlign w:val="center"/>
            <w:hideMark/>
          </w:tcPr>
          <w:p w:rsidR="00E756EC" w:rsidRPr="00374099" w:rsidRDefault="00E756EC" w:rsidP="005E146D">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44" w:type="pct"/>
            <w:tcBorders>
              <w:top w:val="single" w:sz="4" w:space="0" w:color="auto"/>
              <w:left w:val="nil"/>
              <w:bottom w:val="single" w:sz="4" w:space="0" w:color="auto"/>
              <w:right w:val="nil"/>
            </w:tcBorders>
            <w:shd w:val="clear" w:color="auto" w:fill="auto"/>
            <w:vAlign w:val="center"/>
            <w:hideMark/>
          </w:tcPr>
          <w:p w:rsidR="00E756EC" w:rsidRPr="00374099" w:rsidRDefault="00E756EC" w:rsidP="005E146D">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09" w:type="pct"/>
            <w:tcBorders>
              <w:top w:val="single" w:sz="4" w:space="0" w:color="auto"/>
              <w:left w:val="nil"/>
              <w:bottom w:val="single" w:sz="4" w:space="0" w:color="auto"/>
              <w:right w:val="nil"/>
            </w:tcBorders>
            <w:shd w:val="clear" w:color="auto" w:fill="auto"/>
            <w:vAlign w:val="center"/>
            <w:hideMark/>
          </w:tcPr>
          <w:p w:rsidR="00E756EC" w:rsidRPr="00374099" w:rsidRDefault="00E756EC" w:rsidP="005E146D">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478" w:type="pct"/>
            <w:tcBorders>
              <w:top w:val="single" w:sz="4" w:space="0" w:color="auto"/>
              <w:left w:val="nil"/>
              <w:bottom w:val="single" w:sz="4" w:space="0" w:color="auto"/>
              <w:right w:val="nil"/>
            </w:tcBorders>
            <w:shd w:val="clear" w:color="auto" w:fill="auto"/>
            <w:vAlign w:val="center"/>
            <w:hideMark/>
          </w:tcPr>
          <w:p w:rsidR="00E756EC" w:rsidRPr="00374099" w:rsidRDefault="00E756EC" w:rsidP="00B350D2">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22</w:t>
            </w:r>
          </w:p>
        </w:tc>
        <w:tc>
          <w:tcPr>
            <w:tcW w:w="376" w:type="pct"/>
            <w:tcBorders>
              <w:top w:val="single" w:sz="4" w:space="0" w:color="auto"/>
              <w:left w:val="nil"/>
              <w:bottom w:val="single" w:sz="4" w:space="0" w:color="auto"/>
              <w:right w:val="nil"/>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single" w:sz="4" w:space="0" w:color="auto"/>
              <w:left w:val="nil"/>
              <w:bottom w:val="single" w:sz="4" w:space="0" w:color="auto"/>
              <w:right w:val="nil"/>
            </w:tcBorders>
            <w:shd w:val="clear" w:color="auto" w:fill="auto"/>
            <w:vAlign w:val="center"/>
            <w:hideMark/>
          </w:tcPr>
          <w:p w:rsidR="00E756EC" w:rsidRPr="00374099" w:rsidRDefault="00E756EC" w:rsidP="00B350D2">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c>
          <w:tcPr>
            <w:tcW w:w="342" w:type="pct"/>
            <w:tcBorders>
              <w:top w:val="single" w:sz="4" w:space="0" w:color="auto"/>
              <w:left w:val="nil"/>
              <w:bottom w:val="single" w:sz="4" w:space="0" w:color="auto"/>
              <w:right w:val="nil"/>
            </w:tcBorders>
            <w:shd w:val="clear" w:color="auto" w:fill="auto"/>
            <w:vAlign w:val="center"/>
            <w:hideMark/>
          </w:tcPr>
          <w:p w:rsidR="00E756EC" w:rsidRPr="00374099" w:rsidRDefault="00E756EC" w:rsidP="00B350D2">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E756EC" w:rsidRPr="00374099" w:rsidRDefault="00E756EC" w:rsidP="00B350D2">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 </w:t>
            </w:r>
          </w:p>
        </w:tc>
      </w:tr>
    </w:tbl>
    <w:p w:rsidR="00DD5A1D" w:rsidRPr="000472EA" w:rsidRDefault="00DD5A1D" w:rsidP="00FC7AAF">
      <w:pPr>
        <w:widowControl/>
        <w:ind w:left="-180" w:right="-270"/>
        <w:outlineLvl w:val="0"/>
        <w:rPr>
          <w:sz w:val="18"/>
          <w:szCs w:val="18"/>
        </w:rPr>
      </w:pPr>
      <w:r w:rsidRPr="000472EA">
        <w:rPr>
          <w:b/>
          <w:bCs/>
          <w:sz w:val="18"/>
          <w:szCs w:val="18"/>
        </w:rPr>
        <w:t>Assumptions:</w:t>
      </w:r>
    </w:p>
    <w:p w:rsidR="00E756EC" w:rsidRPr="000472EA" w:rsidRDefault="00E756EC" w:rsidP="00FC7AAF">
      <w:pPr>
        <w:widowControl/>
        <w:ind w:left="-180" w:right="-270"/>
        <w:rPr>
          <w:sz w:val="18"/>
          <w:szCs w:val="18"/>
        </w:rPr>
      </w:pPr>
      <w:r w:rsidRPr="000472EA">
        <w:rPr>
          <w:sz w:val="18"/>
          <w:szCs w:val="18"/>
          <w:vertAlign w:val="superscript"/>
        </w:rPr>
        <w:t>a</w:t>
      </w:r>
      <w:r w:rsidRPr="000472EA">
        <w:rPr>
          <w:sz w:val="18"/>
          <w:szCs w:val="18"/>
        </w:rPr>
        <w:t xml:space="preserve"> Assumes an average of 2 mills responding each year over the next 3 years based on rulemaking projections that 10 mills will be impacted by the NSPS review (</w:t>
      </w:r>
      <w:r w:rsidR="00157975">
        <w:rPr>
          <w:sz w:val="18"/>
          <w:szCs w:val="18"/>
        </w:rPr>
        <w:t>S</w:t>
      </w:r>
      <w:r w:rsidRPr="000472EA">
        <w:rPr>
          <w:sz w:val="18"/>
          <w:szCs w:val="18"/>
        </w:rPr>
        <w:t xml:space="preserve">ubpart </w:t>
      </w:r>
      <w:proofErr w:type="spellStart"/>
      <w:r w:rsidRPr="000472EA">
        <w:rPr>
          <w:sz w:val="18"/>
          <w:szCs w:val="18"/>
        </w:rPr>
        <w:t>BBa</w:t>
      </w:r>
      <w:proofErr w:type="spellEnd"/>
      <w:r w:rsidRPr="000472EA">
        <w:rPr>
          <w:sz w:val="18"/>
          <w:szCs w:val="18"/>
        </w:rPr>
        <w:t>) over 5 years (10 mills/5 years = 2 mills per year)</w:t>
      </w:r>
    </w:p>
    <w:p w:rsidR="00E756EC" w:rsidRPr="000472EA" w:rsidRDefault="00E756EC" w:rsidP="00FC7AAF">
      <w:pPr>
        <w:widowControl/>
        <w:ind w:left="-180" w:right="-270"/>
        <w:rPr>
          <w:sz w:val="18"/>
          <w:szCs w:val="18"/>
        </w:rPr>
      </w:pPr>
      <w:proofErr w:type="gramStart"/>
      <w:r w:rsidRPr="000472EA">
        <w:rPr>
          <w:sz w:val="18"/>
          <w:szCs w:val="18"/>
          <w:vertAlign w:val="superscript"/>
        </w:rPr>
        <w:lastRenderedPageBreak/>
        <w:t>b</w:t>
      </w:r>
      <w:proofErr w:type="gramEnd"/>
      <w:r w:rsidRPr="000472EA">
        <w:rPr>
          <w:sz w:val="18"/>
          <w:szCs w:val="18"/>
        </w:rPr>
        <w:t xml:space="preserve"> This ICR uses the following labor rates:  $122.49 per hour for Executive, Administrative, and Managerial labor; $101.28 per hour for Technical labor, and $50.80 per hour for Clerical labor.  These rates are from the United States Department of Labor, Bureau of Labor Statistics, “Table 2 - Employer costs per hour worked for employee compensation and costs as a percent of total compensation: Civilian workers, by occupational and industry group, September 2012.”The rates have been increased by 110 percent to account for the benefit packages available to those employed by private industry.</w:t>
      </w:r>
    </w:p>
    <w:p w:rsidR="00E756EC" w:rsidRPr="000472EA" w:rsidRDefault="00E756EC" w:rsidP="00FC7AAF">
      <w:pPr>
        <w:widowControl/>
        <w:ind w:left="-180" w:right="-270"/>
        <w:rPr>
          <w:sz w:val="18"/>
          <w:szCs w:val="18"/>
        </w:rPr>
      </w:pPr>
      <w:proofErr w:type="gramStart"/>
      <w:r w:rsidRPr="000472EA">
        <w:rPr>
          <w:sz w:val="18"/>
          <w:szCs w:val="18"/>
          <w:vertAlign w:val="superscript"/>
        </w:rPr>
        <w:t>c</w:t>
      </w:r>
      <w:proofErr w:type="gramEnd"/>
      <w:r w:rsidRPr="000472EA">
        <w:rPr>
          <w:sz w:val="18"/>
          <w:szCs w:val="18"/>
        </w:rPr>
        <w:t xml:space="preserve"> Assumes it will take 80 hours for each new respondent to coordinate the initial performance tests for PM, CPM, opacity and TRS. Testing contractor costs are included in the capital/startup and O&amp;M costs.</w:t>
      </w:r>
    </w:p>
    <w:p w:rsidR="00E756EC" w:rsidRPr="000472EA" w:rsidRDefault="00E756EC" w:rsidP="00FC7AAF">
      <w:pPr>
        <w:widowControl/>
        <w:ind w:left="-180" w:right="-270"/>
        <w:rPr>
          <w:sz w:val="18"/>
          <w:szCs w:val="18"/>
        </w:rPr>
      </w:pPr>
      <w:proofErr w:type="gramStart"/>
      <w:r w:rsidRPr="000472EA">
        <w:rPr>
          <w:sz w:val="18"/>
          <w:szCs w:val="18"/>
          <w:vertAlign w:val="superscript"/>
        </w:rPr>
        <w:t>d</w:t>
      </w:r>
      <w:proofErr w:type="gramEnd"/>
      <w:r w:rsidRPr="000472EA">
        <w:rPr>
          <w:sz w:val="18"/>
          <w:szCs w:val="18"/>
        </w:rPr>
        <w:t xml:space="preserve"> No 5-year repeat test would be conducted during the initial 3-year ICR approval. Repeat tests would begin in year 5.</w:t>
      </w:r>
    </w:p>
    <w:p w:rsidR="00E756EC" w:rsidRPr="000472EA" w:rsidRDefault="00E756EC" w:rsidP="00FC7AAF">
      <w:pPr>
        <w:widowControl/>
        <w:ind w:left="-180" w:right="-270"/>
        <w:rPr>
          <w:sz w:val="18"/>
          <w:szCs w:val="18"/>
        </w:rPr>
      </w:pPr>
      <w:proofErr w:type="gramStart"/>
      <w:r w:rsidRPr="000472EA">
        <w:rPr>
          <w:sz w:val="18"/>
          <w:szCs w:val="18"/>
          <w:vertAlign w:val="subscript"/>
        </w:rPr>
        <w:t>e</w:t>
      </w:r>
      <w:proofErr w:type="gramEnd"/>
      <w:r w:rsidRPr="000472EA">
        <w:rPr>
          <w:sz w:val="18"/>
          <w:szCs w:val="18"/>
          <w:vertAlign w:val="subscript"/>
        </w:rPr>
        <w:t xml:space="preserve"> </w:t>
      </w:r>
      <w:r w:rsidRPr="000472EA">
        <w:rPr>
          <w:sz w:val="18"/>
          <w:szCs w:val="18"/>
        </w:rPr>
        <w:t>Assumes that 20 percent of respondents would repeat a performance test due to failure.</w:t>
      </w:r>
    </w:p>
    <w:p w:rsidR="00E756EC" w:rsidRDefault="00E756EC" w:rsidP="00FC7AAF">
      <w:pPr>
        <w:widowControl/>
        <w:ind w:left="-180" w:right="-270"/>
        <w:rPr>
          <w:sz w:val="18"/>
          <w:szCs w:val="18"/>
        </w:rPr>
      </w:pPr>
      <w:proofErr w:type="gramStart"/>
      <w:r w:rsidRPr="00236792">
        <w:rPr>
          <w:sz w:val="18"/>
          <w:szCs w:val="18"/>
          <w:vertAlign w:val="superscript"/>
        </w:rPr>
        <w:t>f</w:t>
      </w:r>
      <w:proofErr w:type="gramEnd"/>
      <w:r w:rsidRPr="000472EA">
        <w:rPr>
          <w:sz w:val="18"/>
          <w:szCs w:val="18"/>
        </w:rPr>
        <w:t xml:space="preserve"> Hard copy report of performance test is included in 3B. Submittal of performance test data through EPA's ERT is estimated to require 4 hours per test. </w:t>
      </w:r>
    </w:p>
    <w:p w:rsidR="00E756EC" w:rsidRPr="000472EA" w:rsidRDefault="00034139" w:rsidP="00FC7AAF">
      <w:pPr>
        <w:widowControl/>
        <w:ind w:left="-180" w:right="-270"/>
        <w:rPr>
          <w:sz w:val="18"/>
          <w:szCs w:val="18"/>
        </w:rPr>
      </w:pPr>
      <w:proofErr w:type="gramStart"/>
      <w:r w:rsidRPr="00034139">
        <w:rPr>
          <w:sz w:val="18"/>
          <w:szCs w:val="18"/>
          <w:vertAlign w:val="superscript"/>
        </w:rPr>
        <w:t>g</w:t>
      </w:r>
      <w:proofErr w:type="gramEnd"/>
      <w:r w:rsidR="00E756EC" w:rsidRPr="00034139">
        <w:rPr>
          <w:sz w:val="18"/>
          <w:szCs w:val="18"/>
          <w:vertAlign w:val="superscript"/>
        </w:rPr>
        <w:t xml:space="preserve"> </w:t>
      </w:r>
      <w:r w:rsidR="00E756EC" w:rsidRPr="000472EA">
        <w:rPr>
          <w:sz w:val="18"/>
          <w:szCs w:val="18"/>
        </w:rPr>
        <w:t>Assumes that it will take each respondent 8 hours to complete the semiannual report.</w:t>
      </w:r>
    </w:p>
    <w:p w:rsidR="00E756EC" w:rsidRPr="000472EA" w:rsidRDefault="00034139" w:rsidP="00FC7AAF">
      <w:pPr>
        <w:widowControl/>
        <w:ind w:left="-180" w:right="-270"/>
        <w:rPr>
          <w:sz w:val="18"/>
          <w:szCs w:val="18"/>
        </w:rPr>
      </w:pPr>
      <w:proofErr w:type="gramStart"/>
      <w:r>
        <w:rPr>
          <w:sz w:val="18"/>
          <w:szCs w:val="18"/>
          <w:vertAlign w:val="superscript"/>
        </w:rPr>
        <w:t>h</w:t>
      </w:r>
      <w:proofErr w:type="gramEnd"/>
      <w:r w:rsidR="00E756EC" w:rsidRPr="000472EA">
        <w:rPr>
          <w:sz w:val="18"/>
          <w:szCs w:val="18"/>
        </w:rPr>
        <w:t xml:space="preserve"> Ongoing activities are based on the average number of respondents per year over the 3-year ICR periods. </w:t>
      </w:r>
      <w:proofErr w:type="gramStart"/>
      <w:r w:rsidR="00E756EC" w:rsidRPr="000472EA">
        <w:rPr>
          <w:sz w:val="18"/>
          <w:szCs w:val="18"/>
        </w:rPr>
        <w:t>Year 1 = 2, Year 2 = 2+2 = 4, Year 3 = 2+2+2 = 6.</w:t>
      </w:r>
      <w:proofErr w:type="gramEnd"/>
      <w:r w:rsidR="00E756EC" w:rsidRPr="000472EA">
        <w:rPr>
          <w:sz w:val="18"/>
          <w:szCs w:val="18"/>
        </w:rPr>
        <w:t xml:space="preserve"> </w:t>
      </w:r>
      <w:proofErr w:type="gramStart"/>
      <w:r w:rsidR="00E756EC" w:rsidRPr="000472EA">
        <w:rPr>
          <w:sz w:val="18"/>
          <w:szCs w:val="18"/>
        </w:rPr>
        <w:t>Average(</w:t>
      </w:r>
      <w:proofErr w:type="gramEnd"/>
      <w:r w:rsidR="00E756EC" w:rsidRPr="000472EA">
        <w:rPr>
          <w:sz w:val="18"/>
          <w:szCs w:val="18"/>
        </w:rPr>
        <w:t>2,4,6) = 4 respondents.</w:t>
      </w:r>
    </w:p>
    <w:p w:rsidR="00E756EC" w:rsidRPr="000472EA" w:rsidRDefault="00034139" w:rsidP="00FC7AAF">
      <w:pPr>
        <w:widowControl/>
        <w:ind w:left="-180" w:right="-270"/>
        <w:rPr>
          <w:sz w:val="18"/>
          <w:szCs w:val="18"/>
        </w:rPr>
      </w:pPr>
      <w:r>
        <w:rPr>
          <w:sz w:val="18"/>
          <w:szCs w:val="18"/>
          <w:vertAlign w:val="superscript"/>
        </w:rPr>
        <w:t>i</w:t>
      </w:r>
      <w:r w:rsidR="00E756EC" w:rsidRPr="000472EA">
        <w:rPr>
          <w:sz w:val="18"/>
          <w:szCs w:val="18"/>
        </w:rPr>
        <w:t xml:space="preserve"> Assumes respondents will each take 20 hours two times per year to review monitoring data (e.g., to document compliance with allowances) and complete the excess emissions report.</w:t>
      </w:r>
    </w:p>
    <w:p w:rsidR="00E756EC" w:rsidRPr="000472EA" w:rsidRDefault="00034139" w:rsidP="00FC7AAF">
      <w:pPr>
        <w:widowControl/>
        <w:ind w:left="-180" w:right="-270"/>
        <w:rPr>
          <w:sz w:val="18"/>
          <w:szCs w:val="18"/>
        </w:rPr>
      </w:pPr>
      <w:proofErr w:type="gramStart"/>
      <w:r>
        <w:rPr>
          <w:sz w:val="18"/>
          <w:szCs w:val="18"/>
          <w:vertAlign w:val="superscript"/>
        </w:rPr>
        <w:t>j</w:t>
      </w:r>
      <w:proofErr w:type="gramEnd"/>
      <w:r w:rsidR="00E756EC" w:rsidRPr="000472EA">
        <w:rPr>
          <w:sz w:val="18"/>
          <w:szCs w:val="18"/>
        </w:rPr>
        <w:t xml:space="preserve"> Assumes that it will take each respondent 30 hours to complete the affirmative defense report. Assumes each respondent will have 2 malfunctions per year for which they provide affirmative defense.</w:t>
      </w:r>
    </w:p>
    <w:p w:rsidR="00E756EC" w:rsidRPr="000472EA" w:rsidRDefault="00034139" w:rsidP="00FC7AAF">
      <w:pPr>
        <w:widowControl/>
        <w:ind w:left="-180" w:right="-270"/>
        <w:rPr>
          <w:sz w:val="18"/>
          <w:szCs w:val="18"/>
        </w:rPr>
      </w:pPr>
      <w:proofErr w:type="gramStart"/>
      <w:r>
        <w:rPr>
          <w:sz w:val="18"/>
          <w:szCs w:val="18"/>
          <w:vertAlign w:val="superscript"/>
        </w:rPr>
        <w:t>k</w:t>
      </w:r>
      <w:proofErr w:type="gramEnd"/>
      <w:r w:rsidR="00E756EC" w:rsidRPr="000472EA">
        <w:rPr>
          <w:sz w:val="18"/>
          <w:szCs w:val="18"/>
        </w:rPr>
        <w:t xml:space="preserve"> Includes time to adjust existing data acquisition systems at modified sources to include startup and shutdown periods and comply with revised monitoring allowances. </w:t>
      </w:r>
      <w:proofErr w:type="gramStart"/>
      <w:r w:rsidR="00E756EC" w:rsidRPr="000472EA">
        <w:rPr>
          <w:sz w:val="18"/>
          <w:szCs w:val="18"/>
        </w:rPr>
        <w:t>One-time activity.</w:t>
      </w:r>
      <w:proofErr w:type="gramEnd"/>
    </w:p>
    <w:p w:rsidR="00E756EC" w:rsidRPr="000472EA" w:rsidRDefault="00034139" w:rsidP="00FC7AAF">
      <w:pPr>
        <w:widowControl/>
        <w:ind w:left="-180" w:right="-270"/>
        <w:rPr>
          <w:sz w:val="18"/>
          <w:szCs w:val="18"/>
        </w:rPr>
      </w:pPr>
      <w:proofErr w:type="gramStart"/>
      <w:r>
        <w:rPr>
          <w:sz w:val="18"/>
          <w:szCs w:val="18"/>
          <w:vertAlign w:val="superscript"/>
        </w:rPr>
        <w:t>l</w:t>
      </w:r>
      <w:proofErr w:type="gramEnd"/>
      <w:r w:rsidR="00E756EC" w:rsidRPr="000472EA">
        <w:rPr>
          <w:sz w:val="18"/>
          <w:szCs w:val="18"/>
          <w:vertAlign w:val="superscript"/>
        </w:rPr>
        <w:t xml:space="preserve"> </w:t>
      </w:r>
      <w:r w:rsidR="00E756EC" w:rsidRPr="000472EA">
        <w:rPr>
          <w:sz w:val="18"/>
          <w:szCs w:val="18"/>
        </w:rPr>
        <w:t xml:space="preserve">Assumes that it will take each respondent </w:t>
      </w:r>
      <w:r w:rsidR="0004363E">
        <w:rPr>
          <w:sz w:val="18"/>
          <w:szCs w:val="18"/>
        </w:rPr>
        <w:t>30</w:t>
      </w:r>
      <w:r w:rsidR="00E756EC" w:rsidRPr="000472EA">
        <w:rPr>
          <w:sz w:val="18"/>
          <w:szCs w:val="18"/>
        </w:rPr>
        <w:t xml:space="preserve"> minutes per day to document </w:t>
      </w:r>
      <w:r w:rsidR="0004363E">
        <w:rPr>
          <w:sz w:val="18"/>
          <w:szCs w:val="18"/>
        </w:rPr>
        <w:t>monitoring data</w:t>
      </w:r>
      <w:r w:rsidR="00C11E0D" w:rsidRPr="00C11E0D">
        <w:rPr>
          <w:sz w:val="18"/>
          <w:szCs w:val="18"/>
        </w:rPr>
        <w:t xml:space="preserve"> (e.g., </w:t>
      </w:r>
      <w:r w:rsidR="0004363E">
        <w:rPr>
          <w:sz w:val="18"/>
          <w:szCs w:val="18"/>
        </w:rPr>
        <w:t>operating</w:t>
      </w:r>
      <w:r w:rsidR="00C11E0D" w:rsidRPr="00C11E0D">
        <w:rPr>
          <w:sz w:val="18"/>
          <w:szCs w:val="18"/>
        </w:rPr>
        <w:t xml:space="preserve"> parameters, </w:t>
      </w:r>
      <w:r w:rsidR="0004363E">
        <w:rPr>
          <w:sz w:val="18"/>
          <w:szCs w:val="18"/>
        </w:rPr>
        <w:t>opacity and TRS monitoring data, CMS performance evaluations, and startup/shutdown</w:t>
      </w:r>
      <w:r w:rsidR="00C11E0D">
        <w:rPr>
          <w:sz w:val="18"/>
          <w:szCs w:val="18"/>
        </w:rPr>
        <w:t>)</w:t>
      </w:r>
      <w:r w:rsidR="00E756EC" w:rsidRPr="000472EA">
        <w:rPr>
          <w:sz w:val="18"/>
          <w:szCs w:val="18"/>
        </w:rPr>
        <w:t>.</w:t>
      </w:r>
    </w:p>
    <w:p w:rsidR="00B53096" w:rsidRPr="003963F5" w:rsidRDefault="00B53096" w:rsidP="00FC7AAF">
      <w:pPr>
        <w:widowControl/>
        <w:ind w:left="-180" w:right="-270"/>
        <w:rPr>
          <w:sz w:val="20"/>
          <w:szCs w:val="20"/>
        </w:rPr>
      </w:pPr>
      <w:r>
        <w:br w:type="page"/>
      </w:r>
    </w:p>
    <w:p w:rsidR="00DD5A1D" w:rsidRDefault="00E55108" w:rsidP="00FC7AAF">
      <w:pPr>
        <w:widowControl/>
        <w:rPr>
          <w:b/>
        </w:rPr>
      </w:pPr>
      <w:r>
        <w:rPr>
          <w:b/>
          <w:bCs/>
        </w:rPr>
        <w:lastRenderedPageBreak/>
        <w:t>Table 2:  Average Annual EPA Burden and Cost - NSPS Review for Kraft Pulp Mills</w:t>
      </w:r>
      <w:r>
        <w:rPr>
          <w:b/>
        </w:rPr>
        <w:t xml:space="preserve"> (40 CFR </w:t>
      </w:r>
      <w:proofErr w:type="gramStart"/>
      <w:r>
        <w:rPr>
          <w:b/>
        </w:rPr>
        <w:t>Part</w:t>
      </w:r>
      <w:proofErr w:type="gramEnd"/>
      <w:r>
        <w:rPr>
          <w:b/>
        </w:rPr>
        <w:t xml:space="preserve"> 60, Subpart </w:t>
      </w:r>
      <w:proofErr w:type="spellStart"/>
      <w:r>
        <w:rPr>
          <w:b/>
        </w:rPr>
        <w:t>BBa</w:t>
      </w:r>
      <w:proofErr w:type="spellEnd"/>
      <w:r>
        <w:rPr>
          <w:b/>
        </w:rPr>
        <w:t>)</w:t>
      </w:r>
    </w:p>
    <w:tbl>
      <w:tblPr>
        <w:tblW w:w="5000" w:type="pct"/>
        <w:tblLook w:val="04A0"/>
      </w:tblPr>
      <w:tblGrid>
        <w:gridCol w:w="4609"/>
        <w:gridCol w:w="1080"/>
        <w:gridCol w:w="1170"/>
        <w:gridCol w:w="1260"/>
        <w:gridCol w:w="722"/>
        <w:gridCol w:w="991"/>
        <w:gridCol w:w="1262"/>
        <w:gridCol w:w="1262"/>
        <w:gridCol w:w="820"/>
      </w:tblGrid>
      <w:tr w:rsidR="0046652D" w:rsidRPr="0046652D" w:rsidTr="0046652D">
        <w:trPr>
          <w:trHeight w:val="620"/>
        </w:trPr>
        <w:tc>
          <w:tcPr>
            <w:tcW w:w="174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6652D" w:rsidRPr="0046652D" w:rsidRDefault="0046652D" w:rsidP="009766E4">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Activity</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rsidP="009766E4">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(A)</w:t>
            </w:r>
            <w:r w:rsidRPr="0046652D">
              <w:rPr>
                <w:rFonts w:eastAsia="Times New Roman"/>
                <w:b/>
                <w:bCs/>
                <w:color w:val="000000"/>
                <w:sz w:val="18"/>
                <w:szCs w:val="18"/>
                <w:lang w:eastAsia="en-US"/>
              </w:rPr>
              <w:br/>
              <w:t xml:space="preserve">EPA person- hours per occurrence </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(B)</w:t>
            </w:r>
            <w:r w:rsidRPr="0046652D">
              <w:rPr>
                <w:rFonts w:eastAsia="Times New Roman"/>
                <w:b/>
                <w:bCs/>
                <w:color w:val="000000"/>
                <w:sz w:val="18"/>
                <w:szCs w:val="18"/>
                <w:lang w:eastAsia="en-US"/>
              </w:rPr>
              <w:br/>
              <w:t xml:space="preserve">No. of occurrences per plant per year </w:t>
            </w:r>
          </w:p>
        </w:tc>
        <w:tc>
          <w:tcPr>
            <w:tcW w:w="478"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(C)</w:t>
            </w:r>
            <w:r w:rsidRPr="0046652D">
              <w:rPr>
                <w:rFonts w:eastAsia="Times New Roman"/>
                <w:b/>
                <w:bCs/>
                <w:color w:val="000000"/>
                <w:sz w:val="18"/>
                <w:szCs w:val="18"/>
                <w:lang w:eastAsia="en-US"/>
              </w:rPr>
              <w:br/>
              <w:t>EPA person- hours per plant per year</w:t>
            </w:r>
            <w:r w:rsidRPr="0046652D">
              <w:rPr>
                <w:rFonts w:eastAsia="Times New Roman"/>
                <w:b/>
                <w:bCs/>
                <w:color w:val="000000"/>
                <w:sz w:val="18"/>
                <w:szCs w:val="18"/>
                <w:lang w:eastAsia="en-US"/>
              </w:rPr>
              <w:br/>
              <w:t xml:space="preserve">(A </w:t>
            </w:r>
            <w:r w:rsidRPr="0046652D">
              <w:rPr>
                <w:rFonts w:ascii="Calibri" w:eastAsia="Times New Roman" w:hAnsi="Calibri"/>
                <w:b/>
                <w:bCs/>
                <w:color w:val="000000"/>
                <w:sz w:val="18"/>
                <w:szCs w:val="18"/>
                <w:lang w:eastAsia="en-US"/>
              </w:rPr>
              <w:t>×</w:t>
            </w:r>
            <w:r w:rsidRPr="0046652D">
              <w:rPr>
                <w:rFonts w:eastAsia="Times New Roman"/>
                <w:b/>
                <w:bCs/>
                <w:color w:val="000000"/>
                <w:sz w:val="18"/>
                <w:szCs w:val="18"/>
                <w:lang w:eastAsia="en-US"/>
              </w:rPr>
              <w:t xml:space="preserve"> B)</w:t>
            </w:r>
          </w:p>
        </w:tc>
        <w:tc>
          <w:tcPr>
            <w:tcW w:w="274"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(D)</w:t>
            </w:r>
            <w:r w:rsidRPr="0046652D">
              <w:rPr>
                <w:rFonts w:eastAsia="Times New Roman"/>
                <w:b/>
                <w:bCs/>
                <w:color w:val="000000"/>
                <w:sz w:val="18"/>
                <w:szCs w:val="18"/>
                <w:lang w:eastAsia="en-US"/>
              </w:rPr>
              <w:br/>
              <w:t xml:space="preserve">Plants per year </w:t>
            </w:r>
            <w:r w:rsidRPr="0046652D">
              <w:rPr>
                <w:rFonts w:eastAsia="Times New Roman"/>
                <w:b/>
                <w:bCs/>
                <w:color w:val="000000"/>
                <w:sz w:val="18"/>
                <w:szCs w:val="18"/>
                <w:vertAlign w:val="superscript"/>
                <w:lang w:eastAsia="en-US"/>
              </w:rPr>
              <w:t>a</w:t>
            </w:r>
            <w:r w:rsidRPr="0046652D">
              <w:rPr>
                <w:rFonts w:eastAsia="Times New Roman"/>
                <w:b/>
                <w:bCs/>
                <w:color w:val="000000"/>
                <w:sz w:val="18"/>
                <w:szCs w:val="18"/>
                <w:lang w:eastAsia="en-US"/>
              </w:rPr>
              <w:t xml:space="preserve"> </w:t>
            </w:r>
          </w:p>
        </w:tc>
        <w:tc>
          <w:tcPr>
            <w:tcW w:w="376"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(E)</w:t>
            </w:r>
            <w:r w:rsidRPr="0046652D">
              <w:rPr>
                <w:rFonts w:eastAsia="Times New Roman"/>
                <w:b/>
                <w:bCs/>
                <w:color w:val="000000"/>
                <w:sz w:val="18"/>
                <w:szCs w:val="18"/>
                <w:lang w:eastAsia="en-US"/>
              </w:rPr>
              <w:br/>
              <w:t>Technical person- hours per year</w:t>
            </w:r>
            <w:r w:rsidRPr="0046652D">
              <w:rPr>
                <w:rFonts w:eastAsia="Times New Roman"/>
                <w:b/>
                <w:bCs/>
                <w:color w:val="000000"/>
                <w:sz w:val="18"/>
                <w:szCs w:val="18"/>
                <w:lang w:eastAsia="en-US"/>
              </w:rPr>
              <w:br/>
              <w:t>(C × D)</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(F)</w:t>
            </w:r>
            <w:r w:rsidRPr="0046652D">
              <w:rPr>
                <w:rFonts w:eastAsia="Times New Roman"/>
                <w:b/>
                <w:bCs/>
                <w:color w:val="000000"/>
                <w:sz w:val="18"/>
                <w:szCs w:val="18"/>
                <w:lang w:eastAsia="en-US"/>
              </w:rPr>
              <w:br/>
              <w:t>Management person-hours per year</w:t>
            </w:r>
            <w:r w:rsidRPr="0046652D">
              <w:rPr>
                <w:rFonts w:eastAsia="Times New Roman"/>
                <w:b/>
                <w:bCs/>
                <w:color w:val="000000"/>
                <w:sz w:val="18"/>
                <w:szCs w:val="18"/>
                <w:lang w:eastAsia="en-US"/>
              </w:rPr>
              <w:br/>
              <w:t>(E × 0.05)</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(G)</w:t>
            </w:r>
            <w:r w:rsidRPr="0046652D">
              <w:rPr>
                <w:rFonts w:eastAsia="Times New Roman"/>
                <w:b/>
                <w:bCs/>
                <w:color w:val="000000"/>
                <w:sz w:val="18"/>
                <w:szCs w:val="18"/>
                <w:lang w:eastAsia="en-US"/>
              </w:rPr>
              <w:br/>
              <w:t>Clerical person-hours per year</w:t>
            </w:r>
            <w:r w:rsidRPr="0046652D">
              <w:rPr>
                <w:rFonts w:eastAsia="Times New Roman"/>
                <w:b/>
                <w:bCs/>
                <w:color w:val="000000"/>
                <w:sz w:val="18"/>
                <w:szCs w:val="18"/>
                <w:lang w:eastAsia="en-US"/>
              </w:rPr>
              <w:br/>
              <w:t>(E × 0.1)</w:t>
            </w:r>
          </w:p>
        </w:tc>
        <w:tc>
          <w:tcPr>
            <w:tcW w:w="311" w:type="pct"/>
            <w:tcBorders>
              <w:top w:val="single" w:sz="4" w:space="0" w:color="auto"/>
              <w:left w:val="nil"/>
              <w:bottom w:val="single" w:sz="4" w:space="0" w:color="auto"/>
              <w:right w:val="single" w:sz="4" w:space="0" w:color="auto"/>
            </w:tcBorders>
            <w:shd w:val="clear" w:color="auto" w:fill="auto"/>
            <w:vAlign w:val="bottom"/>
            <w:hideMark/>
          </w:tcPr>
          <w:p w:rsidR="0046652D" w:rsidRPr="0046652D" w:rsidRDefault="0046652D">
            <w:pPr>
              <w:widowControl/>
              <w:autoSpaceDE/>
              <w:autoSpaceDN/>
              <w:adjustRightInd/>
              <w:jc w:val="center"/>
              <w:rPr>
                <w:rFonts w:eastAsia="Times New Roman"/>
                <w:b/>
                <w:bCs/>
                <w:color w:val="000000"/>
                <w:sz w:val="18"/>
                <w:szCs w:val="18"/>
                <w:lang w:eastAsia="en-US"/>
              </w:rPr>
            </w:pPr>
            <w:r w:rsidRPr="0046652D">
              <w:rPr>
                <w:rFonts w:eastAsia="Times New Roman"/>
                <w:b/>
                <w:bCs/>
                <w:color w:val="000000"/>
                <w:sz w:val="18"/>
                <w:szCs w:val="18"/>
                <w:lang w:eastAsia="en-US"/>
              </w:rPr>
              <w:t>(H)</w:t>
            </w:r>
            <w:r w:rsidRPr="0046652D">
              <w:rPr>
                <w:rFonts w:eastAsia="Times New Roman"/>
                <w:b/>
                <w:bCs/>
                <w:color w:val="000000"/>
                <w:sz w:val="18"/>
                <w:szCs w:val="18"/>
                <w:lang w:eastAsia="en-US"/>
              </w:rPr>
              <w:br/>
              <w:t xml:space="preserve">Cost </w:t>
            </w:r>
            <w:r w:rsidRPr="0046652D">
              <w:rPr>
                <w:rFonts w:eastAsia="Times New Roman"/>
                <w:b/>
                <w:bCs/>
                <w:color w:val="000000"/>
                <w:sz w:val="18"/>
                <w:szCs w:val="18"/>
                <w:vertAlign w:val="superscript"/>
                <w:lang w:eastAsia="en-US"/>
              </w:rPr>
              <w:t>b</w:t>
            </w:r>
            <w:r w:rsidRPr="0046652D">
              <w:rPr>
                <w:rFonts w:eastAsia="Times New Roman"/>
                <w:b/>
                <w:bCs/>
                <w:color w:val="000000"/>
                <w:sz w:val="18"/>
                <w:szCs w:val="18"/>
                <w:lang w:eastAsia="en-US"/>
              </w:rPr>
              <w:t xml:space="preserve"> </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rPr>
                <w:rFonts w:eastAsia="Times New Roman"/>
                <w:sz w:val="18"/>
                <w:szCs w:val="18"/>
                <w:lang w:eastAsia="en-US"/>
              </w:rPr>
            </w:pPr>
            <w:r w:rsidRPr="00374099">
              <w:rPr>
                <w:rFonts w:eastAsia="Times New Roman"/>
                <w:sz w:val="18"/>
                <w:szCs w:val="18"/>
                <w:lang w:eastAsia="en-US"/>
              </w:rPr>
              <w:t xml:space="preserve">1. Attend initial performance test </w:t>
            </w:r>
            <w:r w:rsidRPr="00374099">
              <w:rPr>
                <w:rFonts w:eastAsia="Times New Roman"/>
                <w:sz w:val="18"/>
                <w:szCs w:val="18"/>
                <w:vertAlign w:val="superscript"/>
                <w:lang w:eastAsia="en-US"/>
              </w:rPr>
              <w:t>c</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48</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4.8</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$2,487</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rPr>
                <w:rFonts w:eastAsia="Times New Roman"/>
                <w:sz w:val="18"/>
                <w:szCs w:val="18"/>
                <w:lang w:eastAsia="en-US"/>
              </w:rPr>
            </w:pPr>
            <w:r w:rsidRPr="00374099">
              <w:rPr>
                <w:rFonts w:eastAsia="Times New Roman"/>
                <w:sz w:val="18"/>
                <w:szCs w:val="18"/>
                <w:lang w:eastAsia="en-US"/>
              </w:rPr>
              <w:t xml:space="preserve">2. Attend repeat performance test </w:t>
            </w:r>
            <w:proofErr w:type="spellStart"/>
            <w:r w:rsidRPr="00374099">
              <w:rPr>
                <w:rFonts w:eastAsia="Times New Roman"/>
                <w:sz w:val="18"/>
                <w:szCs w:val="18"/>
                <w:vertAlign w:val="superscript"/>
                <w:lang w:eastAsia="en-US"/>
              </w:rPr>
              <w:t>c,d</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24</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5</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$497</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rPr>
                <w:rFonts w:eastAsia="Times New Roman"/>
                <w:sz w:val="18"/>
                <w:szCs w:val="18"/>
                <w:lang w:eastAsia="en-US"/>
              </w:rPr>
            </w:pPr>
            <w:r w:rsidRPr="00374099">
              <w:rPr>
                <w:rFonts w:eastAsia="Times New Roman"/>
                <w:sz w:val="18"/>
                <w:szCs w:val="18"/>
                <w:lang w:eastAsia="en-US"/>
              </w:rPr>
              <w:t>3. Report review</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construction/reconstruction</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4.0</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0.2</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0.4</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$207</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notification of performance test </w:t>
            </w:r>
            <w:r w:rsidRPr="00374099">
              <w:rPr>
                <w:rFonts w:eastAsia="Times New Roman"/>
                <w:sz w:val="18"/>
                <w:szCs w:val="18"/>
                <w:vertAlign w:val="superscript"/>
                <w:lang w:eastAsia="en-US"/>
              </w:rPr>
              <w:t>e</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0.06</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$62</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actual startup</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0.05</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$52</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CMS demonstration</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0.05</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$52</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physical/operational changes</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0.05</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$52</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Review notification of opacity observations</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0.5</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0.05</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0.1</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$52</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performance test reports </w:t>
            </w:r>
            <w:r w:rsidRPr="00374099">
              <w:rPr>
                <w:rFonts w:eastAsia="Times New Roman"/>
                <w:sz w:val="18"/>
                <w:szCs w:val="18"/>
                <w:vertAlign w:val="superscript"/>
                <w:lang w:eastAsia="en-US"/>
              </w:rPr>
              <w:t>e</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1.2</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19</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1.0</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1.9</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$995</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semiannual report </w:t>
            </w:r>
            <w:proofErr w:type="spellStart"/>
            <w:r w:rsidR="00961BAA">
              <w:rPr>
                <w:rFonts w:eastAsia="Times New Roman"/>
                <w:sz w:val="18"/>
                <w:szCs w:val="18"/>
                <w:vertAlign w:val="superscript"/>
                <w:lang w:eastAsia="en-US"/>
              </w:rPr>
              <w:t>f</w:t>
            </w:r>
            <w:r w:rsidR="00D876F9">
              <w:rPr>
                <w:rFonts w:eastAsia="Times New Roman"/>
                <w:sz w:val="18"/>
                <w:szCs w:val="18"/>
                <w:vertAlign w:val="superscript"/>
                <w:lang w:eastAsia="en-US"/>
              </w:rPr>
              <w:t>,</w:t>
            </w:r>
            <w:r w:rsidR="00961BAA">
              <w:rPr>
                <w:rFonts w:eastAsia="Times New Roman"/>
                <w:sz w:val="18"/>
                <w:szCs w:val="18"/>
                <w:vertAlign w:val="superscript"/>
                <w:lang w:eastAsia="en-US"/>
              </w:rPr>
              <w:t>g</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$1,658</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excess emissions/monitoring systems report </w:t>
            </w:r>
            <w:proofErr w:type="spellStart"/>
            <w:r w:rsidR="00961BAA">
              <w:rPr>
                <w:rFonts w:eastAsia="Times New Roman"/>
                <w:sz w:val="18"/>
                <w:szCs w:val="18"/>
                <w:vertAlign w:val="superscript"/>
                <w:lang w:eastAsia="en-US"/>
              </w:rPr>
              <w:t>f</w:t>
            </w:r>
            <w:r w:rsidR="00D876F9">
              <w:rPr>
                <w:rFonts w:eastAsia="Times New Roman"/>
                <w:sz w:val="18"/>
                <w:szCs w:val="18"/>
                <w:vertAlign w:val="superscript"/>
                <w:lang w:eastAsia="en-US"/>
              </w:rPr>
              <w:t>,</w:t>
            </w:r>
            <w:r w:rsidR="00961BAA">
              <w:rPr>
                <w:rFonts w:eastAsia="Times New Roman"/>
                <w:sz w:val="18"/>
                <w:szCs w:val="18"/>
                <w:vertAlign w:val="superscript"/>
                <w:lang w:eastAsia="en-US"/>
              </w:rPr>
              <w:t>g</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$3,317</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ind w:left="450"/>
              <w:rPr>
                <w:rFonts w:eastAsia="Times New Roman"/>
                <w:sz w:val="18"/>
                <w:szCs w:val="18"/>
                <w:lang w:eastAsia="en-US"/>
              </w:rPr>
            </w:pPr>
            <w:r w:rsidRPr="00374099">
              <w:rPr>
                <w:rFonts w:eastAsia="Times New Roman"/>
                <w:sz w:val="18"/>
                <w:szCs w:val="18"/>
                <w:lang w:eastAsia="en-US"/>
              </w:rPr>
              <w:t xml:space="preserve">Review malfunction report </w:t>
            </w:r>
            <w:proofErr w:type="spellStart"/>
            <w:r w:rsidR="00961BAA">
              <w:rPr>
                <w:rFonts w:eastAsia="Times New Roman"/>
                <w:sz w:val="18"/>
                <w:szCs w:val="18"/>
                <w:vertAlign w:val="superscript"/>
                <w:lang w:eastAsia="en-US"/>
              </w:rPr>
              <w:t>f</w:t>
            </w:r>
            <w:r w:rsidR="00D876F9">
              <w:rPr>
                <w:rFonts w:eastAsia="Times New Roman"/>
                <w:sz w:val="18"/>
                <w:szCs w:val="18"/>
                <w:vertAlign w:val="superscript"/>
                <w:lang w:eastAsia="en-US"/>
              </w:rPr>
              <w:t>,</w:t>
            </w:r>
            <w:r w:rsidR="00961BAA">
              <w:rPr>
                <w:rFonts w:eastAsia="Times New Roman"/>
                <w:sz w:val="18"/>
                <w:szCs w:val="18"/>
                <w:vertAlign w:val="superscript"/>
                <w:lang w:eastAsia="en-US"/>
              </w:rPr>
              <w:t>g</w:t>
            </w:r>
            <w:proofErr w:type="spellEnd"/>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8</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2</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16</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4</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3.2</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6.4</w:t>
            </w:r>
          </w:p>
        </w:tc>
        <w:tc>
          <w:tcPr>
            <w:tcW w:w="311"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$3,317</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rPr>
                <w:rFonts w:eastAsia="Times New Roman"/>
                <w:b/>
                <w:bCs/>
                <w:i/>
                <w:iCs/>
                <w:sz w:val="18"/>
                <w:szCs w:val="18"/>
                <w:lang w:eastAsia="en-US"/>
              </w:rPr>
            </w:pPr>
            <w:r w:rsidRPr="00374099">
              <w:rPr>
                <w:rFonts w:eastAsia="Times New Roman"/>
                <w:b/>
                <w:bCs/>
                <w:i/>
                <w:iCs/>
                <w:sz w:val="18"/>
                <w:szCs w:val="18"/>
                <w:lang w:eastAsia="en-US"/>
              </w:rPr>
              <w:t>Subtotals Labor Burden and Cost</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 </w:t>
            </w:r>
          </w:p>
        </w:tc>
        <w:tc>
          <w:tcPr>
            <w:tcW w:w="376"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118</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5.9</w:t>
            </w:r>
          </w:p>
        </w:tc>
        <w:tc>
          <w:tcPr>
            <w:tcW w:w="479"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b/>
                <w:bCs/>
                <w:i/>
                <w:iCs/>
                <w:sz w:val="18"/>
                <w:szCs w:val="18"/>
                <w:lang w:eastAsia="en-US"/>
              </w:rPr>
            </w:pPr>
            <w:r w:rsidRPr="00374099">
              <w:rPr>
                <w:rFonts w:eastAsia="Times New Roman"/>
                <w:b/>
                <w:bCs/>
                <w:i/>
                <w:iCs/>
                <w:sz w:val="18"/>
                <w:szCs w:val="18"/>
                <w:lang w:eastAsia="en-US"/>
              </w:rPr>
              <w:t>12</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r>
      <w:tr w:rsidR="0046652D" w:rsidRPr="0046652D" w:rsidTr="005E146D">
        <w:trPr>
          <w:trHeight w:val="70"/>
        </w:trPr>
        <w:tc>
          <w:tcPr>
            <w:tcW w:w="1749" w:type="pct"/>
            <w:tcBorders>
              <w:top w:val="nil"/>
              <w:left w:val="single" w:sz="4" w:space="0" w:color="auto"/>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rPr>
                <w:rFonts w:eastAsia="Times New Roman"/>
                <w:b/>
                <w:bCs/>
                <w:sz w:val="18"/>
                <w:szCs w:val="18"/>
                <w:lang w:eastAsia="en-US"/>
              </w:rPr>
            </w:pPr>
            <w:r w:rsidRPr="00374099">
              <w:rPr>
                <w:rFonts w:eastAsia="Times New Roman"/>
                <w:b/>
                <w:bCs/>
                <w:sz w:val="18"/>
                <w:szCs w:val="18"/>
                <w:lang w:eastAsia="en-US"/>
              </w:rPr>
              <w:t>TOTAL ANNUAL BURDEN AND COST (rounded)</w:t>
            </w:r>
          </w:p>
        </w:tc>
        <w:tc>
          <w:tcPr>
            <w:tcW w:w="410"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4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478"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274" w:type="pct"/>
            <w:tcBorders>
              <w:top w:val="nil"/>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sz w:val="18"/>
                <w:szCs w:val="18"/>
                <w:lang w:eastAsia="en-US"/>
              </w:rPr>
            </w:pPr>
            <w:r w:rsidRPr="00374099">
              <w:rPr>
                <w:rFonts w:eastAsia="Times New Roman"/>
                <w:sz w:val="18"/>
                <w:szCs w:val="18"/>
                <w:lang w:eastAsia="en-US"/>
              </w:rPr>
              <w:t> </w:t>
            </w:r>
          </w:p>
        </w:tc>
        <w:tc>
          <w:tcPr>
            <w:tcW w:w="1334" w:type="pct"/>
            <w:gridSpan w:val="3"/>
            <w:tcBorders>
              <w:top w:val="single" w:sz="4" w:space="0" w:color="auto"/>
              <w:left w:val="nil"/>
              <w:bottom w:val="single" w:sz="4" w:space="0" w:color="auto"/>
              <w:right w:val="single" w:sz="4" w:space="0" w:color="000000"/>
            </w:tcBorders>
            <w:shd w:val="clear" w:color="auto" w:fill="auto"/>
            <w:vAlign w:val="center"/>
            <w:hideMark/>
          </w:tcPr>
          <w:p w:rsidR="0046652D" w:rsidRPr="00374099" w:rsidRDefault="0046652D" w:rsidP="005E146D">
            <w:pPr>
              <w:widowControl/>
              <w:autoSpaceDE/>
              <w:autoSpaceDN/>
              <w:adjustRightInd/>
              <w:jc w:val="center"/>
              <w:rPr>
                <w:rFonts w:eastAsia="Times New Roman"/>
                <w:b/>
                <w:bCs/>
                <w:sz w:val="18"/>
                <w:szCs w:val="18"/>
                <w:lang w:eastAsia="en-US"/>
              </w:rPr>
            </w:pPr>
            <w:r w:rsidRPr="00374099">
              <w:rPr>
                <w:rFonts w:eastAsia="Times New Roman"/>
                <w:b/>
                <w:bCs/>
                <w:sz w:val="18"/>
                <w:szCs w:val="18"/>
                <w:lang w:eastAsia="en-US"/>
              </w:rPr>
              <w:t>136</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46652D" w:rsidRPr="00374099" w:rsidRDefault="0046652D" w:rsidP="005E146D">
            <w:pPr>
              <w:widowControl/>
              <w:autoSpaceDE/>
              <w:autoSpaceDN/>
              <w:adjustRightInd/>
              <w:jc w:val="right"/>
              <w:rPr>
                <w:rFonts w:eastAsia="Times New Roman"/>
                <w:b/>
                <w:bCs/>
                <w:sz w:val="18"/>
                <w:szCs w:val="18"/>
                <w:lang w:eastAsia="en-US"/>
              </w:rPr>
            </w:pPr>
            <w:r w:rsidRPr="00374099">
              <w:rPr>
                <w:rFonts w:eastAsia="Times New Roman"/>
                <w:b/>
                <w:bCs/>
                <w:sz w:val="18"/>
                <w:szCs w:val="18"/>
                <w:lang w:eastAsia="en-US"/>
              </w:rPr>
              <w:t>$12,748</w:t>
            </w:r>
          </w:p>
        </w:tc>
      </w:tr>
    </w:tbl>
    <w:p w:rsidR="00DD5A1D" w:rsidRDefault="004F5109" w:rsidP="009766E4">
      <w:pPr>
        <w:widowControl/>
        <w:pBdr>
          <w:between w:val="single" w:sz="4" w:space="1" w:color="auto"/>
        </w:pBdr>
        <w:ind w:hanging="270"/>
        <w:outlineLvl w:val="0"/>
        <w:rPr>
          <w:sz w:val="20"/>
          <w:szCs w:val="20"/>
        </w:rPr>
      </w:pPr>
      <w:r>
        <w:rPr>
          <w:b/>
          <w:bCs/>
          <w:sz w:val="20"/>
          <w:szCs w:val="20"/>
        </w:rPr>
        <w:t xml:space="preserve">  </w:t>
      </w:r>
      <w:r w:rsidR="00DD5A1D">
        <w:rPr>
          <w:b/>
          <w:bCs/>
          <w:sz w:val="20"/>
          <w:szCs w:val="20"/>
        </w:rPr>
        <w:t>Assumptions:</w:t>
      </w:r>
    </w:p>
    <w:p w:rsidR="0046652D" w:rsidRPr="00DB1CEA" w:rsidRDefault="0046652D" w:rsidP="009766E4">
      <w:pPr>
        <w:widowControl/>
        <w:ind w:left="-180" w:right="-270"/>
        <w:rPr>
          <w:sz w:val="18"/>
          <w:szCs w:val="18"/>
        </w:rPr>
      </w:pPr>
      <w:proofErr w:type="gramStart"/>
      <w:r w:rsidRPr="0046652D">
        <w:rPr>
          <w:sz w:val="18"/>
          <w:szCs w:val="18"/>
          <w:vertAlign w:val="superscript"/>
        </w:rPr>
        <w:t>a</w:t>
      </w:r>
      <w:proofErr w:type="gramEnd"/>
      <w:r w:rsidRPr="0046652D">
        <w:rPr>
          <w:sz w:val="18"/>
          <w:szCs w:val="18"/>
        </w:rPr>
        <w:t xml:space="preserve"> Assumes an average of 2 respondents impacted each year over the next 3 years.</w:t>
      </w:r>
    </w:p>
    <w:p w:rsidR="0046652D" w:rsidRPr="0046652D" w:rsidRDefault="0046652D" w:rsidP="009766E4">
      <w:pPr>
        <w:widowControl/>
        <w:ind w:left="-180" w:right="-270"/>
        <w:rPr>
          <w:sz w:val="18"/>
          <w:szCs w:val="18"/>
        </w:rPr>
      </w:pPr>
      <w:r w:rsidRPr="0046652D">
        <w:rPr>
          <w:sz w:val="18"/>
          <w:szCs w:val="18"/>
          <w:vertAlign w:val="superscript"/>
        </w:rPr>
        <w:t>b</w:t>
      </w:r>
      <w:r w:rsidRPr="0046652D">
        <w:rPr>
          <w:sz w:val="18"/>
          <w:szCs w:val="18"/>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“2012 General Schedule” which excludes locality rates of pay</w:t>
      </w:r>
      <w:r>
        <w:rPr>
          <w:sz w:val="18"/>
          <w:szCs w:val="18"/>
        </w:rPr>
        <w:t>.</w:t>
      </w:r>
    </w:p>
    <w:p w:rsidR="0046652D" w:rsidRPr="00DB1CEA" w:rsidRDefault="0046652D" w:rsidP="009766E4">
      <w:pPr>
        <w:widowControl/>
        <w:ind w:left="-180" w:right="-270"/>
        <w:rPr>
          <w:sz w:val="18"/>
          <w:szCs w:val="18"/>
        </w:rPr>
      </w:pPr>
      <w:proofErr w:type="gramStart"/>
      <w:r w:rsidRPr="0046652D">
        <w:rPr>
          <w:sz w:val="18"/>
          <w:szCs w:val="18"/>
          <w:vertAlign w:val="superscript"/>
        </w:rPr>
        <w:t>c</w:t>
      </w:r>
      <w:proofErr w:type="gramEnd"/>
      <w:r w:rsidRPr="0046652D">
        <w:rPr>
          <w:sz w:val="18"/>
          <w:szCs w:val="18"/>
        </w:rPr>
        <w:t xml:space="preserve"> Assumes that it will take EPA personnel 24 hours to</w:t>
      </w:r>
      <w:r>
        <w:rPr>
          <w:sz w:val="18"/>
          <w:szCs w:val="18"/>
        </w:rPr>
        <w:t xml:space="preserve"> attend each performance test.</w:t>
      </w:r>
    </w:p>
    <w:p w:rsidR="0046652D" w:rsidRPr="00DB1CEA" w:rsidRDefault="0046652D" w:rsidP="009766E4">
      <w:pPr>
        <w:widowControl/>
        <w:ind w:left="-180" w:right="-270"/>
        <w:rPr>
          <w:sz w:val="18"/>
          <w:szCs w:val="18"/>
        </w:rPr>
      </w:pPr>
      <w:proofErr w:type="gramStart"/>
      <w:r w:rsidRPr="0046652D">
        <w:rPr>
          <w:sz w:val="18"/>
          <w:szCs w:val="18"/>
          <w:vertAlign w:val="superscript"/>
        </w:rPr>
        <w:t>d</w:t>
      </w:r>
      <w:proofErr w:type="gramEnd"/>
      <w:r w:rsidRPr="0046652D">
        <w:rPr>
          <w:sz w:val="18"/>
          <w:szCs w:val="18"/>
        </w:rPr>
        <w:t xml:space="preserve"> Assumes that 20 percent of respondents will repeat p</w:t>
      </w:r>
      <w:r>
        <w:rPr>
          <w:sz w:val="18"/>
          <w:szCs w:val="18"/>
        </w:rPr>
        <w:t>erformance test due to failure.</w:t>
      </w:r>
    </w:p>
    <w:p w:rsidR="0046652D" w:rsidRDefault="0046652D" w:rsidP="009766E4">
      <w:pPr>
        <w:widowControl/>
        <w:ind w:left="-180" w:right="-270"/>
        <w:rPr>
          <w:sz w:val="18"/>
          <w:szCs w:val="18"/>
        </w:rPr>
      </w:pPr>
      <w:proofErr w:type="gramStart"/>
      <w:r w:rsidRPr="0046652D">
        <w:rPr>
          <w:sz w:val="18"/>
          <w:szCs w:val="18"/>
          <w:vertAlign w:val="superscript"/>
        </w:rPr>
        <w:t>e</w:t>
      </w:r>
      <w:proofErr w:type="gramEnd"/>
      <w:r w:rsidRPr="0046652D">
        <w:rPr>
          <w:sz w:val="18"/>
          <w:szCs w:val="18"/>
        </w:rPr>
        <w:t xml:space="preserve"> Only initial performance tests are included in this first 3-year ICR period. In later years, 5-year repeat t</w:t>
      </w:r>
      <w:r>
        <w:rPr>
          <w:sz w:val="18"/>
          <w:szCs w:val="18"/>
        </w:rPr>
        <w:t>ests will need to be included.</w:t>
      </w:r>
    </w:p>
    <w:p w:rsidR="0046652D" w:rsidRPr="0046652D" w:rsidRDefault="00961BAA" w:rsidP="009766E4">
      <w:pPr>
        <w:widowControl/>
        <w:ind w:left="-180" w:right="-270"/>
        <w:rPr>
          <w:sz w:val="18"/>
          <w:szCs w:val="18"/>
        </w:rPr>
      </w:pPr>
      <w:proofErr w:type="gramStart"/>
      <w:r w:rsidRPr="00961BAA">
        <w:rPr>
          <w:sz w:val="18"/>
          <w:szCs w:val="18"/>
          <w:vertAlign w:val="superscript"/>
        </w:rPr>
        <w:t>f</w:t>
      </w:r>
      <w:proofErr w:type="gramEnd"/>
      <w:r w:rsidR="0046652D" w:rsidRPr="00961BAA">
        <w:rPr>
          <w:sz w:val="18"/>
          <w:szCs w:val="18"/>
          <w:vertAlign w:val="superscript"/>
        </w:rPr>
        <w:t xml:space="preserve"> </w:t>
      </w:r>
      <w:r w:rsidR="0046652D" w:rsidRPr="0046652D">
        <w:rPr>
          <w:sz w:val="18"/>
          <w:szCs w:val="18"/>
        </w:rPr>
        <w:t>Assumes that it will take EPA personnel 4 hours to review each semiannual report and 8 hours to review each excess emissions report</w:t>
      </w:r>
      <w:r w:rsidR="0046652D">
        <w:rPr>
          <w:sz w:val="18"/>
          <w:szCs w:val="18"/>
        </w:rPr>
        <w:t xml:space="preserve"> and malfunction report.</w:t>
      </w:r>
    </w:p>
    <w:p w:rsidR="00DD5A1D" w:rsidRDefault="00961BAA" w:rsidP="009766E4">
      <w:pPr>
        <w:widowControl/>
        <w:ind w:left="-180" w:right="-270"/>
        <w:rPr>
          <w:sz w:val="20"/>
          <w:szCs w:val="20"/>
        </w:rPr>
      </w:pPr>
      <w:proofErr w:type="gramStart"/>
      <w:r>
        <w:rPr>
          <w:sz w:val="18"/>
          <w:szCs w:val="18"/>
          <w:vertAlign w:val="superscript"/>
        </w:rPr>
        <w:t>g</w:t>
      </w:r>
      <w:proofErr w:type="gramEnd"/>
      <w:r w:rsidR="0046652D" w:rsidRPr="0046652D">
        <w:rPr>
          <w:sz w:val="18"/>
          <w:szCs w:val="18"/>
        </w:rPr>
        <w:t xml:space="preserve"> Ongoing activities are based on the average number of respondents per year over the 3-year ICR periods. </w:t>
      </w:r>
      <w:proofErr w:type="gramStart"/>
      <w:r w:rsidR="0046652D" w:rsidRPr="0046652D">
        <w:rPr>
          <w:sz w:val="18"/>
          <w:szCs w:val="18"/>
        </w:rPr>
        <w:t>Year 1 = 2, Year 2 = 2+2 = 4, Year 3 = 2+2+2 = 6.</w:t>
      </w:r>
      <w:proofErr w:type="gramEnd"/>
      <w:r w:rsidR="0046652D" w:rsidRPr="0046652D">
        <w:rPr>
          <w:sz w:val="18"/>
          <w:szCs w:val="18"/>
        </w:rPr>
        <w:t xml:space="preserve"> </w:t>
      </w:r>
      <w:proofErr w:type="gramStart"/>
      <w:r w:rsidR="0046652D" w:rsidRPr="0046652D">
        <w:rPr>
          <w:sz w:val="18"/>
          <w:szCs w:val="18"/>
        </w:rPr>
        <w:t>Average(</w:t>
      </w:r>
      <w:proofErr w:type="gramEnd"/>
      <w:r w:rsidR="0046652D" w:rsidRPr="0046652D">
        <w:rPr>
          <w:sz w:val="18"/>
          <w:szCs w:val="18"/>
        </w:rPr>
        <w:t>2,4,6) = 4 respondents.</w:t>
      </w:r>
    </w:p>
    <w:sectPr w:rsidR="00DD5A1D" w:rsidSect="00B350D2">
      <w:pgSz w:w="15840" w:h="12240" w:orient="landscape" w:code="1"/>
      <w:pgMar w:top="1440" w:right="1440" w:bottom="1440" w:left="1440" w:header="1008"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36E" w:rsidRDefault="0012636E">
      <w:r>
        <w:separator/>
      </w:r>
    </w:p>
  </w:endnote>
  <w:endnote w:type="continuationSeparator" w:id="0">
    <w:p w:rsidR="0012636E" w:rsidRDefault="001263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85" w:rsidRDefault="00ED1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1985" w:rsidRDefault="00ED1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36E" w:rsidRDefault="0012636E">
      <w:r>
        <w:separator/>
      </w:r>
    </w:p>
  </w:footnote>
  <w:footnote w:type="continuationSeparator" w:id="0">
    <w:p w:rsidR="0012636E" w:rsidRDefault="0012636E">
      <w:r>
        <w:continuationSeparator/>
      </w:r>
    </w:p>
  </w:footnote>
  <w:footnote w:id="1">
    <w:p w:rsidR="00ED1985" w:rsidRDefault="00ED1985" w:rsidP="00A02D86">
      <w:pPr>
        <w:pStyle w:val="FootnoteText"/>
      </w:pPr>
      <w:r w:rsidRPr="00357165">
        <w:rPr>
          <w:rStyle w:val="FootnoteReference"/>
          <w:vertAlign w:val="superscript"/>
        </w:rPr>
        <w:footnoteRef/>
      </w:r>
      <w:r>
        <w:t>As of January 2014, Methods 5</w:t>
      </w:r>
      <w:r w:rsidRPr="00A65FDE">
        <w:t>, 17 and 202 are</w:t>
      </w:r>
      <w:r>
        <w:t xml:space="preserve"> the test methods referenced in Subpart </w:t>
      </w:r>
      <w:proofErr w:type="spellStart"/>
      <w:r>
        <w:t>BBa</w:t>
      </w:r>
      <w:proofErr w:type="spellEnd"/>
      <w:r>
        <w:t xml:space="preserve"> that are included in ERT.  Method 16 (and variants) for TRS measurement are not yet supported by ERT.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85" w:rsidRDefault="00ED19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1985" w:rsidRDefault="00ED19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85" w:rsidRDefault="00ED19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7530">
      <w:rPr>
        <w:rStyle w:val="PageNumber"/>
        <w:noProof/>
      </w:rPr>
      <w:t>15</w:t>
    </w:r>
    <w:r>
      <w:rPr>
        <w:rStyle w:val="PageNumber"/>
      </w:rPr>
      <w:fldChar w:fldCharType="end"/>
    </w:r>
  </w:p>
  <w:p w:rsidR="00ED1985" w:rsidRDefault="00ED198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
  <w:rsids>
    <w:rsidRoot w:val="002A58F3"/>
    <w:rsid w:val="00010461"/>
    <w:rsid w:val="00034139"/>
    <w:rsid w:val="0004363E"/>
    <w:rsid w:val="00043919"/>
    <w:rsid w:val="000472EA"/>
    <w:rsid w:val="00066D99"/>
    <w:rsid w:val="000762D1"/>
    <w:rsid w:val="00083D21"/>
    <w:rsid w:val="00084E62"/>
    <w:rsid w:val="000867D7"/>
    <w:rsid w:val="000909E9"/>
    <w:rsid w:val="00091784"/>
    <w:rsid w:val="00091FD4"/>
    <w:rsid w:val="00097873"/>
    <w:rsid w:val="000B2FD0"/>
    <w:rsid w:val="000C148F"/>
    <w:rsid w:val="000D6777"/>
    <w:rsid w:val="000E2483"/>
    <w:rsid w:val="000E32DB"/>
    <w:rsid w:val="000E707E"/>
    <w:rsid w:val="001127B8"/>
    <w:rsid w:val="001259BB"/>
    <w:rsid w:val="0012636E"/>
    <w:rsid w:val="00132366"/>
    <w:rsid w:val="0013406C"/>
    <w:rsid w:val="001541D0"/>
    <w:rsid w:val="0015436D"/>
    <w:rsid w:val="00157975"/>
    <w:rsid w:val="00164C85"/>
    <w:rsid w:val="0016651D"/>
    <w:rsid w:val="00173C0A"/>
    <w:rsid w:val="001767A3"/>
    <w:rsid w:val="00192427"/>
    <w:rsid w:val="001950D7"/>
    <w:rsid w:val="001A0221"/>
    <w:rsid w:val="001C6B2A"/>
    <w:rsid w:val="001D4B72"/>
    <w:rsid w:val="001F66D4"/>
    <w:rsid w:val="00201842"/>
    <w:rsid w:val="00207C2D"/>
    <w:rsid w:val="00217695"/>
    <w:rsid w:val="00236792"/>
    <w:rsid w:val="00250FEF"/>
    <w:rsid w:val="00284BF1"/>
    <w:rsid w:val="00286188"/>
    <w:rsid w:val="00293D34"/>
    <w:rsid w:val="002952CF"/>
    <w:rsid w:val="002A35DD"/>
    <w:rsid w:val="002A58F3"/>
    <w:rsid w:val="002B1324"/>
    <w:rsid w:val="002B3001"/>
    <w:rsid w:val="002C6EE2"/>
    <w:rsid w:val="002D5D2F"/>
    <w:rsid w:val="002D5EE9"/>
    <w:rsid w:val="002D7D70"/>
    <w:rsid w:val="002E165B"/>
    <w:rsid w:val="002E6AF2"/>
    <w:rsid w:val="003145C1"/>
    <w:rsid w:val="00317E21"/>
    <w:rsid w:val="00322276"/>
    <w:rsid w:val="00324DCF"/>
    <w:rsid w:val="00346446"/>
    <w:rsid w:val="00357165"/>
    <w:rsid w:val="00364A4E"/>
    <w:rsid w:val="0036559C"/>
    <w:rsid w:val="00367D1C"/>
    <w:rsid w:val="00374099"/>
    <w:rsid w:val="00390931"/>
    <w:rsid w:val="003963F5"/>
    <w:rsid w:val="0039661A"/>
    <w:rsid w:val="003B67FB"/>
    <w:rsid w:val="003C0DD9"/>
    <w:rsid w:val="003E4A2D"/>
    <w:rsid w:val="003F2AB5"/>
    <w:rsid w:val="00400FE6"/>
    <w:rsid w:val="00447040"/>
    <w:rsid w:val="00455679"/>
    <w:rsid w:val="004641F9"/>
    <w:rsid w:val="00465945"/>
    <w:rsid w:val="0046652D"/>
    <w:rsid w:val="00471FAA"/>
    <w:rsid w:val="00485847"/>
    <w:rsid w:val="00486FC4"/>
    <w:rsid w:val="00495FD1"/>
    <w:rsid w:val="00496C54"/>
    <w:rsid w:val="004C4696"/>
    <w:rsid w:val="004D6BB0"/>
    <w:rsid w:val="004E1B7D"/>
    <w:rsid w:val="004F5109"/>
    <w:rsid w:val="00502A8E"/>
    <w:rsid w:val="00506105"/>
    <w:rsid w:val="00506ED5"/>
    <w:rsid w:val="00511311"/>
    <w:rsid w:val="00535B80"/>
    <w:rsid w:val="00535E81"/>
    <w:rsid w:val="00537891"/>
    <w:rsid w:val="005402C1"/>
    <w:rsid w:val="00550AD3"/>
    <w:rsid w:val="005971B8"/>
    <w:rsid w:val="005A6D6C"/>
    <w:rsid w:val="005B0A75"/>
    <w:rsid w:val="005C5775"/>
    <w:rsid w:val="005D5C24"/>
    <w:rsid w:val="005E146D"/>
    <w:rsid w:val="005E40E7"/>
    <w:rsid w:val="005F0F48"/>
    <w:rsid w:val="005F33FE"/>
    <w:rsid w:val="00603D20"/>
    <w:rsid w:val="00631E38"/>
    <w:rsid w:val="00632EB9"/>
    <w:rsid w:val="006352D8"/>
    <w:rsid w:val="00637AC5"/>
    <w:rsid w:val="0064124A"/>
    <w:rsid w:val="00647B4D"/>
    <w:rsid w:val="00655EEC"/>
    <w:rsid w:val="00663B6A"/>
    <w:rsid w:val="00672D9D"/>
    <w:rsid w:val="00677E81"/>
    <w:rsid w:val="00694F69"/>
    <w:rsid w:val="006C0D8A"/>
    <w:rsid w:val="006C40CA"/>
    <w:rsid w:val="006D26ED"/>
    <w:rsid w:val="006D650C"/>
    <w:rsid w:val="006E543E"/>
    <w:rsid w:val="006E746B"/>
    <w:rsid w:val="006F25C1"/>
    <w:rsid w:val="00705041"/>
    <w:rsid w:val="00707530"/>
    <w:rsid w:val="00730433"/>
    <w:rsid w:val="00731602"/>
    <w:rsid w:val="00737371"/>
    <w:rsid w:val="00753538"/>
    <w:rsid w:val="007559E7"/>
    <w:rsid w:val="00757A57"/>
    <w:rsid w:val="00772110"/>
    <w:rsid w:val="00795B40"/>
    <w:rsid w:val="00797211"/>
    <w:rsid w:val="007A0094"/>
    <w:rsid w:val="007A1FD5"/>
    <w:rsid w:val="007A6E42"/>
    <w:rsid w:val="007B0A6E"/>
    <w:rsid w:val="007B0DDE"/>
    <w:rsid w:val="007C3925"/>
    <w:rsid w:val="007E5EBA"/>
    <w:rsid w:val="007F2E4D"/>
    <w:rsid w:val="00805ABB"/>
    <w:rsid w:val="00806B7E"/>
    <w:rsid w:val="00820119"/>
    <w:rsid w:val="00830567"/>
    <w:rsid w:val="00832FC5"/>
    <w:rsid w:val="00834E49"/>
    <w:rsid w:val="008363A5"/>
    <w:rsid w:val="00847F37"/>
    <w:rsid w:val="00870F45"/>
    <w:rsid w:val="008724AA"/>
    <w:rsid w:val="00881732"/>
    <w:rsid w:val="00893CD1"/>
    <w:rsid w:val="008968A2"/>
    <w:rsid w:val="008A5360"/>
    <w:rsid w:val="008B4A04"/>
    <w:rsid w:val="008C4116"/>
    <w:rsid w:val="008C50C0"/>
    <w:rsid w:val="008C7DA3"/>
    <w:rsid w:val="008D4B8C"/>
    <w:rsid w:val="008E1871"/>
    <w:rsid w:val="008F0B3A"/>
    <w:rsid w:val="00904285"/>
    <w:rsid w:val="00906A84"/>
    <w:rsid w:val="00914934"/>
    <w:rsid w:val="00934458"/>
    <w:rsid w:val="00937827"/>
    <w:rsid w:val="00942619"/>
    <w:rsid w:val="009427CF"/>
    <w:rsid w:val="00946406"/>
    <w:rsid w:val="00947726"/>
    <w:rsid w:val="00947FA2"/>
    <w:rsid w:val="00961BAA"/>
    <w:rsid w:val="009766E4"/>
    <w:rsid w:val="0098077E"/>
    <w:rsid w:val="00984EC0"/>
    <w:rsid w:val="00986BF0"/>
    <w:rsid w:val="009873CA"/>
    <w:rsid w:val="00992957"/>
    <w:rsid w:val="009B2A57"/>
    <w:rsid w:val="009C5C57"/>
    <w:rsid w:val="009C6FE8"/>
    <w:rsid w:val="009D086C"/>
    <w:rsid w:val="009F1509"/>
    <w:rsid w:val="00A02D86"/>
    <w:rsid w:val="00A62930"/>
    <w:rsid w:val="00A65FDE"/>
    <w:rsid w:val="00A76E80"/>
    <w:rsid w:val="00A97FCD"/>
    <w:rsid w:val="00AA3F5E"/>
    <w:rsid w:val="00AB0D9B"/>
    <w:rsid w:val="00AB7C89"/>
    <w:rsid w:val="00AC062E"/>
    <w:rsid w:val="00AD258C"/>
    <w:rsid w:val="00AF0C97"/>
    <w:rsid w:val="00B04A62"/>
    <w:rsid w:val="00B14874"/>
    <w:rsid w:val="00B24B79"/>
    <w:rsid w:val="00B26BCB"/>
    <w:rsid w:val="00B31DB3"/>
    <w:rsid w:val="00B31E4F"/>
    <w:rsid w:val="00B350D2"/>
    <w:rsid w:val="00B40994"/>
    <w:rsid w:val="00B45B26"/>
    <w:rsid w:val="00B51559"/>
    <w:rsid w:val="00B53096"/>
    <w:rsid w:val="00B84FD7"/>
    <w:rsid w:val="00B861E3"/>
    <w:rsid w:val="00B96E96"/>
    <w:rsid w:val="00BB5A18"/>
    <w:rsid w:val="00BB726E"/>
    <w:rsid w:val="00BC1174"/>
    <w:rsid w:val="00BD094F"/>
    <w:rsid w:val="00BD281B"/>
    <w:rsid w:val="00BE0D7F"/>
    <w:rsid w:val="00BE64C7"/>
    <w:rsid w:val="00C03F56"/>
    <w:rsid w:val="00C11E0D"/>
    <w:rsid w:val="00C212ED"/>
    <w:rsid w:val="00C22996"/>
    <w:rsid w:val="00C23D61"/>
    <w:rsid w:val="00C26CDE"/>
    <w:rsid w:val="00C308C7"/>
    <w:rsid w:val="00C36655"/>
    <w:rsid w:val="00C6566D"/>
    <w:rsid w:val="00C71035"/>
    <w:rsid w:val="00C841CC"/>
    <w:rsid w:val="00CA66D7"/>
    <w:rsid w:val="00CB4318"/>
    <w:rsid w:val="00CD1A82"/>
    <w:rsid w:val="00CE51EF"/>
    <w:rsid w:val="00CE713B"/>
    <w:rsid w:val="00CF448D"/>
    <w:rsid w:val="00D06AF6"/>
    <w:rsid w:val="00D11266"/>
    <w:rsid w:val="00D26AB2"/>
    <w:rsid w:val="00D3258E"/>
    <w:rsid w:val="00D444FD"/>
    <w:rsid w:val="00D50CB0"/>
    <w:rsid w:val="00D57163"/>
    <w:rsid w:val="00D5776C"/>
    <w:rsid w:val="00D61C29"/>
    <w:rsid w:val="00D64341"/>
    <w:rsid w:val="00D73F9B"/>
    <w:rsid w:val="00D85ACA"/>
    <w:rsid w:val="00D876F9"/>
    <w:rsid w:val="00D91202"/>
    <w:rsid w:val="00DA252C"/>
    <w:rsid w:val="00DA5D47"/>
    <w:rsid w:val="00DA6FFB"/>
    <w:rsid w:val="00DB1CEA"/>
    <w:rsid w:val="00DB603D"/>
    <w:rsid w:val="00DC1425"/>
    <w:rsid w:val="00DC4915"/>
    <w:rsid w:val="00DC5C08"/>
    <w:rsid w:val="00DC69C2"/>
    <w:rsid w:val="00DD5A1D"/>
    <w:rsid w:val="00DE2041"/>
    <w:rsid w:val="00DF2096"/>
    <w:rsid w:val="00DF5A9A"/>
    <w:rsid w:val="00E21371"/>
    <w:rsid w:val="00E23E81"/>
    <w:rsid w:val="00E31019"/>
    <w:rsid w:val="00E33144"/>
    <w:rsid w:val="00E35769"/>
    <w:rsid w:val="00E363AB"/>
    <w:rsid w:val="00E36549"/>
    <w:rsid w:val="00E55108"/>
    <w:rsid w:val="00E57DD8"/>
    <w:rsid w:val="00E6507C"/>
    <w:rsid w:val="00E756EC"/>
    <w:rsid w:val="00E776E3"/>
    <w:rsid w:val="00EA41DD"/>
    <w:rsid w:val="00EA42B2"/>
    <w:rsid w:val="00EB470D"/>
    <w:rsid w:val="00EB6E5C"/>
    <w:rsid w:val="00EC34EE"/>
    <w:rsid w:val="00ED1985"/>
    <w:rsid w:val="00F07C51"/>
    <w:rsid w:val="00F1350C"/>
    <w:rsid w:val="00F21A0B"/>
    <w:rsid w:val="00F44B44"/>
    <w:rsid w:val="00F5348D"/>
    <w:rsid w:val="00F534CA"/>
    <w:rsid w:val="00F53E3A"/>
    <w:rsid w:val="00F61EE4"/>
    <w:rsid w:val="00F71A15"/>
    <w:rsid w:val="00F87EA0"/>
    <w:rsid w:val="00F9772B"/>
    <w:rsid w:val="00FA28A9"/>
    <w:rsid w:val="00FB0F26"/>
    <w:rsid w:val="00FB6D87"/>
    <w:rsid w:val="00FC31CB"/>
    <w:rsid w:val="00FC41F1"/>
    <w:rsid w:val="00FC7AAF"/>
    <w:rsid w:val="00FD2CC1"/>
    <w:rsid w:val="00FE5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D8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0D8A"/>
  </w:style>
  <w:style w:type="paragraph" w:customStyle="1" w:styleId="WPNormal">
    <w:name w:val="WP_Normal"/>
    <w:basedOn w:val="Normal"/>
    <w:rsid w:val="006C0D8A"/>
    <w:rPr>
      <w:rFonts w:ascii="Times New Roman CYR" w:hAnsi="Times New Roman CYR" w:cs="Times New Roman CYR"/>
      <w:b/>
      <w:bCs/>
    </w:rPr>
  </w:style>
  <w:style w:type="paragraph" w:customStyle="1" w:styleId="Level1">
    <w:name w:val="Level 1"/>
    <w:basedOn w:val="Normal"/>
    <w:rsid w:val="006C0D8A"/>
    <w:pPr>
      <w:ind w:left="240" w:hanging="240"/>
      <w:outlineLvl w:val="0"/>
    </w:pPr>
  </w:style>
  <w:style w:type="paragraph" w:styleId="Header">
    <w:name w:val="header"/>
    <w:basedOn w:val="Normal"/>
    <w:rsid w:val="006C0D8A"/>
    <w:pPr>
      <w:tabs>
        <w:tab w:val="center" w:pos="4320"/>
        <w:tab w:val="right" w:pos="8640"/>
      </w:tabs>
    </w:pPr>
  </w:style>
  <w:style w:type="paragraph" w:styleId="Footer">
    <w:name w:val="footer"/>
    <w:basedOn w:val="Normal"/>
    <w:rsid w:val="006C0D8A"/>
    <w:pPr>
      <w:tabs>
        <w:tab w:val="center" w:pos="4320"/>
        <w:tab w:val="right" w:pos="8640"/>
      </w:tabs>
    </w:pPr>
  </w:style>
  <w:style w:type="character" w:customStyle="1" w:styleId="1">
    <w:name w:val="1"/>
    <w:rsid w:val="006C0D8A"/>
  </w:style>
  <w:style w:type="character" w:styleId="Hyperlink">
    <w:name w:val="Hyperlink"/>
    <w:basedOn w:val="DefaultParagraphFont"/>
    <w:rsid w:val="006C0D8A"/>
    <w:rPr>
      <w:color w:val="0000FF"/>
      <w:u w:val="single"/>
    </w:rPr>
  </w:style>
  <w:style w:type="character" w:styleId="PageNumber">
    <w:name w:val="page number"/>
    <w:basedOn w:val="DefaultParagraphFont"/>
    <w:rsid w:val="006C0D8A"/>
  </w:style>
  <w:style w:type="paragraph" w:styleId="DocumentMap">
    <w:name w:val="Document Map"/>
    <w:basedOn w:val="Normal"/>
    <w:link w:val="DocumentMapChar"/>
    <w:rsid w:val="000E2483"/>
    <w:rPr>
      <w:rFonts w:ascii="Tahoma" w:hAnsi="Tahoma" w:cs="Tahoma"/>
      <w:sz w:val="16"/>
      <w:szCs w:val="16"/>
    </w:rPr>
  </w:style>
  <w:style w:type="character" w:customStyle="1" w:styleId="DocumentMapChar">
    <w:name w:val="Document Map Char"/>
    <w:basedOn w:val="DefaultParagraphFont"/>
    <w:link w:val="DocumentMap"/>
    <w:rsid w:val="000E2483"/>
    <w:rPr>
      <w:rFonts w:ascii="Tahoma" w:hAnsi="Tahoma" w:cs="Tahoma"/>
      <w:sz w:val="16"/>
      <w:szCs w:val="16"/>
      <w:lang w:eastAsia="zh-CN"/>
    </w:rPr>
  </w:style>
  <w:style w:type="paragraph" w:styleId="BalloonText">
    <w:name w:val="Balloon Text"/>
    <w:basedOn w:val="Normal"/>
    <w:link w:val="BalloonTextChar"/>
    <w:rsid w:val="000762D1"/>
    <w:rPr>
      <w:rFonts w:ascii="Tahoma" w:hAnsi="Tahoma" w:cs="Tahoma"/>
      <w:sz w:val="16"/>
      <w:szCs w:val="16"/>
    </w:rPr>
  </w:style>
  <w:style w:type="character" w:customStyle="1" w:styleId="BalloonTextChar">
    <w:name w:val="Balloon Text Char"/>
    <w:basedOn w:val="DefaultParagraphFont"/>
    <w:link w:val="BalloonText"/>
    <w:rsid w:val="000762D1"/>
    <w:rPr>
      <w:rFonts w:ascii="Tahoma" w:hAnsi="Tahoma" w:cs="Tahoma"/>
      <w:sz w:val="16"/>
      <w:szCs w:val="16"/>
      <w:lang w:eastAsia="zh-CN"/>
    </w:rPr>
  </w:style>
  <w:style w:type="character" w:styleId="CommentReference">
    <w:name w:val="annotation reference"/>
    <w:basedOn w:val="DefaultParagraphFont"/>
    <w:rsid w:val="00F61EE4"/>
    <w:rPr>
      <w:sz w:val="16"/>
      <w:szCs w:val="16"/>
    </w:rPr>
  </w:style>
  <w:style w:type="paragraph" w:styleId="CommentText">
    <w:name w:val="annotation text"/>
    <w:basedOn w:val="Normal"/>
    <w:link w:val="CommentTextChar"/>
    <w:rsid w:val="00F61EE4"/>
    <w:rPr>
      <w:sz w:val="20"/>
      <w:szCs w:val="20"/>
    </w:rPr>
  </w:style>
  <w:style w:type="character" w:customStyle="1" w:styleId="CommentTextChar">
    <w:name w:val="Comment Text Char"/>
    <w:basedOn w:val="DefaultParagraphFont"/>
    <w:link w:val="CommentText"/>
    <w:rsid w:val="00F61EE4"/>
    <w:rPr>
      <w:lang w:eastAsia="zh-CN"/>
    </w:rPr>
  </w:style>
  <w:style w:type="paragraph" w:styleId="CommentSubject">
    <w:name w:val="annotation subject"/>
    <w:basedOn w:val="CommentText"/>
    <w:next w:val="CommentText"/>
    <w:link w:val="CommentSubjectChar"/>
    <w:rsid w:val="00F61EE4"/>
    <w:rPr>
      <w:b/>
      <w:bCs/>
    </w:rPr>
  </w:style>
  <w:style w:type="character" w:customStyle="1" w:styleId="CommentSubjectChar">
    <w:name w:val="Comment Subject Char"/>
    <w:basedOn w:val="CommentTextChar"/>
    <w:link w:val="CommentSubject"/>
    <w:rsid w:val="00F61EE4"/>
    <w:rPr>
      <w:b/>
      <w:bCs/>
      <w:lang w:eastAsia="zh-CN"/>
    </w:rPr>
  </w:style>
  <w:style w:type="character" w:customStyle="1" w:styleId="st">
    <w:name w:val="st"/>
    <w:basedOn w:val="DefaultParagraphFont"/>
    <w:rsid w:val="00010461"/>
  </w:style>
  <w:style w:type="table" w:styleId="TableGrid">
    <w:name w:val="Table Grid"/>
    <w:basedOn w:val="TableNormal"/>
    <w:rsid w:val="001543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E57DD8"/>
    <w:rPr>
      <w:color w:val="800080" w:themeColor="followedHyperlink"/>
      <w:u w:val="single"/>
    </w:rPr>
  </w:style>
  <w:style w:type="paragraph" w:styleId="FootnoteText">
    <w:name w:val="footnote text"/>
    <w:basedOn w:val="Normal"/>
    <w:link w:val="FootnoteTextChar"/>
    <w:rsid w:val="00A02D86"/>
    <w:rPr>
      <w:sz w:val="20"/>
      <w:szCs w:val="20"/>
    </w:rPr>
  </w:style>
  <w:style w:type="character" w:customStyle="1" w:styleId="FootnoteTextChar">
    <w:name w:val="Footnote Text Char"/>
    <w:basedOn w:val="DefaultParagraphFont"/>
    <w:link w:val="FootnoteText"/>
    <w:rsid w:val="00A02D86"/>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D8A"/>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0D8A"/>
  </w:style>
  <w:style w:type="paragraph" w:customStyle="1" w:styleId="WPNormal">
    <w:name w:val="WP_Normal"/>
    <w:basedOn w:val="Normal"/>
    <w:rsid w:val="006C0D8A"/>
    <w:rPr>
      <w:rFonts w:ascii="Times New Roman CYR" w:hAnsi="Times New Roman CYR" w:cs="Times New Roman CYR"/>
      <w:b/>
      <w:bCs/>
    </w:rPr>
  </w:style>
  <w:style w:type="paragraph" w:customStyle="1" w:styleId="Level1">
    <w:name w:val="Level 1"/>
    <w:basedOn w:val="Normal"/>
    <w:rsid w:val="006C0D8A"/>
    <w:pPr>
      <w:ind w:left="240" w:hanging="240"/>
      <w:outlineLvl w:val="0"/>
    </w:pPr>
  </w:style>
  <w:style w:type="paragraph" w:styleId="Header">
    <w:name w:val="header"/>
    <w:basedOn w:val="Normal"/>
    <w:rsid w:val="006C0D8A"/>
    <w:pPr>
      <w:tabs>
        <w:tab w:val="center" w:pos="4320"/>
        <w:tab w:val="right" w:pos="8640"/>
      </w:tabs>
    </w:pPr>
  </w:style>
  <w:style w:type="paragraph" w:styleId="Footer">
    <w:name w:val="footer"/>
    <w:basedOn w:val="Normal"/>
    <w:rsid w:val="006C0D8A"/>
    <w:pPr>
      <w:tabs>
        <w:tab w:val="center" w:pos="4320"/>
        <w:tab w:val="right" w:pos="8640"/>
      </w:tabs>
    </w:pPr>
  </w:style>
  <w:style w:type="character" w:customStyle="1" w:styleId="1">
    <w:name w:val="1"/>
    <w:rsid w:val="006C0D8A"/>
  </w:style>
  <w:style w:type="character" w:styleId="Hyperlink">
    <w:name w:val="Hyperlink"/>
    <w:basedOn w:val="DefaultParagraphFont"/>
    <w:rsid w:val="006C0D8A"/>
    <w:rPr>
      <w:color w:val="0000FF"/>
      <w:u w:val="single"/>
    </w:rPr>
  </w:style>
  <w:style w:type="character" w:styleId="PageNumber">
    <w:name w:val="page number"/>
    <w:basedOn w:val="DefaultParagraphFont"/>
    <w:rsid w:val="006C0D8A"/>
  </w:style>
  <w:style w:type="paragraph" w:styleId="DocumentMap">
    <w:name w:val="Document Map"/>
    <w:basedOn w:val="Normal"/>
    <w:link w:val="DocumentMapChar"/>
    <w:rsid w:val="000E2483"/>
    <w:rPr>
      <w:rFonts w:ascii="Tahoma" w:hAnsi="Tahoma" w:cs="Tahoma"/>
      <w:sz w:val="16"/>
      <w:szCs w:val="16"/>
    </w:rPr>
  </w:style>
  <w:style w:type="character" w:customStyle="1" w:styleId="DocumentMapChar">
    <w:name w:val="Document Map Char"/>
    <w:basedOn w:val="DefaultParagraphFont"/>
    <w:link w:val="DocumentMap"/>
    <w:rsid w:val="000E2483"/>
    <w:rPr>
      <w:rFonts w:ascii="Tahoma" w:hAnsi="Tahoma" w:cs="Tahoma"/>
      <w:sz w:val="16"/>
      <w:szCs w:val="16"/>
      <w:lang w:eastAsia="zh-CN"/>
    </w:rPr>
  </w:style>
  <w:style w:type="paragraph" w:styleId="BalloonText">
    <w:name w:val="Balloon Text"/>
    <w:basedOn w:val="Normal"/>
    <w:link w:val="BalloonTextChar"/>
    <w:rsid w:val="000762D1"/>
    <w:rPr>
      <w:rFonts w:ascii="Tahoma" w:hAnsi="Tahoma" w:cs="Tahoma"/>
      <w:sz w:val="16"/>
      <w:szCs w:val="16"/>
    </w:rPr>
  </w:style>
  <w:style w:type="character" w:customStyle="1" w:styleId="BalloonTextChar">
    <w:name w:val="Balloon Text Char"/>
    <w:basedOn w:val="DefaultParagraphFont"/>
    <w:link w:val="BalloonText"/>
    <w:rsid w:val="000762D1"/>
    <w:rPr>
      <w:rFonts w:ascii="Tahoma" w:hAnsi="Tahoma" w:cs="Tahoma"/>
      <w:sz w:val="16"/>
      <w:szCs w:val="16"/>
      <w:lang w:eastAsia="zh-CN"/>
    </w:rPr>
  </w:style>
  <w:style w:type="character" w:styleId="CommentReference">
    <w:name w:val="annotation reference"/>
    <w:basedOn w:val="DefaultParagraphFont"/>
    <w:rsid w:val="00F61EE4"/>
    <w:rPr>
      <w:sz w:val="16"/>
      <w:szCs w:val="16"/>
    </w:rPr>
  </w:style>
  <w:style w:type="paragraph" w:styleId="CommentText">
    <w:name w:val="annotation text"/>
    <w:basedOn w:val="Normal"/>
    <w:link w:val="CommentTextChar"/>
    <w:rsid w:val="00F61EE4"/>
    <w:rPr>
      <w:sz w:val="20"/>
      <w:szCs w:val="20"/>
    </w:rPr>
  </w:style>
  <w:style w:type="character" w:customStyle="1" w:styleId="CommentTextChar">
    <w:name w:val="Comment Text Char"/>
    <w:basedOn w:val="DefaultParagraphFont"/>
    <w:link w:val="CommentText"/>
    <w:rsid w:val="00F61EE4"/>
    <w:rPr>
      <w:lang w:eastAsia="zh-CN"/>
    </w:rPr>
  </w:style>
  <w:style w:type="paragraph" w:styleId="CommentSubject">
    <w:name w:val="annotation subject"/>
    <w:basedOn w:val="CommentText"/>
    <w:next w:val="CommentText"/>
    <w:link w:val="CommentSubjectChar"/>
    <w:rsid w:val="00F61EE4"/>
    <w:rPr>
      <w:b/>
      <w:bCs/>
    </w:rPr>
  </w:style>
  <w:style w:type="character" w:customStyle="1" w:styleId="CommentSubjectChar">
    <w:name w:val="Comment Subject Char"/>
    <w:basedOn w:val="CommentTextChar"/>
    <w:link w:val="CommentSubject"/>
    <w:rsid w:val="00F61EE4"/>
    <w:rPr>
      <w:b/>
      <w:bCs/>
      <w:lang w:eastAsia="zh-CN"/>
    </w:rPr>
  </w:style>
  <w:style w:type="character" w:customStyle="1" w:styleId="st">
    <w:name w:val="st"/>
    <w:basedOn w:val="DefaultParagraphFont"/>
    <w:rsid w:val="00010461"/>
  </w:style>
  <w:style w:type="table" w:styleId="TableGrid">
    <w:name w:val="Table Grid"/>
    <w:basedOn w:val="TableNormal"/>
    <w:rsid w:val="001543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rsid w:val="00E57DD8"/>
    <w:rPr>
      <w:color w:val="800080" w:themeColor="followedHyperlink"/>
      <w:u w:val="single"/>
    </w:rPr>
  </w:style>
  <w:style w:type="paragraph" w:styleId="FootnoteText">
    <w:name w:val="footnote text"/>
    <w:basedOn w:val="Normal"/>
    <w:link w:val="FootnoteTextChar"/>
    <w:rsid w:val="00A02D86"/>
    <w:rPr>
      <w:sz w:val="20"/>
      <w:szCs w:val="20"/>
    </w:rPr>
  </w:style>
  <w:style w:type="character" w:customStyle="1" w:styleId="FootnoteTextChar">
    <w:name w:val="Footnote Text Char"/>
    <w:basedOn w:val="DefaultParagraphFont"/>
    <w:link w:val="FootnoteText"/>
    <w:rsid w:val="00A02D86"/>
    <w:rPr>
      <w:lang w:eastAsia="zh-CN"/>
    </w:rPr>
  </w:style>
</w:styles>
</file>

<file path=word/webSettings.xml><?xml version="1.0" encoding="utf-8"?>
<w:webSettings xmlns:r="http://schemas.openxmlformats.org/officeDocument/2006/relationships" xmlns:w="http://schemas.openxmlformats.org/wordprocessingml/2006/main">
  <w:divs>
    <w:div w:id="43797724">
      <w:bodyDiv w:val="1"/>
      <w:marLeft w:val="0"/>
      <w:marRight w:val="0"/>
      <w:marTop w:val="0"/>
      <w:marBottom w:val="0"/>
      <w:divBdr>
        <w:top w:val="none" w:sz="0" w:space="0" w:color="auto"/>
        <w:left w:val="none" w:sz="0" w:space="0" w:color="auto"/>
        <w:bottom w:val="none" w:sz="0" w:space="0" w:color="auto"/>
        <w:right w:val="none" w:sz="0" w:space="0" w:color="auto"/>
      </w:divBdr>
    </w:div>
    <w:div w:id="279386139">
      <w:bodyDiv w:val="1"/>
      <w:marLeft w:val="0"/>
      <w:marRight w:val="0"/>
      <w:marTop w:val="0"/>
      <w:marBottom w:val="0"/>
      <w:divBdr>
        <w:top w:val="none" w:sz="0" w:space="0" w:color="auto"/>
        <w:left w:val="none" w:sz="0" w:space="0" w:color="auto"/>
        <w:bottom w:val="none" w:sz="0" w:space="0" w:color="auto"/>
        <w:right w:val="none" w:sz="0" w:space="0" w:color="auto"/>
      </w:divBdr>
    </w:div>
    <w:div w:id="392847651">
      <w:bodyDiv w:val="1"/>
      <w:marLeft w:val="0"/>
      <w:marRight w:val="0"/>
      <w:marTop w:val="0"/>
      <w:marBottom w:val="0"/>
      <w:divBdr>
        <w:top w:val="none" w:sz="0" w:space="0" w:color="auto"/>
        <w:left w:val="none" w:sz="0" w:space="0" w:color="auto"/>
        <w:bottom w:val="none" w:sz="0" w:space="0" w:color="auto"/>
        <w:right w:val="none" w:sz="0" w:space="0" w:color="auto"/>
      </w:divBdr>
    </w:div>
    <w:div w:id="579948542">
      <w:bodyDiv w:val="1"/>
      <w:marLeft w:val="0"/>
      <w:marRight w:val="0"/>
      <w:marTop w:val="0"/>
      <w:marBottom w:val="0"/>
      <w:divBdr>
        <w:top w:val="none" w:sz="0" w:space="0" w:color="auto"/>
        <w:left w:val="none" w:sz="0" w:space="0" w:color="auto"/>
        <w:bottom w:val="none" w:sz="0" w:space="0" w:color="auto"/>
        <w:right w:val="none" w:sz="0" w:space="0" w:color="auto"/>
      </w:divBdr>
    </w:div>
    <w:div w:id="1239285896">
      <w:bodyDiv w:val="1"/>
      <w:marLeft w:val="0"/>
      <w:marRight w:val="0"/>
      <w:marTop w:val="0"/>
      <w:marBottom w:val="0"/>
      <w:divBdr>
        <w:top w:val="none" w:sz="0" w:space="0" w:color="auto"/>
        <w:left w:val="none" w:sz="0" w:space="0" w:color="auto"/>
        <w:bottom w:val="none" w:sz="0" w:space="0" w:color="auto"/>
        <w:right w:val="none" w:sz="0" w:space="0" w:color="auto"/>
      </w:divBdr>
    </w:div>
    <w:div w:id="20442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t02.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12tables/html/gs_h.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D929-C5A2-41AF-965F-5849AD55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5745</Words>
  <Characters>32752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38421</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BSmith</dc:creator>
  <cp:lastModifiedBy>Courtney Kerwin</cp:lastModifiedBy>
  <cp:revision>2</cp:revision>
  <cp:lastPrinted>2009-02-24T14:02:00Z</cp:lastPrinted>
  <dcterms:created xsi:type="dcterms:W3CDTF">2014-03-20T17:11:00Z</dcterms:created>
  <dcterms:modified xsi:type="dcterms:W3CDTF">2014-03-20T17:11:00Z</dcterms:modified>
</cp:coreProperties>
</file>