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860" w:rsidRDefault="00C82919" w:rsidP="00C82919">
      <w:pPr>
        <w:jc w:val="center"/>
        <w:rPr>
          <w:b/>
        </w:rPr>
      </w:pPr>
      <w:bookmarkStart w:id="0" w:name="_GoBack"/>
      <w:bookmarkEnd w:id="0"/>
      <w:r w:rsidRPr="00C82919">
        <w:rPr>
          <w:b/>
        </w:rPr>
        <w:t xml:space="preserve">Supporting Statement: </w:t>
      </w:r>
    </w:p>
    <w:p w:rsidR="006854D4" w:rsidRDefault="006854D4" w:rsidP="00C82919">
      <w:pPr>
        <w:jc w:val="center"/>
        <w:rPr>
          <w:b/>
        </w:rPr>
      </w:pPr>
      <w:r w:rsidRPr="006854D4">
        <w:rPr>
          <w:b/>
        </w:rPr>
        <w:t xml:space="preserve">Weatherization Assistance Program </w:t>
      </w:r>
      <w:r>
        <w:rPr>
          <w:b/>
        </w:rPr>
        <w:t>S</w:t>
      </w:r>
      <w:r w:rsidRPr="006854D4">
        <w:rPr>
          <w:b/>
        </w:rPr>
        <w:t>ub-programs</w:t>
      </w:r>
    </w:p>
    <w:p w:rsidR="00C82919" w:rsidRDefault="00C82919" w:rsidP="00C82919">
      <w:pPr>
        <w:jc w:val="center"/>
        <w:rPr>
          <w:b/>
          <w:u w:val="single"/>
        </w:rPr>
      </w:pPr>
      <w:r w:rsidRPr="00C82919">
        <w:rPr>
          <w:b/>
        </w:rPr>
        <w:t xml:space="preserve">OMB </w:t>
      </w:r>
      <w:r w:rsidRPr="006A2410">
        <w:rPr>
          <w:b/>
        </w:rPr>
        <w:t>Control Number</w:t>
      </w:r>
      <w:r w:rsidR="00572AF2" w:rsidRPr="006A2410">
        <w:rPr>
          <w:b/>
        </w:rPr>
        <w:t>:</w:t>
      </w:r>
      <w:r w:rsidRPr="006A2410">
        <w:rPr>
          <w:b/>
        </w:rPr>
        <w:t xml:space="preserve"> </w:t>
      </w:r>
      <w:r w:rsidRPr="00C276F1">
        <w:rPr>
          <w:b/>
          <w:u w:val="single"/>
        </w:rPr>
        <w:t>1910-</w:t>
      </w:r>
      <w:r w:rsidR="00C240F5">
        <w:rPr>
          <w:b/>
          <w:u w:val="single"/>
        </w:rPr>
        <w:t>5157</w:t>
      </w:r>
    </w:p>
    <w:p w:rsidR="00803356" w:rsidRPr="00C82919" w:rsidRDefault="00803356" w:rsidP="00C82919">
      <w:pPr>
        <w:jc w:val="center"/>
        <w:rPr>
          <w:b/>
        </w:rPr>
      </w:pPr>
    </w:p>
    <w:p w:rsidR="00123C4A" w:rsidRDefault="00123C4A"/>
    <w:p w:rsidR="00123C4A" w:rsidRDefault="00123C4A" w:rsidP="00123C4A">
      <w:pPr>
        <w:numPr>
          <w:ilvl w:val="0"/>
          <w:numId w:val="1"/>
        </w:numPr>
        <w:rPr>
          <w:b/>
          <w:u w:val="single"/>
        </w:rPr>
      </w:pPr>
      <w:r w:rsidRPr="00123C4A">
        <w:rPr>
          <w:b/>
          <w:u w:val="single"/>
        </w:rPr>
        <w:t xml:space="preserve">Explain the circumstances that make the collection of information necessary. </w:t>
      </w:r>
    </w:p>
    <w:p w:rsidR="00B04E10" w:rsidRDefault="00B04E10" w:rsidP="005170D9"/>
    <w:p w:rsidR="00B04E10" w:rsidRDefault="00B04E10" w:rsidP="00B04E10">
      <w:pPr>
        <w:ind w:left="720"/>
      </w:pPr>
      <w:r>
        <w:t xml:space="preserve">The </w:t>
      </w:r>
      <w:r w:rsidRPr="00A66860">
        <w:t xml:space="preserve">Department of Energy (DOE) requires collection </w:t>
      </w:r>
      <w:r w:rsidR="00652B68">
        <w:t xml:space="preserve">for sub-programs to the Weatherization Assistance Program that were funded through the </w:t>
      </w:r>
      <w:r w:rsidR="00652B68" w:rsidRPr="005A1B3E">
        <w:t xml:space="preserve">American Recovery and Reinvestment </w:t>
      </w:r>
      <w:r w:rsidR="00652B68" w:rsidRPr="00C276F1">
        <w:t>Act of 2009 (ARRA</w:t>
      </w:r>
      <w:r w:rsidR="00652B68" w:rsidRPr="005A1B3E">
        <w:t>)</w:t>
      </w:r>
      <w:r w:rsidR="00652B68">
        <w:t xml:space="preserve"> and Fiscal Year 2010 Congressional appropriation, the Sustainable Energy Resources for Consumers (SERC), Weatherization Training Centers (WTC), and Weatherization Innovation Pilot Program (WIPP). This will allow DOE to meet the </w:t>
      </w:r>
      <w:r>
        <w:t>OMB requirements for (1</w:t>
      </w:r>
      <w:r w:rsidRPr="005A1B3E">
        <w:t>) grant and</w:t>
      </w:r>
      <w:r>
        <w:t xml:space="preserve"> </w:t>
      </w:r>
      <w:r w:rsidRPr="005A1B3E">
        <w:t xml:space="preserve">financial administration, and (2) </w:t>
      </w:r>
      <w:r w:rsidR="00652B68">
        <w:t>ARRA</w:t>
      </w:r>
      <w:r>
        <w:t xml:space="preserve"> </w:t>
      </w:r>
      <w:r w:rsidRPr="005A1B3E">
        <w:t>funds. DOE provides Federal financial assistance and technical support to states and</w:t>
      </w:r>
      <w:r>
        <w:t xml:space="preserve"> </w:t>
      </w:r>
      <w:r w:rsidRPr="005A1B3E">
        <w:t>local governments under the</w:t>
      </w:r>
      <w:r>
        <w:t xml:space="preserve"> </w:t>
      </w:r>
      <w:r w:rsidR="000A39C9">
        <w:t xml:space="preserve">Energy Independence and Security Act of </w:t>
      </w:r>
      <w:r w:rsidR="000A39C9" w:rsidRPr="009E6CE6">
        <w:t>2007</w:t>
      </w:r>
      <w:r w:rsidR="004B22D8" w:rsidRPr="009E6CE6">
        <w:t xml:space="preserve"> (</w:t>
      </w:r>
      <w:r w:rsidRPr="009E6CE6">
        <w:t>EISA</w:t>
      </w:r>
      <w:r w:rsidR="004B22D8" w:rsidRPr="009E6CE6">
        <w:t>)</w:t>
      </w:r>
      <w:r w:rsidR="00652B68">
        <w:t xml:space="preserve">, ARRA, </w:t>
      </w:r>
      <w:r w:rsidR="00D24BFB">
        <w:t>Energy Policy Act of 2005, and Energy and Water Development Appropriations Act for Fiscal Year 2010</w:t>
      </w:r>
      <w:r w:rsidRPr="009E6CE6">
        <w:t>. Information</w:t>
      </w:r>
      <w:r w:rsidRPr="005A1B3E">
        <w:t xml:space="preserve"> </w:t>
      </w:r>
      <w:r>
        <w:t>gathered provides current inform</w:t>
      </w:r>
      <w:r w:rsidRPr="005A1B3E">
        <w:t>ation</w:t>
      </w:r>
      <w:r>
        <w:t xml:space="preserve"> </w:t>
      </w:r>
      <w:r w:rsidRPr="005A1B3E">
        <w:t>required to respond to OMB, congressional and consumer requests and budget</w:t>
      </w:r>
      <w:r>
        <w:t xml:space="preserve"> </w:t>
      </w:r>
      <w:r w:rsidRPr="005A1B3E">
        <w:t>preparation.</w:t>
      </w:r>
    </w:p>
    <w:p w:rsidR="00B04E10" w:rsidRDefault="00B04E10" w:rsidP="00B04E10">
      <w:pPr>
        <w:ind w:left="720"/>
      </w:pPr>
    </w:p>
    <w:p w:rsidR="00247145" w:rsidRDefault="00247145" w:rsidP="00A014B8">
      <w:pPr>
        <w:ind w:left="720"/>
      </w:pPr>
      <w:r>
        <w:t>These three subprograms represent</w:t>
      </w:r>
      <w:r w:rsidR="00E351BE">
        <w:t>ed</w:t>
      </w:r>
      <w:r>
        <w:t xml:space="preserve"> 77 grantees and approximately $150 million that will be support</w:t>
      </w:r>
      <w:r w:rsidR="00E351BE">
        <w:t>ed</w:t>
      </w:r>
      <w:r>
        <w:t xml:space="preserve"> and advanc</w:t>
      </w:r>
      <w:r w:rsidR="00E351BE">
        <w:t>ed</w:t>
      </w:r>
      <w:r>
        <w:t xml:space="preserve"> the Weatherization Assistance Program through new technologies, advanced training of workforce, and testing innovative delivery models to leverage federal funding.  Each of these programs </w:t>
      </w:r>
      <w:r w:rsidR="00E351BE">
        <w:t>reflected a</w:t>
      </w:r>
      <w:r w:rsidR="00A014B8">
        <w:t xml:space="preserve"> new and a</w:t>
      </w:r>
      <w:r>
        <w:t xml:space="preserve"> Congressional and Departmental priorit</w:t>
      </w:r>
      <w:r w:rsidR="00A014B8">
        <w:t>y</w:t>
      </w:r>
      <w:r w:rsidR="00E351BE">
        <w:t xml:space="preserve"> in 2009/2010</w:t>
      </w:r>
      <w:r>
        <w:t>, and there is a need to collect relevant information to ensure the funds are expended appropriately and prudently.  Recognizing the additional burden this place</w:t>
      </w:r>
      <w:r w:rsidR="00E351BE">
        <w:t>d</w:t>
      </w:r>
      <w:r>
        <w:t xml:space="preserve"> on these 77 grantees, DOE request</w:t>
      </w:r>
      <w:r w:rsidR="00E351BE">
        <w:t>ed</w:t>
      </w:r>
      <w:r>
        <w:t xml:space="preserve"> only quarterly reporting on these activities.</w:t>
      </w:r>
    </w:p>
    <w:p w:rsidR="00E351BE" w:rsidRDefault="00E351BE" w:rsidP="00A014B8">
      <w:pPr>
        <w:ind w:left="720"/>
      </w:pPr>
    </w:p>
    <w:p w:rsidR="00E351BE" w:rsidRDefault="00E351BE" w:rsidP="00A014B8">
      <w:pPr>
        <w:ind w:left="720"/>
      </w:pPr>
      <w:r>
        <w:t>At the expiration of the original 3year</w:t>
      </w:r>
      <w:r w:rsidR="00C240F5">
        <w:t xml:space="preserve"> approval</w:t>
      </w:r>
      <w:r>
        <w:t xml:space="preserve"> period, 17 awards of the original 77 will remain. DOE requests that the reporting on these awards continue until these awards have successfully been completed and closed-out. </w:t>
      </w:r>
    </w:p>
    <w:p w:rsidR="00466143" w:rsidRPr="00123C4A" w:rsidRDefault="00466143" w:rsidP="00A942A1">
      <w:pPr>
        <w:rPr>
          <w:i/>
        </w:rPr>
      </w:pPr>
    </w:p>
    <w:p w:rsidR="00123C4A" w:rsidRDefault="00123C4A" w:rsidP="00123C4A">
      <w:pPr>
        <w:numPr>
          <w:ilvl w:val="0"/>
          <w:numId w:val="1"/>
        </w:numPr>
        <w:rPr>
          <w:b/>
          <w:u w:val="single"/>
        </w:rPr>
      </w:pPr>
      <w:r w:rsidRPr="00E65FC8">
        <w:rPr>
          <w:b/>
          <w:u w:val="single"/>
        </w:rPr>
        <w:t>Indicate how, by whom, and for what purpose the information is to be used.</w:t>
      </w:r>
    </w:p>
    <w:p w:rsidR="00A50E5F" w:rsidRDefault="00A50E5F" w:rsidP="00905370">
      <w:pPr>
        <w:rPr>
          <w:b/>
          <w:i/>
        </w:rPr>
      </w:pPr>
    </w:p>
    <w:p w:rsidR="00B04E10" w:rsidRPr="00A66860" w:rsidRDefault="00B04E10" w:rsidP="00B04E10">
      <w:pPr>
        <w:ind w:left="720"/>
      </w:pPr>
      <w:r>
        <w:t xml:space="preserve">The information collected will be used by program staff to track the recipients’ </w:t>
      </w:r>
      <w:r w:rsidR="00E351BE">
        <w:t>WTC</w:t>
      </w:r>
      <w:r w:rsidR="00247145">
        <w:t xml:space="preserve"> and WIPP</w:t>
      </w:r>
      <w:r w:rsidR="00D867EA">
        <w:t xml:space="preserve"> </w:t>
      </w:r>
      <w:r>
        <w:t>activities, their progress in achieving scheduled milestones, and funds expended (including expenditure rates).  The information also enables program staff to provide required or requested information on program activities to OMB, Congress and the public.</w:t>
      </w:r>
    </w:p>
    <w:p w:rsidR="00486E8E" w:rsidRPr="00E65FC8" w:rsidRDefault="00486E8E" w:rsidP="00905370">
      <w:pPr>
        <w:rPr>
          <w:i/>
        </w:rPr>
      </w:pPr>
    </w:p>
    <w:p w:rsidR="00123C4A" w:rsidRDefault="00123C4A" w:rsidP="00123C4A">
      <w:pPr>
        <w:numPr>
          <w:ilvl w:val="0"/>
          <w:numId w:val="1"/>
        </w:numPr>
        <w:rPr>
          <w:b/>
          <w:u w:val="single"/>
        </w:rPr>
      </w:pPr>
      <w:r w:rsidRPr="00486E8E">
        <w:rPr>
          <w:b/>
          <w:u w:val="single"/>
        </w:rPr>
        <w:t xml:space="preserve">Describe whether, and to what extent, the collection of information involves the use of automated, electronic, mechanical, or other technological collection techniques or other forms of information technology. </w:t>
      </w:r>
    </w:p>
    <w:p w:rsidR="00C46F0F" w:rsidRDefault="00C46F0F" w:rsidP="00905370"/>
    <w:p w:rsidR="00A014B8" w:rsidRDefault="00B04E10" w:rsidP="00E351BE">
      <w:pPr>
        <w:autoSpaceDE w:val="0"/>
        <w:autoSpaceDN w:val="0"/>
        <w:adjustRightInd w:val="0"/>
        <w:ind w:left="720" w:right="720"/>
      </w:pPr>
      <w:r w:rsidRPr="005A1B3E">
        <w:t>The collection of</w:t>
      </w:r>
      <w:r>
        <w:t xml:space="preserve"> </w:t>
      </w:r>
      <w:r w:rsidRPr="005A1B3E">
        <w:t xml:space="preserve">the information </w:t>
      </w:r>
      <w:r w:rsidR="00E61A3E">
        <w:t>has been</w:t>
      </w:r>
      <w:r w:rsidRPr="005A1B3E">
        <w:t xml:space="preserve"> standardized to provide database collection</w:t>
      </w:r>
      <w:r>
        <w:t xml:space="preserve"> and </w:t>
      </w:r>
      <w:r w:rsidRPr="005A1B3E">
        <w:t xml:space="preserve">retrieval of program </w:t>
      </w:r>
      <w:r>
        <w:t>information</w:t>
      </w:r>
      <w:r w:rsidRPr="005A1B3E">
        <w:t xml:space="preserve"> through</w:t>
      </w:r>
      <w:r w:rsidR="00107051">
        <w:t xml:space="preserve"> the </w:t>
      </w:r>
      <w:r w:rsidRPr="005A1B3E">
        <w:t>Performance and Accountability for Grants</w:t>
      </w:r>
      <w:r>
        <w:t xml:space="preserve"> </w:t>
      </w:r>
      <w:r w:rsidRPr="005A1B3E">
        <w:t>in Energy (</w:t>
      </w:r>
      <w:r w:rsidRPr="00C276F1">
        <w:t>PAGE)</w:t>
      </w:r>
      <w:r w:rsidR="00107051" w:rsidRPr="00C276F1">
        <w:t xml:space="preserve"> system</w:t>
      </w:r>
      <w:r w:rsidRPr="00C276F1">
        <w:t xml:space="preserve">. PAGE interfaces with DOE financial systems, the </w:t>
      </w:r>
      <w:r w:rsidR="000A39C9" w:rsidRPr="00C276F1">
        <w:t>Energy Efficiency and Renewable Energy (</w:t>
      </w:r>
      <w:r w:rsidRPr="00C276F1">
        <w:t>EERE</w:t>
      </w:r>
      <w:r w:rsidR="000A39C9">
        <w:t>)</w:t>
      </w:r>
      <w:r w:rsidRPr="005A1B3E">
        <w:t xml:space="preserve"> Project Management Center, DOE Headquarters and</w:t>
      </w:r>
      <w:r>
        <w:t xml:space="preserve"> </w:t>
      </w:r>
      <w:r w:rsidRPr="005A1B3E">
        <w:t xml:space="preserve">grantees. </w:t>
      </w:r>
      <w:r w:rsidRPr="005A1B3E">
        <w:lastRenderedPageBreak/>
        <w:t>Electronic submission of reports will result in greater efficiency,</w:t>
      </w:r>
      <w:r>
        <w:t xml:space="preserve"> </w:t>
      </w:r>
      <w:r w:rsidRPr="005A1B3E">
        <w:t xml:space="preserve">timely reporting and a reduced paperwork burden for grantees and DOE program staff. </w:t>
      </w:r>
    </w:p>
    <w:p w:rsidR="00A014B8" w:rsidRDefault="00A014B8" w:rsidP="007C1DED">
      <w:pPr>
        <w:autoSpaceDE w:val="0"/>
        <w:autoSpaceDN w:val="0"/>
        <w:adjustRightInd w:val="0"/>
        <w:ind w:right="720"/>
      </w:pPr>
    </w:p>
    <w:p w:rsidR="00B04E10" w:rsidRPr="00486E8E" w:rsidRDefault="00B04E10" w:rsidP="00486E8E">
      <w:pPr>
        <w:ind w:left="360"/>
        <w:rPr>
          <w:i/>
        </w:rPr>
      </w:pPr>
    </w:p>
    <w:p w:rsidR="00C46F0F" w:rsidRDefault="00123C4A" w:rsidP="00123C4A">
      <w:pPr>
        <w:numPr>
          <w:ilvl w:val="0"/>
          <w:numId w:val="1"/>
        </w:numPr>
        <w:rPr>
          <w:b/>
          <w:u w:val="single"/>
        </w:rPr>
      </w:pPr>
      <w:r w:rsidRPr="00C46F0F">
        <w:rPr>
          <w:b/>
          <w:u w:val="single"/>
        </w:rPr>
        <w:t xml:space="preserve">Describe efforts to identify duplication. </w:t>
      </w:r>
    </w:p>
    <w:p w:rsidR="00F01762" w:rsidRDefault="00F01762" w:rsidP="00905370">
      <w:pPr>
        <w:rPr>
          <w:i/>
        </w:rPr>
      </w:pPr>
    </w:p>
    <w:p w:rsidR="002B5A2A" w:rsidRPr="00A66860" w:rsidRDefault="002B5A2A" w:rsidP="00EC51A8">
      <w:pPr>
        <w:autoSpaceDE w:val="0"/>
        <w:autoSpaceDN w:val="0"/>
        <w:adjustRightInd w:val="0"/>
        <w:ind w:left="720" w:right="720"/>
      </w:pPr>
      <w:r w:rsidRPr="00A66860">
        <w:t xml:space="preserve">The WAP program is the </w:t>
      </w:r>
      <w:r w:rsidR="00107051">
        <w:t>primary</w:t>
      </w:r>
      <w:r w:rsidRPr="00A66860">
        <w:t xml:space="preserve"> federal program that provides weather</w:t>
      </w:r>
      <w:r w:rsidR="00EC51A8">
        <w:t xml:space="preserve">ization services to low income </w:t>
      </w:r>
      <w:r w:rsidRPr="00A66860">
        <w:t xml:space="preserve">Americans. </w:t>
      </w:r>
      <w:r w:rsidR="00E61A3E">
        <w:t xml:space="preserve">This is the only manner in which information is being collected for the unique programs of WTC and WIPP under the WAP program- there are no similar programs elsewhere. </w:t>
      </w:r>
    </w:p>
    <w:p w:rsidR="002B5A2A" w:rsidRPr="00C46F0F" w:rsidRDefault="002B5A2A" w:rsidP="00C46F0F">
      <w:pPr>
        <w:ind w:left="360"/>
        <w:rPr>
          <w:i/>
        </w:rPr>
      </w:pPr>
    </w:p>
    <w:p w:rsidR="00123C4A" w:rsidRDefault="00123C4A" w:rsidP="00123C4A">
      <w:pPr>
        <w:numPr>
          <w:ilvl w:val="0"/>
          <w:numId w:val="1"/>
        </w:numPr>
        <w:rPr>
          <w:b/>
          <w:u w:val="single"/>
        </w:rPr>
      </w:pPr>
      <w:r w:rsidRPr="00C46F0F">
        <w:rPr>
          <w:b/>
          <w:u w:val="single"/>
        </w:rPr>
        <w:t xml:space="preserve">If the collection of information impacts small businesses or other small entities, describe any methods used to minimize burden. </w:t>
      </w:r>
    </w:p>
    <w:p w:rsidR="00A66860" w:rsidRDefault="00FF3045" w:rsidP="00C46F0F">
      <w:pPr>
        <w:ind w:left="360"/>
        <w:rPr>
          <w:b/>
          <w:i/>
        </w:rPr>
      </w:pPr>
      <w:r>
        <w:rPr>
          <w:b/>
          <w:i/>
        </w:rPr>
        <w:tab/>
      </w:r>
    </w:p>
    <w:p w:rsidR="003A7733" w:rsidRPr="00A66860" w:rsidRDefault="00EC51A8" w:rsidP="00EC51A8">
      <w:pPr>
        <w:ind w:left="720"/>
      </w:pPr>
      <w:r>
        <w:t>One of the grantees</w:t>
      </w:r>
      <w:r w:rsidR="00A708F5">
        <w:t xml:space="preserve"> in WIPP</w:t>
      </w:r>
      <w:r>
        <w:t xml:space="preserve"> is a small business</w:t>
      </w:r>
      <w:r w:rsidR="00A708F5">
        <w:t>: Energy Pioneer Solutions in Hastings, Nebraska</w:t>
      </w:r>
      <w:r>
        <w:t xml:space="preserve">. To minimize burden, DOE </w:t>
      </w:r>
      <w:r w:rsidR="00E351BE">
        <w:t xml:space="preserve">has and </w:t>
      </w:r>
      <w:r>
        <w:t xml:space="preserve">will </w:t>
      </w:r>
      <w:r w:rsidR="00E351BE">
        <w:t xml:space="preserve">continue to </w:t>
      </w:r>
      <w:r>
        <w:t xml:space="preserve">provide specific guidance </w:t>
      </w:r>
      <w:r w:rsidR="008E5F99">
        <w:t xml:space="preserve">and training </w:t>
      </w:r>
      <w:r>
        <w:t>to clearly explain all requested information.</w:t>
      </w:r>
    </w:p>
    <w:p w:rsidR="00FF3045" w:rsidRPr="00C46F0F" w:rsidRDefault="00FF3045" w:rsidP="00C46F0F">
      <w:pPr>
        <w:ind w:left="360"/>
        <w:rPr>
          <w:i/>
        </w:rPr>
      </w:pPr>
    </w:p>
    <w:p w:rsidR="00123C4A" w:rsidRDefault="00123C4A" w:rsidP="00123C4A">
      <w:pPr>
        <w:numPr>
          <w:ilvl w:val="0"/>
          <w:numId w:val="1"/>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rsidR="00D76D7C" w:rsidRDefault="00D76D7C" w:rsidP="00905370">
      <w:pPr>
        <w:rPr>
          <w:b/>
          <w:u w:val="single"/>
        </w:rPr>
      </w:pPr>
    </w:p>
    <w:p w:rsidR="002B5A2A" w:rsidRPr="00905370" w:rsidRDefault="002B5A2A" w:rsidP="00905370">
      <w:pPr>
        <w:autoSpaceDE w:val="0"/>
        <w:autoSpaceDN w:val="0"/>
        <w:adjustRightInd w:val="0"/>
        <w:ind w:left="720" w:right="720"/>
      </w:pPr>
      <w:r w:rsidRPr="005A1B3E">
        <w:t>All ARRA</w:t>
      </w:r>
      <w:r>
        <w:t>-funded activities</w:t>
      </w:r>
      <w:r w:rsidRPr="005A1B3E">
        <w:t xml:space="preserve"> will be subject to increased attention and scrutiny</w:t>
      </w:r>
      <w:r>
        <w:t xml:space="preserve"> </w:t>
      </w:r>
      <w:r w:rsidRPr="005A1B3E">
        <w:t>from OMB, Con</w:t>
      </w:r>
      <w:r w:rsidR="00905370">
        <w:t>gress, the media and the public</w:t>
      </w:r>
      <w:r w:rsidRPr="005A1B3E">
        <w:t>. If this information is</w:t>
      </w:r>
      <w:r>
        <w:t xml:space="preserve"> </w:t>
      </w:r>
      <w:r w:rsidRPr="005A1B3E">
        <w:t>not collected, DOE will not be able to provide reports to OMB or respond to requests for</w:t>
      </w:r>
      <w:r>
        <w:t xml:space="preserve"> </w:t>
      </w:r>
      <w:r w:rsidRPr="005A1B3E">
        <w:t>information on ARRA-funded activities and expenditures. If the information is collected</w:t>
      </w:r>
      <w:r>
        <w:t xml:space="preserve"> </w:t>
      </w:r>
      <w:r w:rsidRPr="005A1B3E">
        <w:t>less frequently, DOE will not be able to track activities and funds status as closely as</w:t>
      </w:r>
      <w:r>
        <w:t xml:space="preserve"> </w:t>
      </w:r>
      <w:r w:rsidRPr="005A1B3E">
        <w:t>necessary, and timely information will not be available to OMB, the White House,</w:t>
      </w:r>
      <w:r>
        <w:t xml:space="preserve"> </w:t>
      </w:r>
      <w:r w:rsidRPr="005A1B3E">
        <w:t>Congress and the public. Frequent reporting will also allow any problems, barriers or</w:t>
      </w:r>
      <w:r>
        <w:t xml:space="preserve"> </w:t>
      </w:r>
      <w:r w:rsidRPr="005A1B3E">
        <w:t>system bottlenecks to be identified and dealt with right away.</w:t>
      </w:r>
    </w:p>
    <w:p w:rsidR="002B5A2A" w:rsidRDefault="002B5A2A" w:rsidP="00C9228B">
      <w:pPr>
        <w:ind w:left="360"/>
        <w:rPr>
          <w:b/>
          <w:u w:val="single"/>
        </w:rPr>
      </w:pPr>
    </w:p>
    <w:p w:rsidR="00123C4A" w:rsidRDefault="00D76D7C" w:rsidP="00123C4A">
      <w:pPr>
        <w:numPr>
          <w:ilvl w:val="0"/>
          <w:numId w:val="1"/>
        </w:numPr>
        <w:rPr>
          <w:b/>
          <w:u w:val="single"/>
        </w:rPr>
      </w:pPr>
      <w:r>
        <w:rPr>
          <w:b/>
          <w:u w:val="single"/>
        </w:rPr>
        <w:t xml:space="preserve">Explain any special circumstances that require the collection to be conducted in a manner inconsistent with OMB guidelines. </w:t>
      </w:r>
    </w:p>
    <w:p w:rsidR="00D76D7C" w:rsidRDefault="00D76D7C" w:rsidP="00D76D7C">
      <w:pPr>
        <w:ind w:left="360"/>
        <w:rPr>
          <w:b/>
          <w:u w:val="single"/>
        </w:rPr>
      </w:pPr>
    </w:p>
    <w:p w:rsidR="00D76D7C" w:rsidRPr="002950AF" w:rsidRDefault="00FF3045" w:rsidP="00D76D7C">
      <w:pPr>
        <w:ind w:left="360"/>
      </w:pPr>
      <w:r>
        <w:rPr>
          <w:b/>
          <w:i/>
        </w:rPr>
        <w:tab/>
      </w:r>
      <w:r w:rsidR="00696BA4" w:rsidRPr="002950AF">
        <w:t>N</w:t>
      </w:r>
      <w:r w:rsidR="008E5F99">
        <w:t>one</w:t>
      </w:r>
      <w:r w:rsidR="002950AF">
        <w:t>.</w:t>
      </w:r>
      <w:r w:rsidR="00696BA4" w:rsidRPr="002950AF">
        <w:t xml:space="preserve">  The information collection is not being conducted in a manner inconsistent with OMB </w:t>
      </w:r>
      <w:r w:rsidRPr="002950AF">
        <w:tab/>
      </w:r>
      <w:r w:rsidR="00696BA4" w:rsidRPr="002950AF">
        <w:t xml:space="preserve">guidelines. </w:t>
      </w:r>
    </w:p>
    <w:p w:rsidR="00D76D7C" w:rsidRPr="00D76D7C" w:rsidRDefault="00D76D7C" w:rsidP="00D76D7C">
      <w:pPr>
        <w:ind w:left="360"/>
        <w:rPr>
          <w:i/>
        </w:rPr>
      </w:pPr>
    </w:p>
    <w:p w:rsidR="004B22D8" w:rsidRDefault="00123C4A" w:rsidP="00123C4A">
      <w:pPr>
        <w:numPr>
          <w:ilvl w:val="0"/>
          <w:numId w:val="1"/>
        </w:numPr>
        <w:rPr>
          <w:b/>
          <w:u w:val="single"/>
        </w:rPr>
      </w:pPr>
      <w:r w:rsidRPr="00D76D7C">
        <w:rPr>
          <w:b/>
          <w:u w:val="single"/>
        </w:rPr>
        <w:t>If applicable, provide a copy and identify the date and page number of publication in the Federal Register of the agency’s notice, required by 5CFR 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 </w:t>
      </w:r>
    </w:p>
    <w:p w:rsidR="004B22D8" w:rsidRDefault="004B22D8" w:rsidP="004B22D8">
      <w:pPr>
        <w:ind w:left="720"/>
        <w:rPr>
          <w:b/>
          <w:u w:val="single"/>
        </w:rPr>
      </w:pPr>
    </w:p>
    <w:p w:rsidR="004B22D8" w:rsidRPr="00C276F1" w:rsidRDefault="004B22D8" w:rsidP="004B22D8">
      <w:pPr>
        <w:ind w:left="720"/>
      </w:pPr>
      <w:r w:rsidRPr="00C276F1">
        <w:t>The Department published a 60-day Federal Register Notice and Request for Comments concerning th</w:t>
      </w:r>
      <w:r w:rsidR="00EC51A8">
        <w:t>e</w:t>
      </w:r>
      <w:r w:rsidRPr="00C276F1">
        <w:t xml:space="preserve"> collection</w:t>
      </w:r>
      <w:r w:rsidR="00EC51A8">
        <w:t xml:space="preserve"> of information</w:t>
      </w:r>
      <w:r w:rsidRPr="00C276F1">
        <w:t xml:space="preserve"> in the Federal Register </w:t>
      </w:r>
      <w:r w:rsidR="00E61A3E">
        <w:t>January 6, 2014</w:t>
      </w:r>
      <w:r w:rsidR="0008485B">
        <w:t xml:space="preserve">, Vol. </w:t>
      </w:r>
      <w:r w:rsidR="00E61A3E" w:rsidRPr="00721686">
        <w:t xml:space="preserve">79 </w:t>
      </w:r>
      <w:r w:rsidR="0008485B">
        <w:t>No. 3, page</w:t>
      </w:r>
      <w:r w:rsidR="00E61A3E" w:rsidRPr="00721686">
        <w:t xml:space="preserve"> 649</w:t>
      </w:r>
      <w:r w:rsidR="00E61A3E">
        <w:t>.</w:t>
      </w:r>
      <w:r w:rsidRPr="00C276F1">
        <w:t>The notice described the collection and invited interested parties to submit comments or recommendations regarding the collection.  No comments were received.</w:t>
      </w:r>
    </w:p>
    <w:p w:rsidR="00123C4A" w:rsidRDefault="00B4459C" w:rsidP="004B22D8">
      <w:pPr>
        <w:ind w:left="720"/>
        <w:rPr>
          <w:b/>
          <w:u w:val="single"/>
        </w:rPr>
      </w:pPr>
      <w:r>
        <w:rPr>
          <w:b/>
          <w:u w:val="single"/>
        </w:rPr>
        <w:lastRenderedPageBreak/>
        <w:t xml:space="preserve">  </w:t>
      </w:r>
    </w:p>
    <w:p w:rsidR="009D4BF8" w:rsidRDefault="00FF3045" w:rsidP="009D4BF8">
      <w:pPr>
        <w:ind w:left="360"/>
        <w:rPr>
          <w:b/>
          <w:i/>
        </w:rPr>
      </w:pPr>
      <w:r>
        <w:rPr>
          <w:b/>
          <w:i/>
        </w:rPr>
        <w:tab/>
      </w:r>
    </w:p>
    <w:p w:rsidR="00A014B8" w:rsidRPr="002950AF" w:rsidRDefault="00A014B8" w:rsidP="009D4BF8">
      <w:pPr>
        <w:ind w:left="360"/>
      </w:pPr>
    </w:p>
    <w:p w:rsidR="00123C4A" w:rsidRDefault="00123C4A" w:rsidP="009D4BF8">
      <w:pPr>
        <w:numPr>
          <w:ilvl w:val="0"/>
          <w:numId w:val="1"/>
        </w:numPr>
        <w:rPr>
          <w:b/>
          <w:u w:val="single"/>
        </w:rPr>
      </w:pPr>
      <w:r w:rsidRPr="002D3C67">
        <w:rPr>
          <w:b/>
          <w:u w:val="single"/>
        </w:rPr>
        <w:t xml:space="preserve">Explain any decision to provide any payment or gift to respondents, other than </w:t>
      </w:r>
      <w:r w:rsidR="002D3C67" w:rsidRPr="002D3C67">
        <w:rPr>
          <w:b/>
          <w:u w:val="single"/>
        </w:rPr>
        <w:t>remuneration</w:t>
      </w:r>
      <w:r w:rsidRPr="002D3C67">
        <w:rPr>
          <w:b/>
          <w:u w:val="single"/>
        </w:rPr>
        <w:t xml:space="preserve"> of </w:t>
      </w:r>
      <w:r w:rsidR="009D4BF8">
        <w:rPr>
          <w:b/>
          <w:u w:val="single"/>
        </w:rPr>
        <w:t xml:space="preserve">    </w:t>
      </w:r>
      <w:r w:rsidRPr="002D3C67">
        <w:rPr>
          <w:b/>
          <w:u w:val="single"/>
        </w:rPr>
        <w:t xml:space="preserve">contractors or grantees. </w:t>
      </w:r>
    </w:p>
    <w:p w:rsidR="009D4BF8" w:rsidRDefault="009D4BF8" w:rsidP="009D4BF8">
      <w:pPr>
        <w:rPr>
          <w:b/>
          <w:u w:val="single"/>
        </w:rPr>
      </w:pPr>
    </w:p>
    <w:p w:rsidR="004F41B1" w:rsidRDefault="00FF3045" w:rsidP="002D3C67">
      <w:pPr>
        <w:ind w:left="360"/>
      </w:pPr>
      <w:r>
        <w:rPr>
          <w:b/>
          <w:i/>
        </w:rPr>
        <w:tab/>
      </w:r>
      <w:r w:rsidR="005D3F30" w:rsidRPr="002950AF">
        <w:t>No payment or gift is being provided to the respondents.</w:t>
      </w:r>
    </w:p>
    <w:p w:rsidR="000D0A4D" w:rsidRPr="002950AF" w:rsidRDefault="000D0A4D" w:rsidP="002D3C67">
      <w:pPr>
        <w:ind w:left="360"/>
      </w:pPr>
    </w:p>
    <w:p w:rsidR="002D3C67" w:rsidRPr="002D3C67" w:rsidRDefault="002D3C67" w:rsidP="002D3C67">
      <w:pPr>
        <w:ind w:left="360"/>
        <w:rPr>
          <w:i/>
        </w:rPr>
      </w:pPr>
    </w:p>
    <w:p w:rsidR="00123C4A" w:rsidRDefault="00123C4A" w:rsidP="00123C4A">
      <w:pPr>
        <w:numPr>
          <w:ilvl w:val="0"/>
          <w:numId w:val="1"/>
        </w:numPr>
        <w:rPr>
          <w:b/>
          <w:u w:val="single"/>
        </w:rPr>
      </w:pPr>
      <w:r w:rsidRPr="002D3C67">
        <w:rPr>
          <w:b/>
          <w:u w:val="single"/>
        </w:rPr>
        <w:t xml:space="preserve">Describe any assurance of confidentiality provided to respondents and the basis for the assurance in statute, regulation, or agency policy. </w:t>
      </w:r>
    </w:p>
    <w:p w:rsidR="002D3C67" w:rsidRDefault="002D3C67" w:rsidP="002D3C67">
      <w:pPr>
        <w:ind w:left="360"/>
        <w:rPr>
          <w:b/>
          <w:u w:val="single"/>
        </w:rPr>
      </w:pPr>
    </w:p>
    <w:p w:rsidR="000D0A4D" w:rsidRPr="002950AF" w:rsidRDefault="00FF3045" w:rsidP="002D3C67">
      <w:pPr>
        <w:ind w:left="360"/>
      </w:pPr>
      <w:r>
        <w:rPr>
          <w:b/>
          <w:i/>
        </w:rPr>
        <w:tab/>
      </w:r>
      <w:r w:rsidR="002738ED" w:rsidRPr="002950AF">
        <w:t xml:space="preserve">There is no identifiable confidential information being requested. </w:t>
      </w:r>
    </w:p>
    <w:p w:rsidR="002D3C67" w:rsidRPr="002D3C67" w:rsidRDefault="002D3C67" w:rsidP="002D3C67">
      <w:pPr>
        <w:ind w:left="360"/>
        <w:rPr>
          <w:i/>
        </w:rPr>
      </w:pPr>
    </w:p>
    <w:p w:rsidR="00123C4A" w:rsidRDefault="00123C4A" w:rsidP="00123C4A">
      <w:pPr>
        <w:numPr>
          <w:ilvl w:val="0"/>
          <w:numId w:val="1"/>
        </w:numPr>
        <w:rPr>
          <w:b/>
          <w:u w:val="single"/>
        </w:rPr>
      </w:pPr>
      <w:r w:rsidRPr="002D3C67">
        <w:rPr>
          <w:b/>
          <w:u w:val="single"/>
        </w:rPr>
        <w:t>Provide additional justification for any questions of a sensitive nature, such as sexual behavior and attitudes, religious beliefs, and other matters that are commonly considered private.</w:t>
      </w:r>
    </w:p>
    <w:p w:rsidR="002D3C67" w:rsidRDefault="002D3C67" w:rsidP="002D3C67">
      <w:pPr>
        <w:ind w:left="360"/>
        <w:rPr>
          <w:i/>
        </w:rPr>
      </w:pPr>
    </w:p>
    <w:p w:rsidR="000D0A4D" w:rsidRPr="002950AF" w:rsidRDefault="00FF3045" w:rsidP="002D3C67">
      <w:pPr>
        <w:ind w:left="360"/>
      </w:pPr>
      <w:r>
        <w:rPr>
          <w:b/>
          <w:i/>
        </w:rPr>
        <w:tab/>
      </w:r>
      <w:r w:rsidR="002738ED" w:rsidRPr="002950AF">
        <w:t>There is no collection in this package that involves questions of a sensitive, personal or private nature.</w:t>
      </w:r>
    </w:p>
    <w:p w:rsidR="002D3C67" w:rsidRPr="002D3C67" w:rsidRDefault="002D3C67" w:rsidP="002D3C67">
      <w:pPr>
        <w:ind w:left="360"/>
        <w:rPr>
          <w:i/>
        </w:rPr>
      </w:pPr>
    </w:p>
    <w:p w:rsidR="00123C4A" w:rsidRDefault="00123C4A" w:rsidP="00123C4A">
      <w:pPr>
        <w:numPr>
          <w:ilvl w:val="0"/>
          <w:numId w:val="1"/>
        </w:numPr>
        <w:rPr>
          <w:b/>
          <w:u w:val="single"/>
        </w:rPr>
      </w:pPr>
      <w:r w:rsidRPr="002D3C67">
        <w:rPr>
          <w:b/>
          <w:u w:val="single"/>
        </w:rPr>
        <w:t>Provide estimates of the hour burden of the collection of information.  The statement should indicate the number of respondents, frequency of response, annual hour burden, and an explanation of how the burden was estimated.</w:t>
      </w:r>
    </w:p>
    <w:p w:rsidR="00876ADE" w:rsidRPr="00876ADE" w:rsidRDefault="00876ADE" w:rsidP="00E351BE"/>
    <w:p w:rsidR="00876ADE" w:rsidRPr="00876ADE" w:rsidRDefault="00876ADE" w:rsidP="002B5A2A">
      <w:pPr>
        <w:ind w:left="360"/>
      </w:pPr>
      <w:r w:rsidRPr="00876ADE">
        <w:tab/>
        <w:t xml:space="preserve">WIPP recipients: </w:t>
      </w:r>
      <w:r w:rsidRPr="00876ADE">
        <w:tab/>
      </w:r>
      <w:r w:rsidR="00E351BE">
        <w:t xml:space="preserve"> 5</w:t>
      </w:r>
    </w:p>
    <w:p w:rsidR="00876ADE" w:rsidRPr="00876ADE" w:rsidRDefault="00876ADE" w:rsidP="002B5A2A">
      <w:pPr>
        <w:ind w:left="360"/>
        <w:rPr>
          <w:u w:val="single"/>
        </w:rPr>
      </w:pPr>
      <w:r w:rsidRPr="00876ADE">
        <w:tab/>
      </w:r>
      <w:r w:rsidRPr="00876ADE">
        <w:rPr>
          <w:u w:val="single"/>
        </w:rPr>
        <w:t xml:space="preserve">WTC recipients:  </w:t>
      </w:r>
      <w:r w:rsidRPr="00876ADE">
        <w:rPr>
          <w:u w:val="single"/>
        </w:rPr>
        <w:tab/>
      </w:r>
      <w:r w:rsidR="00E351BE">
        <w:rPr>
          <w:u w:val="single"/>
        </w:rPr>
        <w:t>12</w:t>
      </w:r>
    </w:p>
    <w:p w:rsidR="002B5A2A" w:rsidRPr="00A708F5" w:rsidRDefault="00876ADE" w:rsidP="00A708F5">
      <w:pPr>
        <w:ind w:left="360"/>
        <w:rPr>
          <w:b/>
        </w:rPr>
      </w:pPr>
      <w:r w:rsidRPr="00A708F5">
        <w:tab/>
        <w:t>Total</w:t>
      </w:r>
      <w:r w:rsidRPr="00A708F5">
        <w:tab/>
      </w:r>
      <w:r w:rsidRPr="00A708F5">
        <w:tab/>
      </w:r>
      <w:r w:rsidRPr="00A708F5">
        <w:tab/>
      </w:r>
      <w:r w:rsidR="00E351BE">
        <w:t>17</w:t>
      </w:r>
      <w:r w:rsidRPr="00A708F5">
        <w:rPr>
          <w:b/>
        </w:rPr>
        <w:tab/>
      </w:r>
    </w:p>
    <w:p w:rsidR="00876ADE" w:rsidRDefault="002B5A2A" w:rsidP="002B5A2A">
      <w:pPr>
        <w:spacing w:before="240"/>
        <w:ind w:left="360"/>
      </w:pPr>
      <w:r>
        <w:tab/>
      </w:r>
      <w:r w:rsidR="00E351BE">
        <w:t>WIPP</w:t>
      </w:r>
      <w:r w:rsidR="00876ADE">
        <w:t xml:space="preserve"> and WTC recipients are projected to spend </w:t>
      </w:r>
      <w:r w:rsidR="00D4728E">
        <w:t xml:space="preserve">12 hours per quarter completing financial and </w:t>
      </w:r>
      <w:r w:rsidR="00D4728E">
        <w:tab/>
        <w:t>performance reports.</w:t>
      </w:r>
      <w:r w:rsidR="00E351BE">
        <w:t xml:space="preserve"> This is consistent with the reporting burden over the last three years. </w:t>
      </w:r>
    </w:p>
    <w:p w:rsidR="002B5A2A" w:rsidRDefault="00876ADE" w:rsidP="002B5A2A">
      <w:pPr>
        <w:spacing w:before="240"/>
        <w:ind w:left="360"/>
      </w:pPr>
      <w:r>
        <w:tab/>
      </w:r>
      <w:r w:rsidR="002B5A2A" w:rsidRPr="002362FC">
        <w:t xml:space="preserve">The </w:t>
      </w:r>
      <w:r w:rsidR="002B5A2A">
        <w:t>grantees</w:t>
      </w:r>
      <w:r w:rsidR="00D867EA">
        <w:t>’</w:t>
      </w:r>
      <w:r w:rsidR="002B5A2A">
        <w:t xml:space="preserve"> burden is calculated as follows:</w:t>
      </w:r>
    </w:p>
    <w:p w:rsidR="00C43055" w:rsidRDefault="002B5A2A" w:rsidP="00905370">
      <w:pPr>
        <w:spacing w:before="240"/>
        <w:ind w:left="360"/>
      </w:pPr>
      <w:r>
        <w:tab/>
      </w:r>
      <w:r w:rsidR="000A39C9">
        <w:rPr>
          <w:u w:val="single"/>
        </w:rPr>
        <w:t>Grantee</w:t>
      </w:r>
      <w:r w:rsidRPr="008D637A">
        <w:rPr>
          <w:u w:val="single"/>
        </w:rPr>
        <w:t xml:space="preserve"> burden hours</w:t>
      </w:r>
      <w:r>
        <w:t xml:space="preserve">: 12 hours x </w:t>
      </w:r>
      <w:r w:rsidR="00E351BE">
        <w:t>1</w:t>
      </w:r>
      <w:r>
        <w:t xml:space="preserve">7 grantees x 4 quarters = </w:t>
      </w:r>
      <w:r w:rsidR="00E351BE">
        <w:t>816</w:t>
      </w:r>
      <w:r>
        <w:t xml:space="preserve"> hours</w:t>
      </w:r>
      <w:r w:rsidR="00EC51A8">
        <w:t xml:space="preserve"> per year</w:t>
      </w:r>
    </w:p>
    <w:p w:rsidR="001F119B" w:rsidRDefault="001F119B" w:rsidP="001F119B">
      <w:pPr>
        <w:rPr>
          <w:i/>
        </w:rPr>
      </w:pPr>
    </w:p>
    <w:p w:rsidR="001F119B" w:rsidRPr="001C2DAF" w:rsidRDefault="001F119B" w:rsidP="001C2DAF">
      <w:pPr>
        <w:ind w:firstLine="720"/>
      </w:pPr>
      <w:r w:rsidRPr="001C2DAF">
        <w:t xml:space="preserve">Total number of unduplicated respondents: </w:t>
      </w:r>
      <w:r w:rsidR="00E61A3E">
        <w:t>17</w:t>
      </w:r>
    </w:p>
    <w:p w:rsidR="001F119B" w:rsidRPr="001C2DAF" w:rsidRDefault="001F119B" w:rsidP="001F119B">
      <w:pPr>
        <w:ind w:firstLine="720"/>
      </w:pPr>
      <w:r w:rsidRPr="001C2DAF">
        <w:t xml:space="preserve">Reports filed per person: </w:t>
      </w:r>
      <w:r w:rsidR="00E61A3E">
        <w:t>4</w:t>
      </w:r>
    </w:p>
    <w:p w:rsidR="001F119B" w:rsidRPr="001C2DAF" w:rsidRDefault="001F119B" w:rsidP="001F119B">
      <w:pPr>
        <w:ind w:firstLine="720"/>
      </w:pPr>
      <w:r w:rsidRPr="001C2DAF">
        <w:t xml:space="preserve">Total annual responses: </w:t>
      </w:r>
      <w:r w:rsidR="00431422">
        <w:t>68</w:t>
      </w:r>
    </w:p>
    <w:p w:rsidR="001F119B" w:rsidRPr="001C2DAF" w:rsidRDefault="001F119B" w:rsidP="001F119B">
      <w:pPr>
        <w:ind w:firstLine="720"/>
      </w:pPr>
      <w:r w:rsidRPr="001C2DAF">
        <w:t xml:space="preserve">Total annual burden hours: </w:t>
      </w:r>
      <w:r w:rsidR="00431422">
        <w:t>816</w:t>
      </w:r>
      <w:r w:rsidR="00D250B9">
        <w:t xml:space="preserve"> </w:t>
      </w:r>
    </w:p>
    <w:p w:rsidR="001F119B" w:rsidRPr="001C2DAF" w:rsidRDefault="001F119B" w:rsidP="001F119B">
      <w:pPr>
        <w:ind w:firstLine="720"/>
      </w:pPr>
    </w:p>
    <w:p w:rsidR="001F119B" w:rsidRPr="001C2DAF" w:rsidRDefault="001F119B" w:rsidP="001F119B">
      <w:pPr>
        <w:ind w:firstLine="720"/>
      </w:pPr>
      <w:r w:rsidRPr="001C2DAF">
        <w:t>Average Burden</w:t>
      </w:r>
      <w:r w:rsidR="001C2DAF">
        <w:t>:</w:t>
      </w:r>
      <w:r w:rsidRPr="001C2DAF">
        <w:t xml:space="preserve"> </w:t>
      </w:r>
      <w:r w:rsidRPr="001C2DAF">
        <w:tab/>
        <w:t xml:space="preserve">Per Collection: </w:t>
      </w:r>
      <w:r w:rsidR="00431422">
        <w:t>12</w:t>
      </w:r>
    </w:p>
    <w:p w:rsidR="001F119B" w:rsidRPr="001C2DAF" w:rsidRDefault="001F119B" w:rsidP="001C2DAF">
      <w:pPr>
        <w:ind w:left="1440" w:firstLine="1440"/>
      </w:pPr>
      <w:r w:rsidRPr="001C2DAF">
        <w:t xml:space="preserve">Per Applicants: </w:t>
      </w:r>
      <w:r w:rsidR="00431422">
        <w:t>48</w:t>
      </w:r>
    </w:p>
    <w:p w:rsidR="001F119B" w:rsidRPr="002950AF" w:rsidRDefault="001F119B" w:rsidP="00905370">
      <w:pPr>
        <w:spacing w:before="240"/>
        <w:ind w:left="360"/>
      </w:pPr>
    </w:p>
    <w:p w:rsidR="00950881" w:rsidRPr="002D3C67" w:rsidRDefault="00950881" w:rsidP="002D3C67">
      <w:pPr>
        <w:ind w:left="360"/>
        <w:rPr>
          <w:i/>
        </w:rPr>
      </w:pPr>
    </w:p>
    <w:p w:rsidR="00123C4A" w:rsidRDefault="00123C4A" w:rsidP="00123C4A">
      <w:pPr>
        <w:numPr>
          <w:ilvl w:val="0"/>
          <w:numId w:val="1"/>
        </w:numPr>
        <w:rPr>
          <w:b/>
          <w:u w:val="single"/>
        </w:rPr>
      </w:pPr>
      <w:r w:rsidRPr="00950881">
        <w:rPr>
          <w:b/>
          <w:u w:val="single"/>
        </w:rPr>
        <w:t>Provide an estimate for the total annual cost burden to respondents or recordkeepers resulting from the</w:t>
      </w:r>
      <w:r w:rsidR="00950881" w:rsidRPr="00950881">
        <w:rPr>
          <w:b/>
          <w:u w:val="single"/>
        </w:rPr>
        <w:t xml:space="preserve"> </w:t>
      </w:r>
      <w:r w:rsidRPr="00950881">
        <w:rPr>
          <w:b/>
          <w:u w:val="single"/>
        </w:rPr>
        <w:t xml:space="preserve">collection of information.  </w:t>
      </w:r>
    </w:p>
    <w:p w:rsidR="00793CC8" w:rsidRPr="00793CC8" w:rsidRDefault="00793CC8" w:rsidP="00793CC8">
      <w:pPr>
        <w:ind w:left="720"/>
        <w:rPr>
          <w:color w:val="FF0000"/>
        </w:rPr>
      </w:pPr>
      <w:r>
        <w:lastRenderedPageBreak/>
        <w:t>Costs will be incurred to organize data and input the data into the electronic system. The cost burden is as follows:</w:t>
      </w:r>
    </w:p>
    <w:p w:rsidR="00793CC8" w:rsidRDefault="00793CC8" w:rsidP="00793CC8">
      <w:pPr>
        <w:pStyle w:val="ListParagraph"/>
      </w:pPr>
      <w:r>
        <w:tab/>
      </w:r>
    </w:p>
    <w:p w:rsidR="00793CC8" w:rsidRDefault="00793CC8" w:rsidP="00793CC8">
      <w:pPr>
        <w:pStyle w:val="ListParagraph"/>
      </w:pPr>
      <w:r w:rsidRPr="00793CC8">
        <w:rPr>
          <w:u w:val="single"/>
        </w:rPr>
        <w:t>Grantee burden costs</w:t>
      </w:r>
      <w:r>
        <w:t xml:space="preserve"> = 3,696 hours x $40/hr. = $32,640</w:t>
      </w:r>
    </w:p>
    <w:p w:rsidR="00793CC8" w:rsidRDefault="00793CC8" w:rsidP="00793CC8">
      <w:pPr>
        <w:ind w:left="720"/>
        <w:rPr>
          <w:b/>
          <w:u w:val="single"/>
        </w:rPr>
      </w:pPr>
    </w:p>
    <w:p w:rsidR="008B05AA" w:rsidRDefault="008B05AA" w:rsidP="00793CC8"/>
    <w:p w:rsidR="006765C5" w:rsidRDefault="006765C5" w:rsidP="00905370">
      <w:pPr>
        <w:rPr>
          <w:b/>
          <w:u w:val="single"/>
        </w:rPr>
      </w:pPr>
    </w:p>
    <w:p w:rsidR="006765C5" w:rsidRDefault="00236386" w:rsidP="00CC60DD">
      <w:pPr>
        <w:numPr>
          <w:ilvl w:val="0"/>
          <w:numId w:val="1"/>
        </w:numPr>
        <w:rPr>
          <w:b/>
          <w:u w:val="single"/>
        </w:rPr>
      </w:pPr>
      <w:r>
        <w:rPr>
          <w:b/>
          <w:u w:val="single"/>
        </w:rPr>
        <w:t>Provide estimates of annualized cost to the Federal government.</w:t>
      </w:r>
    </w:p>
    <w:p w:rsidR="00236386" w:rsidRDefault="00236386" w:rsidP="00236386"/>
    <w:p w:rsidR="000A39C9" w:rsidRDefault="00431422" w:rsidP="00CC60DD">
      <w:pPr>
        <w:autoSpaceDE w:val="0"/>
        <w:autoSpaceDN w:val="0"/>
        <w:adjustRightInd w:val="0"/>
        <w:ind w:left="720" w:right="720"/>
      </w:pPr>
      <w:r>
        <w:t>The approximate costs to the federal government are 2 hours to review each report. The cost burden is as follows:</w:t>
      </w:r>
    </w:p>
    <w:p w:rsidR="00431422" w:rsidRDefault="00431422" w:rsidP="00CC60DD">
      <w:pPr>
        <w:autoSpaceDE w:val="0"/>
        <w:autoSpaceDN w:val="0"/>
        <w:adjustRightInd w:val="0"/>
        <w:ind w:left="720" w:right="720"/>
      </w:pPr>
    </w:p>
    <w:p w:rsidR="00431422" w:rsidRDefault="00431422" w:rsidP="00CC60DD">
      <w:pPr>
        <w:autoSpaceDE w:val="0"/>
        <w:autoSpaceDN w:val="0"/>
        <w:adjustRightInd w:val="0"/>
        <w:ind w:left="720" w:right="720"/>
      </w:pPr>
      <w:r>
        <w:t>Federal Burden Costs= 136 hours x $40/hr. = $5,440</w:t>
      </w:r>
    </w:p>
    <w:p w:rsidR="004B22D8" w:rsidRDefault="004B22D8" w:rsidP="000A39C9">
      <w:pPr>
        <w:autoSpaceDE w:val="0"/>
        <w:autoSpaceDN w:val="0"/>
        <w:adjustRightInd w:val="0"/>
        <w:ind w:right="720"/>
      </w:pPr>
    </w:p>
    <w:p w:rsidR="008B05AA" w:rsidRPr="00236386" w:rsidRDefault="008B05AA" w:rsidP="00236386">
      <w:pPr>
        <w:rPr>
          <w:i/>
        </w:rPr>
      </w:pPr>
    </w:p>
    <w:p w:rsidR="00236386" w:rsidRPr="00FF3045" w:rsidRDefault="007D112C" w:rsidP="00123C4A">
      <w:pPr>
        <w:numPr>
          <w:ilvl w:val="0"/>
          <w:numId w:val="1"/>
        </w:numPr>
        <w:rPr>
          <w:b/>
          <w:u w:val="single"/>
        </w:rPr>
      </w:pPr>
      <w:r>
        <w:rPr>
          <w:b/>
          <w:u w:val="single"/>
        </w:rPr>
        <w:t>Explain the reasons for any program changes or adjustments reported in Items 13 (or 14) of OMB Form 83-I</w:t>
      </w:r>
    </w:p>
    <w:p w:rsidR="00D867EA" w:rsidRDefault="00D867EA" w:rsidP="00FF3045"/>
    <w:p w:rsidR="00D867EA" w:rsidRDefault="000C024F" w:rsidP="000C024F">
      <w:pPr>
        <w:ind w:left="720"/>
      </w:pPr>
      <w:r>
        <w:t>The changes reflect the reduction in the number of awardees (from</w:t>
      </w:r>
      <w:r w:rsidR="007C1DED">
        <w:t xml:space="preserve"> 77 to 17)</w:t>
      </w:r>
      <w:r w:rsidR="0084435D">
        <w:t>.</w:t>
      </w:r>
      <w:r w:rsidR="007C1DED">
        <w:t xml:space="preserve"> </w:t>
      </w:r>
    </w:p>
    <w:p w:rsidR="00A708F5" w:rsidRPr="008B6EC7" w:rsidRDefault="00A708F5" w:rsidP="00FF3045"/>
    <w:p w:rsidR="00236386" w:rsidRDefault="00FF6288" w:rsidP="009D4BF8">
      <w:pPr>
        <w:numPr>
          <w:ilvl w:val="0"/>
          <w:numId w:val="1"/>
        </w:numPr>
        <w:rPr>
          <w:b/>
          <w:u w:val="single"/>
        </w:rPr>
      </w:pPr>
      <w:r>
        <w:rPr>
          <w:b/>
          <w:u w:val="single"/>
        </w:rPr>
        <w:t xml:space="preserve"> Fo</w:t>
      </w:r>
      <w:r w:rsidR="007D112C">
        <w:rPr>
          <w:b/>
          <w:u w:val="single"/>
        </w:rPr>
        <w:t xml:space="preserve">r collections whose results will be published, outline the plans for tabulation and publication. </w:t>
      </w:r>
    </w:p>
    <w:p w:rsidR="007D112C" w:rsidRDefault="007D112C" w:rsidP="007D112C">
      <w:pPr>
        <w:ind w:left="360"/>
        <w:rPr>
          <w:b/>
          <w:u w:val="single"/>
        </w:rPr>
      </w:pPr>
    </w:p>
    <w:p w:rsidR="00BE7B19" w:rsidRPr="002950AF" w:rsidRDefault="005D3F30" w:rsidP="00BE7B19">
      <w:pPr>
        <w:ind w:left="360"/>
      </w:pPr>
      <w:r>
        <w:rPr>
          <w:b/>
          <w:i/>
        </w:rPr>
        <w:t xml:space="preserve">   </w:t>
      </w:r>
      <w:r w:rsidR="00FF3045">
        <w:rPr>
          <w:b/>
          <w:i/>
        </w:rPr>
        <w:tab/>
      </w:r>
      <w:r w:rsidRPr="002950AF">
        <w:t>There are no plans for publication.</w:t>
      </w:r>
      <w:r w:rsidR="00696BA4" w:rsidRPr="002950AF">
        <w:t xml:space="preserve"> </w:t>
      </w:r>
    </w:p>
    <w:p w:rsidR="007D112C" w:rsidRDefault="007D112C" w:rsidP="007D112C">
      <w:pPr>
        <w:ind w:left="360"/>
        <w:rPr>
          <w:i/>
        </w:rPr>
      </w:pPr>
    </w:p>
    <w:p w:rsidR="00236386" w:rsidRDefault="007D112C" w:rsidP="00123C4A">
      <w:pPr>
        <w:numPr>
          <w:ilvl w:val="0"/>
          <w:numId w:val="1"/>
        </w:numPr>
        <w:rPr>
          <w:b/>
          <w:u w:val="single"/>
        </w:rPr>
      </w:pPr>
      <w:r>
        <w:rPr>
          <w:b/>
          <w:u w:val="single"/>
        </w:rPr>
        <w:t xml:space="preserve">If seeking approval to not display the expiration date for OMB approval of the information collection, explain the reasons why display would be inappropriate. </w:t>
      </w:r>
    </w:p>
    <w:p w:rsidR="007D112C" w:rsidRDefault="007D112C" w:rsidP="007D112C">
      <w:pPr>
        <w:rPr>
          <w:b/>
          <w:u w:val="single"/>
        </w:rPr>
      </w:pPr>
    </w:p>
    <w:p w:rsidR="007D112C" w:rsidRPr="002950AF" w:rsidRDefault="00FF3045" w:rsidP="007D112C">
      <w:pPr>
        <w:ind w:left="360"/>
      </w:pPr>
      <w:r>
        <w:rPr>
          <w:b/>
          <w:i/>
        </w:rPr>
        <w:tab/>
      </w:r>
      <w:r w:rsidR="00CC41B5" w:rsidRPr="002950AF">
        <w:t xml:space="preserve">The Department is not seeking approval to not display the expiration date for OMB approval of the </w:t>
      </w:r>
      <w:r w:rsidRPr="002950AF">
        <w:tab/>
      </w:r>
      <w:r w:rsidR="00CC41B5" w:rsidRPr="002950AF">
        <w:t xml:space="preserve">information collections contained in this package. </w:t>
      </w:r>
    </w:p>
    <w:p w:rsidR="00CC41B5" w:rsidRPr="00D56D80" w:rsidRDefault="00CC41B5" w:rsidP="007D112C">
      <w:pPr>
        <w:ind w:left="360"/>
        <w:rPr>
          <w:b/>
          <w:i/>
        </w:rPr>
      </w:pPr>
    </w:p>
    <w:p w:rsidR="00236386" w:rsidRDefault="007D112C" w:rsidP="00123C4A">
      <w:pPr>
        <w:numPr>
          <w:ilvl w:val="0"/>
          <w:numId w:val="1"/>
        </w:numPr>
        <w:rPr>
          <w:b/>
          <w:u w:val="single"/>
        </w:rPr>
      </w:pPr>
      <w:r>
        <w:rPr>
          <w:b/>
          <w:u w:val="single"/>
        </w:rPr>
        <w:t>Explain each exception to the certification statement identified in Item 19 of OMB Form 83-I.</w:t>
      </w:r>
    </w:p>
    <w:p w:rsidR="007D112C" w:rsidRDefault="007D112C" w:rsidP="007D112C">
      <w:pPr>
        <w:ind w:left="360"/>
        <w:rPr>
          <w:b/>
          <w:u w:val="single"/>
        </w:rPr>
      </w:pPr>
    </w:p>
    <w:p w:rsidR="00D56D80" w:rsidRPr="002950AF" w:rsidRDefault="00FF3045" w:rsidP="007D112C">
      <w:pPr>
        <w:ind w:left="360"/>
      </w:pPr>
      <w:r>
        <w:rPr>
          <w:b/>
          <w:i/>
        </w:rPr>
        <w:tab/>
      </w:r>
      <w:r w:rsidR="00CC41B5" w:rsidRPr="002950AF">
        <w:t xml:space="preserve">There are no exceptions to the certification statement identified in item 19. “Certification for </w:t>
      </w:r>
      <w:r w:rsidRPr="002950AF">
        <w:tab/>
      </w:r>
      <w:r w:rsidR="00CC41B5" w:rsidRPr="002950AF">
        <w:t xml:space="preserve">Paperwork Reduction Act submissions” of OMB form 83-I. </w:t>
      </w:r>
    </w:p>
    <w:p w:rsidR="00236386" w:rsidRPr="00950881" w:rsidRDefault="00236386" w:rsidP="007D112C">
      <w:pPr>
        <w:ind w:left="360"/>
        <w:rPr>
          <w:b/>
          <w:u w:val="single"/>
        </w:rPr>
      </w:pPr>
    </w:p>
    <w:p w:rsidR="006765C5" w:rsidRDefault="006765C5" w:rsidP="00950881">
      <w:pPr>
        <w:ind w:left="360"/>
        <w:rPr>
          <w:i/>
        </w:rPr>
      </w:pPr>
    </w:p>
    <w:p w:rsidR="00D63EC7" w:rsidRDefault="00D63EC7" w:rsidP="00950881">
      <w:pPr>
        <w:ind w:left="360"/>
        <w:rPr>
          <w:i/>
        </w:rPr>
      </w:pPr>
    </w:p>
    <w:p w:rsidR="006765C5" w:rsidRPr="00950881" w:rsidRDefault="006765C5" w:rsidP="00950881">
      <w:pPr>
        <w:ind w:left="360"/>
        <w:rPr>
          <w:b/>
          <w:i/>
          <w:u w:val="single"/>
        </w:rPr>
      </w:pPr>
    </w:p>
    <w:p w:rsidR="00123C4A" w:rsidRDefault="00123C4A"/>
    <w:p w:rsidR="00123C4A" w:rsidRPr="00123C4A" w:rsidRDefault="00123C4A"/>
    <w:sectPr w:rsidR="00123C4A" w:rsidRPr="00123C4A" w:rsidSect="004F41B1">
      <w:footerReference w:type="even" r:id="rId8"/>
      <w:footerReference w:type="default" r:id="rId9"/>
      <w:pgSz w:w="12240" w:h="15840"/>
      <w:pgMar w:top="1440" w:right="720" w:bottom="1440" w:left="72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6D2" w:rsidRDefault="007B06D2">
      <w:r>
        <w:separator/>
      </w:r>
    </w:p>
  </w:endnote>
  <w:endnote w:type="continuationSeparator" w:id="0">
    <w:p w:rsidR="007B06D2" w:rsidRDefault="007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B9" w:rsidRDefault="00D250B9" w:rsidP="00C922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50B9" w:rsidRDefault="00D250B9" w:rsidP="00C829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B9" w:rsidRDefault="00664609">
    <w:pPr>
      <w:pStyle w:val="Footer"/>
      <w:jc w:val="right"/>
    </w:pPr>
    <w:r>
      <w:fldChar w:fldCharType="begin"/>
    </w:r>
    <w:r>
      <w:instrText xml:space="preserve"> PAGE   \* MERGEFORMAT </w:instrText>
    </w:r>
    <w:r>
      <w:fldChar w:fldCharType="separate"/>
    </w:r>
    <w:r w:rsidR="00B42F43">
      <w:rPr>
        <w:noProof/>
      </w:rPr>
      <w:t>4</w:t>
    </w:r>
    <w:r>
      <w:rPr>
        <w:noProof/>
      </w:rPr>
      <w:fldChar w:fldCharType="end"/>
    </w:r>
  </w:p>
  <w:p w:rsidR="00D250B9" w:rsidRDefault="00D250B9" w:rsidP="00C8291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6D2" w:rsidRDefault="007B06D2">
      <w:r>
        <w:separator/>
      </w:r>
    </w:p>
  </w:footnote>
  <w:footnote w:type="continuationSeparator" w:id="0">
    <w:p w:rsidR="007B06D2" w:rsidRDefault="007B06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42F47"/>
    <w:rsid w:val="00050FBE"/>
    <w:rsid w:val="00076B47"/>
    <w:rsid w:val="0008485B"/>
    <w:rsid w:val="000A39C9"/>
    <w:rsid w:val="000C024F"/>
    <w:rsid w:val="000C4FDF"/>
    <w:rsid w:val="000D0A4D"/>
    <w:rsid w:val="0010435B"/>
    <w:rsid w:val="00107051"/>
    <w:rsid w:val="00123C4A"/>
    <w:rsid w:val="001305D9"/>
    <w:rsid w:val="0016521D"/>
    <w:rsid w:val="001767C5"/>
    <w:rsid w:val="001B0AD0"/>
    <w:rsid w:val="001C2DAF"/>
    <w:rsid w:val="001D3BBF"/>
    <w:rsid w:val="001E45D8"/>
    <w:rsid w:val="001F119B"/>
    <w:rsid w:val="00223DA6"/>
    <w:rsid w:val="00235A34"/>
    <w:rsid w:val="00235ACB"/>
    <w:rsid w:val="00236386"/>
    <w:rsid w:val="00247145"/>
    <w:rsid w:val="00255DC0"/>
    <w:rsid w:val="002738ED"/>
    <w:rsid w:val="002950AF"/>
    <w:rsid w:val="002A5383"/>
    <w:rsid w:val="002A568D"/>
    <w:rsid w:val="002B502A"/>
    <w:rsid w:val="002B5A2A"/>
    <w:rsid w:val="002C1A6D"/>
    <w:rsid w:val="002D3C67"/>
    <w:rsid w:val="002E52E7"/>
    <w:rsid w:val="0031602B"/>
    <w:rsid w:val="00343819"/>
    <w:rsid w:val="00352E2F"/>
    <w:rsid w:val="00361799"/>
    <w:rsid w:val="003A7733"/>
    <w:rsid w:val="00431422"/>
    <w:rsid w:val="00463916"/>
    <w:rsid w:val="00466143"/>
    <w:rsid w:val="004749F4"/>
    <w:rsid w:val="00486E8E"/>
    <w:rsid w:val="004B22D8"/>
    <w:rsid w:val="004D1CBA"/>
    <w:rsid w:val="004F3A9B"/>
    <w:rsid w:val="004F41B1"/>
    <w:rsid w:val="004F69ED"/>
    <w:rsid w:val="00511EB0"/>
    <w:rsid w:val="005170D9"/>
    <w:rsid w:val="00527A3D"/>
    <w:rsid w:val="00542CED"/>
    <w:rsid w:val="00547D49"/>
    <w:rsid w:val="0055264C"/>
    <w:rsid w:val="00572AF2"/>
    <w:rsid w:val="0058135F"/>
    <w:rsid w:val="005B54F5"/>
    <w:rsid w:val="005C59D5"/>
    <w:rsid w:val="005D3F30"/>
    <w:rsid w:val="005F406E"/>
    <w:rsid w:val="005F58C4"/>
    <w:rsid w:val="00621141"/>
    <w:rsid w:val="00626EDF"/>
    <w:rsid w:val="00631227"/>
    <w:rsid w:val="00641518"/>
    <w:rsid w:val="00652B68"/>
    <w:rsid w:val="00654697"/>
    <w:rsid w:val="00662DE4"/>
    <w:rsid w:val="00664609"/>
    <w:rsid w:val="006765C5"/>
    <w:rsid w:val="006854D4"/>
    <w:rsid w:val="0069150A"/>
    <w:rsid w:val="00696BA4"/>
    <w:rsid w:val="006A2410"/>
    <w:rsid w:val="006A5494"/>
    <w:rsid w:val="006E3F02"/>
    <w:rsid w:val="006F5C6F"/>
    <w:rsid w:val="00714F25"/>
    <w:rsid w:val="00783356"/>
    <w:rsid w:val="00783CD0"/>
    <w:rsid w:val="00793CC8"/>
    <w:rsid w:val="007B06D2"/>
    <w:rsid w:val="007C1DED"/>
    <w:rsid w:val="007D0D52"/>
    <w:rsid w:val="007D112C"/>
    <w:rsid w:val="007D1EC9"/>
    <w:rsid w:val="007D7C4E"/>
    <w:rsid w:val="00803356"/>
    <w:rsid w:val="00822F33"/>
    <w:rsid w:val="0084435D"/>
    <w:rsid w:val="008704CB"/>
    <w:rsid w:val="00876ADE"/>
    <w:rsid w:val="00883B1F"/>
    <w:rsid w:val="00897A41"/>
    <w:rsid w:val="008A52B4"/>
    <w:rsid w:val="008B05AA"/>
    <w:rsid w:val="008B6EC7"/>
    <w:rsid w:val="008E5F99"/>
    <w:rsid w:val="008F6A8E"/>
    <w:rsid w:val="00905370"/>
    <w:rsid w:val="00913CA8"/>
    <w:rsid w:val="009338CA"/>
    <w:rsid w:val="00950881"/>
    <w:rsid w:val="00954EB9"/>
    <w:rsid w:val="009B3DCD"/>
    <w:rsid w:val="009D4BF8"/>
    <w:rsid w:val="009E1A4B"/>
    <w:rsid w:val="009E2CD4"/>
    <w:rsid w:val="009E5FB8"/>
    <w:rsid w:val="009E6CE6"/>
    <w:rsid w:val="009F15D9"/>
    <w:rsid w:val="00A014B8"/>
    <w:rsid w:val="00A07055"/>
    <w:rsid w:val="00A40698"/>
    <w:rsid w:val="00A50E5F"/>
    <w:rsid w:val="00A66860"/>
    <w:rsid w:val="00A708F5"/>
    <w:rsid w:val="00A737D9"/>
    <w:rsid w:val="00A92A48"/>
    <w:rsid w:val="00A934B5"/>
    <w:rsid w:val="00A942A1"/>
    <w:rsid w:val="00AC19E5"/>
    <w:rsid w:val="00AD72FB"/>
    <w:rsid w:val="00AD7D9F"/>
    <w:rsid w:val="00AE2D97"/>
    <w:rsid w:val="00AE5BDC"/>
    <w:rsid w:val="00B04E10"/>
    <w:rsid w:val="00B05240"/>
    <w:rsid w:val="00B10B52"/>
    <w:rsid w:val="00B11120"/>
    <w:rsid w:val="00B42F43"/>
    <w:rsid w:val="00B4459C"/>
    <w:rsid w:val="00BB198C"/>
    <w:rsid w:val="00BB798F"/>
    <w:rsid w:val="00BE7B19"/>
    <w:rsid w:val="00BE7FA8"/>
    <w:rsid w:val="00C02F24"/>
    <w:rsid w:val="00C0415E"/>
    <w:rsid w:val="00C0561D"/>
    <w:rsid w:val="00C067C3"/>
    <w:rsid w:val="00C0759F"/>
    <w:rsid w:val="00C14666"/>
    <w:rsid w:val="00C240F5"/>
    <w:rsid w:val="00C276F1"/>
    <w:rsid w:val="00C31E62"/>
    <w:rsid w:val="00C37639"/>
    <w:rsid w:val="00C40822"/>
    <w:rsid w:val="00C43055"/>
    <w:rsid w:val="00C4561D"/>
    <w:rsid w:val="00C46F0F"/>
    <w:rsid w:val="00C62876"/>
    <w:rsid w:val="00C70951"/>
    <w:rsid w:val="00C82919"/>
    <w:rsid w:val="00C9228B"/>
    <w:rsid w:val="00C976E2"/>
    <w:rsid w:val="00CB5840"/>
    <w:rsid w:val="00CB6702"/>
    <w:rsid w:val="00CC41B5"/>
    <w:rsid w:val="00CC60DD"/>
    <w:rsid w:val="00CE4AE3"/>
    <w:rsid w:val="00D17B00"/>
    <w:rsid w:val="00D217FB"/>
    <w:rsid w:val="00D24BFB"/>
    <w:rsid w:val="00D250B9"/>
    <w:rsid w:val="00D4728E"/>
    <w:rsid w:val="00D56D80"/>
    <w:rsid w:val="00D63EC7"/>
    <w:rsid w:val="00D7288F"/>
    <w:rsid w:val="00D76D7C"/>
    <w:rsid w:val="00D8247D"/>
    <w:rsid w:val="00D867EA"/>
    <w:rsid w:val="00DA36A1"/>
    <w:rsid w:val="00DC2E0A"/>
    <w:rsid w:val="00DD2D24"/>
    <w:rsid w:val="00DD3802"/>
    <w:rsid w:val="00E01D17"/>
    <w:rsid w:val="00E04EED"/>
    <w:rsid w:val="00E16888"/>
    <w:rsid w:val="00E351BE"/>
    <w:rsid w:val="00E61A3E"/>
    <w:rsid w:val="00E65FC8"/>
    <w:rsid w:val="00E90DA4"/>
    <w:rsid w:val="00EC1409"/>
    <w:rsid w:val="00EC51A8"/>
    <w:rsid w:val="00EE232D"/>
    <w:rsid w:val="00F01762"/>
    <w:rsid w:val="00F01C9C"/>
    <w:rsid w:val="00F05CBE"/>
    <w:rsid w:val="00F272CE"/>
    <w:rsid w:val="00F36514"/>
    <w:rsid w:val="00F3748E"/>
    <w:rsid w:val="00F4172B"/>
    <w:rsid w:val="00F428BF"/>
    <w:rsid w:val="00F729DC"/>
    <w:rsid w:val="00FF3045"/>
    <w:rsid w:val="00FF6288"/>
    <w:rsid w:val="00FF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link w:val="FooterChar"/>
    <w:uiPriority w:val="99"/>
    <w:rsid w:val="00C82919"/>
    <w:pPr>
      <w:tabs>
        <w:tab w:val="center" w:pos="4320"/>
        <w:tab w:val="right" w:pos="8640"/>
      </w:tabs>
    </w:pPr>
  </w:style>
  <w:style w:type="character" w:styleId="PageNumber">
    <w:name w:val="page number"/>
    <w:basedOn w:val="DefaultParagraphFont"/>
    <w:rsid w:val="00C82919"/>
  </w:style>
  <w:style w:type="table" w:styleId="TableGrid">
    <w:name w:val="Table Grid"/>
    <w:basedOn w:val="TableNormal"/>
    <w:rsid w:val="00E168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2B5A2A"/>
    <w:rPr>
      <w:sz w:val="16"/>
      <w:szCs w:val="16"/>
    </w:rPr>
  </w:style>
  <w:style w:type="paragraph" w:styleId="CommentText">
    <w:name w:val="annotation text"/>
    <w:basedOn w:val="Normal"/>
    <w:link w:val="CommentTextChar"/>
    <w:rsid w:val="002B5A2A"/>
    <w:rPr>
      <w:sz w:val="20"/>
      <w:szCs w:val="20"/>
    </w:rPr>
  </w:style>
  <w:style w:type="character" w:customStyle="1" w:styleId="CommentTextChar">
    <w:name w:val="Comment Text Char"/>
    <w:basedOn w:val="DefaultParagraphFont"/>
    <w:link w:val="CommentText"/>
    <w:rsid w:val="002B5A2A"/>
  </w:style>
  <w:style w:type="paragraph" w:styleId="CommentSubject">
    <w:name w:val="annotation subject"/>
    <w:basedOn w:val="CommentText"/>
    <w:next w:val="CommentText"/>
    <w:link w:val="CommentSubjectChar"/>
    <w:rsid w:val="002B5A2A"/>
    <w:rPr>
      <w:b/>
      <w:bCs/>
    </w:rPr>
  </w:style>
  <w:style w:type="character" w:customStyle="1" w:styleId="CommentSubjectChar">
    <w:name w:val="Comment Subject Char"/>
    <w:link w:val="CommentSubject"/>
    <w:rsid w:val="002B5A2A"/>
    <w:rPr>
      <w:b/>
      <w:bCs/>
    </w:rPr>
  </w:style>
  <w:style w:type="paragraph" w:styleId="Header">
    <w:name w:val="header"/>
    <w:basedOn w:val="Normal"/>
    <w:link w:val="HeaderChar"/>
    <w:rsid w:val="004F41B1"/>
    <w:pPr>
      <w:tabs>
        <w:tab w:val="center" w:pos="4680"/>
        <w:tab w:val="right" w:pos="9360"/>
      </w:tabs>
    </w:pPr>
  </w:style>
  <w:style w:type="character" w:customStyle="1" w:styleId="HeaderChar">
    <w:name w:val="Header Char"/>
    <w:link w:val="Header"/>
    <w:rsid w:val="004F41B1"/>
    <w:rPr>
      <w:sz w:val="24"/>
      <w:szCs w:val="24"/>
    </w:rPr>
  </w:style>
  <w:style w:type="character" w:customStyle="1" w:styleId="FooterChar">
    <w:name w:val="Footer Char"/>
    <w:link w:val="Footer"/>
    <w:uiPriority w:val="99"/>
    <w:rsid w:val="004F41B1"/>
    <w:rPr>
      <w:sz w:val="24"/>
      <w:szCs w:val="24"/>
    </w:rPr>
  </w:style>
  <w:style w:type="paragraph" w:styleId="ListParagraph">
    <w:name w:val="List Paragraph"/>
    <w:basedOn w:val="Normal"/>
    <w:uiPriority w:val="34"/>
    <w:qFormat/>
    <w:rsid w:val="00793C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link w:val="FooterChar"/>
    <w:uiPriority w:val="99"/>
    <w:rsid w:val="00C82919"/>
    <w:pPr>
      <w:tabs>
        <w:tab w:val="center" w:pos="4320"/>
        <w:tab w:val="right" w:pos="8640"/>
      </w:tabs>
    </w:pPr>
  </w:style>
  <w:style w:type="character" w:styleId="PageNumber">
    <w:name w:val="page number"/>
    <w:basedOn w:val="DefaultParagraphFont"/>
    <w:rsid w:val="00C82919"/>
  </w:style>
  <w:style w:type="table" w:styleId="TableGrid">
    <w:name w:val="Table Grid"/>
    <w:basedOn w:val="TableNormal"/>
    <w:rsid w:val="00E168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2B5A2A"/>
    <w:rPr>
      <w:sz w:val="16"/>
      <w:szCs w:val="16"/>
    </w:rPr>
  </w:style>
  <w:style w:type="paragraph" w:styleId="CommentText">
    <w:name w:val="annotation text"/>
    <w:basedOn w:val="Normal"/>
    <w:link w:val="CommentTextChar"/>
    <w:rsid w:val="002B5A2A"/>
    <w:rPr>
      <w:sz w:val="20"/>
      <w:szCs w:val="20"/>
    </w:rPr>
  </w:style>
  <w:style w:type="character" w:customStyle="1" w:styleId="CommentTextChar">
    <w:name w:val="Comment Text Char"/>
    <w:basedOn w:val="DefaultParagraphFont"/>
    <w:link w:val="CommentText"/>
    <w:rsid w:val="002B5A2A"/>
  </w:style>
  <w:style w:type="paragraph" w:styleId="CommentSubject">
    <w:name w:val="annotation subject"/>
    <w:basedOn w:val="CommentText"/>
    <w:next w:val="CommentText"/>
    <w:link w:val="CommentSubjectChar"/>
    <w:rsid w:val="002B5A2A"/>
    <w:rPr>
      <w:b/>
      <w:bCs/>
    </w:rPr>
  </w:style>
  <w:style w:type="character" w:customStyle="1" w:styleId="CommentSubjectChar">
    <w:name w:val="Comment Subject Char"/>
    <w:link w:val="CommentSubject"/>
    <w:rsid w:val="002B5A2A"/>
    <w:rPr>
      <w:b/>
      <w:bCs/>
    </w:rPr>
  </w:style>
  <w:style w:type="paragraph" w:styleId="Header">
    <w:name w:val="header"/>
    <w:basedOn w:val="Normal"/>
    <w:link w:val="HeaderChar"/>
    <w:rsid w:val="004F41B1"/>
    <w:pPr>
      <w:tabs>
        <w:tab w:val="center" w:pos="4680"/>
        <w:tab w:val="right" w:pos="9360"/>
      </w:tabs>
    </w:pPr>
  </w:style>
  <w:style w:type="character" w:customStyle="1" w:styleId="HeaderChar">
    <w:name w:val="Header Char"/>
    <w:link w:val="Header"/>
    <w:rsid w:val="004F41B1"/>
    <w:rPr>
      <w:sz w:val="24"/>
      <w:szCs w:val="24"/>
    </w:rPr>
  </w:style>
  <w:style w:type="character" w:customStyle="1" w:styleId="FooterChar">
    <w:name w:val="Footer Char"/>
    <w:link w:val="Footer"/>
    <w:uiPriority w:val="99"/>
    <w:rsid w:val="004F41B1"/>
    <w:rPr>
      <w:sz w:val="24"/>
      <w:szCs w:val="24"/>
    </w:rPr>
  </w:style>
  <w:style w:type="paragraph" w:styleId="ListParagraph">
    <w:name w:val="List Paragraph"/>
    <w:basedOn w:val="Normal"/>
    <w:uiPriority w:val="34"/>
    <w:qFormat/>
    <w:rsid w:val="00793C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1288</Words>
  <Characters>7322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roulech</cp:lastModifiedBy>
  <cp:revision>2</cp:revision>
  <cp:lastPrinted>2014-03-12T12:44:00Z</cp:lastPrinted>
  <dcterms:created xsi:type="dcterms:W3CDTF">2014-04-11T14:01:00Z</dcterms:created>
  <dcterms:modified xsi:type="dcterms:W3CDTF">2014-04-11T14:01:00Z</dcterms:modified>
</cp:coreProperties>
</file>