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57EF8" w14:textId="77777777" w:rsidR="00CA3B99" w:rsidRPr="006D6EEA" w:rsidRDefault="00CA3B99" w:rsidP="00A341C1">
      <w:pPr>
        <w:widowControl/>
        <w:tabs>
          <w:tab w:val="center" w:pos="4680"/>
        </w:tabs>
        <w:jc w:val="center"/>
        <w:rPr>
          <w:bCs/>
          <w:sz w:val="26"/>
          <w:szCs w:val="26"/>
        </w:rPr>
      </w:pPr>
      <w:bookmarkStart w:id="0" w:name="_GoBack"/>
      <w:bookmarkEnd w:id="0"/>
      <w:r w:rsidRPr="006D6EEA">
        <w:rPr>
          <w:bCs/>
          <w:sz w:val="26"/>
          <w:szCs w:val="26"/>
        </w:rPr>
        <w:t>Supporting Statement for</w:t>
      </w:r>
    </w:p>
    <w:p w14:paraId="7E34C5E2" w14:textId="77777777" w:rsidR="00CA3B99" w:rsidRDefault="00CA3B99" w:rsidP="00A3065F">
      <w:pPr>
        <w:widowControl/>
        <w:tabs>
          <w:tab w:val="center" w:pos="5040"/>
        </w:tabs>
        <w:jc w:val="center"/>
        <w:rPr>
          <w:b/>
          <w:bCs/>
          <w:sz w:val="26"/>
          <w:szCs w:val="26"/>
        </w:rPr>
      </w:pPr>
      <w:r w:rsidRPr="006D6EEA">
        <w:rPr>
          <w:b/>
          <w:bCs/>
          <w:sz w:val="26"/>
          <w:szCs w:val="26"/>
        </w:rPr>
        <w:t xml:space="preserve">FERC-545 (Gas Pipeline </w:t>
      </w:r>
      <w:r w:rsidR="00A72889">
        <w:rPr>
          <w:b/>
          <w:bCs/>
          <w:sz w:val="26"/>
          <w:szCs w:val="26"/>
        </w:rPr>
        <w:t xml:space="preserve">Rates: Rate Change Non-Formal) and </w:t>
      </w:r>
    </w:p>
    <w:p w14:paraId="49986E7B" w14:textId="77777777" w:rsidR="00B57842" w:rsidRDefault="00A72889" w:rsidP="00A3065F">
      <w:pPr>
        <w:widowControl/>
        <w:tabs>
          <w:tab w:val="center" w:pos="5040"/>
        </w:tabs>
        <w:jc w:val="center"/>
        <w:rPr>
          <w:b/>
          <w:bCs/>
          <w:sz w:val="26"/>
          <w:szCs w:val="26"/>
        </w:rPr>
      </w:pPr>
      <w:r w:rsidRPr="00A72889">
        <w:rPr>
          <w:b/>
          <w:bCs/>
          <w:sz w:val="26"/>
          <w:szCs w:val="26"/>
        </w:rPr>
        <w:t xml:space="preserve">FERC-549C </w:t>
      </w:r>
      <w:r w:rsidR="00C674AD">
        <w:rPr>
          <w:b/>
          <w:bCs/>
          <w:sz w:val="26"/>
          <w:szCs w:val="26"/>
        </w:rPr>
        <w:t>(</w:t>
      </w:r>
      <w:r w:rsidRPr="00A72889">
        <w:rPr>
          <w:b/>
          <w:bCs/>
          <w:sz w:val="26"/>
          <w:szCs w:val="26"/>
        </w:rPr>
        <w:t>Standards for Business Practices of Interstate Natural Gas Pipelines</w:t>
      </w:r>
      <w:r w:rsidR="00C674AD">
        <w:rPr>
          <w:b/>
          <w:bCs/>
          <w:sz w:val="26"/>
          <w:szCs w:val="26"/>
        </w:rPr>
        <w:t>)</w:t>
      </w:r>
      <w:r>
        <w:rPr>
          <w:b/>
          <w:bCs/>
          <w:sz w:val="26"/>
          <w:szCs w:val="26"/>
        </w:rPr>
        <w:t xml:space="preserve">, </w:t>
      </w:r>
    </w:p>
    <w:p w14:paraId="77D3366D" w14:textId="77777777" w:rsidR="00A72889" w:rsidRPr="006D6EEA" w:rsidRDefault="00A72889" w:rsidP="00A3065F">
      <w:pPr>
        <w:widowControl/>
        <w:tabs>
          <w:tab w:val="center" w:pos="5040"/>
        </w:tabs>
        <w:jc w:val="center"/>
        <w:rPr>
          <w:b/>
          <w:bCs/>
          <w:sz w:val="26"/>
          <w:szCs w:val="26"/>
        </w:rPr>
      </w:pPr>
      <w:proofErr w:type="gramStart"/>
      <w:r>
        <w:rPr>
          <w:b/>
          <w:bCs/>
          <w:sz w:val="26"/>
          <w:szCs w:val="26"/>
        </w:rPr>
        <w:t>as</w:t>
      </w:r>
      <w:proofErr w:type="gramEnd"/>
      <w:r>
        <w:rPr>
          <w:b/>
          <w:bCs/>
          <w:sz w:val="26"/>
          <w:szCs w:val="26"/>
        </w:rPr>
        <w:t xml:space="preserve"> revised by NOPR in Docket No. RM14-2</w:t>
      </w:r>
      <w:r w:rsidR="00B57842">
        <w:rPr>
          <w:b/>
          <w:bCs/>
          <w:sz w:val="26"/>
          <w:szCs w:val="26"/>
        </w:rPr>
        <w:t>-000</w:t>
      </w:r>
    </w:p>
    <w:p w14:paraId="7CDBFA51" w14:textId="77777777" w:rsidR="00CA3B99" w:rsidRPr="006D6EEA" w:rsidRDefault="00CA3B99" w:rsidP="00A3065F">
      <w:pPr>
        <w:widowControl/>
        <w:tabs>
          <w:tab w:val="center" w:pos="4680"/>
        </w:tabs>
        <w:jc w:val="center"/>
        <w:rPr>
          <w:b/>
          <w:bCs/>
          <w:sz w:val="26"/>
          <w:szCs w:val="26"/>
        </w:rPr>
      </w:pPr>
      <w:r>
        <w:rPr>
          <w:b/>
          <w:bCs/>
          <w:sz w:val="26"/>
          <w:szCs w:val="26"/>
        </w:rPr>
        <w:t xml:space="preserve"> </w:t>
      </w:r>
    </w:p>
    <w:p w14:paraId="1E1EE5E5" w14:textId="77777777" w:rsidR="00CA3B99" w:rsidRPr="006D6EEA" w:rsidRDefault="00CA3B99">
      <w:pPr>
        <w:rPr>
          <w:sz w:val="26"/>
          <w:szCs w:val="26"/>
        </w:rPr>
      </w:pPr>
    </w:p>
    <w:p w14:paraId="22664E65" w14:textId="77777777" w:rsidR="0041210E" w:rsidRDefault="00CA3B99" w:rsidP="00950A39">
      <w:pPr>
        <w:ind w:firstLine="360"/>
        <w:rPr>
          <w:sz w:val="26"/>
          <w:szCs w:val="26"/>
        </w:rPr>
      </w:pPr>
      <w:r w:rsidRPr="006D6EEA">
        <w:rPr>
          <w:sz w:val="26"/>
          <w:szCs w:val="26"/>
        </w:rPr>
        <w:t>The Federal Energy Regulatory Commission (Commission or FERC) requests that the Office of Management and Budget (OMB) review and approve</w:t>
      </w:r>
      <w:r w:rsidR="006120E4">
        <w:rPr>
          <w:sz w:val="26"/>
          <w:szCs w:val="26"/>
        </w:rPr>
        <w:t xml:space="preserve"> </w:t>
      </w:r>
      <w:r w:rsidRPr="006D6EEA">
        <w:rPr>
          <w:sz w:val="26"/>
          <w:szCs w:val="26"/>
        </w:rPr>
        <w:t xml:space="preserve">changes </w:t>
      </w:r>
      <w:r w:rsidR="0041210E">
        <w:rPr>
          <w:sz w:val="26"/>
          <w:szCs w:val="26"/>
        </w:rPr>
        <w:t>proposed in the Notice of Proposed Rulemaking (NOPR)</w:t>
      </w:r>
      <w:r>
        <w:rPr>
          <w:sz w:val="26"/>
          <w:szCs w:val="26"/>
        </w:rPr>
        <w:t xml:space="preserve"> in Docket</w:t>
      </w:r>
      <w:r w:rsidRPr="009B7756">
        <w:rPr>
          <w:sz w:val="26"/>
          <w:szCs w:val="26"/>
        </w:rPr>
        <w:t xml:space="preserve"> </w:t>
      </w:r>
      <w:r w:rsidR="00C674AD">
        <w:rPr>
          <w:sz w:val="26"/>
          <w:szCs w:val="26"/>
        </w:rPr>
        <w:t xml:space="preserve">No. </w:t>
      </w:r>
      <w:r w:rsidRPr="009B7756">
        <w:rPr>
          <w:sz w:val="26"/>
          <w:szCs w:val="26"/>
        </w:rPr>
        <w:t>RM</w:t>
      </w:r>
      <w:r w:rsidR="006120E4">
        <w:rPr>
          <w:sz w:val="26"/>
          <w:szCs w:val="26"/>
        </w:rPr>
        <w:t>14-2</w:t>
      </w:r>
      <w:r w:rsidR="0041210E">
        <w:rPr>
          <w:sz w:val="26"/>
          <w:szCs w:val="26"/>
        </w:rPr>
        <w:t xml:space="preserve"> to:</w:t>
      </w:r>
    </w:p>
    <w:p w14:paraId="49DA481D" w14:textId="77777777" w:rsidR="00CA3B99" w:rsidRPr="006D6EEA" w:rsidRDefault="00CA3B99" w:rsidP="000478BB">
      <w:pPr>
        <w:ind w:firstLine="720"/>
        <w:rPr>
          <w:sz w:val="26"/>
          <w:szCs w:val="26"/>
        </w:rPr>
      </w:pPr>
      <w:r w:rsidRPr="006D6EEA">
        <w:rPr>
          <w:sz w:val="26"/>
          <w:szCs w:val="26"/>
        </w:rPr>
        <w:t xml:space="preserve"> </w:t>
      </w:r>
    </w:p>
    <w:p w14:paraId="560D6F0E" w14:textId="77777777" w:rsidR="006120E4" w:rsidRDefault="00CA3B99" w:rsidP="006D6EEA">
      <w:pPr>
        <w:pStyle w:val="ListParagraph"/>
        <w:numPr>
          <w:ilvl w:val="0"/>
          <w:numId w:val="1"/>
        </w:numPr>
        <w:rPr>
          <w:sz w:val="26"/>
          <w:szCs w:val="26"/>
        </w:rPr>
      </w:pPr>
      <w:r w:rsidRPr="006120E4">
        <w:rPr>
          <w:sz w:val="26"/>
          <w:szCs w:val="26"/>
        </w:rPr>
        <w:t>FERC-545 (Gas Pipeline Rates: Rate Change Non-Formal), OMB Control No. 1902-0154</w:t>
      </w:r>
      <w:r w:rsidR="006120E4" w:rsidRPr="006120E4">
        <w:rPr>
          <w:sz w:val="26"/>
          <w:szCs w:val="26"/>
        </w:rPr>
        <w:t xml:space="preserve"> and </w:t>
      </w:r>
    </w:p>
    <w:p w14:paraId="5C6A42DA" w14:textId="77777777" w:rsidR="006120E4" w:rsidRPr="006120E4" w:rsidRDefault="006120E4" w:rsidP="006120E4">
      <w:pPr>
        <w:pStyle w:val="ListParagraph"/>
        <w:numPr>
          <w:ilvl w:val="0"/>
          <w:numId w:val="1"/>
        </w:numPr>
        <w:rPr>
          <w:sz w:val="26"/>
          <w:szCs w:val="26"/>
        </w:rPr>
      </w:pPr>
      <w:r>
        <w:rPr>
          <w:sz w:val="26"/>
          <w:szCs w:val="26"/>
        </w:rPr>
        <w:t>F</w:t>
      </w:r>
      <w:r w:rsidRPr="006120E4">
        <w:rPr>
          <w:sz w:val="26"/>
          <w:szCs w:val="26"/>
        </w:rPr>
        <w:t xml:space="preserve">ERC-549C </w:t>
      </w:r>
      <w:r w:rsidR="0041210E">
        <w:rPr>
          <w:sz w:val="26"/>
          <w:szCs w:val="26"/>
        </w:rPr>
        <w:t>(</w:t>
      </w:r>
      <w:r w:rsidRPr="006120E4">
        <w:rPr>
          <w:sz w:val="26"/>
          <w:szCs w:val="26"/>
        </w:rPr>
        <w:t>Standards for Business Practices of Interstate Natural Gas Pipelines</w:t>
      </w:r>
      <w:r w:rsidR="0041210E">
        <w:rPr>
          <w:sz w:val="26"/>
          <w:szCs w:val="26"/>
        </w:rPr>
        <w:t>),</w:t>
      </w:r>
      <w:r w:rsidRPr="006252AA">
        <w:rPr>
          <w:sz w:val="26"/>
          <w:szCs w:val="26"/>
        </w:rPr>
        <w:t xml:space="preserve"> </w:t>
      </w:r>
      <w:r>
        <w:rPr>
          <w:sz w:val="26"/>
          <w:szCs w:val="26"/>
        </w:rPr>
        <w:t>OMB Control No. 1902-0174.</w:t>
      </w:r>
    </w:p>
    <w:p w14:paraId="73938C12" w14:textId="77777777" w:rsidR="006120E4" w:rsidRPr="006120E4" w:rsidRDefault="006120E4" w:rsidP="006120E4">
      <w:pPr>
        <w:pStyle w:val="ListParagraph"/>
        <w:ind w:left="360"/>
        <w:rPr>
          <w:sz w:val="26"/>
          <w:szCs w:val="26"/>
        </w:rPr>
      </w:pPr>
    </w:p>
    <w:p w14:paraId="7E71776F" w14:textId="77777777" w:rsidR="00CA3B99" w:rsidRPr="006120E4" w:rsidRDefault="00546516" w:rsidP="006120E4">
      <w:pPr>
        <w:pStyle w:val="ListParagraph"/>
        <w:ind w:left="0"/>
        <w:rPr>
          <w:sz w:val="26"/>
          <w:szCs w:val="26"/>
        </w:rPr>
      </w:pPr>
      <w:r w:rsidRPr="006120E4">
        <w:rPr>
          <w:sz w:val="26"/>
          <w:szCs w:val="26"/>
          <w:highlight w:val="lightGray"/>
        </w:rPr>
        <w:t xml:space="preserve">The </w:t>
      </w:r>
      <w:r w:rsidR="006120E4">
        <w:rPr>
          <w:sz w:val="26"/>
          <w:szCs w:val="26"/>
          <w:highlight w:val="lightGray"/>
        </w:rPr>
        <w:t xml:space="preserve">NOPR in Docket RM14-2 </w:t>
      </w:r>
      <w:r w:rsidRPr="006120E4">
        <w:rPr>
          <w:sz w:val="26"/>
          <w:szCs w:val="26"/>
          <w:highlight w:val="lightGray"/>
        </w:rPr>
        <w:t>affect</w:t>
      </w:r>
      <w:r w:rsidR="006120E4">
        <w:rPr>
          <w:sz w:val="26"/>
          <w:szCs w:val="26"/>
          <w:highlight w:val="lightGray"/>
        </w:rPr>
        <w:t>s</w:t>
      </w:r>
      <w:r w:rsidRPr="006120E4">
        <w:rPr>
          <w:sz w:val="26"/>
          <w:szCs w:val="26"/>
          <w:highlight w:val="lightGray"/>
        </w:rPr>
        <w:t xml:space="preserve"> </w:t>
      </w:r>
      <w:r w:rsidR="00784BDA" w:rsidRPr="006120E4">
        <w:rPr>
          <w:sz w:val="26"/>
          <w:szCs w:val="26"/>
          <w:highlight w:val="lightGray"/>
        </w:rPr>
        <w:t>subsets</w:t>
      </w:r>
      <w:r w:rsidRPr="006120E4">
        <w:rPr>
          <w:sz w:val="26"/>
          <w:szCs w:val="26"/>
          <w:highlight w:val="lightGray"/>
        </w:rPr>
        <w:t xml:space="preserve"> of </w:t>
      </w:r>
      <w:r w:rsidR="00784BDA" w:rsidRPr="006120E4">
        <w:rPr>
          <w:sz w:val="26"/>
          <w:szCs w:val="26"/>
          <w:highlight w:val="lightGray"/>
        </w:rPr>
        <w:t xml:space="preserve">the </w:t>
      </w:r>
      <w:r w:rsidR="00C674AD">
        <w:rPr>
          <w:sz w:val="26"/>
          <w:szCs w:val="26"/>
          <w:highlight w:val="lightGray"/>
        </w:rPr>
        <w:t>two</w:t>
      </w:r>
      <w:r w:rsidRPr="006120E4">
        <w:rPr>
          <w:sz w:val="26"/>
          <w:szCs w:val="26"/>
          <w:highlight w:val="lightGray"/>
        </w:rPr>
        <w:t xml:space="preserve"> OMB Control Nos.</w:t>
      </w:r>
      <w:r w:rsidR="00784BDA" w:rsidRPr="006120E4">
        <w:rPr>
          <w:sz w:val="26"/>
          <w:szCs w:val="26"/>
          <w:highlight w:val="lightGray"/>
        </w:rPr>
        <w:t xml:space="preserve">   </w:t>
      </w:r>
      <w:r w:rsidRPr="006120E4">
        <w:rPr>
          <w:sz w:val="26"/>
          <w:szCs w:val="26"/>
          <w:highlight w:val="lightGray"/>
        </w:rPr>
        <w:t xml:space="preserve">FERC is submitting this consolidated supporting statement to OMB </w:t>
      </w:r>
      <w:r w:rsidR="00784BDA" w:rsidRPr="006120E4">
        <w:rPr>
          <w:sz w:val="26"/>
          <w:szCs w:val="26"/>
          <w:highlight w:val="lightGray"/>
        </w:rPr>
        <w:t xml:space="preserve">with one ICR </w:t>
      </w:r>
      <w:r w:rsidRPr="006120E4">
        <w:rPr>
          <w:sz w:val="26"/>
          <w:szCs w:val="26"/>
          <w:highlight w:val="lightGray"/>
        </w:rPr>
        <w:t xml:space="preserve">for each of the </w:t>
      </w:r>
      <w:r w:rsidR="006120E4">
        <w:rPr>
          <w:sz w:val="26"/>
          <w:szCs w:val="26"/>
          <w:highlight w:val="lightGray"/>
        </w:rPr>
        <w:t>2</w:t>
      </w:r>
      <w:r w:rsidRPr="006120E4">
        <w:rPr>
          <w:sz w:val="26"/>
          <w:szCs w:val="26"/>
          <w:highlight w:val="lightGray"/>
        </w:rPr>
        <w:t xml:space="preserve"> </w:t>
      </w:r>
      <w:r w:rsidR="00784BDA" w:rsidRPr="006120E4">
        <w:rPr>
          <w:sz w:val="26"/>
          <w:szCs w:val="26"/>
          <w:highlight w:val="lightGray"/>
        </w:rPr>
        <w:t xml:space="preserve">separate </w:t>
      </w:r>
      <w:r w:rsidRPr="006120E4">
        <w:rPr>
          <w:sz w:val="26"/>
          <w:szCs w:val="26"/>
          <w:highlight w:val="lightGray"/>
        </w:rPr>
        <w:t>OMB Control Numbers.</w:t>
      </w:r>
    </w:p>
    <w:p w14:paraId="61FFE8EA" w14:textId="77777777" w:rsidR="006120E4" w:rsidRDefault="006120E4" w:rsidP="006C749F">
      <w:pPr>
        <w:rPr>
          <w:sz w:val="26"/>
          <w:szCs w:val="26"/>
        </w:rPr>
      </w:pPr>
    </w:p>
    <w:p w14:paraId="31974222" w14:textId="77777777" w:rsidR="00CA3B99" w:rsidRDefault="00CA3B99" w:rsidP="00D13B16">
      <w:pPr>
        <w:ind w:firstLine="360"/>
        <w:rPr>
          <w:sz w:val="26"/>
          <w:szCs w:val="26"/>
        </w:rPr>
      </w:pPr>
      <w:r>
        <w:rPr>
          <w:sz w:val="26"/>
          <w:szCs w:val="26"/>
        </w:rPr>
        <w:t xml:space="preserve">General information about the filing requirements that are not modified by the </w:t>
      </w:r>
      <w:r w:rsidR="006120E4">
        <w:rPr>
          <w:sz w:val="26"/>
          <w:szCs w:val="26"/>
        </w:rPr>
        <w:t>NOPR</w:t>
      </w:r>
      <w:r w:rsidRPr="007202AB">
        <w:rPr>
          <w:sz w:val="26"/>
          <w:szCs w:val="26"/>
          <w:vertAlign w:val="superscript"/>
        </w:rPr>
        <w:t xml:space="preserve"> </w:t>
      </w:r>
      <w:r>
        <w:rPr>
          <w:sz w:val="26"/>
          <w:szCs w:val="26"/>
        </w:rPr>
        <w:t>is also provided in this supporting statement for background, under Questions 1 and 2.</w:t>
      </w:r>
    </w:p>
    <w:p w14:paraId="12D0E620" w14:textId="77777777" w:rsidR="00CA3B99" w:rsidRDefault="00CA3B99" w:rsidP="006C749F">
      <w:pPr>
        <w:rPr>
          <w:sz w:val="26"/>
          <w:szCs w:val="26"/>
        </w:rPr>
      </w:pPr>
    </w:p>
    <w:p w14:paraId="73190FF2" w14:textId="2728A119" w:rsidR="00CA3B99" w:rsidRPr="006C749F" w:rsidRDefault="00CA3B99" w:rsidP="00950A39">
      <w:pPr>
        <w:ind w:left="360" w:hanging="360"/>
        <w:rPr>
          <w:b/>
          <w:sz w:val="26"/>
          <w:szCs w:val="26"/>
        </w:rPr>
      </w:pPr>
      <w:r w:rsidRPr="006C749F">
        <w:rPr>
          <w:b/>
          <w:sz w:val="26"/>
          <w:szCs w:val="26"/>
        </w:rPr>
        <w:t>A.</w:t>
      </w:r>
      <w:r w:rsidR="004727F9">
        <w:rPr>
          <w:b/>
          <w:sz w:val="26"/>
          <w:szCs w:val="26"/>
        </w:rPr>
        <w:t xml:space="preserve">  </w:t>
      </w:r>
      <w:r w:rsidRPr="006C749F">
        <w:rPr>
          <w:b/>
          <w:sz w:val="26"/>
          <w:szCs w:val="26"/>
        </w:rPr>
        <w:t>Justification</w:t>
      </w:r>
    </w:p>
    <w:p w14:paraId="2385AB34" w14:textId="77777777" w:rsidR="00CA3B99" w:rsidRPr="006C749F" w:rsidRDefault="00CA3B99" w:rsidP="00636AAB">
      <w:pPr>
        <w:rPr>
          <w:b/>
          <w:sz w:val="26"/>
          <w:szCs w:val="26"/>
        </w:rPr>
      </w:pPr>
    </w:p>
    <w:p w14:paraId="5A05C022" w14:textId="77777777" w:rsidR="00CA3B99" w:rsidRPr="007202AB" w:rsidRDefault="00CA3B99" w:rsidP="00636AAB">
      <w:pPr>
        <w:pStyle w:val="ListParagraph"/>
        <w:numPr>
          <w:ilvl w:val="0"/>
          <w:numId w:val="2"/>
        </w:numPr>
        <w:rPr>
          <w:b/>
          <w:sz w:val="26"/>
          <w:szCs w:val="26"/>
        </w:rPr>
      </w:pPr>
      <w:r w:rsidRPr="006C749F">
        <w:rPr>
          <w:b/>
          <w:sz w:val="26"/>
          <w:szCs w:val="26"/>
        </w:rPr>
        <w:t xml:space="preserve">CIRCUMSTANCES THAT MAKE THE COLLECTION OF INFORMATION NECESSARY </w:t>
      </w:r>
    </w:p>
    <w:p w14:paraId="29A8B4D1" w14:textId="77777777" w:rsidR="00CA3B99" w:rsidRDefault="00CA3B99" w:rsidP="006C749F">
      <w:pPr>
        <w:rPr>
          <w:sz w:val="26"/>
          <w:szCs w:val="26"/>
        </w:rPr>
      </w:pPr>
    </w:p>
    <w:p w14:paraId="482D6EF2" w14:textId="02A996D5" w:rsidR="00654C33" w:rsidRDefault="00A02247" w:rsidP="00D13B16">
      <w:pPr>
        <w:ind w:firstLine="360"/>
        <w:rPr>
          <w:sz w:val="26"/>
          <w:szCs w:val="26"/>
        </w:rPr>
      </w:pPr>
      <w:r w:rsidRPr="00A02247">
        <w:rPr>
          <w:sz w:val="26"/>
          <w:szCs w:val="26"/>
        </w:rPr>
        <w:t>In this NOPR</w:t>
      </w:r>
      <w:r>
        <w:rPr>
          <w:sz w:val="26"/>
          <w:szCs w:val="26"/>
        </w:rPr>
        <w:t xml:space="preserve"> in RM14-2</w:t>
      </w:r>
      <w:r w:rsidRPr="00A02247">
        <w:rPr>
          <w:sz w:val="26"/>
          <w:szCs w:val="26"/>
        </w:rPr>
        <w:t>,</w:t>
      </w:r>
      <w:r w:rsidR="0003164C">
        <w:rPr>
          <w:rStyle w:val="FootnoteReference"/>
          <w:sz w:val="26"/>
          <w:szCs w:val="26"/>
        </w:rPr>
        <w:footnoteReference w:id="1"/>
      </w:r>
      <w:r w:rsidRPr="00A02247">
        <w:rPr>
          <w:sz w:val="26"/>
          <w:szCs w:val="26"/>
        </w:rPr>
        <w:t xml:space="preserve"> FERC </w:t>
      </w:r>
      <w:r w:rsidR="006E1C2A" w:rsidRPr="006E1C2A">
        <w:rPr>
          <w:sz w:val="26"/>
          <w:szCs w:val="26"/>
        </w:rPr>
        <w:t xml:space="preserve">proposes to amend its regulations at </w:t>
      </w:r>
      <w:r w:rsidR="006E1C2A">
        <w:rPr>
          <w:sz w:val="26"/>
          <w:szCs w:val="26"/>
        </w:rPr>
        <w:t>18</w:t>
      </w:r>
      <w:r w:rsidR="006B7AF3">
        <w:rPr>
          <w:sz w:val="26"/>
          <w:szCs w:val="26"/>
        </w:rPr>
        <w:t xml:space="preserve"> </w:t>
      </w:r>
      <w:r w:rsidR="006E1C2A">
        <w:rPr>
          <w:sz w:val="26"/>
          <w:szCs w:val="26"/>
        </w:rPr>
        <w:t>C</w:t>
      </w:r>
      <w:r w:rsidR="006B7AF3">
        <w:rPr>
          <w:sz w:val="26"/>
          <w:szCs w:val="26"/>
        </w:rPr>
        <w:t>.</w:t>
      </w:r>
      <w:r w:rsidR="006E1C2A">
        <w:rPr>
          <w:sz w:val="26"/>
          <w:szCs w:val="26"/>
        </w:rPr>
        <w:t>F</w:t>
      </w:r>
      <w:r w:rsidR="006B7AF3">
        <w:rPr>
          <w:sz w:val="26"/>
          <w:szCs w:val="26"/>
        </w:rPr>
        <w:t>.</w:t>
      </w:r>
      <w:r w:rsidR="006E1C2A">
        <w:rPr>
          <w:sz w:val="26"/>
          <w:szCs w:val="26"/>
        </w:rPr>
        <w:t>R</w:t>
      </w:r>
      <w:r w:rsidR="006B7AF3">
        <w:rPr>
          <w:sz w:val="26"/>
          <w:szCs w:val="26"/>
        </w:rPr>
        <w:t>.</w:t>
      </w:r>
      <w:r w:rsidR="006E1C2A">
        <w:rPr>
          <w:sz w:val="26"/>
          <w:szCs w:val="26"/>
        </w:rPr>
        <w:t xml:space="preserve"> </w:t>
      </w:r>
      <w:r w:rsidR="006E1C2A" w:rsidRPr="006E1C2A">
        <w:rPr>
          <w:sz w:val="26"/>
          <w:szCs w:val="26"/>
        </w:rPr>
        <w:t>section 284.12 relating to the scheduling of transportation service on interstate natural gas pipelines to better coordinate the scheduling practices of the natural gas and electricity industries</w:t>
      </w:r>
      <w:r w:rsidR="006E1C2A">
        <w:rPr>
          <w:sz w:val="26"/>
          <w:szCs w:val="26"/>
        </w:rPr>
        <w:t xml:space="preserve"> (in light of increased reliance on natural gas for electric generation)</w:t>
      </w:r>
      <w:r w:rsidR="006E1C2A" w:rsidRPr="006E1C2A">
        <w:rPr>
          <w:sz w:val="26"/>
          <w:szCs w:val="26"/>
        </w:rPr>
        <w:t xml:space="preserve">, as well as to provide additional scheduling flexibility to all shippers on interstate natural gas pipelines.  </w:t>
      </w:r>
      <w:r w:rsidRPr="00A02247">
        <w:rPr>
          <w:sz w:val="26"/>
          <w:szCs w:val="26"/>
        </w:rPr>
        <w:t xml:space="preserve">The proposed revisions deal principally with revision of the operating day and scheduling practices used by interstate pipelines to schedule natural gas transportation service.  These proposed revisions affect the business practices of the natural gas industry, which the industry has developed through the North American Energy Standards Board (NAESB), and which the Commission has incorporated by reference into its regulations.  </w:t>
      </w:r>
    </w:p>
    <w:p w14:paraId="12061C86" w14:textId="77777777" w:rsidR="00654C33" w:rsidRDefault="00654C33" w:rsidP="003663E0">
      <w:pPr>
        <w:ind w:firstLine="360"/>
        <w:rPr>
          <w:sz w:val="26"/>
          <w:szCs w:val="26"/>
        </w:rPr>
      </w:pPr>
    </w:p>
    <w:p w14:paraId="0F80F5A8" w14:textId="77777777" w:rsidR="00CA3B99" w:rsidRDefault="00A02247" w:rsidP="003663E0">
      <w:pPr>
        <w:ind w:firstLine="360"/>
        <w:rPr>
          <w:sz w:val="26"/>
          <w:szCs w:val="26"/>
        </w:rPr>
      </w:pPr>
      <w:r w:rsidRPr="00A02247">
        <w:rPr>
          <w:sz w:val="26"/>
          <w:szCs w:val="26"/>
        </w:rPr>
        <w:t xml:space="preserve">The Commission, therefore, is providing the natural gas and electric industries with </w:t>
      </w:r>
      <w:r w:rsidR="00CB77B1">
        <w:rPr>
          <w:sz w:val="26"/>
          <w:szCs w:val="26"/>
        </w:rPr>
        <w:t>180 days</w:t>
      </w:r>
      <w:r w:rsidRPr="00A02247">
        <w:rPr>
          <w:sz w:val="26"/>
          <w:szCs w:val="26"/>
        </w:rPr>
        <w:t xml:space="preserve"> </w:t>
      </w:r>
      <w:r w:rsidRPr="00A02247">
        <w:rPr>
          <w:sz w:val="26"/>
          <w:szCs w:val="26"/>
        </w:rPr>
        <w:lastRenderedPageBreak/>
        <w:t xml:space="preserve">to reach consensus on detailed standards, consistent with the Commission’s guidance, including any revisions or modifications to these proposals.   </w:t>
      </w:r>
      <w:r w:rsidR="00CB77B1">
        <w:rPr>
          <w:sz w:val="26"/>
          <w:szCs w:val="26"/>
        </w:rPr>
        <w:t>FERC’s NOPR includes</w:t>
      </w:r>
      <w:r w:rsidR="00CB77B1" w:rsidRPr="00CB77B1">
        <w:rPr>
          <w:sz w:val="26"/>
          <w:szCs w:val="26"/>
        </w:rPr>
        <w:t xml:space="preserve"> specific proposed reforms to existing natural g</w:t>
      </w:r>
      <w:r w:rsidR="00CB77B1">
        <w:rPr>
          <w:sz w:val="26"/>
          <w:szCs w:val="26"/>
        </w:rPr>
        <w:t>as industry scheduling practices</w:t>
      </w:r>
      <w:r w:rsidR="00CB77B1" w:rsidRPr="00CB77B1">
        <w:rPr>
          <w:sz w:val="26"/>
          <w:szCs w:val="26"/>
        </w:rPr>
        <w:t xml:space="preserve">, </w:t>
      </w:r>
      <w:r w:rsidR="00CB77B1">
        <w:rPr>
          <w:sz w:val="26"/>
          <w:szCs w:val="26"/>
        </w:rPr>
        <w:t xml:space="preserve">but </w:t>
      </w:r>
      <w:r w:rsidR="00CB77B1" w:rsidRPr="00CB77B1">
        <w:rPr>
          <w:sz w:val="26"/>
          <w:szCs w:val="26"/>
        </w:rPr>
        <w:t xml:space="preserve">we continue to recognize that the natural gas and electricity industries are best positioned to work out the details of how changes in scheduling practices can most efficiently be made and implemented, consistent with the policies discussed </w:t>
      </w:r>
      <w:r w:rsidR="00CB77B1">
        <w:rPr>
          <w:sz w:val="26"/>
          <w:szCs w:val="26"/>
        </w:rPr>
        <w:t>in the proposed rule</w:t>
      </w:r>
      <w:r w:rsidR="00CB77B1" w:rsidRPr="00CB77B1">
        <w:rPr>
          <w:sz w:val="26"/>
          <w:szCs w:val="26"/>
        </w:rPr>
        <w:t xml:space="preserve">.  Therefore, stakeholders in the NAESB process should explore whether consensus can be reached on any reforms to these practices that would address the </w:t>
      </w:r>
      <w:r w:rsidR="00E7736E">
        <w:rPr>
          <w:sz w:val="26"/>
          <w:szCs w:val="26"/>
        </w:rPr>
        <w:t xml:space="preserve">identified </w:t>
      </w:r>
      <w:r w:rsidR="00CB77B1" w:rsidRPr="00CB77B1">
        <w:rPr>
          <w:sz w:val="26"/>
          <w:szCs w:val="26"/>
        </w:rPr>
        <w:t xml:space="preserve">policy concerns.  In addition, while the proposals in this Proposed Rule focus on natural gas industry regulations, </w:t>
      </w:r>
      <w:r w:rsidR="00E7736E">
        <w:rPr>
          <w:sz w:val="26"/>
          <w:szCs w:val="26"/>
        </w:rPr>
        <w:t xml:space="preserve">FERC </w:t>
      </w:r>
      <w:r w:rsidR="00CB77B1" w:rsidRPr="00CB77B1">
        <w:rPr>
          <w:sz w:val="26"/>
          <w:szCs w:val="26"/>
        </w:rPr>
        <w:t>expect</w:t>
      </w:r>
      <w:r w:rsidR="00E7736E">
        <w:rPr>
          <w:sz w:val="26"/>
          <w:szCs w:val="26"/>
        </w:rPr>
        <w:t>s</w:t>
      </w:r>
      <w:r w:rsidR="00CB77B1" w:rsidRPr="00CB77B1">
        <w:rPr>
          <w:sz w:val="26"/>
          <w:szCs w:val="26"/>
        </w:rPr>
        <w:t xml:space="preserve"> the electric industry (particularly the ISOs and RTOs) to participate in these efforts to help ensure that the resulting consensus reasonably accommodates the interests of both industries.  Comments on any consensus proposals, as well as comments on the Commission’s proposals, are to be filed 240 days after publication </w:t>
      </w:r>
      <w:r w:rsidR="00E7736E">
        <w:rPr>
          <w:sz w:val="26"/>
          <w:szCs w:val="26"/>
        </w:rPr>
        <w:t xml:space="preserve">of the NOPR </w:t>
      </w:r>
      <w:r w:rsidR="00CB77B1" w:rsidRPr="00CB77B1">
        <w:rPr>
          <w:sz w:val="26"/>
          <w:szCs w:val="26"/>
        </w:rPr>
        <w:t>in the Federal Register.</w:t>
      </w:r>
    </w:p>
    <w:p w14:paraId="615CF19D" w14:textId="77777777" w:rsidR="00A02247" w:rsidRDefault="00A02247" w:rsidP="006C749F">
      <w:pPr>
        <w:rPr>
          <w:b/>
          <w:sz w:val="26"/>
          <w:szCs w:val="26"/>
        </w:rPr>
      </w:pPr>
    </w:p>
    <w:p w14:paraId="45AE0E18" w14:textId="77777777" w:rsidR="00A02247" w:rsidRDefault="00A02247" w:rsidP="006C749F">
      <w:pPr>
        <w:rPr>
          <w:b/>
          <w:sz w:val="26"/>
          <w:szCs w:val="26"/>
        </w:rPr>
      </w:pPr>
    </w:p>
    <w:p w14:paraId="415F8470" w14:textId="77777777" w:rsidR="00A02247" w:rsidRDefault="00A02247" w:rsidP="006C749F">
      <w:pPr>
        <w:rPr>
          <w:b/>
          <w:i/>
          <w:sz w:val="26"/>
          <w:szCs w:val="26"/>
        </w:rPr>
      </w:pPr>
      <w:r>
        <w:rPr>
          <w:b/>
          <w:i/>
          <w:sz w:val="26"/>
          <w:szCs w:val="26"/>
        </w:rPr>
        <w:t xml:space="preserve">General Background on the Collections (including </w:t>
      </w:r>
      <w:r w:rsidR="00A408C1">
        <w:rPr>
          <w:b/>
          <w:i/>
          <w:sz w:val="26"/>
          <w:szCs w:val="26"/>
        </w:rPr>
        <w:t>items</w:t>
      </w:r>
      <w:r>
        <w:rPr>
          <w:b/>
          <w:i/>
          <w:sz w:val="26"/>
          <w:szCs w:val="26"/>
        </w:rPr>
        <w:t xml:space="preserve"> not affected by the NOPR in Docket RM14-2).</w:t>
      </w:r>
    </w:p>
    <w:p w14:paraId="08688EBD" w14:textId="77777777" w:rsidR="00362AD4" w:rsidRPr="00A02247" w:rsidRDefault="00362AD4" w:rsidP="006C749F">
      <w:pPr>
        <w:rPr>
          <w:b/>
          <w:i/>
          <w:sz w:val="26"/>
          <w:szCs w:val="26"/>
        </w:rPr>
      </w:pPr>
    </w:p>
    <w:p w14:paraId="2E38982B" w14:textId="77777777" w:rsidR="00CA3B99" w:rsidRPr="006C749F" w:rsidRDefault="00CA3B99" w:rsidP="006C749F">
      <w:pPr>
        <w:rPr>
          <w:sz w:val="26"/>
          <w:szCs w:val="26"/>
        </w:rPr>
      </w:pPr>
      <w:r w:rsidRPr="006C749F">
        <w:rPr>
          <w:b/>
          <w:sz w:val="26"/>
          <w:szCs w:val="26"/>
        </w:rPr>
        <w:t>FERC-545</w:t>
      </w:r>
      <w:r>
        <w:rPr>
          <w:sz w:val="26"/>
          <w:szCs w:val="26"/>
        </w:rPr>
        <w:t xml:space="preserve">.  FERC-545 </w:t>
      </w:r>
      <w:r w:rsidRPr="006C749F">
        <w:rPr>
          <w:sz w:val="26"/>
          <w:szCs w:val="26"/>
        </w:rPr>
        <w:t xml:space="preserve">is required to implement sections 4, 5, and 16 of the Natural Gas Act (NGA), (15 USC 717c   717o, PL 75 688, 52 Stat. 822 and 830).  NGA Sections 4, 5, and 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14:paraId="4C32633E" w14:textId="77777777" w:rsidR="00CA3B99" w:rsidRPr="006C749F" w:rsidRDefault="00CA3B99" w:rsidP="006C749F">
      <w:pPr>
        <w:rPr>
          <w:sz w:val="26"/>
          <w:szCs w:val="26"/>
        </w:rPr>
      </w:pPr>
    </w:p>
    <w:p w14:paraId="44160F26" w14:textId="77777777" w:rsidR="00CA3B99" w:rsidRPr="006C749F" w:rsidRDefault="00CA3B99" w:rsidP="00091565">
      <w:pPr>
        <w:ind w:firstLine="360"/>
        <w:rPr>
          <w:sz w:val="26"/>
          <w:szCs w:val="26"/>
        </w:rPr>
      </w:pPr>
      <w:r w:rsidRPr="006C749F">
        <w:rPr>
          <w:sz w:val="26"/>
          <w:szCs w:val="26"/>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14:paraId="1D50058A" w14:textId="77777777" w:rsidR="00CA3B99" w:rsidRPr="006C749F" w:rsidRDefault="00CA3B99" w:rsidP="006C749F">
      <w:pPr>
        <w:rPr>
          <w:sz w:val="26"/>
          <w:szCs w:val="26"/>
        </w:rPr>
      </w:pPr>
    </w:p>
    <w:p w14:paraId="21F145B8" w14:textId="77777777" w:rsidR="00CA3B99" w:rsidRDefault="00CA3B99" w:rsidP="00091565">
      <w:pPr>
        <w:ind w:firstLine="360"/>
        <w:rPr>
          <w:sz w:val="26"/>
          <w:szCs w:val="26"/>
        </w:rPr>
      </w:pPr>
      <w:r w:rsidRPr="006C749F">
        <w:rPr>
          <w:sz w:val="26"/>
          <w:szCs w:val="26"/>
        </w:rPr>
        <w:t xml:space="preserve">Pipelines adjust their tariffs to meet market and customer needs.  Commission review of these proposed changes is required to ensure rates remain just and reasonable and that services </w:t>
      </w:r>
      <w:r w:rsidRPr="006C749F">
        <w:rPr>
          <w:sz w:val="26"/>
          <w:szCs w:val="26"/>
        </w:rPr>
        <w:lastRenderedPageBreak/>
        <w:t xml:space="preserve">are not provided in an unduly or preferential manner.  The Commission’s regulation in 18 C.F.R. Part 154 </w:t>
      </w:r>
      <w:r w:rsidR="008606EE" w:rsidRPr="006C749F">
        <w:rPr>
          <w:sz w:val="26"/>
          <w:szCs w:val="26"/>
        </w:rPr>
        <w:t>specifies</w:t>
      </w:r>
      <w:r w:rsidRPr="006C749F">
        <w:rPr>
          <w:sz w:val="26"/>
          <w:szCs w:val="26"/>
        </w:rPr>
        <w:t xml:space="preserve"> what changes are allowed and the procedures for requesting Commission approval.  </w:t>
      </w:r>
    </w:p>
    <w:p w14:paraId="05C1E371" w14:textId="77777777" w:rsidR="00051566" w:rsidRDefault="00051566" w:rsidP="00091565">
      <w:pPr>
        <w:ind w:firstLine="360"/>
        <w:rPr>
          <w:sz w:val="26"/>
          <w:szCs w:val="26"/>
        </w:rPr>
      </w:pPr>
    </w:p>
    <w:p w14:paraId="3F505E9E" w14:textId="352A87CF" w:rsidR="00051566" w:rsidRPr="00051566" w:rsidRDefault="00051566" w:rsidP="00051566">
      <w:pPr>
        <w:ind w:firstLine="360"/>
        <w:rPr>
          <w:sz w:val="26"/>
          <w:szCs w:val="26"/>
        </w:rPr>
      </w:pPr>
      <w:r w:rsidRPr="00051566">
        <w:rPr>
          <w:sz w:val="26"/>
          <w:szCs w:val="26"/>
        </w:rPr>
        <w:t xml:space="preserve">The Commission sets rates for interstate pipeline services in a number of proceedings.  For example, when a pipeline files to increase its rates, it makes a filing with the Commission under section 4 of the NGA.  These types of filings are referred to as general section 4 rate cases.  In the proceedings, the Commission reviews all of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  </w:t>
      </w:r>
    </w:p>
    <w:p w14:paraId="094AA6F2" w14:textId="77777777" w:rsidR="00051566" w:rsidRPr="00051566" w:rsidRDefault="00051566" w:rsidP="00051566">
      <w:pPr>
        <w:ind w:firstLine="360"/>
        <w:rPr>
          <w:sz w:val="26"/>
          <w:szCs w:val="26"/>
        </w:rPr>
      </w:pPr>
    </w:p>
    <w:p w14:paraId="0C955815" w14:textId="16149105" w:rsidR="003240E7" w:rsidRDefault="0027062E" w:rsidP="0027062E">
      <w:pPr>
        <w:tabs>
          <w:tab w:val="num" w:pos="0"/>
        </w:tabs>
        <w:rPr>
          <w:sz w:val="26"/>
          <w:szCs w:val="26"/>
        </w:rPr>
      </w:pPr>
      <w:r>
        <w:rPr>
          <w:b/>
          <w:sz w:val="26"/>
          <w:szCs w:val="26"/>
        </w:rPr>
        <w:t xml:space="preserve">FERC-549C.  </w:t>
      </w:r>
      <w:r>
        <w:rPr>
          <w:sz w:val="26"/>
          <w:szCs w:val="26"/>
        </w:rPr>
        <w:t xml:space="preserve">The business practice standards under FERC-549C are required to carry out the Commission’s policies in accordance with the general authority in Sections 4, 5, 7, 8, 10, 14, 16, and 20 of the Natural Gas Act (NGA) (15 U.S.C. 717c-717w), and sections 311, 501, and 504 of the Natural Gas Policy Act of 1978 (NGPA) (15 U.S.C. 3301-3432).  The Commission adopted these business practice standards in order to update and standardize the natural gas industry’s business practices and procedures as well as to improve the efficiency of the gas market and the means by which the gas industry conducts business across the interstate pipeline grid.   </w:t>
      </w:r>
    </w:p>
    <w:p w14:paraId="5860C963" w14:textId="2E0C392B" w:rsidR="00127317" w:rsidRPr="0027062E" w:rsidRDefault="00127317" w:rsidP="00950A39">
      <w:pPr>
        <w:tabs>
          <w:tab w:val="num" w:pos="0"/>
        </w:tabs>
        <w:ind w:firstLine="360"/>
        <w:rPr>
          <w:sz w:val="26"/>
          <w:szCs w:val="26"/>
        </w:rPr>
      </w:pPr>
      <w:r>
        <w:rPr>
          <w:sz w:val="26"/>
          <w:szCs w:val="26"/>
        </w:rPr>
        <w:t>In various orders</w:t>
      </w:r>
      <w:r w:rsidRPr="00FD2199">
        <w:rPr>
          <w:sz w:val="26"/>
          <w:szCs w:val="26"/>
        </w:rPr>
        <w:t xml:space="preserve"> </w:t>
      </w:r>
      <w:r>
        <w:rPr>
          <w:sz w:val="26"/>
          <w:szCs w:val="26"/>
        </w:rPr>
        <w:t>s</w:t>
      </w:r>
      <w:r w:rsidRPr="0027062E">
        <w:rPr>
          <w:sz w:val="26"/>
          <w:szCs w:val="26"/>
        </w:rPr>
        <w:t>ince 1996</w:t>
      </w:r>
      <w:r>
        <w:rPr>
          <w:rStyle w:val="FootnoteReference"/>
          <w:sz w:val="26"/>
          <w:szCs w:val="26"/>
        </w:rPr>
        <w:footnoteReference w:id="2"/>
      </w:r>
      <w:r>
        <w:rPr>
          <w:sz w:val="26"/>
          <w:szCs w:val="26"/>
        </w:rPr>
        <w:t>, FERC</w:t>
      </w:r>
      <w:r w:rsidRPr="0027062E">
        <w:rPr>
          <w:sz w:val="26"/>
          <w:szCs w:val="26"/>
        </w:rPr>
        <w:t xml:space="preserve"> has adopted regulations to standardize the business practices and communication methodologies of interstate pipelines in order to create a more integrated and efficient pipeline</w:t>
      </w:r>
      <w:r>
        <w:rPr>
          <w:sz w:val="26"/>
          <w:szCs w:val="26"/>
        </w:rPr>
        <w:t xml:space="preserve"> </w:t>
      </w:r>
      <w:r w:rsidRPr="004F7E93">
        <w:rPr>
          <w:sz w:val="26"/>
          <w:szCs w:val="26"/>
        </w:rPr>
        <w:t xml:space="preserve">industry.  In general, when and if NAESB-proposed standards (e.g., consensus standards developed by the </w:t>
      </w:r>
      <w:r w:rsidR="00C66C32" w:rsidRPr="00C66C32">
        <w:rPr>
          <w:sz w:val="26"/>
          <w:szCs w:val="26"/>
        </w:rPr>
        <w:t xml:space="preserve">Wholesale Gas Quadrant </w:t>
      </w:r>
      <w:r w:rsidR="00C66C32">
        <w:rPr>
          <w:sz w:val="26"/>
          <w:szCs w:val="26"/>
        </w:rPr>
        <w:t>(</w:t>
      </w:r>
      <w:r w:rsidRPr="004F7E93">
        <w:rPr>
          <w:sz w:val="26"/>
          <w:szCs w:val="26"/>
        </w:rPr>
        <w:t>WGQ</w:t>
      </w:r>
      <w:r w:rsidR="00C66C32">
        <w:rPr>
          <w:sz w:val="26"/>
          <w:szCs w:val="26"/>
        </w:rPr>
        <w:t>)</w:t>
      </w:r>
      <w:r w:rsidRPr="004F7E93">
        <w:rPr>
          <w:sz w:val="26"/>
          <w:szCs w:val="26"/>
        </w:rPr>
        <w:t>, an accredited standards organization under the auspices of the American Standards Institute (ANSI)) are approved by FERC, the Commission incorporates them by reference into its approval.</w:t>
      </w:r>
      <w:r>
        <w:rPr>
          <w:sz w:val="26"/>
          <w:szCs w:val="26"/>
        </w:rPr>
        <w:t xml:space="preserve">  </w:t>
      </w:r>
      <w:r w:rsidRPr="0027062E">
        <w:rPr>
          <w:sz w:val="26"/>
          <w:szCs w:val="26"/>
        </w:rPr>
        <w:t>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gas industry and ultimately, the Gas Industry Standards Board (GISB), a consensus organization open to all members of the gas industry was created.  GISB was succeeded by the North American Energy Standards Board (NAESB).</w:t>
      </w:r>
    </w:p>
    <w:p w14:paraId="141AB7CE" w14:textId="77777777" w:rsidR="0027062E" w:rsidRPr="0027062E" w:rsidRDefault="0027062E" w:rsidP="0027062E">
      <w:pPr>
        <w:tabs>
          <w:tab w:val="num" w:pos="0"/>
        </w:tabs>
        <w:rPr>
          <w:sz w:val="26"/>
          <w:szCs w:val="26"/>
        </w:rPr>
      </w:pPr>
    </w:p>
    <w:p w14:paraId="600A0F55" w14:textId="1E6D7863" w:rsidR="0027062E" w:rsidRPr="0027062E" w:rsidRDefault="0027062E" w:rsidP="00950A39">
      <w:pPr>
        <w:tabs>
          <w:tab w:val="num" w:pos="0"/>
        </w:tabs>
        <w:ind w:firstLine="360"/>
        <w:rPr>
          <w:sz w:val="26"/>
          <w:szCs w:val="26"/>
        </w:rPr>
      </w:pPr>
      <w:r w:rsidRPr="0027062E">
        <w:rPr>
          <w:sz w:val="26"/>
          <w:szCs w:val="26"/>
        </w:rPr>
        <w:t>NAESB</w:t>
      </w:r>
      <w:r w:rsidR="00A27A38">
        <w:rPr>
          <w:rStyle w:val="FootnoteReference"/>
          <w:sz w:val="26"/>
          <w:szCs w:val="26"/>
        </w:rPr>
        <w:footnoteReference w:id="3"/>
      </w:r>
      <w:r w:rsidRPr="0027062E">
        <w:rPr>
          <w:sz w:val="26"/>
          <w:szCs w:val="26"/>
        </w:rPr>
        <w:t xml:space="preserve"> is a voluntary non-profit organization comprised of members from the retail and </w:t>
      </w:r>
      <w:r w:rsidRPr="0027062E">
        <w:rPr>
          <w:sz w:val="26"/>
          <w:szCs w:val="26"/>
        </w:rPr>
        <w:lastRenderedPageBreak/>
        <w:t>wholesale natural gas and electric industries.  NAESB’s mission is to take the lead in developing standards across these industries to simplify and expand electronic communication, and to streamline business practices.  Core to its objective is to lead to a seamless North American marketplace for natural gas, as recognized by its customers, the business community, industry participants and regulatory bodies</w:t>
      </w:r>
      <w:r w:rsidRPr="00A27A38">
        <w:rPr>
          <w:sz w:val="26"/>
          <w:szCs w:val="26"/>
        </w:rPr>
        <w:t>.  NAESB WGQ standard</w:t>
      </w:r>
      <w:r w:rsidR="00127317">
        <w:rPr>
          <w:sz w:val="26"/>
          <w:szCs w:val="26"/>
        </w:rPr>
        <w:t>s are a product of this effort.  I</w:t>
      </w:r>
      <w:r w:rsidRPr="0027062E">
        <w:rPr>
          <w:sz w:val="26"/>
          <w:szCs w:val="26"/>
        </w:rPr>
        <w:t>ndustry participant</w:t>
      </w:r>
      <w:r w:rsidR="00127317">
        <w:rPr>
          <w:sz w:val="26"/>
          <w:szCs w:val="26"/>
        </w:rPr>
        <w:t>s</w:t>
      </w:r>
      <w:r w:rsidRPr="0027062E">
        <w:rPr>
          <w:sz w:val="26"/>
          <w:szCs w:val="26"/>
        </w:rPr>
        <w:t xml:space="preserve"> seeking additional or amended standards (including principles, definitions, standards, data elements, process descriptions, technical implementation instructions) submits a request to the NAESB office, detailing the change, so that the appropriate process may take place to amend the standards.</w:t>
      </w:r>
    </w:p>
    <w:p w14:paraId="7CFB243D" w14:textId="77777777" w:rsidR="0027062E" w:rsidRPr="0027062E" w:rsidRDefault="0027062E" w:rsidP="0027062E">
      <w:pPr>
        <w:tabs>
          <w:tab w:val="num" w:pos="0"/>
        </w:tabs>
        <w:rPr>
          <w:sz w:val="26"/>
          <w:szCs w:val="26"/>
        </w:rPr>
      </w:pPr>
    </w:p>
    <w:p w14:paraId="49AA3BBC" w14:textId="68B0276F" w:rsidR="0019793D" w:rsidRDefault="0019793D" w:rsidP="00091565">
      <w:pPr>
        <w:tabs>
          <w:tab w:val="num" w:pos="0"/>
        </w:tabs>
        <w:ind w:firstLine="360"/>
        <w:rPr>
          <w:sz w:val="26"/>
          <w:szCs w:val="26"/>
        </w:rPr>
      </w:pPr>
      <w:r w:rsidRPr="0019793D">
        <w:rPr>
          <w:sz w:val="26"/>
          <w:szCs w:val="26"/>
        </w:rPr>
        <w:t>While the Commission previously has adopted NAESB standards regarding natural gas and electric utility scheduling, NAESB has thus far been unable to reach consensus on standards coordinating the scheduling between these two industries because these issues involve policy questions more appropriate for resolution by the Commission.   In this NOPR, the Commission is proposing, and seeking comment on whether, revisions to the NAESB standards are necessary to provide more efficient coordination between the two industries to reduce costs and to promote the provision of reliable service.  However, the Commission is providing NAESB an opportunity, as it has in the past, to consider these policy goals and develop consensus standards that may better fit the business practices of the two industries.</w:t>
      </w:r>
    </w:p>
    <w:p w14:paraId="22C273A4" w14:textId="77777777" w:rsidR="00F5713B" w:rsidRDefault="00F5713B" w:rsidP="00DE1F52">
      <w:pPr>
        <w:rPr>
          <w:sz w:val="26"/>
          <w:szCs w:val="26"/>
        </w:rPr>
      </w:pPr>
    </w:p>
    <w:p w14:paraId="18DB13FA" w14:textId="77777777" w:rsidR="00CA3B99" w:rsidRPr="00226A35" w:rsidRDefault="00CA3B99" w:rsidP="00226A35">
      <w:pPr>
        <w:pStyle w:val="ListParagraph"/>
        <w:numPr>
          <w:ilvl w:val="0"/>
          <w:numId w:val="8"/>
        </w:numPr>
        <w:rPr>
          <w:b/>
          <w:sz w:val="26"/>
          <w:szCs w:val="26"/>
        </w:rPr>
      </w:pPr>
      <w:r w:rsidRPr="00226A35">
        <w:rPr>
          <w:b/>
          <w:sz w:val="26"/>
          <w:szCs w:val="26"/>
        </w:rPr>
        <w:t>HOW, BY WHOM, AND FOR WHAT PURPOSE THE INFORMATION IS TO BE USED AND THE CONSEQUENCES OF NOT COLLECTING THE INFORMATION</w:t>
      </w:r>
    </w:p>
    <w:p w14:paraId="279A168B" w14:textId="77777777" w:rsidR="00CA3B99" w:rsidRPr="00226A35" w:rsidRDefault="00CA3B99" w:rsidP="00226A35">
      <w:pPr>
        <w:rPr>
          <w:sz w:val="26"/>
          <w:szCs w:val="26"/>
        </w:rPr>
      </w:pPr>
    </w:p>
    <w:p w14:paraId="3C020444" w14:textId="77777777" w:rsidR="00635E25" w:rsidRDefault="00CA3B99" w:rsidP="00950A39">
      <w:pPr>
        <w:widowControl/>
        <w:rPr>
          <w:sz w:val="26"/>
          <w:szCs w:val="26"/>
        </w:rPr>
      </w:pPr>
      <w:proofErr w:type="gramStart"/>
      <w:r>
        <w:rPr>
          <w:b/>
          <w:sz w:val="26"/>
          <w:szCs w:val="26"/>
        </w:rPr>
        <w:t>FERC-545</w:t>
      </w:r>
      <w:r w:rsidRPr="00950A39">
        <w:rPr>
          <w:sz w:val="26"/>
          <w:szCs w:val="26"/>
        </w:rPr>
        <w:t>.</w:t>
      </w:r>
      <w:proofErr w:type="gramEnd"/>
      <w:r w:rsidRPr="00950A39">
        <w:rPr>
          <w:sz w:val="26"/>
          <w:szCs w:val="26"/>
        </w:rPr>
        <w:t xml:space="preserve">  </w:t>
      </w:r>
      <w:r w:rsidR="00C66C32" w:rsidRPr="00950A39">
        <w:rPr>
          <w:sz w:val="26"/>
          <w:szCs w:val="26"/>
        </w:rPr>
        <w:t>The</w:t>
      </w:r>
      <w:r w:rsidR="00C66C32">
        <w:rPr>
          <w:b/>
          <w:sz w:val="26"/>
          <w:szCs w:val="26"/>
        </w:rPr>
        <w:t xml:space="preserve"> </w:t>
      </w:r>
      <w:r w:rsidR="00C66C32">
        <w:rPr>
          <w:sz w:val="26"/>
          <w:szCs w:val="26"/>
        </w:rPr>
        <w:t xml:space="preserve">NOPR in RM14-2 proposes to require the pipelines to make a one-time tariff filing to </w:t>
      </w:r>
      <w:r w:rsidR="00635E25">
        <w:rPr>
          <w:sz w:val="26"/>
          <w:szCs w:val="26"/>
        </w:rPr>
        <w:t xml:space="preserve">reflect the changes (such as additional intraday nomination cycles and a changed start time). </w:t>
      </w:r>
      <w:r w:rsidR="00C66C32">
        <w:rPr>
          <w:sz w:val="26"/>
          <w:szCs w:val="26"/>
        </w:rPr>
        <w:t xml:space="preserve"> </w:t>
      </w:r>
    </w:p>
    <w:p w14:paraId="36FD974E" w14:textId="77777777" w:rsidR="006B7AF3" w:rsidRDefault="006B7AF3" w:rsidP="00950A39">
      <w:pPr>
        <w:widowControl/>
        <w:rPr>
          <w:sz w:val="26"/>
          <w:szCs w:val="26"/>
        </w:rPr>
      </w:pPr>
    </w:p>
    <w:p w14:paraId="525A507F" w14:textId="77777777" w:rsidR="006B7AF3" w:rsidRDefault="006B7AF3" w:rsidP="000143D2">
      <w:pPr>
        <w:widowControl/>
        <w:ind w:firstLine="360"/>
        <w:rPr>
          <w:sz w:val="26"/>
          <w:szCs w:val="26"/>
        </w:rPr>
      </w:pPr>
      <w:r w:rsidRPr="006B7AF3">
        <w:rPr>
          <w:sz w:val="26"/>
          <w:szCs w:val="26"/>
        </w:rPr>
        <w:t xml:space="preserve">The following information is the subject of the FERC-545:  (1) tariff filings and any related compliance filings; (2) rate case filings and any related compliance filings; (3) informational reports; (4) negotiated rates; (5) non-conforming agreement filings; and (6) NAESB Activity (tariff portion only).  In summary, the Commission uses the FERC-545 information to (1) ensure 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 </w:t>
      </w:r>
    </w:p>
    <w:p w14:paraId="39A251B2" w14:textId="77777777" w:rsidR="006B7AF3" w:rsidRDefault="006B7AF3" w:rsidP="000143D2">
      <w:pPr>
        <w:widowControl/>
        <w:ind w:firstLine="360"/>
        <w:rPr>
          <w:sz w:val="26"/>
          <w:szCs w:val="26"/>
        </w:rPr>
      </w:pPr>
    </w:p>
    <w:p w14:paraId="033433C2" w14:textId="6DCEF0ED" w:rsidR="006B7AF3" w:rsidRDefault="00CA3B99" w:rsidP="000143D2">
      <w:pPr>
        <w:widowControl/>
        <w:ind w:firstLine="360"/>
        <w:rPr>
          <w:sz w:val="26"/>
          <w:szCs w:val="26"/>
        </w:rPr>
      </w:pPr>
      <w:r>
        <w:rPr>
          <w:sz w:val="26"/>
          <w:szCs w:val="26"/>
        </w:rPr>
        <w:t xml:space="preserve">The Commission reviews the FERC-545 materials to determine whether proposed transportation and sales rates and terms and conditions of service are just and reasonable.  The Commission uses the FERC-545 information to monitor rates and terms and conditions of service related to jurisdictional transportation, natural gas storage, and unbundled sales activities </w:t>
      </w:r>
      <w:r>
        <w:rPr>
          <w:sz w:val="26"/>
          <w:szCs w:val="26"/>
        </w:rPr>
        <w:lastRenderedPageBreak/>
        <w:t xml:space="preserve">of jurisdictional companies.  In addition to fulfilling the Commission’s obligations under the NGA, the FERC-545 enables the Commission to monitor the activities and evaluate transactions of the natural gas industry to ensure competitiveness and improved efficiency of the industry’s operations.  </w:t>
      </w:r>
      <w:r w:rsidR="006B7AF3">
        <w:rPr>
          <w:sz w:val="26"/>
          <w:szCs w:val="26"/>
        </w:rPr>
        <w:t xml:space="preserve"> </w:t>
      </w:r>
    </w:p>
    <w:p w14:paraId="12BF9B5F" w14:textId="77777777" w:rsidR="006B7AF3" w:rsidRDefault="006B7AF3" w:rsidP="00210F7B">
      <w:pPr>
        <w:widowControl/>
        <w:rPr>
          <w:sz w:val="26"/>
          <w:szCs w:val="26"/>
        </w:rPr>
      </w:pPr>
    </w:p>
    <w:p w14:paraId="3234E048" w14:textId="4244A6E2" w:rsidR="000143D2" w:rsidRDefault="00740DAF" w:rsidP="00950A39">
      <w:pPr>
        <w:widowControl/>
        <w:rPr>
          <w:sz w:val="26"/>
          <w:szCs w:val="26"/>
        </w:rPr>
      </w:pPr>
      <w:r>
        <w:rPr>
          <w:b/>
          <w:sz w:val="26"/>
          <w:szCs w:val="26"/>
        </w:rPr>
        <w:t xml:space="preserve">FERC-549C.  </w:t>
      </w:r>
      <w:r w:rsidR="00091565">
        <w:rPr>
          <w:sz w:val="26"/>
          <w:szCs w:val="26"/>
        </w:rPr>
        <w:t xml:space="preserve">The Commission requires the FERC-549Cbecause the NOPR proposes to amend the Commission’s current business practice and </w:t>
      </w:r>
      <w:r w:rsidR="000143D2">
        <w:rPr>
          <w:sz w:val="26"/>
          <w:szCs w:val="26"/>
        </w:rPr>
        <w:t>industry</w:t>
      </w:r>
      <w:r w:rsidR="00091565">
        <w:rPr>
          <w:sz w:val="26"/>
          <w:szCs w:val="26"/>
        </w:rPr>
        <w:t xml:space="preserve"> standards to the latest version approved by the </w:t>
      </w:r>
      <w:r w:rsidR="00091565" w:rsidRPr="00091565">
        <w:rPr>
          <w:sz w:val="26"/>
          <w:szCs w:val="26"/>
        </w:rPr>
        <w:t>North American Energy Standards Board (NAESB) Wholesale Gas Quadrant (WGQ)</w:t>
      </w:r>
      <w:r w:rsidR="00091565">
        <w:rPr>
          <w:sz w:val="26"/>
          <w:szCs w:val="26"/>
        </w:rPr>
        <w:t>.  In this NOPR, the Commission is p</w:t>
      </w:r>
      <w:r w:rsidR="000143D2">
        <w:rPr>
          <w:sz w:val="26"/>
          <w:szCs w:val="26"/>
        </w:rPr>
        <w:t xml:space="preserve">roposing that NAESB consider standards that: </w:t>
      </w:r>
      <w:r w:rsidR="00091565" w:rsidRPr="00091565">
        <w:rPr>
          <w:sz w:val="26"/>
          <w:szCs w:val="26"/>
        </w:rPr>
        <w:t>(1) move the start of the Natural Gas Operating Day earlier than the current 9:00 a.m. CCT, (2) start the first day-ahead gas nomination opportunity (Timely Nomination Cycle) later than 11:30 a.m. CCT, (3) add additional intraday nominations, and (4) allow multiple shippers to share pipeline capacity under a single firm transportation service agreement</w:t>
      </w:r>
      <w:r w:rsidR="000143D2">
        <w:rPr>
          <w:sz w:val="26"/>
          <w:szCs w:val="26"/>
        </w:rPr>
        <w:t xml:space="preserve">.  </w:t>
      </w:r>
    </w:p>
    <w:p w14:paraId="318CE593" w14:textId="77777777" w:rsidR="000143D2" w:rsidRDefault="000143D2" w:rsidP="000143D2">
      <w:pPr>
        <w:widowControl/>
        <w:ind w:firstLine="360"/>
        <w:rPr>
          <w:sz w:val="26"/>
          <w:szCs w:val="26"/>
        </w:rPr>
      </w:pPr>
    </w:p>
    <w:p w14:paraId="055013D2" w14:textId="77777777" w:rsidR="00091565" w:rsidRPr="00091565" w:rsidRDefault="000143D2" w:rsidP="000143D2">
      <w:pPr>
        <w:widowControl/>
        <w:ind w:firstLine="360"/>
        <w:rPr>
          <w:sz w:val="26"/>
          <w:szCs w:val="26"/>
        </w:rPr>
      </w:pPr>
      <w:r>
        <w:rPr>
          <w:sz w:val="26"/>
          <w:szCs w:val="26"/>
        </w:rPr>
        <w:t xml:space="preserve">Adoption and implementation of the Commission proposals herein </w:t>
      </w:r>
      <w:r w:rsidRPr="000143D2">
        <w:rPr>
          <w:sz w:val="26"/>
          <w:szCs w:val="26"/>
        </w:rPr>
        <w:t>to amend its regulations at section 284.12 relating to the scheduling of transportation service on inte</w:t>
      </w:r>
      <w:r>
        <w:rPr>
          <w:sz w:val="26"/>
          <w:szCs w:val="26"/>
        </w:rPr>
        <w:t xml:space="preserve">rstate natural gas pipelines will serve to </w:t>
      </w:r>
      <w:r w:rsidRPr="000143D2">
        <w:rPr>
          <w:sz w:val="26"/>
          <w:szCs w:val="26"/>
        </w:rPr>
        <w:t>better coordinate the scheduling practices of the natural gas and electricity industries, as well as to provide additional scheduling flexibility to all shippers on interstate natural gas pipelines.</w:t>
      </w:r>
    </w:p>
    <w:p w14:paraId="6C15037A" w14:textId="77777777" w:rsidR="00091565" w:rsidRPr="00091565" w:rsidRDefault="00091565" w:rsidP="00210F7B">
      <w:pPr>
        <w:widowControl/>
        <w:rPr>
          <w:sz w:val="26"/>
          <w:szCs w:val="26"/>
        </w:rPr>
      </w:pPr>
    </w:p>
    <w:p w14:paraId="7D335541" w14:textId="77777777" w:rsidR="00740DAF" w:rsidRDefault="00740DAF" w:rsidP="000143D2">
      <w:pPr>
        <w:widowControl/>
        <w:ind w:firstLine="360"/>
        <w:rPr>
          <w:b/>
          <w:sz w:val="26"/>
          <w:szCs w:val="26"/>
        </w:rPr>
      </w:pPr>
      <w:r w:rsidRPr="00740DAF">
        <w:rPr>
          <w:sz w:val="26"/>
          <w:szCs w:val="26"/>
        </w:rPr>
        <w:t xml:space="preserve">The Commission </w:t>
      </w:r>
      <w:r w:rsidR="000143D2">
        <w:rPr>
          <w:sz w:val="26"/>
          <w:szCs w:val="26"/>
        </w:rPr>
        <w:t>is seeking comments on proposed changes to s</w:t>
      </w:r>
      <w:r w:rsidR="00FF3935">
        <w:rPr>
          <w:sz w:val="26"/>
          <w:szCs w:val="26"/>
        </w:rPr>
        <w:t xml:space="preserve">elected </w:t>
      </w:r>
      <w:r w:rsidRPr="00740DAF">
        <w:rPr>
          <w:sz w:val="26"/>
          <w:szCs w:val="26"/>
        </w:rPr>
        <w:t>business practice standards in order to update and standardize the natural gas industry’s business practices and procedures as well as to improve the efficiency of the gas market and the means by which the gas industry conducts business across the interstate pipeline grid</w:t>
      </w:r>
      <w:r w:rsidR="000143D2">
        <w:rPr>
          <w:sz w:val="26"/>
          <w:szCs w:val="26"/>
        </w:rPr>
        <w:t xml:space="preserve">.  </w:t>
      </w:r>
      <w:r w:rsidR="00FF3935" w:rsidRPr="00FF3935">
        <w:rPr>
          <w:sz w:val="26"/>
          <w:szCs w:val="26"/>
        </w:rPr>
        <w:t>In the NO</w:t>
      </w:r>
      <w:r w:rsidR="00FF3935">
        <w:rPr>
          <w:sz w:val="26"/>
          <w:szCs w:val="26"/>
        </w:rPr>
        <w:t xml:space="preserve">PR in RM14-2, FERC is </w:t>
      </w:r>
      <w:r w:rsidR="00FF3935" w:rsidRPr="00FF3935">
        <w:rPr>
          <w:sz w:val="26"/>
          <w:szCs w:val="26"/>
        </w:rPr>
        <w:t>encouraging the industries to collaborate</w:t>
      </w:r>
      <w:r w:rsidR="00FF3935">
        <w:rPr>
          <w:sz w:val="26"/>
          <w:szCs w:val="26"/>
        </w:rPr>
        <w:t xml:space="preserve"> and reach consensus on the proposals.</w:t>
      </w:r>
    </w:p>
    <w:p w14:paraId="355A9B12" w14:textId="77777777" w:rsidR="00204CCA" w:rsidRPr="00740DAF" w:rsidRDefault="00204CCA" w:rsidP="00210F7B">
      <w:pPr>
        <w:widowControl/>
        <w:rPr>
          <w:sz w:val="26"/>
          <w:szCs w:val="26"/>
        </w:rPr>
      </w:pPr>
    </w:p>
    <w:p w14:paraId="6FFBD023" w14:textId="77777777" w:rsidR="00CA3B99" w:rsidRPr="00FF32D1" w:rsidRDefault="00FD2199" w:rsidP="00950A39">
      <w:pPr>
        <w:widowControl/>
        <w:rPr>
          <w:sz w:val="26"/>
          <w:szCs w:val="26"/>
        </w:rPr>
      </w:pPr>
      <w:proofErr w:type="gramStart"/>
      <w:r>
        <w:rPr>
          <w:b/>
          <w:sz w:val="26"/>
          <w:szCs w:val="26"/>
        </w:rPr>
        <w:t>FERC-545 and -549C.</w:t>
      </w:r>
      <w:proofErr w:type="gramEnd"/>
      <w:r>
        <w:rPr>
          <w:b/>
          <w:sz w:val="26"/>
          <w:szCs w:val="26"/>
        </w:rPr>
        <w:t xml:space="preserve">  </w:t>
      </w:r>
      <w:r w:rsidR="00CA3B99" w:rsidRPr="00FF32D1">
        <w:rPr>
          <w:sz w:val="26"/>
          <w:szCs w:val="26"/>
        </w:rPr>
        <w:t xml:space="preserve">Failure to collect this information would prohibit the Commission from monitoring and properly evaluating pipeline transactions and meeting statutory obligations under both the NGPA and the NGA. </w:t>
      </w:r>
    </w:p>
    <w:p w14:paraId="2A6CBD50" w14:textId="77777777" w:rsidR="00CA3B99" w:rsidRPr="00007AD7" w:rsidRDefault="00CA3B99" w:rsidP="00210F7B">
      <w:pPr>
        <w:widowControl/>
        <w:rPr>
          <w:sz w:val="26"/>
          <w:szCs w:val="26"/>
        </w:rPr>
      </w:pPr>
    </w:p>
    <w:p w14:paraId="28A75D70" w14:textId="5EC315AD" w:rsidR="00CA3B99" w:rsidRPr="00FF32D1" w:rsidRDefault="00CA3B99" w:rsidP="00950A39">
      <w:pPr>
        <w:widowControl/>
        <w:tabs>
          <w:tab w:val="left" w:pos="-1440"/>
        </w:tabs>
        <w:ind w:left="360" w:hanging="360"/>
        <w:rPr>
          <w:b/>
          <w:bCs/>
          <w:sz w:val="26"/>
          <w:szCs w:val="26"/>
        </w:rPr>
      </w:pPr>
      <w:proofErr w:type="gramStart"/>
      <w:r w:rsidRPr="00FF32D1">
        <w:rPr>
          <w:sz w:val="26"/>
          <w:szCs w:val="26"/>
        </w:rPr>
        <w:t>3.</w:t>
      </w:r>
      <w:r w:rsidRPr="00FF32D1">
        <w:rPr>
          <w:b/>
          <w:bCs/>
          <w:sz w:val="26"/>
          <w:szCs w:val="26"/>
        </w:rPr>
        <w:t>DESCRIBE</w:t>
      </w:r>
      <w:proofErr w:type="gramEnd"/>
      <w:r w:rsidRPr="00FF32D1">
        <w:rPr>
          <w:b/>
          <w:bCs/>
          <w:sz w:val="26"/>
          <w:szCs w:val="26"/>
        </w:rPr>
        <w:t xml:space="preserve"> ANY CONSIDERATION OF THE USE OF IMPROVED TECHNOLOGY TO REDUCE BURDEN AND TECHNICAL OR LEGAL OBSTACLES TO REDUCING BURDEN.</w:t>
      </w:r>
    </w:p>
    <w:p w14:paraId="37B84E15" w14:textId="77777777" w:rsidR="00CA3B99" w:rsidRPr="00FF32D1" w:rsidRDefault="00CA3B99" w:rsidP="00FF32D1">
      <w:pPr>
        <w:widowControl/>
        <w:rPr>
          <w:b/>
          <w:bCs/>
          <w:sz w:val="26"/>
          <w:szCs w:val="26"/>
        </w:rPr>
      </w:pPr>
    </w:p>
    <w:p w14:paraId="34983E8A" w14:textId="77777777" w:rsidR="00CA3B99" w:rsidRDefault="00CA3B99" w:rsidP="005530B7">
      <w:pPr>
        <w:widowControl/>
        <w:rPr>
          <w:sz w:val="26"/>
          <w:szCs w:val="26"/>
        </w:rPr>
      </w:pPr>
      <w:r>
        <w:rPr>
          <w:b/>
          <w:sz w:val="26"/>
          <w:szCs w:val="26"/>
        </w:rPr>
        <w:t xml:space="preserve">FERC-545.  </w:t>
      </w:r>
      <w:r w:rsidR="004F7E93" w:rsidRPr="004F7E93">
        <w:rPr>
          <w:sz w:val="26"/>
          <w:szCs w:val="26"/>
        </w:rPr>
        <w:t>In previous rulemakings,</w:t>
      </w:r>
      <w:r w:rsidR="001C3337" w:rsidRPr="001C3337">
        <w:rPr>
          <w:sz w:val="26"/>
          <w:szCs w:val="26"/>
          <w:vertAlign w:val="superscript"/>
        </w:rPr>
        <w:t xml:space="preserve"> </w:t>
      </w:r>
      <w:r w:rsidR="001C3337" w:rsidRPr="001C3337">
        <w:rPr>
          <w:sz w:val="26"/>
          <w:szCs w:val="26"/>
          <w:vertAlign w:val="superscript"/>
        </w:rPr>
        <w:footnoteReference w:id="4"/>
      </w:r>
      <w:r w:rsidR="004F7E93" w:rsidRPr="004F7E93">
        <w:rPr>
          <w:sz w:val="26"/>
          <w:szCs w:val="26"/>
        </w:rPr>
        <w:t xml:space="preserve"> the Commission implemented the capability </w:t>
      </w:r>
      <w:r w:rsidR="001C3337">
        <w:rPr>
          <w:sz w:val="26"/>
          <w:szCs w:val="26"/>
        </w:rPr>
        <w:t xml:space="preserve">and requirement </w:t>
      </w:r>
      <w:r w:rsidR="004F7E93" w:rsidRPr="004F7E93">
        <w:rPr>
          <w:sz w:val="26"/>
          <w:szCs w:val="26"/>
        </w:rPr>
        <w:t>for electronic filing of all tariff submissions</w:t>
      </w:r>
      <w:r w:rsidR="001C3337">
        <w:rPr>
          <w:sz w:val="26"/>
          <w:szCs w:val="26"/>
        </w:rPr>
        <w:t>.  FERC also</w:t>
      </w:r>
      <w:r w:rsidR="004F7E93">
        <w:rPr>
          <w:sz w:val="26"/>
          <w:szCs w:val="26"/>
        </w:rPr>
        <w:t xml:space="preserve"> </w:t>
      </w:r>
      <w:r w:rsidR="004F7E93" w:rsidRPr="004F7E93">
        <w:rPr>
          <w:sz w:val="26"/>
          <w:szCs w:val="26"/>
        </w:rPr>
        <w:t>improve</w:t>
      </w:r>
      <w:r w:rsidR="004F7E93">
        <w:rPr>
          <w:sz w:val="26"/>
          <w:szCs w:val="26"/>
        </w:rPr>
        <w:t>d</w:t>
      </w:r>
      <w:r w:rsidR="004F7E93" w:rsidRPr="004F7E93">
        <w:rPr>
          <w:sz w:val="26"/>
          <w:szCs w:val="26"/>
        </w:rPr>
        <w:t xml:space="preserve"> the security of submitting those electronic filings and the pipelines’ </w:t>
      </w:r>
      <w:r w:rsidR="005530B7">
        <w:rPr>
          <w:sz w:val="26"/>
          <w:szCs w:val="26"/>
        </w:rPr>
        <w:t xml:space="preserve">on-line </w:t>
      </w:r>
      <w:r w:rsidR="004F7E93" w:rsidRPr="004F7E93">
        <w:rPr>
          <w:sz w:val="26"/>
          <w:szCs w:val="26"/>
        </w:rPr>
        <w:t xml:space="preserve">process of appointing and modifying agents with the authority to make a filing on the pipeline’s behalf </w:t>
      </w:r>
      <w:r w:rsidR="001C3337">
        <w:rPr>
          <w:sz w:val="26"/>
          <w:szCs w:val="26"/>
        </w:rPr>
        <w:t>(</w:t>
      </w:r>
      <w:r w:rsidR="004F7E93" w:rsidRPr="004F7E93">
        <w:rPr>
          <w:sz w:val="26"/>
          <w:szCs w:val="26"/>
        </w:rPr>
        <w:t>provid</w:t>
      </w:r>
      <w:r w:rsidR="001C3337">
        <w:rPr>
          <w:sz w:val="26"/>
          <w:szCs w:val="26"/>
        </w:rPr>
        <w:t>ing</w:t>
      </w:r>
      <w:r w:rsidR="004F7E93" w:rsidRPr="004F7E93">
        <w:rPr>
          <w:sz w:val="26"/>
          <w:szCs w:val="26"/>
        </w:rPr>
        <w:t xml:space="preserve"> filing companies with greater control over the agents eligible to make specific types of filings on their </w:t>
      </w:r>
      <w:r w:rsidR="005530B7">
        <w:rPr>
          <w:sz w:val="26"/>
          <w:szCs w:val="26"/>
        </w:rPr>
        <w:t>behalf).</w:t>
      </w:r>
    </w:p>
    <w:p w14:paraId="4FA415D7" w14:textId="77777777" w:rsidR="009C1EF6" w:rsidRDefault="00996DF4" w:rsidP="009C1EF6">
      <w:pPr>
        <w:tabs>
          <w:tab w:val="num" w:pos="0"/>
        </w:tabs>
        <w:spacing w:before="100" w:beforeAutospacing="1" w:after="240"/>
        <w:rPr>
          <w:sz w:val="26"/>
          <w:szCs w:val="26"/>
        </w:rPr>
      </w:pPr>
      <w:r>
        <w:rPr>
          <w:b/>
          <w:sz w:val="26"/>
          <w:szCs w:val="26"/>
        </w:rPr>
        <w:lastRenderedPageBreak/>
        <w:t>FERC-549C.</w:t>
      </w:r>
      <w:r>
        <w:rPr>
          <w:sz w:val="26"/>
          <w:szCs w:val="26"/>
        </w:rPr>
        <w:t xml:space="preserve">  </w:t>
      </w:r>
      <w:r w:rsidR="009C1EF6">
        <w:rPr>
          <w:sz w:val="26"/>
          <w:szCs w:val="26"/>
        </w:rPr>
        <w:t>The information resulting from the FERC-549C data requirements will not be filed at FERC.  Instead it will be posted on the pipelines’ Internet sites, provided to third parties or retained.  The Internet and current software allow easy access and use of data on the pipelines’ Internet sites and for transmittal of information.</w:t>
      </w:r>
    </w:p>
    <w:p w14:paraId="009CC8E7" w14:textId="7D236510" w:rsidR="00CA3B99" w:rsidRPr="00544199" w:rsidRDefault="00CA3B99" w:rsidP="00950A39">
      <w:pPr>
        <w:widowControl/>
        <w:tabs>
          <w:tab w:val="left" w:pos="360"/>
        </w:tabs>
        <w:ind w:left="360" w:hanging="360"/>
        <w:rPr>
          <w:b/>
          <w:sz w:val="26"/>
          <w:szCs w:val="26"/>
        </w:rPr>
      </w:pPr>
      <w:proofErr w:type="gramStart"/>
      <w:r w:rsidRPr="00544199">
        <w:rPr>
          <w:b/>
          <w:sz w:val="26"/>
          <w:szCs w:val="26"/>
        </w:rPr>
        <w:t>4.DESCRIBE</w:t>
      </w:r>
      <w:proofErr w:type="gramEnd"/>
      <w:r w:rsidRPr="00544199">
        <w:rPr>
          <w:b/>
          <w:sz w:val="26"/>
          <w:szCs w:val="26"/>
        </w:rPr>
        <w:t xml:space="preserve"> EFFORTS TO IDENTIFY DUPLICATION AND SHOW SPECIFICALLY WHY ANY SIMILAR INFORMATION ALREADY AVAILABLE CANNOT BE USED OR MODIFIED FOR USE FOR THE PURPOSE(S) DESCRIBED IN INSTRUCTION NO. 2</w:t>
      </w:r>
    </w:p>
    <w:p w14:paraId="19D3EEC2" w14:textId="26FB853C" w:rsidR="009C1EF6" w:rsidRDefault="00CA3B99" w:rsidP="009C1EF6">
      <w:pPr>
        <w:tabs>
          <w:tab w:val="num" w:pos="0"/>
        </w:tabs>
        <w:spacing w:before="100" w:beforeAutospacing="1" w:after="240"/>
        <w:rPr>
          <w:sz w:val="26"/>
          <w:szCs w:val="26"/>
        </w:rPr>
      </w:pPr>
      <w:r>
        <w:rPr>
          <w:b/>
          <w:sz w:val="26"/>
          <w:szCs w:val="26"/>
        </w:rPr>
        <w:t>FERC-545</w:t>
      </w:r>
      <w:r w:rsidR="00996DF4">
        <w:rPr>
          <w:b/>
          <w:sz w:val="26"/>
          <w:szCs w:val="26"/>
        </w:rPr>
        <w:t xml:space="preserve"> and FERC-549C.</w:t>
      </w:r>
      <w:r w:rsidR="00996DF4" w:rsidRPr="00996DF4">
        <w:rPr>
          <w:sz w:val="26"/>
          <w:szCs w:val="26"/>
        </w:rPr>
        <w:t xml:space="preserve"> </w:t>
      </w:r>
      <w:r w:rsidR="009C1EF6">
        <w:rPr>
          <w:sz w:val="26"/>
          <w:szCs w:val="26"/>
        </w:rPr>
        <w:t xml:space="preserve">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  </w:t>
      </w:r>
    </w:p>
    <w:p w14:paraId="727B3BBA" w14:textId="51E90123" w:rsidR="00CA3B99" w:rsidRPr="00544199" w:rsidRDefault="00CA3B99" w:rsidP="00950A39">
      <w:pPr>
        <w:widowControl/>
        <w:tabs>
          <w:tab w:val="left" w:pos="360"/>
          <w:tab w:val="left" w:pos="4050"/>
        </w:tabs>
        <w:ind w:left="360" w:hanging="360"/>
        <w:rPr>
          <w:sz w:val="26"/>
          <w:szCs w:val="26"/>
        </w:rPr>
      </w:pPr>
      <w:r w:rsidRPr="00544199">
        <w:rPr>
          <w:b/>
          <w:sz w:val="26"/>
          <w:szCs w:val="26"/>
        </w:rPr>
        <w:t>5.</w:t>
      </w:r>
      <w:r w:rsidRPr="00544199">
        <w:rPr>
          <w:sz w:val="26"/>
          <w:szCs w:val="26"/>
        </w:rPr>
        <w:t xml:space="preserve"> </w:t>
      </w:r>
      <w:r w:rsidRPr="00544199">
        <w:rPr>
          <w:b/>
          <w:sz w:val="26"/>
          <w:szCs w:val="26"/>
        </w:rPr>
        <w:t>METHODS USED TO MINIMIZE BURDEN IN COLLECTION OF INFORMATION INVOLVING SMALL ENTITIES</w:t>
      </w:r>
      <w:r w:rsidRPr="00544199">
        <w:rPr>
          <w:sz w:val="26"/>
          <w:szCs w:val="26"/>
        </w:rPr>
        <w:t xml:space="preserve"> </w:t>
      </w:r>
    </w:p>
    <w:p w14:paraId="7CAF3D33" w14:textId="77777777" w:rsidR="00CA3B99" w:rsidRPr="00544199" w:rsidRDefault="00CA3B99" w:rsidP="00544199">
      <w:pPr>
        <w:widowControl/>
        <w:ind w:firstLine="720"/>
        <w:rPr>
          <w:sz w:val="26"/>
          <w:szCs w:val="26"/>
        </w:rPr>
      </w:pPr>
    </w:p>
    <w:p w14:paraId="69CBC1E4" w14:textId="5C7EAF87" w:rsidR="001C3404" w:rsidRDefault="00051566" w:rsidP="001C3404">
      <w:pPr>
        <w:widowControl/>
        <w:rPr>
          <w:sz w:val="26"/>
          <w:szCs w:val="26"/>
        </w:rPr>
      </w:pPr>
      <w:r>
        <w:rPr>
          <w:b/>
          <w:sz w:val="26"/>
          <w:szCs w:val="26"/>
        </w:rPr>
        <w:t xml:space="preserve">FERC-545.  </w:t>
      </w:r>
      <w:r w:rsidR="001C3404">
        <w:rPr>
          <w:sz w:val="26"/>
          <w:szCs w:val="26"/>
        </w:rPr>
        <w:t>The FERC-545 is a filing requirement related to pipeline rate filing obligations for the transportation and storage of natural gas.  The filing collects data from both large and small respondent companies.  The data required impose the least possible burden for companies, while collecting the information required for processing the filings.  Use of the Internet to file documents electronically is the primary method the Commission uses to minimize the FERC-545 burden.</w:t>
      </w:r>
    </w:p>
    <w:p w14:paraId="48DA251D" w14:textId="77777777" w:rsidR="001C3404" w:rsidRDefault="001C3404" w:rsidP="001C3404">
      <w:pPr>
        <w:widowControl/>
        <w:rPr>
          <w:sz w:val="26"/>
          <w:szCs w:val="26"/>
        </w:rPr>
      </w:pPr>
    </w:p>
    <w:p w14:paraId="73CEA8D7" w14:textId="7E395D6A" w:rsidR="001C3404" w:rsidRDefault="001C3404" w:rsidP="00955689">
      <w:pPr>
        <w:widowControl/>
        <w:ind w:firstLine="360"/>
        <w:rPr>
          <w:b/>
          <w:sz w:val="26"/>
          <w:szCs w:val="26"/>
        </w:rPr>
      </w:pPr>
      <w:r>
        <w:rPr>
          <w:sz w:val="26"/>
          <w:szCs w:val="26"/>
        </w:rPr>
        <w:t xml:space="preserve">The </w:t>
      </w:r>
      <w:r w:rsidR="006B7AF3">
        <w:rPr>
          <w:sz w:val="26"/>
          <w:szCs w:val="26"/>
        </w:rPr>
        <w:t xml:space="preserve">one-time compliance filings proposed </w:t>
      </w:r>
      <w:r w:rsidR="003A4E6D">
        <w:rPr>
          <w:sz w:val="26"/>
          <w:szCs w:val="26"/>
        </w:rPr>
        <w:t>in the NOPR</w:t>
      </w:r>
      <w:r>
        <w:rPr>
          <w:sz w:val="26"/>
          <w:szCs w:val="26"/>
        </w:rPr>
        <w:t xml:space="preserve"> must be filed electronically.</w:t>
      </w:r>
    </w:p>
    <w:p w14:paraId="0864E559" w14:textId="08D477A9" w:rsidR="001C3404" w:rsidRDefault="00051566" w:rsidP="001C3404">
      <w:pPr>
        <w:tabs>
          <w:tab w:val="num" w:pos="0"/>
        </w:tabs>
        <w:spacing w:before="100" w:beforeAutospacing="1" w:after="240"/>
        <w:rPr>
          <w:sz w:val="26"/>
          <w:szCs w:val="26"/>
        </w:rPr>
      </w:pPr>
      <w:r>
        <w:rPr>
          <w:b/>
          <w:sz w:val="26"/>
          <w:szCs w:val="26"/>
        </w:rPr>
        <w:t xml:space="preserve">FERC-549C.  </w:t>
      </w:r>
      <w:r w:rsidR="001C3404">
        <w:rPr>
          <w:sz w:val="26"/>
          <w:szCs w:val="26"/>
        </w:rPr>
        <w:t>The FE</w:t>
      </w:r>
      <w:r w:rsidR="000143D2">
        <w:rPr>
          <w:sz w:val="26"/>
          <w:szCs w:val="26"/>
        </w:rPr>
        <w:t>RC-549C information collection will impact t</w:t>
      </w:r>
      <w:r w:rsidR="001C3404" w:rsidRPr="00E0344D">
        <w:rPr>
          <w:sz w:val="26"/>
          <w:szCs w:val="26"/>
        </w:rPr>
        <w:t xml:space="preserve">he proposed business standards, practices and procedures </w:t>
      </w:r>
      <w:r w:rsidR="000143D2">
        <w:rPr>
          <w:sz w:val="26"/>
          <w:szCs w:val="26"/>
        </w:rPr>
        <w:t xml:space="preserve">for the </w:t>
      </w:r>
      <w:r w:rsidR="001C3404" w:rsidRPr="00E0344D">
        <w:rPr>
          <w:sz w:val="26"/>
          <w:szCs w:val="26"/>
        </w:rPr>
        <w:t xml:space="preserve">day-to-day operations of major and a few non-major natural gas companies.  The business practice standards are designed to benefit all customers, including small businesses.  </w:t>
      </w:r>
      <w:r w:rsidR="003A4E6D">
        <w:rPr>
          <w:sz w:val="26"/>
          <w:szCs w:val="26"/>
        </w:rPr>
        <w:t>T</w:t>
      </w:r>
      <w:r w:rsidR="001C3404" w:rsidRPr="00E0344D">
        <w:rPr>
          <w:sz w:val="26"/>
          <w:szCs w:val="26"/>
        </w:rPr>
        <w:t xml:space="preserve">he Commission allows for extensions of time and for waivers of the business practice standards.  Such extensions or waivers are based upon a pipeline’s individual circumstances, including the size of the pipeline.  For smaller pipelines the Commission </w:t>
      </w:r>
      <w:r w:rsidR="001C3404">
        <w:rPr>
          <w:sz w:val="26"/>
          <w:szCs w:val="26"/>
        </w:rPr>
        <w:t>has granted waivers of some of the standards w</w:t>
      </w:r>
      <w:r w:rsidR="001C3404" w:rsidRPr="00E0344D">
        <w:rPr>
          <w:sz w:val="26"/>
          <w:szCs w:val="26"/>
        </w:rPr>
        <w:t>hen such pipelines have shown that complying with such standards would prove unduly burdensome.</w:t>
      </w:r>
    </w:p>
    <w:p w14:paraId="21BF2B26" w14:textId="77777777" w:rsidR="001C3404" w:rsidRPr="00E0344D" w:rsidRDefault="000143D2" w:rsidP="00955689">
      <w:pPr>
        <w:tabs>
          <w:tab w:val="num" w:pos="0"/>
        </w:tabs>
        <w:spacing w:before="100" w:beforeAutospacing="1" w:after="240"/>
        <w:ind w:firstLine="360"/>
        <w:rPr>
          <w:sz w:val="26"/>
          <w:szCs w:val="26"/>
        </w:rPr>
      </w:pPr>
      <w:r>
        <w:rPr>
          <w:sz w:val="26"/>
          <w:szCs w:val="26"/>
        </w:rPr>
        <w:t>The Small Business Administration (</w:t>
      </w:r>
      <w:r w:rsidR="001C3404" w:rsidRPr="001C3404">
        <w:rPr>
          <w:sz w:val="26"/>
          <w:szCs w:val="26"/>
        </w:rPr>
        <w:t>SBA</w:t>
      </w:r>
      <w:r>
        <w:rPr>
          <w:sz w:val="26"/>
          <w:szCs w:val="26"/>
        </w:rPr>
        <w:t>)</w:t>
      </w:r>
      <w:r w:rsidR="001C3404" w:rsidRPr="001C3404">
        <w:rPr>
          <w:sz w:val="26"/>
          <w:szCs w:val="26"/>
        </w:rPr>
        <w:t xml:space="preserve"> has established a size standard for pipelines transporting natural gas, stating that a firm is a small entity if its annual receipts are less than $25.5 million. Approximately 166 interstate pipeline entities are potential respondents subject to the NOPR reporting requirements.  For the year 2012, eleven companies unaffiliated with larger companies had annual revenues of less than $25.5 million (7 percent of 166 potential respondents) and are defined by the SBA as “small entities”.  The Commission anticipates that the estimated compliance cost of the proposals in this NOPR is $7,479,122 (or $45,055 per </w:t>
      </w:r>
      <w:r w:rsidR="001C3404" w:rsidRPr="001C3404">
        <w:rPr>
          <w:sz w:val="26"/>
          <w:szCs w:val="26"/>
        </w:rPr>
        <w:lastRenderedPageBreak/>
        <w:t xml:space="preserve">entity) in Year 1 (one-time and ongoing costs), and $4,268,566 (or $25,714 per entity) in Years 2 and 3 (ongoing cost), regardless of entity size.  The Commission does not consider the estimated impact per company to be significant.  Adoption of consensus standards helps ensure the reasonableness of the standards by requiring that the standards draw support from a broad spectrum of industry participants representing all segments of the industry.  </w:t>
      </w:r>
    </w:p>
    <w:p w14:paraId="602A9F43" w14:textId="77777777" w:rsidR="00CA3B99" w:rsidRPr="00544199" w:rsidRDefault="00CA3B99" w:rsidP="00544199">
      <w:pPr>
        <w:pStyle w:val="ListParagraph"/>
        <w:widowControl/>
        <w:numPr>
          <w:ilvl w:val="0"/>
          <w:numId w:val="11"/>
        </w:numPr>
        <w:ind w:left="360"/>
        <w:rPr>
          <w:b/>
          <w:sz w:val="26"/>
          <w:szCs w:val="26"/>
        </w:rPr>
      </w:pPr>
      <w:r w:rsidRPr="00544199">
        <w:rPr>
          <w:b/>
          <w:sz w:val="26"/>
          <w:szCs w:val="26"/>
        </w:rPr>
        <w:t>CONSEQUENCE TO FEDERAL PROGRAM IF COLLECTION WERE CONDUCTED LESS FREQUENTLY</w:t>
      </w:r>
    </w:p>
    <w:p w14:paraId="5E2CC693" w14:textId="77777777" w:rsidR="00CA3B99" w:rsidRPr="00544199" w:rsidRDefault="00CA3B99" w:rsidP="00544199">
      <w:pPr>
        <w:widowControl/>
        <w:rPr>
          <w:b/>
          <w:sz w:val="26"/>
          <w:szCs w:val="26"/>
        </w:rPr>
      </w:pPr>
    </w:p>
    <w:p w14:paraId="76CACB31" w14:textId="59FF56B3" w:rsidR="001C3404" w:rsidRPr="004739F8" w:rsidRDefault="00870D92" w:rsidP="001C3404">
      <w:pPr>
        <w:widowControl/>
        <w:tabs>
          <w:tab w:val="left" w:pos="0"/>
        </w:tabs>
        <w:rPr>
          <w:sz w:val="26"/>
          <w:szCs w:val="26"/>
        </w:rPr>
      </w:pPr>
      <w:proofErr w:type="gramStart"/>
      <w:r w:rsidRPr="004739F8">
        <w:rPr>
          <w:b/>
          <w:sz w:val="26"/>
          <w:szCs w:val="26"/>
        </w:rPr>
        <w:t>FERC-545.</w:t>
      </w:r>
      <w:proofErr w:type="gramEnd"/>
      <w:r w:rsidRPr="004739F8">
        <w:rPr>
          <w:b/>
          <w:sz w:val="26"/>
          <w:szCs w:val="26"/>
        </w:rPr>
        <w:t xml:space="preserve"> </w:t>
      </w:r>
      <w:r w:rsidRPr="004739F8">
        <w:rPr>
          <w:sz w:val="26"/>
          <w:szCs w:val="26"/>
        </w:rPr>
        <w:t xml:space="preserve"> </w:t>
      </w:r>
      <w:r w:rsidR="004739F8" w:rsidRPr="004739F8">
        <w:rPr>
          <w:sz w:val="26"/>
          <w:szCs w:val="26"/>
        </w:rPr>
        <w:t>This is a one-time compliance filing.</w:t>
      </w:r>
    </w:p>
    <w:p w14:paraId="5CE2162D" w14:textId="77777777" w:rsidR="001C3404" w:rsidRPr="004739F8" w:rsidRDefault="001C3404" w:rsidP="001C3404">
      <w:pPr>
        <w:widowControl/>
        <w:tabs>
          <w:tab w:val="left" w:pos="0"/>
        </w:tabs>
        <w:rPr>
          <w:sz w:val="26"/>
          <w:szCs w:val="26"/>
        </w:rPr>
      </w:pPr>
    </w:p>
    <w:p w14:paraId="6879B475" w14:textId="33B8E592" w:rsidR="001C3404" w:rsidRPr="00DA6CEC" w:rsidRDefault="00870D92" w:rsidP="001C3404">
      <w:pPr>
        <w:widowControl/>
        <w:tabs>
          <w:tab w:val="left" w:pos="0"/>
        </w:tabs>
        <w:rPr>
          <w:b/>
          <w:sz w:val="26"/>
          <w:szCs w:val="26"/>
        </w:rPr>
      </w:pPr>
      <w:r w:rsidRPr="004739F8">
        <w:rPr>
          <w:b/>
          <w:sz w:val="26"/>
          <w:szCs w:val="26"/>
        </w:rPr>
        <w:t>FERC-549C.</w:t>
      </w:r>
      <w:r w:rsidRPr="004739F8">
        <w:rPr>
          <w:sz w:val="26"/>
          <w:szCs w:val="26"/>
        </w:rPr>
        <w:t xml:space="preserve">  </w:t>
      </w:r>
      <w:r w:rsidR="004739F8">
        <w:rPr>
          <w:sz w:val="26"/>
          <w:szCs w:val="26"/>
        </w:rPr>
        <w:t xml:space="preserve">There is one-time implementation plus ongoing operations.  </w:t>
      </w:r>
    </w:p>
    <w:p w14:paraId="261C0464" w14:textId="77777777" w:rsidR="00CA3B99" w:rsidRPr="00544199" w:rsidRDefault="00CA3B99" w:rsidP="00544199">
      <w:pPr>
        <w:widowControl/>
        <w:rPr>
          <w:sz w:val="26"/>
          <w:szCs w:val="26"/>
        </w:rPr>
      </w:pPr>
    </w:p>
    <w:p w14:paraId="1BE13C75" w14:textId="77777777" w:rsidR="00CA3B99" w:rsidRPr="00544199" w:rsidRDefault="00CA3B99" w:rsidP="00950A39">
      <w:pPr>
        <w:widowControl/>
        <w:tabs>
          <w:tab w:val="left" w:pos="360"/>
        </w:tabs>
        <w:ind w:left="360" w:hanging="360"/>
        <w:rPr>
          <w:b/>
          <w:sz w:val="26"/>
          <w:szCs w:val="26"/>
        </w:rPr>
      </w:pPr>
      <w:r w:rsidRPr="00544199">
        <w:rPr>
          <w:b/>
          <w:sz w:val="26"/>
          <w:szCs w:val="26"/>
        </w:rPr>
        <w:t>7</w:t>
      </w:r>
      <w:r w:rsidRPr="00544199">
        <w:rPr>
          <w:sz w:val="26"/>
          <w:szCs w:val="26"/>
        </w:rPr>
        <w:t>.</w:t>
      </w:r>
      <w:r w:rsidRPr="00544199">
        <w:rPr>
          <w:sz w:val="26"/>
          <w:szCs w:val="26"/>
        </w:rPr>
        <w:tab/>
      </w:r>
      <w:r w:rsidRPr="00544199">
        <w:rPr>
          <w:b/>
          <w:sz w:val="26"/>
          <w:szCs w:val="26"/>
        </w:rPr>
        <w:t>EXPLAIN ANY SPECIAL CIRCUMSTANCES RELATING TO THE INFORMATION COLLECTION</w:t>
      </w:r>
    </w:p>
    <w:p w14:paraId="2AD91CF6" w14:textId="77777777" w:rsidR="00CA3B99" w:rsidRPr="00544199" w:rsidRDefault="00CA3B99" w:rsidP="00544199">
      <w:pPr>
        <w:widowControl/>
        <w:tabs>
          <w:tab w:val="left" w:pos="0"/>
        </w:tabs>
        <w:rPr>
          <w:sz w:val="26"/>
          <w:szCs w:val="26"/>
        </w:rPr>
      </w:pPr>
    </w:p>
    <w:p w14:paraId="6638D5A4" w14:textId="574BD553" w:rsidR="00CA3B99" w:rsidRDefault="00CA3B99" w:rsidP="00950A39">
      <w:pPr>
        <w:widowControl/>
        <w:tabs>
          <w:tab w:val="left" w:pos="0"/>
        </w:tabs>
        <w:ind w:firstLine="360"/>
        <w:rPr>
          <w:sz w:val="26"/>
          <w:szCs w:val="26"/>
        </w:rPr>
      </w:pPr>
      <w:r w:rsidRPr="00544199">
        <w:rPr>
          <w:sz w:val="26"/>
          <w:szCs w:val="26"/>
        </w:rPr>
        <w:t xml:space="preserve">The </w:t>
      </w:r>
      <w:r>
        <w:rPr>
          <w:b/>
          <w:sz w:val="26"/>
          <w:szCs w:val="26"/>
        </w:rPr>
        <w:t>FERC-545</w:t>
      </w:r>
      <w:r w:rsidR="006120E4">
        <w:rPr>
          <w:b/>
          <w:sz w:val="26"/>
          <w:szCs w:val="26"/>
        </w:rPr>
        <w:t xml:space="preserve"> and FERC-549C </w:t>
      </w:r>
      <w:r>
        <w:rPr>
          <w:sz w:val="26"/>
          <w:szCs w:val="26"/>
        </w:rPr>
        <w:t>present</w:t>
      </w:r>
      <w:r w:rsidRPr="00544199">
        <w:rPr>
          <w:sz w:val="26"/>
          <w:szCs w:val="26"/>
        </w:rPr>
        <w:t xml:space="preserve"> no special circumstances.</w:t>
      </w:r>
    </w:p>
    <w:p w14:paraId="32855EF0" w14:textId="77777777" w:rsidR="00CA3B99" w:rsidRPr="00544199" w:rsidRDefault="00CA3B99" w:rsidP="00544199">
      <w:pPr>
        <w:widowControl/>
        <w:rPr>
          <w:sz w:val="26"/>
          <w:szCs w:val="26"/>
        </w:rPr>
      </w:pPr>
    </w:p>
    <w:p w14:paraId="4197DA2E" w14:textId="26AA5C72" w:rsidR="00CA3B99" w:rsidRPr="003A636B" w:rsidRDefault="00CA3B99" w:rsidP="00950A39">
      <w:pPr>
        <w:widowControl/>
        <w:ind w:left="360" w:hanging="360"/>
        <w:rPr>
          <w:b/>
          <w:sz w:val="26"/>
          <w:szCs w:val="26"/>
        </w:rPr>
      </w:pPr>
      <w:proofErr w:type="gramStart"/>
      <w:r w:rsidRPr="003A636B">
        <w:rPr>
          <w:b/>
          <w:sz w:val="26"/>
          <w:szCs w:val="26"/>
        </w:rPr>
        <w:t>8.DESCRIBE</w:t>
      </w:r>
      <w:proofErr w:type="gramEnd"/>
      <w:r w:rsidRPr="003A636B">
        <w:rPr>
          <w:b/>
          <w:sz w:val="26"/>
          <w:szCs w:val="26"/>
        </w:rPr>
        <w:t xml:space="preserve"> EFFORTS TO CONSULT OUTSIDE THE AGENCY:   SUMMARIZE PUBLIC COMMENTS AND THE AGENCY’S RESPONSE TO THESE COMMENTS</w:t>
      </w:r>
    </w:p>
    <w:p w14:paraId="7999EB01" w14:textId="77777777" w:rsidR="00CA3B99" w:rsidRPr="003A636B" w:rsidRDefault="00CA3B99" w:rsidP="003A636B">
      <w:pPr>
        <w:ind w:left="720" w:hanging="720"/>
      </w:pPr>
    </w:p>
    <w:p w14:paraId="20D96C78" w14:textId="77777777" w:rsidR="00AF3989" w:rsidRDefault="00AF3989" w:rsidP="00955689">
      <w:pPr>
        <w:widowControl/>
        <w:tabs>
          <w:tab w:val="left" w:pos="-1440"/>
        </w:tabs>
        <w:ind w:firstLine="360"/>
        <w:rPr>
          <w:sz w:val="26"/>
          <w:szCs w:val="26"/>
        </w:rPr>
      </w:pPr>
      <w:r>
        <w:rPr>
          <w:sz w:val="26"/>
          <w:szCs w:val="26"/>
        </w:rPr>
        <w:t>T</w:t>
      </w:r>
      <w:r w:rsidRPr="00AF3989">
        <w:rPr>
          <w:sz w:val="26"/>
          <w:szCs w:val="26"/>
        </w:rPr>
        <w:t>he Commission has engaged in an extensive dialogue with industry on gas-electric coordination issues.  These efforts were first formalized on February 15, 2012, when the Commission issued a notice in Docket No. AD12-12-000 requesting comment on various aspects of gas-electric interdependence and coordination in response to questions posed by members of the Commission.   In order to better understand the interface between the electric and natural gas pipeline industries and identify areas for improved coordination, the questions covered a variety of topics including market structures and rules, scheduling, communications, infrastructure and reliability.  In response to the notice, the Commission received comments from 79 entities that raised concerns, including the need for alignment of natural gas and electric scheduling.</w:t>
      </w:r>
    </w:p>
    <w:p w14:paraId="0A2249F4" w14:textId="77777777" w:rsidR="00951D8B" w:rsidRPr="00AF3989" w:rsidRDefault="00951D8B" w:rsidP="00AF3989">
      <w:pPr>
        <w:widowControl/>
        <w:tabs>
          <w:tab w:val="left" w:pos="-1440"/>
        </w:tabs>
        <w:ind w:firstLine="450"/>
        <w:rPr>
          <w:sz w:val="26"/>
          <w:szCs w:val="26"/>
        </w:rPr>
      </w:pPr>
    </w:p>
    <w:p w14:paraId="5022E8AC" w14:textId="77777777" w:rsidR="00AF3989" w:rsidRDefault="00AF3989" w:rsidP="00955689">
      <w:pPr>
        <w:widowControl/>
        <w:tabs>
          <w:tab w:val="left" w:pos="-1440"/>
        </w:tabs>
        <w:ind w:firstLine="360"/>
        <w:rPr>
          <w:sz w:val="26"/>
          <w:szCs w:val="26"/>
        </w:rPr>
      </w:pPr>
      <w:r w:rsidRPr="00AF3989">
        <w:rPr>
          <w:sz w:val="26"/>
          <w:szCs w:val="26"/>
        </w:rPr>
        <w:t xml:space="preserve">During August 2012, the Commission convened five regional conferences for the purpose of exploring these issues and obtaining further information from the electric and natural gas industries regarding coordination between the industries.  Representatives from a cross-section of both industries attended the regional conferences, with total attendance exceeding 1,200 registrants.  As noted above, the November Staff Report following these conferences stated that, among other topics, participants highlighted the need for alignment of natural gas and electric scheduling.  Generators participating in the ISO and RTO markets stated that managing fuel procurement risk can be a challenge because the natural gas and electric operating days are not aligned.  Many participants voiced concerns related to whether establishing a standard energy day for both industries is warranted, whether and how utilities can most effectively match their scheduling times with the nationwide natural gas scheduling timeline, whether additional </w:t>
      </w:r>
      <w:r w:rsidRPr="00AF3989">
        <w:rPr>
          <w:sz w:val="26"/>
          <w:szCs w:val="26"/>
        </w:rPr>
        <w:lastRenderedPageBreak/>
        <w:t>nomination opportunities for natural gas can be provided and, if so, under what conditions.  Participants also pointed out that changes to natural gas scheduling practices can have national implications given the operational structure of the pipeline system and that whether changes to the scheduling practices of the natural gas or electric industries are necessary to better align these two markets has been a matter of debate among the industries for a number of years.</w:t>
      </w:r>
    </w:p>
    <w:p w14:paraId="607BCEF6" w14:textId="77777777" w:rsidR="00951D8B" w:rsidRPr="00AF3989" w:rsidRDefault="00951D8B" w:rsidP="00AF3989">
      <w:pPr>
        <w:widowControl/>
        <w:tabs>
          <w:tab w:val="left" w:pos="-1440"/>
        </w:tabs>
        <w:ind w:firstLine="450"/>
        <w:rPr>
          <w:sz w:val="26"/>
          <w:szCs w:val="26"/>
        </w:rPr>
      </w:pPr>
    </w:p>
    <w:p w14:paraId="6644E759" w14:textId="77777777" w:rsidR="00AF3989" w:rsidRDefault="00AF3989" w:rsidP="00955689">
      <w:pPr>
        <w:widowControl/>
        <w:tabs>
          <w:tab w:val="left" w:pos="-1440"/>
        </w:tabs>
        <w:ind w:firstLine="360"/>
        <w:rPr>
          <w:sz w:val="26"/>
          <w:szCs w:val="26"/>
        </w:rPr>
      </w:pPr>
      <w:r w:rsidRPr="00AF3989">
        <w:rPr>
          <w:sz w:val="26"/>
          <w:szCs w:val="26"/>
        </w:rPr>
        <w:t xml:space="preserve">On November 15, 2012, the Commission issued an order directing further technical conferences and reports.   In this order, the Commission recognized that questions raised at the conferences, related to scheduling and other issues, were of sufficient importance that they warranted a separate technical conference to focus on the details relating to scheduling.   Therefore, the Commission directed, among other things, that Commission staff convene a technical conference to identify areas in which additional Commission guidance or potential regulatory changes could be considered. </w:t>
      </w:r>
    </w:p>
    <w:p w14:paraId="08BF8B7D" w14:textId="77777777" w:rsidR="00951D8B" w:rsidRPr="00AF3989" w:rsidRDefault="00951D8B" w:rsidP="00AF3989">
      <w:pPr>
        <w:widowControl/>
        <w:tabs>
          <w:tab w:val="left" w:pos="-1440"/>
        </w:tabs>
        <w:ind w:firstLine="450"/>
        <w:rPr>
          <w:sz w:val="26"/>
          <w:szCs w:val="26"/>
        </w:rPr>
      </w:pPr>
    </w:p>
    <w:p w14:paraId="7C6C2B81" w14:textId="77777777" w:rsidR="00AF3989" w:rsidRDefault="00AF3989" w:rsidP="00955689">
      <w:pPr>
        <w:widowControl/>
        <w:tabs>
          <w:tab w:val="left" w:pos="-1440"/>
        </w:tabs>
        <w:ind w:firstLine="360"/>
        <w:rPr>
          <w:sz w:val="26"/>
          <w:szCs w:val="26"/>
        </w:rPr>
      </w:pPr>
      <w:r w:rsidRPr="00AF3989">
        <w:rPr>
          <w:sz w:val="26"/>
          <w:szCs w:val="26"/>
        </w:rPr>
        <w:t xml:space="preserve">Pursuant to the November 15 Order, the Commission  held a technical conference on April 25, 2013 (April 2013 technical conference) regarding natural gas and electric scheduling practices, and issues related to whether and how natural gas and electric industry schedules could be harmonized in order to achieve the most efficient scheduling systems for both industries.   More than 300 persons, representing a cross-section of industry, participated in the April 2013 technical conference, and discussed four major topic areas:  natural gas and electric operating day, natural gas nomination cycles, the No-Bump Rule, and electric scheduling and market rules. </w:t>
      </w:r>
    </w:p>
    <w:p w14:paraId="3756DEE7" w14:textId="77777777" w:rsidR="00951D8B" w:rsidRPr="00AF3989" w:rsidRDefault="00951D8B" w:rsidP="00AF3989">
      <w:pPr>
        <w:widowControl/>
        <w:tabs>
          <w:tab w:val="left" w:pos="-1440"/>
        </w:tabs>
        <w:ind w:firstLine="450"/>
        <w:rPr>
          <w:sz w:val="26"/>
          <w:szCs w:val="26"/>
        </w:rPr>
      </w:pPr>
    </w:p>
    <w:p w14:paraId="5CCDDC76" w14:textId="77777777" w:rsidR="00CA3B99" w:rsidRDefault="00AF3989" w:rsidP="00955689">
      <w:pPr>
        <w:widowControl/>
        <w:tabs>
          <w:tab w:val="left" w:pos="-1440"/>
        </w:tabs>
        <w:ind w:firstLine="360"/>
        <w:rPr>
          <w:sz w:val="26"/>
          <w:szCs w:val="26"/>
        </w:rPr>
      </w:pPr>
      <w:r w:rsidRPr="00AF3989">
        <w:rPr>
          <w:sz w:val="26"/>
          <w:szCs w:val="26"/>
        </w:rPr>
        <w:t>The participants in these conferences identified a number of specific areas in which the differences between the nationwide natural gas schedules and the regional electric schedules can affect the ability to provide reliable service and may create inefficiencies in scheduling that result in less cost effective use of resources.  The major areas identified by the participants were: 1) the discontinuity between the operating days of electric utilities (including ISOs and RTOs) and the standardized operating day of interstate natural gas pipelines; 2) the lack of coordination between the day-ahead process for nominating interstate natural gas pipeline transportation services and the day-ahead process for scheduling electric generators, particularly those of the ISOs and RTOs; and 3) the lack of intra-day nomination opportunities on interstate natural gas pipelines, which may limit the ability of gas-fired electric generators, as well as other shippers, to revise their nominations during the operating day.</w:t>
      </w:r>
    </w:p>
    <w:p w14:paraId="608F8A95" w14:textId="77777777" w:rsidR="00231637" w:rsidRDefault="00231637" w:rsidP="00AF3989">
      <w:pPr>
        <w:widowControl/>
        <w:tabs>
          <w:tab w:val="left" w:pos="-1440"/>
        </w:tabs>
        <w:ind w:firstLine="450"/>
        <w:rPr>
          <w:sz w:val="26"/>
          <w:szCs w:val="26"/>
        </w:rPr>
      </w:pPr>
    </w:p>
    <w:p w14:paraId="7DC46FA9" w14:textId="77777777" w:rsidR="00E575C0" w:rsidRDefault="00AF3989" w:rsidP="00955689">
      <w:pPr>
        <w:widowControl/>
        <w:tabs>
          <w:tab w:val="left" w:pos="-1440"/>
        </w:tabs>
        <w:ind w:firstLine="360"/>
        <w:rPr>
          <w:sz w:val="26"/>
          <w:szCs w:val="26"/>
        </w:rPr>
      </w:pPr>
      <w:r>
        <w:rPr>
          <w:sz w:val="26"/>
          <w:szCs w:val="26"/>
        </w:rPr>
        <w:t>This N</w:t>
      </w:r>
      <w:r w:rsidR="008B1776">
        <w:rPr>
          <w:sz w:val="26"/>
          <w:szCs w:val="26"/>
        </w:rPr>
        <w:t>OPR provides</w:t>
      </w:r>
      <w:r w:rsidR="00494AA3">
        <w:rPr>
          <w:sz w:val="26"/>
          <w:szCs w:val="26"/>
        </w:rPr>
        <w:t>:</w:t>
      </w:r>
      <w:r>
        <w:rPr>
          <w:sz w:val="26"/>
          <w:szCs w:val="26"/>
        </w:rPr>
        <w:t xml:space="preserve"> </w:t>
      </w:r>
    </w:p>
    <w:p w14:paraId="3C62666B" w14:textId="6D344909" w:rsidR="008B1776" w:rsidRPr="00827479" w:rsidRDefault="00827479" w:rsidP="00827479">
      <w:pPr>
        <w:pStyle w:val="ListParagraph"/>
        <w:widowControl/>
        <w:numPr>
          <w:ilvl w:val="0"/>
          <w:numId w:val="20"/>
        </w:numPr>
        <w:tabs>
          <w:tab w:val="left" w:pos="-1440"/>
        </w:tabs>
        <w:rPr>
          <w:sz w:val="26"/>
          <w:szCs w:val="26"/>
        </w:rPr>
      </w:pPr>
      <w:proofErr w:type="gramStart"/>
      <w:r>
        <w:rPr>
          <w:sz w:val="26"/>
          <w:szCs w:val="26"/>
        </w:rPr>
        <w:t>s</w:t>
      </w:r>
      <w:r w:rsidR="008B1776" w:rsidRPr="00827479">
        <w:rPr>
          <w:sz w:val="26"/>
          <w:szCs w:val="26"/>
        </w:rPr>
        <w:t>ix</w:t>
      </w:r>
      <w:proofErr w:type="gramEnd"/>
      <w:r w:rsidR="008B1776" w:rsidRPr="00827479">
        <w:rPr>
          <w:sz w:val="26"/>
          <w:szCs w:val="26"/>
        </w:rPr>
        <w:t xml:space="preserve"> months for the natural </w:t>
      </w:r>
      <w:r w:rsidR="00AF3989" w:rsidRPr="00827479">
        <w:rPr>
          <w:sz w:val="26"/>
          <w:szCs w:val="26"/>
        </w:rPr>
        <w:t xml:space="preserve">gas </w:t>
      </w:r>
      <w:r w:rsidR="00E575C0" w:rsidRPr="00827479">
        <w:rPr>
          <w:sz w:val="26"/>
          <w:szCs w:val="26"/>
        </w:rPr>
        <w:t xml:space="preserve">and electric </w:t>
      </w:r>
      <w:r w:rsidR="00AF3989" w:rsidRPr="00827479">
        <w:rPr>
          <w:sz w:val="26"/>
          <w:szCs w:val="26"/>
        </w:rPr>
        <w:t>in</w:t>
      </w:r>
      <w:r w:rsidR="00C60F8F" w:rsidRPr="00827479">
        <w:rPr>
          <w:sz w:val="26"/>
          <w:szCs w:val="26"/>
        </w:rPr>
        <w:t xml:space="preserve">dustries </w:t>
      </w:r>
      <w:r w:rsidR="00767D14" w:rsidRPr="00827479">
        <w:rPr>
          <w:sz w:val="26"/>
          <w:szCs w:val="26"/>
        </w:rPr>
        <w:t xml:space="preserve">and NAESB and other stakeholders </w:t>
      </w:r>
      <w:r w:rsidR="00C60F8F" w:rsidRPr="00827479">
        <w:rPr>
          <w:sz w:val="26"/>
          <w:szCs w:val="26"/>
        </w:rPr>
        <w:t xml:space="preserve">to </w:t>
      </w:r>
      <w:r w:rsidR="008B1776" w:rsidRPr="00827479">
        <w:rPr>
          <w:sz w:val="26"/>
          <w:szCs w:val="26"/>
        </w:rPr>
        <w:t>reach consensus on standards, consi</w:t>
      </w:r>
      <w:r w:rsidR="00896D4F" w:rsidRPr="00827479">
        <w:rPr>
          <w:sz w:val="26"/>
          <w:szCs w:val="26"/>
        </w:rPr>
        <w:t>stent with the C</w:t>
      </w:r>
      <w:r w:rsidR="008B1776" w:rsidRPr="00827479">
        <w:rPr>
          <w:sz w:val="26"/>
          <w:szCs w:val="26"/>
        </w:rPr>
        <w:t xml:space="preserve">ommission’s guidance, including revisions or modifications to the proposals. </w:t>
      </w:r>
      <w:r w:rsidR="007B1F7B">
        <w:rPr>
          <w:rStyle w:val="FootnoteReference"/>
          <w:sz w:val="26"/>
          <w:szCs w:val="26"/>
        </w:rPr>
        <w:footnoteReference w:id="5"/>
      </w:r>
    </w:p>
    <w:p w14:paraId="25FFF129" w14:textId="09E2D6D5" w:rsidR="00AF3989" w:rsidRPr="00E575C0" w:rsidRDefault="00AF3989" w:rsidP="00E575C0">
      <w:pPr>
        <w:pStyle w:val="ListParagraph"/>
        <w:widowControl/>
        <w:numPr>
          <w:ilvl w:val="0"/>
          <w:numId w:val="20"/>
        </w:numPr>
        <w:tabs>
          <w:tab w:val="left" w:pos="-1440"/>
        </w:tabs>
        <w:rPr>
          <w:sz w:val="26"/>
          <w:szCs w:val="26"/>
        </w:rPr>
      </w:pPr>
      <w:proofErr w:type="gramStart"/>
      <w:r w:rsidRPr="00E575C0">
        <w:rPr>
          <w:sz w:val="26"/>
          <w:szCs w:val="26"/>
        </w:rPr>
        <w:lastRenderedPageBreak/>
        <w:t>public</w:t>
      </w:r>
      <w:proofErr w:type="gramEnd"/>
      <w:r w:rsidRPr="00E575C0">
        <w:rPr>
          <w:sz w:val="26"/>
          <w:szCs w:val="26"/>
        </w:rPr>
        <w:t xml:space="preserve"> comment </w:t>
      </w:r>
      <w:r w:rsidR="00827479">
        <w:rPr>
          <w:sz w:val="26"/>
          <w:szCs w:val="26"/>
        </w:rPr>
        <w:t xml:space="preserve">to </w:t>
      </w:r>
      <w:r w:rsidR="002633A6" w:rsidRPr="00E575C0">
        <w:rPr>
          <w:sz w:val="26"/>
          <w:szCs w:val="26"/>
        </w:rPr>
        <w:t xml:space="preserve">be submitted to FERC </w:t>
      </w:r>
      <w:r w:rsidRPr="00E575C0">
        <w:rPr>
          <w:sz w:val="26"/>
          <w:szCs w:val="26"/>
        </w:rPr>
        <w:t>within 240 days of publication of the NOPR in the Federal Register</w:t>
      </w:r>
      <w:r w:rsidR="00C60F8F">
        <w:rPr>
          <w:sz w:val="26"/>
          <w:szCs w:val="26"/>
        </w:rPr>
        <w:t>.</w:t>
      </w:r>
    </w:p>
    <w:p w14:paraId="66D38703" w14:textId="77777777" w:rsidR="00AF3989" w:rsidRDefault="00AF3989" w:rsidP="00AF3989">
      <w:pPr>
        <w:widowControl/>
        <w:tabs>
          <w:tab w:val="left" w:pos="-1440"/>
        </w:tabs>
        <w:ind w:left="720" w:hanging="720"/>
        <w:rPr>
          <w:sz w:val="26"/>
          <w:szCs w:val="26"/>
        </w:rPr>
      </w:pPr>
    </w:p>
    <w:p w14:paraId="5BEF651D" w14:textId="70A951F6" w:rsidR="00CA3B99" w:rsidRPr="003A636B" w:rsidRDefault="00CA3B99" w:rsidP="00950A39">
      <w:pPr>
        <w:widowControl/>
        <w:ind w:left="360" w:hanging="360"/>
        <w:rPr>
          <w:b/>
          <w:sz w:val="26"/>
          <w:szCs w:val="26"/>
        </w:rPr>
      </w:pPr>
      <w:r w:rsidRPr="003A636B">
        <w:rPr>
          <w:b/>
          <w:sz w:val="26"/>
          <w:szCs w:val="26"/>
        </w:rPr>
        <w:t>9.</w:t>
      </w:r>
      <w:r w:rsidRPr="003A636B">
        <w:rPr>
          <w:sz w:val="26"/>
          <w:szCs w:val="26"/>
        </w:rPr>
        <w:t xml:space="preserve"> </w:t>
      </w:r>
      <w:r w:rsidRPr="003A636B">
        <w:rPr>
          <w:b/>
          <w:sz w:val="26"/>
          <w:szCs w:val="26"/>
        </w:rPr>
        <w:t>EXPLAIN ANY PAYMENT OR GIFTS TO RESPONDENTS</w:t>
      </w:r>
    </w:p>
    <w:p w14:paraId="0A070060" w14:textId="77777777" w:rsidR="00CA3B99" w:rsidRPr="003A636B" w:rsidRDefault="00CA3B99" w:rsidP="003A636B">
      <w:pPr>
        <w:widowControl/>
        <w:ind w:firstLine="720"/>
        <w:rPr>
          <w:sz w:val="26"/>
          <w:szCs w:val="26"/>
        </w:rPr>
      </w:pPr>
    </w:p>
    <w:p w14:paraId="49A6197F" w14:textId="77777777" w:rsidR="00CA3B99" w:rsidRPr="003A636B" w:rsidRDefault="00CA3B99" w:rsidP="003A636B">
      <w:pPr>
        <w:widowControl/>
        <w:rPr>
          <w:sz w:val="26"/>
          <w:szCs w:val="26"/>
        </w:rPr>
      </w:pPr>
      <w:r>
        <w:rPr>
          <w:b/>
          <w:sz w:val="26"/>
          <w:szCs w:val="26"/>
        </w:rPr>
        <w:t>FERC-545 and FERC-549</w:t>
      </w:r>
      <w:r w:rsidR="003C00C5">
        <w:rPr>
          <w:b/>
          <w:sz w:val="26"/>
          <w:szCs w:val="26"/>
        </w:rPr>
        <w:t>C</w:t>
      </w:r>
      <w:r>
        <w:rPr>
          <w:b/>
          <w:sz w:val="26"/>
          <w:szCs w:val="26"/>
        </w:rPr>
        <w:t xml:space="preserve">.  </w:t>
      </w:r>
      <w:r w:rsidRPr="003A636B">
        <w:rPr>
          <w:sz w:val="26"/>
          <w:szCs w:val="26"/>
        </w:rPr>
        <w:t>There are no payments or gifts to respondents.</w:t>
      </w:r>
    </w:p>
    <w:p w14:paraId="042D06F0" w14:textId="77777777" w:rsidR="00CA3B99" w:rsidRPr="003A636B" w:rsidRDefault="00CA3B99" w:rsidP="003A636B">
      <w:pPr>
        <w:widowControl/>
        <w:ind w:firstLine="720"/>
        <w:rPr>
          <w:sz w:val="26"/>
          <w:szCs w:val="26"/>
        </w:rPr>
      </w:pPr>
    </w:p>
    <w:p w14:paraId="4E6FEAF2" w14:textId="2ABA2E53" w:rsidR="00CA3B99" w:rsidRPr="003A636B" w:rsidRDefault="00CA3B99" w:rsidP="00950A39">
      <w:pPr>
        <w:widowControl/>
        <w:ind w:left="360" w:hanging="360"/>
        <w:rPr>
          <w:b/>
          <w:sz w:val="26"/>
          <w:szCs w:val="26"/>
        </w:rPr>
      </w:pPr>
      <w:r w:rsidRPr="003A636B">
        <w:rPr>
          <w:b/>
          <w:sz w:val="26"/>
          <w:szCs w:val="26"/>
        </w:rPr>
        <w:t>10</w:t>
      </w:r>
      <w:proofErr w:type="gramStart"/>
      <w:r w:rsidRPr="003A636B">
        <w:rPr>
          <w:b/>
          <w:sz w:val="26"/>
          <w:szCs w:val="26"/>
        </w:rPr>
        <w:t>.DESCRIBE</w:t>
      </w:r>
      <w:proofErr w:type="gramEnd"/>
      <w:r w:rsidRPr="003A636B">
        <w:rPr>
          <w:b/>
          <w:sz w:val="26"/>
          <w:szCs w:val="26"/>
        </w:rPr>
        <w:t xml:space="preserve"> ANY ASSURANCE OF CONFIDENTIALITY PROVIDED TO RESPONDENTS</w:t>
      </w:r>
    </w:p>
    <w:p w14:paraId="369523E0" w14:textId="77777777" w:rsidR="00CA3B99" w:rsidRPr="003A636B" w:rsidRDefault="00CA3B99" w:rsidP="003A636B">
      <w:pPr>
        <w:widowControl/>
        <w:rPr>
          <w:sz w:val="26"/>
          <w:szCs w:val="26"/>
        </w:rPr>
      </w:pPr>
    </w:p>
    <w:p w14:paraId="128E19AD" w14:textId="77777777" w:rsidR="00CA3B99" w:rsidRPr="003A636B" w:rsidRDefault="00CA3B99" w:rsidP="00C60F8F">
      <w:pPr>
        <w:widowControl/>
        <w:rPr>
          <w:sz w:val="26"/>
          <w:szCs w:val="26"/>
        </w:rPr>
      </w:pPr>
      <w:r>
        <w:rPr>
          <w:b/>
          <w:sz w:val="26"/>
          <w:szCs w:val="26"/>
        </w:rPr>
        <w:t>FERC-545 and FERC-549</w:t>
      </w:r>
      <w:r w:rsidR="00492622">
        <w:rPr>
          <w:b/>
          <w:sz w:val="26"/>
          <w:szCs w:val="26"/>
        </w:rPr>
        <w:t>C</w:t>
      </w:r>
      <w:r>
        <w:rPr>
          <w:b/>
          <w:sz w:val="26"/>
          <w:szCs w:val="26"/>
        </w:rPr>
        <w:t xml:space="preserve">.  </w:t>
      </w:r>
      <w:r w:rsidRPr="003A636B">
        <w:rPr>
          <w:sz w:val="26"/>
          <w:szCs w:val="26"/>
        </w:rPr>
        <w:t xml:space="preserve">The data </w:t>
      </w:r>
      <w:r>
        <w:rPr>
          <w:sz w:val="26"/>
          <w:szCs w:val="26"/>
        </w:rPr>
        <w:t>are public.</w:t>
      </w:r>
      <w:r w:rsidRPr="003A636B">
        <w:rPr>
          <w:sz w:val="26"/>
          <w:szCs w:val="26"/>
        </w:rPr>
        <w:t xml:space="preserve">  </w:t>
      </w:r>
      <w:r>
        <w:rPr>
          <w:sz w:val="26"/>
          <w:szCs w:val="26"/>
        </w:rPr>
        <w:t>In general, for all submittals to the Commission, filers may submit</w:t>
      </w:r>
      <w:r w:rsidRPr="003A636B">
        <w:rPr>
          <w:sz w:val="26"/>
          <w:szCs w:val="26"/>
        </w:rPr>
        <w:t xml:space="preserve"> specific requests for confidential treatment to the extent permitted by law</w:t>
      </w:r>
      <w:r>
        <w:rPr>
          <w:sz w:val="26"/>
          <w:szCs w:val="26"/>
        </w:rPr>
        <w:t xml:space="preserve">; details are available in </w:t>
      </w:r>
      <w:r w:rsidRPr="003A636B">
        <w:rPr>
          <w:sz w:val="26"/>
          <w:szCs w:val="26"/>
        </w:rPr>
        <w:t>18 C.F.R. Section 388.112.</w:t>
      </w:r>
    </w:p>
    <w:p w14:paraId="707BB865" w14:textId="77777777" w:rsidR="00CA3B99" w:rsidRPr="003A636B" w:rsidRDefault="00CA3B99" w:rsidP="003A636B">
      <w:pPr>
        <w:widowControl/>
        <w:ind w:firstLine="720"/>
        <w:rPr>
          <w:sz w:val="26"/>
          <w:szCs w:val="26"/>
        </w:rPr>
      </w:pPr>
    </w:p>
    <w:p w14:paraId="555DDD85" w14:textId="438FE578" w:rsidR="00CA3B99" w:rsidRPr="003A636B" w:rsidRDefault="00CA3B99" w:rsidP="00950A39">
      <w:pPr>
        <w:widowControl/>
        <w:tabs>
          <w:tab w:val="left" w:pos="360"/>
        </w:tabs>
        <w:ind w:left="360" w:hanging="360"/>
        <w:rPr>
          <w:b/>
          <w:sz w:val="26"/>
          <w:szCs w:val="26"/>
        </w:rPr>
      </w:pPr>
      <w:r w:rsidRPr="003A636B">
        <w:rPr>
          <w:b/>
          <w:sz w:val="26"/>
          <w:szCs w:val="26"/>
        </w:rPr>
        <w:t>11</w:t>
      </w:r>
      <w:proofErr w:type="gramStart"/>
      <w:r w:rsidRPr="003A636B">
        <w:rPr>
          <w:b/>
          <w:sz w:val="26"/>
          <w:szCs w:val="26"/>
        </w:rPr>
        <w:t>.PROVIDE</w:t>
      </w:r>
      <w:proofErr w:type="gramEnd"/>
      <w:r w:rsidRPr="003A636B">
        <w:rPr>
          <w:b/>
          <w:sz w:val="26"/>
          <w:szCs w:val="26"/>
        </w:rPr>
        <w:t xml:space="preserve"> ADDITIONAL JUSTIFICATION FOR ANY QUESTIONS OF A SENSITIVE NATURE</w:t>
      </w:r>
    </w:p>
    <w:p w14:paraId="0D0827A3" w14:textId="77777777" w:rsidR="00CA3B99" w:rsidRPr="003A636B" w:rsidRDefault="00CA3B99" w:rsidP="003A636B">
      <w:pPr>
        <w:widowControl/>
        <w:ind w:firstLine="720"/>
        <w:rPr>
          <w:sz w:val="26"/>
          <w:szCs w:val="26"/>
        </w:rPr>
      </w:pPr>
    </w:p>
    <w:p w14:paraId="0CE55669" w14:textId="77777777" w:rsidR="00CA3B99" w:rsidRPr="003A636B" w:rsidRDefault="00CA3B99" w:rsidP="003A636B">
      <w:pPr>
        <w:widowControl/>
        <w:tabs>
          <w:tab w:val="left" w:pos="720"/>
        </w:tabs>
        <w:rPr>
          <w:sz w:val="26"/>
          <w:szCs w:val="26"/>
        </w:rPr>
      </w:pPr>
      <w:r>
        <w:rPr>
          <w:b/>
          <w:sz w:val="26"/>
          <w:szCs w:val="26"/>
        </w:rPr>
        <w:t>FERC-545 and FERC-549</w:t>
      </w:r>
      <w:r w:rsidR="00492622">
        <w:rPr>
          <w:b/>
          <w:sz w:val="26"/>
          <w:szCs w:val="26"/>
        </w:rPr>
        <w:t>C</w:t>
      </w:r>
      <w:r>
        <w:rPr>
          <w:b/>
          <w:sz w:val="26"/>
          <w:szCs w:val="26"/>
        </w:rPr>
        <w:t xml:space="preserve">.  </w:t>
      </w:r>
      <w:r w:rsidRPr="003A636B">
        <w:rPr>
          <w:sz w:val="26"/>
          <w:szCs w:val="26"/>
        </w:rPr>
        <w:t>Th</w:t>
      </w:r>
      <w:r>
        <w:rPr>
          <w:sz w:val="26"/>
          <w:szCs w:val="26"/>
        </w:rPr>
        <w:t>ese</w:t>
      </w:r>
      <w:r w:rsidRPr="003A636B">
        <w:rPr>
          <w:sz w:val="26"/>
          <w:szCs w:val="26"/>
        </w:rPr>
        <w:t xml:space="preserve"> collection</w:t>
      </w:r>
      <w:r>
        <w:rPr>
          <w:sz w:val="26"/>
          <w:szCs w:val="26"/>
        </w:rPr>
        <w:t>s</w:t>
      </w:r>
      <w:r w:rsidRPr="003A636B">
        <w:rPr>
          <w:sz w:val="26"/>
          <w:szCs w:val="26"/>
        </w:rPr>
        <w:t xml:space="preserve"> do not include any questions of a sensitive nature.</w:t>
      </w:r>
    </w:p>
    <w:p w14:paraId="5530A47A" w14:textId="77777777" w:rsidR="00CA3B99" w:rsidRPr="003A636B" w:rsidRDefault="00CA3B99" w:rsidP="003A636B">
      <w:pPr>
        <w:widowControl/>
        <w:tabs>
          <w:tab w:val="left" w:pos="720"/>
        </w:tabs>
        <w:ind w:firstLine="720"/>
        <w:rPr>
          <w:sz w:val="26"/>
          <w:szCs w:val="26"/>
        </w:rPr>
      </w:pPr>
    </w:p>
    <w:p w14:paraId="4622CE36" w14:textId="0262F2BB" w:rsidR="00CA3B99" w:rsidRDefault="00CA3B99" w:rsidP="00950A39">
      <w:pPr>
        <w:widowControl/>
        <w:tabs>
          <w:tab w:val="left" w:pos="360"/>
        </w:tabs>
        <w:ind w:left="360" w:hanging="360"/>
        <w:rPr>
          <w:b/>
          <w:sz w:val="26"/>
          <w:szCs w:val="26"/>
        </w:rPr>
      </w:pPr>
      <w:r w:rsidRPr="003A636B">
        <w:rPr>
          <w:b/>
          <w:sz w:val="26"/>
          <w:szCs w:val="26"/>
        </w:rPr>
        <w:t>12</w:t>
      </w:r>
      <w:proofErr w:type="gramStart"/>
      <w:r w:rsidRPr="003A636B">
        <w:rPr>
          <w:b/>
          <w:sz w:val="26"/>
          <w:szCs w:val="26"/>
        </w:rPr>
        <w:t>.ESTIMATED</w:t>
      </w:r>
      <w:proofErr w:type="gramEnd"/>
      <w:r w:rsidRPr="003A636B">
        <w:rPr>
          <w:b/>
          <w:sz w:val="26"/>
          <w:szCs w:val="26"/>
        </w:rPr>
        <w:t xml:space="preserve"> BURDEN OF COLLECTION OF INFORMATION</w:t>
      </w:r>
    </w:p>
    <w:p w14:paraId="03739EF9" w14:textId="77777777" w:rsidR="00AA0337" w:rsidRDefault="00AA0337" w:rsidP="003A636B">
      <w:pPr>
        <w:widowControl/>
        <w:tabs>
          <w:tab w:val="left" w:pos="720"/>
        </w:tabs>
        <w:ind w:left="720" w:hanging="720"/>
        <w:rPr>
          <w:b/>
          <w:sz w:val="26"/>
          <w:szCs w:val="26"/>
        </w:rPr>
      </w:pPr>
    </w:p>
    <w:p w14:paraId="05A6637E" w14:textId="77777777" w:rsidR="00507B6D" w:rsidRPr="00507B6D" w:rsidRDefault="00507B6D" w:rsidP="00507B6D">
      <w:pPr>
        <w:rPr>
          <w:sz w:val="26"/>
          <w:szCs w:val="26"/>
        </w:rPr>
      </w:pPr>
      <w:r w:rsidRPr="00A67C3C">
        <w:rPr>
          <w:b/>
          <w:sz w:val="26"/>
          <w:szCs w:val="26"/>
        </w:rPr>
        <w:t>FERC-545 and FERC-549</w:t>
      </w:r>
      <w:r w:rsidR="00492622">
        <w:rPr>
          <w:b/>
          <w:sz w:val="26"/>
          <w:szCs w:val="26"/>
        </w:rPr>
        <w:t>C</w:t>
      </w:r>
      <w:r w:rsidRPr="00A67C3C">
        <w:rPr>
          <w:b/>
          <w:sz w:val="26"/>
          <w:szCs w:val="26"/>
        </w:rPr>
        <w:t xml:space="preserve">.  </w:t>
      </w:r>
      <w:r w:rsidRPr="00A67C3C">
        <w:rPr>
          <w:sz w:val="26"/>
          <w:szCs w:val="26"/>
        </w:rPr>
        <w:t xml:space="preserve">The current </w:t>
      </w:r>
      <w:r>
        <w:rPr>
          <w:sz w:val="26"/>
          <w:szCs w:val="26"/>
        </w:rPr>
        <w:t>OMB-approved annual estimates</w:t>
      </w:r>
      <w:r w:rsidRPr="00A67C3C">
        <w:rPr>
          <w:sz w:val="26"/>
          <w:szCs w:val="26"/>
        </w:rPr>
        <w:t xml:space="preserve"> </w:t>
      </w:r>
      <w:r>
        <w:rPr>
          <w:sz w:val="26"/>
          <w:szCs w:val="26"/>
        </w:rPr>
        <w:t xml:space="preserve">in ROCIS and reginfo.gov </w:t>
      </w:r>
      <w:r w:rsidRPr="00A67C3C">
        <w:rPr>
          <w:sz w:val="26"/>
          <w:szCs w:val="26"/>
        </w:rPr>
        <w:t>follow.</w:t>
      </w:r>
    </w:p>
    <w:tbl>
      <w:tblPr>
        <w:tblW w:w="858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0"/>
        <w:gridCol w:w="1770"/>
        <w:gridCol w:w="1920"/>
        <w:gridCol w:w="2340"/>
      </w:tblGrid>
      <w:tr w:rsidR="00507B6D" w:rsidRPr="00507B6D" w14:paraId="2B4F1150" w14:textId="77777777" w:rsidTr="007556AE">
        <w:trPr>
          <w:trHeight w:val="499"/>
          <w:tblHeader/>
        </w:trPr>
        <w:tc>
          <w:tcPr>
            <w:tcW w:w="2550" w:type="dxa"/>
            <w:vAlign w:val="bottom"/>
          </w:tcPr>
          <w:p w14:paraId="5B43929E" w14:textId="77777777" w:rsidR="00507B6D" w:rsidRPr="00507B6D" w:rsidRDefault="00507B6D" w:rsidP="00507B6D">
            <w:pPr>
              <w:keepNext/>
              <w:rPr>
                <w:b/>
                <w:color w:val="000000"/>
                <w:sz w:val="26"/>
                <w:szCs w:val="20"/>
              </w:rPr>
            </w:pPr>
            <w:r w:rsidRPr="00507B6D">
              <w:rPr>
                <w:b/>
                <w:color w:val="000000"/>
                <w:sz w:val="26"/>
                <w:szCs w:val="20"/>
              </w:rPr>
              <w:t>Data Collection</w:t>
            </w:r>
          </w:p>
        </w:tc>
        <w:tc>
          <w:tcPr>
            <w:tcW w:w="1770" w:type="dxa"/>
            <w:vAlign w:val="bottom"/>
          </w:tcPr>
          <w:p w14:paraId="4A5C99EE" w14:textId="77777777" w:rsidR="00507B6D" w:rsidRPr="00507B6D" w:rsidRDefault="005B0DA6" w:rsidP="00507B6D">
            <w:pPr>
              <w:keepNext/>
              <w:rPr>
                <w:b/>
                <w:color w:val="000000"/>
                <w:sz w:val="26"/>
                <w:szCs w:val="20"/>
              </w:rPr>
            </w:pPr>
            <w:r>
              <w:rPr>
                <w:b/>
                <w:color w:val="000000"/>
                <w:sz w:val="26"/>
                <w:szCs w:val="20"/>
              </w:rPr>
              <w:t xml:space="preserve">Annual </w:t>
            </w:r>
            <w:r w:rsidR="00507B6D" w:rsidRPr="00507B6D">
              <w:rPr>
                <w:b/>
                <w:color w:val="000000"/>
                <w:sz w:val="26"/>
                <w:szCs w:val="20"/>
              </w:rPr>
              <w:t>Number of Respon</w:t>
            </w:r>
            <w:r w:rsidR="00507B6D">
              <w:rPr>
                <w:b/>
                <w:color w:val="000000"/>
                <w:sz w:val="26"/>
                <w:szCs w:val="20"/>
              </w:rPr>
              <w:t>ses</w:t>
            </w:r>
          </w:p>
        </w:tc>
        <w:tc>
          <w:tcPr>
            <w:tcW w:w="1920" w:type="dxa"/>
            <w:vAlign w:val="bottom"/>
          </w:tcPr>
          <w:p w14:paraId="5D8A13D4" w14:textId="77777777" w:rsidR="00507B6D" w:rsidRPr="00507B6D" w:rsidRDefault="005B0DA6" w:rsidP="00507B6D">
            <w:pPr>
              <w:keepNext/>
              <w:rPr>
                <w:b/>
                <w:color w:val="000000"/>
                <w:sz w:val="26"/>
                <w:szCs w:val="20"/>
              </w:rPr>
            </w:pPr>
            <w:r>
              <w:rPr>
                <w:b/>
                <w:color w:val="000000"/>
                <w:sz w:val="26"/>
                <w:szCs w:val="20"/>
              </w:rPr>
              <w:t xml:space="preserve">Annual </w:t>
            </w:r>
            <w:r w:rsidR="00507B6D" w:rsidRPr="00507B6D">
              <w:rPr>
                <w:b/>
                <w:color w:val="000000"/>
                <w:sz w:val="26"/>
                <w:szCs w:val="20"/>
              </w:rPr>
              <w:t xml:space="preserve">Total </w:t>
            </w:r>
            <w:r>
              <w:rPr>
                <w:b/>
                <w:color w:val="000000"/>
                <w:sz w:val="26"/>
                <w:szCs w:val="20"/>
              </w:rPr>
              <w:t xml:space="preserve">Burden </w:t>
            </w:r>
            <w:r w:rsidR="00507B6D" w:rsidRPr="00507B6D">
              <w:rPr>
                <w:b/>
                <w:color w:val="000000"/>
                <w:sz w:val="26"/>
                <w:szCs w:val="20"/>
              </w:rPr>
              <w:t>Hours</w:t>
            </w:r>
          </w:p>
        </w:tc>
        <w:tc>
          <w:tcPr>
            <w:tcW w:w="2340" w:type="dxa"/>
            <w:vAlign w:val="bottom"/>
          </w:tcPr>
          <w:p w14:paraId="15279A17" w14:textId="77777777" w:rsidR="00507B6D" w:rsidRPr="00507B6D" w:rsidRDefault="005B0DA6" w:rsidP="00507B6D">
            <w:pPr>
              <w:keepNext/>
              <w:rPr>
                <w:b/>
                <w:color w:val="000000"/>
                <w:sz w:val="26"/>
                <w:szCs w:val="20"/>
              </w:rPr>
            </w:pPr>
            <w:r>
              <w:rPr>
                <w:b/>
                <w:color w:val="000000"/>
                <w:sz w:val="26"/>
                <w:szCs w:val="20"/>
              </w:rPr>
              <w:t xml:space="preserve">Annual </w:t>
            </w:r>
            <w:r w:rsidR="00507B6D" w:rsidRPr="00507B6D">
              <w:rPr>
                <w:b/>
                <w:color w:val="000000"/>
                <w:sz w:val="26"/>
                <w:szCs w:val="20"/>
              </w:rPr>
              <w:t xml:space="preserve">Total </w:t>
            </w:r>
            <w:r>
              <w:rPr>
                <w:b/>
                <w:color w:val="000000"/>
                <w:sz w:val="26"/>
                <w:szCs w:val="20"/>
              </w:rPr>
              <w:t xml:space="preserve">Burden Hour </w:t>
            </w:r>
            <w:r w:rsidR="00507B6D" w:rsidRPr="00507B6D">
              <w:rPr>
                <w:b/>
                <w:color w:val="000000"/>
                <w:sz w:val="26"/>
                <w:szCs w:val="20"/>
              </w:rPr>
              <w:t>Cost</w:t>
            </w:r>
            <w:r>
              <w:rPr>
                <w:b/>
                <w:color w:val="000000"/>
                <w:sz w:val="26"/>
                <w:szCs w:val="20"/>
              </w:rPr>
              <w:t xml:space="preserve"> for Industry</w:t>
            </w:r>
          </w:p>
        </w:tc>
      </w:tr>
      <w:tr w:rsidR="00507B6D" w:rsidRPr="00507B6D" w14:paraId="381AB456" w14:textId="77777777" w:rsidTr="007556AE">
        <w:trPr>
          <w:trHeight w:val="250"/>
        </w:trPr>
        <w:tc>
          <w:tcPr>
            <w:tcW w:w="2550" w:type="dxa"/>
          </w:tcPr>
          <w:p w14:paraId="1358034E" w14:textId="77777777" w:rsidR="00507B6D" w:rsidRPr="00507B6D" w:rsidRDefault="00507B6D" w:rsidP="00B534F6">
            <w:pPr>
              <w:rPr>
                <w:color w:val="000000"/>
                <w:sz w:val="26"/>
                <w:szCs w:val="20"/>
              </w:rPr>
            </w:pPr>
            <w:r w:rsidRPr="00507B6D">
              <w:rPr>
                <w:color w:val="000000"/>
                <w:sz w:val="26"/>
                <w:szCs w:val="20"/>
              </w:rPr>
              <w:t>FERC -545</w:t>
            </w:r>
            <w:r w:rsidR="005B0DA6">
              <w:rPr>
                <w:rStyle w:val="FootnoteReference"/>
                <w:color w:val="000000"/>
                <w:sz w:val="26"/>
                <w:szCs w:val="20"/>
              </w:rPr>
              <w:footnoteReference w:id="6"/>
            </w:r>
          </w:p>
        </w:tc>
        <w:tc>
          <w:tcPr>
            <w:tcW w:w="1770" w:type="dxa"/>
            <w:vAlign w:val="bottom"/>
          </w:tcPr>
          <w:p w14:paraId="328387A0" w14:textId="77777777" w:rsidR="00507B6D" w:rsidRPr="00507B6D" w:rsidRDefault="00C60F8F" w:rsidP="00507B6D">
            <w:pPr>
              <w:jc w:val="right"/>
              <w:rPr>
                <w:color w:val="000000"/>
                <w:sz w:val="26"/>
                <w:szCs w:val="20"/>
              </w:rPr>
            </w:pPr>
            <w:r>
              <w:rPr>
                <w:color w:val="000000"/>
                <w:sz w:val="26"/>
                <w:szCs w:val="20"/>
              </w:rPr>
              <w:t>2,151</w:t>
            </w:r>
          </w:p>
        </w:tc>
        <w:tc>
          <w:tcPr>
            <w:tcW w:w="1920" w:type="dxa"/>
            <w:vAlign w:val="bottom"/>
          </w:tcPr>
          <w:p w14:paraId="7AF6D91E" w14:textId="77777777" w:rsidR="00507B6D" w:rsidRPr="00507B6D" w:rsidRDefault="00507B6D" w:rsidP="00C60F8F">
            <w:pPr>
              <w:jc w:val="right"/>
              <w:rPr>
                <w:color w:val="000000"/>
                <w:sz w:val="26"/>
                <w:szCs w:val="20"/>
              </w:rPr>
            </w:pPr>
            <w:r w:rsidRPr="00507B6D">
              <w:rPr>
                <w:color w:val="000000"/>
                <w:sz w:val="26"/>
                <w:szCs w:val="20"/>
              </w:rPr>
              <w:t>280,</w:t>
            </w:r>
            <w:r w:rsidR="00C60F8F">
              <w:rPr>
                <w:color w:val="000000"/>
                <w:sz w:val="26"/>
                <w:szCs w:val="20"/>
              </w:rPr>
              <w:t>445</w:t>
            </w:r>
          </w:p>
        </w:tc>
        <w:tc>
          <w:tcPr>
            <w:tcW w:w="2340" w:type="dxa"/>
            <w:vAlign w:val="bottom"/>
          </w:tcPr>
          <w:p w14:paraId="6AF4457D" w14:textId="77777777" w:rsidR="00507B6D" w:rsidRPr="00507B6D" w:rsidRDefault="005B0DA6" w:rsidP="00304D4D">
            <w:pPr>
              <w:jc w:val="right"/>
              <w:rPr>
                <w:color w:val="000000"/>
                <w:sz w:val="26"/>
                <w:szCs w:val="20"/>
              </w:rPr>
            </w:pPr>
            <w:r w:rsidRPr="005B0DA6">
              <w:rPr>
                <w:color w:val="000000"/>
                <w:sz w:val="26"/>
                <w:szCs w:val="20"/>
              </w:rPr>
              <w:t>$19,</w:t>
            </w:r>
            <w:r w:rsidR="00304D4D">
              <w:rPr>
                <w:color w:val="000000"/>
                <w:sz w:val="26"/>
                <w:szCs w:val="20"/>
              </w:rPr>
              <w:t>347,929</w:t>
            </w:r>
          </w:p>
        </w:tc>
      </w:tr>
      <w:tr w:rsidR="00507B6D" w:rsidRPr="00507B6D" w14:paraId="5158D809" w14:textId="77777777" w:rsidTr="007556AE">
        <w:trPr>
          <w:trHeight w:val="250"/>
        </w:trPr>
        <w:tc>
          <w:tcPr>
            <w:tcW w:w="2550" w:type="dxa"/>
          </w:tcPr>
          <w:p w14:paraId="73851EAE" w14:textId="77777777" w:rsidR="00507B6D" w:rsidRPr="00507B6D" w:rsidRDefault="00B534F6" w:rsidP="00507B6D">
            <w:pPr>
              <w:rPr>
                <w:color w:val="000000"/>
                <w:sz w:val="26"/>
                <w:szCs w:val="20"/>
              </w:rPr>
            </w:pPr>
            <w:r>
              <w:rPr>
                <w:color w:val="000000"/>
                <w:sz w:val="26"/>
                <w:szCs w:val="20"/>
              </w:rPr>
              <w:t>FERC-549C</w:t>
            </w:r>
          </w:p>
        </w:tc>
        <w:tc>
          <w:tcPr>
            <w:tcW w:w="1770" w:type="dxa"/>
            <w:vAlign w:val="bottom"/>
          </w:tcPr>
          <w:p w14:paraId="54F6F870" w14:textId="601C9BCA" w:rsidR="00507B6D" w:rsidRPr="00507B6D" w:rsidRDefault="007A12A8" w:rsidP="007A12A8">
            <w:pPr>
              <w:jc w:val="right"/>
              <w:rPr>
                <w:color w:val="000000"/>
                <w:sz w:val="26"/>
                <w:szCs w:val="20"/>
              </w:rPr>
            </w:pPr>
            <w:r>
              <w:rPr>
                <w:color w:val="000000"/>
                <w:sz w:val="26"/>
                <w:szCs w:val="20"/>
              </w:rPr>
              <w:t>161</w:t>
            </w:r>
          </w:p>
        </w:tc>
        <w:tc>
          <w:tcPr>
            <w:tcW w:w="1920" w:type="dxa"/>
            <w:vAlign w:val="bottom"/>
          </w:tcPr>
          <w:p w14:paraId="21A5CADD" w14:textId="77777777" w:rsidR="00507B6D" w:rsidRPr="00507B6D" w:rsidRDefault="00193F96" w:rsidP="00507B6D">
            <w:pPr>
              <w:jc w:val="right"/>
              <w:rPr>
                <w:color w:val="000000"/>
                <w:sz w:val="26"/>
                <w:szCs w:val="20"/>
              </w:rPr>
            </w:pPr>
            <w:r>
              <w:rPr>
                <w:color w:val="000000"/>
                <w:sz w:val="26"/>
                <w:szCs w:val="20"/>
              </w:rPr>
              <w:t>14,490</w:t>
            </w:r>
          </w:p>
        </w:tc>
        <w:tc>
          <w:tcPr>
            <w:tcW w:w="2340" w:type="dxa"/>
            <w:vAlign w:val="bottom"/>
          </w:tcPr>
          <w:p w14:paraId="70644285" w14:textId="77777777" w:rsidR="00507B6D" w:rsidRPr="00507B6D" w:rsidRDefault="00BC7CA2" w:rsidP="00507B6D">
            <w:pPr>
              <w:jc w:val="right"/>
              <w:rPr>
                <w:color w:val="000000"/>
                <w:sz w:val="26"/>
                <w:szCs w:val="20"/>
              </w:rPr>
            </w:pPr>
            <w:r>
              <w:rPr>
                <w:sz w:val="26"/>
                <w:szCs w:val="26"/>
              </w:rPr>
              <w:t>$550,977</w:t>
            </w:r>
          </w:p>
        </w:tc>
      </w:tr>
    </w:tbl>
    <w:p w14:paraId="5864A484" w14:textId="77777777" w:rsidR="00507B6D" w:rsidRDefault="00507B6D" w:rsidP="00507B6D">
      <w:pPr>
        <w:rPr>
          <w:b/>
          <w:sz w:val="26"/>
          <w:szCs w:val="26"/>
        </w:rPr>
      </w:pPr>
    </w:p>
    <w:p w14:paraId="28082E3A" w14:textId="77777777" w:rsidR="00914CAA" w:rsidRPr="00914CAA" w:rsidRDefault="00914CAA" w:rsidP="00955689">
      <w:pPr>
        <w:ind w:firstLine="360"/>
        <w:rPr>
          <w:sz w:val="26"/>
          <w:szCs w:val="26"/>
        </w:rPr>
      </w:pPr>
      <w:r w:rsidRPr="00914CAA">
        <w:rPr>
          <w:sz w:val="26"/>
          <w:szCs w:val="26"/>
        </w:rPr>
        <w:t>See #15</w:t>
      </w:r>
      <w:r>
        <w:rPr>
          <w:sz w:val="26"/>
          <w:szCs w:val="26"/>
        </w:rPr>
        <w:t>, below,</w:t>
      </w:r>
      <w:r w:rsidRPr="00914CAA">
        <w:rPr>
          <w:sz w:val="26"/>
          <w:szCs w:val="26"/>
        </w:rPr>
        <w:t xml:space="preserve"> for information on the estimated changes to burden proposed in the NOPR in RM14-2 and for the proposed new </w:t>
      </w:r>
      <w:r>
        <w:rPr>
          <w:sz w:val="26"/>
          <w:szCs w:val="26"/>
        </w:rPr>
        <w:t>inventory figure</w:t>
      </w:r>
      <w:r w:rsidRPr="00914CAA">
        <w:rPr>
          <w:sz w:val="26"/>
          <w:szCs w:val="26"/>
        </w:rPr>
        <w:t>s.</w:t>
      </w:r>
    </w:p>
    <w:p w14:paraId="5CE22B7A" w14:textId="77777777" w:rsidR="00914CAA" w:rsidRDefault="00914CAA" w:rsidP="00507B6D">
      <w:pPr>
        <w:rPr>
          <w:b/>
          <w:sz w:val="26"/>
          <w:szCs w:val="26"/>
        </w:rPr>
      </w:pPr>
    </w:p>
    <w:p w14:paraId="6BAAE14D" w14:textId="2906A403" w:rsidR="00CA3B99" w:rsidRPr="00231159" w:rsidRDefault="00CA3B99" w:rsidP="00950A39">
      <w:pPr>
        <w:ind w:left="360" w:hanging="360"/>
        <w:rPr>
          <w:b/>
          <w:sz w:val="26"/>
          <w:szCs w:val="26"/>
        </w:rPr>
      </w:pPr>
      <w:r>
        <w:rPr>
          <w:b/>
          <w:sz w:val="26"/>
          <w:szCs w:val="26"/>
        </w:rPr>
        <w:t>13</w:t>
      </w:r>
      <w:proofErr w:type="gramStart"/>
      <w:r>
        <w:rPr>
          <w:b/>
          <w:sz w:val="26"/>
          <w:szCs w:val="26"/>
        </w:rPr>
        <w:t>.</w:t>
      </w:r>
      <w:r w:rsidRPr="00231159">
        <w:rPr>
          <w:b/>
          <w:sz w:val="26"/>
          <w:szCs w:val="26"/>
        </w:rPr>
        <w:t>ESTIMATE</w:t>
      </w:r>
      <w:proofErr w:type="gramEnd"/>
      <w:r w:rsidRPr="00231159">
        <w:rPr>
          <w:b/>
          <w:sz w:val="26"/>
          <w:szCs w:val="26"/>
        </w:rPr>
        <w:t xml:space="preserve"> OF TOTAL ANNUAL COST OF BURDEN TO RESPONDENTS</w:t>
      </w:r>
    </w:p>
    <w:p w14:paraId="15923C17" w14:textId="7ECEC3C8" w:rsidR="00CA3B99" w:rsidRPr="00231159" w:rsidRDefault="00CA3B99" w:rsidP="00231159">
      <w:pPr>
        <w:rPr>
          <w:b/>
          <w:sz w:val="26"/>
          <w:szCs w:val="26"/>
        </w:rPr>
      </w:pPr>
      <w:r w:rsidRPr="00231159">
        <w:rPr>
          <w:b/>
          <w:sz w:val="26"/>
          <w:szCs w:val="26"/>
        </w:rPr>
        <w:t xml:space="preserve"> </w:t>
      </w:r>
    </w:p>
    <w:p w14:paraId="2617EE3D" w14:textId="77777777" w:rsidR="00CA3B99" w:rsidRPr="00231159" w:rsidRDefault="00CA3B99" w:rsidP="00231159">
      <w:pPr>
        <w:rPr>
          <w:sz w:val="26"/>
          <w:szCs w:val="26"/>
        </w:rPr>
      </w:pPr>
      <w:r>
        <w:rPr>
          <w:b/>
          <w:sz w:val="26"/>
          <w:szCs w:val="26"/>
        </w:rPr>
        <w:t>FERC-545 and FERC-549</w:t>
      </w:r>
      <w:r w:rsidR="00492622">
        <w:rPr>
          <w:b/>
          <w:sz w:val="26"/>
          <w:szCs w:val="26"/>
        </w:rPr>
        <w:t>C</w:t>
      </w:r>
      <w:r>
        <w:rPr>
          <w:b/>
          <w:sz w:val="26"/>
          <w:szCs w:val="26"/>
        </w:rPr>
        <w:t xml:space="preserve">.  </w:t>
      </w:r>
      <w:r w:rsidRPr="00231159">
        <w:rPr>
          <w:sz w:val="26"/>
          <w:szCs w:val="26"/>
        </w:rPr>
        <w:t xml:space="preserve">There are no capital or start-up costs </w:t>
      </w:r>
      <w:r>
        <w:rPr>
          <w:sz w:val="26"/>
          <w:szCs w:val="26"/>
        </w:rPr>
        <w:t xml:space="preserve">for the </w:t>
      </w:r>
      <w:r w:rsidR="00037BDD">
        <w:rPr>
          <w:sz w:val="26"/>
          <w:szCs w:val="26"/>
        </w:rPr>
        <w:t>requirements in the NOPR in RM14-2</w:t>
      </w:r>
      <w:r>
        <w:rPr>
          <w:sz w:val="26"/>
          <w:szCs w:val="26"/>
        </w:rPr>
        <w:t xml:space="preserve"> that are </w:t>
      </w:r>
      <w:r w:rsidRPr="00231159">
        <w:rPr>
          <w:sz w:val="26"/>
          <w:szCs w:val="26"/>
        </w:rPr>
        <w:t>not associated with the burden hours.</w:t>
      </w:r>
      <w:r>
        <w:rPr>
          <w:sz w:val="26"/>
          <w:szCs w:val="26"/>
        </w:rPr>
        <w:t xml:space="preserve">  All of the costs are related to burden hours and are detailed in #12</w:t>
      </w:r>
      <w:r w:rsidR="00914CAA">
        <w:rPr>
          <w:sz w:val="26"/>
          <w:szCs w:val="26"/>
        </w:rPr>
        <w:t xml:space="preserve"> and #15</w:t>
      </w:r>
      <w:r>
        <w:rPr>
          <w:sz w:val="26"/>
          <w:szCs w:val="26"/>
        </w:rPr>
        <w:t>.</w:t>
      </w:r>
    </w:p>
    <w:p w14:paraId="7F1B5041" w14:textId="77777777" w:rsidR="00CA3B99" w:rsidRPr="00231159" w:rsidRDefault="00CA3B99" w:rsidP="00231159">
      <w:pPr>
        <w:widowControl/>
        <w:tabs>
          <w:tab w:val="left" w:pos="-1440"/>
        </w:tabs>
        <w:rPr>
          <w:sz w:val="26"/>
          <w:szCs w:val="26"/>
        </w:rPr>
      </w:pPr>
    </w:p>
    <w:p w14:paraId="55E2D35C" w14:textId="5D39C571" w:rsidR="00CA3B99" w:rsidRPr="005518EB" w:rsidRDefault="00CA3B99" w:rsidP="00950A39">
      <w:pPr>
        <w:widowControl/>
        <w:tabs>
          <w:tab w:val="num" w:pos="360"/>
        </w:tabs>
        <w:ind w:left="360" w:hanging="360"/>
        <w:rPr>
          <w:sz w:val="26"/>
          <w:szCs w:val="26"/>
        </w:rPr>
      </w:pPr>
      <w:r w:rsidRPr="005518EB">
        <w:rPr>
          <w:b/>
          <w:sz w:val="26"/>
          <w:szCs w:val="26"/>
        </w:rPr>
        <w:lastRenderedPageBreak/>
        <w:t>14</w:t>
      </w:r>
      <w:proofErr w:type="gramStart"/>
      <w:r w:rsidRPr="005518EB">
        <w:rPr>
          <w:b/>
          <w:sz w:val="26"/>
          <w:szCs w:val="26"/>
        </w:rPr>
        <w:t>.ESTIMATED</w:t>
      </w:r>
      <w:proofErr w:type="gramEnd"/>
      <w:r w:rsidRPr="005518EB">
        <w:rPr>
          <w:b/>
          <w:sz w:val="26"/>
          <w:szCs w:val="26"/>
        </w:rPr>
        <w:t xml:space="preserve"> ANNUALIZED COST TO FEDERAL GOVERNMENT</w:t>
      </w:r>
    </w:p>
    <w:p w14:paraId="79D35319" w14:textId="77777777" w:rsidR="00CA3B99" w:rsidRPr="005518EB" w:rsidRDefault="00CA3B99" w:rsidP="00231159">
      <w:pPr>
        <w:widowControl/>
        <w:ind w:left="360" w:firstLine="720"/>
        <w:rPr>
          <w:sz w:val="26"/>
          <w:szCs w:val="26"/>
        </w:rPr>
      </w:pPr>
    </w:p>
    <w:p w14:paraId="05FF2195" w14:textId="0BAAC996" w:rsidR="00686720" w:rsidRDefault="00CA3B99" w:rsidP="00482097">
      <w:pPr>
        <w:widowControl/>
        <w:rPr>
          <w:vertAlign w:val="superscript"/>
        </w:rPr>
      </w:pPr>
      <w:r w:rsidRPr="005518EB">
        <w:rPr>
          <w:b/>
          <w:sz w:val="26"/>
          <w:szCs w:val="26"/>
        </w:rPr>
        <w:t>FERC-545 and FERC-549</w:t>
      </w:r>
      <w:r w:rsidR="00492622">
        <w:rPr>
          <w:b/>
          <w:sz w:val="26"/>
          <w:szCs w:val="26"/>
        </w:rPr>
        <w:t>C</w:t>
      </w:r>
      <w:r w:rsidRPr="005518EB">
        <w:rPr>
          <w:b/>
          <w:sz w:val="26"/>
          <w:szCs w:val="26"/>
        </w:rPr>
        <w:t xml:space="preserve">.  </w:t>
      </w:r>
      <w:r w:rsidRPr="005518EB">
        <w:rPr>
          <w:sz w:val="26"/>
          <w:szCs w:val="26"/>
        </w:rPr>
        <w:t>The following federal cost</w:t>
      </w:r>
      <w:r w:rsidR="00543973">
        <w:rPr>
          <w:sz w:val="26"/>
          <w:szCs w:val="26"/>
        </w:rPr>
        <w:t>s</w:t>
      </w:r>
      <w:r w:rsidRPr="005518EB">
        <w:rPr>
          <w:sz w:val="26"/>
          <w:szCs w:val="26"/>
        </w:rPr>
        <w:t xml:space="preserve"> relate only to the new requirements </w:t>
      </w:r>
      <w:r w:rsidR="00E62894">
        <w:rPr>
          <w:sz w:val="26"/>
          <w:szCs w:val="26"/>
        </w:rPr>
        <w:t>pro</w:t>
      </w:r>
      <w:r w:rsidRPr="005518EB">
        <w:rPr>
          <w:sz w:val="26"/>
          <w:szCs w:val="26"/>
        </w:rPr>
        <w:t xml:space="preserve">posed by the </w:t>
      </w:r>
      <w:r w:rsidR="00E62894" w:rsidRPr="005518EB">
        <w:rPr>
          <w:sz w:val="26"/>
          <w:szCs w:val="26"/>
        </w:rPr>
        <w:t>N</w:t>
      </w:r>
      <w:r w:rsidR="00E62894">
        <w:rPr>
          <w:sz w:val="26"/>
          <w:szCs w:val="26"/>
        </w:rPr>
        <w:t>OPR</w:t>
      </w:r>
      <w:r w:rsidRPr="005518EB">
        <w:rPr>
          <w:sz w:val="26"/>
          <w:szCs w:val="26"/>
        </w:rPr>
        <w:t>.</w:t>
      </w:r>
      <w:r w:rsidR="00807E75" w:rsidRPr="005518EB" w:rsidDel="00807E75">
        <w:rPr>
          <w:vertAlign w:val="superscript"/>
        </w:rPr>
        <w:t xml:space="preserve"> </w:t>
      </w:r>
    </w:p>
    <w:p w14:paraId="2B6F1B4F" w14:textId="77777777" w:rsidR="00B803A3" w:rsidRPr="005518EB" w:rsidRDefault="00B803A3" w:rsidP="00482097">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CA3B99" w:rsidRPr="005518EB" w14:paraId="722B4B03" w14:textId="77777777" w:rsidTr="005518EB">
        <w:tc>
          <w:tcPr>
            <w:tcW w:w="3200" w:type="dxa"/>
            <w:shd w:val="clear" w:color="auto" w:fill="CCCCCC"/>
          </w:tcPr>
          <w:p w14:paraId="27B7FED6" w14:textId="77777777" w:rsidR="00CA3B99" w:rsidRPr="005518EB" w:rsidRDefault="00CA3B99" w:rsidP="00231159">
            <w:pPr>
              <w:widowControl/>
              <w:rPr>
                <w:sz w:val="26"/>
                <w:szCs w:val="26"/>
              </w:rPr>
            </w:pPr>
          </w:p>
        </w:tc>
        <w:tc>
          <w:tcPr>
            <w:tcW w:w="3192" w:type="dxa"/>
            <w:shd w:val="clear" w:color="auto" w:fill="CCCCCC"/>
            <w:vAlign w:val="bottom"/>
          </w:tcPr>
          <w:p w14:paraId="58B829F0" w14:textId="77777777" w:rsidR="00CA3B99" w:rsidRPr="005518EB" w:rsidRDefault="00CA3B99" w:rsidP="007556AE">
            <w:pPr>
              <w:widowControl/>
              <w:jc w:val="center"/>
              <w:rPr>
                <w:b/>
                <w:sz w:val="26"/>
                <w:szCs w:val="26"/>
              </w:rPr>
            </w:pPr>
            <w:r w:rsidRPr="005518EB">
              <w:rPr>
                <w:b/>
                <w:sz w:val="26"/>
                <w:szCs w:val="26"/>
              </w:rPr>
              <w:t xml:space="preserve">Number of </w:t>
            </w:r>
            <w:r w:rsidR="007556AE">
              <w:rPr>
                <w:b/>
                <w:sz w:val="26"/>
                <w:szCs w:val="26"/>
              </w:rPr>
              <w:t>Hours</w:t>
            </w:r>
            <w:r w:rsidR="00193F96">
              <w:rPr>
                <w:b/>
                <w:sz w:val="26"/>
                <w:szCs w:val="26"/>
              </w:rPr>
              <w:t xml:space="preserve"> or FTE’s</w:t>
            </w:r>
          </w:p>
        </w:tc>
        <w:tc>
          <w:tcPr>
            <w:tcW w:w="3184" w:type="dxa"/>
            <w:shd w:val="clear" w:color="auto" w:fill="CCCCCC"/>
            <w:vAlign w:val="bottom"/>
          </w:tcPr>
          <w:p w14:paraId="2C2DBFFE" w14:textId="77777777" w:rsidR="00CA3B99" w:rsidRPr="005518EB" w:rsidRDefault="00CA3B99" w:rsidP="00037BDD">
            <w:pPr>
              <w:widowControl/>
              <w:jc w:val="center"/>
              <w:rPr>
                <w:b/>
                <w:sz w:val="26"/>
                <w:szCs w:val="26"/>
              </w:rPr>
            </w:pPr>
            <w:r w:rsidRPr="005518EB">
              <w:rPr>
                <w:b/>
                <w:sz w:val="26"/>
                <w:szCs w:val="26"/>
              </w:rPr>
              <w:t>Estimated Annual Federal Cost ($)</w:t>
            </w:r>
            <w:r w:rsidRPr="005518EB">
              <w:rPr>
                <w:sz w:val="26"/>
                <w:szCs w:val="26"/>
                <w:vertAlign w:val="superscript"/>
              </w:rPr>
              <w:footnoteReference w:id="7"/>
            </w:r>
            <w:r w:rsidR="00C304F7">
              <w:rPr>
                <w:b/>
                <w:sz w:val="26"/>
                <w:szCs w:val="26"/>
              </w:rPr>
              <w:t xml:space="preserve"> </w:t>
            </w:r>
          </w:p>
        </w:tc>
      </w:tr>
      <w:tr w:rsidR="00CA3B99" w:rsidRPr="005518EB" w14:paraId="723D76F8" w14:textId="77777777" w:rsidTr="005518EB">
        <w:tc>
          <w:tcPr>
            <w:tcW w:w="3200" w:type="dxa"/>
          </w:tcPr>
          <w:p w14:paraId="01E9A6D5" w14:textId="3E08697D" w:rsidR="00CA3B99" w:rsidRPr="005518EB" w:rsidRDefault="00B32011" w:rsidP="00231159">
            <w:pPr>
              <w:widowControl/>
              <w:rPr>
                <w:sz w:val="26"/>
                <w:szCs w:val="26"/>
              </w:rPr>
            </w:pPr>
            <w:r w:rsidRPr="00B32011">
              <w:rPr>
                <w:sz w:val="26"/>
                <w:szCs w:val="26"/>
              </w:rPr>
              <w:t>PRA</w:t>
            </w:r>
            <w:r w:rsidR="00F52E54">
              <w:rPr>
                <w:rStyle w:val="FootnoteReference"/>
                <w:sz w:val="26"/>
                <w:szCs w:val="26"/>
              </w:rPr>
              <w:footnoteReference w:id="8"/>
            </w:r>
            <w:r w:rsidRPr="00B32011">
              <w:rPr>
                <w:sz w:val="26"/>
                <w:szCs w:val="26"/>
              </w:rPr>
              <w:t xml:space="preserve"> Administration Cost</w:t>
            </w:r>
            <w:r w:rsidRPr="00B32011" w:rsidDel="00B32011">
              <w:rPr>
                <w:sz w:val="26"/>
                <w:szCs w:val="26"/>
              </w:rPr>
              <w:t xml:space="preserve"> </w:t>
            </w:r>
            <w:r w:rsidR="00CA3B99" w:rsidRPr="005518EB">
              <w:rPr>
                <w:b/>
                <w:sz w:val="26"/>
                <w:szCs w:val="26"/>
                <w:vertAlign w:val="superscript"/>
              </w:rPr>
              <w:footnoteReference w:id="9"/>
            </w:r>
          </w:p>
        </w:tc>
        <w:tc>
          <w:tcPr>
            <w:tcW w:w="3192" w:type="dxa"/>
            <w:shd w:val="clear" w:color="auto" w:fill="FFFFFF"/>
            <w:vAlign w:val="center"/>
          </w:tcPr>
          <w:p w14:paraId="7BB1ECB4" w14:textId="77777777" w:rsidR="00CA3B99" w:rsidRPr="005518EB" w:rsidRDefault="00CA3B99" w:rsidP="00231159">
            <w:pPr>
              <w:widowControl/>
              <w:jc w:val="right"/>
              <w:rPr>
                <w:sz w:val="26"/>
                <w:szCs w:val="26"/>
              </w:rPr>
            </w:pPr>
            <w:r w:rsidRPr="005518EB">
              <w:rPr>
                <w:sz w:val="26"/>
                <w:szCs w:val="26"/>
              </w:rPr>
              <w:t>-</w:t>
            </w:r>
          </w:p>
        </w:tc>
        <w:tc>
          <w:tcPr>
            <w:tcW w:w="3184" w:type="dxa"/>
            <w:vAlign w:val="center"/>
          </w:tcPr>
          <w:p w14:paraId="73D29F7D" w14:textId="77777777" w:rsidR="00CA3B99" w:rsidRPr="005518EB" w:rsidRDefault="00037BDD" w:rsidP="00231159">
            <w:pPr>
              <w:widowControl/>
              <w:jc w:val="right"/>
              <w:rPr>
                <w:sz w:val="26"/>
                <w:szCs w:val="26"/>
              </w:rPr>
            </w:pPr>
            <w:r>
              <w:rPr>
                <w:sz w:val="26"/>
                <w:szCs w:val="26"/>
              </w:rPr>
              <w:t>$5,092</w:t>
            </w:r>
          </w:p>
        </w:tc>
      </w:tr>
      <w:tr w:rsidR="00CA3B99" w:rsidRPr="005518EB" w14:paraId="4A16C254" w14:textId="77777777" w:rsidTr="005518EB">
        <w:tc>
          <w:tcPr>
            <w:tcW w:w="3200" w:type="dxa"/>
          </w:tcPr>
          <w:p w14:paraId="3B09EBF9" w14:textId="75DFDB9B" w:rsidR="00CA3B99" w:rsidRPr="005518EB" w:rsidRDefault="00CA3B99" w:rsidP="00037BDD">
            <w:pPr>
              <w:widowControl/>
              <w:rPr>
                <w:sz w:val="26"/>
                <w:szCs w:val="26"/>
              </w:rPr>
            </w:pPr>
            <w:r w:rsidRPr="005518EB">
              <w:rPr>
                <w:sz w:val="26"/>
                <w:szCs w:val="26"/>
              </w:rPr>
              <w:t>Data Processing</w:t>
            </w:r>
            <w:r w:rsidR="00037BDD">
              <w:rPr>
                <w:sz w:val="26"/>
                <w:szCs w:val="26"/>
              </w:rPr>
              <w:t xml:space="preserve"> and</w:t>
            </w:r>
            <w:r w:rsidRPr="005518EB">
              <w:rPr>
                <w:sz w:val="26"/>
                <w:szCs w:val="26"/>
              </w:rPr>
              <w:t xml:space="preserve"> Analysis</w:t>
            </w:r>
            <w:r w:rsidR="00C942CB">
              <w:rPr>
                <w:sz w:val="26"/>
                <w:szCs w:val="26"/>
              </w:rPr>
              <w:t>, Sub-Total</w:t>
            </w:r>
          </w:p>
        </w:tc>
        <w:tc>
          <w:tcPr>
            <w:tcW w:w="3192" w:type="dxa"/>
            <w:vAlign w:val="center"/>
          </w:tcPr>
          <w:p w14:paraId="06AE8E3F" w14:textId="4494CB4C" w:rsidR="00CA3B99" w:rsidRPr="005518EB" w:rsidRDefault="00F52E54" w:rsidP="00C304F7">
            <w:pPr>
              <w:widowControl/>
              <w:jc w:val="right"/>
              <w:rPr>
                <w:sz w:val="26"/>
                <w:szCs w:val="26"/>
              </w:rPr>
            </w:pPr>
            <w:r>
              <w:rPr>
                <w:sz w:val="26"/>
                <w:szCs w:val="26"/>
              </w:rPr>
              <w:t>1.00</w:t>
            </w:r>
          </w:p>
        </w:tc>
        <w:tc>
          <w:tcPr>
            <w:tcW w:w="3184" w:type="dxa"/>
            <w:vAlign w:val="center"/>
          </w:tcPr>
          <w:p w14:paraId="7193B1BE" w14:textId="1B47F28F" w:rsidR="00CA3B99" w:rsidRPr="005518EB" w:rsidRDefault="00F52E54" w:rsidP="00772F44">
            <w:pPr>
              <w:widowControl/>
              <w:jc w:val="right"/>
              <w:rPr>
                <w:sz w:val="26"/>
                <w:szCs w:val="26"/>
              </w:rPr>
            </w:pPr>
            <w:r>
              <w:rPr>
                <w:sz w:val="26"/>
                <w:szCs w:val="26"/>
              </w:rPr>
              <w:t>$146,591</w:t>
            </w:r>
          </w:p>
        </w:tc>
      </w:tr>
      <w:tr w:rsidR="00F52E54" w:rsidRPr="005518EB" w14:paraId="69EFA174" w14:textId="77777777" w:rsidTr="001B7C2A">
        <w:tc>
          <w:tcPr>
            <w:tcW w:w="3200" w:type="dxa"/>
            <w:vAlign w:val="bottom"/>
          </w:tcPr>
          <w:p w14:paraId="7E3DF18D" w14:textId="5C292176" w:rsidR="00F52E54" w:rsidRPr="00A55F2D" w:rsidRDefault="00F52E54" w:rsidP="001B7C2A">
            <w:pPr>
              <w:widowControl/>
              <w:ind w:left="720"/>
              <w:jc w:val="right"/>
              <w:rPr>
                <w:i/>
                <w:sz w:val="26"/>
                <w:szCs w:val="26"/>
              </w:rPr>
            </w:pPr>
            <w:r w:rsidRPr="00A55F2D">
              <w:rPr>
                <w:i/>
                <w:sz w:val="26"/>
                <w:szCs w:val="26"/>
              </w:rPr>
              <w:t>FERC-545</w:t>
            </w:r>
          </w:p>
        </w:tc>
        <w:tc>
          <w:tcPr>
            <w:tcW w:w="3192" w:type="dxa"/>
            <w:vAlign w:val="center"/>
          </w:tcPr>
          <w:p w14:paraId="2968B3D2" w14:textId="566D7E8C" w:rsidR="00F52E54" w:rsidRPr="00A55F2D" w:rsidRDefault="00F52E54" w:rsidP="00C304F7">
            <w:pPr>
              <w:widowControl/>
              <w:jc w:val="right"/>
              <w:rPr>
                <w:i/>
                <w:sz w:val="26"/>
                <w:szCs w:val="26"/>
              </w:rPr>
            </w:pPr>
            <w:r w:rsidRPr="00A55F2D">
              <w:rPr>
                <w:i/>
                <w:sz w:val="26"/>
                <w:szCs w:val="26"/>
              </w:rPr>
              <w:t>0.25</w:t>
            </w:r>
          </w:p>
        </w:tc>
        <w:tc>
          <w:tcPr>
            <w:tcW w:w="3184" w:type="dxa"/>
            <w:vAlign w:val="center"/>
          </w:tcPr>
          <w:p w14:paraId="30C75409" w14:textId="18C24137" w:rsidR="00F52E54" w:rsidRPr="00A55F2D" w:rsidRDefault="00063ED0" w:rsidP="00772F44">
            <w:pPr>
              <w:widowControl/>
              <w:jc w:val="right"/>
              <w:rPr>
                <w:i/>
                <w:sz w:val="26"/>
                <w:szCs w:val="26"/>
              </w:rPr>
            </w:pPr>
            <w:r w:rsidRPr="00A55F2D">
              <w:rPr>
                <w:i/>
                <w:sz w:val="26"/>
                <w:szCs w:val="26"/>
              </w:rPr>
              <w:t>$36,648</w:t>
            </w:r>
          </w:p>
        </w:tc>
      </w:tr>
      <w:tr w:rsidR="00F52E54" w:rsidRPr="005518EB" w14:paraId="51699FED" w14:textId="77777777" w:rsidTr="001B7C2A">
        <w:tc>
          <w:tcPr>
            <w:tcW w:w="3200" w:type="dxa"/>
            <w:vAlign w:val="bottom"/>
          </w:tcPr>
          <w:p w14:paraId="25A1EEEB" w14:textId="30F587F5" w:rsidR="00F52E54" w:rsidRPr="00A55F2D" w:rsidRDefault="00F52E54" w:rsidP="001B7C2A">
            <w:pPr>
              <w:widowControl/>
              <w:ind w:left="720"/>
              <w:jc w:val="right"/>
              <w:rPr>
                <w:i/>
                <w:sz w:val="26"/>
                <w:szCs w:val="26"/>
              </w:rPr>
            </w:pPr>
            <w:r w:rsidRPr="00A55F2D">
              <w:rPr>
                <w:i/>
                <w:sz w:val="26"/>
                <w:szCs w:val="26"/>
              </w:rPr>
              <w:t>FERC-549C</w:t>
            </w:r>
          </w:p>
        </w:tc>
        <w:tc>
          <w:tcPr>
            <w:tcW w:w="3192" w:type="dxa"/>
            <w:vAlign w:val="center"/>
          </w:tcPr>
          <w:p w14:paraId="505781F7" w14:textId="419C91B5" w:rsidR="00F52E54" w:rsidRPr="00A55F2D" w:rsidRDefault="00F52E54" w:rsidP="00C304F7">
            <w:pPr>
              <w:widowControl/>
              <w:jc w:val="right"/>
              <w:rPr>
                <w:i/>
                <w:sz w:val="26"/>
                <w:szCs w:val="26"/>
              </w:rPr>
            </w:pPr>
            <w:r w:rsidRPr="00A55F2D">
              <w:rPr>
                <w:i/>
                <w:sz w:val="26"/>
                <w:szCs w:val="26"/>
              </w:rPr>
              <w:t>0.75</w:t>
            </w:r>
          </w:p>
        </w:tc>
        <w:tc>
          <w:tcPr>
            <w:tcW w:w="3184" w:type="dxa"/>
            <w:vAlign w:val="center"/>
          </w:tcPr>
          <w:p w14:paraId="4821BD57" w14:textId="758A1B99" w:rsidR="00F52E54" w:rsidRPr="00A55F2D" w:rsidRDefault="00063ED0" w:rsidP="00772F44">
            <w:pPr>
              <w:widowControl/>
              <w:jc w:val="right"/>
              <w:rPr>
                <w:i/>
                <w:sz w:val="26"/>
                <w:szCs w:val="26"/>
              </w:rPr>
            </w:pPr>
            <w:r w:rsidRPr="00A55F2D">
              <w:rPr>
                <w:i/>
                <w:sz w:val="26"/>
                <w:szCs w:val="26"/>
              </w:rPr>
              <w:t>$109,943</w:t>
            </w:r>
          </w:p>
        </w:tc>
      </w:tr>
      <w:tr w:rsidR="00CA3B99" w:rsidRPr="005518EB" w14:paraId="458E0B24" w14:textId="77777777" w:rsidTr="005518EB">
        <w:tc>
          <w:tcPr>
            <w:tcW w:w="3200" w:type="dxa"/>
          </w:tcPr>
          <w:p w14:paraId="6629F78A" w14:textId="0ED8D272" w:rsidR="00CA3B99" w:rsidRPr="005518EB" w:rsidRDefault="00CA3B99" w:rsidP="00C942CB">
            <w:pPr>
              <w:widowControl/>
              <w:rPr>
                <w:b/>
                <w:sz w:val="26"/>
                <w:szCs w:val="26"/>
              </w:rPr>
            </w:pPr>
            <w:r w:rsidRPr="005518EB">
              <w:rPr>
                <w:b/>
                <w:sz w:val="26"/>
                <w:szCs w:val="26"/>
              </w:rPr>
              <w:t>FERC Total</w:t>
            </w:r>
          </w:p>
        </w:tc>
        <w:tc>
          <w:tcPr>
            <w:tcW w:w="3192" w:type="dxa"/>
            <w:vAlign w:val="center"/>
          </w:tcPr>
          <w:p w14:paraId="730A5FF7" w14:textId="77777777" w:rsidR="00CA3B99" w:rsidRPr="005518EB" w:rsidRDefault="00BC7CA2" w:rsidP="00231159">
            <w:pPr>
              <w:widowControl/>
              <w:jc w:val="right"/>
              <w:rPr>
                <w:sz w:val="26"/>
                <w:szCs w:val="26"/>
              </w:rPr>
            </w:pPr>
            <w:r>
              <w:rPr>
                <w:sz w:val="26"/>
                <w:szCs w:val="26"/>
              </w:rPr>
              <w:t>-</w:t>
            </w:r>
          </w:p>
        </w:tc>
        <w:tc>
          <w:tcPr>
            <w:tcW w:w="3184" w:type="dxa"/>
            <w:vAlign w:val="center"/>
          </w:tcPr>
          <w:p w14:paraId="70108A14" w14:textId="32312A85" w:rsidR="00CA3B99" w:rsidRPr="005518EB" w:rsidRDefault="00B9400D" w:rsidP="00C304F7">
            <w:pPr>
              <w:widowControl/>
              <w:jc w:val="right"/>
              <w:rPr>
                <w:sz w:val="26"/>
                <w:szCs w:val="26"/>
              </w:rPr>
            </w:pPr>
            <w:r>
              <w:rPr>
                <w:sz w:val="26"/>
                <w:szCs w:val="26"/>
              </w:rPr>
              <w:t>$</w:t>
            </w:r>
            <w:r w:rsidR="00633B4A">
              <w:rPr>
                <w:sz w:val="26"/>
                <w:szCs w:val="26"/>
              </w:rPr>
              <w:t>151,683</w:t>
            </w:r>
          </w:p>
        </w:tc>
      </w:tr>
    </w:tbl>
    <w:p w14:paraId="1B160BA3" w14:textId="53AD955F" w:rsidR="00063ED0" w:rsidRPr="00A55F2D" w:rsidRDefault="00B9400D" w:rsidP="00955689">
      <w:pPr>
        <w:spacing w:before="100" w:beforeAutospacing="1" w:after="240"/>
        <w:ind w:firstLine="360"/>
        <w:rPr>
          <w:sz w:val="26"/>
          <w:szCs w:val="26"/>
        </w:rPr>
      </w:pPr>
      <w:r w:rsidRPr="00A55F2D">
        <w:rPr>
          <w:sz w:val="26"/>
          <w:szCs w:val="26"/>
        </w:rPr>
        <w:t xml:space="preserve">The </w:t>
      </w:r>
      <w:r>
        <w:rPr>
          <w:sz w:val="26"/>
          <w:szCs w:val="26"/>
        </w:rPr>
        <w:t>estimates for the federal cost (including existing inventory, proposed changes due to this NOPR, and updated total) follow.</w:t>
      </w:r>
    </w:p>
    <w:tbl>
      <w:tblPr>
        <w:tblStyle w:val="TableGrid"/>
        <w:tblW w:w="0" w:type="auto"/>
        <w:tblInd w:w="360" w:type="dxa"/>
        <w:tblLook w:val="01E0" w:firstRow="1" w:lastRow="1" w:firstColumn="1" w:lastColumn="1" w:noHBand="0" w:noVBand="0"/>
      </w:tblPr>
      <w:tblGrid>
        <w:gridCol w:w="2019"/>
        <w:gridCol w:w="2011"/>
        <w:gridCol w:w="1989"/>
        <w:gridCol w:w="1959"/>
      </w:tblGrid>
      <w:tr w:rsidR="00063ED0" w14:paraId="46D0A656" w14:textId="77777777" w:rsidTr="00A55F2D">
        <w:tc>
          <w:tcPr>
            <w:tcW w:w="2019" w:type="dxa"/>
            <w:vAlign w:val="bottom"/>
          </w:tcPr>
          <w:p w14:paraId="37C92084" w14:textId="77777777" w:rsidR="00063ED0" w:rsidRDefault="00063ED0" w:rsidP="00A55F2D">
            <w:pPr>
              <w:spacing w:before="100" w:beforeAutospacing="1" w:after="240"/>
              <w:jc w:val="center"/>
              <w:rPr>
                <w:b/>
                <w:sz w:val="26"/>
                <w:szCs w:val="26"/>
              </w:rPr>
            </w:pPr>
            <w:r>
              <w:rPr>
                <w:b/>
                <w:sz w:val="26"/>
                <w:szCs w:val="26"/>
              </w:rPr>
              <w:t>Data Collection</w:t>
            </w:r>
          </w:p>
        </w:tc>
        <w:tc>
          <w:tcPr>
            <w:tcW w:w="2011" w:type="dxa"/>
            <w:vAlign w:val="bottom"/>
          </w:tcPr>
          <w:p w14:paraId="39F1398D" w14:textId="6556F0FD" w:rsidR="00063ED0" w:rsidRDefault="00C942CB" w:rsidP="00A55F2D">
            <w:pPr>
              <w:spacing w:before="100" w:beforeAutospacing="1" w:after="240"/>
              <w:jc w:val="center"/>
              <w:rPr>
                <w:b/>
                <w:sz w:val="26"/>
                <w:szCs w:val="26"/>
              </w:rPr>
            </w:pPr>
            <w:r>
              <w:rPr>
                <w:b/>
                <w:sz w:val="26"/>
                <w:szCs w:val="26"/>
              </w:rPr>
              <w:t>Current OMB Inventory</w:t>
            </w:r>
          </w:p>
        </w:tc>
        <w:tc>
          <w:tcPr>
            <w:tcW w:w="1989" w:type="dxa"/>
            <w:vAlign w:val="bottom"/>
          </w:tcPr>
          <w:p w14:paraId="7639A8A4" w14:textId="5367FD31" w:rsidR="00063ED0" w:rsidRDefault="00C942CB" w:rsidP="00A55F2D">
            <w:pPr>
              <w:spacing w:before="100" w:beforeAutospacing="1" w:after="240"/>
              <w:jc w:val="center"/>
              <w:rPr>
                <w:b/>
                <w:sz w:val="26"/>
                <w:szCs w:val="26"/>
              </w:rPr>
            </w:pPr>
            <w:r>
              <w:rPr>
                <w:b/>
                <w:sz w:val="26"/>
                <w:szCs w:val="26"/>
              </w:rPr>
              <w:t>Proposed</w:t>
            </w:r>
            <w:r w:rsidR="00063ED0">
              <w:rPr>
                <w:b/>
                <w:sz w:val="26"/>
                <w:szCs w:val="26"/>
              </w:rPr>
              <w:t xml:space="preserve"> Rule Cost</w:t>
            </w:r>
            <w:r w:rsidR="00902B9C">
              <w:rPr>
                <w:rStyle w:val="FootnoteReference"/>
                <w:b/>
                <w:sz w:val="26"/>
                <w:szCs w:val="26"/>
              </w:rPr>
              <w:footnoteReference w:id="10"/>
            </w:r>
          </w:p>
        </w:tc>
        <w:tc>
          <w:tcPr>
            <w:tcW w:w="1959" w:type="dxa"/>
            <w:vAlign w:val="bottom"/>
          </w:tcPr>
          <w:p w14:paraId="1D07944A" w14:textId="38612C7D" w:rsidR="00063ED0" w:rsidRDefault="00063ED0" w:rsidP="00A55F2D">
            <w:pPr>
              <w:spacing w:before="100" w:beforeAutospacing="1" w:after="240"/>
              <w:jc w:val="center"/>
              <w:rPr>
                <w:b/>
                <w:sz w:val="26"/>
                <w:szCs w:val="26"/>
              </w:rPr>
            </w:pPr>
            <w:r>
              <w:rPr>
                <w:b/>
                <w:sz w:val="26"/>
                <w:szCs w:val="26"/>
              </w:rPr>
              <w:t>Total</w:t>
            </w:r>
            <w:r w:rsidR="00543973">
              <w:rPr>
                <w:b/>
                <w:sz w:val="26"/>
                <w:szCs w:val="26"/>
              </w:rPr>
              <w:t xml:space="preserve">, including </w:t>
            </w:r>
            <w:r w:rsidR="00C942CB">
              <w:rPr>
                <w:b/>
                <w:sz w:val="26"/>
                <w:szCs w:val="26"/>
              </w:rPr>
              <w:t xml:space="preserve"> Proposed</w:t>
            </w:r>
            <w:r w:rsidR="000D6238">
              <w:rPr>
                <w:b/>
                <w:sz w:val="26"/>
                <w:szCs w:val="26"/>
              </w:rPr>
              <w:t xml:space="preserve"> Rule</w:t>
            </w:r>
          </w:p>
        </w:tc>
      </w:tr>
      <w:tr w:rsidR="00A554F5" w:rsidRPr="00253079" w14:paraId="4750F086" w14:textId="77777777" w:rsidTr="00253079">
        <w:tc>
          <w:tcPr>
            <w:tcW w:w="2019" w:type="dxa"/>
          </w:tcPr>
          <w:p w14:paraId="14AD9F5C" w14:textId="77777777" w:rsidR="00A554F5" w:rsidRPr="00253079" w:rsidRDefault="00A554F5" w:rsidP="00253079">
            <w:pPr>
              <w:spacing w:before="100" w:beforeAutospacing="1" w:after="240"/>
              <w:rPr>
                <w:sz w:val="26"/>
                <w:szCs w:val="26"/>
              </w:rPr>
            </w:pPr>
            <w:r w:rsidRPr="00253079">
              <w:rPr>
                <w:sz w:val="26"/>
                <w:szCs w:val="26"/>
              </w:rPr>
              <w:t>FERC-545</w:t>
            </w:r>
          </w:p>
        </w:tc>
        <w:tc>
          <w:tcPr>
            <w:tcW w:w="2011" w:type="dxa"/>
          </w:tcPr>
          <w:p w14:paraId="63C75ADF" w14:textId="76EE0101" w:rsidR="00A554F5" w:rsidRPr="00253079" w:rsidRDefault="00A554F5" w:rsidP="00A55F2D">
            <w:pPr>
              <w:spacing w:before="100" w:beforeAutospacing="1" w:after="240"/>
              <w:jc w:val="right"/>
              <w:rPr>
                <w:sz w:val="26"/>
                <w:szCs w:val="26"/>
              </w:rPr>
            </w:pPr>
            <w:r w:rsidRPr="00A03B9E">
              <w:rPr>
                <w:sz w:val="26"/>
                <w:szCs w:val="26"/>
              </w:rPr>
              <w:t>$2,</w:t>
            </w:r>
            <w:r>
              <w:rPr>
                <w:sz w:val="26"/>
                <w:szCs w:val="26"/>
              </w:rPr>
              <w:t>876,510</w:t>
            </w:r>
          </w:p>
        </w:tc>
        <w:tc>
          <w:tcPr>
            <w:tcW w:w="1989" w:type="dxa"/>
          </w:tcPr>
          <w:p w14:paraId="71F614AB" w14:textId="7607990F" w:rsidR="00A554F5" w:rsidRPr="00253079" w:rsidRDefault="00A554F5" w:rsidP="00A55F2D">
            <w:pPr>
              <w:spacing w:before="100" w:beforeAutospacing="1" w:after="240"/>
              <w:jc w:val="right"/>
              <w:rPr>
                <w:sz w:val="26"/>
                <w:szCs w:val="26"/>
              </w:rPr>
            </w:pPr>
            <w:r w:rsidRPr="00253079">
              <w:rPr>
                <w:sz w:val="26"/>
                <w:szCs w:val="26"/>
              </w:rPr>
              <w:t>$</w:t>
            </w:r>
            <w:r w:rsidR="00902B9C">
              <w:rPr>
                <w:sz w:val="26"/>
                <w:szCs w:val="26"/>
              </w:rPr>
              <w:t>37,921</w:t>
            </w:r>
          </w:p>
        </w:tc>
        <w:tc>
          <w:tcPr>
            <w:tcW w:w="1959" w:type="dxa"/>
          </w:tcPr>
          <w:p w14:paraId="0883E766" w14:textId="1C87C12C" w:rsidR="00A554F5" w:rsidRPr="00253079" w:rsidRDefault="00A554F5" w:rsidP="00A55F2D">
            <w:pPr>
              <w:spacing w:before="100" w:beforeAutospacing="1" w:after="240"/>
              <w:jc w:val="right"/>
              <w:rPr>
                <w:sz w:val="26"/>
                <w:szCs w:val="26"/>
              </w:rPr>
            </w:pPr>
            <w:r w:rsidRPr="00253079">
              <w:rPr>
                <w:sz w:val="26"/>
                <w:szCs w:val="26"/>
              </w:rPr>
              <w:t>$</w:t>
            </w:r>
            <w:r>
              <w:rPr>
                <w:sz w:val="26"/>
                <w:szCs w:val="26"/>
              </w:rPr>
              <w:t>2,</w:t>
            </w:r>
            <w:r w:rsidR="00902B9C">
              <w:rPr>
                <w:sz w:val="26"/>
                <w:szCs w:val="26"/>
              </w:rPr>
              <w:t>914,431</w:t>
            </w:r>
          </w:p>
        </w:tc>
      </w:tr>
      <w:tr w:rsidR="00A554F5" w14:paraId="16E72AD1" w14:textId="77777777" w:rsidTr="00253079">
        <w:tc>
          <w:tcPr>
            <w:tcW w:w="2019" w:type="dxa"/>
          </w:tcPr>
          <w:p w14:paraId="2A80A438" w14:textId="7FA6D840" w:rsidR="00A554F5" w:rsidRPr="00A554F5" w:rsidRDefault="00A554F5" w:rsidP="00253079">
            <w:pPr>
              <w:spacing w:before="100" w:beforeAutospacing="1" w:after="240"/>
              <w:rPr>
                <w:sz w:val="26"/>
                <w:szCs w:val="26"/>
              </w:rPr>
            </w:pPr>
            <w:r w:rsidRPr="00253079">
              <w:rPr>
                <w:sz w:val="26"/>
                <w:szCs w:val="26"/>
              </w:rPr>
              <w:t>FERC-549C</w:t>
            </w:r>
          </w:p>
        </w:tc>
        <w:tc>
          <w:tcPr>
            <w:tcW w:w="2011" w:type="dxa"/>
          </w:tcPr>
          <w:p w14:paraId="2428BF14" w14:textId="665F3255" w:rsidR="00A554F5" w:rsidRPr="00A554F5" w:rsidRDefault="00A554F5" w:rsidP="00A55F2D">
            <w:pPr>
              <w:spacing w:before="100" w:beforeAutospacing="1" w:after="240"/>
              <w:jc w:val="right"/>
              <w:rPr>
                <w:sz w:val="26"/>
                <w:szCs w:val="26"/>
              </w:rPr>
            </w:pPr>
            <w:r>
              <w:rPr>
                <w:sz w:val="26"/>
                <w:szCs w:val="26"/>
              </w:rPr>
              <w:t>$</w:t>
            </w:r>
            <w:r w:rsidRPr="00CA2D3D">
              <w:rPr>
                <w:sz w:val="26"/>
                <w:szCs w:val="26"/>
              </w:rPr>
              <w:t>109,243</w:t>
            </w:r>
          </w:p>
        </w:tc>
        <w:tc>
          <w:tcPr>
            <w:tcW w:w="1989" w:type="dxa"/>
          </w:tcPr>
          <w:p w14:paraId="4A3727B9" w14:textId="27FD3DEA" w:rsidR="00A554F5" w:rsidRPr="00A554F5" w:rsidRDefault="00A554F5" w:rsidP="00C64132">
            <w:pPr>
              <w:spacing w:before="100" w:beforeAutospacing="1" w:after="240"/>
              <w:jc w:val="right"/>
              <w:rPr>
                <w:sz w:val="26"/>
                <w:szCs w:val="26"/>
              </w:rPr>
            </w:pPr>
            <w:r w:rsidRPr="00A55F2D">
              <w:rPr>
                <w:sz w:val="26"/>
                <w:szCs w:val="26"/>
              </w:rPr>
              <w:t>$</w:t>
            </w:r>
            <w:r w:rsidR="00543973">
              <w:rPr>
                <w:sz w:val="26"/>
                <w:szCs w:val="26"/>
              </w:rPr>
              <w:t>113,</w:t>
            </w:r>
            <w:r w:rsidR="00C64132">
              <w:rPr>
                <w:sz w:val="26"/>
                <w:szCs w:val="26"/>
              </w:rPr>
              <w:t>7</w:t>
            </w:r>
            <w:r w:rsidR="00543973">
              <w:rPr>
                <w:sz w:val="26"/>
                <w:szCs w:val="26"/>
              </w:rPr>
              <w:t>62</w:t>
            </w:r>
          </w:p>
        </w:tc>
        <w:tc>
          <w:tcPr>
            <w:tcW w:w="1959" w:type="dxa"/>
          </w:tcPr>
          <w:p w14:paraId="40FBCCA8" w14:textId="7092234A" w:rsidR="00A554F5" w:rsidRPr="00A554F5" w:rsidRDefault="00A554F5" w:rsidP="00A55F2D">
            <w:pPr>
              <w:spacing w:before="100" w:beforeAutospacing="1" w:after="240"/>
              <w:jc w:val="right"/>
              <w:rPr>
                <w:sz w:val="26"/>
                <w:szCs w:val="26"/>
              </w:rPr>
            </w:pPr>
            <w:r w:rsidRPr="00253079">
              <w:rPr>
                <w:sz w:val="26"/>
                <w:szCs w:val="26"/>
              </w:rPr>
              <w:t>$</w:t>
            </w:r>
            <w:r w:rsidR="00543973">
              <w:rPr>
                <w:sz w:val="26"/>
                <w:szCs w:val="26"/>
              </w:rPr>
              <w:t>22</w:t>
            </w:r>
            <w:r w:rsidR="00232C41">
              <w:rPr>
                <w:sz w:val="26"/>
                <w:szCs w:val="26"/>
              </w:rPr>
              <w:t>3,005</w:t>
            </w:r>
          </w:p>
        </w:tc>
      </w:tr>
      <w:tr w:rsidR="00232C41" w14:paraId="768DC5DD" w14:textId="77777777" w:rsidTr="00253079">
        <w:tc>
          <w:tcPr>
            <w:tcW w:w="2019" w:type="dxa"/>
          </w:tcPr>
          <w:p w14:paraId="29131D11" w14:textId="37ECAF7D" w:rsidR="00232C41" w:rsidRPr="00A55F2D" w:rsidRDefault="00232C41" w:rsidP="00253079">
            <w:pPr>
              <w:spacing w:before="100" w:beforeAutospacing="1" w:after="240"/>
              <w:rPr>
                <w:b/>
                <w:sz w:val="26"/>
                <w:szCs w:val="26"/>
              </w:rPr>
            </w:pPr>
            <w:r>
              <w:rPr>
                <w:b/>
                <w:sz w:val="26"/>
                <w:szCs w:val="26"/>
              </w:rPr>
              <w:t>TOTAL</w:t>
            </w:r>
          </w:p>
        </w:tc>
        <w:tc>
          <w:tcPr>
            <w:tcW w:w="2011" w:type="dxa"/>
          </w:tcPr>
          <w:p w14:paraId="5D4EEEB7" w14:textId="18B81E4D" w:rsidR="00232C41" w:rsidRDefault="00232C41" w:rsidP="00C942CB">
            <w:pPr>
              <w:spacing w:before="100" w:beforeAutospacing="1" w:after="240"/>
              <w:jc w:val="right"/>
              <w:rPr>
                <w:sz w:val="26"/>
                <w:szCs w:val="26"/>
              </w:rPr>
            </w:pPr>
            <w:r w:rsidRPr="00232C41">
              <w:rPr>
                <w:sz w:val="26"/>
                <w:szCs w:val="26"/>
              </w:rPr>
              <w:t>$2,985,753</w:t>
            </w:r>
          </w:p>
        </w:tc>
        <w:tc>
          <w:tcPr>
            <w:tcW w:w="1989" w:type="dxa"/>
          </w:tcPr>
          <w:p w14:paraId="3828BEA5" w14:textId="40784C74" w:rsidR="00232C41" w:rsidRPr="00232C41" w:rsidRDefault="00232C41" w:rsidP="00232C41">
            <w:pPr>
              <w:spacing w:before="100" w:beforeAutospacing="1" w:after="240"/>
              <w:jc w:val="right"/>
              <w:rPr>
                <w:sz w:val="26"/>
                <w:szCs w:val="26"/>
              </w:rPr>
            </w:pPr>
            <w:r w:rsidRPr="00232C41">
              <w:rPr>
                <w:sz w:val="26"/>
                <w:szCs w:val="26"/>
              </w:rPr>
              <w:t>$151,683</w:t>
            </w:r>
          </w:p>
        </w:tc>
        <w:tc>
          <w:tcPr>
            <w:tcW w:w="1959" w:type="dxa"/>
          </w:tcPr>
          <w:p w14:paraId="0E268375" w14:textId="48B1AECA" w:rsidR="00232C41" w:rsidRPr="00253079" w:rsidRDefault="00232C41" w:rsidP="00232C41">
            <w:pPr>
              <w:spacing w:before="100" w:beforeAutospacing="1" w:after="240"/>
              <w:jc w:val="right"/>
              <w:rPr>
                <w:sz w:val="26"/>
                <w:szCs w:val="26"/>
              </w:rPr>
            </w:pPr>
            <w:r w:rsidRPr="00232C41">
              <w:rPr>
                <w:sz w:val="26"/>
                <w:szCs w:val="26"/>
              </w:rPr>
              <w:t>$3,137,436</w:t>
            </w:r>
          </w:p>
        </w:tc>
      </w:tr>
    </w:tbl>
    <w:p w14:paraId="08DCD64D" w14:textId="77777777" w:rsidR="00063ED0" w:rsidRPr="00A55F2D" w:rsidRDefault="00063ED0" w:rsidP="00A55F2D">
      <w:pPr>
        <w:rPr>
          <w:sz w:val="26"/>
          <w:szCs w:val="26"/>
        </w:rPr>
      </w:pPr>
    </w:p>
    <w:p w14:paraId="4BB4FC3F" w14:textId="77777777" w:rsidR="00CE4844" w:rsidRDefault="00CE4844" w:rsidP="00C905F0">
      <w:pPr>
        <w:widowControl/>
        <w:tabs>
          <w:tab w:val="left" w:pos="720"/>
        </w:tabs>
        <w:ind w:left="720" w:hanging="720"/>
        <w:rPr>
          <w:sz w:val="26"/>
          <w:szCs w:val="26"/>
        </w:rPr>
      </w:pPr>
    </w:p>
    <w:p w14:paraId="793DE9AE" w14:textId="0C586E93" w:rsidR="00CA3B99" w:rsidRDefault="00CA3B99" w:rsidP="00950A39">
      <w:pPr>
        <w:widowControl/>
        <w:tabs>
          <w:tab w:val="left" w:pos="360"/>
        </w:tabs>
        <w:ind w:left="360" w:hanging="360"/>
        <w:rPr>
          <w:b/>
          <w:sz w:val="26"/>
          <w:szCs w:val="26"/>
        </w:rPr>
      </w:pPr>
      <w:r w:rsidRPr="005518EB">
        <w:rPr>
          <w:b/>
          <w:sz w:val="26"/>
          <w:szCs w:val="26"/>
        </w:rPr>
        <w:t>15</w:t>
      </w:r>
      <w:proofErr w:type="gramStart"/>
      <w:r w:rsidRPr="005518EB">
        <w:rPr>
          <w:b/>
          <w:sz w:val="26"/>
          <w:szCs w:val="26"/>
        </w:rPr>
        <w:t>.REASONS</w:t>
      </w:r>
      <w:proofErr w:type="gramEnd"/>
      <w:r w:rsidRPr="005518EB">
        <w:rPr>
          <w:b/>
          <w:sz w:val="26"/>
          <w:szCs w:val="26"/>
        </w:rPr>
        <w:t xml:space="preserve"> FOR CHANGES IN BURDEN INCLUDING THE NEED FOR ANY INCREASE</w:t>
      </w:r>
    </w:p>
    <w:p w14:paraId="573AAE86" w14:textId="77777777" w:rsidR="00CA3B99" w:rsidRDefault="00CA3B99" w:rsidP="00231159">
      <w:pPr>
        <w:widowControl/>
        <w:tabs>
          <w:tab w:val="left" w:pos="720"/>
        </w:tabs>
        <w:ind w:left="720" w:hanging="720"/>
        <w:rPr>
          <w:sz w:val="26"/>
          <w:szCs w:val="26"/>
        </w:rPr>
      </w:pPr>
    </w:p>
    <w:p w14:paraId="01461D54" w14:textId="77777777" w:rsidR="00AA0337" w:rsidRDefault="00AA0337" w:rsidP="00955689">
      <w:pPr>
        <w:widowControl/>
        <w:ind w:firstLine="360"/>
        <w:rPr>
          <w:sz w:val="26"/>
          <w:szCs w:val="26"/>
        </w:rPr>
      </w:pPr>
      <w:r>
        <w:rPr>
          <w:sz w:val="26"/>
          <w:szCs w:val="26"/>
        </w:rPr>
        <w:t>The estimated changes to burden and cost as proposed by the NOPR in RM14-2 follow.</w:t>
      </w:r>
    </w:p>
    <w:p w14:paraId="79DFE066" w14:textId="77777777" w:rsidR="00AA0337" w:rsidRPr="00AA0337" w:rsidRDefault="00AA0337" w:rsidP="00231159">
      <w:pPr>
        <w:widowControl/>
        <w:tabs>
          <w:tab w:val="left" w:pos="720"/>
        </w:tabs>
        <w:ind w:left="720" w:hanging="720"/>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802"/>
        <w:gridCol w:w="1531"/>
        <w:gridCol w:w="1586"/>
        <w:gridCol w:w="1685"/>
        <w:gridCol w:w="1795"/>
      </w:tblGrid>
      <w:tr w:rsidR="00AA0337" w:rsidRPr="00AA0337" w14:paraId="4214D232" w14:textId="77777777" w:rsidTr="00516E92">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CB0B4CD" w14:textId="77777777" w:rsidR="00AA0337" w:rsidRPr="00AA0337" w:rsidRDefault="00AA0337" w:rsidP="00516E92">
            <w:pPr>
              <w:widowControl/>
              <w:autoSpaceDE/>
              <w:adjustRightInd/>
              <w:jc w:val="center"/>
              <w:rPr>
                <w:rFonts w:eastAsia="Calibri"/>
                <w:b/>
                <w:sz w:val="26"/>
                <w:lang w:bidi="he-IL"/>
              </w:rPr>
            </w:pPr>
            <w:r w:rsidRPr="00AA0337">
              <w:rPr>
                <w:rFonts w:eastAsia="Calibri"/>
                <w:b/>
                <w:sz w:val="26"/>
                <w:lang w:bidi="he-IL"/>
              </w:rPr>
              <w:lastRenderedPageBreak/>
              <w:t>NOPR in RM14-2</w:t>
            </w:r>
          </w:p>
        </w:tc>
      </w:tr>
      <w:tr w:rsidR="00AA0337" w:rsidRPr="00AA0337" w14:paraId="15D9C1FF" w14:textId="77777777" w:rsidTr="00807E75">
        <w:trPr>
          <w:cantSplit/>
        </w:trPr>
        <w:tc>
          <w:tcPr>
            <w:tcW w:w="9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D0AB12" w14:textId="77777777" w:rsidR="00AA0337" w:rsidRPr="00AA0337" w:rsidRDefault="00AA0337" w:rsidP="00750796">
            <w:pPr>
              <w:widowControl/>
              <w:autoSpaceDE/>
              <w:adjustRightInd/>
              <w:jc w:val="center"/>
              <w:rPr>
                <w:rFonts w:eastAsia="Calibri"/>
                <w:b/>
                <w:sz w:val="26"/>
                <w:lang w:bidi="he-IL"/>
              </w:rPr>
            </w:pPr>
          </w:p>
        </w:tc>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3FA262" w14:textId="77777777" w:rsidR="00AA0337" w:rsidRPr="00AA0337" w:rsidRDefault="00AA0337" w:rsidP="00750796">
            <w:pPr>
              <w:widowControl/>
              <w:autoSpaceDE/>
              <w:adjustRightInd/>
              <w:jc w:val="center"/>
              <w:rPr>
                <w:rFonts w:eastAsia="Calibri"/>
                <w:b/>
                <w:sz w:val="26"/>
                <w:lang w:bidi="he-IL"/>
              </w:rPr>
            </w:pPr>
            <w:r w:rsidRPr="00AA0337">
              <w:rPr>
                <w:rFonts w:eastAsia="Calibri"/>
                <w:b/>
                <w:sz w:val="26"/>
                <w:lang w:bidi="he-IL"/>
              </w:rPr>
              <w:t>Number of Respondents</w:t>
            </w:r>
            <w:r w:rsidRPr="00AA0337">
              <w:rPr>
                <w:rFonts w:eastAsia="Calibri"/>
                <w:b/>
                <w:sz w:val="26"/>
                <w:szCs w:val="26"/>
                <w:vertAlign w:val="superscript"/>
                <w:lang w:bidi="he-IL"/>
              </w:rPr>
              <w:footnoteReference w:id="11"/>
            </w:r>
          </w:p>
          <w:p w14:paraId="0F45896F" w14:textId="77777777" w:rsidR="00AA0337" w:rsidRPr="00AA0337" w:rsidRDefault="00AA0337" w:rsidP="00750796">
            <w:pPr>
              <w:widowControl/>
              <w:autoSpaceDE/>
              <w:adjustRightInd/>
              <w:jc w:val="center"/>
              <w:rPr>
                <w:rFonts w:eastAsia="Calibri"/>
                <w:b/>
                <w:sz w:val="26"/>
                <w:lang w:bidi="he-IL"/>
              </w:rPr>
            </w:pPr>
            <w:r w:rsidRPr="00AA0337">
              <w:rPr>
                <w:rFonts w:eastAsia="Calibri"/>
                <w:b/>
                <w:sz w:val="26"/>
                <w:lang w:bidi="he-IL"/>
              </w:rPr>
              <w:t>(1)</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9B61627" w14:textId="77777777" w:rsidR="00AA0337" w:rsidRPr="00AA0337" w:rsidRDefault="00AA0337" w:rsidP="00750796">
            <w:pPr>
              <w:widowControl/>
              <w:autoSpaceDE/>
              <w:adjustRightInd/>
              <w:jc w:val="center"/>
              <w:rPr>
                <w:rFonts w:eastAsia="Calibri"/>
                <w:b/>
                <w:sz w:val="26"/>
                <w:lang w:bidi="he-IL"/>
              </w:rPr>
            </w:pPr>
            <w:r w:rsidRPr="00AA0337">
              <w:rPr>
                <w:rFonts w:eastAsia="Calibri"/>
                <w:b/>
                <w:sz w:val="26"/>
                <w:lang w:bidi="he-IL"/>
              </w:rPr>
              <w:t>Number of Responses per Respondent</w:t>
            </w:r>
          </w:p>
          <w:p w14:paraId="597CC429" w14:textId="77777777" w:rsidR="00AA0337" w:rsidRPr="00AA0337" w:rsidRDefault="00AA0337" w:rsidP="00750796">
            <w:pPr>
              <w:widowControl/>
              <w:autoSpaceDE/>
              <w:adjustRightInd/>
              <w:jc w:val="center"/>
              <w:rPr>
                <w:rFonts w:eastAsia="Calibri"/>
                <w:b/>
                <w:sz w:val="26"/>
                <w:lang w:bidi="he-IL"/>
              </w:rPr>
            </w:pPr>
            <w:r w:rsidRPr="00AA0337">
              <w:rPr>
                <w:rFonts w:eastAsia="Calibri"/>
                <w:b/>
                <w:sz w:val="26"/>
                <w:lang w:bidi="he-IL"/>
              </w:rPr>
              <w:t>(2)</w:t>
            </w:r>
          </w:p>
        </w:tc>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27E4B9D" w14:textId="77777777" w:rsidR="00AA0337" w:rsidRPr="00AA0337" w:rsidRDefault="00AA0337" w:rsidP="00750796">
            <w:pPr>
              <w:widowControl/>
              <w:autoSpaceDE/>
              <w:adjustRightInd/>
              <w:jc w:val="center"/>
              <w:rPr>
                <w:rFonts w:eastAsia="Calibri"/>
                <w:b/>
                <w:sz w:val="26"/>
                <w:lang w:bidi="he-IL"/>
              </w:rPr>
            </w:pPr>
            <w:r w:rsidRPr="00AA0337">
              <w:rPr>
                <w:rFonts w:eastAsia="Calibri"/>
                <w:b/>
                <w:sz w:val="26"/>
                <w:lang w:bidi="he-IL"/>
              </w:rPr>
              <w:t>Average Burden Hours Per Response</w:t>
            </w:r>
          </w:p>
          <w:p w14:paraId="62277D08" w14:textId="77777777" w:rsidR="00AA0337" w:rsidRPr="00AA0337" w:rsidRDefault="00AA0337" w:rsidP="00750796">
            <w:pPr>
              <w:widowControl/>
              <w:autoSpaceDE/>
              <w:adjustRightInd/>
              <w:jc w:val="center"/>
              <w:rPr>
                <w:rFonts w:eastAsia="Calibri"/>
                <w:b/>
                <w:sz w:val="26"/>
                <w:lang w:bidi="he-IL"/>
              </w:rPr>
            </w:pPr>
            <w:r w:rsidRPr="00AA0337">
              <w:rPr>
                <w:rFonts w:eastAsia="Calibri"/>
                <w:b/>
                <w:sz w:val="26"/>
                <w:lang w:bidi="he-IL"/>
              </w:rPr>
              <w:t>(3)</w:t>
            </w: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FF48230" w14:textId="77777777" w:rsidR="00AA0337" w:rsidRPr="00AA0337" w:rsidRDefault="00AA0337" w:rsidP="00750796">
            <w:pPr>
              <w:widowControl/>
              <w:autoSpaceDE/>
              <w:adjustRightInd/>
              <w:jc w:val="center"/>
              <w:rPr>
                <w:rFonts w:eastAsia="Calibri"/>
                <w:b/>
                <w:sz w:val="26"/>
                <w:lang w:bidi="he-IL"/>
              </w:rPr>
            </w:pPr>
            <w:r w:rsidRPr="00AA0337">
              <w:rPr>
                <w:rFonts w:eastAsia="Calibri"/>
                <w:b/>
                <w:sz w:val="26"/>
                <w:lang w:bidi="he-IL"/>
              </w:rPr>
              <w:t>Total Annual Burden Hours</w:t>
            </w:r>
          </w:p>
          <w:p w14:paraId="02331C98" w14:textId="77777777" w:rsidR="00AA0337" w:rsidRPr="00AA0337" w:rsidRDefault="00AA0337" w:rsidP="00750796">
            <w:pPr>
              <w:widowControl/>
              <w:autoSpaceDE/>
              <w:adjustRightInd/>
              <w:jc w:val="center"/>
              <w:rPr>
                <w:rFonts w:eastAsia="Calibri"/>
                <w:b/>
                <w:sz w:val="26"/>
                <w:lang w:bidi="he-IL"/>
              </w:rPr>
            </w:pPr>
            <w:r w:rsidRPr="00AA0337">
              <w:rPr>
                <w:rFonts w:eastAsia="Calibri"/>
                <w:b/>
                <w:sz w:val="26"/>
                <w:lang w:bidi="he-IL"/>
              </w:rPr>
              <w:t>(1)x(2)x(3)</w:t>
            </w:r>
          </w:p>
        </w:tc>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DDCACAF" w14:textId="77777777" w:rsidR="00AA0337" w:rsidRPr="00AA0337" w:rsidRDefault="00AA0337" w:rsidP="00750796">
            <w:pPr>
              <w:widowControl/>
              <w:autoSpaceDE/>
              <w:adjustRightInd/>
              <w:jc w:val="center"/>
              <w:rPr>
                <w:rFonts w:eastAsia="Calibri"/>
                <w:b/>
                <w:sz w:val="26"/>
                <w:lang w:bidi="he-IL"/>
              </w:rPr>
            </w:pPr>
            <w:r w:rsidRPr="00AA0337">
              <w:rPr>
                <w:rFonts w:eastAsia="Calibri"/>
                <w:b/>
                <w:sz w:val="26"/>
                <w:lang w:bidi="he-IL"/>
              </w:rPr>
              <w:t>Total Annual Cost ($)</w:t>
            </w:r>
            <w:r w:rsidRPr="00AA0337">
              <w:rPr>
                <w:rFonts w:eastAsia="Calibri"/>
                <w:b/>
                <w:sz w:val="26"/>
                <w:szCs w:val="26"/>
                <w:vertAlign w:val="superscript"/>
                <w:lang w:bidi="he-IL"/>
              </w:rPr>
              <w:footnoteReference w:id="12"/>
            </w:r>
          </w:p>
        </w:tc>
      </w:tr>
      <w:tr w:rsidR="00AA0337" w:rsidRPr="00AA0337" w14:paraId="75B635B9" w14:textId="77777777" w:rsidTr="00807E75">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F406D0" w14:textId="77777777" w:rsidR="00AA0337" w:rsidRPr="00AA0337" w:rsidRDefault="00AA0337" w:rsidP="00516E92">
            <w:pPr>
              <w:widowControl/>
              <w:autoSpaceDE/>
              <w:adjustRightInd/>
              <w:jc w:val="center"/>
              <w:rPr>
                <w:rFonts w:eastAsia="Calibri"/>
                <w:b/>
                <w:sz w:val="26"/>
                <w:lang w:bidi="he-IL"/>
              </w:rPr>
            </w:pPr>
            <w:r w:rsidRPr="00AA0337">
              <w:rPr>
                <w:rFonts w:eastAsia="Calibri"/>
                <w:b/>
                <w:sz w:val="26"/>
                <w:lang w:bidi="he-IL"/>
              </w:rPr>
              <w:t>FERC-545 (OMB Control No. 1902-0154)</w:t>
            </w:r>
          </w:p>
        </w:tc>
      </w:tr>
      <w:tr w:rsidR="00AA0337" w:rsidRPr="00AA0337" w14:paraId="4D8B6161" w14:textId="77777777" w:rsidTr="00807E75">
        <w:trPr>
          <w:cantSplit/>
          <w:trHeight w:val="897"/>
        </w:trPr>
        <w:tc>
          <w:tcPr>
            <w:tcW w:w="949" w:type="pct"/>
            <w:tcBorders>
              <w:top w:val="single" w:sz="4" w:space="0" w:color="auto"/>
              <w:left w:val="single" w:sz="4" w:space="0" w:color="auto"/>
              <w:bottom w:val="single" w:sz="4" w:space="0" w:color="auto"/>
              <w:right w:val="single" w:sz="4" w:space="0" w:color="auto"/>
            </w:tcBorders>
            <w:vAlign w:val="bottom"/>
            <w:hideMark/>
          </w:tcPr>
          <w:p w14:paraId="6A37E414" w14:textId="77777777" w:rsidR="00AA0337" w:rsidRPr="00AA0337" w:rsidRDefault="00AA0337" w:rsidP="00516E92">
            <w:pPr>
              <w:widowControl/>
              <w:autoSpaceDE/>
              <w:adjustRightInd/>
              <w:rPr>
                <w:rFonts w:eastAsia="Calibri"/>
                <w:sz w:val="26"/>
                <w:lang w:bidi="he-IL"/>
              </w:rPr>
            </w:pPr>
            <w:r w:rsidRPr="00AA0337">
              <w:rPr>
                <w:rFonts w:eastAsia="Calibri"/>
                <w:sz w:val="26"/>
                <w:lang w:bidi="he-IL"/>
              </w:rPr>
              <w:t>Tariff Filing (one-time)</w:t>
            </w:r>
            <w:r w:rsidRPr="00AA0337">
              <w:rPr>
                <w:rFonts w:eastAsia="Calibri"/>
                <w:b/>
                <w:sz w:val="26"/>
                <w:szCs w:val="26"/>
                <w:vertAlign w:val="superscript"/>
                <w:lang w:bidi="he-IL"/>
              </w:rPr>
              <w:footnoteReference w:id="13"/>
            </w:r>
          </w:p>
        </w:tc>
        <w:tc>
          <w:tcPr>
            <w:tcW w:w="734" w:type="pct"/>
            <w:tcBorders>
              <w:top w:val="single" w:sz="4" w:space="0" w:color="auto"/>
              <w:left w:val="single" w:sz="4" w:space="0" w:color="auto"/>
              <w:bottom w:val="single" w:sz="4" w:space="0" w:color="auto"/>
              <w:right w:val="single" w:sz="4" w:space="0" w:color="auto"/>
            </w:tcBorders>
            <w:vAlign w:val="bottom"/>
            <w:hideMark/>
          </w:tcPr>
          <w:p w14:paraId="7D35C66D"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166</w:t>
            </w:r>
          </w:p>
        </w:tc>
        <w:tc>
          <w:tcPr>
            <w:tcW w:w="770" w:type="pct"/>
            <w:tcBorders>
              <w:top w:val="single" w:sz="4" w:space="0" w:color="auto"/>
              <w:left w:val="single" w:sz="4" w:space="0" w:color="auto"/>
              <w:bottom w:val="single" w:sz="4" w:space="0" w:color="auto"/>
              <w:right w:val="single" w:sz="4" w:space="0" w:color="auto"/>
            </w:tcBorders>
            <w:vAlign w:val="bottom"/>
            <w:hideMark/>
          </w:tcPr>
          <w:p w14:paraId="130A4AC5"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1</w:t>
            </w:r>
          </w:p>
        </w:tc>
        <w:tc>
          <w:tcPr>
            <w:tcW w:w="799" w:type="pct"/>
            <w:tcBorders>
              <w:top w:val="single" w:sz="4" w:space="0" w:color="auto"/>
              <w:left w:val="single" w:sz="4" w:space="0" w:color="auto"/>
              <w:bottom w:val="single" w:sz="4" w:space="0" w:color="auto"/>
              <w:right w:val="single" w:sz="4" w:space="0" w:color="auto"/>
            </w:tcBorders>
            <w:vAlign w:val="bottom"/>
            <w:hideMark/>
          </w:tcPr>
          <w:p w14:paraId="0CE3351F"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10</w:t>
            </w:r>
          </w:p>
        </w:tc>
        <w:tc>
          <w:tcPr>
            <w:tcW w:w="846" w:type="pct"/>
            <w:tcBorders>
              <w:top w:val="single" w:sz="4" w:space="0" w:color="auto"/>
              <w:left w:val="single" w:sz="4" w:space="0" w:color="auto"/>
              <w:bottom w:val="single" w:sz="4" w:space="0" w:color="auto"/>
              <w:right w:val="single" w:sz="4" w:space="0" w:color="auto"/>
            </w:tcBorders>
            <w:vAlign w:val="bottom"/>
            <w:hideMark/>
          </w:tcPr>
          <w:p w14:paraId="037999AB"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1,660</w:t>
            </w:r>
          </w:p>
        </w:tc>
        <w:tc>
          <w:tcPr>
            <w:tcW w:w="902" w:type="pct"/>
            <w:tcBorders>
              <w:top w:val="single" w:sz="4" w:space="0" w:color="auto"/>
              <w:left w:val="single" w:sz="4" w:space="0" w:color="auto"/>
              <w:bottom w:val="single" w:sz="4" w:space="0" w:color="auto"/>
              <w:right w:val="single" w:sz="4" w:space="0" w:color="auto"/>
            </w:tcBorders>
            <w:vAlign w:val="bottom"/>
            <w:hideMark/>
          </w:tcPr>
          <w:p w14:paraId="6B08D976"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$138,892</w:t>
            </w:r>
          </w:p>
        </w:tc>
      </w:tr>
      <w:tr w:rsidR="00AA0337" w:rsidRPr="00AA0337" w14:paraId="2AF505A2" w14:textId="77777777" w:rsidTr="00807E75">
        <w:trPr>
          <w:cantSplit/>
          <w:trHeight w:val="431"/>
        </w:trPr>
        <w:tc>
          <w:tcPr>
            <w:tcW w:w="5000" w:type="pct"/>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239416" w14:textId="77777777" w:rsidR="00AA0337" w:rsidRPr="00AA0337" w:rsidRDefault="00AA0337" w:rsidP="00516E92">
            <w:pPr>
              <w:widowControl/>
              <w:autoSpaceDE/>
              <w:adjustRightInd/>
              <w:jc w:val="center"/>
              <w:rPr>
                <w:rFonts w:eastAsia="Calibri"/>
                <w:b/>
                <w:sz w:val="26"/>
                <w:lang w:bidi="he-IL"/>
              </w:rPr>
            </w:pPr>
            <w:r w:rsidRPr="00AA0337">
              <w:rPr>
                <w:rFonts w:eastAsia="Calibri"/>
                <w:b/>
                <w:sz w:val="26"/>
                <w:lang w:bidi="he-IL"/>
              </w:rPr>
              <w:t>FERC-549C (OMB Control No. 1902-0174)</w:t>
            </w:r>
          </w:p>
        </w:tc>
      </w:tr>
      <w:tr w:rsidR="00AA0337" w:rsidRPr="00AA0337" w14:paraId="46DA29B9" w14:textId="77777777" w:rsidTr="00516E92">
        <w:trPr>
          <w:cantSplit/>
          <w:trHeight w:val="719"/>
        </w:trPr>
        <w:tc>
          <w:tcPr>
            <w:tcW w:w="946" w:type="pct"/>
            <w:tcBorders>
              <w:top w:val="single" w:sz="4" w:space="0" w:color="auto"/>
              <w:left w:val="single" w:sz="4" w:space="0" w:color="auto"/>
              <w:bottom w:val="single" w:sz="4" w:space="0" w:color="auto"/>
              <w:right w:val="single" w:sz="4" w:space="0" w:color="auto"/>
            </w:tcBorders>
            <w:vAlign w:val="center"/>
            <w:hideMark/>
          </w:tcPr>
          <w:p w14:paraId="14E5D213" w14:textId="77777777" w:rsidR="00AA0337" w:rsidRPr="00AA0337" w:rsidRDefault="00AA0337" w:rsidP="00516E92">
            <w:pPr>
              <w:widowControl/>
              <w:autoSpaceDE/>
              <w:adjustRightInd/>
              <w:rPr>
                <w:rFonts w:eastAsia="Calibri"/>
                <w:sz w:val="26"/>
                <w:lang w:bidi="he-IL"/>
              </w:rPr>
            </w:pPr>
            <w:r w:rsidRPr="00AA0337">
              <w:rPr>
                <w:rFonts w:eastAsia="Calibri"/>
                <w:sz w:val="26"/>
                <w:lang w:bidi="he-IL"/>
              </w:rPr>
              <w:t>Implementation of proposed business standards, including process, procedures, and IT support (one-time)</w:t>
            </w:r>
            <w:r w:rsidRPr="00AA0337">
              <w:rPr>
                <w:rFonts w:eastAsia="Calibri"/>
                <w:b/>
                <w:sz w:val="26"/>
                <w:szCs w:val="26"/>
                <w:vertAlign w:val="superscript"/>
                <w:lang w:bidi="he-IL"/>
              </w:rPr>
              <w:footnoteReference w:id="14"/>
            </w:r>
          </w:p>
        </w:tc>
        <w:tc>
          <w:tcPr>
            <w:tcW w:w="737" w:type="pct"/>
            <w:tcBorders>
              <w:top w:val="single" w:sz="4" w:space="0" w:color="auto"/>
              <w:left w:val="single" w:sz="4" w:space="0" w:color="auto"/>
              <w:bottom w:val="single" w:sz="4" w:space="0" w:color="auto"/>
              <w:right w:val="single" w:sz="4" w:space="0" w:color="auto"/>
            </w:tcBorders>
            <w:vAlign w:val="bottom"/>
            <w:hideMark/>
          </w:tcPr>
          <w:p w14:paraId="4FB8DB8C"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166</w:t>
            </w:r>
          </w:p>
        </w:tc>
        <w:tc>
          <w:tcPr>
            <w:tcW w:w="770" w:type="pct"/>
            <w:tcBorders>
              <w:top w:val="single" w:sz="4" w:space="0" w:color="auto"/>
              <w:left w:val="single" w:sz="4" w:space="0" w:color="auto"/>
              <w:bottom w:val="single" w:sz="4" w:space="0" w:color="auto"/>
              <w:right w:val="single" w:sz="4" w:space="0" w:color="auto"/>
            </w:tcBorders>
            <w:vAlign w:val="bottom"/>
            <w:hideMark/>
          </w:tcPr>
          <w:p w14:paraId="01CB6FFE"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1</w:t>
            </w:r>
          </w:p>
        </w:tc>
        <w:tc>
          <w:tcPr>
            <w:tcW w:w="799" w:type="pct"/>
            <w:tcBorders>
              <w:top w:val="single" w:sz="4" w:space="0" w:color="auto"/>
              <w:left w:val="single" w:sz="4" w:space="0" w:color="auto"/>
              <w:bottom w:val="single" w:sz="4" w:space="0" w:color="auto"/>
              <w:right w:val="single" w:sz="4" w:space="0" w:color="auto"/>
            </w:tcBorders>
            <w:vAlign w:val="bottom"/>
            <w:hideMark/>
          </w:tcPr>
          <w:p w14:paraId="7494067D"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240</w:t>
            </w:r>
          </w:p>
        </w:tc>
        <w:tc>
          <w:tcPr>
            <w:tcW w:w="846" w:type="pct"/>
            <w:tcBorders>
              <w:top w:val="single" w:sz="4" w:space="0" w:color="auto"/>
              <w:left w:val="single" w:sz="4" w:space="0" w:color="auto"/>
              <w:bottom w:val="single" w:sz="4" w:space="0" w:color="auto"/>
              <w:right w:val="single" w:sz="4" w:space="0" w:color="auto"/>
            </w:tcBorders>
            <w:vAlign w:val="bottom"/>
            <w:hideMark/>
          </w:tcPr>
          <w:p w14:paraId="6DC9D17C"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39,840</w:t>
            </w:r>
          </w:p>
        </w:tc>
        <w:tc>
          <w:tcPr>
            <w:tcW w:w="902" w:type="pct"/>
            <w:tcBorders>
              <w:top w:val="single" w:sz="4" w:space="0" w:color="auto"/>
              <w:left w:val="single" w:sz="4" w:space="0" w:color="auto"/>
              <w:bottom w:val="single" w:sz="4" w:space="0" w:color="auto"/>
              <w:right w:val="single" w:sz="4" w:space="0" w:color="auto"/>
            </w:tcBorders>
            <w:vAlign w:val="bottom"/>
            <w:hideMark/>
          </w:tcPr>
          <w:p w14:paraId="72767E5A"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 xml:space="preserve">$3,071,664 </w:t>
            </w:r>
          </w:p>
        </w:tc>
      </w:tr>
      <w:tr w:rsidR="00AA0337" w:rsidRPr="00AA0337" w14:paraId="44014E23" w14:textId="77777777" w:rsidTr="00516E92">
        <w:trPr>
          <w:cantSplit/>
          <w:trHeight w:val="701"/>
        </w:trPr>
        <w:tc>
          <w:tcPr>
            <w:tcW w:w="946" w:type="pct"/>
            <w:tcBorders>
              <w:top w:val="single" w:sz="4" w:space="0" w:color="auto"/>
              <w:left w:val="single" w:sz="4" w:space="0" w:color="auto"/>
              <w:bottom w:val="single" w:sz="4" w:space="0" w:color="auto"/>
              <w:right w:val="single" w:sz="4" w:space="0" w:color="auto"/>
            </w:tcBorders>
            <w:vAlign w:val="center"/>
            <w:hideMark/>
          </w:tcPr>
          <w:p w14:paraId="3A7F6EC1" w14:textId="77777777" w:rsidR="00AA0337" w:rsidRPr="00AA0337" w:rsidRDefault="00AA0337" w:rsidP="00516E92">
            <w:pPr>
              <w:widowControl/>
              <w:autoSpaceDE/>
              <w:adjustRightInd/>
              <w:rPr>
                <w:rFonts w:eastAsia="Calibri"/>
                <w:sz w:val="26"/>
                <w:lang w:bidi="he-IL"/>
              </w:rPr>
            </w:pPr>
            <w:r w:rsidRPr="00AA0337">
              <w:rPr>
                <w:rFonts w:eastAsia="Calibri"/>
                <w:sz w:val="26"/>
                <w:lang w:bidi="he-IL"/>
              </w:rPr>
              <w:lastRenderedPageBreak/>
              <w:t xml:space="preserve">Annual operations, including 2 additional intraday nominations (ongoing) </w:t>
            </w:r>
            <w:bookmarkStart w:id="1" w:name="_Ref381179561"/>
            <w:r w:rsidRPr="00AA0337">
              <w:rPr>
                <w:rFonts w:eastAsia="Calibri"/>
                <w:b/>
                <w:sz w:val="26"/>
                <w:szCs w:val="26"/>
                <w:vertAlign w:val="superscript"/>
                <w:lang w:bidi="he-IL"/>
              </w:rPr>
              <w:footnoteReference w:id="15"/>
            </w:r>
            <w:bookmarkEnd w:id="1"/>
            <w:r w:rsidR="004E54CC">
              <w:rPr>
                <w:rFonts w:eastAsia="Calibri"/>
                <w:sz w:val="26"/>
                <w:lang w:bidi="he-IL"/>
              </w:rPr>
              <w:t xml:space="preserve">, </w:t>
            </w:r>
            <w:r w:rsidR="004E54CC">
              <w:rPr>
                <w:rStyle w:val="FootnoteReference"/>
                <w:rFonts w:eastAsia="Calibri"/>
                <w:sz w:val="26"/>
                <w:lang w:bidi="he-IL"/>
              </w:rPr>
              <w:footnoteReference w:id="16"/>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5C8C611"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166</w:t>
            </w:r>
          </w:p>
        </w:tc>
        <w:tc>
          <w:tcPr>
            <w:tcW w:w="770"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2635FDB" w14:textId="3DC5CAF6" w:rsidR="00AA0337" w:rsidRPr="00AA0337" w:rsidRDefault="00E62894" w:rsidP="00516E92">
            <w:pPr>
              <w:widowControl/>
              <w:autoSpaceDE/>
              <w:adjustRightInd/>
              <w:jc w:val="right"/>
              <w:rPr>
                <w:rFonts w:eastAsia="Calibri"/>
                <w:sz w:val="26"/>
                <w:lang w:bidi="he-IL"/>
              </w:rPr>
            </w:pPr>
            <w:r>
              <w:rPr>
                <w:rFonts w:eastAsia="Calibri"/>
                <w:sz w:val="26"/>
                <w:lang w:bidi="he-IL"/>
              </w:rPr>
              <w:t>1</w:t>
            </w:r>
          </w:p>
        </w:tc>
        <w:tc>
          <w:tcPr>
            <w:tcW w:w="799"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9611AB0" w14:textId="6808159C" w:rsidR="00AA0337" w:rsidRPr="00AA0337" w:rsidRDefault="00E62894" w:rsidP="00516E92">
            <w:pPr>
              <w:widowControl/>
              <w:autoSpaceDE/>
              <w:adjustRightInd/>
              <w:jc w:val="right"/>
              <w:rPr>
                <w:rFonts w:eastAsia="Calibri"/>
                <w:sz w:val="26"/>
                <w:lang w:bidi="he-IL"/>
              </w:rPr>
            </w:pPr>
            <w:r>
              <w:rPr>
                <w:rFonts w:eastAsia="Calibri"/>
                <w:sz w:val="26"/>
                <w:lang w:bidi="he-IL"/>
              </w:rPr>
              <w:t>365</w:t>
            </w:r>
          </w:p>
        </w:tc>
        <w:tc>
          <w:tcPr>
            <w:tcW w:w="846" w:type="pct"/>
            <w:tcBorders>
              <w:top w:val="single" w:sz="4" w:space="0" w:color="auto"/>
              <w:left w:val="single" w:sz="4" w:space="0" w:color="auto"/>
              <w:bottom w:val="single" w:sz="4" w:space="0" w:color="auto"/>
              <w:right w:val="single" w:sz="4" w:space="0" w:color="auto"/>
            </w:tcBorders>
            <w:vAlign w:val="bottom"/>
            <w:hideMark/>
          </w:tcPr>
          <w:p w14:paraId="1D49D2BE"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60,590</w:t>
            </w:r>
          </w:p>
        </w:tc>
        <w:tc>
          <w:tcPr>
            <w:tcW w:w="902" w:type="pct"/>
            <w:tcBorders>
              <w:top w:val="single" w:sz="4" w:space="0" w:color="auto"/>
              <w:left w:val="single" w:sz="4" w:space="0" w:color="auto"/>
              <w:bottom w:val="single" w:sz="4" w:space="0" w:color="auto"/>
              <w:right w:val="single" w:sz="4" w:space="0" w:color="auto"/>
            </w:tcBorders>
            <w:vAlign w:val="bottom"/>
            <w:hideMark/>
          </w:tcPr>
          <w:p w14:paraId="34267FCB"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$4,268,566</w:t>
            </w:r>
          </w:p>
        </w:tc>
      </w:tr>
      <w:tr w:rsidR="00AA0337" w:rsidRPr="00AA0337" w14:paraId="1F1BF16E" w14:textId="77777777" w:rsidTr="00516E92">
        <w:trPr>
          <w:cantSplit/>
          <w:trHeight w:val="701"/>
        </w:trPr>
        <w:tc>
          <w:tcPr>
            <w:tcW w:w="946" w:type="pct"/>
            <w:tcBorders>
              <w:top w:val="single" w:sz="4" w:space="0" w:color="auto"/>
              <w:left w:val="single" w:sz="4" w:space="0" w:color="auto"/>
              <w:bottom w:val="single" w:sz="4" w:space="0" w:color="auto"/>
              <w:right w:val="single" w:sz="4" w:space="0" w:color="auto"/>
            </w:tcBorders>
            <w:vAlign w:val="center"/>
            <w:hideMark/>
          </w:tcPr>
          <w:p w14:paraId="011F61D2" w14:textId="77777777" w:rsidR="00AA0337" w:rsidRPr="00AA0337" w:rsidRDefault="00AA0337" w:rsidP="00516E92">
            <w:pPr>
              <w:widowControl/>
              <w:autoSpaceDE/>
              <w:adjustRightInd/>
              <w:rPr>
                <w:rFonts w:eastAsia="Calibri"/>
                <w:b/>
                <w:sz w:val="26"/>
                <w:lang w:bidi="he-IL"/>
              </w:rPr>
            </w:pPr>
            <w:r w:rsidRPr="00AA0337">
              <w:rPr>
                <w:rFonts w:eastAsia="Calibri"/>
                <w:b/>
                <w:sz w:val="26"/>
                <w:lang w:bidi="he-IL"/>
              </w:rPr>
              <w:t xml:space="preserve">Total one-time (for FERC-545 and FERC-549C)  </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F8653F" w14:textId="77777777" w:rsidR="00AA0337" w:rsidRPr="00AA0337" w:rsidRDefault="00AA0337" w:rsidP="00516E92">
            <w:pPr>
              <w:widowControl/>
              <w:autoSpaceDE/>
              <w:adjustRightInd/>
              <w:jc w:val="right"/>
              <w:rPr>
                <w:rFonts w:eastAsia="Calibri"/>
                <w:sz w:val="26"/>
                <w:lang w:bidi="he-IL"/>
              </w:rPr>
            </w:pPr>
          </w:p>
        </w:tc>
        <w:tc>
          <w:tcPr>
            <w:tcW w:w="77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50DEF4" w14:textId="77777777" w:rsidR="00AA0337" w:rsidRPr="00AA0337" w:rsidRDefault="00AA0337" w:rsidP="00516E92">
            <w:pPr>
              <w:widowControl/>
              <w:autoSpaceDE/>
              <w:adjustRightInd/>
              <w:jc w:val="right"/>
              <w:rPr>
                <w:rFonts w:eastAsia="Calibri"/>
                <w:sz w:val="26"/>
                <w:lang w:bidi="he-IL"/>
              </w:rPr>
            </w:pPr>
          </w:p>
        </w:tc>
        <w:tc>
          <w:tcPr>
            <w:tcW w:w="79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861D69" w14:textId="77777777" w:rsidR="00AA0337" w:rsidRPr="00AA0337" w:rsidRDefault="00AA0337" w:rsidP="00516E92">
            <w:pPr>
              <w:widowControl/>
              <w:autoSpaceDE/>
              <w:adjustRightInd/>
              <w:jc w:val="right"/>
              <w:rPr>
                <w:rFonts w:eastAsia="Calibri"/>
                <w:sz w:val="26"/>
                <w:lang w:bidi="he-IL"/>
              </w:rPr>
            </w:pPr>
          </w:p>
        </w:tc>
        <w:tc>
          <w:tcPr>
            <w:tcW w:w="846" w:type="pct"/>
            <w:tcBorders>
              <w:top w:val="single" w:sz="4" w:space="0" w:color="auto"/>
              <w:left w:val="single" w:sz="4" w:space="0" w:color="auto"/>
              <w:bottom w:val="single" w:sz="4" w:space="0" w:color="auto"/>
              <w:right w:val="single" w:sz="4" w:space="0" w:color="auto"/>
            </w:tcBorders>
            <w:vAlign w:val="bottom"/>
            <w:hideMark/>
          </w:tcPr>
          <w:p w14:paraId="3422EA16"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41,500</w:t>
            </w:r>
          </w:p>
        </w:tc>
        <w:tc>
          <w:tcPr>
            <w:tcW w:w="902" w:type="pct"/>
            <w:tcBorders>
              <w:top w:val="single" w:sz="4" w:space="0" w:color="auto"/>
              <w:left w:val="single" w:sz="4" w:space="0" w:color="auto"/>
              <w:bottom w:val="single" w:sz="4" w:space="0" w:color="auto"/>
              <w:right w:val="single" w:sz="4" w:space="0" w:color="auto"/>
            </w:tcBorders>
            <w:vAlign w:val="bottom"/>
            <w:hideMark/>
          </w:tcPr>
          <w:p w14:paraId="3A7B1686"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$3,210,556</w:t>
            </w:r>
          </w:p>
        </w:tc>
      </w:tr>
      <w:tr w:rsidR="00AA0337" w:rsidRPr="00AA0337" w14:paraId="46C4C952" w14:textId="77777777" w:rsidTr="00516E92">
        <w:trPr>
          <w:cantSplit/>
          <w:trHeight w:val="701"/>
        </w:trPr>
        <w:tc>
          <w:tcPr>
            <w:tcW w:w="946" w:type="pct"/>
            <w:tcBorders>
              <w:top w:val="single" w:sz="4" w:space="0" w:color="auto"/>
              <w:left w:val="single" w:sz="4" w:space="0" w:color="auto"/>
              <w:bottom w:val="single" w:sz="4" w:space="0" w:color="auto"/>
              <w:right w:val="single" w:sz="4" w:space="0" w:color="auto"/>
            </w:tcBorders>
            <w:vAlign w:val="center"/>
            <w:hideMark/>
          </w:tcPr>
          <w:p w14:paraId="0E09C38F" w14:textId="77777777" w:rsidR="00AA0337" w:rsidRPr="00AA0337" w:rsidRDefault="00AA0337" w:rsidP="00516E92">
            <w:pPr>
              <w:widowControl/>
              <w:autoSpaceDE/>
              <w:adjustRightInd/>
              <w:rPr>
                <w:rFonts w:eastAsia="Calibri"/>
                <w:b/>
                <w:sz w:val="26"/>
                <w:lang w:bidi="he-IL"/>
              </w:rPr>
            </w:pPr>
            <w:r w:rsidRPr="00AA0337">
              <w:rPr>
                <w:rFonts w:eastAsia="Calibri"/>
                <w:b/>
                <w:sz w:val="26"/>
                <w:lang w:bidi="he-IL"/>
              </w:rPr>
              <w:t>Total ongoing (for FERC-549C)</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9FFA13" w14:textId="77777777" w:rsidR="00AA0337" w:rsidRPr="00AA0337" w:rsidRDefault="00AA0337" w:rsidP="00516E92">
            <w:pPr>
              <w:widowControl/>
              <w:autoSpaceDE/>
              <w:adjustRightInd/>
              <w:jc w:val="right"/>
              <w:rPr>
                <w:rFonts w:eastAsia="Calibri"/>
                <w:sz w:val="26"/>
                <w:lang w:bidi="he-IL"/>
              </w:rPr>
            </w:pPr>
          </w:p>
        </w:tc>
        <w:tc>
          <w:tcPr>
            <w:tcW w:w="77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497C6D" w14:textId="77777777" w:rsidR="00AA0337" w:rsidRPr="00AA0337" w:rsidRDefault="00AA0337" w:rsidP="00516E92">
            <w:pPr>
              <w:widowControl/>
              <w:autoSpaceDE/>
              <w:adjustRightInd/>
              <w:jc w:val="right"/>
              <w:rPr>
                <w:rFonts w:eastAsia="Calibri"/>
                <w:sz w:val="26"/>
                <w:lang w:bidi="he-IL"/>
              </w:rPr>
            </w:pPr>
          </w:p>
        </w:tc>
        <w:tc>
          <w:tcPr>
            <w:tcW w:w="79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372D0E" w14:textId="77777777" w:rsidR="00AA0337" w:rsidRPr="00AA0337" w:rsidRDefault="00AA0337" w:rsidP="00516E92">
            <w:pPr>
              <w:widowControl/>
              <w:autoSpaceDE/>
              <w:adjustRightInd/>
              <w:jc w:val="right"/>
              <w:rPr>
                <w:rFonts w:eastAsia="Calibri"/>
                <w:sz w:val="26"/>
                <w:lang w:bidi="he-IL"/>
              </w:rPr>
            </w:pPr>
          </w:p>
        </w:tc>
        <w:tc>
          <w:tcPr>
            <w:tcW w:w="846" w:type="pct"/>
            <w:tcBorders>
              <w:top w:val="single" w:sz="4" w:space="0" w:color="auto"/>
              <w:left w:val="single" w:sz="4" w:space="0" w:color="auto"/>
              <w:bottom w:val="single" w:sz="4" w:space="0" w:color="auto"/>
              <w:right w:val="single" w:sz="4" w:space="0" w:color="auto"/>
            </w:tcBorders>
            <w:vAlign w:val="bottom"/>
            <w:hideMark/>
          </w:tcPr>
          <w:p w14:paraId="3CC82231"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60,590</w:t>
            </w:r>
          </w:p>
        </w:tc>
        <w:tc>
          <w:tcPr>
            <w:tcW w:w="902" w:type="pct"/>
            <w:tcBorders>
              <w:top w:val="single" w:sz="4" w:space="0" w:color="auto"/>
              <w:left w:val="single" w:sz="4" w:space="0" w:color="auto"/>
              <w:bottom w:val="single" w:sz="4" w:space="0" w:color="auto"/>
              <w:right w:val="single" w:sz="4" w:space="0" w:color="auto"/>
            </w:tcBorders>
            <w:vAlign w:val="bottom"/>
            <w:hideMark/>
          </w:tcPr>
          <w:p w14:paraId="64D47CCE" w14:textId="77777777" w:rsidR="00AA0337" w:rsidRPr="00AA0337" w:rsidRDefault="00AA0337" w:rsidP="00516E92">
            <w:pPr>
              <w:widowControl/>
              <w:autoSpaceDE/>
              <w:adjustRightInd/>
              <w:jc w:val="right"/>
              <w:rPr>
                <w:rFonts w:eastAsia="Calibri"/>
                <w:sz w:val="26"/>
                <w:lang w:bidi="he-IL"/>
              </w:rPr>
            </w:pPr>
            <w:r w:rsidRPr="00AA0337">
              <w:rPr>
                <w:rFonts w:eastAsia="Calibri"/>
                <w:sz w:val="26"/>
                <w:lang w:bidi="he-IL"/>
              </w:rPr>
              <w:t>$4,268,566</w:t>
            </w:r>
          </w:p>
        </w:tc>
      </w:tr>
    </w:tbl>
    <w:p w14:paraId="066C2A81" w14:textId="77777777" w:rsidR="00DC221C" w:rsidRDefault="00DC221C">
      <w:pPr>
        <w:rPr>
          <w:sz w:val="26"/>
          <w:szCs w:val="26"/>
        </w:rPr>
      </w:pPr>
    </w:p>
    <w:p w14:paraId="3161D58F" w14:textId="5A851863" w:rsidR="00D06571" w:rsidRPr="00027B22" w:rsidRDefault="004739F8" w:rsidP="00955689">
      <w:pPr>
        <w:ind w:firstLine="360"/>
        <w:rPr>
          <w:sz w:val="26"/>
          <w:szCs w:val="26"/>
        </w:rPr>
      </w:pPr>
      <w:r>
        <w:rPr>
          <w:sz w:val="26"/>
          <w:szCs w:val="26"/>
        </w:rPr>
        <w:t>For this submittal</w:t>
      </w:r>
      <w:r w:rsidR="00D06571" w:rsidRPr="00D06571">
        <w:rPr>
          <w:sz w:val="26"/>
          <w:szCs w:val="26"/>
        </w:rPr>
        <w:t xml:space="preserve"> </w:t>
      </w:r>
      <w:r w:rsidR="00D06571">
        <w:rPr>
          <w:sz w:val="26"/>
          <w:szCs w:val="26"/>
        </w:rPr>
        <w:t>for the FERC-549C</w:t>
      </w:r>
      <w:r>
        <w:rPr>
          <w:sz w:val="26"/>
          <w:szCs w:val="26"/>
        </w:rPr>
        <w:t xml:space="preserve">, we are averaging the one-time implementation burden </w:t>
      </w:r>
      <w:r w:rsidR="00D06571">
        <w:rPr>
          <w:sz w:val="26"/>
          <w:szCs w:val="26"/>
        </w:rPr>
        <w:t xml:space="preserve">(39,840 hrs.) and cost ($3,071,664) </w:t>
      </w:r>
      <w:r>
        <w:rPr>
          <w:sz w:val="26"/>
          <w:szCs w:val="26"/>
        </w:rPr>
        <w:t>over Years 1-3</w:t>
      </w:r>
      <w:r w:rsidR="00D06571">
        <w:rPr>
          <w:sz w:val="26"/>
          <w:szCs w:val="26"/>
        </w:rPr>
        <w:t xml:space="preserve">.  Using that approach for FERC-549C, each of Years 1-3 would impose:  (39,840/3) +60,590 = 73,870 </w:t>
      </w:r>
      <w:proofErr w:type="gramStart"/>
      <w:r w:rsidR="00D06571">
        <w:rPr>
          <w:sz w:val="26"/>
          <w:szCs w:val="26"/>
        </w:rPr>
        <w:t>hrs.;</w:t>
      </w:r>
      <w:proofErr w:type="gramEnd"/>
      <w:r w:rsidR="00D06571">
        <w:rPr>
          <w:sz w:val="26"/>
          <w:szCs w:val="26"/>
        </w:rPr>
        <w:t xml:space="preserve"> ($3,071,664/3) + </w:t>
      </w:r>
      <w:r w:rsidR="00D06571" w:rsidRPr="00D06571">
        <w:rPr>
          <w:sz w:val="26"/>
          <w:szCs w:val="26"/>
        </w:rPr>
        <w:t>$4,268,566</w:t>
      </w:r>
      <w:r w:rsidR="00D06571">
        <w:rPr>
          <w:sz w:val="26"/>
          <w:szCs w:val="26"/>
        </w:rPr>
        <w:t>=$5,292</w:t>
      </w:r>
      <w:r w:rsidR="006979FB">
        <w:rPr>
          <w:sz w:val="26"/>
          <w:szCs w:val="26"/>
        </w:rPr>
        <w:t>,</w:t>
      </w:r>
      <w:r w:rsidR="00D06571">
        <w:rPr>
          <w:sz w:val="26"/>
          <w:szCs w:val="26"/>
        </w:rPr>
        <w:t>454</w:t>
      </w:r>
      <w:r w:rsidR="006979FB">
        <w:rPr>
          <w:sz w:val="26"/>
          <w:szCs w:val="26"/>
        </w:rPr>
        <w:t>.</w:t>
      </w:r>
      <w:r w:rsidR="006B6CE4">
        <w:rPr>
          <w:sz w:val="26"/>
          <w:szCs w:val="26"/>
        </w:rPr>
        <w:t xml:space="preserve">  Then after Year 3, the FERC-549C burden associated with the averaged implementation burden would be removed from the inventory.</w:t>
      </w:r>
    </w:p>
    <w:p w14:paraId="7EA756EC" w14:textId="77777777" w:rsidR="009D6A25" w:rsidRDefault="009D6A25">
      <w:pPr>
        <w:rPr>
          <w:sz w:val="26"/>
          <w:szCs w:val="26"/>
        </w:rPr>
      </w:pPr>
    </w:p>
    <w:p w14:paraId="74BEA78C" w14:textId="32043046" w:rsidR="009D6A25" w:rsidRPr="009D6A25" w:rsidRDefault="009D6A25" w:rsidP="00955689">
      <w:pPr>
        <w:ind w:firstLine="360"/>
        <w:rPr>
          <w:b/>
          <w:sz w:val="26"/>
          <w:szCs w:val="26"/>
        </w:rPr>
      </w:pPr>
      <w:r w:rsidRPr="009D6A25">
        <w:rPr>
          <w:bCs/>
          <w:sz w:val="26"/>
          <w:szCs w:val="26"/>
        </w:rPr>
        <w:t>Summary table of changes to burden hours, with current approved inventory, as listed in ROCIS and reginfo.gov</w:t>
      </w:r>
      <w:r w:rsidR="00807E75">
        <w:rPr>
          <w:bCs/>
          <w:sz w:val="26"/>
          <w:szCs w:val="26"/>
        </w:rPr>
        <w:t xml:space="preserve"> </w:t>
      </w:r>
      <w:proofErr w:type="gramStart"/>
      <w:r w:rsidR="00807E75">
        <w:rPr>
          <w:bCs/>
          <w:sz w:val="26"/>
          <w:szCs w:val="26"/>
        </w:rPr>
        <w:t xml:space="preserve">are </w:t>
      </w:r>
      <w:r w:rsidRPr="009D6A25">
        <w:rPr>
          <w:bCs/>
          <w:sz w:val="26"/>
          <w:szCs w:val="26"/>
        </w:rPr>
        <w:t>:</w:t>
      </w:r>
      <w:proofErr w:type="gramEnd"/>
    </w:p>
    <w:p w14:paraId="461BADD1" w14:textId="77777777" w:rsidR="009D6A25" w:rsidRPr="009D6A25" w:rsidRDefault="009D6A25" w:rsidP="009D6A25">
      <w:pPr>
        <w:rPr>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B6AAE" w:rsidRPr="00254D55" w14:paraId="4C04933D" w14:textId="77777777" w:rsidTr="00C75C08">
        <w:trPr>
          <w:trHeight w:val="870"/>
        </w:trPr>
        <w:tc>
          <w:tcPr>
            <w:tcW w:w="2679" w:type="dxa"/>
            <w:tcBorders>
              <w:bottom w:val="single" w:sz="4" w:space="0" w:color="auto"/>
            </w:tcBorders>
            <w:shd w:val="clear" w:color="auto" w:fill="D9D9D9"/>
            <w:vAlign w:val="bottom"/>
          </w:tcPr>
          <w:p w14:paraId="2BCFD2A6" w14:textId="21FF6ECE" w:rsidR="000B6AAE" w:rsidRPr="00254D55" w:rsidRDefault="000B6AAE" w:rsidP="007009D8">
            <w:pPr>
              <w:widowControl/>
              <w:autoSpaceDE/>
              <w:autoSpaceDN/>
              <w:adjustRightInd/>
              <w:jc w:val="center"/>
              <w:rPr>
                <w:rFonts w:eastAsia="Calibri"/>
                <w:b/>
                <w:sz w:val="26"/>
                <w:szCs w:val="26"/>
              </w:rPr>
            </w:pPr>
          </w:p>
        </w:tc>
        <w:tc>
          <w:tcPr>
            <w:tcW w:w="1461" w:type="dxa"/>
            <w:tcBorders>
              <w:bottom w:val="single" w:sz="4" w:space="0" w:color="auto"/>
            </w:tcBorders>
            <w:shd w:val="clear" w:color="auto" w:fill="D9D9D9"/>
            <w:vAlign w:val="bottom"/>
          </w:tcPr>
          <w:p w14:paraId="5ED0F5FB" w14:textId="77777777" w:rsidR="000B6AAE" w:rsidRPr="00254D55" w:rsidRDefault="000B6AAE" w:rsidP="007009D8">
            <w:pPr>
              <w:widowControl/>
              <w:autoSpaceDE/>
              <w:autoSpaceDN/>
              <w:adjustRightInd/>
              <w:jc w:val="center"/>
              <w:rPr>
                <w:rFonts w:eastAsia="Calibri"/>
                <w:b/>
                <w:sz w:val="26"/>
                <w:szCs w:val="26"/>
              </w:rPr>
            </w:pPr>
            <w:r w:rsidRPr="00254D55">
              <w:rPr>
                <w:rFonts w:eastAsia="Calibri"/>
                <w:b/>
                <w:sz w:val="26"/>
                <w:szCs w:val="26"/>
              </w:rPr>
              <w:t>Total Request</w:t>
            </w:r>
          </w:p>
        </w:tc>
        <w:tc>
          <w:tcPr>
            <w:tcW w:w="1620" w:type="dxa"/>
            <w:tcBorders>
              <w:bottom w:val="single" w:sz="4" w:space="0" w:color="auto"/>
            </w:tcBorders>
            <w:shd w:val="clear" w:color="auto" w:fill="D9D9D9"/>
            <w:vAlign w:val="bottom"/>
          </w:tcPr>
          <w:p w14:paraId="1179898F" w14:textId="77777777" w:rsidR="000B6AAE" w:rsidRPr="00254D55" w:rsidRDefault="000B6AAE" w:rsidP="007009D8">
            <w:pPr>
              <w:widowControl/>
              <w:autoSpaceDE/>
              <w:autoSpaceDN/>
              <w:adjustRightInd/>
              <w:jc w:val="center"/>
              <w:rPr>
                <w:rFonts w:eastAsia="Calibri"/>
                <w:b/>
                <w:sz w:val="26"/>
                <w:szCs w:val="26"/>
              </w:rPr>
            </w:pPr>
            <w:r w:rsidRPr="00254D55">
              <w:rPr>
                <w:rFonts w:eastAsia="Calibri"/>
                <w:b/>
                <w:sz w:val="26"/>
                <w:szCs w:val="26"/>
              </w:rPr>
              <w:t>Previously Approved</w:t>
            </w:r>
          </w:p>
        </w:tc>
        <w:tc>
          <w:tcPr>
            <w:tcW w:w="1800" w:type="dxa"/>
            <w:tcBorders>
              <w:bottom w:val="single" w:sz="4" w:space="0" w:color="auto"/>
            </w:tcBorders>
            <w:shd w:val="clear" w:color="auto" w:fill="D9D9D9"/>
            <w:vAlign w:val="bottom"/>
          </w:tcPr>
          <w:p w14:paraId="7E9EF196" w14:textId="77777777" w:rsidR="000B6AAE" w:rsidRPr="00254D55" w:rsidRDefault="000B6AAE" w:rsidP="007009D8">
            <w:pPr>
              <w:widowControl/>
              <w:autoSpaceDE/>
              <w:autoSpaceDN/>
              <w:adjustRightInd/>
              <w:jc w:val="center"/>
              <w:rPr>
                <w:rFonts w:eastAsia="Calibri"/>
                <w:b/>
                <w:sz w:val="26"/>
                <w:szCs w:val="26"/>
              </w:rPr>
            </w:pPr>
            <w:r w:rsidRPr="00254D55">
              <w:rPr>
                <w:rFonts w:eastAsia="Calibri"/>
                <w:b/>
                <w:sz w:val="26"/>
                <w:szCs w:val="26"/>
              </w:rPr>
              <w:t>Change due to Adjustment in Estimate</w:t>
            </w:r>
          </w:p>
        </w:tc>
        <w:tc>
          <w:tcPr>
            <w:tcW w:w="1800" w:type="dxa"/>
            <w:tcBorders>
              <w:bottom w:val="single" w:sz="4" w:space="0" w:color="auto"/>
            </w:tcBorders>
            <w:shd w:val="clear" w:color="auto" w:fill="D9D9D9"/>
            <w:vAlign w:val="bottom"/>
          </w:tcPr>
          <w:p w14:paraId="32A70200" w14:textId="77777777" w:rsidR="000B6AAE" w:rsidRPr="00254D55" w:rsidRDefault="000B6AAE" w:rsidP="007009D8">
            <w:pPr>
              <w:widowControl/>
              <w:autoSpaceDE/>
              <w:autoSpaceDN/>
              <w:adjustRightInd/>
              <w:jc w:val="center"/>
              <w:rPr>
                <w:rFonts w:eastAsia="Calibri"/>
                <w:b/>
                <w:sz w:val="26"/>
                <w:szCs w:val="26"/>
              </w:rPr>
            </w:pPr>
            <w:r w:rsidRPr="00254D55">
              <w:rPr>
                <w:rFonts w:eastAsia="Calibri"/>
                <w:b/>
                <w:sz w:val="26"/>
                <w:szCs w:val="26"/>
              </w:rPr>
              <w:t>Change Due to Agency Discretion</w:t>
            </w:r>
          </w:p>
        </w:tc>
      </w:tr>
      <w:tr w:rsidR="00A50333" w:rsidRPr="00254D55" w14:paraId="18F9D714" w14:textId="77777777" w:rsidTr="00027B22">
        <w:trPr>
          <w:trHeight w:val="431"/>
        </w:trPr>
        <w:tc>
          <w:tcPr>
            <w:tcW w:w="9360" w:type="dxa"/>
            <w:gridSpan w:val="5"/>
            <w:shd w:val="clear" w:color="auto" w:fill="C6D9F1" w:themeFill="text2" w:themeFillTint="33"/>
            <w:vAlign w:val="bottom"/>
          </w:tcPr>
          <w:p w14:paraId="298CC8A3" w14:textId="000FB8C8" w:rsidR="00A50333" w:rsidRPr="00C75C08" w:rsidRDefault="00A50333" w:rsidP="00027B22">
            <w:pPr>
              <w:widowControl/>
              <w:autoSpaceDE/>
              <w:autoSpaceDN/>
              <w:adjustRightInd/>
              <w:jc w:val="center"/>
              <w:rPr>
                <w:b/>
                <w:bCs/>
                <w:sz w:val="26"/>
                <w:szCs w:val="26"/>
              </w:rPr>
            </w:pPr>
            <w:r>
              <w:rPr>
                <w:b/>
                <w:bCs/>
                <w:sz w:val="26"/>
                <w:szCs w:val="26"/>
              </w:rPr>
              <w:t>FERC-545</w:t>
            </w:r>
          </w:p>
        </w:tc>
      </w:tr>
      <w:tr w:rsidR="000B6AAE" w:rsidRPr="00254D55" w14:paraId="1A712702" w14:textId="77777777" w:rsidTr="00027B22">
        <w:trPr>
          <w:trHeight w:val="591"/>
        </w:trPr>
        <w:tc>
          <w:tcPr>
            <w:tcW w:w="2679" w:type="dxa"/>
            <w:shd w:val="clear" w:color="auto" w:fill="auto"/>
          </w:tcPr>
          <w:p w14:paraId="669171CF" w14:textId="1931DE23" w:rsidR="000B6AAE" w:rsidRPr="00254D55" w:rsidRDefault="000B6AAE" w:rsidP="0046219B">
            <w:pPr>
              <w:widowControl/>
              <w:autoSpaceDE/>
              <w:autoSpaceDN/>
              <w:adjustRightInd/>
              <w:jc w:val="center"/>
              <w:rPr>
                <w:rFonts w:eastAsia="Calibri"/>
                <w:sz w:val="26"/>
                <w:szCs w:val="26"/>
              </w:rPr>
            </w:pPr>
            <w:r w:rsidRPr="00254D55">
              <w:rPr>
                <w:rFonts w:eastAsia="Calibri"/>
                <w:sz w:val="26"/>
                <w:szCs w:val="26"/>
              </w:rPr>
              <w:t>Annual Number of Responses</w:t>
            </w:r>
          </w:p>
        </w:tc>
        <w:tc>
          <w:tcPr>
            <w:tcW w:w="1461" w:type="dxa"/>
            <w:shd w:val="clear" w:color="auto" w:fill="auto"/>
            <w:vAlign w:val="bottom"/>
          </w:tcPr>
          <w:p w14:paraId="74C80C8E" w14:textId="15F0C465" w:rsidR="000B6AAE" w:rsidRPr="00254D55" w:rsidRDefault="00BE7376" w:rsidP="00027B22">
            <w:pPr>
              <w:widowControl/>
              <w:autoSpaceDE/>
              <w:autoSpaceDN/>
              <w:adjustRightInd/>
              <w:jc w:val="right"/>
              <w:rPr>
                <w:rFonts w:eastAsia="Calibri"/>
                <w:sz w:val="26"/>
                <w:szCs w:val="26"/>
              </w:rPr>
            </w:pPr>
            <w:r w:rsidRPr="00BE7376">
              <w:rPr>
                <w:rFonts w:eastAsia="Calibri"/>
                <w:sz w:val="26"/>
                <w:szCs w:val="26"/>
              </w:rPr>
              <w:t>2,317</w:t>
            </w:r>
          </w:p>
        </w:tc>
        <w:tc>
          <w:tcPr>
            <w:tcW w:w="1620" w:type="dxa"/>
            <w:shd w:val="clear" w:color="auto" w:fill="auto"/>
            <w:vAlign w:val="bottom"/>
          </w:tcPr>
          <w:p w14:paraId="3996952E" w14:textId="2B2AE998" w:rsidR="000B6AAE" w:rsidRPr="00254D55" w:rsidRDefault="00BE7376" w:rsidP="00027B22">
            <w:pPr>
              <w:widowControl/>
              <w:autoSpaceDE/>
              <w:autoSpaceDN/>
              <w:adjustRightInd/>
              <w:jc w:val="right"/>
              <w:rPr>
                <w:rFonts w:eastAsia="Calibri"/>
                <w:sz w:val="26"/>
                <w:szCs w:val="26"/>
              </w:rPr>
            </w:pPr>
            <w:r w:rsidRPr="00BE7376">
              <w:rPr>
                <w:rFonts w:eastAsia="Calibri"/>
                <w:sz w:val="26"/>
                <w:szCs w:val="26"/>
              </w:rPr>
              <w:t>2,151</w:t>
            </w:r>
          </w:p>
        </w:tc>
        <w:tc>
          <w:tcPr>
            <w:tcW w:w="1800" w:type="dxa"/>
            <w:shd w:val="clear" w:color="auto" w:fill="auto"/>
            <w:vAlign w:val="bottom"/>
          </w:tcPr>
          <w:p w14:paraId="60E5C746" w14:textId="28502491" w:rsidR="000B6AAE" w:rsidRPr="00254D55" w:rsidRDefault="00BE7376" w:rsidP="00027B22">
            <w:pPr>
              <w:widowControl/>
              <w:autoSpaceDE/>
              <w:autoSpaceDN/>
              <w:adjustRightInd/>
              <w:jc w:val="right"/>
              <w:rPr>
                <w:rFonts w:eastAsia="Calibri"/>
                <w:sz w:val="26"/>
                <w:szCs w:val="26"/>
              </w:rPr>
            </w:pPr>
            <w:r>
              <w:rPr>
                <w:rFonts w:eastAsia="Calibri"/>
                <w:sz w:val="26"/>
                <w:szCs w:val="26"/>
              </w:rPr>
              <w:t>0</w:t>
            </w:r>
          </w:p>
        </w:tc>
        <w:tc>
          <w:tcPr>
            <w:tcW w:w="1800" w:type="dxa"/>
            <w:shd w:val="clear" w:color="auto" w:fill="auto"/>
            <w:vAlign w:val="bottom"/>
          </w:tcPr>
          <w:p w14:paraId="6A1A9FCB" w14:textId="74BA95BE" w:rsidR="000B6AAE" w:rsidRPr="00254D55" w:rsidRDefault="00C75C08" w:rsidP="00027B22">
            <w:pPr>
              <w:widowControl/>
              <w:autoSpaceDE/>
              <w:autoSpaceDN/>
              <w:adjustRightInd/>
              <w:jc w:val="right"/>
              <w:rPr>
                <w:rFonts w:eastAsia="Calibri"/>
                <w:sz w:val="26"/>
                <w:szCs w:val="26"/>
              </w:rPr>
            </w:pPr>
            <w:r>
              <w:rPr>
                <w:rFonts w:eastAsia="Calibri"/>
                <w:sz w:val="26"/>
                <w:szCs w:val="26"/>
              </w:rPr>
              <w:t>+</w:t>
            </w:r>
            <w:r w:rsidR="00BE7376">
              <w:rPr>
                <w:rFonts w:eastAsia="Calibri"/>
                <w:sz w:val="26"/>
                <w:szCs w:val="26"/>
              </w:rPr>
              <w:t>166</w:t>
            </w:r>
          </w:p>
        </w:tc>
      </w:tr>
      <w:tr w:rsidR="000B6AAE" w:rsidRPr="00254D55" w14:paraId="071E7A0A" w14:textId="77777777" w:rsidTr="00027B22">
        <w:trPr>
          <w:trHeight w:val="575"/>
        </w:trPr>
        <w:tc>
          <w:tcPr>
            <w:tcW w:w="2679" w:type="dxa"/>
            <w:shd w:val="clear" w:color="auto" w:fill="auto"/>
          </w:tcPr>
          <w:p w14:paraId="01F23FA9" w14:textId="29239DBD" w:rsidR="000B6AAE" w:rsidRPr="00254D55" w:rsidRDefault="000B6AAE" w:rsidP="0046219B">
            <w:pPr>
              <w:widowControl/>
              <w:autoSpaceDE/>
              <w:autoSpaceDN/>
              <w:adjustRightInd/>
              <w:jc w:val="center"/>
              <w:rPr>
                <w:rFonts w:eastAsia="Calibri"/>
                <w:sz w:val="26"/>
                <w:szCs w:val="26"/>
              </w:rPr>
            </w:pPr>
            <w:r w:rsidRPr="00254D55">
              <w:rPr>
                <w:rFonts w:eastAsia="Calibri"/>
                <w:sz w:val="26"/>
                <w:szCs w:val="26"/>
              </w:rPr>
              <w:t>Annual Time Burden (Hr.)</w:t>
            </w:r>
          </w:p>
        </w:tc>
        <w:tc>
          <w:tcPr>
            <w:tcW w:w="1461" w:type="dxa"/>
            <w:shd w:val="clear" w:color="auto" w:fill="auto"/>
            <w:vAlign w:val="bottom"/>
          </w:tcPr>
          <w:p w14:paraId="4580F842" w14:textId="79B0160E" w:rsidR="000B6AAE" w:rsidRPr="00254D55" w:rsidRDefault="00BE7376" w:rsidP="00027B22">
            <w:pPr>
              <w:widowControl/>
              <w:autoSpaceDE/>
              <w:autoSpaceDN/>
              <w:adjustRightInd/>
              <w:jc w:val="right"/>
              <w:rPr>
                <w:rFonts w:eastAsia="Calibri"/>
                <w:sz w:val="26"/>
                <w:szCs w:val="26"/>
              </w:rPr>
            </w:pPr>
            <w:r w:rsidRPr="00BE7376">
              <w:rPr>
                <w:rFonts w:eastAsia="Calibri"/>
                <w:sz w:val="26"/>
                <w:szCs w:val="26"/>
              </w:rPr>
              <w:t>282,105</w:t>
            </w:r>
          </w:p>
        </w:tc>
        <w:tc>
          <w:tcPr>
            <w:tcW w:w="1620" w:type="dxa"/>
            <w:shd w:val="clear" w:color="auto" w:fill="auto"/>
            <w:vAlign w:val="bottom"/>
          </w:tcPr>
          <w:p w14:paraId="7FC0C8DA" w14:textId="122B2124" w:rsidR="000B6AAE" w:rsidRPr="00254D55" w:rsidRDefault="00A50333" w:rsidP="00027B22">
            <w:pPr>
              <w:widowControl/>
              <w:autoSpaceDE/>
              <w:autoSpaceDN/>
              <w:adjustRightInd/>
              <w:jc w:val="right"/>
              <w:rPr>
                <w:rFonts w:eastAsia="Calibri"/>
                <w:sz w:val="26"/>
                <w:szCs w:val="26"/>
              </w:rPr>
            </w:pPr>
            <w:r w:rsidRPr="00A50333">
              <w:rPr>
                <w:rFonts w:eastAsia="Calibri"/>
                <w:sz w:val="26"/>
                <w:szCs w:val="26"/>
              </w:rPr>
              <w:t>280,445</w:t>
            </w:r>
          </w:p>
        </w:tc>
        <w:tc>
          <w:tcPr>
            <w:tcW w:w="1800" w:type="dxa"/>
            <w:shd w:val="clear" w:color="auto" w:fill="auto"/>
            <w:vAlign w:val="bottom"/>
          </w:tcPr>
          <w:p w14:paraId="21E651FA" w14:textId="259798EF" w:rsidR="000B6AAE" w:rsidRPr="00254D55" w:rsidRDefault="00BE7376" w:rsidP="00027B22">
            <w:pPr>
              <w:widowControl/>
              <w:autoSpaceDE/>
              <w:autoSpaceDN/>
              <w:adjustRightInd/>
              <w:jc w:val="right"/>
              <w:rPr>
                <w:rFonts w:eastAsia="Calibri"/>
                <w:sz w:val="26"/>
                <w:szCs w:val="26"/>
              </w:rPr>
            </w:pPr>
            <w:r>
              <w:rPr>
                <w:rFonts w:eastAsia="Calibri"/>
                <w:sz w:val="26"/>
                <w:szCs w:val="26"/>
              </w:rPr>
              <w:t>0</w:t>
            </w:r>
          </w:p>
        </w:tc>
        <w:tc>
          <w:tcPr>
            <w:tcW w:w="1800" w:type="dxa"/>
            <w:shd w:val="clear" w:color="auto" w:fill="auto"/>
            <w:vAlign w:val="bottom"/>
          </w:tcPr>
          <w:p w14:paraId="1BE3A430" w14:textId="4E9A7958" w:rsidR="000B6AAE" w:rsidRPr="00254D55" w:rsidRDefault="00C75C08" w:rsidP="00027B22">
            <w:pPr>
              <w:widowControl/>
              <w:autoSpaceDE/>
              <w:autoSpaceDN/>
              <w:adjustRightInd/>
              <w:jc w:val="right"/>
              <w:rPr>
                <w:rFonts w:eastAsia="Calibri"/>
                <w:sz w:val="26"/>
                <w:szCs w:val="26"/>
              </w:rPr>
            </w:pPr>
            <w:r>
              <w:rPr>
                <w:rFonts w:eastAsia="Calibri"/>
                <w:sz w:val="26"/>
                <w:szCs w:val="26"/>
              </w:rPr>
              <w:t>+</w:t>
            </w:r>
            <w:r w:rsidR="00BE7376">
              <w:rPr>
                <w:rFonts w:eastAsia="Calibri"/>
                <w:sz w:val="26"/>
                <w:szCs w:val="26"/>
              </w:rPr>
              <w:t>1,660</w:t>
            </w:r>
            <w:r w:rsidR="00027B22">
              <w:rPr>
                <w:rStyle w:val="FootnoteReference"/>
                <w:rFonts w:eastAsia="Calibri"/>
                <w:sz w:val="26"/>
                <w:szCs w:val="26"/>
              </w:rPr>
              <w:footnoteReference w:id="17"/>
            </w:r>
          </w:p>
        </w:tc>
      </w:tr>
      <w:tr w:rsidR="000B6AAE" w:rsidRPr="00254D55" w14:paraId="1FD4396B" w14:textId="77777777" w:rsidTr="00027B22">
        <w:trPr>
          <w:trHeight w:val="295"/>
        </w:trPr>
        <w:tc>
          <w:tcPr>
            <w:tcW w:w="2679" w:type="dxa"/>
            <w:tcBorders>
              <w:bottom w:val="single" w:sz="4" w:space="0" w:color="auto"/>
            </w:tcBorders>
            <w:shd w:val="clear" w:color="auto" w:fill="auto"/>
          </w:tcPr>
          <w:p w14:paraId="373C98BE" w14:textId="77777777" w:rsidR="000B6AAE" w:rsidRPr="00254D55" w:rsidRDefault="000B6AAE" w:rsidP="007009D8">
            <w:pPr>
              <w:widowControl/>
              <w:autoSpaceDE/>
              <w:autoSpaceDN/>
              <w:adjustRightInd/>
              <w:jc w:val="center"/>
              <w:rPr>
                <w:rFonts w:eastAsia="Calibri"/>
                <w:sz w:val="26"/>
                <w:szCs w:val="26"/>
              </w:rPr>
            </w:pPr>
            <w:r w:rsidRPr="00254D55">
              <w:rPr>
                <w:rFonts w:eastAsia="Calibri"/>
                <w:sz w:val="26"/>
                <w:szCs w:val="26"/>
              </w:rPr>
              <w:lastRenderedPageBreak/>
              <w:t>Annual Cost Burden ($)</w:t>
            </w:r>
          </w:p>
        </w:tc>
        <w:tc>
          <w:tcPr>
            <w:tcW w:w="1461" w:type="dxa"/>
            <w:tcBorders>
              <w:bottom w:val="single" w:sz="4" w:space="0" w:color="auto"/>
            </w:tcBorders>
            <w:shd w:val="clear" w:color="auto" w:fill="auto"/>
            <w:vAlign w:val="bottom"/>
          </w:tcPr>
          <w:p w14:paraId="2ABC72F6" w14:textId="3D7E6DCD" w:rsidR="000B6AAE" w:rsidRPr="00254D55" w:rsidRDefault="00A55F2D" w:rsidP="00027B22">
            <w:pPr>
              <w:widowControl/>
              <w:autoSpaceDE/>
              <w:autoSpaceDN/>
              <w:adjustRightInd/>
              <w:jc w:val="right"/>
              <w:rPr>
                <w:rFonts w:eastAsia="Calibri"/>
                <w:sz w:val="26"/>
                <w:szCs w:val="26"/>
                <w:highlight w:val="yellow"/>
              </w:rPr>
            </w:pPr>
            <w:r w:rsidRPr="00A55F2D">
              <w:rPr>
                <w:rFonts w:eastAsia="Calibri"/>
                <w:sz w:val="26"/>
                <w:szCs w:val="26"/>
              </w:rPr>
              <w:t>$0</w:t>
            </w:r>
          </w:p>
        </w:tc>
        <w:tc>
          <w:tcPr>
            <w:tcW w:w="1620" w:type="dxa"/>
            <w:tcBorders>
              <w:bottom w:val="single" w:sz="4" w:space="0" w:color="auto"/>
            </w:tcBorders>
            <w:shd w:val="clear" w:color="auto" w:fill="auto"/>
            <w:vAlign w:val="bottom"/>
          </w:tcPr>
          <w:p w14:paraId="1A931B37" w14:textId="1EB18039" w:rsidR="000B6AAE" w:rsidRPr="00254D55" w:rsidRDefault="0046219B" w:rsidP="00027B22">
            <w:pPr>
              <w:widowControl/>
              <w:autoSpaceDE/>
              <w:autoSpaceDN/>
              <w:adjustRightInd/>
              <w:jc w:val="right"/>
              <w:rPr>
                <w:rFonts w:eastAsia="Calibri"/>
                <w:sz w:val="26"/>
                <w:szCs w:val="26"/>
              </w:rPr>
            </w:pPr>
            <w:r>
              <w:rPr>
                <w:rFonts w:eastAsia="Calibri"/>
                <w:sz w:val="26"/>
                <w:szCs w:val="26"/>
              </w:rPr>
              <w:t>$</w:t>
            </w:r>
            <w:r w:rsidR="00A55F2D">
              <w:rPr>
                <w:rFonts w:eastAsia="Calibri"/>
                <w:sz w:val="26"/>
                <w:szCs w:val="26"/>
              </w:rPr>
              <w:t>0</w:t>
            </w:r>
          </w:p>
        </w:tc>
        <w:tc>
          <w:tcPr>
            <w:tcW w:w="1800" w:type="dxa"/>
            <w:tcBorders>
              <w:bottom w:val="single" w:sz="4" w:space="0" w:color="auto"/>
            </w:tcBorders>
            <w:shd w:val="clear" w:color="auto" w:fill="auto"/>
            <w:vAlign w:val="bottom"/>
          </w:tcPr>
          <w:p w14:paraId="1887CA46" w14:textId="4FA16DCA" w:rsidR="000B6AAE" w:rsidRPr="00254D55" w:rsidRDefault="00A55F2D" w:rsidP="00027B22">
            <w:pPr>
              <w:widowControl/>
              <w:autoSpaceDE/>
              <w:autoSpaceDN/>
              <w:adjustRightInd/>
              <w:jc w:val="right"/>
              <w:rPr>
                <w:rFonts w:eastAsia="Calibri"/>
                <w:sz w:val="26"/>
                <w:szCs w:val="26"/>
              </w:rPr>
            </w:pPr>
            <w:r w:rsidRPr="00A55F2D">
              <w:rPr>
                <w:rFonts w:eastAsia="Calibri"/>
                <w:sz w:val="26"/>
                <w:szCs w:val="26"/>
              </w:rPr>
              <w:t>$0</w:t>
            </w:r>
          </w:p>
        </w:tc>
        <w:tc>
          <w:tcPr>
            <w:tcW w:w="1800" w:type="dxa"/>
            <w:tcBorders>
              <w:bottom w:val="single" w:sz="4" w:space="0" w:color="auto"/>
            </w:tcBorders>
            <w:shd w:val="clear" w:color="auto" w:fill="auto"/>
            <w:vAlign w:val="bottom"/>
          </w:tcPr>
          <w:p w14:paraId="2C67A93C" w14:textId="62BD1AB6" w:rsidR="000B6AAE" w:rsidRPr="00254D55" w:rsidRDefault="00A55F2D" w:rsidP="00027B22">
            <w:pPr>
              <w:widowControl/>
              <w:autoSpaceDE/>
              <w:autoSpaceDN/>
              <w:adjustRightInd/>
              <w:jc w:val="right"/>
              <w:rPr>
                <w:rFonts w:eastAsia="Calibri"/>
                <w:sz w:val="26"/>
                <w:szCs w:val="26"/>
              </w:rPr>
            </w:pPr>
            <w:r w:rsidRPr="00A55F2D">
              <w:rPr>
                <w:rFonts w:eastAsia="Calibri"/>
                <w:sz w:val="26"/>
                <w:szCs w:val="26"/>
              </w:rPr>
              <w:t>$0</w:t>
            </w:r>
          </w:p>
        </w:tc>
      </w:tr>
      <w:tr w:rsidR="00A50333" w:rsidRPr="00254D55" w14:paraId="3DD83309" w14:textId="77777777" w:rsidTr="00027B22">
        <w:trPr>
          <w:trHeight w:val="295"/>
        </w:trPr>
        <w:tc>
          <w:tcPr>
            <w:tcW w:w="9360" w:type="dxa"/>
            <w:gridSpan w:val="5"/>
            <w:tcBorders>
              <w:bottom w:val="single" w:sz="4" w:space="0" w:color="auto"/>
            </w:tcBorders>
            <w:shd w:val="clear" w:color="auto" w:fill="C6D9F1" w:themeFill="text2" w:themeFillTint="33"/>
            <w:vAlign w:val="bottom"/>
          </w:tcPr>
          <w:p w14:paraId="01C0004D" w14:textId="45559A5D" w:rsidR="00A50333" w:rsidRPr="00C75C08" w:rsidRDefault="00A50333" w:rsidP="00027B22">
            <w:pPr>
              <w:widowControl/>
              <w:autoSpaceDE/>
              <w:autoSpaceDN/>
              <w:adjustRightInd/>
              <w:jc w:val="center"/>
              <w:rPr>
                <w:rFonts w:eastAsia="Calibri"/>
                <w:b/>
                <w:sz w:val="26"/>
                <w:szCs w:val="26"/>
              </w:rPr>
            </w:pPr>
            <w:r>
              <w:rPr>
                <w:rFonts w:eastAsia="Calibri"/>
                <w:b/>
                <w:sz w:val="26"/>
                <w:szCs w:val="26"/>
              </w:rPr>
              <w:t>FERC-549C</w:t>
            </w:r>
          </w:p>
        </w:tc>
      </w:tr>
      <w:tr w:rsidR="00A50333" w:rsidRPr="00254D55" w14:paraId="1DA261B3" w14:textId="77777777" w:rsidTr="00DB4391">
        <w:trPr>
          <w:trHeight w:val="295"/>
        </w:trPr>
        <w:tc>
          <w:tcPr>
            <w:tcW w:w="2679" w:type="dxa"/>
            <w:tcBorders>
              <w:bottom w:val="single" w:sz="4" w:space="0" w:color="auto"/>
            </w:tcBorders>
            <w:shd w:val="clear" w:color="auto" w:fill="auto"/>
          </w:tcPr>
          <w:p w14:paraId="2F54B57B" w14:textId="26E538E3" w:rsidR="00A50333" w:rsidRPr="00117A4E" w:rsidRDefault="00A50333" w:rsidP="007009D8">
            <w:pPr>
              <w:widowControl/>
              <w:autoSpaceDE/>
              <w:autoSpaceDN/>
              <w:adjustRightInd/>
              <w:jc w:val="center"/>
              <w:rPr>
                <w:rFonts w:eastAsia="Calibri"/>
                <w:sz w:val="26"/>
                <w:szCs w:val="26"/>
              </w:rPr>
            </w:pPr>
            <w:r w:rsidRPr="00117A4E">
              <w:rPr>
                <w:rFonts w:eastAsia="Calibri"/>
                <w:sz w:val="26"/>
                <w:szCs w:val="26"/>
              </w:rPr>
              <w:t>Annual Number of Responses</w:t>
            </w:r>
            <w:r w:rsidRPr="00117A4E">
              <w:rPr>
                <w:rStyle w:val="FootnoteReference"/>
                <w:rFonts w:eastAsia="Calibri"/>
                <w:sz w:val="26"/>
                <w:szCs w:val="26"/>
              </w:rPr>
              <w:footnoteReference w:id="18"/>
            </w:r>
          </w:p>
        </w:tc>
        <w:tc>
          <w:tcPr>
            <w:tcW w:w="1461" w:type="dxa"/>
            <w:tcBorders>
              <w:bottom w:val="single" w:sz="4" w:space="0" w:color="auto"/>
            </w:tcBorders>
            <w:shd w:val="clear" w:color="auto" w:fill="auto"/>
            <w:vAlign w:val="bottom"/>
          </w:tcPr>
          <w:p w14:paraId="5FC30075" w14:textId="3796ADCF" w:rsidR="00A50333" w:rsidRPr="00117A4E" w:rsidRDefault="003E0CE7" w:rsidP="007A12A8">
            <w:pPr>
              <w:widowControl/>
              <w:autoSpaceDE/>
              <w:autoSpaceDN/>
              <w:adjustRightInd/>
              <w:jc w:val="right"/>
              <w:rPr>
                <w:rFonts w:eastAsia="Calibri"/>
                <w:sz w:val="26"/>
                <w:szCs w:val="26"/>
              </w:rPr>
            </w:pPr>
            <w:r>
              <w:rPr>
                <w:rFonts w:eastAsia="Calibri"/>
                <w:sz w:val="26"/>
                <w:szCs w:val="26"/>
              </w:rPr>
              <w:t>493</w:t>
            </w:r>
          </w:p>
        </w:tc>
        <w:tc>
          <w:tcPr>
            <w:tcW w:w="1620" w:type="dxa"/>
            <w:tcBorders>
              <w:bottom w:val="single" w:sz="4" w:space="0" w:color="auto"/>
            </w:tcBorders>
            <w:shd w:val="clear" w:color="auto" w:fill="auto"/>
            <w:vAlign w:val="bottom"/>
          </w:tcPr>
          <w:p w14:paraId="56F57200" w14:textId="4C99BF78" w:rsidR="00A50333" w:rsidRPr="00117A4E" w:rsidRDefault="007A12A8" w:rsidP="007A12A8">
            <w:pPr>
              <w:widowControl/>
              <w:autoSpaceDE/>
              <w:autoSpaceDN/>
              <w:adjustRightInd/>
              <w:jc w:val="right"/>
              <w:rPr>
                <w:rFonts w:eastAsia="Calibri"/>
                <w:sz w:val="26"/>
                <w:szCs w:val="26"/>
              </w:rPr>
            </w:pPr>
            <w:r w:rsidRPr="00117A4E">
              <w:rPr>
                <w:rFonts w:eastAsia="Calibri"/>
                <w:sz w:val="26"/>
                <w:szCs w:val="26"/>
              </w:rPr>
              <w:t>161</w:t>
            </w:r>
          </w:p>
        </w:tc>
        <w:tc>
          <w:tcPr>
            <w:tcW w:w="1800" w:type="dxa"/>
            <w:tcBorders>
              <w:bottom w:val="single" w:sz="4" w:space="0" w:color="auto"/>
            </w:tcBorders>
            <w:shd w:val="clear" w:color="auto" w:fill="auto"/>
            <w:vAlign w:val="bottom"/>
          </w:tcPr>
          <w:p w14:paraId="2123609D" w14:textId="1035E0A7" w:rsidR="00A50333" w:rsidRPr="00117A4E" w:rsidRDefault="00117A4E" w:rsidP="00DB4391">
            <w:pPr>
              <w:widowControl/>
              <w:autoSpaceDE/>
              <w:autoSpaceDN/>
              <w:adjustRightInd/>
              <w:jc w:val="right"/>
              <w:rPr>
                <w:rFonts w:eastAsia="Calibri"/>
                <w:sz w:val="26"/>
                <w:szCs w:val="26"/>
              </w:rPr>
            </w:pPr>
            <w:r>
              <w:rPr>
                <w:rFonts w:eastAsia="Calibri"/>
                <w:sz w:val="26"/>
                <w:szCs w:val="26"/>
              </w:rPr>
              <w:t>0</w:t>
            </w:r>
          </w:p>
        </w:tc>
        <w:tc>
          <w:tcPr>
            <w:tcW w:w="1800" w:type="dxa"/>
            <w:tcBorders>
              <w:bottom w:val="single" w:sz="4" w:space="0" w:color="auto"/>
            </w:tcBorders>
            <w:shd w:val="clear" w:color="auto" w:fill="auto"/>
            <w:vAlign w:val="bottom"/>
          </w:tcPr>
          <w:p w14:paraId="653E2F1D" w14:textId="2A969EB7" w:rsidR="00A50333" w:rsidRPr="00254D55" w:rsidRDefault="00BE7376" w:rsidP="003E0CE7">
            <w:pPr>
              <w:widowControl/>
              <w:autoSpaceDE/>
              <w:autoSpaceDN/>
              <w:adjustRightInd/>
              <w:jc w:val="right"/>
              <w:rPr>
                <w:rFonts w:eastAsia="Calibri"/>
                <w:sz w:val="26"/>
                <w:szCs w:val="26"/>
              </w:rPr>
            </w:pPr>
            <w:r w:rsidRPr="00BE7376">
              <w:rPr>
                <w:rFonts w:eastAsia="Calibri"/>
                <w:sz w:val="26"/>
                <w:szCs w:val="26"/>
              </w:rPr>
              <w:t>+</w:t>
            </w:r>
            <w:r w:rsidR="003E0CE7">
              <w:rPr>
                <w:rFonts w:eastAsia="Calibri"/>
                <w:sz w:val="26"/>
                <w:szCs w:val="26"/>
              </w:rPr>
              <w:t>332</w:t>
            </w:r>
          </w:p>
        </w:tc>
      </w:tr>
      <w:tr w:rsidR="00A50333" w:rsidRPr="00254D55" w14:paraId="1206539E" w14:textId="77777777" w:rsidTr="00DB4391">
        <w:trPr>
          <w:trHeight w:val="295"/>
        </w:trPr>
        <w:tc>
          <w:tcPr>
            <w:tcW w:w="2679" w:type="dxa"/>
            <w:tcBorders>
              <w:bottom w:val="single" w:sz="4" w:space="0" w:color="auto"/>
            </w:tcBorders>
            <w:shd w:val="clear" w:color="auto" w:fill="auto"/>
          </w:tcPr>
          <w:p w14:paraId="6EB5DBD4" w14:textId="17C29B35" w:rsidR="00A50333" w:rsidRPr="00254D55" w:rsidRDefault="00A50333" w:rsidP="007009D8">
            <w:pPr>
              <w:widowControl/>
              <w:autoSpaceDE/>
              <w:autoSpaceDN/>
              <w:adjustRightInd/>
              <w:jc w:val="center"/>
              <w:rPr>
                <w:rFonts w:eastAsia="Calibri"/>
                <w:sz w:val="26"/>
                <w:szCs w:val="26"/>
              </w:rPr>
            </w:pPr>
            <w:r w:rsidRPr="00254D55">
              <w:rPr>
                <w:rFonts w:eastAsia="Calibri"/>
                <w:sz w:val="26"/>
                <w:szCs w:val="26"/>
              </w:rPr>
              <w:t>Annual Time Burden (Hr.)</w:t>
            </w:r>
            <w:r w:rsidRPr="00254D55">
              <w:rPr>
                <w:rStyle w:val="FootnoteReference"/>
                <w:rFonts w:eastAsia="Calibri"/>
                <w:sz w:val="26"/>
                <w:szCs w:val="26"/>
              </w:rPr>
              <w:footnoteReference w:id="19"/>
            </w:r>
          </w:p>
        </w:tc>
        <w:tc>
          <w:tcPr>
            <w:tcW w:w="1461" w:type="dxa"/>
            <w:tcBorders>
              <w:bottom w:val="single" w:sz="4" w:space="0" w:color="auto"/>
            </w:tcBorders>
            <w:shd w:val="clear" w:color="auto" w:fill="auto"/>
            <w:vAlign w:val="bottom"/>
          </w:tcPr>
          <w:p w14:paraId="51BF5989" w14:textId="7C1D31BE" w:rsidR="00A50333" w:rsidRPr="001F374E" w:rsidRDefault="00BE7376" w:rsidP="00DB4391">
            <w:pPr>
              <w:widowControl/>
              <w:autoSpaceDE/>
              <w:autoSpaceDN/>
              <w:adjustRightInd/>
              <w:jc w:val="right"/>
              <w:rPr>
                <w:bCs/>
                <w:sz w:val="26"/>
                <w:szCs w:val="26"/>
              </w:rPr>
            </w:pPr>
            <w:r w:rsidRPr="00BE7376">
              <w:rPr>
                <w:sz w:val="26"/>
                <w:szCs w:val="26"/>
              </w:rPr>
              <w:t>88,360</w:t>
            </w:r>
          </w:p>
        </w:tc>
        <w:tc>
          <w:tcPr>
            <w:tcW w:w="1620" w:type="dxa"/>
            <w:tcBorders>
              <w:bottom w:val="single" w:sz="4" w:space="0" w:color="auto"/>
            </w:tcBorders>
            <w:shd w:val="clear" w:color="auto" w:fill="auto"/>
            <w:vAlign w:val="bottom"/>
          </w:tcPr>
          <w:p w14:paraId="34DAD0D6" w14:textId="6FB1523F" w:rsidR="00A50333" w:rsidRPr="00254D55" w:rsidRDefault="00BE7376" w:rsidP="00DB4391">
            <w:pPr>
              <w:widowControl/>
              <w:autoSpaceDE/>
              <w:autoSpaceDN/>
              <w:adjustRightInd/>
              <w:jc w:val="right"/>
              <w:rPr>
                <w:rFonts w:eastAsia="Calibri"/>
                <w:sz w:val="26"/>
                <w:szCs w:val="26"/>
              </w:rPr>
            </w:pPr>
            <w:r w:rsidRPr="00BE7376">
              <w:rPr>
                <w:rFonts w:eastAsia="Calibri"/>
                <w:sz w:val="26"/>
                <w:szCs w:val="26"/>
              </w:rPr>
              <w:t>14,490</w:t>
            </w:r>
          </w:p>
        </w:tc>
        <w:tc>
          <w:tcPr>
            <w:tcW w:w="1800" w:type="dxa"/>
            <w:tcBorders>
              <w:bottom w:val="single" w:sz="4" w:space="0" w:color="auto"/>
            </w:tcBorders>
            <w:shd w:val="clear" w:color="auto" w:fill="auto"/>
            <w:vAlign w:val="bottom"/>
          </w:tcPr>
          <w:p w14:paraId="498A6314" w14:textId="7DF81139" w:rsidR="00A50333" w:rsidRPr="00254D55" w:rsidRDefault="00117A4E" w:rsidP="00DB4391">
            <w:pPr>
              <w:widowControl/>
              <w:autoSpaceDE/>
              <w:autoSpaceDN/>
              <w:adjustRightInd/>
              <w:jc w:val="right"/>
              <w:rPr>
                <w:rFonts w:eastAsia="Calibri"/>
                <w:sz w:val="26"/>
                <w:szCs w:val="26"/>
              </w:rPr>
            </w:pPr>
            <w:r>
              <w:rPr>
                <w:rFonts w:eastAsia="Calibri"/>
                <w:sz w:val="26"/>
                <w:szCs w:val="26"/>
              </w:rPr>
              <w:t>0</w:t>
            </w:r>
          </w:p>
        </w:tc>
        <w:tc>
          <w:tcPr>
            <w:tcW w:w="1800" w:type="dxa"/>
            <w:tcBorders>
              <w:bottom w:val="single" w:sz="4" w:space="0" w:color="auto"/>
            </w:tcBorders>
            <w:shd w:val="clear" w:color="auto" w:fill="auto"/>
            <w:vAlign w:val="bottom"/>
          </w:tcPr>
          <w:p w14:paraId="5D07DF17" w14:textId="19BA4966" w:rsidR="00A50333" w:rsidRPr="001F374E" w:rsidRDefault="000B1D13" w:rsidP="00DB4391">
            <w:pPr>
              <w:widowControl/>
              <w:autoSpaceDE/>
              <w:autoSpaceDN/>
              <w:adjustRightInd/>
              <w:jc w:val="right"/>
              <w:rPr>
                <w:bCs/>
                <w:sz w:val="26"/>
                <w:szCs w:val="26"/>
              </w:rPr>
            </w:pPr>
            <w:r>
              <w:rPr>
                <w:bCs/>
                <w:sz w:val="26"/>
                <w:szCs w:val="26"/>
              </w:rPr>
              <w:t>+</w:t>
            </w:r>
            <w:r w:rsidR="00BE7376" w:rsidRPr="00BE7376">
              <w:rPr>
                <w:bCs/>
                <w:sz w:val="26"/>
                <w:szCs w:val="26"/>
              </w:rPr>
              <w:t>73,870</w:t>
            </w:r>
          </w:p>
        </w:tc>
      </w:tr>
      <w:tr w:rsidR="00A55F2D" w:rsidRPr="00254D55" w14:paraId="17348C4C" w14:textId="77777777" w:rsidTr="00DB4391">
        <w:trPr>
          <w:trHeight w:val="295"/>
        </w:trPr>
        <w:tc>
          <w:tcPr>
            <w:tcW w:w="2679" w:type="dxa"/>
            <w:tcBorders>
              <w:bottom w:val="single" w:sz="4" w:space="0" w:color="auto"/>
            </w:tcBorders>
            <w:shd w:val="clear" w:color="auto" w:fill="auto"/>
          </w:tcPr>
          <w:p w14:paraId="073C8A96" w14:textId="55F6F555" w:rsidR="00A55F2D" w:rsidRPr="00254D55" w:rsidRDefault="00A55F2D" w:rsidP="007009D8">
            <w:pPr>
              <w:widowControl/>
              <w:autoSpaceDE/>
              <w:autoSpaceDN/>
              <w:adjustRightInd/>
              <w:jc w:val="center"/>
              <w:rPr>
                <w:rFonts w:eastAsia="Calibri"/>
                <w:sz w:val="26"/>
                <w:szCs w:val="26"/>
              </w:rPr>
            </w:pPr>
            <w:r w:rsidRPr="00254D55">
              <w:rPr>
                <w:rFonts w:eastAsia="Calibri"/>
                <w:sz w:val="26"/>
                <w:szCs w:val="26"/>
              </w:rPr>
              <w:t>Annual Cost Burden ($)</w:t>
            </w:r>
          </w:p>
        </w:tc>
        <w:tc>
          <w:tcPr>
            <w:tcW w:w="1461" w:type="dxa"/>
            <w:tcBorders>
              <w:bottom w:val="single" w:sz="4" w:space="0" w:color="auto"/>
            </w:tcBorders>
            <w:shd w:val="clear" w:color="auto" w:fill="auto"/>
            <w:vAlign w:val="bottom"/>
          </w:tcPr>
          <w:p w14:paraId="389D4507" w14:textId="0BD5FDFC" w:rsidR="00A55F2D" w:rsidRPr="00254D55" w:rsidRDefault="00A55F2D" w:rsidP="00DB4391">
            <w:pPr>
              <w:widowControl/>
              <w:autoSpaceDE/>
              <w:autoSpaceDN/>
              <w:adjustRightInd/>
              <w:jc w:val="right"/>
              <w:rPr>
                <w:rFonts w:eastAsia="Calibri"/>
                <w:sz w:val="26"/>
                <w:szCs w:val="26"/>
              </w:rPr>
            </w:pPr>
            <w:r w:rsidRPr="00B325A1">
              <w:t>$0</w:t>
            </w:r>
          </w:p>
        </w:tc>
        <w:tc>
          <w:tcPr>
            <w:tcW w:w="1620" w:type="dxa"/>
            <w:tcBorders>
              <w:bottom w:val="single" w:sz="4" w:space="0" w:color="auto"/>
            </w:tcBorders>
            <w:shd w:val="clear" w:color="auto" w:fill="auto"/>
            <w:vAlign w:val="bottom"/>
          </w:tcPr>
          <w:p w14:paraId="046E01A7" w14:textId="2B7D61F9" w:rsidR="00A55F2D" w:rsidRPr="00254D55" w:rsidRDefault="00A55F2D" w:rsidP="00DB4391">
            <w:pPr>
              <w:widowControl/>
              <w:autoSpaceDE/>
              <w:autoSpaceDN/>
              <w:adjustRightInd/>
              <w:jc w:val="right"/>
              <w:rPr>
                <w:rFonts w:eastAsia="Calibri"/>
                <w:sz w:val="26"/>
                <w:szCs w:val="26"/>
              </w:rPr>
            </w:pPr>
            <w:r w:rsidRPr="00B325A1">
              <w:t>$0</w:t>
            </w:r>
          </w:p>
        </w:tc>
        <w:tc>
          <w:tcPr>
            <w:tcW w:w="1800" w:type="dxa"/>
            <w:tcBorders>
              <w:bottom w:val="single" w:sz="4" w:space="0" w:color="auto"/>
            </w:tcBorders>
            <w:shd w:val="clear" w:color="auto" w:fill="auto"/>
            <w:vAlign w:val="bottom"/>
          </w:tcPr>
          <w:p w14:paraId="0B420A8F" w14:textId="0424547E" w:rsidR="00A55F2D" w:rsidRPr="00254D55" w:rsidRDefault="00A55F2D" w:rsidP="00DB4391">
            <w:pPr>
              <w:widowControl/>
              <w:autoSpaceDE/>
              <w:autoSpaceDN/>
              <w:adjustRightInd/>
              <w:jc w:val="right"/>
              <w:rPr>
                <w:rFonts w:eastAsia="Calibri"/>
                <w:sz w:val="26"/>
                <w:szCs w:val="26"/>
              </w:rPr>
            </w:pPr>
            <w:r w:rsidRPr="00B325A1">
              <w:t>$0</w:t>
            </w:r>
          </w:p>
        </w:tc>
        <w:tc>
          <w:tcPr>
            <w:tcW w:w="1800" w:type="dxa"/>
            <w:tcBorders>
              <w:bottom w:val="single" w:sz="4" w:space="0" w:color="auto"/>
            </w:tcBorders>
            <w:shd w:val="clear" w:color="auto" w:fill="auto"/>
            <w:vAlign w:val="bottom"/>
          </w:tcPr>
          <w:p w14:paraId="7F9BCDD6" w14:textId="00CA20BF" w:rsidR="00A55F2D" w:rsidRPr="00254D55" w:rsidRDefault="00A55F2D" w:rsidP="00DB4391">
            <w:pPr>
              <w:widowControl/>
              <w:autoSpaceDE/>
              <w:autoSpaceDN/>
              <w:adjustRightInd/>
              <w:jc w:val="right"/>
              <w:rPr>
                <w:rFonts w:eastAsia="Calibri"/>
                <w:sz w:val="26"/>
                <w:szCs w:val="26"/>
              </w:rPr>
            </w:pPr>
            <w:r w:rsidRPr="00B325A1">
              <w:t>$0</w:t>
            </w:r>
          </w:p>
        </w:tc>
      </w:tr>
    </w:tbl>
    <w:p w14:paraId="00944E62" w14:textId="6F539504" w:rsidR="000B6AAE" w:rsidRDefault="000B6AAE">
      <w:pPr>
        <w:rPr>
          <w:sz w:val="26"/>
          <w:szCs w:val="26"/>
        </w:rPr>
      </w:pPr>
    </w:p>
    <w:p w14:paraId="2EE7FD59" w14:textId="74889FAE" w:rsidR="00DC221C" w:rsidRDefault="00DC221C">
      <w:pPr>
        <w:rPr>
          <w:sz w:val="26"/>
          <w:szCs w:val="26"/>
        </w:rPr>
      </w:pPr>
    </w:p>
    <w:p w14:paraId="14EF11AE" w14:textId="77777777" w:rsidR="00CA3B99" w:rsidRPr="00DA6CEC" w:rsidRDefault="00CA3B99" w:rsidP="00950A39">
      <w:pPr>
        <w:widowControl/>
        <w:numPr>
          <w:ilvl w:val="0"/>
          <w:numId w:val="12"/>
        </w:numPr>
        <w:tabs>
          <w:tab w:val="clear" w:pos="1080"/>
          <w:tab w:val="num" w:pos="360"/>
        </w:tabs>
        <w:ind w:left="360"/>
        <w:rPr>
          <w:b/>
          <w:sz w:val="26"/>
          <w:szCs w:val="26"/>
        </w:rPr>
      </w:pPr>
      <w:r w:rsidRPr="00DA6CEC">
        <w:rPr>
          <w:b/>
          <w:sz w:val="26"/>
          <w:szCs w:val="26"/>
        </w:rPr>
        <w:t>TIME SCHEDULE FOR PUBLICATION OF DATA</w:t>
      </w:r>
    </w:p>
    <w:p w14:paraId="32860B97" w14:textId="77777777" w:rsidR="00CA3B99" w:rsidRPr="00DA6CEC" w:rsidRDefault="00CA3B99" w:rsidP="00541D01">
      <w:pPr>
        <w:widowControl/>
        <w:ind w:left="720"/>
        <w:rPr>
          <w:b/>
          <w:sz w:val="26"/>
          <w:szCs w:val="26"/>
        </w:rPr>
      </w:pPr>
    </w:p>
    <w:p w14:paraId="5B776F5A" w14:textId="77777777" w:rsidR="00CA3B99" w:rsidRPr="00DA6CEC" w:rsidRDefault="00CA3B99" w:rsidP="00541D01">
      <w:pPr>
        <w:widowControl/>
        <w:rPr>
          <w:sz w:val="26"/>
          <w:szCs w:val="26"/>
        </w:rPr>
      </w:pPr>
      <w:r>
        <w:rPr>
          <w:b/>
          <w:sz w:val="26"/>
          <w:szCs w:val="26"/>
        </w:rPr>
        <w:t>FERC-545</w:t>
      </w:r>
      <w:r w:rsidR="00CA74CA">
        <w:rPr>
          <w:b/>
          <w:sz w:val="26"/>
          <w:szCs w:val="26"/>
        </w:rPr>
        <w:t xml:space="preserve"> and</w:t>
      </w:r>
      <w:r>
        <w:rPr>
          <w:b/>
          <w:sz w:val="26"/>
          <w:szCs w:val="26"/>
        </w:rPr>
        <w:t xml:space="preserve"> FERC-549</w:t>
      </w:r>
      <w:r w:rsidR="0074677E">
        <w:rPr>
          <w:b/>
          <w:sz w:val="26"/>
          <w:szCs w:val="26"/>
        </w:rPr>
        <w:t>C</w:t>
      </w:r>
      <w:r>
        <w:rPr>
          <w:b/>
          <w:sz w:val="26"/>
          <w:szCs w:val="26"/>
        </w:rPr>
        <w:t xml:space="preserve">.  </w:t>
      </w:r>
      <w:r w:rsidRPr="00DA6CEC">
        <w:rPr>
          <w:sz w:val="26"/>
          <w:szCs w:val="26"/>
        </w:rPr>
        <w:t>There are no publications of the information.</w:t>
      </w:r>
    </w:p>
    <w:p w14:paraId="0FF7C530" w14:textId="77777777" w:rsidR="00CA3B99" w:rsidRPr="00DA6CEC" w:rsidRDefault="00CA3B99" w:rsidP="00541D01">
      <w:pPr>
        <w:widowControl/>
        <w:ind w:firstLine="720"/>
        <w:rPr>
          <w:sz w:val="26"/>
          <w:szCs w:val="26"/>
        </w:rPr>
      </w:pPr>
    </w:p>
    <w:p w14:paraId="2F546EB9" w14:textId="77777777" w:rsidR="00CA3B99" w:rsidRPr="00DA6CEC" w:rsidRDefault="00CA3B99" w:rsidP="00950A39">
      <w:pPr>
        <w:widowControl/>
        <w:tabs>
          <w:tab w:val="left" w:pos="360"/>
        </w:tabs>
        <w:ind w:left="360" w:hanging="360"/>
        <w:rPr>
          <w:b/>
          <w:sz w:val="26"/>
          <w:szCs w:val="26"/>
        </w:rPr>
      </w:pPr>
      <w:r w:rsidRPr="00DA6CEC">
        <w:rPr>
          <w:b/>
          <w:sz w:val="26"/>
          <w:szCs w:val="26"/>
        </w:rPr>
        <w:t>17.</w:t>
      </w:r>
      <w:r w:rsidRPr="00DA6CEC">
        <w:rPr>
          <w:sz w:val="26"/>
          <w:szCs w:val="26"/>
        </w:rPr>
        <w:tab/>
      </w:r>
      <w:r w:rsidRPr="00DA6CEC">
        <w:rPr>
          <w:b/>
          <w:sz w:val="26"/>
          <w:szCs w:val="26"/>
        </w:rPr>
        <w:t>DISPLAY OF EXPIRATION DATE</w:t>
      </w:r>
    </w:p>
    <w:p w14:paraId="55287018" w14:textId="77777777" w:rsidR="00CA3B99" w:rsidRPr="00DA6CEC" w:rsidRDefault="00CA3B99" w:rsidP="00541D01">
      <w:pPr>
        <w:widowControl/>
        <w:rPr>
          <w:sz w:val="26"/>
          <w:szCs w:val="26"/>
        </w:rPr>
      </w:pPr>
    </w:p>
    <w:p w14:paraId="0B612E1A" w14:textId="77777777" w:rsidR="00C74A22" w:rsidRPr="00F969B0" w:rsidRDefault="00CA3B99" w:rsidP="00CA74CA">
      <w:pPr>
        <w:widowControl/>
        <w:rPr>
          <w:rFonts w:eastAsia="Calibri"/>
          <w:sz w:val="26"/>
          <w:szCs w:val="26"/>
        </w:rPr>
      </w:pPr>
      <w:r w:rsidRPr="0074677E">
        <w:rPr>
          <w:b/>
          <w:sz w:val="26"/>
          <w:szCs w:val="26"/>
        </w:rPr>
        <w:t>FERC-545</w:t>
      </w:r>
      <w:r w:rsidR="00CA74CA" w:rsidRPr="0074677E">
        <w:rPr>
          <w:b/>
          <w:sz w:val="26"/>
          <w:szCs w:val="26"/>
        </w:rPr>
        <w:t xml:space="preserve"> and</w:t>
      </w:r>
      <w:r w:rsidRPr="0074677E">
        <w:rPr>
          <w:b/>
          <w:sz w:val="26"/>
          <w:szCs w:val="26"/>
        </w:rPr>
        <w:t xml:space="preserve"> FERC-549</w:t>
      </w:r>
      <w:r w:rsidR="0074677E">
        <w:rPr>
          <w:b/>
          <w:sz w:val="26"/>
          <w:szCs w:val="26"/>
        </w:rPr>
        <w:t>C</w:t>
      </w:r>
      <w:r w:rsidRPr="0074677E">
        <w:rPr>
          <w:b/>
          <w:sz w:val="26"/>
          <w:szCs w:val="26"/>
        </w:rPr>
        <w:t xml:space="preserve">.  </w:t>
      </w:r>
      <w:r w:rsidRPr="0074677E">
        <w:rPr>
          <w:sz w:val="26"/>
          <w:szCs w:val="26"/>
        </w:rPr>
        <w:t xml:space="preserve">The expiration dates are displayed on </w:t>
      </w:r>
      <w:r w:rsidR="009400A1" w:rsidRPr="0074677E">
        <w:rPr>
          <w:sz w:val="26"/>
          <w:szCs w:val="26"/>
        </w:rPr>
        <w:t xml:space="preserve">ferc.gov </w:t>
      </w:r>
      <w:r w:rsidR="0074677E" w:rsidRPr="0074677E">
        <w:rPr>
          <w:sz w:val="26"/>
          <w:szCs w:val="26"/>
        </w:rPr>
        <w:t>with links to the updated table from</w:t>
      </w:r>
      <w:r w:rsidR="009400A1" w:rsidRPr="0074677E">
        <w:rPr>
          <w:sz w:val="26"/>
          <w:szCs w:val="26"/>
        </w:rPr>
        <w:t xml:space="preserve"> </w:t>
      </w:r>
      <w:hyperlink r:id="rId13" w:history="1">
        <w:r w:rsidR="0074677E" w:rsidRPr="0074677E">
          <w:rPr>
            <w:rStyle w:val="Hyperlink"/>
            <w:sz w:val="26"/>
            <w:szCs w:val="26"/>
          </w:rPr>
          <w:t>http://www.ferc.gov/docs-filing/info-collections.asp</w:t>
        </w:r>
      </w:hyperlink>
      <w:r w:rsidR="0074677E" w:rsidRPr="0074677E">
        <w:rPr>
          <w:sz w:val="26"/>
          <w:szCs w:val="26"/>
        </w:rPr>
        <w:t xml:space="preserve"> .</w:t>
      </w:r>
    </w:p>
    <w:p w14:paraId="2A3245B5" w14:textId="77777777" w:rsidR="00CA3B99" w:rsidRPr="00DA6CEC" w:rsidRDefault="00CA3B99" w:rsidP="00541D01">
      <w:pPr>
        <w:widowControl/>
        <w:rPr>
          <w:sz w:val="26"/>
          <w:szCs w:val="26"/>
        </w:rPr>
      </w:pPr>
    </w:p>
    <w:p w14:paraId="65A8F550" w14:textId="3862BF56" w:rsidR="00CA3B99" w:rsidRPr="00DA6CEC" w:rsidRDefault="00CA3B99" w:rsidP="00950A39">
      <w:pPr>
        <w:widowControl/>
        <w:numPr>
          <w:ilvl w:val="0"/>
          <w:numId w:val="13"/>
        </w:numPr>
        <w:tabs>
          <w:tab w:val="clear" w:pos="1080"/>
          <w:tab w:val="num" w:pos="360"/>
        </w:tabs>
        <w:ind w:left="360"/>
        <w:rPr>
          <w:b/>
          <w:sz w:val="26"/>
          <w:szCs w:val="26"/>
        </w:rPr>
      </w:pPr>
      <w:r w:rsidRPr="00DA6CEC">
        <w:rPr>
          <w:b/>
          <w:sz w:val="26"/>
          <w:szCs w:val="26"/>
        </w:rPr>
        <w:t>EXCEPTIONS TO THE CERTIFICATION STATEMENT</w:t>
      </w:r>
    </w:p>
    <w:p w14:paraId="1DD7DF9F" w14:textId="77777777" w:rsidR="00CA3B99" w:rsidRPr="00DA6CEC" w:rsidRDefault="00CA3B99" w:rsidP="00541D01">
      <w:pPr>
        <w:widowControl/>
        <w:ind w:firstLine="720"/>
        <w:rPr>
          <w:sz w:val="26"/>
          <w:szCs w:val="26"/>
        </w:rPr>
      </w:pPr>
    </w:p>
    <w:p w14:paraId="7DAA9D44" w14:textId="77777777" w:rsidR="00CA3B99" w:rsidRPr="00DA6CEC" w:rsidRDefault="00CA3B99" w:rsidP="00541D01">
      <w:pPr>
        <w:widowControl/>
        <w:rPr>
          <w:sz w:val="26"/>
          <w:szCs w:val="26"/>
        </w:rPr>
      </w:pPr>
      <w:r>
        <w:rPr>
          <w:b/>
          <w:sz w:val="26"/>
          <w:szCs w:val="26"/>
        </w:rPr>
        <w:t>FERC-545</w:t>
      </w:r>
      <w:r w:rsidR="0074677E">
        <w:rPr>
          <w:b/>
          <w:sz w:val="26"/>
          <w:szCs w:val="26"/>
        </w:rPr>
        <w:t xml:space="preserve"> and</w:t>
      </w:r>
      <w:r>
        <w:rPr>
          <w:b/>
          <w:sz w:val="26"/>
          <w:szCs w:val="26"/>
        </w:rPr>
        <w:t xml:space="preserve"> FERC-549</w:t>
      </w:r>
      <w:r w:rsidR="0074677E">
        <w:rPr>
          <w:b/>
          <w:sz w:val="26"/>
          <w:szCs w:val="26"/>
        </w:rPr>
        <w:t>C</w:t>
      </w:r>
      <w:r>
        <w:rPr>
          <w:b/>
          <w:sz w:val="26"/>
          <w:szCs w:val="26"/>
        </w:rPr>
        <w:t xml:space="preserve">.  </w:t>
      </w:r>
      <w:r w:rsidRPr="00DA6CEC">
        <w:rPr>
          <w:sz w:val="26"/>
          <w:szCs w:val="26"/>
        </w:rPr>
        <w:t>Th</w:t>
      </w:r>
      <w:r>
        <w:rPr>
          <w:sz w:val="26"/>
          <w:szCs w:val="26"/>
        </w:rPr>
        <w:t>ese</w:t>
      </w:r>
      <w:r w:rsidRPr="00DA6CEC">
        <w:rPr>
          <w:sz w:val="26"/>
          <w:szCs w:val="26"/>
        </w:rPr>
        <w:t xml:space="preserve"> information collection</w:t>
      </w:r>
      <w:r>
        <w:rPr>
          <w:sz w:val="26"/>
          <w:szCs w:val="26"/>
        </w:rPr>
        <w:t>s do</w:t>
      </w:r>
      <w:r w:rsidRPr="00DA6CEC">
        <w:rPr>
          <w:sz w:val="26"/>
          <w:szCs w:val="26"/>
        </w:rPr>
        <w:t xml:space="preserve"> not employ statistical met</w:t>
      </w:r>
      <w:r>
        <w:rPr>
          <w:sz w:val="26"/>
          <w:szCs w:val="26"/>
        </w:rPr>
        <w:t>hods.</w:t>
      </w:r>
    </w:p>
    <w:p w14:paraId="156036FC" w14:textId="77777777" w:rsidR="00CA3B99" w:rsidRPr="00231159" w:rsidRDefault="00CA3B99">
      <w:pPr>
        <w:rPr>
          <w:sz w:val="26"/>
          <w:szCs w:val="26"/>
        </w:rPr>
      </w:pPr>
    </w:p>
    <w:sectPr w:rsidR="00CA3B99" w:rsidRPr="00231159" w:rsidSect="00763EDA">
      <w:headerReference w:type="default" r:id="rId14"/>
      <w:footerReference w:type="default" r:id="rId15"/>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D6DC12" w15:done="0"/>
  <w15:commentEx w15:paraId="4FA8804C" w15:done="0"/>
  <w15:commentEx w15:paraId="4DB73A29" w15:done="0"/>
  <w15:commentEx w15:paraId="31548DDC" w15:done="0"/>
  <w15:commentEx w15:paraId="10131B52" w15:done="0"/>
  <w15:commentEx w15:paraId="4AD5C3B4" w15:done="0"/>
  <w15:commentEx w15:paraId="558D08E5" w15:done="0"/>
  <w15:commentEx w15:paraId="5BE15866" w15:done="0"/>
  <w15:commentEx w15:paraId="66DD50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362E1" w14:textId="77777777" w:rsidR="00212B42" w:rsidRDefault="00212B42" w:rsidP="00A3065F">
      <w:r>
        <w:separator/>
      </w:r>
    </w:p>
  </w:endnote>
  <w:endnote w:type="continuationSeparator" w:id="0">
    <w:p w14:paraId="5FFABA8A" w14:textId="77777777" w:rsidR="00212B42" w:rsidRDefault="00212B42" w:rsidP="00A3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7283"/>
      <w:docPartObj>
        <w:docPartGallery w:val="Page Numbers (Bottom of Page)"/>
        <w:docPartUnique/>
      </w:docPartObj>
    </w:sdtPr>
    <w:sdtEndPr>
      <w:rPr>
        <w:noProof/>
      </w:rPr>
    </w:sdtEndPr>
    <w:sdtContent>
      <w:p w14:paraId="463D5539" w14:textId="77777777" w:rsidR="002E3598" w:rsidRDefault="002E3598">
        <w:pPr>
          <w:pStyle w:val="Footer"/>
          <w:jc w:val="right"/>
        </w:pPr>
        <w:r>
          <w:fldChar w:fldCharType="begin"/>
        </w:r>
        <w:r>
          <w:instrText xml:space="preserve"> PAGE   \* MERGEFORMAT </w:instrText>
        </w:r>
        <w:r>
          <w:fldChar w:fldCharType="separate"/>
        </w:r>
        <w:r w:rsidR="002427F7">
          <w:rPr>
            <w:noProof/>
          </w:rPr>
          <w:t>1</w:t>
        </w:r>
        <w:r>
          <w:rPr>
            <w:noProof/>
          </w:rPr>
          <w:fldChar w:fldCharType="end"/>
        </w:r>
      </w:p>
    </w:sdtContent>
  </w:sdt>
  <w:p w14:paraId="39FB53EF" w14:textId="77777777" w:rsidR="00A02247" w:rsidRDefault="00A02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70465" w14:textId="77777777" w:rsidR="00212B42" w:rsidRDefault="00212B42" w:rsidP="00A3065F">
      <w:r>
        <w:separator/>
      </w:r>
    </w:p>
  </w:footnote>
  <w:footnote w:type="continuationSeparator" w:id="0">
    <w:p w14:paraId="4675D489" w14:textId="77777777" w:rsidR="00212B42" w:rsidRDefault="00212B42" w:rsidP="00A3065F">
      <w:r>
        <w:continuationSeparator/>
      </w:r>
    </w:p>
  </w:footnote>
  <w:footnote w:id="1">
    <w:p w14:paraId="3BDB9BA9" w14:textId="77777777" w:rsidR="0003164C" w:rsidRPr="0003164C" w:rsidRDefault="0003164C">
      <w:pPr>
        <w:pStyle w:val="FootnoteText"/>
        <w:rPr>
          <w:sz w:val="24"/>
          <w:szCs w:val="24"/>
        </w:rPr>
      </w:pPr>
      <w:r w:rsidRPr="0003164C">
        <w:rPr>
          <w:rStyle w:val="FootnoteReference"/>
          <w:sz w:val="24"/>
          <w:szCs w:val="24"/>
        </w:rPr>
        <w:footnoteRef/>
      </w:r>
      <w:r w:rsidRPr="0003164C">
        <w:rPr>
          <w:sz w:val="24"/>
          <w:szCs w:val="24"/>
        </w:rPr>
        <w:t xml:space="preserve"> The reforms proposed </w:t>
      </w:r>
      <w:r>
        <w:rPr>
          <w:sz w:val="24"/>
          <w:szCs w:val="24"/>
        </w:rPr>
        <w:t>in this NOPR</w:t>
      </w:r>
      <w:r w:rsidRPr="0003164C">
        <w:rPr>
          <w:sz w:val="24"/>
          <w:szCs w:val="24"/>
        </w:rPr>
        <w:t xml:space="preserve"> </w:t>
      </w:r>
      <w:r>
        <w:rPr>
          <w:sz w:val="24"/>
          <w:szCs w:val="24"/>
        </w:rPr>
        <w:t>(</w:t>
      </w:r>
      <w:r w:rsidRPr="0003164C">
        <w:rPr>
          <w:sz w:val="24"/>
          <w:szCs w:val="24"/>
        </w:rPr>
        <w:t xml:space="preserve">and two </w:t>
      </w:r>
      <w:r>
        <w:rPr>
          <w:sz w:val="24"/>
          <w:szCs w:val="24"/>
        </w:rPr>
        <w:t xml:space="preserve">separate </w:t>
      </w:r>
      <w:r w:rsidRPr="0003164C">
        <w:rPr>
          <w:sz w:val="24"/>
          <w:szCs w:val="24"/>
        </w:rPr>
        <w:t>contemporaneous orders</w:t>
      </w:r>
      <w:r>
        <w:rPr>
          <w:sz w:val="24"/>
          <w:szCs w:val="24"/>
        </w:rPr>
        <w:t>)</w:t>
      </w:r>
      <w:r w:rsidRPr="0003164C">
        <w:rPr>
          <w:sz w:val="24"/>
          <w:szCs w:val="24"/>
        </w:rPr>
        <w:t xml:space="preserve"> build upon the comments made during Commission staff technical conferences and</w:t>
      </w:r>
      <w:r>
        <w:rPr>
          <w:sz w:val="24"/>
          <w:szCs w:val="24"/>
        </w:rPr>
        <w:t xml:space="preserve"> in comments filed in Docket</w:t>
      </w:r>
      <w:r w:rsidRPr="0003164C">
        <w:rPr>
          <w:sz w:val="24"/>
          <w:szCs w:val="24"/>
        </w:rPr>
        <w:t xml:space="preserve"> </w:t>
      </w:r>
      <w:r w:rsidR="00EB3A79">
        <w:rPr>
          <w:sz w:val="24"/>
          <w:szCs w:val="24"/>
        </w:rPr>
        <w:t xml:space="preserve">No. </w:t>
      </w:r>
      <w:r w:rsidRPr="0003164C">
        <w:rPr>
          <w:sz w:val="24"/>
          <w:szCs w:val="24"/>
        </w:rPr>
        <w:t>AD12-12-000.</w:t>
      </w:r>
      <w:r>
        <w:rPr>
          <w:sz w:val="24"/>
          <w:szCs w:val="24"/>
        </w:rPr>
        <w:t xml:space="preserve">  Additional information on Docket AD12-12 is available in FERC’s eLibrary.</w:t>
      </w:r>
    </w:p>
  </w:footnote>
  <w:footnote w:id="2">
    <w:p w14:paraId="72EF63BB" w14:textId="77777777" w:rsidR="00127317" w:rsidRDefault="00127317" w:rsidP="00127317">
      <w:pPr>
        <w:rPr>
          <w:sz w:val="26"/>
          <w:szCs w:val="26"/>
        </w:rPr>
      </w:pPr>
      <w:r>
        <w:rPr>
          <w:rStyle w:val="FootnoteReference"/>
        </w:rPr>
        <w:footnoteRef/>
      </w:r>
      <w:r>
        <w:t xml:space="preserve"> </w:t>
      </w:r>
      <w:r w:rsidRPr="0019793D">
        <w:t>FERC-549C was created in Order No. 587 (July 26, 1996, 61 FR 39053) because interstate pipelines were required to adopt certain standards for business practices that required changes in the day-to-day operations.  In addition, these standards required pipelines to adopt certain mechanisms for electronic communication between the pipelines and those doing business with the pipelines.</w:t>
      </w:r>
    </w:p>
    <w:p w14:paraId="64D1E5C2" w14:textId="77777777" w:rsidR="00127317" w:rsidRDefault="00127317" w:rsidP="00127317">
      <w:pPr>
        <w:pStyle w:val="FootnoteText"/>
      </w:pPr>
    </w:p>
  </w:footnote>
  <w:footnote w:id="3">
    <w:p w14:paraId="636821CF" w14:textId="77777777" w:rsidR="00D07730" w:rsidRPr="00A27A38" w:rsidRDefault="00A27A38">
      <w:pPr>
        <w:pStyle w:val="FootnoteText"/>
        <w:rPr>
          <w:sz w:val="24"/>
          <w:szCs w:val="24"/>
        </w:rPr>
      </w:pPr>
      <w:r w:rsidRPr="00A27A38">
        <w:rPr>
          <w:rStyle w:val="FootnoteReference"/>
          <w:sz w:val="24"/>
          <w:szCs w:val="24"/>
        </w:rPr>
        <w:footnoteRef/>
      </w:r>
      <w:r w:rsidRPr="00A27A38">
        <w:rPr>
          <w:sz w:val="24"/>
          <w:szCs w:val="24"/>
        </w:rPr>
        <w:t xml:space="preserve"> Additional information is available on NAESB’s website at </w:t>
      </w:r>
      <w:hyperlink r:id="rId1" w:history="1">
        <w:r w:rsidRPr="00A27A38">
          <w:rPr>
            <w:rStyle w:val="Hyperlink"/>
            <w:sz w:val="24"/>
            <w:szCs w:val="24"/>
          </w:rPr>
          <w:t>http://www.naesb.org/</w:t>
        </w:r>
      </w:hyperlink>
      <w:r w:rsidRPr="00A27A38">
        <w:rPr>
          <w:sz w:val="24"/>
          <w:szCs w:val="24"/>
        </w:rPr>
        <w:t xml:space="preserve"> .</w:t>
      </w:r>
      <w:r w:rsidR="00847F01">
        <w:rPr>
          <w:sz w:val="24"/>
          <w:szCs w:val="24"/>
        </w:rPr>
        <w:t xml:space="preserve">  </w:t>
      </w:r>
      <w:r w:rsidR="00D07730">
        <w:rPr>
          <w:sz w:val="24"/>
          <w:szCs w:val="24"/>
        </w:rPr>
        <w:t>NAESB described its standards development process as of 1/29/2013 in “</w:t>
      </w:r>
      <w:r w:rsidR="00D07730" w:rsidRPr="00D07730">
        <w:rPr>
          <w:sz w:val="24"/>
          <w:szCs w:val="24"/>
        </w:rPr>
        <w:t>Submittal of Modifications to the NAESB Public Key Infrastructure Standards and Other Standards to support the Public Key Infrastructure (Docket Nos. RM05-5-000 and RM05-5-022)</w:t>
      </w:r>
      <w:r w:rsidR="00D07730">
        <w:rPr>
          <w:sz w:val="24"/>
          <w:szCs w:val="24"/>
        </w:rPr>
        <w:t xml:space="preserve">”, Appendix E, posted on ferc.gov at </w:t>
      </w:r>
      <w:hyperlink r:id="rId2" w:history="1">
        <w:r w:rsidR="00D07730" w:rsidRPr="002510B2">
          <w:rPr>
            <w:rStyle w:val="Hyperlink"/>
            <w:sz w:val="24"/>
            <w:szCs w:val="24"/>
          </w:rPr>
          <w:t>http://elibrary.ferc.gov/idmws/common/opennat.asp?fileID=13165589</w:t>
        </w:r>
      </w:hyperlink>
      <w:r w:rsidR="00D07730">
        <w:rPr>
          <w:sz w:val="24"/>
          <w:szCs w:val="24"/>
        </w:rPr>
        <w:t xml:space="preserve"> .</w:t>
      </w:r>
    </w:p>
  </w:footnote>
  <w:footnote w:id="4">
    <w:p w14:paraId="2CE5F657" w14:textId="77777777" w:rsidR="001C3337" w:rsidRPr="001B7C2A" w:rsidRDefault="001C3337" w:rsidP="001C3337">
      <w:pPr>
        <w:pStyle w:val="FootnoteText"/>
        <w:rPr>
          <w:sz w:val="24"/>
          <w:szCs w:val="24"/>
        </w:rPr>
      </w:pPr>
      <w:r w:rsidRPr="001B7C2A">
        <w:rPr>
          <w:rStyle w:val="FootnoteReference"/>
          <w:sz w:val="24"/>
          <w:szCs w:val="24"/>
        </w:rPr>
        <w:footnoteRef/>
      </w:r>
      <w:r w:rsidRPr="001B7C2A">
        <w:rPr>
          <w:sz w:val="24"/>
          <w:szCs w:val="24"/>
        </w:rPr>
        <w:t xml:space="preserve"> More information is available on FERC’s </w:t>
      </w:r>
      <w:proofErr w:type="spellStart"/>
      <w:r w:rsidRPr="001B7C2A">
        <w:rPr>
          <w:sz w:val="24"/>
          <w:szCs w:val="24"/>
        </w:rPr>
        <w:t>eTariff</w:t>
      </w:r>
      <w:proofErr w:type="spellEnd"/>
      <w:r w:rsidRPr="001B7C2A">
        <w:rPr>
          <w:sz w:val="24"/>
          <w:szCs w:val="24"/>
        </w:rPr>
        <w:t xml:space="preserve"> page at </w:t>
      </w:r>
      <w:hyperlink r:id="rId3" w:history="1">
        <w:r w:rsidRPr="001B7C2A">
          <w:rPr>
            <w:rStyle w:val="Hyperlink"/>
            <w:sz w:val="24"/>
            <w:szCs w:val="24"/>
          </w:rPr>
          <w:t>http://www.ferc.gov/docs-filing/etariff.asp</w:t>
        </w:r>
      </w:hyperlink>
      <w:r w:rsidRPr="001B7C2A">
        <w:rPr>
          <w:sz w:val="24"/>
          <w:szCs w:val="24"/>
        </w:rPr>
        <w:t xml:space="preserve"> .</w:t>
      </w:r>
    </w:p>
  </w:footnote>
  <w:footnote w:id="5">
    <w:p w14:paraId="59C2E259" w14:textId="77777777" w:rsidR="007B1F7B" w:rsidRPr="001B7C2A" w:rsidRDefault="007B1F7B">
      <w:pPr>
        <w:pStyle w:val="FootnoteText"/>
        <w:rPr>
          <w:sz w:val="24"/>
          <w:szCs w:val="24"/>
        </w:rPr>
      </w:pPr>
      <w:r w:rsidRPr="001B7C2A">
        <w:rPr>
          <w:rStyle w:val="FootnoteReference"/>
          <w:sz w:val="24"/>
          <w:szCs w:val="24"/>
        </w:rPr>
        <w:footnoteRef/>
      </w:r>
      <w:r w:rsidRPr="001B7C2A">
        <w:rPr>
          <w:sz w:val="24"/>
          <w:szCs w:val="24"/>
        </w:rPr>
        <w:t xml:space="preserve"> </w:t>
      </w:r>
      <w:r w:rsidR="00950698" w:rsidRPr="001B7C2A">
        <w:rPr>
          <w:sz w:val="24"/>
          <w:szCs w:val="24"/>
        </w:rPr>
        <w:t>“</w:t>
      </w:r>
      <w:r w:rsidRPr="001B7C2A">
        <w:rPr>
          <w:sz w:val="24"/>
          <w:szCs w:val="24"/>
        </w:rPr>
        <w:t xml:space="preserve">Therefore, participants in the NAESB process should work to reach consensus on standards that would </w:t>
      </w:r>
      <w:r w:rsidR="00950698" w:rsidRPr="001B7C2A">
        <w:rPr>
          <w:sz w:val="24"/>
          <w:szCs w:val="24"/>
        </w:rPr>
        <w:t>address the policy concerns identified below.” Page 12, NOPR.</w:t>
      </w:r>
    </w:p>
  </w:footnote>
  <w:footnote w:id="6">
    <w:p w14:paraId="24724EF8" w14:textId="695333DD" w:rsidR="00686720" w:rsidRPr="001B7C2A" w:rsidRDefault="00686720">
      <w:pPr>
        <w:pStyle w:val="FootnoteText"/>
        <w:rPr>
          <w:sz w:val="24"/>
          <w:szCs w:val="24"/>
        </w:rPr>
      </w:pPr>
      <w:r w:rsidRPr="001B7C2A">
        <w:rPr>
          <w:rStyle w:val="FootnoteReference"/>
          <w:sz w:val="24"/>
          <w:szCs w:val="24"/>
        </w:rPr>
        <w:footnoteRef/>
      </w:r>
      <w:r w:rsidRPr="001B7C2A">
        <w:rPr>
          <w:sz w:val="24"/>
          <w:szCs w:val="24"/>
        </w:rPr>
        <w:t xml:space="preserve"> FERC-545 includes items such as: Standard Rate Case Issues (e.g., Compliance, Cost of Service, Settlement); Reports (e.g., Annual, Reconciliation); Negotiated Rates; Non-Conforming Agreements; and </w:t>
      </w:r>
      <w:r w:rsidR="003A4E6D">
        <w:rPr>
          <w:sz w:val="24"/>
          <w:szCs w:val="24"/>
        </w:rPr>
        <w:t>Tariffs</w:t>
      </w:r>
      <w:r w:rsidRPr="001B7C2A">
        <w:rPr>
          <w:sz w:val="24"/>
          <w:szCs w:val="24"/>
        </w:rPr>
        <w:t xml:space="preserve"> </w:t>
      </w:r>
    </w:p>
  </w:footnote>
  <w:footnote w:id="7">
    <w:p w14:paraId="504C4361" w14:textId="77777777" w:rsidR="00686720" w:rsidRPr="001B7C2A" w:rsidRDefault="00686720" w:rsidP="00231159">
      <w:pPr>
        <w:pStyle w:val="FootnoteText"/>
        <w:rPr>
          <w:sz w:val="24"/>
          <w:szCs w:val="24"/>
        </w:rPr>
      </w:pPr>
      <w:r w:rsidRPr="001B7C2A">
        <w:rPr>
          <w:rStyle w:val="FootnoteReference"/>
          <w:sz w:val="24"/>
          <w:szCs w:val="24"/>
        </w:rPr>
        <w:footnoteRef/>
      </w:r>
      <w:r w:rsidRPr="001B7C2A">
        <w:rPr>
          <w:sz w:val="24"/>
          <w:szCs w:val="24"/>
        </w:rPr>
        <w:t xml:space="preserve"> </w:t>
      </w:r>
      <w:r w:rsidR="003D2376" w:rsidRPr="001B7C2A">
        <w:rPr>
          <w:sz w:val="24"/>
          <w:szCs w:val="24"/>
        </w:rPr>
        <w:t>B</w:t>
      </w:r>
      <w:r w:rsidRPr="001B7C2A">
        <w:rPr>
          <w:sz w:val="24"/>
          <w:szCs w:val="24"/>
        </w:rPr>
        <w:t>ased on 201</w:t>
      </w:r>
      <w:r w:rsidR="00037BDD" w:rsidRPr="001B7C2A">
        <w:rPr>
          <w:sz w:val="24"/>
          <w:szCs w:val="24"/>
        </w:rPr>
        <w:t>4</w:t>
      </w:r>
      <w:r w:rsidRPr="001B7C2A">
        <w:rPr>
          <w:sz w:val="24"/>
          <w:szCs w:val="24"/>
        </w:rPr>
        <w:t xml:space="preserve"> cost </w:t>
      </w:r>
      <w:r w:rsidR="003D2376" w:rsidRPr="001B7C2A">
        <w:rPr>
          <w:sz w:val="24"/>
          <w:szCs w:val="24"/>
        </w:rPr>
        <w:t xml:space="preserve">(salary plus benefits) </w:t>
      </w:r>
      <w:r w:rsidRPr="001B7C2A">
        <w:rPr>
          <w:sz w:val="24"/>
          <w:szCs w:val="24"/>
        </w:rPr>
        <w:t xml:space="preserve">per FTE of </w:t>
      </w:r>
      <w:r w:rsidR="00037BDD" w:rsidRPr="001B7C2A">
        <w:rPr>
          <w:sz w:val="24"/>
          <w:szCs w:val="24"/>
        </w:rPr>
        <w:t xml:space="preserve">$146,591.00 </w:t>
      </w:r>
      <w:r w:rsidRPr="001B7C2A">
        <w:rPr>
          <w:sz w:val="24"/>
          <w:szCs w:val="24"/>
        </w:rPr>
        <w:t xml:space="preserve">for 1 year </w:t>
      </w:r>
      <w:r w:rsidR="00037BDD" w:rsidRPr="001B7C2A">
        <w:rPr>
          <w:sz w:val="24"/>
          <w:szCs w:val="24"/>
        </w:rPr>
        <w:t>(</w:t>
      </w:r>
      <w:r w:rsidRPr="001B7C2A">
        <w:rPr>
          <w:sz w:val="24"/>
          <w:szCs w:val="24"/>
        </w:rPr>
        <w:t>or 2,080 hours</w:t>
      </w:r>
      <w:r w:rsidR="00037BDD" w:rsidRPr="001B7C2A">
        <w:rPr>
          <w:sz w:val="24"/>
          <w:szCs w:val="24"/>
        </w:rPr>
        <w:t>)</w:t>
      </w:r>
      <w:r w:rsidRPr="001B7C2A">
        <w:rPr>
          <w:sz w:val="24"/>
          <w:szCs w:val="24"/>
        </w:rPr>
        <w:t>, rounded to $70</w:t>
      </w:r>
      <w:r w:rsidR="00037BDD" w:rsidRPr="001B7C2A">
        <w:rPr>
          <w:sz w:val="24"/>
          <w:szCs w:val="24"/>
        </w:rPr>
        <w:t xml:space="preserve">.50 per </w:t>
      </w:r>
      <w:r w:rsidRPr="001B7C2A">
        <w:rPr>
          <w:sz w:val="24"/>
          <w:szCs w:val="24"/>
        </w:rPr>
        <w:t>hour.</w:t>
      </w:r>
      <w:r w:rsidR="003D2376" w:rsidRPr="001B7C2A">
        <w:rPr>
          <w:sz w:val="24"/>
          <w:szCs w:val="24"/>
        </w:rPr>
        <w:t xml:space="preserve"> </w:t>
      </w:r>
    </w:p>
  </w:footnote>
  <w:footnote w:id="8">
    <w:p w14:paraId="63C3AF15" w14:textId="16D2A12D" w:rsidR="00F52E54" w:rsidRPr="001B7C2A" w:rsidRDefault="00F52E54">
      <w:pPr>
        <w:pStyle w:val="FootnoteText"/>
        <w:rPr>
          <w:sz w:val="24"/>
          <w:szCs w:val="24"/>
        </w:rPr>
      </w:pPr>
      <w:r w:rsidRPr="001B7C2A">
        <w:rPr>
          <w:rStyle w:val="FootnoteReference"/>
          <w:sz w:val="24"/>
          <w:szCs w:val="24"/>
        </w:rPr>
        <w:footnoteRef/>
      </w:r>
      <w:r w:rsidRPr="001B7C2A">
        <w:rPr>
          <w:sz w:val="24"/>
          <w:szCs w:val="24"/>
        </w:rPr>
        <w:t xml:space="preserve"> Paperwork Reduction Act of 1995 (PRA)</w:t>
      </w:r>
    </w:p>
  </w:footnote>
  <w:footnote w:id="9">
    <w:p w14:paraId="18C1BE6D" w14:textId="77777777" w:rsidR="00686720" w:rsidRPr="001B7C2A" w:rsidRDefault="00686720" w:rsidP="00231159">
      <w:pPr>
        <w:pStyle w:val="FootnoteText"/>
        <w:rPr>
          <w:sz w:val="24"/>
          <w:szCs w:val="24"/>
        </w:rPr>
      </w:pPr>
      <w:r w:rsidRPr="001B7C2A">
        <w:rPr>
          <w:rStyle w:val="FootnoteReference"/>
          <w:sz w:val="24"/>
          <w:szCs w:val="24"/>
        </w:rPr>
        <w:footnoteRef/>
      </w:r>
      <w:r w:rsidR="003D2376" w:rsidRPr="001B7C2A">
        <w:rPr>
          <w:sz w:val="24"/>
          <w:szCs w:val="24"/>
        </w:rPr>
        <w:t xml:space="preserve"> T</w:t>
      </w:r>
      <w:r w:rsidRPr="001B7C2A">
        <w:rPr>
          <w:sz w:val="24"/>
          <w:szCs w:val="24"/>
        </w:rPr>
        <w:t>he PRA Administration Cost</w:t>
      </w:r>
      <w:r w:rsidR="003D2376" w:rsidRPr="001B7C2A">
        <w:rPr>
          <w:sz w:val="24"/>
          <w:szCs w:val="24"/>
        </w:rPr>
        <w:t xml:space="preserve"> is $5,092, and includes </w:t>
      </w:r>
      <w:r w:rsidR="00CA2D3D" w:rsidRPr="001B7C2A">
        <w:rPr>
          <w:sz w:val="24"/>
          <w:szCs w:val="24"/>
        </w:rPr>
        <w:t>preparing supporting statements, notices, and other activities associated with Paperwork Reduction Act compliance</w:t>
      </w:r>
      <w:r w:rsidR="003D2376" w:rsidRPr="001B7C2A">
        <w:rPr>
          <w:sz w:val="24"/>
          <w:szCs w:val="24"/>
        </w:rPr>
        <w:t>.</w:t>
      </w:r>
    </w:p>
  </w:footnote>
  <w:footnote w:id="10">
    <w:p w14:paraId="46B70C1B" w14:textId="1395B807" w:rsidR="00902B9C" w:rsidRPr="001B7C2A" w:rsidRDefault="00902B9C">
      <w:pPr>
        <w:pStyle w:val="FootnoteText"/>
        <w:rPr>
          <w:sz w:val="24"/>
          <w:szCs w:val="24"/>
        </w:rPr>
      </w:pPr>
      <w:r w:rsidRPr="001B7C2A">
        <w:rPr>
          <w:rStyle w:val="FootnoteReference"/>
          <w:sz w:val="24"/>
          <w:szCs w:val="24"/>
        </w:rPr>
        <w:footnoteRef/>
      </w:r>
      <w:r w:rsidRPr="001B7C2A">
        <w:rPr>
          <w:sz w:val="24"/>
          <w:szCs w:val="24"/>
        </w:rPr>
        <w:t xml:space="preserve"> This cost includes the Data Processing and Analysis cost</w:t>
      </w:r>
      <w:r w:rsidR="00C738ED" w:rsidRPr="001B7C2A">
        <w:rPr>
          <w:sz w:val="24"/>
          <w:szCs w:val="24"/>
        </w:rPr>
        <w:t>.  In addition, it includes</w:t>
      </w:r>
      <w:r w:rsidRPr="001B7C2A">
        <w:rPr>
          <w:sz w:val="24"/>
          <w:szCs w:val="24"/>
        </w:rPr>
        <w:t xml:space="preserve"> a portion of the PRA </w:t>
      </w:r>
      <w:r w:rsidR="00D2082F">
        <w:rPr>
          <w:sz w:val="24"/>
          <w:szCs w:val="24"/>
        </w:rPr>
        <w:t xml:space="preserve">Admin. </w:t>
      </w:r>
      <w:r w:rsidRPr="001B7C2A">
        <w:rPr>
          <w:sz w:val="24"/>
          <w:szCs w:val="24"/>
        </w:rPr>
        <w:t>cost weighted as follows:</w:t>
      </w:r>
    </w:p>
    <w:p w14:paraId="28F89E3D" w14:textId="6D1E7404" w:rsidR="00902B9C" w:rsidRPr="001B7C2A" w:rsidRDefault="00902B9C" w:rsidP="00807E75">
      <w:pPr>
        <w:pStyle w:val="FootnoteText"/>
        <w:numPr>
          <w:ilvl w:val="0"/>
          <w:numId w:val="22"/>
        </w:numPr>
        <w:rPr>
          <w:sz w:val="24"/>
          <w:szCs w:val="24"/>
        </w:rPr>
      </w:pPr>
      <w:r w:rsidRPr="001B7C2A">
        <w:rPr>
          <w:sz w:val="24"/>
          <w:szCs w:val="24"/>
        </w:rPr>
        <w:t>for FERC-545, 0.25 * $5,092 =$1,273</w:t>
      </w:r>
    </w:p>
    <w:p w14:paraId="69EABB40" w14:textId="671769FC" w:rsidR="00902B9C" w:rsidRDefault="00902B9C" w:rsidP="00807E75">
      <w:pPr>
        <w:pStyle w:val="FootnoteText"/>
        <w:numPr>
          <w:ilvl w:val="0"/>
          <w:numId w:val="22"/>
        </w:numPr>
      </w:pPr>
      <w:r w:rsidRPr="001B7C2A">
        <w:rPr>
          <w:sz w:val="24"/>
          <w:szCs w:val="24"/>
        </w:rPr>
        <w:t>for FERC-549C, 0.75 * $5,092=$3,819</w:t>
      </w:r>
    </w:p>
  </w:footnote>
  <w:footnote w:id="11">
    <w:p w14:paraId="5BB31B6F" w14:textId="77777777" w:rsidR="00AA0337" w:rsidRPr="008B11B2" w:rsidRDefault="00AA0337" w:rsidP="00AA0337">
      <w:pPr>
        <w:pStyle w:val="FootnoteText"/>
        <w:rPr>
          <w:sz w:val="24"/>
          <w:szCs w:val="24"/>
        </w:rPr>
      </w:pPr>
      <w:r w:rsidRPr="008B11B2">
        <w:rPr>
          <w:rStyle w:val="FootnoteReference"/>
          <w:sz w:val="24"/>
          <w:szCs w:val="24"/>
        </w:rPr>
        <w:footnoteRef/>
      </w:r>
      <w:r w:rsidRPr="008B11B2">
        <w:rPr>
          <w:sz w:val="24"/>
          <w:szCs w:val="24"/>
        </w:rPr>
        <w:t xml:space="preserve"> An estimated 166 natural gas pipelines (Part 284 program) are affected by this NOPR.  Although some natural gas pipeline companies may utilize business practices that satisfy parts of the proposals in this NOPR (e.g., provide additional nomination opportunities), the full cost of industry compliance is estimated for the total number of approximately 166 potential respondents. </w:t>
      </w:r>
    </w:p>
  </w:footnote>
  <w:footnote w:id="12">
    <w:p w14:paraId="0130683D" w14:textId="613B0885" w:rsidR="00AA0337" w:rsidRPr="008B11B2" w:rsidRDefault="00AA0337" w:rsidP="00AA0337">
      <w:pPr>
        <w:pStyle w:val="FootnoteText"/>
        <w:rPr>
          <w:sz w:val="24"/>
          <w:szCs w:val="24"/>
        </w:rPr>
      </w:pPr>
      <w:r w:rsidRPr="008B11B2">
        <w:rPr>
          <w:rStyle w:val="FootnoteReference"/>
          <w:sz w:val="24"/>
          <w:szCs w:val="24"/>
        </w:rPr>
        <w:footnoteRef/>
      </w:r>
      <w:r w:rsidRPr="008B11B2">
        <w:rPr>
          <w:sz w:val="24"/>
          <w:szCs w:val="24"/>
        </w:rPr>
        <w:t xml:space="preserve"> Wage data is based on the Bureau of Labor Statistics data for 2012 (“May 2012 National Industry-Specific Occupational Employment and Wage Estimates, [for] Sector 22 - Utilities” at </w:t>
      </w:r>
      <w:hyperlink r:id="rId4" w:history="1">
        <w:r w:rsidRPr="008B11B2">
          <w:rPr>
            <w:rStyle w:val="Hyperlink"/>
            <w:sz w:val="24"/>
            <w:szCs w:val="24"/>
          </w:rPr>
          <w:t>http://bls.gov/oes/current/naics2_22.htm</w:t>
        </w:r>
      </w:hyperlink>
      <w:r w:rsidRPr="008B11B2">
        <w:rPr>
          <w:sz w:val="24"/>
          <w:szCs w:val="24"/>
        </w:rPr>
        <w:t xml:space="preserve">) and is compiled for the top 10 percent earned.  For the estimate of the benefits component, see </w:t>
      </w:r>
      <w:hyperlink r:id="rId5" w:history="1">
        <w:r w:rsidR="000542CD" w:rsidRPr="00A912DB">
          <w:rPr>
            <w:rStyle w:val="Hyperlink"/>
            <w:sz w:val="24"/>
            <w:szCs w:val="24"/>
          </w:rPr>
          <w:t>http://www.bls.gov/news.release/ecec.nr0.htm</w:t>
        </w:r>
      </w:hyperlink>
      <w:r w:rsidR="000542CD">
        <w:rPr>
          <w:sz w:val="24"/>
          <w:szCs w:val="24"/>
        </w:rPr>
        <w:t xml:space="preserve"> .</w:t>
      </w:r>
    </w:p>
  </w:footnote>
  <w:footnote w:id="13">
    <w:p w14:paraId="391BA9C1" w14:textId="77777777" w:rsidR="00AA0337" w:rsidRPr="008B11B2" w:rsidRDefault="00AA0337" w:rsidP="00AA0337">
      <w:pPr>
        <w:pStyle w:val="FootnoteText"/>
        <w:rPr>
          <w:sz w:val="24"/>
          <w:szCs w:val="24"/>
        </w:rPr>
      </w:pPr>
      <w:r w:rsidRPr="008B11B2">
        <w:rPr>
          <w:rStyle w:val="FootnoteReference"/>
          <w:sz w:val="24"/>
          <w:szCs w:val="24"/>
        </w:rPr>
        <w:footnoteRef/>
      </w:r>
      <w:r w:rsidRPr="008B11B2">
        <w:rPr>
          <w:sz w:val="24"/>
          <w:szCs w:val="24"/>
        </w:rPr>
        <w:t xml:space="preserve"> The mean hourly cost of tariff filings and implementation for interstate natural gas pipelines is $83.67.  This represents the average composite wage (salary and benefits for 2,080 annual work-hours) of the following occupational categories: “Legal” ($128.02 per hour), “Computer Analyst” ($83.50 per hour), and “Office and Administrative” ($39.49 per hour).  Wage data is available from the Bureau of Labor Statistics at http://bls.gov/oes/current/naics2_22.htm and is compiled for the top 10 percent earned.  For the estimate of the benefits component, see http://www.bls.gov/news.release/ecec.nr0.htm.</w:t>
      </w:r>
    </w:p>
  </w:footnote>
  <w:footnote w:id="14">
    <w:p w14:paraId="754C106D" w14:textId="77777777" w:rsidR="00AA0337" w:rsidRPr="008B11B2" w:rsidRDefault="00AA0337" w:rsidP="00AA0337">
      <w:pPr>
        <w:pStyle w:val="FootnoteText"/>
        <w:rPr>
          <w:sz w:val="24"/>
          <w:szCs w:val="24"/>
        </w:rPr>
      </w:pPr>
      <w:r w:rsidRPr="008B11B2">
        <w:rPr>
          <w:rStyle w:val="FootnoteReference"/>
          <w:sz w:val="24"/>
          <w:szCs w:val="24"/>
        </w:rPr>
        <w:footnoteRef/>
      </w:r>
      <w:r w:rsidRPr="008B11B2">
        <w:rPr>
          <w:sz w:val="24"/>
          <w:szCs w:val="24"/>
        </w:rPr>
        <w:t xml:space="preserve"> The average hourly cost is $77.10.  This represents the average composite wage (salary and benefits for 2,080 annual work-hours) of the following occupational categories: “Legal” ($128.02 per hour), “Computer Analyst” ($83.50 per hour), “Gas Plant Operator” ($57.40) and “Office and Administrative” ($39.49 per hour). </w:t>
      </w:r>
    </w:p>
  </w:footnote>
  <w:footnote w:id="15">
    <w:p w14:paraId="021F1D90" w14:textId="77777777" w:rsidR="00AA0337" w:rsidRPr="008B11B2" w:rsidRDefault="00AA0337" w:rsidP="00AA0337">
      <w:pPr>
        <w:pStyle w:val="FootnoteText"/>
        <w:rPr>
          <w:sz w:val="24"/>
          <w:szCs w:val="24"/>
        </w:rPr>
      </w:pPr>
      <w:r w:rsidRPr="008B11B2">
        <w:rPr>
          <w:rStyle w:val="FootnoteReference"/>
          <w:sz w:val="24"/>
          <w:szCs w:val="24"/>
        </w:rPr>
        <w:footnoteRef/>
      </w:r>
      <w:r w:rsidRPr="008B11B2">
        <w:rPr>
          <w:sz w:val="24"/>
          <w:szCs w:val="24"/>
        </w:rPr>
        <w:t xml:space="preserve"> For ongoing operations, we estimate 1 hour per calendar day per respondent (or 365 hours annually per respondent). The average hourly cost is $70.45.  This represents the average composite wage (salary and benefits for 2,080 annual work-hours) of the following occupational categories: “Computer Analyst” ($83.50 per hour), and “Gas Plant Operator” ($57.40). </w:t>
      </w:r>
    </w:p>
  </w:footnote>
  <w:footnote w:id="16">
    <w:p w14:paraId="7EBDC971" w14:textId="6D03912B" w:rsidR="004E54CC" w:rsidRDefault="004E54CC">
      <w:pPr>
        <w:pStyle w:val="FootnoteText"/>
      </w:pPr>
      <w:r w:rsidRPr="008B11B2">
        <w:rPr>
          <w:rStyle w:val="FootnoteReference"/>
          <w:sz w:val="24"/>
          <w:szCs w:val="24"/>
        </w:rPr>
        <w:footnoteRef/>
      </w:r>
      <w:r w:rsidRPr="008B11B2">
        <w:rPr>
          <w:sz w:val="24"/>
          <w:szCs w:val="24"/>
        </w:rPr>
        <w:t xml:space="preserve"> The NOPR displays 365 responses per entity (taking 1 hour each) per year for a total per entity of 365 burden hours per year.</w:t>
      </w:r>
      <w:r>
        <w:t xml:space="preserve">  </w:t>
      </w:r>
    </w:p>
  </w:footnote>
  <w:footnote w:id="17">
    <w:p w14:paraId="172E076D" w14:textId="6D09F4F5" w:rsidR="00027B22" w:rsidRPr="001B7C2A" w:rsidRDefault="00027B22">
      <w:pPr>
        <w:pStyle w:val="FootnoteText"/>
        <w:rPr>
          <w:sz w:val="24"/>
          <w:szCs w:val="24"/>
        </w:rPr>
      </w:pPr>
      <w:r w:rsidRPr="001B7C2A">
        <w:rPr>
          <w:rStyle w:val="FootnoteReference"/>
          <w:sz w:val="24"/>
          <w:szCs w:val="24"/>
        </w:rPr>
        <w:footnoteRef/>
      </w:r>
      <w:r w:rsidRPr="001B7C2A">
        <w:rPr>
          <w:sz w:val="24"/>
          <w:szCs w:val="24"/>
        </w:rPr>
        <w:t xml:space="preserve"> This FERC-545 burden increase is one-time and only in Year 1.  FERC will request that it be removed from the inventory of FERC-545 after completion in Year 1.</w:t>
      </w:r>
    </w:p>
  </w:footnote>
  <w:footnote w:id="18">
    <w:p w14:paraId="42C43568" w14:textId="58CD510D" w:rsidR="00A50333" w:rsidRPr="001B7C2A" w:rsidRDefault="00A50333" w:rsidP="000B6AAE">
      <w:pPr>
        <w:pStyle w:val="FootnoteText"/>
        <w:rPr>
          <w:sz w:val="24"/>
          <w:szCs w:val="24"/>
        </w:rPr>
      </w:pPr>
      <w:r w:rsidRPr="001B7C2A">
        <w:rPr>
          <w:rStyle w:val="FootnoteReference"/>
          <w:sz w:val="24"/>
          <w:szCs w:val="24"/>
        </w:rPr>
        <w:footnoteRef/>
      </w:r>
      <w:r w:rsidRPr="001B7C2A">
        <w:rPr>
          <w:sz w:val="24"/>
          <w:szCs w:val="24"/>
        </w:rPr>
        <w:t xml:space="preserve"> Each of the respondents has one-time burden, and each has ongoing burden.</w:t>
      </w:r>
      <w:r w:rsidR="003E0CE7">
        <w:rPr>
          <w:sz w:val="24"/>
          <w:szCs w:val="24"/>
        </w:rPr>
        <w:t xml:space="preserve">  As a result, the reginfo.gov and ROCIS number of responses shows 332 additional responses (+166 one-time, plus 166 ongoing), giving a total new number of responses of 493.</w:t>
      </w:r>
    </w:p>
  </w:footnote>
  <w:footnote w:id="19">
    <w:p w14:paraId="1FC90CAF" w14:textId="09656DA0" w:rsidR="00A50333" w:rsidRDefault="00A50333" w:rsidP="000B6AAE">
      <w:pPr>
        <w:pStyle w:val="FootnoteText"/>
      </w:pPr>
      <w:r w:rsidRPr="001B7C2A">
        <w:rPr>
          <w:rStyle w:val="FootnoteReference"/>
          <w:sz w:val="24"/>
          <w:szCs w:val="24"/>
        </w:rPr>
        <w:footnoteRef/>
      </w:r>
      <w:r w:rsidRPr="001B7C2A">
        <w:rPr>
          <w:sz w:val="24"/>
          <w:szCs w:val="24"/>
        </w:rPr>
        <w:t xml:space="preserve"> Averaging the one-time burden and cost over Years 1-3 for the purposes of this PRA-related supporting statement (for the total </w:t>
      </w:r>
      <w:r w:rsidR="00E576A6">
        <w:rPr>
          <w:sz w:val="24"/>
          <w:szCs w:val="24"/>
        </w:rPr>
        <w:t xml:space="preserve">number </w:t>
      </w:r>
      <w:r w:rsidRPr="001B7C2A">
        <w:rPr>
          <w:sz w:val="24"/>
          <w:szCs w:val="24"/>
        </w:rPr>
        <w:t>of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75745" w14:textId="4389B8FC" w:rsidR="00A72889" w:rsidRDefault="00686720" w:rsidP="00A72889">
    <w:pPr>
      <w:pStyle w:val="Header"/>
    </w:pPr>
    <w:r>
      <w:t xml:space="preserve">FERC-545 (OMB </w:t>
    </w:r>
    <w:r w:rsidR="00970CD5">
      <w:t xml:space="preserve">Control </w:t>
    </w:r>
    <w:r>
      <w:t>No. 1902-0154)</w:t>
    </w:r>
    <w:r w:rsidR="00A72889">
      <w:t xml:space="preserve"> and</w:t>
    </w:r>
    <w:r>
      <w:t xml:space="preserve"> </w:t>
    </w:r>
    <w:r w:rsidR="00A72889" w:rsidRPr="00A72889">
      <w:t>FERC-549C (OMB Control No. 1902-0174)</w:t>
    </w:r>
  </w:p>
  <w:p w14:paraId="5F7B96EE" w14:textId="0A0A4043" w:rsidR="00686720" w:rsidRDefault="00686720" w:rsidP="00A72889">
    <w:pPr>
      <w:pStyle w:val="Header"/>
    </w:pPr>
    <w:r>
      <w:t xml:space="preserve">Docket </w:t>
    </w:r>
    <w:r w:rsidR="002707FA">
      <w:t xml:space="preserve">No. </w:t>
    </w:r>
    <w:r>
      <w:t>RM</w:t>
    </w:r>
    <w:r w:rsidR="00A72889">
      <w:t>14-2</w:t>
    </w:r>
    <w:r w:rsidR="00B57842">
      <w:t>-000</w:t>
    </w:r>
    <w:r w:rsidR="00A72889">
      <w:t xml:space="preserve"> (</w:t>
    </w:r>
    <w:r w:rsidR="00A72889" w:rsidRPr="000E3D96">
      <w:t>NOPR</w:t>
    </w:r>
    <w:r w:rsidR="00AF7EC3">
      <w:t>,</w:t>
    </w:r>
    <w:r w:rsidR="00A72889" w:rsidRPr="000E3D96">
      <w:t xml:space="preserve"> Issued </w:t>
    </w:r>
    <w:r w:rsidR="000E3D96" w:rsidRPr="00A55F2D">
      <w:t>3/20/</w:t>
    </w:r>
    <w:r w:rsidR="00A72889" w:rsidRPr="00A55F2D">
      <w:t>2014</w:t>
    </w:r>
    <w:r w:rsidR="00AF7EC3">
      <w:t>)</w:t>
    </w:r>
    <w:r w:rsidR="00A72889" w:rsidRPr="000E3D96">
      <w:t>; RIN</w:t>
    </w:r>
    <w:r w:rsidR="00A72889" w:rsidRPr="000002B9">
      <w:t xml:space="preserve"> </w:t>
    </w:r>
    <w:r w:rsidR="000002B9" w:rsidRPr="000002B9">
      <w:t>1902-AE82</w:t>
    </w:r>
  </w:p>
  <w:p w14:paraId="6F200D87" w14:textId="3BB3D6CD" w:rsidR="0039378E" w:rsidRDefault="0039378E" w:rsidP="00A72889">
    <w:pPr>
      <w:pStyle w:val="Header"/>
    </w:pPr>
    <w:r>
      <w:t>(3/28/2014)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558"/>
    <w:multiLevelType w:val="hybridMultilevel"/>
    <w:tmpl w:val="01B282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ACC77E8"/>
    <w:multiLevelType w:val="hybridMultilevel"/>
    <w:tmpl w:val="9F1C93B0"/>
    <w:lvl w:ilvl="0" w:tplc="8FE84B46">
      <w:start w:val="2"/>
      <w:numFmt w:val="decimal"/>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
    <w:nsid w:val="0DC0412F"/>
    <w:multiLevelType w:val="hybridMultilevel"/>
    <w:tmpl w:val="CEAA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00A24"/>
    <w:multiLevelType w:val="hybridMultilevel"/>
    <w:tmpl w:val="7428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097D9F"/>
    <w:multiLevelType w:val="hybridMultilevel"/>
    <w:tmpl w:val="2374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E00FE"/>
    <w:multiLevelType w:val="hybridMultilevel"/>
    <w:tmpl w:val="8B442898"/>
    <w:lvl w:ilvl="0" w:tplc="1C8C7F74">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8D601BA"/>
    <w:multiLevelType w:val="hybridMultilevel"/>
    <w:tmpl w:val="6F6CE4EA"/>
    <w:lvl w:ilvl="0" w:tplc="F594DBE4">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0BB4E83"/>
    <w:multiLevelType w:val="hybridMultilevel"/>
    <w:tmpl w:val="BFBAE6CA"/>
    <w:lvl w:ilvl="0" w:tplc="F4E6BEB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04DF4"/>
    <w:multiLevelType w:val="hybridMultilevel"/>
    <w:tmpl w:val="8794AC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3471095E"/>
    <w:multiLevelType w:val="hybridMultilevel"/>
    <w:tmpl w:val="20D0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5956E2"/>
    <w:multiLevelType w:val="hybridMultilevel"/>
    <w:tmpl w:val="E09ECAD4"/>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2">
    <w:nsid w:val="48F803E2"/>
    <w:multiLevelType w:val="hybridMultilevel"/>
    <w:tmpl w:val="0BE239CA"/>
    <w:lvl w:ilvl="0" w:tplc="D3700D42">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49D42070"/>
    <w:multiLevelType w:val="hybridMultilevel"/>
    <w:tmpl w:val="4010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D6583F"/>
    <w:multiLevelType w:val="hybridMultilevel"/>
    <w:tmpl w:val="6110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2503D0"/>
    <w:multiLevelType w:val="hybridMultilevel"/>
    <w:tmpl w:val="CBD66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E7312B"/>
    <w:multiLevelType w:val="hybridMultilevel"/>
    <w:tmpl w:val="2C68D9A6"/>
    <w:lvl w:ilvl="0" w:tplc="042ECDC8">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5E3616E5"/>
    <w:multiLevelType w:val="hybridMultilevel"/>
    <w:tmpl w:val="EE86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405595"/>
    <w:multiLevelType w:val="hybridMultilevel"/>
    <w:tmpl w:val="E43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E52BE2"/>
    <w:multiLevelType w:val="hybridMultilevel"/>
    <w:tmpl w:val="84F64D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7775272E"/>
    <w:multiLevelType w:val="hybridMultilevel"/>
    <w:tmpl w:val="93D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F6CCD"/>
    <w:multiLevelType w:val="hybridMultilevel"/>
    <w:tmpl w:val="7AF8D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13"/>
  </w:num>
  <w:num w:numId="4">
    <w:abstractNumId w:val="8"/>
  </w:num>
  <w:num w:numId="5">
    <w:abstractNumId w:val="21"/>
  </w:num>
  <w:num w:numId="6">
    <w:abstractNumId w:val="0"/>
  </w:num>
  <w:num w:numId="7">
    <w:abstractNumId w:val="19"/>
  </w:num>
  <w:num w:numId="8">
    <w:abstractNumId w:val="1"/>
  </w:num>
  <w:num w:numId="9">
    <w:abstractNumId w:val="16"/>
  </w:num>
  <w:num w:numId="10">
    <w:abstractNumId w:val="11"/>
  </w:num>
  <w:num w:numId="11">
    <w:abstractNumId w:val="5"/>
  </w:num>
  <w:num w:numId="12">
    <w:abstractNumId w:val="7"/>
  </w:num>
  <w:num w:numId="13">
    <w:abstractNumId w:val="12"/>
  </w:num>
  <w:num w:numId="14">
    <w:abstractNumId w:val="18"/>
  </w:num>
  <w:num w:numId="15">
    <w:abstractNumId w:val="3"/>
  </w:num>
  <w:num w:numId="16">
    <w:abstractNumId w:val="14"/>
  </w:num>
  <w:num w:numId="17">
    <w:abstractNumId w:val="2"/>
  </w:num>
  <w:num w:numId="18">
    <w:abstractNumId w:val="10"/>
  </w:num>
  <w:num w:numId="19">
    <w:abstractNumId w:val="4"/>
  </w:num>
  <w:num w:numId="20">
    <w:abstractNumId w:val="15"/>
  </w:num>
  <w:num w:numId="21">
    <w:abstractNumId w:val="17"/>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Palmer">
    <w15:presenceInfo w15:providerId="AD" w15:userId="S-1-5-21-842925246-1078145449-725345543-96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5F"/>
    <w:rsid w:val="000002B9"/>
    <w:rsid w:val="00000B06"/>
    <w:rsid w:val="00007AD7"/>
    <w:rsid w:val="000143D2"/>
    <w:rsid w:val="00027B22"/>
    <w:rsid w:val="0003164C"/>
    <w:rsid w:val="00035823"/>
    <w:rsid w:val="00037BDD"/>
    <w:rsid w:val="00041522"/>
    <w:rsid w:val="00042050"/>
    <w:rsid w:val="000478BB"/>
    <w:rsid w:val="00051475"/>
    <w:rsid w:val="00051566"/>
    <w:rsid w:val="000542CD"/>
    <w:rsid w:val="00063ED0"/>
    <w:rsid w:val="00073BF9"/>
    <w:rsid w:val="00091565"/>
    <w:rsid w:val="000B1D13"/>
    <w:rsid w:val="000B6AAE"/>
    <w:rsid w:val="000B714E"/>
    <w:rsid w:val="000D6238"/>
    <w:rsid w:val="000E0A76"/>
    <w:rsid w:val="000E3D96"/>
    <w:rsid w:val="0010590F"/>
    <w:rsid w:val="0011355E"/>
    <w:rsid w:val="001146C0"/>
    <w:rsid w:val="00117A4E"/>
    <w:rsid w:val="00127317"/>
    <w:rsid w:val="00134976"/>
    <w:rsid w:val="00151340"/>
    <w:rsid w:val="001634F6"/>
    <w:rsid w:val="00176A68"/>
    <w:rsid w:val="00181FB4"/>
    <w:rsid w:val="001837BB"/>
    <w:rsid w:val="001862C8"/>
    <w:rsid w:val="00193F96"/>
    <w:rsid w:val="0019793D"/>
    <w:rsid w:val="001A4C1F"/>
    <w:rsid w:val="001B7C2A"/>
    <w:rsid w:val="001C1257"/>
    <w:rsid w:val="001C3337"/>
    <w:rsid w:val="001C3404"/>
    <w:rsid w:val="001C4F47"/>
    <w:rsid w:val="001C6BCB"/>
    <w:rsid w:val="001F112B"/>
    <w:rsid w:val="001F6CBF"/>
    <w:rsid w:val="00203C2B"/>
    <w:rsid w:val="00204CCA"/>
    <w:rsid w:val="00210F7B"/>
    <w:rsid w:val="00212B42"/>
    <w:rsid w:val="00216EB9"/>
    <w:rsid w:val="0022416B"/>
    <w:rsid w:val="00226A35"/>
    <w:rsid w:val="00231159"/>
    <w:rsid w:val="00231637"/>
    <w:rsid w:val="00232C41"/>
    <w:rsid w:val="002331D2"/>
    <w:rsid w:val="00233220"/>
    <w:rsid w:val="00234939"/>
    <w:rsid w:val="002353A1"/>
    <w:rsid w:val="00240BE8"/>
    <w:rsid w:val="002427F7"/>
    <w:rsid w:val="002471A5"/>
    <w:rsid w:val="002474D0"/>
    <w:rsid w:val="002516ED"/>
    <w:rsid w:val="002633A6"/>
    <w:rsid w:val="0027062E"/>
    <w:rsid w:val="002707FA"/>
    <w:rsid w:val="002846C9"/>
    <w:rsid w:val="0029066C"/>
    <w:rsid w:val="0029327F"/>
    <w:rsid w:val="00295007"/>
    <w:rsid w:val="002A1575"/>
    <w:rsid w:val="002B4453"/>
    <w:rsid w:val="002E3598"/>
    <w:rsid w:val="002E6F17"/>
    <w:rsid w:val="002F6207"/>
    <w:rsid w:val="0030191C"/>
    <w:rsid w:val="00304D4D"/>
    <w:rsid w:val="003240E7"/>
    <w:rsid w:val="003327A4"/>
    <w:rsid w:val="0034344F"/>
    <w:rsid w:val="00353A87"/>
    <w:rsid w:val="003575E9"/>
    <w:rsid w:val="00362AD4"/>
    <w:rsid w:val="003663E0"/>
    <w:rsid w:val="0039378E"/>
    <w:rsid w:val="003960B0"/>
    <w:rsid w:val="003A1465"/>
    <w:rsid w:val="003A3B53"/>
    <w:rsid w:val="003A4E6D"/>
    <w:rsid w:val="003A636B"/>
    <w:rsid w:val="003B1D79"/>
    <w:rsid w:val="003C00C5"/>
    <w:rsid w:val="003D2376"/>
    <w:rsid w:val="003D4FFA"/>
    <w:rsid w:val="003D6D32"/>
    <w:rsid w:val="003E0CE7"/>
    <w:rsid w:val="0041210E"/>
    <w:rsid w:val="00414E21"/>
    <w:rsid w:val="0041662C"/>
    <w:rsid w:val="0042127D"/>
    <w:rsid w:val="00423736"/>
    <w:rsid w:val="0042602B"/>
    <w:rsid w:val="004340AA"/>
    <w:rsid w:val="00435FEF"/>
    <w:rsid w:val="00460B6C"/>
    <w:rsid w:val="0046219B"/>
    <w:rsid w:val="0046224D"/>
    <w:rsid w:val="0046295C"/>
    <w:rsid w:val="00462D1B"/>
    <w:rsid w:val="004727F9"/>
    <w:rsid w:val="004735BF"/>
    <w:rsid w:val="004739F8"/>
    <w:rsid w:val="00482097"/>
    <w:rsid w:val="00490E01"/>
    <w:rsid w:val="00492622"/>
    <w:rsid w:val="00494AA3"/>
    <w:rsid w:val="00494B73"/>
    <w:rsid w:val="00496ED3"/>
    <w:rsid w:val="004C5F48"/>
    <w:rsid w:val="004C6A8D"/>
    <w:rsid w:val="004C7DF8"/>
    <w:rsid w:val="004D3635"/>
    <w:rsid w:val="004D6EFC"/>
    <w:rsid w:val="004E26EE"/>
    <w:rsid w:val="004E54CC"/>
    <w:rsid w:val="004F7E93"/>
    <w:rsid w:val="00507B6D"/>
    <w:rsid w:val="00510A94"/>
    <w:rsid w:val="005128B1"/>
    <w:rsid w:val="0052302A"/>
    <w:rsid w:val="0053295A"/>
    <w:rsid w:val="0053444A"/>
    <w:rsid w:val="00541D01"/>
    <w:rsid w:val="00543973"/>
    <w:rsid w:val="00544199"/>
    <w:rsid w:val="00546516"/>
    <w:rsid w:val="005518EB"/>
    <w:rsid w:val="005530B7"/>
    <w:rsid w:val="00562427"/>
    <w:rsid w:val="0057353F"/>
    <w:rsid w:val="00576BF0"/>
    <w:rsid w:val="00582D01"/>
    <w:rsid w:val="00592524"/>
    <w:rsid w:val="00594AA1"/>
    <w:rsid w:val="005976F5"/>
    <w:rsid w:val="005A11F9"/>
    <w:rsid w:val="005B0DA6"/>
    <w:rsid w:val="005C023B"/>
    <w:rsid w:val="005C48FF"/>
    <w:rsid w:val="005D3223"/>
    <w:rsid w:val="005F34A7"/>
    <w:rsid w:val="006035D4"/>
    <w:rsid w:val="00604912"/>
    <w:rsid w:val="00611E51"/>
    <w:rsid w:val="006120E4"/>
    <w:rsid w:val="00612555"/>
    <w:rsid w:val="0061357D"/>
    <w:rsid w:val="00617C5A"/>
    <w:rsid w:val="00622F18"/>
    <w:rsid w:val="006252AA"/>
    <w:rsid w:val="0063070B"/>
    <w:rsid w:val="00633998"/>
    <w:rsid w:val="00633B4A"/>
    <w:rsid w:val="00635E25"/>
    <w:rsid w:val="00636AAB"/>
    <w:rsid w:val="00644F14"/>
    <w:rsid w:val="006471A0"/>
    <w:rsid w:val="00654C33"/>
    <w:rsid w:val="00662292"/>
    <w:rsid w:val="0067702E"/>
    <w:rsid w:val="0068670E"/>
    <w:rsid w:val="00686720"/>
    <w:rsid w:val="006979FB"/>
    <w:rsid w:val="006A51AB"/>
    <w:rsid w:val="006B6CE4"/>
    <w:rsid w:val="006B7AF3"/>
    <w:rsid w:val="006C22C7"/>
    <w:rsid w:val="006C3BEE"/>
    <w:rsid w:val="006C749F"/>
    <w:rsid w:val="006D6EEA"/>
    <w:rsid w:val="006D76F7"/>
    <w:rsid w:val="006E1C2A"/>
    <w:rsid w:val="006E1F99"/>
    <w:rsid w:val="006E5463"/>
    <w:rsid w:val="006E6B36"/>
    <w:rsid w:val="006F6B5C"/>
    <w:rsid w:val="007202AB"/>
    <w:rsid w:val="00725D6D"/>
    <w:rsid w:val="007350DD"/>
    <w:rsid w:val="00736B4D"/>
    <w:rsid w:val="00740DAF"/>
    <w:rsid w:val="0074677E"/>
    <w:rsid w:val="00750796"/>
    <w:rsid w:val="00750AB1"/>
    <w:rsid w:val="007556AE"/>
    <w:rsid w:val="00762F4E"/>
    <w:rsid w:val="00763EDA"/>
    <w:rsid w:val="00767D14"/>
    <w:rsid w:val="007717C2"/>
    <w:rsid w:val="00772F44"/>
    <w:rsid w:val="007841D9"/>
    <w:rsid w:val="00784BDA"/>
    <w:rsid w:val="00787361"/>
    <w:rsid w:val="0079129C"/>
    <w:rsid w:val="00792A79"/>
    <w:rsid w:val="007A0D04"/>
    <w:rsid w:val="007A12A8"/>
    <w:rsid w:val="007B1F7B"/>
    <w:rsid w:val="007B3C95"/>
    <w:rsid w:val="007B4357"/>
    <w:rsid w:val="007B6728"/>
    <w:rsid w:val="007D6309"/>
    <w:rsid w:val="007E393F"/>
    <w:rsid w:val="007F2B78"/>
    <w:rsid w:val="00805DCC"/>
    <w:rsid w:val="00807E75"/>
    <w:rsid w:val="0081242C"/>
    <w:rsid w:val="00822150"/>
    <w:rsid w:val="008258CC"/>
    <w:rsid w:val="00826E34"/>
    <w:rsid w:val="00827479"/>
    <w:rsid w:val="008327D4"/>
    <w:rsid w:val="00844D5B"/>
    <w:rsid w:val="00846FA5"/>
    <w:rsid w:val="00847625"/>
    <w:rsid w:val="00847F01"/>
    <w:rsid w:val="008606EE"/>
    <w:rsid w:val="008633DD"/>
    <w:rsid w:val="00870D92"/>
    <w:rsid w:val="00874151"/>
    <w:rsid w:val="00893E14"/>
    <w:rsid w:val="00896D4F"/>
    <w:rsid w:val="008A0CFE"/>
    <w:rsid w:val="008A56FE"/>
    <w:rsid w:val="008A5BBB"/>
    <w:rsid w:val="008A6B94"/>
    <w:rsid w:val="008B0A82"/>
    <w:rsid w:val="008B11B2"/>
    <w:rsid w:val="008B1776"/>
    <w:rsid w:val="008B2B78"/>
    <w:rsid w:val="008B44B7"/>
    <w:rsid w:val="008B5831"/>
    <w:rsid w:val="008C6A53"/>
    <w:rsid w:val="008F60F9"/>
    <w:rsid w:val="008F6CC8"/>
    <w:rsid w:val="00901B01"/>
    <w:rsid w:val="00902B9C"/>
    <w:rsid w:val="00914CAA"/>
    <w:rsid w:val="00930896"/>
    <w:rsid w:val="00933179"/>
    <w:rsid w:val="009400A1"/>
    <w:rsid w:val="00940B52"/>
    <w:rsid w:val="00950698"/>
    <w:rsid w:val="00950A39"/>
    <w:rsid w:val="00951D8B"/>
    <w:rsid w:val="00955689"/>
    <w:rsid w:val="009563F2"/>
    <w:rsid w:val="0096442B"/>
    <w:rsid w:val="00970939"/>
    <w:rsid w:val="00970CD5"/>
    <w:rsid w:val="00972A82"/>
    <w:rsid w:val="00974B84"/>
    <w:rsid w:val="009834C2"/>
    <w:rsid w:val="00996DF4"/>
    <w:rsid w:val="009B7756"/>
    <w:rsid w:val="009C1EF6"/>
    <w:rsid w:val="009C3D8F"/>
    <w:rsid w:val="009C75D6"/>
    <w:rsid w:val="009D6A25"/>
    <w:rsid w:val="009D6B1E"/>
    <w:rsid w:val="009E1EA4"/>
    <w:rsid w:val="009E206A"/>
    <w:rsid w:val="009F522B"/>
    <w:rsid w:val="009F5E7F"/>
    <w:rsid w:val="00A02247"/>
    <w:rsid w:val="00A0252A"/>
    <w:rsid w:val="00A03B9E"/>
    <w:rsid w:val="00A0780E"/>
    <w:rsid w:val="00A14408"/>
    <w:rsid w:val="00A231F3"/>
    <w:rsid w:val="00A25DEF"/>
    <w:rsid w:val="00A27A38"/>
    <w:rsid w:val="00A3065F"/>
    <w:rsid w:val="00A341C1"/>
    <w:rsid w:val="00A34632"/>
    <w:rsid w:val="00A34E65"/>
    <w:rsid w:val="00A408C1"/>
    <w:rsid w:val="00A44DFA"/>
    <w:rsid w:val="00A50333"/>
    <w:rsid w:val="00A50725"/>
    <w:rsid w:val="00A50A6D"/>
    <w:rsid w:val="00A54BF1"/>
    <w:rsid w:val="00A554F5"/>
    <w:rsid w:val="00A55F2D"/>
    <w:rsid w:val="00A72889"/>
    <w:rsid w:val="00A72BD0"/>
    <w:rsid w:val="00A82529"/>
    <w:rsid w:val="00AA0329"/>
    <w:rsid w:val="00AA0337"/>
    <w:rsid w:val="00AA47AB"/>
    <w:rsid w:val="00AA6893"/>
    <w:rsid w:val="00AC0CB9"/>
    <w:rsid w:val="00AC64A6"/>
    <w:rsid w:val="00AC77C0"/>
    <w:rsid w:val="00AD59DF"/>
    <w:rsid w:val="00AD7BAD"/>
    <w:rsid w:val="00AF3989"/>
    <w:rsid w:val="00AF454D"/>
    <w:rsid w:val="00AF7EC3"/>
    <w:rsid w:val="00B0079A"/>
    <w:rsid w:val="00B04D6E"/>
    <w:rsid w:val="00B32011"/>
    <w:rsid w:val="00B339BE"/>
    <w:rsid w:val="00B35BD3"/>
    <w:rsid w:val="00B52642"/>
    <w:rsid w:val="00B534F6"/>
    <w:rsid w:val="00B57842"/>
    <w:rsid w:val="00B7269C"/>
    <w:rsid w:val="00B803A3"/>
    <w:rsid w:val="00B9400D"/>
    <w:rsid w:val="00BA5BD0"/>
    <w:rsid w:val="00BC7CA2"/>
    <w:rsid w:val="00BD0BA9"/>
    <w:rsid w:val="00BE7376"/>
    <w:rsid w:val="00C0048B"/>
    <w:rsid w:val="00C065F0"/>
    <w:rsid w:val="00C11C42"/>
    <w:rsid w:val="00C13CF6"/>
    <w:rsid w:val="00C1495C"/>
    <w:rsid w:val="00C304F7"/>
    <w:rsid w:val="00C37EFF"/>
    <w:rsid w:val="00C421B2"/>
    <w:rsid w:val="00C5017B"/>
    <w:rsid w:val="00C60F8F"/>
    <w:rsid w:val="00C64132"/>
    <w:rsid w:val="00C64138"/>
    <w:rsid w:val="00C66775"/>
    <w:rsid w:val="00C66C32"/>
    <w:rsid w:val="00C674AD"/>
    <w:rsid w:val="00C732B7"/>
    <w:rsid w:val="00C738ED"/>
    <w:rsid w:val="00C74A22"/>
    <w:rsid w:val="00C75C08"/>
    <w:rsid w:val="00C849BE"/>
    <w:rsid w:val="00C905F0"/>
    <w:rsid w:val="00C942CB"/>
    <w:rsid w:val="00CA2D3D"/>
    <w:rsid w:val="00CA3B99"/>
    <w:rsid w:val="00CA411F"/>
    <w:rsid w:val="00CA74CA"/>
    <w:rsid w:val="00CB3BD9"/>
    <w:rsid w:val="00CB77B1"/>
    <w:rsid w:val="00CC5DBC"/>
    <w:rsid w:val="00CC6599"/>
    <w:rsid w:val="00CC6BF0"/>
    <w:rsid w:val="00CD2A0C"/>
    <w:rsid w:val="00CD4249"/>
    <w:rsid w:val="00CD4DF3"/>
    <w:rsid w:val="00CD55E1"/>
    <w:rsid w:val="00CD5764"/>
    <w:rsid w:val="00CD6DB6"/>
    <w:rsid w:val="00CE1591"/>
    <w:rsid w:val="00CE4844"/>
    <w:rsid w:val="00CE65A8"/>
    <w:rsid w:val="00CF1035"/>
    <w:rsid w:val="00CF47D3"/>
    <w:rsid w:val="00D06571"/>
    <w:rsid w:val="00D07730"/>
    <w:rsid w:val="00D1054F"/>
    <w:rsid w:val="00D13B16"/>
    <w:rsid w:val="00D1788B"/>
    <w:rsid w:val="00D2082F"/>
    <w:rsid w:val="00D26B45"/>
    <w:rsid w:val="00D27378"/>
    <w:rsid w:val="00D31617"/>
    <w:rsid w:val="00D3620D"/>
    <w:rsid w:val="00D51040"/>
    <w:rsid w:val="00D543FF"/>
    <w:rsid w:val="00D6282F"/>
    <w:rsid w:val="00D635AC"/>
    <w:rsid w:val="00D74F1A"/>
    <w:rsid w:val="00D777BB"/>
    <w:rsid w:val="00DA3B4A"/>
    <w:rsid w:val="00DA6CEC"/>
    <w:rsid w:val="00DB29CB"/>
    <w:rsid w:val="00DB3695"/>
    <w:rsid w:val="00DB4391"/>
    <w:rsid w:val="00DB5585"/>
    <w:rsid w:val="00DC221C"/>
    <w:rsid w:val="00DC2818"/>
    <w:rsid w:val="00DC726E"/>
    <w:rsid w:val="00DD4BE1"/>
    <w:rsid w:val="00DD7E58"/>
    <w:rsid w:val="00DE0195"/>
    <w:rsid w:val="00DE1F52"/>
    <w:rsid w:val="00DE6212"/>
    <w:rsid w:val="00E155D6"/>
    <w:rsid w:val="00E21F05"/>
    <w:rsid w:val="00E325F8"/>
    <w:rsid w:val="00E575C0"/>
    <w:rsid w:val="00E576A6"/>
    <w:rsid w:val="00E62894"/>
    <w:rsid w:val="00E73619"/>
    <w:rsid w:val="00E7736E"/>
    <w:rsid w:val="00E775B9"/>
    <w:rsid w:val="00E83778"/>
    <w:rsid w:val="00EB3A79"/>
    <w:rsid w:val="00EB7838"/>
    <w:rsid w:val="00ED071D"/>
    <w:rsid w:val="00EE50BE"/>
    <w:rsid w:val="00EF3AD3"/>
    <w:rsid w:val="00F10451"/>
    <w:rsid w:val="00F12338"/>
    <w:rsid w:val="00F21D43"/>
    <w:rsid w:val="00F24759"/>
    <w:rsid w:val="00F32345"/>
    <w:rsid w:val="00F3635F"/>
    <w:rsid w:val="00F45909"/>
    <w:rsid w:val="00F52E54"/>
    <w:rsid w:val="00F5713B"/>
    <w:rsid w:val="00F7769D"/>
    <w:rsid w:val="00F90220"/>
    <w:rsid w:val="00F969B0"/>
    <w:rsid w:val="00FA119F"/>
    <w:rsid w:val="00FA193E"/>
    <w:rsid w:val="00FA578E"/>
    <w:rsid w:val="00FB39E0"/>
    <w:rsid w:val="00FB5622"/>
    <w:rsid w:val="00FB7EA8"/>
    <w:rsid w:val="00FC39FD"/>
    <w:rsid w:val="00FC5470"/>
    <w:rsid w:val="00FD2199"/>
    <w:rsid w:val="00FD3D6A"/>
    <w:rsid w:val="00FF32D1"/>
    <w:rsid w:val="00FF3935"/>
    <w:rsid w:val="00FF40CD"/>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9B7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
    <w:basedOn w:val="DefaultParagraphFont"/>
    <w:semiHidden/>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Char">
    <w:name w:val="fn Char"/>
    <w:aliases w:val="Footnote Text Char1 Char2,Footnote Text Char Char Char1,Footnote Text Char1 Char Char1,Footnote Text Char Char Char Char,Footnote Text MRP Char,Footnote Text Char1 Char Char Char"/>
    <w:semiHidden/>
    <w:rsid w:val="000B6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
    <w:basedOn w:val="DefaultParagraphFont"/>
    <w:semiHidden/>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Char">
    <w:name w:val="fn Char"/>
    <w:aliases w:val="Footnote Text Char1 Char2,Footnote Text Char Char Char1,Footnote Text Char1 Char Char1,Footnote Text Char Char Char Char,Footnote Text MRP Char,Footnote Text Char1 Char Char Char"/>
    <w:semiHidden/>
    <w:rsid w:val="000B6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3069">
      <w:bodyDiv w:val="1"/>
      <w:marLeft w:val="0"/>
      <w:marRight w:val="0"/>
      <w:marTop w:val="0"/>
      <w:marBottom w:val="0"/>
      <w:divBdr>
        <w:top w:val="none" w:sz="0" w:space="0" w:color="auto"/>
        <w:left w:val="none" w:sz="0" w:space="0" w:color="auto"/>
        <w:bottom w:val="none" w:sz="0" w:space="0" w:color="auto"/>
        <w:right w:val="none" w:sz="0" w:space="0" w:color="auto"/>
      </w:divBdr>
    </w:div>
    <w:div w:id="841314986">
      <w:marLeft w:val="0"/>
      <w:marRight w:val="0"/>
      <w:marTop w:val="0"/>
      <w:marBottom w:val="0"/>
      <w:divBdr>
        <w:top w:val="none" w:sz="0" w:space="0" w:color="auto"/>
        <w:left w:val="none" w:sz="0" w:space="0" w:color="auto"/>
        <w:bottom w:val="none" w:sz="0" w:space="0" w:color="auto"/>
        <w:right w:val="none" w:sz="0" w:space="0" w:color="auto"/>
      </w:divBdr>
    </w:div>
    <w:div w:id="841314987">
      <w:marLeft w:val="0"/>
      <w:marRight w:val="0"/>
      <w:marTop w:val="0"/>
      <w:marBottom w:val="0"/>
      <w:divBdr>
        <w:top w:val="none" w:sz="0" w:space="0" w:color="auto"/>
        <w:left w:val="none" w:sz="0" w:space="0" w:color="auto"/>
        <w:bottom w:val="none" w:sz="0" w:space="0" w:color="auto"/>
        <w:right w:val="none" w:sz="0" w:space="0" w:color="auto"/>
      </w:divBdr>
    </w:div>
    <w:div w:id="841314988">
      <w:marLeft w:val="0"/>
      <w:marRight w:val="0"/>
      <w:marTop w:val="0"/>
      <w:marBottom w:val="0"/>
      <w:divBdr>
        <w:top w:val="none" w:sz="0" w:space="0" w:color="auto"/>
        <w:left w:val="none" w:sz="0" w:space="0" w:color="auto"/>
        <w:bottom w:val="none" w:sz="0" w:space="0" w:color="auto"/>
        <w:right w:val="none" w:sz="0" w:space="0" w:color="auto"/>
      </w:divBdr>
    </w:div>
    <w:div w:id="977299876">
      <w:bodyDiv w:val="1"/>
      <w:marLeft w:val="0"/>
      <w:marRight w:val="0"/>
      <w:marTop w:val="0"/>
      <w:marBottom w:val="0"/>
      <w:divBdr>
        <w:top w:val="none" w:sz="0" w:space="0" w:color="auto"/>
        <w:left w:val="none" w:sz="0" w:space="0" w:color="auto"/>
        <w:bottom w:val="none" w:sz="0" w:space="0" w:color="auto"/>
        <w:right w:val="none" w:sz="0" w:space="0" w:color="auto"/>
      </w:divBdr>
    </w:div>
    <w:div w:id="1360744865">
      <w:bodyDiv w:val="1"/>
      <w:marLeft w:val="0"/>
      <w:marRight w:val="0"/>
      <w:marTop w:val="0"/>
      <w:marBottom w:val="0"/>
      <w:divBdr>
        <w:top w:val="none" w:sz="0" w:space="0" w:color="auto"/>
        <w:left w:val="none" w:sz="0" w:space="0" w:color="auto"/>
        <w:bottom w:val="none" w:sz="0" w:space="0" w:color="auto"/>
        <w:right w:val="none" w:sz="0" w:space="0" w:color="auto"/>
      </w:divBdr>
    </w:div>
    <w:div w:id="1404180886">
      <w:bodyDiv w:val="1"/>
      <w:marLeft w:val="0"/>
      <w:marRight w:val="0"/>
      <w:marTop w:val="0"/>
      <w:marBottom w:val="0"/>
      <w:divBdr>
        <w:top w:val="none" w:sz="0" w:space="0" w:color="auto"/>
        <w:left w:val="none" w:sz="0" w:space="0" w:color="auto"/>
        <w:bottom w:val="none" w:sz="0" w:space="0" w:color="auto"/>
        <w:right w:val="none" w:sz="0" w:space="0" w:color="auto"/>
      </w:divBdr>
    </w:div>
    <w:div w:id="1587425413">
      <w:bodyDiv w:val="1"/>
      <w:marLeft w:val="0"/>
      <w:marRight w:val="0"/>
      <w:marTop w:val="0"/>
      <w:marBottom w:val="0"/>
      <w:divBdr>
        <w:top w:val="none" w:sz="0" w:space="0" w:color="auto"/>
        <w:left w:val="none" w:sz="0" w:space="0" w:color="auto"/>
        <w:bottom w:val="none" w:sz="0" w:space="0" w:color="auto"/>
        <w:right w:val="none" w:sz="0" w:space="0" w:color="auto"/>
      </w:divBdr>
    </w:div>
    <w:div w:id="1949389760">
      <w:bodyDiv w:val="1"/>
      <w:marLeft w:val="0"/>
      <w:marRight w:val="0"/>
      <w:marTop w:val="0"/>
      <w:marBottom w:val="0"/>
      <w:divBdr>
        <w:top w:val="none" w:sz="0" w:space="0" w:color="auto"/>
        <w:left w:val="none" w:sz="0" w:space="0" w:color="auto"/>
        <w:bottom w:val="none" w:sz="0" w:space="0" w:color="auto"/>
        <w:right w:val="none" w:sz="0" w:space="0" w:color="auto"/>
      </w:divBdr>
    </w:div>
    <w:div w:id="2077320899">
      <w:bodyDiv w:val="1"/>
      <w:marLeft w:val="0"/>
      <w:marRight w:val="0"/>
      <w:marTop w:val="0"/>
      <w:marBottom w:val="0"/>
      <w:divBdr>
        <w:top w:val="none" w:sz="0" w:space="0" w:color="auto"/>
        <w:left w:val="none" w:sz="0" w:space="0" w:color="auto"/>
        <w:bottom w:val="none" w:sz="0" w:space="0" w:color="auto"/>
        <w:right w:val="none" w:sz="0" w:space="0" w:color="auto"/>
      </w:divBdr>
    </w:div>
    <w:div w:id="21436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docs-filing/etariff.asp" TargetMode="External"/><Relationship Id="rId2" Type="http://schemas.openxmlformats.org/officeDocument/2006/relationships/hyperlink" Target="http://elibrary.ferc.gov/idmws/common/opennat.asp?fileID=13165589" TargetMode="External"/><Relationship Id="rId1" Type="http://schemas.openxmlformats.org/officeDocument/2006/relationships/hyperlink" Target="http://www.naesb.org/" TargetMode="External"/><Relationship Id="rId5" Type="http://schemas.openxmlformats.org/officeDocument/2006/relationships/hyperlink" Target="http://www.bls.gov/news.release/ecec.nr0.htm" TargetMode="External"/><Relationship Id="rId4" Type="http://schemas.openxmlformats.org/officeDocument/2006/relationships/hyperlink" Target="http://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2014-03-28T00:00:00-04:00</Date>
    <Status xmlns="d6eefc7d-9817-4fa6-84d5-3bc009be21b8">Draft</Status>
    <_x0032__x002e__x0020_Docket_x0020_Number xmlns="d6eefc7d-9817-4fa6-84d5-3bc009be21b8" xsi:nil="true"/>
    <_x0032__x002e__x0020_Collection_x0020_Number xmlns="d6eefc7d-9817-4fa6-84d5-3bc009be21b8">549C</_x0032__x002e__x0020_Collection_x0020_Number>
    <_x0031__x002e__x0020_Docket_x0020_Number xmlns="d6eefc7d-9817-4fa6-84d5-3bc009be21b8">RM14-2</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D6066-A37A-412B-A067-5F358D91970D}">
  <ds:schemaRefs>
    <ds:schemaRef ds:uri="http://schemas.microsoft.com/office/2006/metadata/customXsn"/>
  </ds:schemaRefs>
</ds:datastoreItem>
</file>

<file path=customXml/itemProps2.xml><?xml version="1.0" encoding="utf-8"?>
<ds:datastoreItem xmlns:ds="http://schemas.openxmlformats.org/officeDocument/2006/customXml" ds:itemID="{A568FE1D-1662-4416-ACAA-318AE10A9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7DA53-45DE-4936-A752-5CD6826E5BED}">
  <ds:schemaRefs>
    <ds:schemaRef ds:uri="http://purl.org/dc/elements/1.1/"/>
    <ds:schemaRef ds:uri="http://schemas.microsoft.com/office/infopath/2007/PartnerControl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09A4365-0542-49B5-8C43-1CB9FABA6327}">
  <ds:schemaRefs>
    <ds:schemaRef ds:uri="http://schemas.microsoft.com/sharepoint/v3/contenttype/forms"/>
  </ds:schemaRefs>
</ds:datastoreItem>
</file>

<file path=customXml/itemProps5.xml><?xml version="1.0" encoding="utf-8"?>
<ds:datastoreItem xmlns:ds="http://schemas.openxmlformats.org/officeDocument/2006/customXml" ds:itemID="{2F1F59F0-FC1B-4FA8-9156-BA0746E1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3934</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Federal Energy Regulatory Commission</Company>
  <LinksUpToDate>false</LinksUpToDate>
  <CharactersWithSpaces>26713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Ellen Brown</dc:creator>
  <cp:lastModifiedBy>Ellen Brown</cp:lastModifiedBy>
  <cp:revision>3</cp:revision>
  <cp:lastPrinted>2014-03-25T13:00:00Z</cp:lastPrinted>
  <dcterms:created xsi:type="dcterms:W3CDTF">2014-03-28T13:37:00Z</dcterms:created>
  <dcterms:modified xsi:type="dcterms:W3CDTF">2014-03-28T13:37:00Z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