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C448E8">
      <w:pPr>
        <w:suppressAutoHyphens/>
        <w:jc w:val="center"/>
        <w:rPr>
          <w:rFonts w:ascii="Times New Roman" w:hAnsi="Times New Roman"/>
          <w:b/>
          <w:szCs w:val="24"/>
        </w:rPr>
      </w:pPr>
      <w:bookmarkStart w:id="0" w:name="Text1"/>
      <w:r>
        <w:rPr>
          <w:rFonts w:ascii="Times New Roman" w:hAnsi="Times New Roman"/>
          <w:b/>
          <w:szCs w:val="24"/>
        </w:rPr>
        <w:t>TEACH Grant Data Collection Tool</w:t>
      </w:r>
      <w:r w:rsidR="007E77FA"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007E77FA" w:rsidRPr="00EF7FF5">
        <w:rPr>
          <w:rFonts w:ascii="Times New Roman" w:hAnsi="Times New Roman"/>
          <w:b/>
          <w:szCs w:val="24"/>
        </w:rPr>
      </w:r>
      <w:r w:rsidR="007E77FA"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7E77FA"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EB5FB3" w:rsidRDefault="00EB5FB3" w:rsidP="00EB5FB3">
      <w:pPr>
        <w:widowControl w:val="0"/>
        <w:rPr>
          <w:rFonts w:ascii="Times New Roman" w:hAnsi="Times New Roman"/>
          <w:szCs w:val="24"/>
        </w:rPr>
      </w:pPr>
    </w:p>
    <w:p w:rsidR="00EB5FB3" w:rsidRDefault="00EB5FB3" w:rsidP="00BB3384">
      <w:pPr>
        <w:widowControl w:val="0"/>
        <w:ind w:left="720"/>
        <w:rPr>
          <w:rFonts w:ascii="Times New Roman" w:hAnsi="Times New Roman"/>
          <w:szCs w:val="24"/>
        </w:rPr>
      </w:pPr>
      <w:r>
        <w:rPr>
          <w:rFonts w:ascii="Times New Roman" w:hAnsi="Times New Roman"/>
          <w:szCs w:val="24"/>
        </w:rPr>
        <w:t>Section 420P of the Higher Education Act, as amended by the Higher Education Opportunity Act of 2008, requires the</w:t>
      </w:r>
      <w:r w:rsidRPr="002230E8">
        <w:rPr>
          <w:rFonts w:ascii="Times New Roman" w:hAnsi="Times New Roman"/>
          <w:szCs w:val="24"/>
        </w:rPr>
        <w:t xml:space="preserve"> Secretary of Education to</w:t>
      </w:r>
      <w:r>
        <w:rPr>
          <w:rFonts w:ascii="Times New Roman" w:hAnsi="Times New Roman"/>
          <w:szCs w:val="24"/>
        </w:rPr>
        <w:t xml:space="preserve"> submit a</w:t>
      </w:r>
      <w:r w:rsidRPr="002230E8">
        <w:rPr>
          <w:rFonts w:ascii="Times New Roman" w:hAnsi="Times New Roman"/>
          <w:szCs w:val="24"/>
        </w:rPr>
        <w:t xml:space="preserve"> report to Congress</w:t>
      </w:r>
      <w:r>
        <w:rPr>
          <w:rFonts w:ascii="Times New Roman" w:hAnsi="Times New Roman"/>
          <w:szCs w:val="24"/>
        </w:rPr>
        <w:t xml:space="preserve"> every two years with respect to schools and students served by schools that participate in</w:t>
      </w:r>
      <w:r w:rsidRPr="002230E8">
        <w:rPr>
          <w:rFonts w:ascii="Times New Roman" w:hAnsi="Times New Roman"/>
          <w:szCs w:val="24"/>
        </w:rPr>
        <w:t xml:space="preserve"> the</w:t>
      </w:r>
      <w:r w:rsidRPr="0087487F">
        <w:rPr>
          <w:rFonts w:ascii="Times New Roman" w:hAnsi="Times New Roman"/>
          <w:color w:val="000000"/>
        </w:rPr>
        <w:t xml:space="preserve"> </w:t>
      </w:r>
      <w:r w:rsidRPr="00AD569E">
        <w:rPr>
          <w:rFonts w:ascii="Times New Roman" w:hAnsi="Times New Roman"/>
          <w:color w:val="000000"/>
        </w:rPr>
        <w:t>Teacher Education Assistance for Higher Education</w:t>
      </w:r>
      <w:r w:rsidRPr="002230E8">
        <w:rPr>
          <w:rFonts w:ascii="Times New Roman" w:hAnsi="Times New Roman"/>
          <w:szCs w:val="24"/>
        </w:rPr>
        <w:t xml:space="preserve"> </w:t>
      </w:r>
      <w:r>
        <w:rPr>
          <w:rFonts w:ascii="Times New Roman" w:hAnsi="Times New Roman"/>
          <w:szCs w:val="24"/>
        </w:rPr>
        <w:t>(</w:t>
      </w:r>
      <w:r w:rsidRPr="002230E8">
        <w:rPr>
          <w:rFonts w:ascii="Times New Roman" w:hAnsi="Times New Roman"/>
          <w:szCs w:val="24"/>
        </w:rPr>
        <w:t>TEACH</w:t>
      </w:r>
      <w:r>
        <w:rPr>
          <w:rFonts w:ascii="Times New Roman" w:hAnsi="Times New Roman"/>
          <w:szCs w:val="24"/>
        </w:rPr>
        <w:t>)</w:t>
      </w:r>
      <w:r w:rsidRPr="002230E8">
        <w:rPr>
          <w:rFonts w:ascii="Times New Roman" w:hAnsi="Times New Roman"/>
          <w:szCs w:val="24"/>
        </w:rPr>
        <w:t xml:space="preserve"> Grant Program</w:t>
      </w:r>
      <w:r>
        <w:rPr>
          <w:rFonts w:ascii="Times New Roman" w:hAnsi="Times New Roman"/>
          <w:szCs w:val="24"/>
        </w:rPr>
        <w:t>.  The report must take into consideration information related to:</w:t>
      </w:r>
      <w:r w:rsidRPr="002230E8">
        <w:rPr>
          <w:rFonts w:ascii="Times New Roman" w:hAnsi="Times New Roman"/>
          <w:szCs w:val="24"/>
        </w:rPr>
        <w:t xml:space="preserve"> </w:t>
      </w:r>
      <w:r w:rsidRPr="00AD569E">
        <w:rPr>
          <w:rFonts w:ascii="Times New Roman" w:hAnsi="Times New Roman"/>
          <w:color w:val="000000"/>
        </w:rPr>
        <w:t>(1) the number of TEACH grant recipients;</w:t>
      </w:r>
      <w:r>
        <w:rPr>
          <w:rFonts w:ascii="Times New Roman" w:hAnsi="Times New Roman"/>
          <w:color w:val="000000"/>
        </w:rPr>
        <w:t xml:space="preserve"> </w:t>
      </w:r>
      <w:r w:rsidRPr="00AD569E">
        <w:rPr>
          <w:rFonts w:ascii="Times New Roman" w:hAnsi="Times New Roman"/>
          <w:color w:val="000000"/>
        </w:rPr>
        <w:t>(2) the degrees obtained by such recipients;</w:t>
      </w:r>
      <w:r>
        <w:rPr>
          <w:rFonts w:ascii="Times New Roman" w:hAnsi="Times New Roman"/>
          <w:color w:val="000000"/>
        </w:rPr>
        <w:t xml:space="preserve"> </w:t>
      </w:r>
      <w:r w:rsidRPr="00AD569E">
        <w:rPr>
          <w:rFonts w:ascii="Times New Roman" w:hAnsi="Times New Roman"/>
          <w:color w:val="000000"/>
        </w:rPr>
        <w:t>(3) the location, including the school, local educational</w:t>
      </w:r>
      <w:r>
        <w:rPr>
          <w:rFonts w:ascii="Times New Roman" w:hAnsi="Times New Roman"/>
          <w:color w:val="000000"/>
        </w:rPr>
        <w:t xml:space="preserve"> </w:t>
      </w:r>
      <w:r w:rsidRPr="00AD569E">
        <w:rPr>
          <w:rFonts w:ascii="Times New Roman" w:hAnsi="Times New Roman"/>
          <w:color w:val="000000"/>
        </w:rPr>
        <w:t>agency, and State, where the recipients completed the service</w:t>
      </w:r>
      <w:r>
        <w:rPr>
          <w:rFonts w:ascii="Times New Roman" w:hAnsi="Times New Roman"/>
          <w:color w:val="000000"/>
        </w:rPr>
        <w:t xml:space="preserve"> </w:t>
      </w:r>
      <w:r w:rsidRPr="00AD569E">
        <w:rPr>
          <w:rFonts w:ascii="Times New Roman" w:hAnsi="Times New Roman"/>
          <w:color w:val="000000"/>
        </w:rPr>
        <w:t>agreed to under section 420N</w:t>
      </w:r>
      <w:r>
        <w:rPr>
          <w:rFonts w:ascii="Times New Roman" w:hAnsi="Times New Roman"/>
          <w:color w:val="000000"/>
        </w:rPr>
        <w:t xml:space="preserve"> </w:t>
      </w:r>
      <w:r w:rsidRPr="00AD569E">
        <w:rPr>
          <w:rFonts w:ascii="Times New Roman" w:hAnsi="Times New Roman"/>
          <w:color w:val="000000"/>
        </w:rPr>
        <w:t>and the subject taught;</w:t>
      </w:r>
      <w:r>
        <w:rPr>
          <w:rFonts w:ascii="Times New Roman" w:hAnsi="Times New Roman"/>
          <w:color w:val="000000"/>
        </w:rPr>
        <w:t xml:space="preserve"> </w:t>
      </w:r>
      <w:r w:rsidRPr="00AD569E">
        <w:rPr>
          <w:rFonts w:ascii="Times New Roman" w:hAnsi="Times New Roman"/>
          <w:color w:val="000000"/>
        </w:rPr>
        <w:t>(</w:t>
      </w:r>
      <w:r w:rsidR="006177A2">
        <w:rPr>
          <w:rFonts w:ascii="Times New Roman" w:hAnsi="Times New Roman"/>
          <w:color w:val="000000"/>
        </w:rPr>
        <w:t>4</w:t>
      </w:r>
      <w:r w:rsidRPr="00AD569E">
        <w:rPr>
          <w:rFonts w:ascii="Times New Roman" w:hAnsi="Times New Roman"/>
          <w:color w:val="000000"/>
        </w:rPr>
        <w:t>) the duration of such service; and</w:t>
      </w:r>
      <w:r>
        <w:rPr>
          <w:rFonts w:ascii="Times New Roman" w:hAnsi="Times New Roman"/>
          <w:color w:val="000000"/>
        </w:rPr>
        <w:t xml:space="preserve"> </w:t>
      </w:r>
      <w:r w:rsidRPr="00AD569E">
        <w:rPr>
          <w:rFonts w:ascii="Times New Roman" w:hAnsi="Times New Roman"/>
          <w:color w:val="000000"/>
        </w:rPr>
        <w:t>(</w:t>
      </w:r>
      <w:r w:rsidR="006177A2">
        <w:rPr>
          <w:rFonts w:ascii="Times New Roman" w:hAnsi="Times New Roman"/>
          <w:color w:val="000000"/>
        </w:rPr>
        <w:t>5</w:t>
      </w:r>
      <w:r w:rsidRPr="00AD569E">
        <w:rPr>
          <w:rFonts w:ascii="Times New Roman" w:hAnsi="Times New Roman"/>
          <w:color w:val="000000"/>
        </w:rPr>
        <w:t>) any other data necessary to conduct such evaluation</w:t>
      </w:r>
      <w:r>
        <w:rPr>
          <w:rFonts w:ascii="Times New Roman" w:hAnsi="Times New Roman"/>
          <w:color w:val="000000"/>
        </w:rPr>
        <w:t>.  The Department has determined that the inclusion of data on a student’s eligible field of study and cost of education is necessary to better inform the evaluation.</w:t>
      </w:r>
    </w:p>
    <w:p w:rsidR="003C4870" w:rsidRDefault="003C4870" w:rsidP="003C4870">
      <w:pPr>
        <w:autoSpaceDE w:val="0"/>
        <w:autoSpaceDN w:val="0"/>
        <w:adjustRightInd w:val="0"/>
        <w:rPr>
          <w:rFonts w:ascii="NewCenturySchlbk-Bold" w:hAnsi="NewCenturySchlbk-Bold" w:cs="NewCenturySchlbk-Bold"/>
          <w:b/>
          <w:bCs/>
          <w:sz w:val="16"/>
          <w:szCs w:val="16"/>
        </w:rPr>
      </w:pPr>
    </w:p>
    <w:p w:rsidR="003C4870" w:rsidRDefault="003C4870" w:rsidP="003C4870">
      <w:pPr>
        <w:widowControl w:val="0"/>
        <w:ind w:left="5"/>
        <w:rPr>
          <w:rFonts w:ascii="Times New Roman" w:hAnsi="Times New Roman"/>
          <w:color w:val="000000"/>
        </w:rPr>
      </w:pPr>
    </w:p>
    <w:p w:rsidR="006177A2" w:rsidRDefault="00EB5FB3" w:rsidP="00BB3384">
      <w:pPr>
        <w:widowControl w:val="0"/>
        <w:ind w:left="720"/>
        <w:rPr>
          <w:rFonts w:ascii="Times New Roman" w:hAnsi="Times New Roman"/>
          <w:color w:val="000000"/>
        </w:rPr>
      </w:pPr>
      <w:r>
        <w:rPr>
          <w:rFonts w:ascii="Times New Roman" w:hAnsi="Times New Roman"/>
          <w:color w:val="000000"/>
        </w:rPr>
        <w:t>Elements 1-</w:t>
      </w:r>
      <w:r w:rsidR="006177A2">
        <w:rPr>
          <w:rFonts w:ascii="Times New Roman" w:hAnsi="Times New Roman"/>
          <w:color w:val="000000"/>
        </w:rPr>
        <w:t>4</w:t>
      </w:r>
      <w:r>
        <w:rPr>
          <w:rFonts w:ascii="Times New Roman" w:hAnsi="Times New Roman"/>
          <w:color w:val="000000"/>
        </w:rPr>
        <w:t xml:space="preserve"> of the report are based on data collected by Federal Student Aid (FSA) through </w:t>
      </w:r>
      <w:r w:rsidRPr="00BA198C">
        <w:rPr>
          <w:rFonts w:ascii="Times New Roman" w:hAnsi="Times New Roman"/>
          <w:szCs w:val="24"/>
        </w:rPr>
        <w:t>th</w:t>
      </w:r>
      <w:r>
        <w:rPr>
          <w:rFonts w:ascii="Times New Roman" w:hAnsi="Times New Roman"/>
          <w:szCs w:val="24"/>
        </w:rPr>
        <w:t>e National Student Loan Data</w:t>
      </w:r>
      <w:r w:rsidRPr="00BA198C">
        <w:rPr>
          <w:rFonts w:ascii="Times New Roman" w:hAnsi="Times New Roman"/>
          <w:szCs w:val="24"/>
        </w:rPr>
        <w:t xml:space="preserve"> System (NSLDS), the Application Processing System, and the Common Originatio</w:t>
      </w:r>
      <w:r>
        <w:rPr>
          <w:rFonts w:ascii="Times New Roman" w:hAnsi="Times New Roman"/>
          <w:szCs w:val="24"/>
        </w:rPr>
        <w:t>n and Disbursement (COD) System</w:t>
      </w:r>
      <w:r>
        <w:rPr>
          <w:rFonts w:ascii="Times New Roman" w:hAnsi="Times New Roman"/>
          <w:color w:val="000000"/>
        </w:rPr>
        <w:t xml:space="preserve">.  </w:t>
      </w:r>
    </w:p>
    <w:p w:rsidR="006177A2" w:rsidRDefault="006177A2" w:rsidP="00EB5FB3">
      <w:pPr>
        <w:widowControl w:val="0"/>
        <w:ind w:left="5"/>
        <w:rPr>
          <w:rFonts w:ascii="Times New Roman" w:hAnsi="Times New Roman"/>
          <w:color w:val="000000"/>
        </w:rPr>
      </w:pPr>
    </w:p>
    <w:p w:rsidR="00EB5FB3" w:rsidRPr="00D1478D" w:rsidRDefault="006177A2" w:rsidP="00BB3384">
      <w:pPr>
        <w:widowControl w:val="0"/>
        <w:ind w:left="720"/>
        <w:rPr>
          <w:rFonts w:ascii="Times New Roman" w:hAnsi="Times New Roman"/>
          <w:color w:val="000000"/>
        </w:rPr>
      </w:pPr>
      <w:r>
        <w:rPr>
          <w:rFonts w:ascii="Times New Roman" w:hAnsi="Times New Roman"/>
          <w:color w:val="000000"/>
        </w:rPr>
        <w:t xml:space="preserve">Under element 6, </w:t>
      </w:r>
      <w:r w:rsidR="00EB5FB3">
        <w:rPr>
          <w:rFonts w:ascii="Times New Roman" w:hAnsi="Times New Roman"/>
          <w:color w:val="000000"/>
        </w:rPr>
        <w:t xml:space="preserve">data on eligible field of study and cost of education </w:t>
      </w:r>
      <w:r>
        <w:rPr>
          <w:rFonts w:ascii="Times New Roman" w:hAnsi="Times New Roman"/>
          <w:color w:val="000000"/>
        </w:rPr>
        <w:t>has been determined to be additional information necessary to report to the Secretary.  These data are</w:t>
      </w:r>
      <w:r w:rsidR="00EB5FB3">
        <w:rPr>
          <w:rFonts w:ascii="Times New Roman" w:hAnsi="Times New Roman"/>
          <w:color w:val="000000"/>
        </w:rPr>
        <w:t xml:space="preserve"> collected from each school that participates in the TEACH Grant Program using a separate data collection tool.</w:t>
      </w:r>
      <w:r>
        <w:rPr>
          <w:rFonts w:ascii="Times New Roman" w:hAnsi="Times New Roman"/>
          <w:color w:val="000000"/>
        </w:rPr>
        <w:t xml:space="preserve">  It is this separate data collection t</w:t>
      </w:r>
      <w:r w:rsidR="00DC0243">
        <w:rPr>
          <w:rFonts w:ascii="Times New Roman" w:hAnsi="Times New Roman"/>
          <w:color w:val="000000"/>
        </w:rPr>
        <w:t>ool t</w:t>
      </w:r>
      <w:r>
        <w:rPr>
          <w:rFonts w:ascii="Times New Roman" w:hAnsi="Times New Roman"/>
          <w:color w:val="000000"/>
        </w:rPr>
        <w:t>hat is the focus of this information collection request.</w:t>
      </w:r>
    </w:p>
    <w:p w:rsidR="00386054" w:rsidRDefault="00386054">
      <w:pPr>
        <w:suppressAutoHyphens/>
        <w:rPr>
          <w:rFonts w:ascii="Times New Roman" w:hAnsi="Times New Roman"/>
          <w:szCs w:val="24"/>
        </w:rPr>
      </w:pPr>
    </w:p>
    <w:p w:rsidR="00EB5FB3" w:rsidRDefault="00EB5FB3">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EB5FB3" w:rsidRDefault="00EB5FB3" w:rsidP="00BB3384">
      <w:pPr>
        <w:widowControl w:val="0"/>
        <w:ind w:left="720"/>
        <w:rPr>
          <w:rFonts w:ascii="Times New Roman" w:hAnsi="Times New Roman"/>
          <w:b/>
          <w:bCs/>
        </w:rPr>
      </w:pPr>
      <w:r>
        <w:rPr>
          <w:rFonts w:ascii="Times New Roman" w:hAnsi="Times New Roman"/>
          <w:color w:val="000000"/>
        </w:rPr>
        <w:t xml:space="preserve">The Department uses the information collected to prepare a Congressionally-mandated report on </w:t>
      </w:r>
      <w:r w:rsidRPr="00204C74">
        <w:rPr>
          <w:rFonts w:ascii="Times New Roman" w:hAnsi="Times New Roman"/>
          <w:szCs w:val="24"/>
        </w:rPr>
        <w:t>TEACH grants with respect to the schools and students served by recipients of such grants</w:t>
      </w:r>
      <w:r w:rsidRPr="005A2992">
        <w:rPr>
          <w:rFonts w:ascii="Times New Roman" w:hAnsi="Times New Roman"/>
          <w:color w:val="000000"/>
          <w:szCs w:val="24"/>
        </w:rPr>
        <w:t>.</w:t>
      </w:r>
      <w:r w:rsidRPr="00204C74">
        <w:rPr>
          <w:rFonts w:ascii="Times New Roman" w:hAnsi="Times New Roman"/>
          <w:color w:val="000000"/>
          <w:szCs w:val="24"/>
        </w:rPr>
        <w:t xml:space="preserve">  The</w:t>
      </w:r>
      <w:r>
        <w:rPr>
          <w:rFonts w:ascii="Times New Roman" w:hAnsi="Times New Roman"/>
          <w:color w:val="000000"/>
          <w:szCs w:val="24"/>
        </w:rPr>
        <w:t xml:space="preserve"> data collected on a</w:t>
      </w:r>
      <w:r w:rsidRPr="00204C74">
        <w:rPr>
          <w:rFonts w:ascii="Times New Roman" w:hAnsi="Times New Roman"/>
          <w:color w:val="000000"/>
          <w:szCs w:val="24"/>
        </w:rPr>
        <w:t xml:space="preserve"> </w:t>
      </w:r>
      <w:r>
        <w:rPr>
          <w:rFonts w:ascii="Times New Roman" w:hAnsi="Times New Roman"/>
          <w:color w:val="000000"/>
        </w:rPr>
        <w:t xml:space="preserve">student’s </w:t>
      </w:r>
      <w:r>
        <w:rPr>
          <w:rFonts w:ascii="Times New Roman" w:hAnsi="Times New Roman"/>
          <w:color w:val="000000"/>
          <w:szCs w:val="24"/>
        </w:rPr>
        <w:t>e</w:t>
      </w:r>
      <w:r w:rsidRPr="00AD569E">
        <w:rPr>
          <w:rFonts w:ascii="Times New Roman" w:hAnsi="Times New Roman"/>
          <w:color w:val="000000"/>
        </w:rPr>
        <w:t xml:space="preserve">ligible field of study and </w:t>
      </w:r>
      <w:r w:rsidRPr="002230E8">
        <w:rPr>
          <w:rFonts w:ascii="Times New Roman" w:hAnsi="Times New Roman"/>
          <w:szCs w:val="24"/>
        </w:rPr>
        <w:t>cost of education</w:t>
      </w:r>
      <w:r>
        <w:rPr>
          <w:rFonts w:ascii="Times New Roman" w:hAnsi="Times New Roman"/>
          <w:color w:val="000000"/>
          <w:szCs w:val="24"/>
        </w:rPr>
        <w:t xml:space="preserve"> will be combined with data already collected by FSA to compile this report for Congress.</w:t>
      </w:r>
      <w:r>
        <w:rPr>
          <w:rFonts w:ascii="Times New Roman" w:hAnsi="Times New Roman"/>
          <w:b/>
          <w:bCs/>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EB5FB3" w:rsidRPr="0043275A" w:rsidRDefault="007D1974" w:rsidP="00BB3384">
      <w:pPr>
        <w:ind w:left="720"/>
        <w:rPr>
          <w:rFonts w:ascii="Times New Roman" w:hAnsi="Times New Roman"/>
          <w:color w:val="000000"/>
        </w:rPr>
      </w:pPr>
      <w:r>
        <w:rPr>
          <w:rFonts w:ascii="Times New Roman" w:hAnsi="Times New Roman"/>
          <w:color w:val="000000"/>
        </w:rPr>
        <w:t>In order to minimize response burden, a</w:t>
      </w:r>
      <w:r w:rsidR="00EB5FB3">
        <w:rPr>
          <w:rFonts w:ascii="Times New Roman" w:hAnsi="Times New Roman"/>
          <w:color w:val="000000"/>
        </w:rPr>
        <w:t xml:space="preserve"> data collection tool used to collect a student’s eligible field of study and cost of education was developed and placed on the OPE website</w:t>
      </w:r>
      <w:r w:rsidR="00DC0243">
        <w:rPr>
          <w:rFonts w:ascii="Times New Roman" w:hAnsi="Times New Roman"/>
          <w:color w:val="000000"/>
        </w:rPr>
        <w:t>,</w:t>
      </w:r>
      <w:r w:rsidR="00EB5FB3">
        <w:rPr>
          <w:rFonts w:ascii="Times New Roman" w:hAnsi="Times New Roman"/>
          <w:color w:val="000000"/>
        </w:rPr>
        <w:t xml:space="preserve"> as approved </w:t>
      </w:r>
      <w:r w:rsidR="00EB5FB3" w:rsidRPr="0043275A">
        <w:rPr>
          <w:rFonts w:ascii="Times New Roman" w:hAnsi="Times New Roman"/>
          <w:color w:val="000000"/>
        </w:rPr>
        <w:t>OMB Control Number 1840-0819</w:t>
      </w:r>
      <w:r w:rsidR="00DC0243">
        <w:rPr>
          <w:rFonts w:ascii="Times New Roman" w:hAnsi="Times New Roman"/>
          <w:color w:val="000000"/>
        </w:rPr>
        <w:t>,</w:t>
      </w:r>
      <w:r w:rsidR="00EB5FB3">
        <w:rPr>
          <w:rFonts w:ascii="Times New Roman" w:hAnsi="Times New Roman"/>
          <w:color w:val="000000"/>
        </w:rPr>
        <w:t xml:space="preserve"> to collect data for </w:t>
      </w:r>
      <w:r w:rsidR="00EB5FB3" w:rsidRPr="0043275A">
        <w:rPr>
          <w:rFonts w:ascii="Times New Roman" w:hAnsi="Times New Roman"/>
          <w:color w:val="000000"/>
        </w:rPr>
        <w:t xml:space="preserve">TEACH grant funds </w:t>
      </w:r>
      <w:r w:rsidR="00EB5FB3">
        <w:rPr>
          <w:rFonts w:ascii="Times New Roman" w:hAnsi="Times New Roman"/>
          <w:color w:val="000000"/>
        </w:rPr>
        <w:t xml:space="preserve">that were dispersed </w:t>
      </w:r>
      <w:r w:rsidR="00EB5FB3" w:rsidRPr="0043275A">
        <w:rPr>
          <w:rFonts w:ascii="Times New Roman" w:hAnsi="Times New Roman"/>
          <w:color w:val="000000"/>
        </w:rPr>
        <w:t xml:space="preserve">during the 2012-13 award year. </w:t>
      </w:r>
      <w:r w:rsidR="00EB5FB3">
        <w:rPr>
          <w:rFonts w:ascii="Times New Roman" w:hAnsi="Times New Roman"/>
          <w:color w:val="000000"/>
        </w:rPr>
        <w:t xml:space="preserve">The language on that data collection tool will be updated in order to collect those same data for </w:t>
      </w:r>
      <w:r w:rsidR="00EB5FB3" w:rsidRPr="0043275A">
        <w:rPr>
          <w:rFonts w:ascii="Times New Roman" w:hAnsi="Times New Roman"/>
          <w:color w:val="000000"/>
        </w:rPr>
        <w:t xml:space="preserve">TEACH grant funds </w:t>
      </w:r>
      <w:r w:rsidR="00EB5FB3">
        <w:rPr>
          <w:rFonts w:ascii="Times New Roman" w:hAnsi="Times New Roman"/>
          <w:color w:val="000000"/>
        </w:rPr>
        <w:t xml:space="preserve">that are dispersed </w:t>
      </w:r>
      <w:r w:rsidR="00EB5FB3" w:rsidRPr="0043275A">
        <w:rPr>
          <w:rFonts w:ascii="Times New Roman" w:hAnsi="Times New Roman"/>
          <w:color w:val="000000"/>
        </w:rPr>
        <w:t>during the 201</w:t>
      </w:r>
      <w:r w:rsidR="00EB5FB3">
        <w:rPr>
          <w:rFonts w:ascii="Times New Roman" w:hAnsi="Times New Roman"/>
          <w:color w:val="000000"/>
        </w:rPr>
        <w:t>3</w:t>
      </w:r>
      <w:r w:rsidR="00EB5FB3" w:rsidRPr="0043275A">
        <w:rPr>
          <w:rFonts w:ascii="Times New Roman" w:hAnsi="Times New Roman"/>
          <w:color w:val="000000"/>
        </w:rPr>
        <w:t>-1</w:t>
      </w:r>
      <w:r w:rsidR="00EB5FB3">
        <w:rPr>
          <w:rFonts w:ascii="Times New Roman" w:hAnsi="Times New Roman"/>
          <w:color w:val="000000"/>
        </w:rPr>
        <w:t>4</w:t>
      </w:r>
      <w:r w:rsidR="00EB5FB3" w:rsidRPr="0043275A">
        <w:rPr>
          <w:rFonts w:ascii="Times New Roman" w:hAnsi="Times New Roman"/>
          <w:color w:val="000000"/>
        </w:rPr>
        <w:t xml:space="preserve"> award year</w:t>
      </w:r>
      <w:r w:rsidR="00EB5FB3">
        <w:rPr>
          <w:rFonts w:ascii="Times New Roman" w:hAnsi="Times New Roman"/>
          <w:color w:val="000000"/>
        </w:rPr>
        <w:t>.</w:t>
      </w:r>
    </w:p>
    <w:p w:rsidR="00EB5FB3" w:rsidRDefault="00EB5FB3" w:rsidP="00EB5FB3">
      <w:pPr>
        <w:widowControl w:val="0"/>
        <w:ind w:left="55"/>
        <w:rPr>
          <w:rFonts w:ascii="Times New Roman" w:hAnsi="Times New Roman"/>
          <w:color w:val="000000"/>
        </w:rPr>
      </w:pPr>
    </w:p>
    <w:p w:rsidR="00EB5FB3" w:rsidRDefault="007D1974" w:rsidP="00BB3384">
      <w:pPr>
        <w:widowControl w:val="0"/>
        <w:ind w:left="418"/>
        <w:rPr>
          <w:rFonts w:ascii="Times New Roman" w:hAnsi="Times New Roman"/>
          <w:color w:val="000000"/>
        </w:rPr>
      </w:pPr>
      <w:r>
        <w:rPr>
          <w:rFonts w:ascii="Times New Roman" w:hAnsi="Times New Roman"/>
          <w:color w:val="000000"/>
        </w:rPr>
        <w:t>F</w:t>
      </w:r>
      <w:r w:rsidR="00EB5FB3">
        <w:rPr>
          <w:rFonts w:ascii="Times New Roman" w:hAnsi="Times New Roman"/>
          <w:color w:val="000000"/>
        </w:rPr>
        <w:t>eatures of the</w:t>
      </w:r>
      <w:r w:rsidR="00DC0243">
        <w:rPr>
          <w:rFonts w:ascii="Times New Roman" w:hAnsi="Times New Roman"/>
          <w:color w:val="000000"/>
        </w:rPr>
        <w:t xml:space="preserve"> electronic</w:t>
      </w:r>
      <w:r w:rsidR="00EB5FB3">
        <w:rPr>
          <w:rFonts w:ascii="Times New Roman" w:hAnsi="Times New Roman"/>
          <w:color w:val="000000"/>
        </w:rPr>
        <w:t xml:space="preserve"> data collection tool include:</w:t>
      </w:r>
    </w:p>
    <w:p w:rsidR="00EB5FB3" w:rsidRDefault="00EB5FB3" w:rsidP="00EB5FB3">
      <w:pPr>
        <w:widowControl w:val="0"/>
        <w:ind w:left="70"/>
        <w:rPr>
          <w:rFonts w:ascii="Times New Roman" w:hAnsi="Times New Roman"/>
          <w:color w:val="000000"/>
        </w:rPr>
      </w:pPr>
    </w:p>
    <w:p w:rsidR="00EB5FB3" w:rsidRDefault="00EB5FB3" w:rsidP="00EB5FB3">
      <w:pPr>
        <w:widowControl w:val="0"/>
        <w:numPr>
          <w:ilvl w:val="0"/>
          <w:numId w:val="11"/>
        </w:numPr>
        <w:rPr>
          <w:rFonts w:ascii="Times New Roman" w:hAnsi="Times New Roman"/>
          <w:color w:val="000000"/>
        </w:rPr>
      </w:pPr>
      <w:r>
        <w:rPr>
          <w:rFonts w:ascii="Times New Roman" w:hAnsi="Times New Roman"/>
          <w:color w:val="000000"/>
        </w:rPr>
        <w:t xml:space="preserve">The </w:t>
      </w:r>
      <w:r w:rsidRPr="00AE7104">
        <w:rPr>
          <w:rFonts w:ascii="Times New Roman" w:hAnsi="Times New Roman"/>
          <w:color w:val="000000"/>
        </w:rPr>
        <w:t>Financial Aid Administrator</w:t>
      </w:r>
      <w:r>
        <w:rPr>
          <w:rFonts w:ascii="Times New Roman" w:hAnsi="Times New Roman"/>
          <w:color w:val="000000"/>
        </w:rPr>
        <w:t xml:space="preserve"> (FAA) of schools where TEACH grants are dispersed will access the data collection tool electronically through a secure website, using authorized login and password.  The link to the data collection tool, login, and password will be sent to the FAA via email.</w:t>
      </w:r>
    </w:p>
    <w:p w:rsidR="00EB5FB3" w:rsidRPr="0089131B" w:rsidRDefault="00EB5FB3" w:rsidP="00EB5FB3">
      <w:pPr>
        <w:widowControl w:val="0"/>
        <w:numPr>
          <w:ilvl w:val="0"/>
          <w:numId w:val="11"/>
        </w:numPr>
        <w:rPr>
          <w:rFonts w:ascii="Times New Roman" w:hAnsi="Times New Roman"/>
          <w:color w:val="000000"/>
        </w:rPr>
      </w:pPr>
      <w:r>
        <w:rPr>
          <w:rFonts w:ascii="Times New Roman" w:hAnsi="Times New Roman"/>
          <w:color w:val="000000"/>
        </w:rPr>
        <w:t>Once logged into the data tool, the FAA will enter two data points.  One data point will be</w:t>
      </w:r>
      <w:r w:rsidRPr="00803A01">
        <w:rPr>
          <w:rFonts w:ascii="Times New Roman" w:hAnsi="Times New Roman"/>
          <w:szCs w:val="24"/>
        </w:rPr>
        <w:t xml:space="preserve"> </w:t>
      </w:r>
      <w:r>
        <w:rPr>
          <w:rFonts w:ascii="Times New Roman" w:hAnsi="Times New Roman"/>
          <w:szCs w:val="24"/>
        </w:rPr>
        <w:t xml:space="preserve">the </w:t>
      </w:r>
      <w:r w:rsidRPr="002230E8">
        <w:rPr>
          <w:rFonts w:ascii="Times New Roman" w:hAnsi="Times New Roman"/>
          <w:szCs w:val="24"/>
        </w:rPr>
        <w:t>eligible field of study</w:t>
      </w:r>
      <w:r>
        <w:rPr>
          <w:rFonts w:ascii="Times New Roman" w:hAnsi="Times New Roman"/>
          <w:szCs w:val="24"/>
        </w:rPr>
        <w:t xml:space="preserve"> defined by</w:t>
      </w:r>
      <w:r>
        <w:rPr>
          <w:rFonts w:ascii="Times New Roman" w:hAnsi="Times New Roman"/>
          <w:color w:val="000000"/>
        </w:rPr>
        <w:t xml:space="preserve"> a </w:t>
      </w:r>
      <w:r w:rsidRPr="00976AE4">
        <w:rPr>
          <w:rFonts w:ascii="Times New Roman" w:hAnsi="Times New Roman"/>
          <w:color w:val="000000"/>
        </w:rPr>
        <w:t xml:space="preserve">Classification of Instructional Programs </w:t>
      </w:r>
      <w:r>
        <w:rPr>
          <w:rFonts w:ascii="Times New Roman" w:hAnsi="Times New Roman"/>
          <w:color w:val="000000"/>
        </w:rPr>
        <w:t xml:space="preserve">(CIP code) which will be limited through the use of drop down menus from which the FAA will choose.  The other data point, the </w:t>
      </w:r>
      <w:r w:rsidRPr="002230E8">
        <w:rPr>
          <w:rFonts w:ascii="Times New Roman" w:hAnsi="Times New Roman"/>
          <w:szCs w:val="24"/>
        </w:rPr>
        <w:t>cost of education</w:t>
      </w:r>
      <w:r>
        <w:rPr>
          <w:rFonts w:ascii="Times New Roman" w:hAnsi="Times New Roman"/>
          <w:szCs w:val="24"/>
        </w:rPr>
        <w:t xml:space="preserve">, </w:t>
      </w:r>
      <w:r>
        <w:rPr>
          <w:rFonts w:ascii="Times New Roman" w:hAnsi="Times New Roman"/>
          <w:color w:val="000000"/>
        </w:rPr>
        <w:t xml:space="preserve">will be a dollar value amount for the cost of education for each student who is obtaining a TEACH grant.  The system will generate an error message indicating the need for correction if anything other than numbers </w:t>
      </w:r>
      <w:proofErr w:type="gramStart"/>
      <w:r>
        <w:rPr>
          <w:rFonts w:ascii="Times New Roman" w:hAnsi="Times New Roman"/>
          <w:color w:val="000000"/>
        </w:rPr>
        <w:t>are</w:t>
      </w:r>
      <w:proofErr w:type="gramEnd"/>
      <w:r>
        <w:rPr>
          <w:rFonts w:ascii="Times New Roman" w:hAnsi="Times New Roman"/>
          <w:color w:val="000000"/>
        </w:rPr>
        <w:t xml:space="preserve"> entered for the education costs.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EB5FB3" w:rsidRPr="00535603" w:rsidRDefault="00EB5FB3" w:rsidP="00BB3384">
      <w:pPr>
        <w:widowControl w:val="0"/>
        <w:ind w:left="720"/>
        <w:rPr>
          <w:rFonts w:ascii="Times New Roman" w:hAnsi="Times New Roman"/>
          <w:color w:val="000000"/>
        </w:rPr>
      </w:pPr>
      <w:r>
        <w:rPr>
          <w:rFonts w:ascii="Times New Roman" w:hAnsi="Times New Roman"/>
          <w:color w:val="000000"/>
        </w:rPr>
        <w:t>This information does not duplicate any other information collection effort.  No other system collects CIP codes and the cost of education</w:t>
      </w:r>
      <w:r w:rsidR="00DC0243">
        <w:rPr>
          <w:rFonts w:ascii="Times New Roman" w:hAnsi="Times New Roman"/>
          <w:color w:val="000000"/>
        </w:rPr>
        <w:t xml:space="preserve"> specific to the TEACH Grant</w:t>
      </w:r>
      <w:r w:rsidR="006C6F18">
        <w:rPr>
          <w:rFonts w:ascii="Times New Roman" w:hAnsi="Times New Roman"/>
          <w:color w:val="000000"/>
        </w:rPr>
        <w:t xml:space="preserve"> program</w:t>
      </w:r>
      <w:r>
        <w:rPr>
          <w:rFonts w:ascii="Times New Roman" w:hAnsi="Times New Roman"/>
          <w:color w:val="000000"/>
        </w:rPr>
        <w:t xml:space="preserve">.  The information is not available in other forms or as the result of other </w:t>
      </w:r>
      <w:r>
        <w:rPr>
          <w:rFonts w:ascii="Times New Roman" w:hAnsi="Times New Roman"/>
          <w:color w:val="000000"/>
        </w:rPr>
        <w:lastRenderedPageBreak/>
        <w:t xml:space="preserve">information collections.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EB5FB3" w:rsidRPr="00535603" w:rsidRDefault="00EB5FB3" w:rsidP="00BB3384">
      <w:pPr>
        <w:widowControl w:val="0"/>
        <w:ind w:left="720"/>
        <w:rPr>
          <w:rFonts w:ascii="Times New Roman" w:hAnsi="Times New Roman"/>
          <w:color w:val="000000"/>
        </w:rPr>
      </w:pPr>
      <w:r>
        <w:rPr>
          <w:rFonts w:ascii="Times New Roman" w:hAnsi="Times New Roman"/>
          <w:color w:val="000000"/>
        </w:rPr>
        <w:t xml:space="preserve">Small businesses or other small entities are not part of the target population of the information collection.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EB5FB3" w:rsidRPr="00535603" w:rsidRDefault="00EB5FB3" w:rsidP="00BB3384">
      <w:pPr>
        <w:widowControl w:val="0"/>
        <w:ind w:left="720"/>
        <w:rPr>
          <w:rFonts w:ascii="Times New Roman" w:hAnsi="Times New Roman"/>
          <w:color w:val="000000"/>
        </w:rPr>
      </w:pPr>
      <w:r>
        <w:rPr>
          <w:rFonts w:ascii="Times New Roman" w:hAnsi="Times New Roman"/>
          <w:color w:val="000000"/>
        </w:rPr>
        <w:t xml:space="preserve">Section 420P of the HEA requires this data collection.  The Secretary — and the states and institutions required to report — would be out of compliance </w:t>
      </w:r>
      <w:r w:rsidR="006C6F18">
        <w:rPr>
          <w:rFonts w:ascii="Times New Roman" w:hAnsi="Times New Roman"/>
          <w:color w:val="000000"/>
        </w:rPr>
        <w:t xml:space="preserve">with the law </w:t>
      </w:r>
      <w:r>
        <w:rPr>
          <w:rFonts w:ascii="Times New Roman" w:hAnsi="Times New Roman"/>
          <w:color w:val="000000"/>
        </w:rPr>
        <w:t>if the information were not collected and reported in a timely manner.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EF7FF5">
        <w:rPr>
          <w:rFonts w:ascii="Times New Roman" w:hAnsi="Times New Roman"/>
          <w:szCs w:val="24"/>
        </w:rPr>
        <w:lastRenderedPageBreak/>
        <w:t>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EB5FB3" w:rsidRPr="00535603" w:rsidRDefault="00EB5FB3" w:rsidP="00BB3384">
      <w:pPr>
        <w:widowControl w:val="0"/>
        <w:ind w:left="360"/>
        <w:rPr>
          <w:rFonts w:ascii="Times New Roman" w:hAnsi="Times New Roman"/>
          <w:color w:val="000000"/>
        </w:rPr>
      </w:pPr>
      <w:r>
        <w:rPr>
          <w:rFonts w:ascii="Times New Roman" w:hAnsi="Times New Roman"/>
          <w:color w:val="000000"/>
        </w:rPr>
        <w:t>There are no special circumstances that would require this information collection to be conducted in any of the ways listed as part of this question.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EB5FB3" w:rsidRDefault="00EB5FB3" w:rsidP="00BB3384">
      <w:pPr>
        <w:ind w:left="360"/>
        <w:rPr>
          <w:szCs w:val="24"/>
        </w:rPr>
      </w:pPr>
      <w:r>
        <w:rPr>
          <w:rFonts w:ascii="Times New Roman" w:hAnsi="Times New Roman"/>
          <w:szCs w:val="24"/>
        </w:rPr>
        <w:t xml:space="preserve">The Department </w:t>
      </w:r>
      <w:r w:rsidRPr="00051E52">
        <w:rPr>
          <w:rFonts w:ascii="Times New Roman" w:hAnsi="Times New Roman"/>
          <w:szCs w:val="24"/>
        </w:rPr>
        <w:t xml:space="preserve">of Education is seeking </w:t>
      </w:r>
      <w:r>
        <w:rPr>
          <w:rFonts w:ascii="Times New Roman" w:hAnsi="Times New Roman"/>
          <w:szCs w:val="24"/>
        </w:rPr>
        <w:t xml:space="preserve">the applicable 60 and 30 day notices </w:t>
      </w:r>
      <w:r w:rsidR="006C6F18">
        <w:rPr>
          <w:rFonts w:ascii="Times New Roman" w:hAnsi="Times New Roman"/>
          <w:szCs w:val="24"/>
        </w:rPr>
        <w:t xml:space="preserve">requesting </w:t>
      </w:r>
      <w:r>
        <w:rPr>
          <w:rFonts w:ascii="Times New Roman" w:hAnsi="Times New Roman"/>
          <w:szCs w:val="24"/>
        </w:rPr>
        <w:t xml:space="preserve">public comment.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EB5FB3" w:rsidRPr="00891301" w:rsidRDefault="00EB5FB3" w:rsidP="00BB3384">
      <w:pPr>
        <w:widowControl w:val="0"/>
        <w:ind w:left="720"/>
        <w:rPr>
          <w:rFonts w:ascii="Times New Roman" w:hAnsi="Times New Roman"/>
          <w:color w:val="000000"/>
        </w:rPr>
      </w:pPr>
      <w:r>
        <w:rPr>
          <w:rFonts w:ascii="Times New Roman" w:hAnsi="Times New Roman"/>
          <w:color w:val="000000"/>
        </w:rPr>
        <w:t>No payment or gift will be provided to respondents in connection with this data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w:t>
      </w:r>
      <w:r>
        <w:rPr>
          <w:rFonts w:ascii="Times New Roman" w:hAnsi="Times New Roman"/>
          <w:szCs w:val="24"/>
        </w:rPr>
        <w:lastRenderedPageBreak/>
        <w:t xml:space="preserve">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EB5FB3" w:rsidRPr="00891301" w:rsidRDefault="00EB5FB3" w:rsidP="00BB3384">
      <w:pPr>
        <w:widowControl w:val="0"/>
        <w:ind w:left="720"/>
        <w:rPr>
          <w:rFonts w:ascii="Times New Roman" w:hAnsi="Times New Roman"/>
          <w:color w:val="000000"/>
        </w:rPr>
      </w:pPr>
      <w:r>
        <w:rPr>
          <w:rFonts w:ascii="Times New Roman" w:hAnsi="Times New Roman"/>
          <w:color w:val="000000"/>
        </w:rPr>
        <w:t>No assurances of confidentiality are provided.  A link to the U.S. Department of Education’s Privacy Policy is provided on the log in page of the data collection tool (</w:t>
      </w:r>
      <w:r w:rsidRPr="00AD72B7">
        <w:rPr>
          <w:rFonts w:ascii="Times New Roman" w:hAnsi="Times New Roman"/>
          <w:color w:val="000000"/>
        </w:rPr>
        <w:t>http://www2.ed.gov/notices/privacy/index.html</w:t>
      </w:r>
      <w:r>
        <w:rPr>
          <w:rFonts w:ascii="Times New Roman" w:hAnsi="Times New Roman"/>
          <w:color w:val="000000"/>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5FB3" w:rsidRDefault="00EB5FB3" w:rsidP="00EB5FB3">
      <w:pPr>
        <w:widowControl w:val="0"/>
        <w:ind w:left="5"/>
        <w:rPr>
          <w:rFonts w:ascii="Times New Roman" w:hAnsi="Times New Roman"/>
        </w:rPr>
      </w:pPr>
    </w:p>
    <w:p w:rsidR="00EB5FB3" w:rsidRDefault="00EB5FB3" w:rsidP="00BB3384">
      <w:pPr>
        <w:widowControl w:val="0"/>
        <w:ind w:left="720"/>
        <w:rPr>
          <w:rFonts w:ascii="Times New Roman" w:hAnsi="Times New Roman"/>
        </w:rPr>
      </w:pPr>
      <w:r>
        <w:rPr>
          <w:rFonts w:ascii="Times New Roman" w:hAnsi="Times New Roman"/>
        </w:rPr>
        <w:t xml:space="preserve">The data collection includes no questions of a sensitive nature.  </w:t>
      </w:r>
    </w:p>
    <w:p w:rsidR="00386054" w:rsidRDefault="00386054">
      <w:pPr>
        <w:tabs>
          <w:tab w:val="left" w:pos="-720"/>
        </w:tabs>
        <w:suppressAutoHyphens/>
        <w:rPr>
          <w:rFonts w:ascii="Times New Roman" w:hAnsi="Times New Roman"/>
          <w:szCs w:val="24"/>
        </w:rPr>
      </w:pPr>
    </w:p>
    <w:p w:rsidR="00EB5FB3" w:rsidRPr="00EF7FF5" w:rsidRDefault="00EB5FB3">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EB5FB3" w:rsidRDefault="00C448E8" w:rsidP="00BB3384">
      <w:pPr>
        <w:pStyle w:val="style"/>
        <w:ind w:left="700" w:firstLine="0"/>
        <w:jc w:val="both"/>
      </w:pPr>
      <w:r>
        <w:br/>
        <w:t xml:space="preserve">This is a reporting requirement.  </w:t>
      </w:r>
      <w:r w:rsidR="00EB5FB3" w:rsidRPr="00C71044">
        <w:t xml:space="preserve">The time required to complete this information collection is estimated to average 1 hour per </w:t>
      </w:r>
      <w:r w:rsidR="006C6F18">
        <w:t xml:space="preserve">institutional </w:t>
      </w:r>
      <w:r w:rsidR="00EB5FB3" w:rsidRPr="00C71044">
        <w:t xml:space="preserve">response, including the time to review instructions, search existing data sources, </w:t>
      </w:r>
      <w:proofErr w:type="gramStart"/>
      <w:r w:rsidR="00EB5FB3" w:rsidRPr="00C71044">
        <w:t>gather</w:t>
      </w:r>
      <w:proofErr w:type="gramEnd"/>
      <w:r w:rsidR="00EB5FB3" w:rsidRPr="00C71044">
        <w:t xml:space="preserve"> data needed, and complete and review the information collection.  </w:t>
      </w:r>
      <w:r w:rsidR="00BB3384">
        <w:t xml:space="preserve">In total, </w:t>
      </w:r>
      <w:r w:rsidRPr="00C71044">
        <w:t xml:space="preserve">796 institutions </w:t>
      </w:r>
      <w:r w:rsidR="00EB5FB3" w:rsidRPr="00C71044">
        <w:t>will be</w:t>
      </w:r>
      <w:r w:rsidR="00BB3384">
        <w:t xml:space="preserve"> </w:t>
      </w:r>
      <w:r w:rsidR="00EB5FB3" w:rsidRPr="00C71044">
        <w:t>contacted in regards to this data collection.</w:t>
      </w:r>
      <w:r w:rsidR="00EB5FB3">
        <w:t xml:space="preserve">  </w:t>
      </w:r>
      <w:r w:rsidR="001E7672">
        <w:t>This is a one-time collection and will not be repeated by OPE.</w:t>
      </w:r>
    </w:p>
    <w:p w:rsidR="00EB5FB3" w:rsidRDefault="00EB5FB3" w:rsidP="00EB5FB3">
      <w:pPr>
        <w:pStyle w:val="style"/>
        <w:ind w:firstLine="0"/>
        <w:jc w:val="both"/>
      </w:pPr>
    </w:p>
    <w:p w:rsidR="00EB5FB3" w:rsidRDefault="00EB5FB3" w:rsidP="00BB3384">
      <w:pPr>
        <w:pStyle w:val="style"/>
        <w:ind w:left="700" w:firstLine="0"/>
        <w:jc w:val="both"/>
      </w:pPr>
      <w:r>
        <w:t>796 Institutions X 1 hour per institution = 796 Total Burden Hours for collection</w:t>
      </w:r>
    </w:p>
    <w:p w:rsidR="00EB5FB3" w:rsidRDefault="00EB5FB3" w:rsidP="00EB5FB3">
      <w:pPr>
        <w:pStyle w:val="style"/>
        <w:ind w:firstLine="0"/>
        <w:jc w:val="both"/>
      </w:pPr>
    </w:p>
    <w:p w:rsidR="00271B13" w:rsidRDefault="00271B13" w:rsidP="00BB3384">
      <w:pPr>
        <w:pStyle w:val="style"/>
        <w:ind w:left="1420" w:firstLine="20"/>
        <w:jc w:val="both"/>
      </w:pPr>
      <w:r>
        <w:t xml:space="preserve"># </w:t>
      </w:r>
      <w:proofErr w:type="gramStart"/>
      <w:r>
        <w:t>of</w:t>
      </w:r>
      <w:proofErr w:type="gramEnd"/>
      <w:r>
        <w:t xml:space="preserve"> Respondents</w:t>
      </w:r>
      <w:r>
        <w:tab/>
        <w:t># of Responses</w:t>
      </w:r>
      <w:r>
        <w:tab/>
        <w:t>Hours/Response</w:t>
      </w:r>
      <w:r>
        <w:tab/>
        <w:t>Burden Hours</w:t>
      </w:r>
    </w:p>
    <w:p w:rsidR="00271B13" w:rsidRDefault="00271B13" w:rsidP="00BB3384">
      <w:pPr>
        <w:pStyle w:val="style"/>
        <w:ind w:left="700" w:firstLine="0"/>
        <w:jc w:val="both"/>
      </w:pPr>
      <w:r>
        <w:t>Proprietary Institutions</w:t>
      </w:r>
    </w:p>
    <w:p w:rsidR="00271B13" w:rsidRDefault="00271B13" w:rsidP="00BB3384">
      <w:pPr>
        <w:pStyle w:val="style"/>
        <w:ind w:left="700" w:firstLine="0"/>
        <w:jc w:val="both"/>
      </w:pPr>
      <w:r>
        <w:tab/>
      </w:r>
      <w:r>
        <w:tab/>
      </w:r>
      <w:r>
        <w:tab/>
      </w:r>
      <w:r w:rsidR="00F40AE1">
        <w:t>438</w:t>
      </w:r>
      <w:r>
        <w:tab/>
      </w:r>
      <w:r>
        <w:tab/>
      </w:r>
      <w:r>
        <w:tab/>
      </w:r>
      <w:r w:rsidR="00F40AE1">
        <w:t>438</w:t>
      </w:r>
      <w:r>
        <w:tab/>
      </w:r>
      <w:r>
        <w:tab/>
      </w:r>
      <w:r>
        <w:tab/>
        <w:t>1 hour</w:t>
      </w:r>
      <w:r>
        <w:tab/>
      </w:r>
      <w:r>
        <w:tab/>
      </w:r>
      <w:r>
        <w:tab/>
      </w:r>
      <w:r w:rsidR="00F40AE1">
        <w:t>438</w:t>
      </w:r>
    </w:p>
    <w:p w:rsidR="00271B13" w:rsidRDefault="00271B13" w:rsidP="00BB3384">
      <w:pPr>
        <w:pStyle w:val="style"/>
        <w:ind w:left="700" w:firstLine="0"/>
        <w:jc w:val="both"/>
      </w:pPr>
      <w:r>
        <w:t>Not-for-Profit Institutions</w:t>
      </w:r>
    </w:p>
    <w:p w:rsidR="00271B13" w:rsidRDefault="00271B13" w:rsidP="00BB3384">
      <w:pPr>
        <w:pStyle w:val="style"/>
        <w:ind w:left="700" w:firstLine="0"/>
        <w:jc w:val="both"/>
      </w:pPr>
      <w:r>
        <w:tab/>
      </w:r>
      <w:r>
        <w:tab/>
      </w:r>
      <w:r>
        <w:tab/>
      </w:r>
      <w:r w:rsidR="00F40AE1">
        <w:t>11</w:t>
      </w:r>
      <w:r>
        <w:tab/>
      </w:r>
      <w:r>
        <w:tab/>
      </w:r>
      <w:r>
        <w:tab/>
      </w:r>
      <w:r w:rsidR="00F40AE1">
        <w:t>11</w:t>
      </w:r>
      <w:r>
        <w:tab/>
      </w:r>
      <w:r>
        <w:tab/>
      </w:r>
      <w:r>
        <w:tab/>
        <w:t>1 hour</w:t>
      </w:r>
      <w:r>
        <w:tab/>
      </w:r>
      <w:r>
        <w:tab/>
      </w:r>
      <w:r>
        <w:tab/>
      </w:r>
      <w:r w:rsidR="00F40AE1">
        <w:t>11</w:t>
      </w:r>
    </w:p>
    <w:p w:rsidR="00271B13" w:rsidRDefault="00271B13" w:rsidP="00BB3384">
      <w:pPr>
        <w:pStyle w:val="style"/>
        <w:ind w:left="700" w:firstLine="0"/>
        <w:jc w:val="both"/>
      </w:pPr>
      <w:r>
        <w:t>Public</w:t>
      </w:r>
    </w:p>
    <w:p w:rsidR="00271B13" w:rsidRDefault="00271B13" w:rsidP="00BB3384">
      <w:pPr>
        <w:pStyle w:val="style"/>
        <w:ind w:left="700" w:firstLine="0"/>
        <w:jc w:val="both"/>
      </w:pPr>
      <w:r>
        <w:tab/>
      </w:r>
      <w:r>
        <w:tab/>
      </w:r>
      <w:r>
        <w:tab/>
      </w:r>
      <w:r w:rsidR="00F40AE1">
        <w:t>346</w:t>
      </w:r>
      <w:r>
        <w:tab/>
      </w:r>
      <w:r>
        <w:tab/>
      </w:r>
      <w:r>
        <w:tab/>
      </w:r>
      <w:r w:rsidR="00F40AE1">
        <w:t>3</w:t>
      </w:r>
      <w:bookmarkStart w:id="1" w:name="_GoBack"/>
      <w:bookmarkEnd w:id="1"/>
      <w:r w:rsidR="00F40AE1">
        <w:t>46</w:t>
      </w:r>
      <w:r>
        <w:tab/>
      </w:r>
      <w:r>
        <w:tab/>
      </w:r>
      <w:r>
        <w:tab/>
        <w:t>1 hour</w:t>
      </w:r>
      <w:r>
        <w:tab/>
      </w:r>
      <w:r>
        <w:tab/>
      </w:r>
      <w:r>
        <w:tab/>
      </w:r>
      <w:r w:rsidR="00F40AE1">
        <w:t>346</w:t>
      </w:r>
    </w:p>
    <w:p w:rsidR="00271B13" w:rsidRDefault="00271B13" w:rsidP="00BB3384">
      <w:pPr>
        <w:pStyle w:val="style"/>
        <w:ind w:left="700" w:firstLine="0"/>
        <w:jc w:val="both"/>
      </w:pPr>
    </w:p>
    <w:p w:rsidR="00271B13" w:rsidRDefault="00271B13" w:rsidP="00BB3384">
      <w:pPr>
        <w:pStyle w:val="style"/>
        <w:ind w:left="700" w:firstLine="0"/>
        <w:jc w:val="both"/>
      </w:pPr>
      <w:r>
        <w:t>Total</w:t>
      </w:r>
      <w:r>
        <w:tab/>
      </w:r>
      <w:r>
        <w:tab/>
        <w:t>796</w:t>
      </w:r>
      <w:r>
        <w:tab/>
      </w:r>
      <w:r>
        <w:tab/>
      </w:r>
      <w:r>
        <w:tab/>
        <w:t>796</w:t>
      </w:r>
      <w:r>
        <w:tab/>
      </w:r>
      <w:r>
        <w:tab/>
      </w:r>
      <w:r>
        <w:tab/>
      </w:r>
      <w:r>
        <w:tab/>
      </w:r>
      <w:r>
        <w:tab/>
      </w:r>
      <w:r>
        <w:tab/>
        <w:t>796</w:t>
      </w:r>
    </w:p>
    <w:p w:rsidR="00271B13" w:rsidRDefault="00271B13" w:rsidP="00BB3384">
      <w:pPr>
        <w:pStyle w:val="style"/>
        <w:ind w:left="0" w:firstLine="0"/>
        <w:jc w:val="both"/>
      </w:pPr>
    </w:p>
    <w:p w:rsidR="00271B13" w:rsidRDefault="00271B13" w:rsidP="00BB3384">
      <w:pPr>
        <w:pStyle w:val="style"/>
        <w:ind w:left="0" w:firstLine="0"/>
        <w:jc w:val="both"/>
      </w:pPr>
      <w:r>
        <w:t>Current Burden</w:t>
      </w:r>
    </w:p>
    <w:p w:rsidR="00271B13" w:rsidRDefault="00271B13" w:rsidP="00BB3384">
      <w:pPr>
        <w:pStyle w:val="style"/>
        <w:ind w:left="0" w:firstLine="0"/>
        <w:jc w:val="both"/>
      </w:pPr>
      <w:r>
        <w:tab/>
      </w:r>
      <w:r>
        <w:tab/>
      </w:r>
      <w:r>
        <w:tab/>
        <w:t>488</w:t>
      </w:r>
      <w:r>
        <w:tab/>
      </w:r>
      <w:r>
        <w:tab/>
      </w:r>
      <w:r>
        <w:tab/>
        <w:t>488</w:t>
      </w:r>
      <w:r>
        <w:tab/>
      </w:r>
      <w:r>
        <w:tab/>
      </w:r>
      <w:r>
        <w:tab/>
      </w:r>
      <w:r>
        <w:tab/>
      </w:r>
      <w:r>
        <w:tab/>
      </w:r>
      <w:r>
        <w:tab/>
        <w:t>488</w:t>
      </w:r>
    </w:p>
    <w:p w:rsidR="00271B13" w:rsidRDefault="00271B13" w:rsidP="00BB3384">
      <w:pPr>
        <w:pStyle w:val="style"/>
        <w:ind w:left="0" w:firstLine="0"/>
        <w:jc w:val="both"/>
      </w:pPr>
    </w:p>
    <w:p w:rsidR="00271B13" w:rsidRDefault="00271B13" w:rsidP="00BB3384">
      <w:pPr>
        <w:pStyle w:val="style"/>
        <w:ind w:left="0" w:firstLine="0"/>
        <w:jc w:val="both"/>
      </w:pPr>
      <w:r>
        <w:t>Increase in Burden</w:t>
      </w:r>
    </w:p>
    <w:p w:rsidR="00271B13" w:rsidRDefault="00271B13" w:rsidP="00BB3384">
      <w:pPr>
        <w:pStyle w:val="style"/>
        <w:ind w:left="0" w:firstLine="0"/>
        <w:jc w:val="both"/>
      </w:pPr>
      <w:r>
        <w:tab/>
      </w:r>
      <w:r>
        <w:tab/>
      </w:r>
      <w:r>
        <w:tab/>
        <w:t>308</w:t>
      </w:r>
      <w:r>
        <w:tab/>
      </w:r>
      <w:r>
        <w:tab/>
      </w:r>
      <w:r>
        <w:tab/>
        <w:t>308</w:t>
      </w:r>
      <w:r>
        <w:tab/>
      </w:r>
      <w:r>
        <w:tab/>
      </w:r>
      <w:r>
        <w:tab/>
      </w:r>
      <w:r>
        <w:tab/>
      </w:r>
      <w:r>
        <w:tab/>
      </w:r>
      <w:r>
        <w:tab/>
        <w:t>308</w:t>
      </w:r>
    </w:p>
    <w:p w:rsidR="00271B13" w:rsidRDefault="00271B13" w:rsidP="00BB3384">
      <w:pPr>
        <w:pStyle w:val="style"/>
        <w:ind w:left="0" w:firstLine="0"/>
        <w:jc w:val="both"/>
      </w:pPr>
    </w:p>
    <w:p w:rsidR="00EB5FB3" w:rsidRPr="00C32237" w:rsidRDefault="00EB5FB3" w:rsidP="00BB3384">
      <w:pPr>
        <w:pStyle w:val="style"/>
        <w:ind w:left="700" w:firstLine="0"/>
        <w:jc w:val="both"/>
      </w:pPr>
      <w:r>
        <w:t>As there are only two fields of data that the institutions already collect and a limited number of TEACH grant recipients at each institution, we do not feel there will be a cost burden associated with the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w:t>
      </w:r>
      <w:r w:rsidRPr="00EF7FF5">
        <w:rPr>
          <w:rFonts w:ascii="Times New Roman" w:hAnsi="Times New Roman"/>
          <w:szCs w:val="24"/>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EB5FB3" w:rsidRPr="00EF7FF5" w:rsidRDefault="00EB5FB3" w:rsidP="00AD2B87">
      <w:pPr>
        <w:tabs>
          <w:tab w:val="left" w:pos="-720"/>
        </w:tabs>
        <w:suppressAutoHyphens/>
        <w:ind w:left="720"/>
        <w:rPr>
          <w:rFonts w:ascii="Times New Roman" w:hAnsi="Times New Roman"/>
          <w:szCs w:val="24"/>
        </w:rPr>
      </w:pPr>
      <w:r>
        <w:rPr>
          <w:rFonts w:ascii="Times New Roman" w:hAnsi="Times New Roman"/>
        </w:rPr>
        <w:t>There are no start-up costs for respondents.</w:t>
      </w:r>
    </w:p>
    <w:p w:rsidR="00964FFA" w:rsidRDefault="00964FFA">
      <w:pPr>
        <w:tabs>
          <w:tab w:val="left" w:pos="-720"/>
        </w:tabs>
        <w:suppressAutoHyphens/>
        <w:rPr>
          <w:rFonts w:ascii="Times New Roman" w:hAnsi="Times New Roman"/>
          <w:szCs w:val="24"/>
        </w:rPr>
      </w:pPr>
    </w:p>
    <w:p w:rsidR="00964FFA" w:rsidRDefault="00964FFA">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EB5FB3" w:rsidRPr="00D1478D" w:rsidRDefault="00EB5FB3" w:rsidP="00AD2B87">
      <w:pPr>
        <w:widowControl w:val="0"/>
        <w:ind w:left="720"/>
        <w:rPr>
          <w:rFonts w:ascii="Times New Roman" w:hAnsi="Times New Roman"/>
          <w:color w:val="000000"/>
        </w:rPr>
      </w:pPr>
      <w:r w:rsidRPr="004E79EF">
        <w:rPr>
          <w:rFonts w:ascii="Times New Roman" w:hAnsi="Times New Roman"/>
          <w:color w:val="000000"/>
        </w:rPr>
        <w:t xml:space="preserve">The annualized cost to the Federal government will be approximately </w:t>
      </w:r>
      <w:r w:rsidRPr="004E79EF">
        <w:rPr>
          <w:rFonts w:ascii="Times New Roman" w:hAnsi="Times New Roman"/>
        </w:rPr>
        <w:t>$80,398</w:t>
      </w:r>
      <w:r w:rsidRPr="004E79EF">
        <w:rPr>
          <w:rFonts w:ascii="Times New Roman" w:hAnsi="Times New Roman"/>
          <w:color w:val="000000"/>
        </w:rPr>
        <w:t>.  This amount was calculated based on the number of hours it would take to collect and aggregate data collected through the system.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collection of information and generally are result of new statute or an agency action (e.g., </w:t>
      </w:r>
      <w:r w:rsidRPr="00EF7FF5">
        <w:rPr>
          <w:rFonts w:ascii="Times New Roman" w:hAnsi="Times New Roman"/>
          <w:szCs w:val="24"/>
        </w:rPr>
        <w:lastRenderedPageBreak/>
        <w:t>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964FFA" w:rsidRPr="00964FFA" w:rsidRDefault="00C448E8" w:rsidP="00AD2B87">
      <w:pPr>
        <w:widowControl w:val="0"/>
        <w:ind w:left="720"/>
        <w:rPr>
          <w:rFonts w:ascii="Times New Roman" w:hAnsi="Times New Roman"/>
          <w:color w:val="000000"/>
        </w:rPr>
      </w:pPr>
      <w:r>
        <w:rPr>
          <w:rFonts w:ascii="Times New Roman" w:hAnsi="Times New Roman"/>
          <w:color w:val="000000"/>
        </w:rPr>
        <w:t>We are requesting an extension to continue this collection of data.  The b</w:t>
      </w:r>
      <w:r w:rsidR="00964FFA" w:rsidRPr="00964FFA">
        <w:rPr>
          <w:rFonts w:ascii="Times New Roman" w:hAnsi="Times New Roman"/>
          <w:color w:val="000000"/>
        </w:rPr>
        <w:t xml:space="preserve">urden of 796 total hours for 796 institutions is a </w:t>
      </w:r>
      <w:r w:rsidR="00271B13">
        <w:rPr>
          <w:rFonts w:ascii="Times New Roman" w:hAnsi="Times New Roman"/>
          <w:color w:val="000000"/>
        </w:rPr>
        <w:t>revision to the current</w:t>
      </w:r>
      <w:r w:rsidR="00964FFA" w:rsidRPr="00964FFA">
        <w:rPr>
          <w:rFonts w:ascii="Times New Roman" w:hAnsi="Times New Roman"/>
          <w:color w:val="000000"/>
        </w:rPr>
        <w:t xml:space="preserve"> burden.  This is a</w:t>
      </w:r>
      <w:r w:rsidR="00AD2B87">
        <w:rPr>
          <w:rFonts w:ascii="Times New Roman" w:hAnsi="Times New Roman"/>
          <w:color w:val="000000"/>
        </w:rPr>
        <w:t>n</w:t>
      </w:r>
      <w:r w:rsidR="00964FFA" w:rsidRPr="00964FFA">
        <w:rPr>
          <w:rFonts w:ascii="Times New Roman" w:hAnsi="Times New Roman"/>
          <w:color w:val="000000"/>
        </w:rPr>
        <w:t xml:space="preserve"> </w:t>
      </w:r>
      <w:r>
        <w:rPr>
          <w:rFonts w:ascii="Times New Roman" w:hAnsi="Times New Roman"/>
          <w:color w:val="000000"/>
        </w:rPr>
        <w:t>increase of 308</w:t>
      </w:r>
      <w:r w:rsidR="00964FFA" w:rsidRPr="00964FFA">
        <w:rPr>
          <w:rFonts w:ascii="Times New Roman" w:hAnsi="Times New Roman"/>
          <w:color w:val="000000"/>
        </w:rPr>
        <w:t xml:space="preserve"> hours resulting from </w:t>
      </w:r>
      <w:r>
        <w:rPr>
          <w:rFonts w:ascii="Times New Roman" w:hAnsi="Times New Roman"/>
          <w:color w:val="000000"/>
        </w:rPr>
        <w:t xml:space="preserve">additional institutions having to report data to meet the </w:t>
      </w:r>
      <w:r w:rsidR="00964FFA" w:rsidRPr="00964FFA">
        <w:rPr>
          <w:rFonts w:ascii="Times New Roman" w:hAnsi="Times New Roman"/>
          <w:color w:val="000000"/>
        </w:rPr>
        <w:t xml:space="preserve">legislative requirement in section 420P of the Higher Education Opportunity Act.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BA713E" w:rsidRDefault="00BA713E" w:rsidP="00AD2B87">
      <w:pPr>
        <w:suppressAutoHyphens/>
        <w:ind w:left="720"/>
        <w:rPr>
          <w:rFonts w:ascii="Times New Roman" w:hAnsi="Times New Roman"/>
          <w:szCs w:val="24"/>
        </w:rPr>
      </w:pPr>
      <w:r>
        <w:rPr>
          <w:rFonts w:ascii="Times New Roman" w:hAnsi="Times New Roman"/>
          <w:color w:val="000000"/>
        </w:rPr>
        <w:t xml:space="preserve">The Secretary of Education </w:t>
      </w:r>
      <w:r w:rsidR="00AD2B87">
        <w:rPr>
          <w:rFonts w:ascii="Times New Roman" w:hAnsi="Times New Roman"/>
          <w:color w:val="000000"/>
        </w:rPr>
        <w:t xml:space="preserve">must </w:t>
      </w:r>
      <w:r>
        <w:rPr>
          <w:rFonts w:ascii="Times New Roman" w:hAnsi="Times New Roman"/>
          <w:color w:val="000000"/>
        </w:rPr>
        <w:t xml:space="preserve">submit a report to the Congress.  That report will be based on data collected by Federal Student Aid (FSA) through </w:t>
      </w:r>
      <w:r w:rsidRPr="00BA198C">
        <w:rPr>
          <w:rFonts w:ascii="Times New Roman" w:hAnsi="Times New Roman"/>
          <w:szCs w:val="24"/>
        </w:rPr>
        <w:t>th</w:t>
      </w:r>
      <w:r>
        <w:rPr>
          <w:rFonts w:ascii="Times New Roman" w:hAnsi="Times New Roman"/>
          <w:szCs w:val="24"/>
        </w:rPr>
        <w:t>e National Student Loan Data</w:t>
      </w:r>
      <w:r w:rsidRPr="00BA198C">
        <w:rPr>
          <w:rFonts w:ascii="Times New Roman" w:hAnsi="Times New Roman"/>
          <w:szCs w:val="24"/>
        </w:rPr>
        <w:t xml:space="preserve"> System (NSLDS), the Application Processing System, and the Common Originatio</w:t>
      </w:r>
      <w:r>
        <w:rPr>
          <w:rFonts w:ascii="Times New Roman" w:hAnsi="Times New Roman"/>
          <w:szCs w:val="24"/>
        </w:rPr>
        <w:t>n and Disbursement (COD) System</w:t>
      </w:r>
      <w:r>
        <w:rPr>
          <w:rFonts w:ascii="Times New Roman" w:hAnsi="Times New Roman"/>
          <w:color w:val="000000"/>
        </w:rPr>
        <w:t xml:space="preserve">.  The data collected by the Office of Postsecondary Education from each school that participates in the TEACH Grant Program </w:t>
      </w:r>
      <w:r>
        <w:rPr>
          <w:rFonts w:ascii="Times New Roman" w:hAnsi="Times New Roman"/>
          <w:szCs w:val="24"/>
        </w:rPr>
        <w:t>will be included in the report to Congress</w:t>
      </w:r>
      <w:r w:rsidRPr="002230E8">
        <w:rPr>
          <w:rFonts w:ascii="Times New Roman" w:hAnsi="Times New Roman"/>
          <w:szCs w:val="24"/>
        </w:rPr>
        <w: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BA713E" w:rsidRPr="00D1478D" w:rsidRDefault="00BA713E" w:rsidP="00AD2B87">
      <w:pPr>
        <w:widowControl w:val="0"/>
        <w:ind w:left="720"/>
        <w:rPr>
          <w:rFonts w:ascii="Times New Roman" w:hAnsi="Times New Roman"/>
          <w:color w:val="000000"/>
        </w:rPr>
      </w:pPr>
      <w:r>
        <w:rPr>
          <w:rFonts w:ascii="Times New Roman" w:hAnsi="Times New Roman"/>
          <w:color w:val="000000"/>
        </w:rPr>
        <w:t xml:space="preserve">We do not seek this approval.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BA713E" w:rsidRDefault="00BA713E">
      <w:pPr>
        <w:tabs>
          <w:tab w:val="left" w:pos="-720"/>
        </w:tabs>
        <w:suppressAutoHyphens/>
        <w:rPr>
          <w:rStyle w:val="a"/>
          <w:rFonts w:ascii="Times New Roman" w:hAnsi="Times New Roman"/>
          <w:szCs w:val="24"/>
        </w:rPr>
      </w:pPr>
    </w:p>
    <w:p w:rsidR="00BA713E" w:rsidRDefault="00BA713E" w:rsidP="00AD2B87">
      <w:pPr>
        <w:widowControl w:val="0"/>
        <w:ind w:left="720"/>
        <w:rPr>
          <w:rFonts w:ascii="Times New Roman" w:hAnsi="Times New Roman"/>
          <w:color w:val="000000"/>
        </w:rPr>
      </w:pPr>
      <w:r>
        <w:rPr>
          <w:rFonts w:ascii="Times New Roman" w:hAnsi="Times New Roman"/>
        </w:rPr>
        <w:t>There are no exceptions to the statement</w:t>
      </w:r>
      <w:r>
        <w:rPr>
          <w:rFonts w:ascii="Times New Roman" w:hAnsi="Times New Roman"/>
          <w:color w:val="000000"/>
        </w:rPr>
        <w:t>, "Certification for Paperwork Reduction Act Submissions" of OMB Form 83-1.</w:t>
      </w:r>
    </w:p>
    <w:p w:rsidR="00BA713E" w:rsidRPr="00EF7FF5" w:rsidRDefault="00BA713E">
      <w:pPr>
        <w:tabs>
          <w:tab w:val="left" w:pos="-720"/>
        </w:tabs>
        <w:suppressAutoHyphens/>
        <w:rPr>
          <w:rFonts w:ascii="Times New Roman" w:hAnsi="Times New Roman"/>
          <w:szCs w:val="24"/>
        </w:rPr>
      </w:pPr>
    </w:p>
    <w:sectPr w:rsidR="00BA713E"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D6D" w:rsidRDefault="005B5D6D">
      <w:pPr>
        <w:spacing w:line="20" w:lineRule="exact"/>
      </w:pPr>
    </w:p>
  </w:endnote>
  <w:endnote w:type="continuationSeparator" w:id="0">
    <w:p w:rsidR="005B5D6D" w:rsidRDefault="005B5D6D">
      <w:r>
        <w:t xml:space="preserve"> </w:t>
      </w:r>
    </w:p>
  </w:endnote>
  <w:endnote w:type="continuationNotice" w:id="1">
    <w:p w:rsidR="005B5D6D" w:rsidRDefault="005B5D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NewCenturySchlbk-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BA713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964FFA">
                            <w:fldChar w:fldCharType="begin"/>
                          </w:r>
                          <w:r w:rsidR="00964FFA">
                            <w:instrText>page \* arabic</w:instrText>
                          </w:r>
                          <w:r w:rsidR="00964FFA">
                            <w:fldChar w:fldCharType="separate"/>
                          </w:r>
                          <w:r w:rsidR="00F40AE1">
                            <w:rPr>
                              <w:noProof/>
                            </w:rPr>
                            <w:t>6</w:t>
                          </w:r>
                          <w:r w:rsidR="00964FFA">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964FFA">
                      <w:fldChar w:fldCharType="begin"/>
                    </w:r>
                    <w:r w:rsidR="00964FFA">
                      <w:instrText>page \* arabic</w:instrText>
                    </w:r>
                    <w:r w:rsidR="00964FFA">
                      <w:fldChar w:fldCharType="separate"/>
                    </w:r>
                    <w:r w:rsidR="00F40AE1">
                      <w:rPr>
                        <w:noProof/>
                      </w:rPr>
                      <w:t>6</w:t>
                    </w:r>
                    <w:r w:rsidR="00964FFA">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D6D" w:rsidRDefault="005B5D6D">
      <w:r>
        <w:separator/>
      </w:r>
    </w:p>
  </w:footnote>
  <w:footnote w:type="continuationSeparator" w:id="0">
    <w:p w:rsidR="005B5D6D" w:rsidRDefault="005B5D6D">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DC0243">
      <w:rPr>
        <w:rFonts w:ascii="Times New Roman" w:hAnsi="Times New Roman"/>
        <w:sz w:val="20"/>
      </w:rPr>
      <w:t>1840</w:t>
    </w:r>
    <w:r>
      <w:rPr>
        <w:rFonts w:ascii="Times New Roman" w:hAnsi="Times New Roman"/>
        <w:sz w:val="20"/>
      </w:rPr>
      <w:t>-</w:t>
    </w:r>
    <w:r w:rsidR="00DC0243">
      <w:rPr>
        <w:rFonts w:ascii="Times New Roman" w:hAnsi="Times New Roman"/>
        <w:sz w:val="20"/>
      </w:rPr>
      <w:t>0819</w:t>
    </w:r>
    <w:r>
      <w:rPr>
        <w:rFonts w:ascii="Times New Roman" w:hAnsi="Times New Roman"/>
        <w:sz w:val="20"/>
      </w:rPr>
      <w:t xml:space="preserve">                                         Revised: </w:t>
    </w:r>
    <w:r w:rsidR="00C448E8">
      <w:rPr>
        <w:rFonts w:ascii="Times New Roman" w:hAnsi="Times New Roman"/>
        <w:sz w:val="20"/>
      </w:rPr>
      <w:t>1/27/2014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395F94"/>
    <w:multiLevelType w:val="multilevel"/>
    <w:tmpl w:val="EDB26B94"/>
    <w:lvl w:ilvl="0">
      <w:start w:val="1"/>
      <w:numFmt w:val="bullet"/>
      <w:lvlText w:val=""/>
      <w:lvlJc w:val="left"/>
      <w:pPr>
        <w:tabs>
          <w:tab w:val="num" w:pos="778"/>
        </w:tabs>
        <w:ind w:left="778" w:hanging="360"/>
      </w:pPr>
      <w:rPr>
        <w:rFonts w:ascii="Symbol" w:hAnsi="Symbol" w:hint="default"/>
      </w:rPr>
    </w:lvl>
    <w:lvl w:ilvl="1">
      <w:start w:val="1"/>
      <w:numFmt w:val="bullet"/>
      <w:lvlText w:val="o"/>
      <w:lvlJc w:val="left"/>
      <w:pPr>
        <w:tabs>
          <w:tab w:val="num" w:pos="1498"/>
        </w:tabs>
        <w:ind w:left="1498" w:hanging="360"/>
      </w:pPr>
      <w:rPr>
        <w:rFonts w:ascii="Courier New" w:hAnsi="Courier New" w:hint="default"/>
      </w:rPr>
    </w:lvl>
    <w:lvl w:ilvl="2">
      <w:start w:val="1"/>
      <w:numFmt w:val="bullet"/>
      <w:lvlText w:val=""/>
      <w:lvlJc w:val="left"/>
      <w:pPr>
        <w:tabs>
          <w:tab w:val="num" w:pos="2218"/>
        </w:tabs>
        <w:ind w:left="2218" w:hanging="360"/>
      </w:pPr>
      <w:rPr>
        <w:rFonts w:ascii="Wingdings" w:hAnsi="Wingdings" w:hint="default"/>
      </w:rPr>
    </w:lvl>
    <w:lvl w:ilvl="3">
      <w:start w:val="1"/>
      <w:numFmt w:val="bullet"/>
      <w:lvlText w:val=""/>
      <w:lvlJc w:val="left"/>
      <w:pPr>
        <w:tabs>
          <w:tab w:val="num" w:pos="2938"/>
        </w:tabs>
        <w:ind w:left="2938" w:hanging="360"/>
      </w:pPr>
      <w:rPr>
        <w:rFonts w:ascii="Symbol" w:hAnsi="Symbol" w:hint="default"/>
      </w:rPr>
    </w:lvl>
    <w:lvl w:ilvl="4">
      <w:start w:val="1"/>
      <w:numFmt w:val="bullet"/>
      <w:lvlText w:val="o"/>
      <w:lvlJc w:val="left"/>
      <w:pPr>
        <w:tabs>
          <w:tab w:val="num" w:pos="3658"/>
        </w:tabs>
        <w:ind w:left="3658" w:hanging="360"/>
      </w:pPr>
      <w:rPr>
        <w:rFonts w:ascii="Courier New" w:hAnsi="Courier New" w:hint="default"/>
      </w:rPr>
    </w:lvl>
    <w:lvl w:ilvl="5">
      <w:start w:val="1"/>
      <w:numFmt w:val="bullet"/>
      <w:lvlText w:val=""/>
      <w:lvlJc w:val="left"/>
      <w:pPr>
        <w:tabs>
          <w:tab w:val="num" w:pos="4378"/>
        </w:tabs>
        <w:ind w:left="4378" w:hanging="360"/>
      </w:pPr>
      <w:rPr>
        <w:rFonts w:ascii="Wingdings" w:hAnsi="Wingdings" w:hint="default"/>
      </w:rPr>
    </w:lvl>
    <w:lvl w:ilvl="6">
      <w:start w:val="1"/>
      <w:numFmt w:val="bullet"/>
      <w:lvlText w:val=""/>
      <w:lvlJc w:val="left"/>
      <w:pPr>
        <w:tabs>
          <w:tab w:val="num" w:pos="5098"/>
        </w:tabs>
        <w:ind w:left="5098" w:hanging="360"/>
      </w:pPr>
      <w:rPr>
        <w:rFonts w:ascii="Symbol" w:hAnsi="Symbol" w:hint="default"/>
      </w:rPr>
    </w:lvl>
    <w:lvl w:ilvl="7">
      <w:start w:val="1"/>
      <w:numFmt w:val="bullet"/>
      <w:lvlText w:val="o"/>
      <w:lvlJc w:val="left"/>
      <w:pPr>
        <w:tabs>
          <w:tab w:val="num" w:pos="5818"/>
        </w:tabs>
        <w:ind w:left="5818" w:hanging="360"/>
      </w:pPr>
      <w:rPr>
        <w:rFonts w:ascii="Courier New" w:hAnsi="Courier New" w:hint="default"/>
      </w:rPr>
    </w:lvl>
    <w:lvl w:ilvl="8">
      <w:start w:val="1"/>
      <w:numFmt w:val="bullet"/>
      <w:lvlText w:val=""/>
      <w:lvlJc w:val="left"/>
      <w:pPr>
        <w:tabs>
          <w:tab w:val="num" w:pos="6538"/>
        </w:tabs>
        <w:ind w:left="6538"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B73FA"/>
    <w:rsid w:val="000E592D"/>
    <w:rsid w:val="000F175B"/>
    <w:rsid w:val="0014500F"/>
    <w:rsid w:val="00153F20"/>
    <w:rsid w:val="001743A5"/>
    <w:rsid w:val="0018279C"/>
    <w:rsid w:val="001E0EE6"/>
    <w:rsid w:val="001E7672"/>
    <w:rsid w:val="002473CE"/>
    <w:rsid w:val="00271B13"/>
    <w:rsid w:val="002B0412"/>
    <w:rsid w:val="002B0A95"/>
    <w:rsid w:val="00386054"/>
    <w:rsid w:val="003C29C2"/>
    <w:rsid w:val="003C4870"/>
    <w:rsid w:val="003C7F70"/>
    <w:rsid w:val="003E285A"/>
    <w:rsid w:val="004A2DBB"/>
    <w:rsid w:val="004E23D9"/>
    <w:rsid w:val="004F692A"/>
    <w:rsid w:val="00512598"/>
    <w:rsid w:val="00563CCF"/>
    <w:rsid w:val="005A1566"/>
    <w:rsid w:val="005A1DFC"/>
    <w:rsid w:val="005A4185"/>
    <w:rsid w:val="005B5D6D"/>
    <w:rsid w:val="005D2E7B"/>
    <w:rsid w:val="006177A2"/>
    <w:rsid w:val="0063484C"/>
    <w:rsid w:val="00654305"/>
    <w:rsid w:val="006737C0"/>
    <w:rsid w:val="00677BC2"/>
    <w:rsid w:val="006A3B5C"/>
    <w:rsid w:val="006C01D0"/>
    <w:rsid w:val="006C6F18"/>
    <w:rsid w:val="007661D9"/>
    <w:rsid w:val="007B14E8"/>
    <w:rsid w:val="007C12B5"/>
    <w:rsid w:val="007D1974"/>
    <w:rsid w:val="007E77FA"/>
    <w:rsid w:val="008011B6"/>
    <w:rsid w:val="008F3062"/>
    <w:rsid w:val="00921CB1"/>
    <w:rsid w:val="009544A3"/>
    <w:rsid w:val="00964FFA"/>
    <w:rsid w:val="009949A8"/>
    <w:rsid w:val="00A01331"/>
    <w:rsid w:val="00A41F2C"/>
    <w:rsid w:val="00A87940"/>
    <w:rsid w:val="00A94CCB"/>
    <w:rsid w:val="00AB0D7D"/>
    <w:rsid w:val="00AD2B87"/>
    <w:rsid w:val="00B23EC0"/>
    <w:rsid w:val="00BA713E"/>
    <w:rsid w:val="00BB3384"/>
    <w:rsid w:val="00BC244F"/>
    <w:rsid w:val="00BD1325"/>
    <w:rsid w:val="00C448E8"/>
    <w:rsid w:val="00C641E9"/>
    <w:rsid w:val="00C723C2"/>
    <w:rsid w:val="00CE72AF"/>
    <w:rsid w:val="00D115BF"/>
    <w:rsid w:val="00D269C3"/>
    <w:rsid w:val="00DC0243"/>
    <w:rsid w:val="00E023B7"/>
    <w:rsid w:val="00E07290"/>
    <w:rsid w:val="00EA3C1F"/>
    <w:rsid w:val="00EB5FB3"/>
    <w:rsid w:val="00EC2CC4"/>
    <w:rsid w:val="00EF7FF5"/>
    <w:rsid w:val="00F313DF"/>
    <w:rsid w:val="00F4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basedOn w:val="Normal"/>
    <w:rsid w:val="00EB5FB3"/>
    <w:pPr>
      <w:snapToGrid w:val="0"/>
      <w:ind w:left="270" w:hanging="270"/>
    </w:pPr>
    <w:rPr>
      <w:rFonts w:ascii="Times New Roman" w:eastAsia="Calibri"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basedOn w:val="Normal"/>
    <w:rsid w:val="00EB5FB3"/>
    <w:pPr>
      <w:snapToGrid w:val="0"/>
      <w:ind w:left="270" w:hanging="270"/>
    </w:pPr>
    <w:rPr>
      <w:rFonts w:ascii="Times New Roman" w:eastAsia="Calibr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2DAC-2ABC-44CB-A41F-A200AAA4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2916</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2010-08-23T18:41:00Z</cp:lastPrinted>
  <dcterms:created xsi:type="dcterms:W3CDTF">2014-01-29T12:13:00Z</dcterms:created>
  <dcterms:modified xsi:type="dcterms:W3CDTF">2014-01-29T12:13:00Z</dcterms:modified>
</cp:coreProperties>
</file>